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58" w:rsidRPr="00074CAB" w:rsidRDefault="00BA0658" w:rsidP="00074CAB">
      <w:pPr>
        <w:spacing w:line="360" w:lineRule="auto"/>
        <w:jc w:val="both"/>
        <w:rPr>
          <w:rFonts w:ascii="Palatino Linotype" w:hAnsi="Palatino Linotype"/>
          <w:lang w:val="es-ES_tradnl" w:eastAsia="es-ES"/>
        </w:rPr>
      </w:pPr>
    </w:p>
    <w:p w:rsidR="00BA0658" w:rsidRPr="00074CAB" w:rsidRDefault="00BA0658" w:rsidP="00074CAB">
      <w:pPr>
        <w:spacing w:line="360" w:lineRule="auto"/>
        <w:jc w:val="center"/>
        <w:rPr>
          <w:rFonts w:ascii="Palatino Linotype" w:eastAsiaTheme="minorEastAsia" w:hAnsi="Palatino Linotype"/>
          <w:lang w:val="es-ES_tradnl" w:eastAsia="es-ES"/>
        </w:rPr>
      </w:pPr>
      <w:r w:rsidRPr="00074CAB">
        <w:rPr>
          <w:rFonts w:ascii="Palatino Linotype" w:eastAsiaTheme="minorEastAsia" w:hAnsi="Palatino Linotype"/>
          <w:b/>
          <w:lang w:val="es-ES_tradnl" w:eastAsia="es-ES"/>
        </w:rPr>
        <w:t>ÍNDICE</w:t>
      </w:r>
      <w:r w:rsidRPr="00074CAB">
        <w:rPr>
          <w:rFonts w:ascii="Palatino Linotype" w:eastAsiaTheme="minorEastAsia" w:hAnsi="Palatino Linotype"/>
          <w:lang w:val="es-ES_tradnl" w:eastAsia="es-ES"/>
        </w:rPr>
        <w:t>.</w:t>
      </w:r>
    </w:p>
    <w:sdt>
      <w:sdtPr>
        <w:rPr>
          <w:rFonts w:ascii="Palatino Linotype" w:eastAsiaTheme="minorEastAsia" w:hAnsi="Palatino Linotype"/>
          <w:lang w:val="es-ES" w:eastAsia="es-ES"/>
        </w:rPr>
        <w:id w:val="1703668029"/>
        <w:docPartObj>
          <w:docPartGallery w:val="Table of Contents"/>
          <w:docPartUnique/>
        </w:docPartObj>
      </w:sdtPr>
      <w:sdtEndPr>
        <w:rPr>
          <w:bCs/>
        </w:rPr>
      </w:sdtEndPr>
      <w:sdtContent>
        <w:p w:rsidR="00BA0658" w:rsidRPr="00074CAB" w:rsidRDefault="00BA0658" w:rsidP="00074CAB">
          <w:pPr>
            <w:keepNext/>
            <w:keepLines/>
            <w:spacing w:line="360" w:lineRule="auto"/>
            <w:rPr>
              <w:rFonts w:ascii="Palatino Linotype" w:eastAsiaTheme="majorEastAsia" w:hAnsi="Palatino Linotype" w:cstheme="majorBidi"/>
              <w:b/>
              <w:szCs w:val="32"/>
            </w:rPr>
          </w:pPr>
        </w:p>
        <w:p w:rsidR="00DF5DBB" w:rsidRPr="00074CAB" w:rsidRDefault="00BA0658" w:rsidP="00074CAB">
          <w:pPr>
            <w:pStyle w:val="TDC1"/>
            <w:tabs>
              <w:tab w:val="right" w:leader="dot" w:pos="9034"/>
            </w:tabs>
            <w:spacing w:after="0" w:line="360" w:lineRule="auto"/>
            <w:jc w:val="right"/>
            <w:rPr>
              <w:rFonts w:ascii="Palatino Linotype" w:eastAsiaTheme="minorEastAsia" w:hAnsi="Palatino Linotype"/>
              <w:b/>
              <w:noProof/>
              <w:lang w:val="es-ES" w:eastAsia="es-ES"/>
            </w:rPr>
          </w:pPr>
          <w:r w:rsidRPr="00074CAB">
            <w:rPr>
              <w:rFonts w:ascii="Palatino Linotype" w:eastAsiaTheme="minorEastAsia" w:hAnsi="Palatino Linotype"/>
              <w:b/>
              <w:sz w:val="24"/>
              <w:szCs w:val="24"/>
              <w:lang w:val="es-ES_tradnl" w:eastAsia="es-ES"/>
            </w:rPr>
            <w:fldChar w:fldCharType="begin"/>
          </w:r>
          <w:r w:rsidRPr="00074CAB">
            <w:rPr>
              <w:rFonts w:ascii="Palatino Linotype" w:eastAsiaTheme="minorEastAsia" w:hAnsi="Palatino Linotype"/>
              <w:b/>
              <w:sz w:val="24"/>
              <w:szCs w:val="24"/>
              <w:lang w:val="es-ES_tradnl" w:eastAsia="es-ES"/>
            </w:rPr>
            <w:instrText xml:space="preserve"> TOC \o "1-3" \h \z \u </w:instrText>
          </w:r>
          <w:r w:rsidRPr="00074CAB">
            <w:rPr>
              <w:rFonts w:ascii="Palatino Linotype" w:eastAsiaTheme="minorEastAsia" w:hAnsi="Palatino Linotype"/>
              <w:b/>
              <w:sz w:val="24"/>
              <w:szCs w:val="24"/>
              <w:lang w:val="es-ES_tradnl" w:eastAsia="es-ES"/>
            </w:rPr>
            <w:fldChar w:fldCharType="separate"/>
          </w:r>
          <w:hyperlink w:anchor="_Toc84935140" w:history="1">
            <w:r w:rsidR="00DF5DBB" w:rsidRPr="00074CAB">
              <w:rPr>
                <w:rStyle w:val="Hipervnculo"/>
                <w:rFonts w:ascii="Palatino Linotype" w:eastAsiaTheme="majorEastAsia" w:hAnsi="Palatino Linotype" w:cstheme="majorBidi"/>
                <w:b/>
                <w:noProof/>
              </w:rPr>
              <w:t>ANTECEDENTES</w:t>
            </w:r>
            <w:r w:rsidR="00DF5DBB" w:rsidRPr="00074CAB">
              <w:rPr>
                <w:rFonts w:ascii="Palatino Linotype" w:hAnsi="Palatino Linotype"/>
                <w:b/>
                <w:noProof/>
                <w:webHidden/>
              </w:rPr>
              <w:tab/>
            </w:r>
            <w:r w:rsidR="00DF5DBB" w:rsidRPr="00074CAB">
              <w:rPr>
                <w:rFonts w:ascii="Palatino Linotype" w:hAnsi="Palatino Linotype"/>
                <w:b/>
                <w:noProof/>
                <w:webHidden/>
              </w:rPr>
              <w:fldChar w:fldCharType="begin"/>
            </w:r>
            <w:r w:rsidR="00DF5DBB" w:rsidRPr="00074CAB">
              <w:rPr>
                <w:rFonts w:ascii="Palatino Linotype" w:hAnsi="Palatino Linotype"/>
                <w:b/>
                <w:noProof/>
                <w:webHidden/>
              </w:rPr>
              <w:instrText xml:space="preserve"> PAGEREF _Toc84935140 \h </w:instrText>
            </w:r>
            <w:r w:rsidR="00DF5DBB" w:rsidRPr="00074CAB">
              <w:rPr>
                <w:rFonts w:ascii="Palatino Linotype" w:hAnsi="Palatino Linotype"/>
                <w:b/>
                <w:noProof/>
                <w:webHidden/>
              </w:rPr>
            </w:r>
            <w:r w:rsidR="00DF5DBB" w:rsidRPr="00074CAB">
              <w:rPr>
                <w:rFonts w:ascii="Palatino Linotype" w:hAnsi="Palatino Linotype"/>
                <w:b/>
                <w:noProof/>
                <w:webHidden/>
              </w:rPr>
              <w:fldChar w:fldCharType="separate"/>
            </w:r>
            <w:r w:rsidR="00B271DF">
              <w:rPr>
                <w:rFonts w:ascii="Palatino Linotype" w:hAnsi="Palatino Linotype"/>
                <w:b/>
                <w:noProof/>
                <w:webHidden/>
              </w:rPr>
              <w:t>2</w:t>
            </w:r>
            <w:r w:rsidR="00DF5DBB" w:rsidRPr="00074CAB">
              <w:rPr>
                <w:rFonts w:ascii="Palatino Linotype" w:hAnsi="Palatino Linotype"/>
                <w:b/>
                <w:noProof/>
                <w:webHidden/>
              </w:rPr>
              <w:fldChar w:fldCharType="end"/>
            </w:r>
          </w:hyperlink>
        </w:p>
        <w:p w:rsidR="00DF5DBB" w:rsidRPr="00074CAB" w:rsidRDefault="00592F26" w:rsidP="00074CAB">
          <w:pPr>
            <w:pStyle w:val="TDC1"/>
            <w:tabs>
              <w:tab w:val="right" w:leader="dot" w:pos="9034"/>
            </w:tabs>
            <w:spacing w:after="0" w:line="360" w:lineRule="auto"/>
            <w:jc w:val="right"/>
            <w:rPr>
              <w:rFonts w:ascii="Palatino Linotype" w:eastAsiaTheme="minorEastAsia" w:hAnsi="Palatino Linotype"/>
              <w:b/>
              <w:noProof/>
              <w:lang w:val="es-ES" w:eastAsia="es-ES"/>
            </w:rPr>
          </w:pPr>
          <w:hyperlink w:anchor="_Toc84935141" w:history="1">
            <w:r w:rsidR="00DF5DBB" w:rsidRPr="00074CAB">
              <w:rPr>
                <w:rStyle w:val="Hipervnculo"/>
                <w:rFonts w:ascii="Palatino Linotype" w:eastAsiaTheme="majorEastAsia" w:hAnsi="Palatino Linotype" w:cstheme="majorBidi"/>
                <w:b/>
                <w:noProof/>
              </w:rPr>
              <w:t>CONSIDERANDO</w:t>
            </w:r>
            <w:r w:rsidR="00DF5DBB" w:rsidRPr="00074CAB">
              <w:rPr>
                <w:rFonts w:ascii="Palatino Linotype" w:hAnsi="Palatino Linotype"/>
                <w:b/>
                <w:noProof/>
                <w:webHidden/>
              </w:rPr>
              <w:tab/>
            </w:r>
            <w:r w:rsidR="00DF5DBB" w:rsidRPr="00074CAB">
              <w:rPr>
                <w:rFonts w:ascii="Palatino Linotype" w:hAnsi="Palatino Linotype"/>
                <w:b/>
                <w:noProof/>
                <w:webHidden/>
              </w:rPr>
              <w:fldChar w:fldCharType="begin"/>
            </w:r>
            <w:r w:rsidR="00DF5DBB" w:rsidRPr="00074CAB">
              <w:rPr>
                <w:rFonts w:ascii="Palatino Linotype" w:hAnsi="Palatino Linotype"/>
                <w:b/>
                <w:noProof/>
                <w:webHidden/>
              </w:rPr>
              <w:instrText xml:space="preserve"> PAGEREF _Toc84935141 \h </w:instrText>
            </w:r>
            <w:r w:rsidR="00DF5DBB" w:rsidRPr="00074CAB">
              <w:rPr>
                <w:rFonts w:ascii="Palatino Linotype" w:hAnsi="Palatino Linotype"/>
                <w:b/>
                <w:noProof/>
                <w:webHidden/>
              </w:rPr>
            </w:r>
            <w:r w:rsidR="00DF5DBB" w:rsidRPr="00074CAB">
              <w:rPr>
                <w:rFonts w:ascii="Palatino Linotype" w:hAnsi="Palatino Linotype"/>
                <w:b/>
                <w:noProof/>
                <w:webHidden/>
              </w:rPr>
              <w:fldChar w:fldCharType="separate"/>
            </w:r>
            <w:r w:rsidR="00B271DF">
              <w:rPr>
                <w:rFonts w:ascii="Palatino Linotype" w:hAnsi="Palatino Linotype"/>
                <w:b/>
                <w:noProof/>
                <w:webHidden/>
              </w:rPr>
              <w:t>7</w:t>
            </w:r>
            <w:r w:rsidR="00DF5DBB" w:rsidRPr="00074CAB">
              <w:rPr>
                <w:rFonts w:ascii="Palatino Linotype" w:hAnsi="Palatino Linotype"/>
                <w:b/>
                <w:noProof/>
                <w:webHidden/>
              </w:rPr>
              <w:fldChar w:fldCharType="end"/>
            </w:r>
          </w:hyperlink>
        </w:p>
        <w:p w:rsidR="00DF5DBB" w:rsidRPr="00074CAB" w:rsidRDefault="00592F26" w:rsidP="00074CAB">
          <w:pPr>
            <w:pStyle w:val="TDC2"/>
            <w:spacing w:line="360" w:lineRule="auto"/>
            <w:jc w:val="right"/>
            <w:rPr>
              <w:rFonts w:ascii="Palatino Linotype" w:eastAsiaTheme="minorEastAsia" w:hAnsi="Palatino Linotype"/>
              <w:b/>
              <w:noProof/>
              <w:lang w:val="es-ES" w:eastAsia="es-ES"/>
            </w:rPr>
          </w:pPr>
          <w:hyperlink w:anchor="_Toc84935142" w:history="1">
            <w:r w:rsidR="00DF5DBB" w:rsidRPr="00074CAB">
              <w:rPr>
                <w:rStyle w:val="Hipervnculo"/>
                <w:rFonts w:ascii="Palatino Linotype" w:eastAsiaTheme="majorEastAsia" w:hAnsi="Palatino Linotype" w:cstheme="majorBidi"/>
                <w:b/>
                <w:noProof/>
              </w:rPr>
              <w:t>PRIMERO. De la competencia</w:t>
            </w:r>
            <w:r w:rsidR="00DF5DBB" w:rsidRPr="00074CAB">
              <w:rPr>
                <w:rFonts w:ascii="Palatino Linotype" w:hAnsi="Palatino Linotype"/>
                <w:b/>
                <w:noProof/>
                <w:webHidden/>
              </w:rPr>
              <w:tab/>
            </w:r>
            <w:r w:rsidR="00DF5DBB" w:rsidRPr="00074CAB">
              <w:rPr>
                <w:rFonts w:ascii="Palatino Linotype" w:hAnsi="Palatino Linotype"/>
                <w:b/>
                <w:noProof/>
                <w:webHidden/>
              </w:rPr>
              <w:fldChar w:fldCharType="begin"/>
            </w:r>
            <w:r w:rsidR="00DF5DBB" w:rsidRPr="00074CAB">
              <w:rPr>
                <w:rFonts w:ascii="Palatino Linotype" w:hAnsi="Palatino Linotype"/>
                <w:b/>
                <w:noProof/>
                <w:webHidden/>
              </w:rPr>
              <w:instrText xml:space="preserve"> PAGEREF _Toc84935142 \h </w:instrText>
            </w:r>
            <w:r w:rsidR="00DF5DBB" w:rsidRPr="00074CAB">
              <w:rPr>
                <w:rFonts w:ascii="Palatino Linotype" w:hAnsi="Palatino Linotype"/>
                <w:b/>
                <w:noProof/>
                <w:webHidden/>
              </w:rPr>
            </w:r>
            <w:r w:rsidR="00DF5DBB" w:rsidRPr="00074CAB">
              <w:rPr>
                <w:rFonts w:ascii="Palatino Linotype" w:hAnsi="Palatino Linotype"/>
                <w:b/>
                <w:noProof/>
                <w:webHidden/>
              </w:rPr>
              <w:fldChar w:fldCharType="separate"/>
            </w:r>
            <w:r w:rsidR="00B271DF">
              <w:rPr>
                <w:rFonts w:ascii="Palatino Linotype" w:hAnsi="Palatino Linotype"/>
                <w:b/>
                <w:noProof/>
                <w:webHidden/>
              </w:rPr>
              <w:t>7</w:t>
            </w:r>
            <w:r w:rsidR="00DF5DBB" w:rsidRPr="00074CAB">
              <w:rPr>
                <w:rFonts w:ascii="Palatino Linotype" w:hAnsi="Palatino Linotype"/>
                <w:b/>
                <w:noProof/>
                <w:webHidden/>
              </w:rPr>
              <w:fldChar w:fldCharType="end"/>
            </w:r>
          </w:hyperlink>
        </w:p>
        <w:p w:rsidR="00DF5DBB" w:rsidRPr="00074CAB" w:rsidRDefault="00592F26" w:rsidP="00074CAB">
          <w:pPr>
            <w:pStyle w:val="TDC2"/>
            <w:spacing w:line="360" w:lineRule="auto"/>
            <w:jc w:val="right"/>
            <w:rPr>
              <w:rFonts w:ascii="Palatino Linotype" w:eastAsiaTheme="minorEastAsia" w:hAnsi="Palatino Linotype"/>
              <w:b/>
              <w:noProof/>
              <w:lang w:val="es-ES" w:eastAsia="es-ES"/>
            </w:rPr>
          </w:pPr>
          <w:hyperlink w:anchor="_Toc84935143" w:history="1">
            <w:r w:rsidR="00DF5DBB" w:rsidRPr="00074CAB">
              <w:rPr>
                <w:rStyle w:val="Hipervnculo"/>
                <w:rFonts w:ascii="Palatino Linotype" w:eastAsiaTheme="majorEastAsia" w:hAnsi="Palatino Linotype" w:cstheme="majorBidi"/>
                <w:b/>
                <w:noProof/>
              </w:rPr>
              <w:t>SEGUNDO. De la oportunidad y procedencia.</w:t>
            </w:r>
            <w:r w:rsidR="00DF5DBB" w:rsidRPr="00074CAB">
              <w:rPr>
                <w:rFonts w:ascii="Palatino Linotype" w:hAnsi="Palatino Linotype"/>
                <w:b/>
                <w:noProof/>
                <w:webHidden/>
              </w:rPr>
              <w:tab/>
            </w:r>
            <w:r w:rsidR="00DF5DBB" w:rsidRPr="00074CAB">
              <w:rPr>
                <w:rFonts w:ascii="Palatino Linotype" w:hAnsi="Palatino Linotype"/>
                <w:b/>
                <w:noProof/>
                <w:webHidden/>
              </w:rPr>
              <w:fldChar w:fldCharType="begin"/>
            </w:r>
            <w:r w:rsidR="00DF5DBB" w:rsidRPr="00074CAB">
              <w:rPr>
                <w:rFonts w:ascii="Palatino Linotype" w:hAnsi="Palatino Linotype"/>
                <w:b/>
                <w:noProof/>
                <w:webHidden/>
              </w:rPr>
              <w:instrText xml:space="preserve"> PAGEREF _Toc84935143 \h </w:instrText>
            </w:r>
            <w:r w:rsidR="00DF5DBB" w:rsidRPr="00074CAB">
              <w:rPr>
                <w:rFonts w:ascii="Palatino Linotype" w:hAnsi="Palatino Linotype"/>
                <w:b/>
                <w:noProof/>
                <w:webHidden/>
              </w:rPr>
            </w:r>
            <w:r w:rsidR="00DF5DBB" w:rsidRPr="00074CAB">
              <w:rPr>
                <w:rFonts w:ascii="Palatino Linotype" w:hAnsi="Palatino Linotype"/>
                <w:b/>
                <w:noProof/>
                <w:webHidden/>
              </w:rPr>
              <w:fldChar w:fldCharType="separate"/>
            </w:r>
            <w:r w:rsidR="00B271DF">
              <w:rPr>
                <w:rFonts w:ascii="Palatino Linotype" w:hAnsi="Palatino Linotype"/>
                <w:b/>
                <w:noProof/>
                <w:webHidden/>
              </w:rPr>
              <w:t>8</w:t>
            </w:r>
            <w:r w:rsidR="00DF5DBB" w:rsidRPr="00074CAB">
              <w:rPr>
                <w:rFonts w:ascii="Palatino Linotype" w:hAnsi="Palatino Linotype"/>
                <w:b/>
                <w:noProof/>
                <w:webHidden/>
              </w:rPr>
              <w:fldChar w:fldCharType="end"/>
            </w:r>
          </w:hyperlink>
        </w:p>
        <w:p w:rsidR="00DF5DBB" w:rsidRPr="00074CAB" w:rsidRDefault="00592F26" w:rsidP="00074CAB">
          <w:pPr>
            <w:pStyle w:val="TDC1"/>
            <w:tabs>
              <w:tab w:val="right" w:leader="dot" w:pos="9034"/>
            </w:tabs>
            <w:spacing w:after="0" w:line="360" w:lineRule="auto"/>
            <w:jc w:val="right"/>
            <w:rPr>
              <w:rFonts w:ascii="Palatino Linotype" w:eastAsiaTheme="minorEastAsia" w:hAnsi="Palatino Linotype"/>
              <w:b/>
              <w:noProof/>
              <w:lang w:val="es-ES" w:eastAsia="es-ES"/>
            </w:rPr>
          </w:pPr>
          <w:hyperlink w:anchor="_Toc84935144" w:history="1">
            <w:r w:rsidR="00DF5DBB" w:rsidRPr="00074CAB">
              <w:rPr>
                <w:rStyle w:val="Hipervnculo"/>
                <w:rFonts w:ascii="Palatino Linotype" w:hAnsi="Palatino Linotype"/>
                <w:b/>
                <w:noProof/>
                <w:lang w:eastAsia="es-ES"/>
              </w:rPr>
              <w:t>TERCERO. De las causales del sobreseimiento.</w:t>
            </w:r>
            <w:r w:rsidR="00DF5DBB" w:rsidRPr="00074CAB">
              <w:rPr>
                <w:rFonts w:ascii="Palatino Linotype" w:hAnsi="Palatino Linotype"/>
                <w:b/>
                <w:noProof/>
                <w:webHidden/>
              </w:rPr>
              <w:tab/>
            </w:r>
            <w:r w:rsidR="00DF5DBB" w:rsidRPr="00074CAB">
              <w:rPr>
                <w:rFonts w:ascii="Palatino Linotype" w:hAnsi="Palatino Linotype"/>
                <w:b/>
                <w:noProof/>
                <w:webHidden/>
              </w:rPr>
              <w:fldChar w:fldCharType="begin"/>
            </w:r>
            <w:r w:rsidR="00DF5DBB" w:rsidRPr="00074CAB">
              <w:rPr>
                <w:rFonts w:ascii="Palatino Linotype" w:hAnsi="Palatino Linotype"/>
                <w:b/>
                <w:noProof/>
                <w:webHidden/>
              </w:rPr>
              <w:instrText xml:space="preserve"> PAGEREF _Toc84935144 \h </w:instrText>
            </w:r>
            <w:r w:rsidR="00DF5DBB" w:rsidRPr="00074CAB">
              <w:rPr>
                <w:rFonts w:ascii="Palatino Linotype" w:hAnsi="Palatino Linotype"/>
                <w:b/>
                <w:noProof/>
                <w:webHidden/>
              </w:rPr>
            </w:r>
            <w:r w:rsidR="00DF5DBB" w:rsidRPr="00074CAB">
              <w:rPr>
                <w:rFonts w:ascii="Palatino Linotype" w:hAnsi="Palatino Linotype"/>
                <w:b/>
                <w:noProof/>
                <w:webHidden/>
              </w:rPr>
              <w:fldChar w:fldCharType="separate"/>
            </w:r>
            <w:r w:rsidR="00B271DF">
              <w:rPr>
                <w:rFonts w:ascii="Palatino Linotype" w:hAnsi="Palatino Linotype"/>
                <w:b/>
                <w:noProof/>
                <w:webHidden/>
              </w:rPr>
              <w:t>9</w:t>
            </w:r>
            <w:r w:rsidR="00DF5DBB" w:rsidRPr="00074CAB">
              <w:rPr>
                <w:rFonts w:ascii="Palatino Linotype" w:hAnsi="Palatino Linotype"/>
                <w:b/>
                <w:noProof/>
                <w:webHidden/>
              </w:rPr>
              <w:fldChar w:fldCharType="end"/>
            </w:r>
          </w:hyperlink>
        </w:p>
        <w:p w:rsidR="00DF5DBB" w:rsidRPr="00074CAB" w:rsidRDefault="00592F26" w:rsidP="00074CAB">
          <w:pPr>
            <w:pStyle w:val="TDC1"/>
            <w:tabs>
              <w:tab w:val="right" w:leader="dot" w:pos="9034"/>
            </w:tabs>
            <w:spacing w:after="0" w:line="360" w:lineRule="auto"/>
            <w:jc w:val="right"/>
            <w:rPr>
              <w:rFonts w:ascii="Palatino Linotype" w:eastAsiaTheme="minorEastAsia" w:hAnsi="Palatino Linotype"/>
              <w:b/>
              <w:noProof/>
              <w:lang w:val="es-ES" w:eastAsia="es-ES"/>
            </w:rPr>
          </w:pPr>
          <w:hyperlink w:anchor="_Toc84935145" w:history="1">
            <w:r w:rsidR="00DF5DBB" w:rsidRPr="00074CAB">
              <w:rPr>
                <w:rStyle w:val="Hipervnculo"/>
                <w:rFonts w:ascii="Palatino Linotype" w:eastAsiaTheme="majorEastAsia" w:hAnsi="Palatino Linotype" w:cstheme="majorBidi"/>
                <w:b/>
                <w:noProof/>
              </w:rPr>
              <w:t>R E S O L U T I V O S</w:t>
            </w:r>
            <w:r w:rsidR="00DF5DBB" w:rsidRPr="00074CAB">
              <w:rPr>
                <w:rFonts w:ascii="Palatino Linotype" w:hAnsi="Palatino Linotype"/>
                <w:b/>
                <w:noProof/>
                <w:webHidden/>
              </w:rPr>
              <w:tab/>
            </w:r>
            <w:r w:rsidR="00DF5DBB" w:rsidRPr="00074CAB">
              <w:rPr>
                <w:rFonts w:ascii="Palatino Linotype" w:hAnsi="Palatino Linotype"/>
                <w:b/>
                <w:noProof/>
                <w:webHidden/>
              </w:rPr>
              <w:fldChar w:fldCharType="begin"/>
            </w:r>
            <w:r w:rsidR="00DF5DBB" w:rsidRPr="00074CAB">
              <w:rPr>
                <w:rFonts w:ascii="Palatino Linotype" w:hAnsi="Palatino Linotype"/>
                <w:b/>
                <w:noProof/>
                <w:webHidden/>
              </w:rPr>
              <w:instrText xml:space="preserve"> PAGEREF _Toc84935145 \h </w:instrText>
            </w:r>
            <w:r w:rsidR="00DF5DBB" w:rsidRPr="00074CAB">
              <w:rPr>
                <w:rFonts w:ascii="Palatino Linotype" w:hAnsi="Palatino Linotype"/>
                <w:b/>
                <w:noProof/>
                <w:webHidden/>
              </w:rPr>
            </w:r>
            <w:r w:rsidR="00DF5DBB" w:rsidRPr="00074CAB">
              <w:rPr>
                <w:rFonts w:ascii="Palatino Linotype" w:hAnsi="Palatino Linotype"/>
                <w:b/>
                <w:noProof/>
                <w:webHidden/>
              </w:rPr>
              <w:fldChar w:fldCharType="separate"/>
            </w:r>
            <w:r w:rsidR="00B271DF">
              <w:rPr>
                <w:rFonts w:ascii="Palatino Linotype" w:hAnsi="Palatino Linotype"/>
                <w:b/>
                <w:noProof/>
                <w:webHidden/>
              </w:rPr>
              <w:t>20</w:t>
            </w:r>
            <w:r w:rsidR="00DF5DBB" w:rsidRPr="00074CAB">
              <w:rPr>
                <w:rFonts w:ascii="Palatino Linotype" w:hAnsi="Palatino Linotype"/>
                <w:b/>
                <w:noProof/>
                <w:webHidden/>
              </w:rPr>
              <w:fldChar w:fldCharType="end"/>
            </w:r>
          </w:hyperlink>
        </w:p>
        <w:p w:rsidR="00BA0658" w:rsidRPr="00074CAB" w:rsidRDefault="00BA0658" w:rsidP="00074CAB">
          <w:pPr>
            <w:spacing w:line="360" w:lineRule="auto"/>
            <w:rPr>
              <w:rFonts w:ascii="Palatino Linotype" w:eastAsiaTheme="minorEastAsia" w:hAnsi="Palatino Linotype"/>
              <w:lang w:val="es-ES_tradnl" w:eastAsia="es-ES"/>
            </w:rPr>
          </w:pPr>
          <w:r w:rsidRPr="00074CAB">
            <w:rPr>
              <w:rFonts w:ascii="Palatino Linotype" w:eastAsiaTheme="minorEastAsia" w:hAnsi="Palatino Linotype"/>
              <w:b/>
              <w:bCs/>
              <w:lang w:val="es-ES" w:eastAsia="es-ES"/>
            </w:rPr>
            <w:fldChar w:fldCharType="end"/>
          </w:r>
        </w:p>
      </w:sdtContent>
    </w:sdt>
    <w:p w:rsidR="00BA0658" w:rsidRPr="00074CAB" w:rsidRDefault="00BA0658" w:rsidP="00074CAB">
      <w:pPr>
        <w:spacing w:line="360" w:lineRule="auto"/>
        <w:jc w:val="both"/>
        <w:rPr>
          <w:rFonts w:ascii="Palatino Linotype" w:eastAsiaTheme="minorEastAsia" w:hAnsi="Palatino Linotype"/>
          <w:lang w:val="es-ES_tradnl" w:eastAsia="es-ES"/>
        </w:rPr>
      </w:pPr>
    </w:p>
    <w:p w:rsidR="00BA0658" w:rsidRPr="00074CAB" w:rsidRDefault="00BA0658"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074CAB" w:rsidRPr="00074CAB" w:rsidRDefault="00074CAB" w:rsidP="00074CAB">
      <w:pPr>
        <w:spacing w:line="360" w:lineRule="auto"/>
        <w:jc w:val="both"/>
        <w:rPr>
          <w:rFonts w:ascii="Palatino Linotype" w:eastAsiaTheme="minorEastAsia" w:hAnsi="Palatino Linotype"/>
          <w:lang w:val="es-ES_tradnl" w:eastAsia="es-ES"/>
        </w:rPr>
      </w:pPr>
    </w:p>
    <w:p w:rsidR="00BA0658" w:rsidRPr="00074CAB" w:rsidRDefault="00BA0658" w:rsidP="00074CAB">
      <w:pPr>
        <w:spacing w:line="360" w:lineRule="auto"/>
        <w:jc w:val="both"/>
        <w:rPr>
          <w:rFonts w:ascii="Palatino Linotype" w:eastAsiaTheme="minorEastAsia" w:hAnsi="Palatino Linotype"/>
          <w:lang w:val="es-ES_tradnl" w:eastAsia="es-ES"/>
        </w:rPr>
      </w:pPr>
      <w:r w:rsidRPr="00074CAB">
        <w:rPr>
          <w:rFonts w:ascii="Palatino Linotype" w:eastAsiaTheme="minorEastAsia" w:hAnsi="Palatino Linotype"/>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veinte (20) de octubre  de dos mil veintiuno.</w:t>
      </w:r>
    </w:p>
    <w:p w:rsidR="00BA0658" w:rsidRPr="00074CAB" w:rsidRDefault="00BA0658" w:rsidP="00074CAB">
      <w:pPr>
        <w:spacing w:line="360" w:lineRule="auto"/>
        <w:jc w:val="both"/>
        <w:rPr>
          <w:rFonts w:ascii="Palatino Linotype" w:eastAsiaTheme="minorEastAsia" w:hAnsi="Palatino Linotype"/>
          <w:lang w:val="es-ES_tradnl" w:eastAsia="es-ES"/>
        </w:rPr>
      </w:pPr>
    </w:p>
    <w:p w:rsidR="00BA0658" w:rsidRPr="00074CAB" w:rsidRDefault="00BA0658" w:rsidP="00074CAB">
      <w:pPr>
        <w:spacing w:line="360" w:lineRule="auto"/>
        <w:jc w:val="both"/>
        <w:rPr>
          <w:rFonts w:ascii="Palatino Linotype" w:hAnsi="Palatino Linotype"/>
        </w:rPr>
      </w:pPr>
      <w:r w:rsidRPr="00074CAB">
        <w:rPr>
          <w:rFonts w:ascii="Palatino Linotype" w:hAnsi="Palatino Linotype"/>
          <w:b/>
        </w:rPr>
        <w:t>VISTO</w:t>
      </w:r>
      <w:r w:rsidRPr="00074CAB">
        <w:rPr>
          <w:rFonts w:ascii="Palatino Linotype" w:hAnsi="Palatino Linotype"/>
        </w:rPr>
        <w:t xml:space="preserve"> el expediente electrónico formado con motivo del recurso de revisión </w:t>
      </w:r>
      <w:r w:rsidRPr="00074CAB">
        <w:rPr>
          <w:rFonts w:ascii="Palatino Linotype" w:hAnsi="Palatino Linotype"/>
          <w:b/>
        </w:rPr>
        <w:t>04048/INFOEM/IP/RR/2021,</w:t>
      </w:r>
      <w:r w:rsidRPr="00074CAB">
        <w:rPr>
          <w:rFonts w:ascii="Palatino Linotype" w:hAnsi="Palatino Linotype" w:cs="Arial"/>
          <w:b/>
          <w:bCs/>
        </w:rPr>
        <w:t xml:space="preserve"> </w:t>
      </w:r>
      <w:r w:rsidRPr="00074CAB">
        <w:rPr>
          <w:rFonts w:ascii="Palatino Linotype" w:eastAsiaTheme="minorEastAsia" w:hAnsi="Palatino Linotype"/>
          <w:lang w:val="es-ES_tradnl" w:eastAsia="es-ES"/>
        </w:rPr>
        <w:t xml:space="preserve">promovido </w:t>
      </w:r>
      <w:r w:rsidR="00CD549E">
        <w:rPr>
          <w:rFonts w:ascii="Palatino Linotype" w:eastAsiaTheme="minorEastAsia" w:hAnsi="Palatino Linotype"/>
          <w:b/>
          <w:lang w:val="es-ES" w:eastAsia="es-ES"/>
        </w:rPr>
        <w:t>XXXXXXXXXXXXXXXXXX</w:t>
      </w:r>
      <w:r w:rsidRPr="00074CAB">
        <w:rPr>
          <w:rFonts w:ascii="Palatino Linotype" w:hAnsi="Palatino Linotype"/>
        </w:rPr>
        <w:t xml:space="preserve">, quien en lo sucesivo se identificará como </w:t>
      </w:r>
      <w:r w:rsidRPr="00074CAB">
        <w:rPr>
          <w:rFonts w:ascii="Palatino Linotype" w:hAnsi="Palatino Linotype"/>
          <w:b/>
        </w:rPr>
        <w:t xml:space="preserve">EL </w:t>
      </w:r>
      <w:r w:rsidRPr="00074CAB">
        <w:rPr>
          <w:rFonts w:ascii="Palatino Linotype" w:hAnsi="Palatino Linotype" w:cs="Arial"/>
          <w:b/>
        </w:rPr>
        <w:t>RECURRENTE</w:t>
      </w:r>
      <w:r w:rsidRPr="00074CAB">
        <w:rPr>
          <w:rFonts w:ascii="Palatino Linotype" w:hAnsi="Palatino Linotype" w:cs="Arial"/>
        </w:rPr>
        <w:t xml:space="preserve">, en contra de la respuesta del </w:t>
      </w:r>
      <w:r w:rsidRPr="00074CAB">
        <w:rPr>
          <w:rFonts w:ascii="Palatino Linotype" w:hAnsi="Palatino Linotype" w:cs="Arial"/>
          <w:b/>
        </w:rPr>
        <w:t>Ayuntamiento de Atizapán de Zaragoza,</w:t>
      </w:r>
      <w:r w:rsidRPr="00074CAB">
        <w:rPr>
          <w:rFonts w:ascii="Palatino Linotype" w:hAnsi="Palatino Linotype"/>
          <w:b/>
        </w:rPr>
        <w:t xml:space="preserve"> </w:t>
      </w:r>
      <w:r w:rsidRPr="00074CAB">
        <w:rPr>
          <w:rFonts w:ascii="Palatino Linotype" w:hAnsi="Palatino Linotype"/>
        </w:rPr>
        <w:t>en lo sucesivo el</w:t>
      </w:r>
      <w:r w:rsidRPr="00074CAB">
        <w:rPr>
          <w:rFonts w:ascii="Palatino Linotype" w:hAnsi="Palatino Linotype"/>
          <w:b/>
        </w:rPr>
        <w:t xml:space="preserve"> SUJETO OBLIGADO</w:t>
      </w:r>
      <w:r w:rsidRPr="00074CAB">
        <w:rPr>
          <w:rFonts w:ascii="Palatino Linotype" w:hAnsi="Palatino Linotype"/>
        </w:rPr>
        <w:t>, por lo que se procede a dictar la presente resolución, con base en los siguientes:</w:t>
      </w:r>
    </w:p>
    <w:p w:rsidR="00BA0658" w:rsidRPr="00074CAB" w:rsidRDefault="00BA0658" w:rsidP="00074CAB">
      <w:pPr>
        <w:spacing w:line="360" w:lineRule="auto"/>
        <w:jc w:val="both"/>
        <w:rPr>
          <w:rFonts w:ascii="Palatino Linotype" w:hAnsi="Palatino Linotype"/>
          <w:b/>
        </w:rPr>
      </w:pPr>
    </w:p>
    <w:p w:rsidR="00BA0658" w:rsidRPr="00074CAB" w:rsidRDefault="00BA0658" w:rsidP="00074CAB">
      <w:pPr>
        <w:keepNext/>
        <w:keepLines/>
        <w:spacing w:line="360" w:lineRule="auto"/>
        <w:jc w:val="center"/>
        <w:outlineLvl w:val="0"/>
        <w:rPr>
          <w:rFonts w:ascii="Palatino Linotype" w:eastAsiaTheme="majorEastAsia" w:hAnsi="Palatino Linotype" w:cstheme="majorBidi"/>
          <w:b/>
          <w:szCs w:val="32"/>
        </w:rPr>
      </w:pPr>
      <w:bookmarkStart w:id="0" w:name="_Toc84935140"/>
      <w:r w:rsidRPr="00074CAB">
        <w:rPr>
          <w:rFonts w:ascii="Palatino Linotype" w:eastAsiaTheme="majorEastAsia" w:hAnsi="Palatino Linotype" w:cstheme="majorBidi"/>
          <w:b/>
          <w:szCs w:val="32"/>
        </w:rPr>
        <w:t>ANTECEDENTES</w:t>
      </w:r>
      <w:bookmarkEnd w:id="0"/>
    </w:p>
    <w:p w:rsidR="00BA0658" w:rsidRPr="00074CAB" w:rsidRDefault="00BA0658" w:rsidP="00074CAB">
      <w:pPr>
        <w:spacing w:line="360" w:lineRule="auto"/>
        <w:rPr>
          <w:rFonts w:ascii="Palatino Linotype" w:eastAsiaTheme="minorEastAsia" w:hAnsi="Palatino Linotype"/>
        </w:rPr>
      </w:pPr>
    </w:p>
    <w:p w:rsidR="00BA0658" w:rsidRPr="00074CAB" w:rsidRDefault="00BA0658" w:rsidP="00074CAB">
      <w:pPr>
        <w:numPr>
          <w:ilvl w:val="0"/>
          <w:numId w:val="1"/>
        </w:numPr>
        <w:spacing w:line="360" w:lineRule="auto"/>
        <w:ind w:left="0" w:firstLine="0"/>
        <w:contextualSpacing/>
        <w:jc w:val="both"/>
        <w:rPr>
          <w:rFonts w:ascii="Palatino Linotype" w:hAnsi="Palatino Linotype" w:cs="Arial"/>
          <w:lang w:val="es-ES" w:eastAsia="es-ES"/>
        </w:rPr>
      </w:pPr>
      <w:r w:rsidRPr="00074CAB">
        <w:rPr>
          <w:rFonts w:ascii="Palatino Linotype" w:eastAsia="Calibri" w:hAnsi="Palatino Linotype" w:cs="Arial"/>
          <w:lang w:val="es-ES" w:eastAsia="es-ES"/>
        </w:rPr>
        <w:t>El día trece (13) de julio de dos mil veintiuno,</w:t>
      </w:r>
      <w:r w:rsidRPr="00074CAB">
        <w:rPr>
          <w:rFonts w:ascii="Palatino Linotype" w:eastAsia="Calibri" w:hAnsi="Palatino Linotype"/>
          <w:lang w:val="es-ES" w:eastAsia="es-ES"/>
        </w:rPr>
        <w:t xml:space="preserve"> </w:t>
      </w:r>
      <w:r w:rsidRPr="00074CAB">
        <w:rPr>
          <w:rFonts w:ascii="Palatino Linotype" w:eastAsia="Calibri" w:hAnsi="Palatino Linotype"/>
          <w:b/>
          <w:lang w:val="es-ES" w:eastAsia="es-ES"/>
        </w:rPr>
        <w:t>EL RECURRENTE</w:t>
      </w:r>
      <w:r w:rsidRPr="00074CAB">
        <w:rPr>
          <w:rFonts w:ascii="Palatino Linotype" w:eastAsiaTheme="minorEastAsia" w:hAnsi="Palatino Linotype"/>
          <w:b/>
          <w:lang w:val="es-ES_tradnl" w:eastAsia="es-ES"/>
        </w:rPr>
        <w:t>,</w:t>
      </w:r>
      <w:r w:rsidRPr="00074CAB">
        <w:rPr>
          <w:rFonts w:ascii="Palatino Linotype" w:eastAsia="Calibri" w:hAnsi="Palatino Linotype" w:cs="Arial"/>
          <w:lang w:val="es-ES" w:eastAsia="es-ES"/>
        </w:rPr>
        <w:t xml:space="preserve"> ante el </w:t>
      </w:r>
      <w:r w:rsidRPr="00074CAB">
        <w:rPr>
          <w:rFonts w:ascii="Palatino Linotype" w:eastAsia="Calibri" w:hAnsi="Palatino Linotype" w:cs="Arial"/>
          <w:b/>
          <w:lang w:val="es-ES" w:eastAsia="es-ES"/>
        </w:rPr>
        <w:t>SUJETO OBLIGADO</w:t>
      </w:r>
      <w:r w:rsidRPr="00074CAB">
        <w:rPr>
          <w:rFonts w:ascii="Palatino Linotype" w:eastAsia="Calibri" w:hAnsi="Palatino Linotype" w:cs="Arial"/>
          <w:lang w:val="es-ES_tradnl" w:eastAsia="es-ES"/>
        </w:rPr>
        <w:t xml:space="preserve"> vía </w:t>
      </w:r>
      <w:r w:rsidRPr="00074CAB">
        <w:rPr>
          <w:rFonts w:ascii="Palatino Linotype" w:eastAsia="Calibri" w:hAnsi="Palatino Linotype" w:cs="Arial"/>
          <w:lang w:val="es-ES" w:eastAsia="es-ES"/>
        </w:rPr>
        <w:t>Sistema de Acceso a la Información Mexiquense (</w:t>
      </w:r>
      <w:r w:rsidRPr="00074CAB">
        <w:rPr>
          <w:rFonts w:ascii="Palatino Linotype" w:eastAsia="Calibri" w:hAnsi="Palatino Linotype" w:cs="Arial"/>
          <w:b/>
          <w:lang w:val="es-ES" w:eastAsia="es-ES"/>
        </w:rPr>
        <w:t>SAIMEX)</w:t>
      </w:r>
      <w:r w:rsidRPr="00074CAB">
        <w:rPr>
          <w:rFonts w:ascii="Palatino Linotype" w:eastAsia="Calibri" w:hAnsi="Palatino Linotype" w:cs="Arial"/>
          <w:lang w:val="es-ES" w:eastAsia="es-ES"/>
        </w:rPr>
        <w:t xml:space="preserve">, presentó una solicitud de información registrada con el número </w:t>
      </w:r>
      <w:r w:rsidRPr="00074CAB">
        <w:rPr>
          <w:rFonts w:ascii="Palatino Linotype" w:hAnsi="Palatino Linotype"/>
          <w:b/>
          <w:bCs/>
        </w:rPr>
        <w:t>00341/ATIZARA/IP/2021</w:t>
      </w:r>
      <w:r w:rsidRPr="00074CAB">
        <w:rPr>
          <w:rFonts w:ascii="Palatino Linotype" w:eastAsiaTheme="minorEastAsia" w:hAnsi="Palatino Linotype"/>
          <w:b/>
          <w:lang w:val="es-ES_tradnl" w:eastAsia="es-ES"/>
        </w:rPr>
        <w:t xml:space="preserve">, </w:t>
      </w:r>
      <w:r w:rsidRPr="00074CAB">
        <w:rPr>
          <w:rFonts w:ascii="Palatino Linotype" w:eastAsia="Calibri" w:hAnsi="Palatino Linotype" w:cs="Arial"/>
          <w:lang w:val="es-ES" w:eastAsia="es-ES"/>
        </w:rPr>
        <w:t>mediante la cual solicitó lo siguiente:</w:t>
      </w:r>
    </w:p>
    <w:p w:rsidR="00BA0658" w:rsidRPr="00074CAB" w:rsidRDefault="00BA0658" w:rsidP="00074CAB">
      <w:pPr>
        <w:spacing w:line="360" w:lineRule="auto"/>
        <w:contextualSpacing/>
        <w:jc w:val="both"/>
        <w:rPr>
          <w:rFonts w:ascii="Palatino Linotype" w:hAnsi="Palatino Linotype" w:cs="Arial"/>
          <w:lang w:val="es-ES" w:eastAsia="es-ES"/>
        </w:rPr>
      </w:pPr>
    </w:p>
    <w:p w:rsidR="00BA0658" w:rsidRPr="00074CAB" w:rsidRDefault="00BA0658" w:rsidP="00074CAB">
      <w:pPr>
        <w:pStyle w:val="Prrafodelista"/>
        <w:spacing w:line="360" w:lineRule="auto"/>
        <w:ind w:left="1069" w:right="567"/>
        <w:jc w:val="both"/>
        <w:rPr>
          <w:rFonts w:ascii="Palatino Linotype" w:hAnsi="Palatino Linotype"/>
          <w:i/>
          <w:color w:val="000000"/>
        </w:rPr>
      </w:pPr>
      <w:r w:rsidRPr="00074CAB">
        <w:rPr>
          <w:rFonts w:ascii="Palatino Linotype" w:hAnsi="Palatino Linotype"/>
          <w:i/>
          <w:color w:val="000000"/>
        </w:rPr>
        <w:t xml:space="preserve"> “ESTUDIO SOBRE LAS INFRACCIONES QUE SE REALIZAN EN EL MUNICIPIO ATIZAPÁN Buen día, estoy solicitando información para realizar estadísticas reales de un proyecto escolar que estoy desarrollando sobre las multas, agradeceré me puedan apoyar con las siguientes preguntas o con la mayoría de ellas por favor. ¡Gracias! 1.- ¿Nombre del titular de seguridad pública? 2.- ¿Nombre del Titular de </w:t>
      </w:r>
      <w:proofErr w:type="spellStart"/>
      <w:r w:rsidRPr="00074CAB">
        <w:rPr>
          <w:rFonts w:ascii="Palatino Linotype" w:hAnsi="Palatino Linotype"/>
          <w:i/>
          <w:color w:val="000000"/>
        </w:rPr>
        <w:t>transito</w:t>
      </w:r>
      <w:proofErr w:type="spellEnd"/>
      <w:r w:rsidRPr="00074CAB">
        <w:rPr>
          <w:rFonts w:ascii="Palatino Linotype" w:hAnsi="Palatino Linotype"/>
          <w:i/>
          <w:color w:val="000000"/>
        </w:rPr>
        <w:t xml:space="preserve"> y/o movilidad? 3.- ¿Número de policías viales? 4.- ¿Número de infracciones anuales? 5.- ¿Número de infracciones por policía vial por día? 6.- ¿Cuáles son las 10 infracciones más frecuentes? 7.- ¿Cuál es el número de patrullas? </w:t>
      </w:r>
      <w:r w:rsidRPr="00074CAB">
        <w:rPr>
          <w:rFonts w:ascii="Palatino Linotype" w:hAnsi="Palatino Linotype"/>
          <w:i/>
          <w:color w:val="000000"/>
        </w:rPr>
        <w:lastRenderedPageBreak/>
        <w:t xml:space="preserve">8.- ¿Cuentan o contaron con un sistema móvil o digital para registro de infracciones? ¿O se hacen a lápiz y papel? 9.- ¿En qué ocasiones retiran documentos al infraccionar? 10.- ¿Cuál es el número telefónico del área de </w:t>
      </w:r>
      <w:proofErr w:type="spellStart"/>
      <w:r w:rsidRPr="00074CAB">
        <w:rPr>
          <w:rFonts w:ascii="Palatino Linotype" w:hAnsi="Palatino Linotype"/>
          <w:i/>
          <w:color w:val="000000"/>
        </w:rPr>
        <w:t>transito</w:t>
      </w:r>
      <w:proofErr w:type="spellEnd"/>
      <w:r w:rsidRPr="00074CAB">
        <w:rPr>
          <w:rFonts w:ascii="Palatino Linotype" w:hAnsi="Palatino Linotype"/>
          <w:i/>
          <w:color w:val="000000"/>
        </w:rPr>
        <w:t xml:space="preserve"> y/o movilidad? Nota: Las preguntas son referentes al periodo actual o más reciente disponible En caso de haberme dirigido al correo equivocado, ¿A qué correo o teléfono podría ponerme en contacto?, le comento que ya he intentado vía telefónica, sin buenos resultados, por ello solicito el camino recomendado por usted. Sin más por el momento quedo pendiente y agradecida por la atención prestada a este correo Hasta luego Atte. Nirvana Serrato” (Sic) </w:t>
      </w:r>
    </w:p>
    <w:p w:rsidR="00BA0658" w:rsidRPr="00074CAB" w:rsidRDefault="00BA0658" w:rsidP="00074CAB">
      <w:pPr>
        <w:pStyle w:val="Prrafodelista"/>
        <w:spacing w:line="360" w:lineRule="auto"/>
        <w:ind w:left="1069" w:right="567"/>
        <w:jc w:val="both"/>
        <w:rPr>
          <w:rFonts w:ascii="Palatino Linotype" w:eastAsia="Calibri" w:hAnsi="Palatino Linotype" w:cs="Arial"/>
          <w:i/>
          <w:lang w:val="es-ES" w:eastAsia="es-ES"/>
        </w:rPr>
      </w:pPr>
    </w:p>
    <w:p w:rsidR="00BA0658" w:rsidRPr="00074CAB" w:rsidRDefault="00BA0658" w:rsidP="00074CAB">
      <w:pPr>
        <w:numPr>
          <w:ilvl w:val="0"/>
          <w:numId w:val="1"/>
        </w:numPr>
        <w:spacing w:line="360" w:lineRule="auto"/>
        <w:ind w:left="0" w:firstLine="0"/>
        <w:contextualSpacing/>
        <w:jc w:val="both"/>
        <w:rPr>
          <w:rFonts w:ascii="Palatino Linotype" w:eastAsia="Calibri" w:hAnsi="Palatino Linotype"/>
          <w:lang w:val="es-ES" w:eastAsia="es-ES"/>
        </w:rPr>
      </w:pPr>
      <w:r w:rsidRPr="00074CAB">
        <w:rPr>
          <w:rFonts w:ascii="Palatino Linotype" w:eastAsia="Calibri" w:hAnsi="Palatino Linotype"/>
          <w:lang w:val="es-ES" w:eastAsia="es-ES"/>
        </w:rPr>
        <w:t>El trece (13) de julio de dos mil veintiuno, se realizó un requerimiento al servidor público habilitado:</w:t>
      </w:r>
    </w:p>
    <w:p w:rsidR="00BA0658" w:rsidRPr="00074CAB" w:rsidRDefault="00BA0658" w:rsidP="00074CAB">
      <w:pPr>
        <w:spacing w:line="360" w:lineRule="auto"/>
        <w:contextualSpacing/>
        <w:jc w:val="both"/>
        <w:rPr>
          <w:rFonts w:ascii="Palatino Linotype" w:eastAsia="Calibri" w:hAnsi="Palatino Linotype"/>
          <w:lang w:val="es-ES" w:eastAsia="es-ES"/>
        </w:rPr>
      </w:pPr>
    </w:p>
    <w:p w:rsidR="00BA0658" w:rsidRPr="00074CAB" w:rsidRDefault="00BA0658" w:rsidP="00074CAB">
      <w:pPr>
        <w:spacing w:line="360" w:lineRule="auto"/>
        <w:contextualSpacing/>
        <w:jc w:val="center"/>
        <w:rPr>
          <w:rFonts w:ascii="Palatino Linotype" w:hAnsi="Palatino Linotype"/>
          <w:noProof/>
          <w:lang w:val="es-ES" w:eastAsia="es-ES"/>
        </w:rPr>
      </w:pPr>
      <w:r w:rsidRPr="00074CAB">
        <w:rPr>
          <w:rFonts w:ascii="Palatino Linotype" w:hAnsi="Palatino Linotype"/>
          <w:noProof/>
          <w:lang w:val="es-ES" w:eastAsia="es-ES"/>
        </w:rPr>
        <w:drawing>
          <wp:inline distT="0" distB="0" distL="0" distR="0" wp14:anchorId="61DCE8F3" wp14:editId="38830001">
            <wp:extent cx="516763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552" t="19461" r="23872" b="65205"/>
                    <a:stretch/>
                  </pic:blipFill>
                  <pic:spPr bwMode="auto">
                    <a:xfrm>
                      <a:off x="0" y="0"/>
                      <a:ext cx="5174812" cy="1125512"/>
                    </a:xfrm>
                    <a:prstGeom prst="rect">
                      <a:avLst/>
                    </a:prstGeom>
                    <a:ln>
                      <a:noFill/>
                    </a:ln>
                    <a:extLst>
                      <a:ext uri="{53640926-AAD7-44D8-BBD7-CCE9431645EC}">
                        <a14:shadowObscured xmlns:a14="http://schemas.microsoft.com/office/drawing/2010/main"/>
                      </a:ext>
                    </a:extLst>
                  </pic:spPr>
                </pic:pic>
              </a:graphicData>
            </a:graphic>
          </wp:inline>
        </w:drawing>
      </w:r>
    </w:p>
    <w:p w:rsidR="00BA0658" w:rsidRPr="00074CAB" w:rsidRDefault="00BA0658" w:rsidP="00074CAB">
      <w:pPr>
        <w:spacing w:line="360" w:lineRule="auto"/>
        <w:contextualSpacing/>
        <w:jc w:val="both"/>
        <w:rPr>
          <w:rFonts w:ascii="Palatino Linotype" w:eastAsia="Calibri" w:hAnsi="Palatino Linotype"/>
          <w:lang w:val="es-ES" w:eastAsia="es-ES"/>
        </w:rPr>
      </w:pPr>
    </w:p>
    <w:p w:rsidR="00BA0658" w:rsidRPr="00074CAB" w:rsidRDefault="00BA0658" w:rsidP="00074CAB">
      <w:pPr>
        <w:numPr>
          <w:ilvl w:val="0"/>
          <w:numId w:val="1"/>
        </w:numPr>
        <w:spacing w:line="360" w:lineRule="auto"/>
        <w:ind w:left="0" w:firstLine="0"/>
        <w:contextualSpacing/>
        <w:jc w:val="both"/>
        <w:rPr>
          <w:rFonts w:ascii="Palatino Linotype" w:eastAsia="Calibri" w:hAnsi="Palatino Linotype"/>
          <w:lang w:val="es-ES" w:eastAsia="es-ES"/>
        </w:rPr>
      </w:pPr>
      <w:r w:rsidRPr="00074CAB">
        <w:rPr>
          <w:rFonts w:ascii="Palatino Linotype" w:eastAsiaTheme="minorEastAsia" w:hAnsi="Palatino Linotype"/>
          <w:lang w:val="es-ES_tradnl" w:eastAsia="es-ES"/>
        </w:rPr>
        <w:t xml:space="preserve">El diez (10) de agosto  de dos mil veintiuno, </w:t>
      </w:r>
      <w:r w:rsidRPr="00074CAB">
        <w:rPr>
          <w:rFonts w:ascii="Palatino Linotype" w:eastAsia="Calibri" w:hAnsi="Palatino Linotype"/>
          <w:lang w:val="es-ES" w:eastAsia="es-ES"/>
        </w:rPr>
        <w:t xml:space="preserve">el </w:t>
      </w:r>
      <w:r w:rsidRPr="00074CAB">
        <w:rPr>
          <w:rFonts w:ascii="Palatino Linotype" w:eastAsia="Calibri" w:hAnsi="Palatino Linotype" w:cs="Arial"/>
          <w:b/>
          <w:lang w:val="es-AR" w:eastAsia="es-ES"/>
        </w:rPr>
        <w:t>SUJETO OBLIGADO</w:t>
      </w:r>
      <w:r w:rsidRPr="00074CAB">
        <w:rPr>
          <w:rFonts w:ascii="Palatino Linotype" w:eastAsia="Calibri" w:hAnsi="Palatino Linotype" w:cs="Arial"/>
          <w:b/>
          <w:i/>
          <w:lang w:val="es-AR" w:eastAsia="es-ES"/>
        </w:rPr>
        <w:t xml:space="preserve"> </w:t>
      </w:r>
      <w:r w:rsidRPr="00074CAB">
        <w:rPr>
          <w:rFonts w:ascii="Palatino Linotype" w:hAnsi="Palatino Linotype" w:cs="Arial"/>
          <w:lang w:val="es-ES" w:eastAsia="es-ES"/>
        </w:rPr>
        <w:t>dio respuestas a la solicitud de información en los siguientes términos:</w:t>
      </w:r>
    </w:p>
    <w:p w:rsidR="00BA0658" w:rsidRPr="00074CAB" w:rsidRDefault="00BA0658" w:rsidP="00074CAB">
      <w:pPr>
        <w:spacing w:line="360" w:lineRule="auto"/>
        <w:ind w:left="720"/>
        <w:contextualSpacing/>
        <w:rPr>
          <w:rFonts w:ascii="Palatino Linotype" w:hAnsi="Palatino Linotype" w:cs="Arial"/>
          <w:lang w:val="es-ES" w:eastAsia="es-ES"/>
        </w:rPr>
      </w:pPr>
    </w:p>
    <w:tbl>
      <w:tblPr>
        <w:tblW w:w="7600" w:type="dxa"/>
        <w:jc w:val="center"/>
        <w:tblCellSpacing w:w="0" w:type="dxa"/>
        <w:tblCellMar>
          <w:left w:w="0" w:type="dxa"/>
          <w:right w:w="0" w:type="dxa"/>
        </w:tblCellMar>
        <w:tblLook w:val="04A0" w:firstRow="1" w:lastRow="0" w:firstColumn="1" w:lastColumn="0" w:noHBand="0" w:noVBand="1"/>
      </w:tblPr>
      <w:tblGrid>
        <w:gridCol w:w="7600"/>
      </w:tblGrid>
      <w:tr w:rsidR="00BA0658" w:rsidRPr="00074CAB" w:rsidTr="00C52596">
        <w:trPr>
          <w:trHeight w:val="300"/>
          <w:tblCellSpacing w:w="0" w:type="dxa"/>
          <w:jc w:val="center"/>
        </w:trPr>
        <w:tc>
          <w:tcPr>
            <w:tcW w:w="0" w:type="auto"/>
            <w:vAlign w:val="center"/>
            <w:hideMark/>
          </w:tcPr>
          <w:p w:rsidR="00BA0658" w:rsidRPr="00074CAB" w:rsidRDefault="00BA0658" w:rsidP="00074CAB">
            <w:pPr>
              <w:spacing w:line="360" w:lineRule="auto"/>
              <w:ind w:right="567"/>
              <w:jc w:val="right"/>
              <w:rPr>
                <w:rFonts w:ascii="Palatino Linotype" w:hAnsi="Palatino Linotype"/>
                <w:i/>
                <w:sz w:val="22"/>
                <w:lang w:val="es-ES"/>
              </w:rPr>
            </w:pPr>
            <w:r w:rsidRPr="00074CAB">
              <w:rPr>
                <w:rFonts w:ascii="Palatino Linotype" w:hAnsi="Palatino Linotype"/>
                <w:i/>
                <w:sz w:val="22"/>
                <w:lang w:val="es-ES"/>
              </w:rPr>
              <w:t>Atizapán de Zaragoza, México a 10 de Agosto de 2021</w:t>
            </w:r>
          </w:p>
        </w:tc>
      </w:tr>
      <w:tr w:rsidR="00BA0658" w:rsidRPr="00074CAB" w:rsidTr="00C52596">
        <w:trPr>
          <w:trHeight w:val="300"/>
          <w:tblCellSpacing w:w="0" w:type="dxa"/>
          <w:jc w:val="center"/>
        </w:trPr>
        <w:tc>
          <w:tcPr>
            <w:tcW w:w="0" w:type="auto"/>
            <w:vAlign w:val="center"/>
            <w:hideMark/>
          </w:tcPr>
          <w:p w:rsidR="00BA0658" w:rsidRPr="00074CAB" w:rsidRDefault="00BA0658" w:rsidP="00CD549E">
            <w:pPr>
              <w:spacing w:line="360" w:lineRule="auto"/>
              <w:ind w:right="567"/>
              <w:jc w:val="right"/>
              <w:rPr>
                <w:rFonts w:ascii="Palatino Linotype" w:hAnsi="Palatino Linotype"/>
                <w:i/>
                <w:sz w:val="22"/>
                <w:lang w:val="es-ES"/>
              </w:rPr>
            </w:pPr>
            <w:r w:rsidRPr="00074CAB">
              <w:rPr>
                <w:rFonts w:ascii="Palatino Linotype" w:hAnsi="Palatino Linotype"/>
                <w:i/>
                <w:sz w:val="22"/>
                <w:lang w:val="es-ES"/>
              </w:rPr>
              <w:t xml:space="preserve">Nombre del solicitante: </w:t>
            </w:r>
            <w:r w:rsidR="00CD549E">
              <w:rPr>
                <w:rFonts w:ascii="Palatino Linotype" w:hAnsi="Palatino Linotype"/>
                <w:i/>
                <w:sz w:val="22"/>
                <w:lang w:val="es-ES"/>
              </w:rPr>
              <w:t>XXXXXXXXXXXXXXXXXXXX</w:t>
            </w:r>
            <w:bookmarkStart w:id="1" w:name="_GoBack"/>
            <w:bookmarkEnd w:id="1"/>
          </w:p>
        </w:tc>
      </w:tr>
      <w:tr w:rsidR="00BA0658" w:rsidRPr="00074CAB" w:rsidTr="00C52596">
        <w:trPr>
          <w:trHeight w:val="300"/>
          <w:tblCellSpacing w:w="0" w:type="dxa"/>
          <w:jc w:val="center"/>
        </w:trPr>
        <w:tc>
          <w:tcPr>
            <w:tcW w:w="0" w:type="auto"/>
            <w:vAlign w:val="center"/>
            <w:hideMark/>
          </w:tcPr>
          <w:p w:rsidR="00BA0658" w:rsidRPr="00074CAB" w:rsidRDefault="00BA0658" w:rsidP="00074CAB">
            <w:pPr>
              <w:spacing w:line="360" w:lineRule="auto"/>
              <w:ind w:right="567"/>
              <w:jc w:val="right"/>
              <w:rPr>
                <w:rFonts w:ascii="Palatino Linotype" w:hAnsi="Palatino Linotype"/>
                <w:i/>
                <w:sz w:val="22"/>
                <w:lang w:val="es-ES"/>
              </w:rPr>
            </w:pPr>
            <w:r w:rsidRPr="00074CAB">
              <w:rPr>
                <w:rFonts w:ascii="Palatino Linotype" w:hAnsi="Palatino Linotype"/>
                <w:i/>
                <w:sz w:val="22"/>
                <w:lang w:val="es-ES"/>
              </w:rPr>
              <w:t>Folio de la solicitud: 00341/ATIZARA/IP/2021</w:t>
            </w:r>
          </w:p>
        </w:tc>
      </w:tr>
      <w:tr w:rsidR="00BA0658" w:rsidRPr="00074CAB" w:rsidTr="00C52596">
        <w:trPr>
          <w:trHeight w:val="451"/>
          <w:tblCellSpacing w:w="0" w:type="dxa"/>
          <w:jc w:val="center"/>
        </w:trPr>
        <w:tc>
          <w:tcPr>
            <w:tcW w:w="0" w:type="auto"/>
            <w:vAlign w:val="center"/>
            <w:hideMark/>
          </w:tcPr>
          <w:p w:rsidR="00BA0658" w:rsidRPr="00074CAB" w:rsidRDefault="00BA0658" w:rsidP="00074CAB">
            <w:pPr>
              <w:spacing w:line="360" w:lineRule="auto"/>
              <w:ind w:right="567"/>
              <w:jc w:val="both"/>
              <w:rPr>
                <w:rFonts w:ascii="Palatino Linotype" w:hAnsi="Palatino Linotype"/>
                <w:i/>
                <w:sz w:val="22"/>
                <w:lang w:val="es-ES"/>
              </w:rPr>
            </w:pPr>
          </w:p>
        </w:tc>
      </w:tr>
      <w:tr w:rsidR="00BA0658" w:rsidRPr="00074CAB" w:rsidTr="00C52596">
        <w:trPr>
          <w:trHeight w:val="150"/>
          <w:tblCellSpacing w:w="0" w:type="dxa"/>
          <w:jc w:val="center"/>
        </w:trPr>
        <w:tc>
          <w:tcPr>
            <w:tcW w:w="0" w:type="auto"/>
            <w:vAlign w:val="center"/>
            <w:hideMark/>
          </w:tcPr>
          <w:p w:rsidR="00BA0658" w:rsidRPr="00074CAB" w:rsidRDefault="00BA0658" w:rsidP="00074CAB">
            <w:pPr>
              <w:spacing w:line="360" w:lineRule="auto"/>
              <w:ind w:right="567"/>
              <w:jc w:val="both"/>
              <w:rPr>
                <w:rFonts w:ascii="Palatino Linotype" w:hAnsi="Palatino Linotype"/>
                <w:i/>
                <w:sz w:val="22"/>
                <w:lang w:val="es-ES"/>
              </w:rPr>
            </w:pPr>
            <w:r w:rsidRPr="00074CAB">
              <w:rPr>
                <w:rFonts w:ascii="Palatino Linotype" w:hAnsi="Palatino Linotype"/>
                <w:i/>
                <w:sz w:val="22"/>
                <w:lang w:val="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A0658" w:rsidRPr="00074CAB" w:rsidTr="00C52596">
        <w:trPr>
          <w:trHeight w:val="376"/>
          <w:tblCellSpacing w:w="0" w:type="dxa"/>
          <w:jc w:val="center"/>
        </w:trPr>
        <w:tc>
          <w:tcPr>
            <w:tcW w:w="0" w:type="auto"/>
            <w:vAlign w:val="center"/>
            <w:hideMark/>
          </w:tcPr>
          <w:p w:rsidR="00BA0658" w:rsidRPr="00074CAB" w:rsidRDefault="00BA0658" w:rsidP="00074CAB">
            <w:pPr>
              <w:spacing w:line="360" w:lineRule="auto"/>
              <w:ind w:right="567"/>
              <w:jc w:val="both"/>
              <w:rPr>
                <w:rFonts w:ascii="Palatino Linotype" w:hAnsi="Palatino Linotype"/>
                <w:i/>
                <w:sz w:val="22"/>
                <w:lang w:val="es-ES"/>
              </w:rPr>
            </w:pPr>
          </w:p>
        </w:tc>
      </w:tr>
      <w:tr w:rsidR="00BA0658" w:rsidRPr="00074CAB" w:rsidTr="00C52596">
        <w:trPr>
          <w:trHeight w:val="150"/>
          <w:tblCellSpacing w:w="0" w:type="dxa"/>
          <w:jc w:val="center"/>
        </w:trPr>
        <w:tc>
          <w:tcPr>
            <w:tcW w:w="0" w:type="auto"/>
            <w:vAlign w:val="center"/>
            <w:hideMark/>
          </w:tcPr>
          <w:p w:rsidR="00BA0658" w:rsidRPr="00074CAB" w:rsidRDefault="00BA0658" w:rsidP="00074CAB">
            <w:pPr>
              <w:spacing w:line="360" w:lineRule="auto"/>
              <w:ind w:right="567"/>
              <w:jc w:val="both"/>
              <w:rPr>
                <w:rFonts w:ascii="Palatino Linotype" w:hAnsi="Palatino Linotype"/>
                <w:i/>
                <w:sz w:val="22"/>
                <w:lang w:val="es-ES"/>
              </w:rPr>
            </w:pPr>
            <w:r w:rsidRPr="00074CAB">
              <w:rPr>
                <w:rFonts w:ascii="Palatino Linotype" w:hAnsi="Palatino Linotype"/>
                <w:i/>
                <w:sz w:val="22"/>
                <w:lang w:val="es-ES"/>
              </w:rPr>
              <w:t>Se anexa oficio de respuesta.</w:t>
            </w:r>
          </w:p>
        </w:tc>
      </w:tr>
      <w:tr w:rsidR="00BA0658" w:rsidRPr="00074CAB" w:rsidTr="00C52596">
        <w:trPr>
          <w:trHeight w:val="376"/>
          <w:tblCellSpacing w:w="0" w:type="dxa"/>
          <w:jc w:val="center"/>
        </w:trPr>
        <w:tc>
          <w:tcPr>
            <w:tcW w:w="0" w:type="auto"/>
            <w:vAlign w:val="center"/>
            <w:hideMark/>
          </w:tcPr>
          <w:p w:rsidR="00BA0658" w:rsidRPr="00074CAB" w:rsidRDefault="00BA0658" w:rsidP="00074CAB">
            <w:pPr>
              <w:spacing w:line="360" w:lineRule="auto"/>
              <w:ind w:right="567"/>
              <w:jc w:val="both"/>
              <w:rPr>
                <w:rFonts w:ascii="Palatino Linotype" w:hAnsi="Palatino Linotype"/>
                <w:i/>
                <w:sz w:val="22"/>
                <w:lang w:val="es-ES"/>
              </w:rPr>
            </w:pPr>
          </w:p>
        </w:tc>
      </w:tr>
      <w:tr w:rsidR="00BA0658" w:rsidRPr="00074CAB" w:rsidTr="00C52596">
        <w:trPr>
          <w:trHeight w:val="150"/>
          <w:tblCellSpacing w:w="0" w:type="dxa"/>
          <w:jc w:val="center"/>
        </w:trPr>
        <w:tc>
          <w:tcPr>
            <w:tcW w:w="0" w:type="auto"/>
            <w:vAlign w:val="center"/>
            <w:hideMark/>
          </w:tcPr>
          <w:p w:rsidR="00BA0658" w:rsidRPr="00074CAB" w:rsidRDefault="00BA0658" w:rsidP="00074CAB">
            <w:pPr>
              <w:spacing w:line="360" w:lineRule="auto"/>
              <w:ind w:right="567"/>
              <w:jc w:val="both"/>
              <w:rPr>
                <w:rFonts w:ascii="Palatino Linotype" w:hAnsi="Palatino Linotype"/>
                <w:i/>
                <w:sz w:val="22"/>
                <w:lang w:val="es-ES"/>
              </w:rPr>
            </w:pPr>
          </w:p>
        </w:tc>
      </w:tr>
      <w:tr w:rsidR="00BA0658" w:rsidRPr="00074CAB" w:rsidTr="00C52596">
        <w:trPr>
          <w:trHeight w:val="150"/>
          <w:tblCellSpacing w:w="0" w:type="dxa"/>
          <w:jc w:val="center"/>
        </w:trPr>
        <w:tc>
          <w:tcPr>
            <w:tcW w:w="0" w:type="auto"/>
            <w:vAlign w:val="center"/>
            <w:hideMark/>
          </w:tcPr>
          <w:p w:rsidR="00BA0658" w:rsidRPr="00074CAB" w:rsidRDefault="00BA0658" w:rsidP="00074CAB">
            <w:pPr>
              <w:spacing w:line="360" w:lineRule="auto"/>
              <w:ind w:right="567"/>
              <w:jc w:val="both"/>
              <w:rPr>
                <w:rFonts w:ascii="Palatino Linotype" w:hAnsi="Palatino Linotype"/>
                <w:i/>
                <w:sz w:val="22"/>
                <w:lang w:val="es-ES"/>
              </w:rPr>
            </w:pPr>
          </w:p>
        </w:tc>
      </w:tr>
      <w:tr w:rsidR="00BA0658" w:rsidRPr="00074CAB" w:rsidTr="00C52596">
        <w:trPr>
          <w:trHeight w:val="150"/>
          <w:tblCellSpacing w:w="0" w:type="dxa"/>
          <w:jc w:val="center"/>
        </w:trPr>
        <w:tc>
          <w:tcPr>
            <w:tcW w:w="0" w:type="auto"/>
            <w:vAlign w:val="center"/>
            <w:hideMark/>
          </w:tcPr>
          <w:p w:rsidR="00BA0658" w:rsidRPr="00074CAB" w:rsidRDefault="00BA0658" w:rsidP="00074CAB">
            <w:pPr>
              <w:spacing w:line="360" w:lineRule="auto"/>
              <w:ind w:right="567"/>
              <w:jc w:val="both"/>
              <w:rPr>
                <w:rFonts w:ascii="Palatino Linotype" w:hAnsi="Palatino Linotype"/>
                <w:i/>
                <w:sz w:val="22"/>
                <w:lang w:val="es-ES"/>
              </w:rPr>
            </w:pPr>
            <w:r w:rsidRPr="00074CAB">
              <w:rPr>
                <w:rFonts w:ascii="Palatino Linotype" w:hAnsi="Palatino Linotype"/>
                <w:i/>
                <w:sz w:val="22"/>
                <w:lang w:val="es-ES"/>
              </w:rPr>
              <w:t>ATENTAMENTE</w:t>
            </w:r>
          </w:p>
        </w:tc>
      </w:tr>
      <w:tr w:rsidR="00BA0658" w:rsidRPr="00074CAB" w:rsidTr="00C52596">
        <w:trPr>
          <w:trHeight w:val="225"/>
          <w:tblCellSpacing w:w="0" w:type="dxa"/>
          <w:jc w:val="center"/>
        </w:trPr>
        <w:tc>
          <w:tcPr>
            <w:tcW w:w="0" w:type="auto"/>
            <w:vAlign w:val="center"/>
            <w:hideMark/>
          </w:tcPr>
          <w:p w:rsidR="00BA0658" w:rsidRPr="00074CAB" w:rsidRDefault="00BA0658" w:rsidP="00074CAB">
            <w:pPr>
              <w:spacing w:line="360" w:lineRule="auto"/>
              <w:ind w:right="567"/>
              <w:jc w:val="both"/>
              <w:rPr>
                <w:rFonts w:ascii="Palatino Linotype" w:hAnsi="Palatino Linotype"/>
                <w:i/>
                <w:sz w:val="22"/>
                <w:lang w:val="es-ES"/>
              </w:rPr>
            </w:pPr>
          </w:p>
        </w:tc>
      </w:tr>
      <w:tr w:rsidR="00BA0658" w:rsidRPr="00074CAB" w:rsidTr="00C52596">
        <w:trPr>
          <w:trHeight w:val="150"/>
          <w:tblCellSpacing w:w="0" w:type="dxa"/>
          <w:jc w:val="center"/>
        </w:trPr>
        <w:tc>
          <w:tcPr>
            <w:tcW w:w="0" w:type="auto"/>
            <w:vAlign w:val="center"/>
            <w:hideMark/>
          </w:tcPr>
          <w:p w:rsidR="00BA0658" w:rsidRPr="00074CAB" w:rsidRDefault="00BA0658" w:rsidP="00074CAB">
            <w:pPr>
              <w:spacing w:line="360" w:lineRule="auto"/>
              <w:ind w:right="567"/>
              <w:jc w:val="both"/>
              <w:rPr>
                <w:rFonts w:ascii="Palatino Linotype" w:hAnsi="Palatino Linotype"/>
                <w:i/>
                <w:sz w:val="22"/>
                <w:lang w:val="es-ES"/>
              </w:rPr>
            </w:pPr>
            <w:r w:rsidRPr="00074CAB">
              <w:rPr>
                <w:rFonts w:ascii="Palatino Linotype" w:hAnsi="Palatino Linotype"/>
                <w:i/>
                <w:sz w:val="22"/>
                <w:lang w:val="es-ES"/>
              </w:rPr>
              <w:t>MTRO. JORGE CAJIGA CALDERON</w:t>
            </w:r>
          </w:p>
        </w:tc>
      </w:tr>
    </w:tbl>
    <w:p w:rsidR="00BA0658" w:rsidRPr="00074CAB" w:rsidRDefault="00BA0658" w:rsidP="00074CAB">
      <w:pPr>
        <w:spacing w:line="360" w:lineRule="auto"/>
        <w:ind w:right="567"/>
        <w:jc w:val="both"/>
        <w:rPr>
          <w:rFonts w:ascii="Palatino Linotype" w:hAnsi="Palatino Linotype"/>
        </w:rPr>
      </w:pPr>
    </w:p>
    <w:p w:rsidR="00BA0658" w:rsidRPr="00074CAB" w:rsidRDefault="00BA0658" w:rsidP="00074CAB">
      <w:pPr>
        <w:spacing w:line="360" w:lineRule="auto"/>
        <w:ind w:right="567"/>
        <w:jc w:val="both"/>
        <w:rPr>
          <w:rFonts w:ascii="Palatino Linotype" w:hAnsi="Palatino Linotype"/>
        </w:rPr>
      </w:pPr>
      <w:r w:rsidRPr="00074CAB">
        <w:rPr>
          <w:rFonts w:ascii="Palatino Linotype" w:hAnsi="Palatino Linotype"/>
        </w:rPr>
        <w:t>A la respuesta se adjuntó</w:t>
      </w:r>
      <w:r w:rsidR="00C52596" w:rsidRPr="00074CAB">
        <w:rPr>
          <w:rFonts w:ascii="Palatino Linotype" w:hAnsi="Palatino Linotype"/>
        </w:rPr>
        <w:t xml:space="preserve"> el documento </w:t>
      </w:r>
      <w:hyperlink r:id="rId8" w:tgtFrame="_blank" w:history="1">
        <w:r w:rsidR="00C52596" w:rsidRPr="00074CAB">
          <w:rPr>
            <w:rStyle w:val="Hipervnculo"/>
            <w:rFonts w:ascii="Palatino Linotype" w:hAnsi="Palatino Linotype"/>
            <w:b/>
            <w:bCs/>
            <w:color w:val="auto"/>
          </w:rPr>
          <w:t>341.pdf</w:t>
        </w:r>
      </w:hyperlink>
      <w:r w:rsidR="00C52596" w:rsidRPr="00074CAB">
        <w:rPr>
          <w:rFonts w:ascii="Palatino Linotype" w:hAnsi="Palatino Linotype"/>
        </w:rPr>
        <w:t>: oficio DSPYTM/EJ/2802/2021, del nueve de agosto de dos mil veintiuno, suscrito por el Comisario de Seguridad Pública y Tránsito Municipal</w:t>
      </w:r>
      <w:r w:rsidR="00DB717D" w:rsidRPr="00074CAB">
        <w:rPr>
          <w:rFonts w:ascii="Palatino Linotype" w:hAnsi="Palatino Linotype"/>
        </w:rPr>
        <w:t xml:space="preserve">, en el cual, como punto medular señaló que respecto de los numerales 1 y 2 de la solicitud de información, pueden ser consultados en la liga electrónica </w:t>
      </w:r>
      <w:hyperlink r:id="rId9" w:history="1">
        <w:r w:rsidR="00DB717D" w:rsidRPr="00074CAB">
          <w:rPr>
            <w:rStyle w:val="Hipervnculo"/>
            <w:rFonts w:ascii="Palatino Linotype" w:hAnsi="Palatino Linotype"/>
          </w:rPr>
          <w:t>https://transparenciaatiz.com.mx/Dirección-de-Desarrollo-Personal/SUB.%20REC.%20HUM./2021/ART%2092%20FRACC%20XXI%20ORGANIGRAMA/ORG.pdf</w:t>
        </w:r>
      </w:hyperlink>
      <w:r w:rsidR="00DB717D" w:rsidRPr="00074CAB">
        <w:rPr>
          <w:rFonts w:ascii="Palatino Linotype" w:hAnsi="Palatino Linotype"/>
        </w:rPr>
        <w:t xml:space="preserve"> ; respecto a los numerales 3, 4, 5, 6, 7, 8 y 9, la información puede ser consultada en el Plan de Desarrollo Municipal de Atizapán de Zaragoza 2019-2021 en la siguiente liga (números de página 421-426) </w:t>
      </w:r>
      <w:hyperlink r:id="rId10" w:history="1">
        <w:r w:rsidR="00DB717D" w:rsidRPr="00074CAB">
          <w:rPr>
            <w:rStyle w:val="Hipervnculo"/>
            <w:rFonts w:ascii="Palatino Linotype" w:hAnsi="Palatino Linotype"/>
          </w:rPr>
          <w:t>https://atizapan.gob.mx/Direccion-de-Bienestar/Ejercicio%202020/PLAN/Plan-de-Desarrollo-Municipal-de-Atizapan-de-Zaragoza-2019-2021.pdf</w:t>
        </w:r>
      </w:hyperlink>
      <w:r w:rsidR="00DB717D" w:rsidRPr="00074CAB">
        <w:rPr>
          <w:rFonts w:ascii="Palatino Linotype" w:hAnsi="Palatino Linotype"/>
        </w:rPr>
        <w:t xml:space="preserve"> .</w:t>
      </w:r>
    </w:p>
    <w:p w:rsidR="00DB717D" w:rsidRPr="00074CAB" w:rsidRDefault="00DB717D" w:rsidP="00074CAB">
      <w:pPr>
        <w:spacing w:line="360" w:lineRule="auto"/>
        <w:ind w:right="567"/>
        <w:jc w:val="both"/>
        <w:rPr>
          <w:rFonts w:ascii="Palatino Linotype" w:hAnsi="Palatino Linotype"/>
        </w:rPr>
      </w:pPr>
    </w:p>
    <w:p w:rsidR="00BA0658" w:rsidRPr="00074CAB" w:rsidRDefault="00BA0658" w:rsidP="00074CAB">
      <w:pPr>
        <w:spacing w:line="360" w:lineRule="auto"/>
        <w:ind w:right="567"/>
        <w:jc w:val="both"/>
        <w:rPr>
          <w:rFonts w:ascii="Palatino Linotype" w:hAnsi="Palatino Linotype"/>
        </w:rPr>
      </w:pPr>
    </w:p>
    <w:p w:rsidR="00BA0658" w:rsidRPr="00074CAB" w:rsidRDefault="00BA0658" w:rsidP="00074CA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74CAB">
        <w:rPr>
          <w:rFonts w:ascii="Palatino Linotype" w:eastAsia="Calibri" w:hAnsi="Palatino Linotype" w:cs="Arial"/>
          <w:lang w:val="es-AR" w:eastAsia="es-ES"/>
        </w:rPr>
        <w:lastRenderedPageBreak/>
        <w:t xml:space="preserve">El </w:t>
      </w:r>
      <w:r w:rsidR="00EA3DB8" w:rsidRPr="00074CAB">
        <w:rPr>
          <w:rFonts w:ascii="Palatino Linotype" w:eastAsia="Calibri" w:hAnsi="Palatino Linotype" w:cs="Arial"/>
          <w:lang w:val="es-AR" w:eastAsia="es-ES"/>
        </w:rPr>
        <w:t>dieciséis (16) de agosto</w:t>
      </w:r>
      <w:r w:rsidRPr="00074CAB">
        <w:rPr>
          <w:rFonts w:ascii="Palatino Linotype" w:eastAsia="Calibri" w:hAnsi="Palatino Linotype" w:cs="Arial"/>
          <w:lang w:val="es-AR" w:eastAsia="es-ES"/>
        </w:rPr>
        <w:t xml:space="preserve">  de dos mil veintiuno</w:t>
      </w:r>
      <w:r w:rsidRPr="00074CAB">
        <w:rPr>
          <w:rFonts w:ascii="Palatino Linotype" w:hAnsi="Palatino Linotype" w:cs="Arial"/>
          <w:lang w:val="es-ES" w:eastAsia="es-ES"/>
        </w:rPr>
        <w:t xml:space="preserve">, </w:t>
      </w:r>
      <w:r w:rsidRPr="00074CAB">
        <w:rPr>
          <w:rFonts w:ascii="Palatino Linotype" w:eastAsiaTheme="minorEastAsia" w:hAnsi="Palatino Linotype"/>
          <w:b/>
          <w:lang w:val="es-ES_tradnl" w:eastAsia="es-ES"/>
        </w:rPr>
        <w:t>EL RECURRENTE</w:t>
      </w:r>
      <w:r w:rsidRPr="00074CAB">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BA0658" w:rsidRPr="00074CAB" w:rsidRDefault="00BA0658" w:rsidP="00074CAB">
      <w:pPr>
        <w:spacing w:line="360" w:lineRule="auto"/>
        <w:ind w:left="567" w:right="567"/>
        <w:contextualSpacing/>
        <w:rPr>
          <w:rFonts w:ascii="Palatino Linotype" w:eastAsiaTheme="minorEastAsia" w:hAnsi="Palatino Linotype" w:cs="Arial"/>
          <w:i/>
          <w:lang w:val="es-ES_tradnl" w:eastAsia="es-ES"/>
        </w:rPr>
      </w:pPr>
    </w:p>
    <w:p w:rsidR="00BA0658" w:rsidRPr="00074CAB" w:rsidRDefault="00BA0658" w:rsidP="00074CAB">
      <w:pPr>
        <w:spacing w:line="360" w:lineRule="auto"/>
        <w:ind w:left="567" w:right="567"/>
        <w:contextualSpacing/>
        <w:jc w:val="both"/>
        <w:rPr>
          <w:rFonts w:ascii="Palatino Linotype" w:eastAsia="Calibri" w:hAnsi="Palatino Linotype" w:cs="Arial"/>
          <w:i/>
          <w:lang w:val="es-ES" w:eastAsia="es-ES"/>
        </w:rPr>
      </w:pPr>
      <w:r w:rsidRPr="00074CAB">
        <w:rPr>
          <w:rFonts w:ascii="Palatino Linotype" w:eastAsiaTheme="minorEastAsia" w:hAnsi="Palatino Linotype"/>
          <w:b/>
          <w:lang w:val="es-ES_tradnl" w:eastAsia="es-ES"/>
        </w:rPr>
        <w:t>Acto impugnado</w:t>
      </w:r>
      <w:r w:rsidRPr="00074CAB">
        <w:rPr>
          <w:rFonts w:ascii="Palatino Linotype" w:eastAsiaTheme="minorEastAsia" w:hAnsi="Palatino Linotype"/>
          <w:b/>
          <w:i/>
          <w:lang w:val="es-ES_tradnl" w:eastAsia="es-ES"/>
        </w:rPr>
        <w:t>:</w:t>
      </w:r>
      <w:r w:rsidRPr="00074CAB">
        <w:rPr>
          <w:rFonts w:ascii="Palatino Linotype" w:hAnsi="Palatino Linotype"/>
          <w:i/>
          <w:color w:val="000000"/>
        </w:rPr>
        <w:t xml:space="preserve"> “</w:t>
      </w:r>
      <w:r w:rsidR="00EA3DB8" w:rsidRPr="00074CAB">
        <w:rPr>
          <w:rFonts w:ascii="Palatino Linotype" w:hAnsi="Palatino Linotype"/>
          <w:i/>
          <w:color w:val="000000"/>
        </w:rPr>
        <w:t>Buenas tardes, debido a que no fueron rectificados los links antes de ser enviados como "respuesta" he de informar que el primer Link NO FUNCIONA Agradeceré se pueda dar respuesta a las preguntas siguientes: 1.- ¿Nombre del titular de seguridad pública? 2.- ¿Nombre del Titular de tránsito y/o movilidad? 5.- ¿Número de infracciones por policía vial por día? 8.- ¿Cuentan o contaron con un sistema móvil o digital para registro de infracciones? ¿O se hacen a lápiz y papel? 9.- ¿En qué ocasiones retiran documentos al infraccionar?</w:t>
      </w:r>
      <w:r w:rsidRPr="00074CAB">
        <w:rPr>
          <w:rFonts w:ascii="Palatino Linotype" w:hAnsi="Palatino Linotype"/>
          <w:i/>
          <w:color w:val="000000"/>
        </w:rPr>
        <w:t xml:space="preserve">” (Sic); </w:t>
      </w:r>
      <w:r w:rsidRPr="00074CAB">
        <w:rPr>
          <w:rFonts w:ascii="Palatino Linotype" w:eastAsia="Calibri" w:hAnsi="Palatino Linotype" w:cs="Arial"/>
          <w:i/>
          <w:lang w:val="es-ES" w:eastAsia="es-ES"/>
        </w:rPr>
        <w:t>Y</w:t>
      </w:r>
    </w:p>
    <w:p w:rsidR="00BA0658" w:rsidRPr="00074CAB" w:rsidRDefault="00BA0658" w:rsidP="00074CAB">
      <w:pPr>
        <w:spacing w:line="360" w:lineRule="auto"/>
        <w:ind w:left="567" w:right="567"/>
        <w:contextualSpacing/>
        <w:jc w:val="both"/>
        <w:rPr>
          <w:rFonts w:ascii="Palatino Linotype" w:eastAsia="Calibri" w:hAnsi="Palatino Linotype" w:cs="Arial"/>
          <w:lang w:val="es-ES" w:eastAsia="es-ES"/>
        </w:rPr>
      </w:pPr>
    </w:p>
    <w:p w:rsidR="00BA0658" w:rsidRPr="00074CAB" w:rsidRDefault="00BA0658" w:rsidP="00074CAB">
      <w:pPr>
        <w:spacing w:line="360" w:lineRule="auto"/>
        <w:ind w:left="567" w:right="567"/>
        <w:contextualSpacing/>
        <w:jc w:val="both"/>
        <w:rPr>
          <w:rFonts w:ascii="Palatino Linotype" w:hAnsi="Palatino Linotype"/>
          <w:i/>
          <w:color w:val="000000"/>
        </w:rPr>
      </w:pPr>
      <w:r w:rsidRPr="00074CAB">
        <w:rPr>
          <w:rFonts w:ascii="Palatino Linotype" w:eastAsiaTheme="minorEastAsia" w:hAnsi="Palatino Linotype"/>
          <w:b/>
          <w:lang w:val="es-ES_tradnl" w:eastAsia="es-ES"/>
        </w:rPr>
        <w:t>Razones o Motivos de inconformidad:</w:t>
      </w:r>
      <w:r w:rsidRPr="00074CAB">
        <w:rPr>
          <w:rFonts w:ascii="Palatino Linotype" w:eastAsiaTheme="majorEastAsia" w:hAnsi="Palatino Linotype" w:cstheme="majorBidi"/>
          <w:b/>
          <w:color w:val="2E74B5" w:themeColor="accent1" w:themeShade="BF"/>
          <w:sz w:val="26"/>
          <w:szCs w:val="26"/>
          <w:lang w:val="es-ES" w:eastAsia="es-ES"/>
        </w:rPr>
        <w:t xml:space="preserve"> </w:t>
      </w:r>
      <w:r w:rsidRPr="00074CAB">
        <w:rPr>
          <w:rFonts w:ascii="Palatino Linotype" w:eastAsiaTheme="majorEastAsia" w:hAnsi="Palatino Linotype" w:cstheme="majorBidi"/>
          <w:i/>
          <w:lang w:val="es-ES" w:eastAsia="es-ES"/>
        </w:rPr>
        <w:t>“</w:t>
      </w:r>
      <w:r w:rsidR="00EA3DB8" w:rsidRPr="00074CAB">
        <w:rPr>
          <w:rFonts w:ascii="Palatino Linotype" w:hAnsi="Palatino Linotype"/>
          <w:i/>
          <w:color w:val="000000"/>
        </w:rPr>
        <w:t xml:space="preserve">La respuesta fueron dos Links. Link 1 para la respuesta 1 y 2 no lleva a ningún lado: http://www.transparenciaatiz.com.mx/Direccion-de-Administracion-y-Desarrollo-Personal/SUB.%20REC.%20HUM./2021/ART%2092%20FRACC%20XXI%20ORGANIGRAMA/ORG.pdf Link 2 para todas las preguntas de la 3 a la </w:t>
      </w:r>
      <w:proofErr w:type="gramStart"/>
      <w:r w:rsidR="00EA3DB8" w:rsidRPr="00074CAB">
        <w:rPr>
          <w:rFonts w:ascii="Palatino Linotype" w:hAnsi="Palatino Linotype"/>
          <w:i/>
          <w:color w:val="000000"/>
        </w:rPr>
        <w:t>9 :</w:t>
      </w:r>
      <w:proofErr w:type="gramEnd"/>
      <w:r w:rsidR="00EA3DB8" w:rsidRPr="00074CAB">
        <w:rPr>
          <w:rFonts w:ascii="Palatino Linotype" w:hAnsi="Palatino Linotype"/>
          <w:i/>
          <w:color w:val="000000"/>
        </w:rPr>
        <w:t xml:space="preserve"> Las respuestas son del año 2018, mi duda es ¿Es ese el periodo más reciente disponible? Además he de mencionar que NO MENCIONA LAS RESPUESTAS a los puntos 5, 8, y 9, por eso las solicito nuevamente</w:t>
      </w:r>
      <w:r w:rsidRPr="00074CAB">
        <w:rPr>
          <w:rFonts w:ascii="Palatino Linotype" w:hAnsi="Palatino Linotype"/>
          <w:i/>
          <w:color w:val="000000"/>
        </w:rPr>
        <w:t>” (Sic).</w:t>
      </w:r>
    </w:p>
    <w:bookmarkEnd w:id="2"/>
    <w:bookmarkEnd w:id="3"/>
    <w:bookmarkEnd w:id="4"/>
    <w:p w:rsidR="00BA0658" w:rsidRPr="00074CAB" w:rsidRDefault="00BA0658" w:rsidP="00074CAB">
      <w:pPr>
        <w:spacing w:line="360" w:lineRule="auto"/>
        <w:jc w:val="both"/>
        <w:rPr>
          <w:rFonts w:ascii="Palatino Linotype" w:eastAsia="Calibri" w:hAnsi="Palatino Linotype" w:cs="Arial"/>
          <w:lang w:val="es-AR" w:eastAsia="es-ES"/>
        </w:rPr>
      </w:pPr>
    </w:p>
    <w:p w:rsidR="00BA0658" w:rsidRPr="00074CAB" w:rsidRDefault="00BA0658" w:rsidP="00074CAB">
      <w:pPr>
        <w:numPr>
          <w:ilvl w:val="0"/>
          <w:numId w:val="1"/>
        </w:numPr>
        <w:spacing w:line="360" w:lineRule="auto"/>
        <w:ind w:left="0" w:firstLine="0"/>
        <w:contextualSpacing/>
        <w:jc w:val="both"/>
        <w:rPr>
          <w:rFonts w:ascii="Palatino Linotype" w:eastAsia="Calibri" w:hAnsi="Palatino Linotype" w:cs="Arial"/>
          <w:lang w:val="es-AR" w:eastAsia="es-ES"/>
        </w:rPr>
      </w:pPr>
      <w:r w:rsidRPr="00074CAB">
        <w:rPr>
          <w:rFonts w:ascii="Palatino Linotype" w:hAnsi="Palatino Linotype" w:cs="Arial"/>
          <w:lang w:val="es-ES" w:eastAsia="es-ES"/>
        </w:rPr>
        <w:t xml:space="preserve">Se registró el recurso de revisión bajo el número de expediente </w:t>
      </w:r>
      <w:r w:rsidRPr="00074CAB">
        <w:rPr>
          <w:rFonts w:ascii="Palatino Linotype" w:eastAsiaTheme="minorEastAsia" w:hAnsi="Palatino Linotype" w:cs="Arial"/>
          <w:bCs/>
          <w:lang w:val="es-ES_tradnl" w:eastAsia="es-ES"/>
        </w:rPr>
        <w:t xml:space="preserve">al rubro indicado, asimismo con fundamento en lo dispuesto por el </w:t>
      </w:r>
      <w:r w:rsidRPr="00074CAB">
        <w:rPr>
          <w:rFonts w:ascii="Palatino Linotype" w:eastAsia="Calibri" w:hAnsi="Palatino Linotype" w:cs="Arial"/>
          <w:lang w:val="es-ES" w:eastAsia="es-ES"/>
        </w:rPr>
        <w:t xml:space="preserve">artículo 185 fracción I de la </w:t>
      </w:r>
      <w:r w:rsidRPr="00074CAB">
        <w:rPr>
          <w:rFonts w:ascii="Palatino Linotype" w:eastAsia="Calibri" w:hAnsi="Palatino Linotype" w:cs="Arial"/>
          <w:b/>
          <w:lang w:val="es-ES" w:eastAsia="es-ES"/>
        </w:rPr>
        <w:t xml:space="preserve">Ley de Transparencia y Acceso a la Información Pública del Estado de México y </w:t>
      </w:r>
      <w:r w:rsidRPr="00074CAB">
        <w:rPr>
          <w:rFonts w:ascii="Palatino Linotype" w:eastAsia="Calibri" w:hAnsi="Palatino Linotype" w:cs="Arial"/>
          <w:b/>
          <w:lang w:val="es-ES" w:eastAsia="es-ES"/>
        </w:rPr>
        <w:lastRenderedPageBreak/>
        <w:t xml:space="preserve">Municipios </w:t>
      </w:r>
      <w:r w:rsidR="00EA3DB8" w:rsidRPr="00074CAB">
        <w:rPr>
          <w:rFonts w:ascii="Palatino Linotype" w:hAnsi="Palatino Linotype" w:cs="Arial"/>
          <w:lang w:val="es-ES" w:eastAsia="es-ES"/>
        </w:rPr>
        <w:t>se turnó a la entonces</w:t>
      </w:r>
      <w:r w:rsidRPr="00074CAB">
        <w:rPr>
          <w:rFonts w:ascii="Palatino Linotype" w:hAnsi="Palatino Linotype" w:cs="Arial"/>
          <w:lang w:val="es-ES" w:eastAsia="es-ES"/>
        </w:rPr>
        <w:t xml:space="preserve"> </w:t>
      </w:r>
      <w:r w:rsidR="00EA3DB8" w:rsidRPr="00074CAB">
        <w:rPr>
          <w:rFonts w:ascii="Palatino Linotype" w:hAnsi="Palatino Linotype" w:cs="Arial"/>
          <w:b/>
          <w:lang w:val="es-ES" w:eastAsia="es-ES"/>
        </w:rPr>
        <w:t>Comisionada Eva Abaid Yapur</w:t>
      </w:r>
      <w:r w:rsidRPr="00074CAB">
        <w:rPr>
          <w:rFonts w:ascii="Palatino Linotype" w:hAnsi="Palatino Linotype" w:cs="Arial"/>
          <w:b/>
          <w:lang w:val="es-ES" w:eastAsia="es-ES"/>
        </w:rPr>
        <w:t xml:space="preserve">, </w:t>
      </w:r>
      <w:r w:rsidRPr="00074CAB">
        <w:rPr>
          <w:rFonts w:ascii="Palatino Linotype" w:hAnsi="Palatino Linotype" w:cs="Arial"/>
          <w:lang w:val="es-ES" w:eastAsia="es-ES"/>
        </w:rPr>
        <w:t xml:space="preserve">con el objeto de </w:t>
      </w:r>
      <w:r w:rsidRPr="00074CAB">
        <w:rPr>
          <w:rFonts w:ascii="Palatino Linotype" w:hAnsi="Palatino Linotype" w:cs="Arial"/>
          <w:lang w:eastAsia="es-ES"/>
        </w:rPr>
        <w:t xml:space="preserve">su análisis. </w:t>
      </w:r>
    </w:p>
    <w:p w:rsidR="00BA0658" w:rsidRPr="00074CAB" w:rsidRDefault="00BA0658" w:rsidP="00074CAB">
      <w:pPr>
        <w:spacing w:line="360" w:lineRule="auto"/>
        <w:contextualSpacing/>
        <w:jc w:val="both"/>
        <w:rPr>
          <w:rFonts w:ascii="Palatino Linotype" w:eastAsia="Calibri" w:hAnsi="Palatino Linotype" w:cs="Arial"/>
          <w:lang w:val="es-AR" w:eastAsia="es-ES"/>
        </w:rPr>
      </w:pPr>
    </w:p>
    <w:p w:rsidR="00BA0658" w:rsidRPr="00074CAB" w:rsidRDefault="00BA0658" w:rsidP="00074CAB">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074CAB">
        <w:rPr>
          <w:rFonts w:ascii="Palatino Linotype" w:eastAsia="Calibri" w:hAnsi="Palatino Linotype" w:cs="Arial"/>
          <w:lang w:val="es-ES" w:eastAsia="es-ES"/>
        </w:rPr>
        <w:t>El Comisionado Ponente con fundamento en lo dispuesto por el artículo 185 fracción II de la ley de la materia, a través del</w:t>
      </w:r>
      <w:r w:rsidR="00EA3DB8" w:rsidRPr="00074CAB">
        <w:rPr>
          <w:rFonts w:ascii="Palatino Linotype" w:eastAsia="Calibri" w:hAnsi="Palatino Linotype" w:cs="Arial"/>
          <w:lang w:val="es-ES" w:eastAsia="es-ES"/>
        </w:rPr>
        <w:t xml:space="preserve"> acuerdo de admisión de diecinueve (1</w:t>
      </w:r>
      <w:r w:rsidRPr="00074CAB">
        <w:rPr>
          <w:rFonts w:ascii="Palatino Linotype" w:eastAsia="Calibri" w:hAnsi="Palatino Linotype" w:cs="Arial"/>
          <w:lang w:val="es-ES" w:eastAsia="es-ES"/>
        </w:rPr>
        <w:t>9)</w:t>
      </w:r>
      <w:r w:rsidR="00EA3DB8" w:rsidRPr="00074CAB">
        <w:rPr>
          <w:rFonts w:ascii="Palatino Linotype" w:eastAsia="Calibri" w:hAnsi="Palatino Linotype" w:cs="Arial"/>
          <w:lang w:val="es-ES" w:eastAsia="es-ES"/>
        </w:rPr>
        <w:t xml:space="preserve"> de agosto</w:t>
      </w:r>
      <w:r w:rsidRPr="00074CAB">
        <w:rPr>
          <w:rFonts w:ascii="Palatino Linotype" w:eastAsia="Calibri" w:hAnsi="Palatino Linotype" w:cs="Arial"/>
          <w:lang w:val="es-ES" w:eastAsia="es-ES"/>
        </w:rPr>
        <w:t xml:space="preserve"> de dos mil veintiuno, puso a disposición de las partes el expediente electrónico </w:t>
      </w:r>
      <w:r w:rsidRPr="00074CAB">
        <w:rPr>
          <w:rFonts w:ascii="Palatino Linotype" w:eastAsia="Calibri" w:hAnsi="Palatino Linotype" w:cs="Arial"/>
          <w:lang w:val="es-ES_tradnl" w:eastAsia="es-ES"/>
        </w:rPr>
        <w:t xml:space="preserve">vía </w:t>
      </w:r>
      <w:r w:rsidRPr="00074CAB">
        <w:rPr>
          <w:rFonts w:ascii="Palatino Linotype" w:eastAsia="Calibri" w:hAnsi="Palatino Linotype" w:cs="Arial"/>
          <w:b/>
          <w:lang w:val="es-ES" w:eastAsia="es-ES"/>
        </w:rPr>
        <w:t xml:space="preserve">SAIMEX </w:t>
      </w:r>
      <w:r w:rsidRPr="00074CA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74CAB">
        <w:rPr>
          <w:rFonts w:ascii="Palatino Linotype" w:eastAsia="Calibri" w:hAnsi="Palatino Linotype" w:cs="Arial"/>
          <w:b/>
          <w:lang w:val="es-ES" w:eastAsia="es-ES"/>
        </w:rPr>
        <w:t>SUJETO OBLIGADO</w:t>
      </w:r>
      <w:r w:rsidRPr="00074CAB">
        <w:rPr>
          <w:rFonts w:ascii="Palatino Linotype" w:eastAsia="Calibri" w:hAnsi="Palatino Linotype" w:cs="Arial"/>
          <w:lang w:val="es-ES" w:eastAsia="es-ES"/>
        </w:rPr>
        <w:t xml:space="preserve"> presentara el informe justificado procedente. </w:t>
      </w:r>
      <w:r w:rsidR="00EA3DB8" w:rsidRPr="00074CAB">
        <w:rPr>
          <w:rFonts w:ascii="Palatino Linotype" w:eastAsia="Calibri" w:hAnsi="Palatino Linotype" w:cs="Arial"/>
          <w:lang w:val="es-ES" w:eastAsia="es-ES"/>
        </w:rPr>
        <w:t xml:space="preserve"> Por su parte, el particular no realizó ningún tipo de manifestación.</w:t>
      </w:r>
    </w:p>
    <w:p w:rsidR="00BA0658" w:rsidRPr="00074CAB" w:rsidRDefault="00BA0658" w:rsidP="00074CAB">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BA0658" w:rsidRPr="00074CAB" w:rsidRDefault="00BA0658" w:rsidP="00074CAB">
      <w:pPr>
        <w:numPr>
          <w:ilvl w:val="0"/>
          <w:numId w:val="1"/>
        </w:numPr>
        <w:spacing w:line="360" w:lineRule="auto"/>
        <w:ind w:left="0" w:firstLine="0"/>
        <w:contextualSpacing/>
        <w:jc w:val="both"/>
        <w:rPr>
          <w:rFonts w:ascii="Palatino Linotype" w:eastAsia="Calibri" w:hAnsi="Palatino Linotype" w:cs="Arial"/>
          <w:lang w:val="es-ES" w:eastAsia="es-ES"/>
        </w:rPr>
      </w:pPr>
      <w:r w:rsidRPr="00074CAB">
        <w:rPr>
          <w:rFonts w:ascii="Palatino Linotype" w:eastAsia="Calibri" w:hAnsi="Palatino Linotype" w:cs="Arial"/>
          <w:lang w:val="es-ES" w:eastAsia="es-ES"/>
        </w:rPr>
        <w:t xml:space="preserve">El día </w:t>
      </w:r>
      <w:r w:rsidR="00EA3DB8" w:rsidRPr="00074CAB">
        <w:rPr>
          <w:rFonts w:ascii="Palatino Linotype" w:eastAsia="Calibri" w:hAnsi="Palatino Linotype" w:cs="Arial"/>
          <w:lang w:val="es-ES" w:eastAsia="es-ES"/>
        </w:rPr>
        <w:t>veintitrés (23</w:t>
      </w:r>
      <w:r w:rsidRPr="00074CAB">
        <w:rPr>
          <w:rFonts w:ascii="Palatino Linotype" w:eastAsia="Calibri" w:hAnsi="Palatino Linotype" w:cs="Arial"/>
          <w:lang w:val="es-ES" w:eastAsia="es-ES"/>
        </w:rPr>
        <w:t xml:space="preserve">) de agosto de dos mil veintiuno, el </w:t>
      </w:r>
      <w:r w:rsidRPr="00074CAB">
        <w:rPr>
          <w:rFonts w:ascii="Palatino Linotype" w:eastAsia="Calibri" w:hAnsi="Palatino Linotype" w:cs="Arial"/>
          <w:b/>
          <w:lang w:val="es-ES" w:eastAsia="es-ES"/>
        </w:rPr>
        <w:t>SUJETO OBLIGADO</w:t>
      </w:r>
      <w:r w:rsidRPr="00074CAB">
        <w:rPr>
          <w:rFonts w:ascii="Palatino Linotype" w:eastAsia="Calibri" w:hAnsi="Palatino Linotype" w:cs="Arial"/>
          <w:lang w:val="es-ES" w:eastAsia="es-ES"/>
        </w:rPr>
        <w:t xml:space="preserve"> rindió informe justificado</w:t>
      </w:r>
      <w:r w:rsidR="00EA3DB8" w:rsidRPr="00074CAB">
        <w:rPr>
          <w:rFonts w:ascii="Palatino Linotype" w:eastAsia="Calibri" w:hAnsi="Palatino Linotype" w:cs="Arial"/>
          <w:lang w:val="es-ES" w:eastAsia="es-ES"/>
        </w:rPr>
        <w:t>, mismo que</w:t>
      </w:r>
      <w:r w:rsidRPr="00074CAB">
        <w:rPr>
          <w:rFonts w:ascii="Palatino Linotype" w:eastAsia="Calibri" w:hAnsi="Palatino Linotype" w:cs="Arial"/>
          <w:lang w:val="es-ES" w:eastAsia="es-ES"/>
        </w:rPr>
        <w:t xml:space="preserve"> se puso a la vista el </w:t>
      </w:r>
      <w:r w:rsidR="00EA3DB8" w:rsidRPr="00074CAB">
        <w:rPr>
          <w:rFonts w:ascii="Palatino Linotype" w:eastAsia="Calibri" w:hAnsi="Palatino Linotype" w:cs="Arial"/>
          <w:lang w:val="es-ES" w:eastAsia="es-ES"/>
        </w:rPr>
        <w:t>veintiséis (26)</w:t>
      </w:r>
      <w:r w:rsidRPr="00074CAB">
        <w:rPr>
          <w:rFonts w:ascii="Palatino Linotype" w:eastAsia="Calibri" w:hAnsi="Palatino Linotype" w:cs="Arial"/>
          <w:lang w:val="es-ES" w:eastAsia="es-ES"/>
        </w:rPr>
        <w:t xml:space="preserve"> </w:t>
      </w:r>
      <w:r w:rsidR="00EA3DB8" w:rsidRPr="00074CAB">
        <w:rPr>
          <w:rFonts w:ascii="Palatino Linotype" w:eastAsia="Calibri" w:hAnsi="Palatino Linotype" w:cs="Arial"/>
          <w:lang w:val="es-ES" w:eastAsia="es-ES"/>
        </w:rPr>
        <w:t xml:space="preserve"> del presente año</w:t>
      </w:r>
      <w:r w:rsidRPr="00074CAB">
        <w:rPr>
          <w:rFonts w:ascii="Palatino Linotype" w:eastAsia="Calibri" w:hAnsi="Palatino Linotype" w:cs="Arial"/>
          <w:lang w:val="es-ES" w:eastAsia="es-ES"/>
        </w:rPr>
        <w:t xml:space="preserve">, y en </w:t>
      </w:r>
      <w:r w:rsidR="00EA3DB8" w:rsidRPr="00074CAB">
        <w:rPr>
          <w:rFonts w:ascii="Palatino Linotype" w:eastAsia="Calibri" w:hAnsi="Palatino Linotype" w:cs="Arial"/>
          <w:lang w:val="es-ES" w:eastAsia="es-ES"/>
        </w:rPr>
        <w:t>el que consta el siguiente documento:</w:t>
      </w:r>
    </w:p>
    <w:p w:rsidR="00EA3DB8" w:rsidRPr="00074CAB" w:rsidRDefault="00EA3DB8" w:rsidP="00074CAB">
      <w:pPr>
        <w:spacing w:line="360" w:lineRule="auto"/>
        <w:contextualSpacing/>
        <w:jc w:val="both"/>
        <w:rPr>
          <w:rFonts w:ascii="Palatino Linotype" w:eastAsia="Calibri" w:hAnsi="Palatino Linotype" w:cs="Arial"/>
          <w:lang w:val="es-ES" w:eastAsia="es-ES"/>
        </w:rPr>
      </w:pPr>
    </w:p>
    <w:p w:rsidR="00336D01" w:rsidRPr="00040329" w:rsidRDefault="00592F26" w:rsidP="00040329">
      <w:pPr>
        <w:pStyle w:val="Prrafodelista"/>
        <w:numPr>
          <w:ilvl w:val="0"/>
          <w:numId w:val="7"/>
        </w:numPr>
        <w:spacing w:line="360" w:lineRule="auto"/>
        <w:jc w:val="both"/>
        <w:rPr>
          <w:rFonts w:ascii="Palatino Linotype" w:eastAsia="Calibri" w:hAnsi="Palatino Linotype" w:cs="Arial"/>
          <w:sz w:val="24"/>
          <w:lang w:val="es-ES" w:eastAsia="es-ES"/>
        </w:rPr>
      </w:pPr>
      <w:hyperlink r:id="rId11" w:history="1">
        <w:r w:rsidR="00EA3DB8" w:rsidRPr="00074CAB">
          <w:rPr>
            <w:rStyle w:val="Hipervnculo"/>
            <w:rFonts w:ascii="Palatino Linotype" w:eastAsia="Calibri" w:hAnsi="Palatino Linotype" w:cs="Arial"/>
            <w:b/>
            <w:bCs/>
            <w:color w:val="auto"/>
            <w:sz w:val="24"/>
            <w:lang w:eastAsia="es-ES"/>
          </w:rPr>
          <w:t>SEGURIDAD PÚBLICA.pdf</w:t>
        </w:r>
      </w:hyperlink>
      <w:r w:rsidR="00EA3DB8" w:rsidRPr="00074CAB">
        <w:rPr>
          <w:rFonts w:ascii="Palatino Linotype" w:eastAsia="Calibri" w:hAnsi="Palatino Linotype" w:cs="Arial"/>
          <w:sz w:val="24"/>
          <w:lang w:val="es-ES" w:eastAsia="es-ES"/>
        </w:rPr>
        <w:t xml:space="preserve">: </w:t>
      </w:r>
      <w:r w:rsidR="0019753E" w:rsidRPr="00074CAB">
        <w:rPr>
          <w:rFonts w:ascii="Palatino Linotype" w:eastAsia="Calibri" w:hAnsi="Palatino Linotype" w:cs="Arial"/>
          <w:sz w:val="24"/>
          <w:lang w:val="es-ES" w:eastAsia="es-ES"/>
        </w:rPr>
        <w:t>oficio DSPYTM/EJ/2933/2021, del diecinueve de agosto de dos mil veintiuno, suscrito por el Comisario de Seguridad Pública y Tránsito Municipal</w:t>
      </w:r>
      <w:r w:rsidR="00662B6B" w:rsidRPr="00074CAB">
        <w:rPr>
          <w:rFonts w:ascii="Palatino Linotype" w:eastAsia="Calibri" w:hAnsi="Palatino Linotype" w:cs="Arial"/>
          <w:sz w:val="24"/>
          <w:lang w:val="es-ES" w:eastAsia="es-ES"/>
        </w:rPr>
        <w:t>, en el que medularmente señaló que verificó el link proporcionado en respuesta y efectivamente presenta un error, por ello proporcionó respuesta al numeral 1 y 2 de la solicitud de información; asimismo, refirió que por lo que hace al numeral 5 deberá dirigirse a la estadística presentada en el Plan de Desarrollo Municipal de Atizapán de Zaragoza 2019-2021; en cuanto al numeral 8, manifestó que si se cuenta con un sistema digital p</w:t>
      </w:r>
      <w:r w:rsidR="00336D01" w:rsidRPr="00074CAB">
        <w:rPr>
          <w:rFonts w:ascii="Palatino Linotype" w:eastAsia="Calibri" w:hAnsi="Palatino Linotype" w:cs="Arial"/>
          <w:sz w:val="24"/>
          <w:lang w:val="es-ES" w:eastAsia="es-ES"/>
        </w:rPr>
        <w:t xml:space="preserve">ara el registro de infracciones, que ya se está trabajando en la </w:t>
      </w:r>
      <w:r w:rsidR="00336D01" w:rsidRPr="00074CAB">
        <w:rPr>
          <w:rFonts w:ascii="Palatino Linotype" w:eastAsia="Calibri" w:hAnsi="Palatino Linotype" w:cs="Arial"/>
          <w:sz w:val="24"/>
          <w:lang w:val="es-ES" w:eastAsia="es-ES"/>
        </w:rPr>
        <w:lastRenderedPageBreak/>
        <w:t>estadística generada para que la información contenida, sea publicada en el próximo Plan de Desarrollo Municipal de Atizapán de Zaragoza 2022-2020;</w:t>
      </w:r>
      <w:r w:rsidR="00040329">
        <w:rPr>
          <w:rFonts w:ascii="Palatino Linotype" w:eastAsia="Calibri" w:hAnsi="Palatino Linotype" w:cs="Arial"/>
          <w:sz w:val="24"/>
          <w:lang w:val="es-ES" w:eastAsia="es-ES"/>
        </w:rPr>
        <w:t xml:space="preserve"> p</w:t>
      </w:r>
      <w:r w:rsidR="00336D01" w:rsidRPr="00040329">
        <w:rPr>
          <w:rFonts w:ascii="Palatino Linotype" w:eastAsia="Calibri" w:hAnsi="Palatino Linotype" w:cs="Arial"/>
          <w:sz w:val="24"/>
          <w:lang w:val="es-ES" w:eastAsia="es-ES"/>
        </w:rPr>
        <w:t>or lo que hace al numeral 9, hizo referencia  al artículo 125 del Reglamento de Tránsito del Estado de México  y al 8.19 del Código Administrativo del Estado de México.</w:t>
      </w:r>
    </w:p>
    <w:p w:rsidR="00BA0658" w:rsidRPr="00074CAB" w:rsidRDefault="00BA0658" w:rsidP="00074CAB">
      <w:pPr>
        <w:spacing w:line="360" w:lineRule="auto"/>
        <w:jc w:val="both"/>
        <w:rPr>
          <w:rFonts w:ascii="Palatino Linotype" w:hAnsi="Palatino Linotype"/>
        </w:rPr>
      </w:pPr>
    </w:p>
    <w:p w:rsidR="00BA0658" w:rsidRPr="00074CAB" w:rsidRDefault="00BA0658" w:rsidP="00074CAB">
      <w:pPr>
        <w:pStyle w:val="Prrafodelista"/>
        <w:numPr>
          <w:ilvl w:val="0"/>
          <w:numId w:val="1"/>
        </w:numPr>
        <w:spacing w:line="360" w:lineRule="auto"/>
        <w:ind w:left="0" w:right="48" w:firstLine="0"/>
        <w:jc w:val="both"/>
        <w:rPr>
          <w:rFonts w:ascii="Palatino Linotype" w:hAnsi="Palatino Linotype"/>
          <w:b/>
          <w:sz w:val="24"/>
        </w:rPr>
      </w:pPr>
      <w:r w:rsidRPr="00074CAB">
        <w:rPr>
          <w:rFonts w:ascii="Palatino Linotype" w:hAnsi="Palatino Linotype"/>
          <w:sz w:val="24"/>
        </w:rPr>
        <w:t xml:space="preserve">El veintitrés (23) de agosto de dos mil veintiuno, en la Segunda Sesión Extraordinaria, el Pleno de este Órgano Garante aprobó el returno del recurso de revisión al rubro indicado, a la Ponencia de la </w:t>
      </w:r>
      <w:r w:rsidRPr="00074CAB">
        <w:rPr>
          <w:rFonts w:ascii="Palatino Linotype" w:hAnsi="Palatino Linotype"/>
          <w:b/>
          <w:sz w:val="24"/>
        </w:rPr>
        <w:t>Comisionada María del Rosario Mejía Ayala.</w:t>
      </w:r>
    </w:p>
    <w:p w:rsidR="00BA0658" w:rsidRPr="00074CAB" w:rsidRDefault="00BA0658" w:rsidP="00074CAB">
      <w:pPr>
        <w:spacing w:line="360" w:lineRule="auto"/>
        <w:contextualSpacing/>
        <w:jc w:val="both"/>
        <w:rPr>
          <w:rFonts w:ascii="Palatino Linotype" w:eastAsiaTheme="minorEastAsia" w:hAnsi="Palatino Linotype"/>
          <w:b/>
          <w:u w:val="single"/>
          <w:lang w:val="es-ES_tradnl" w:eastAsia="es-ES"/>
        </w:rPr>
      </w:pPr>
    </w:p>
    <w:p w:rsidR="00BA0658" w:rsidRPr="009855F3" w:rsidRDefault="00BA0658" w:rsidP="00074CAB">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74CAB">
        <w:rPr>
          <w:rFonts w:ascii="Palatino Linotype" w:eastAsiaTheme="minorEastAsia" w:hAnsi="Palatino Linotype"/>
          <w:lang w:val="es-ES_tradnl" w:eastAsia="es-ES"/>
        </w:rPr>
        <w:t>El Comisionado Ponente decretó el cierre de instrucción</w:t>
      </w:r>
      <w:r w:rsidRPr="00074CAB">
        <w:rPr>
          <w:rFonts w:ascii="Palatino Linotype" w:eastAsiaTheme="minorEastAsia" w:hAnsi="Palatino Linotype" w:cs="Arial"/>
          <w:lang w:val="es-ES_tradnl" w:eastAsia="es-ES"/>
        </w:rPr>
        <w:t xml:space="preserve"> </w:t>
      </w:r>
      <w:r w:rsidRPr="00074CAB">
        <w:rPr>
          <w:rFonts w:ascii="Palatino Linotype" w:eastAsiaTheme="minorEastAsia" w:hAnsi="Palatino Linotype"/>
          <w:lang w:val="es-ES_tradnl" w:eastAsia="es-ES"/>
        </w:rPr>
        <w:t>media</w:t>
      </w:r>
      <w:r w:rsidR="00EA3DB8" w:rsidRPr="00074CAB">
        <w:rPr>
          <w:rFonts w:ascii="Palatino Linotype" w:eastAsiaTheme="minorEastAsia" w:hAnsi="Palatino Linotype"/>
          <w:lang w:val="es-ES_tradnl" w:eastAsia="es-ES"/>
        </w:rPr>
        <w:t>nte el acuerdo de fecha uno (01</w:t>
      </w:r>
      <w:r w:rsidRPr="00074CAB">
        <w:rPr>
          <w:rFonts w:ascii="Palatino Linotype" w:eastAsiaTheme="minorEastAsia" w:hAnsi="Palatino Linotype"/>
          <w:lang w:val="es-ES_tradnl" w:eastAsia="es-ES"/>
        </w:rPr>
        <w:t>) de septiembre de dos mil veintiuno.</w:t>
      </w:r>
      <w:r w:rsidRPr="00074CAB">
        <w:rPr>
          <w:rFonts w:ascii="Palatino Linotype" w:eastAsiaTheme="minorEastAsia" w:hAnsi="Palatino Linotype" w:cs="Arial"/>
          <w:lang w:val="es-ES_tradnl" w:eastAsia="es-ES"/>
        </w:rPr>
        <w:t xml:space="preserve"> </w:t>
      </w:r>
    </w:p>
    <w:p w:rsidR="009855F3" w:rsidRPr="009855F3" w:rsidRDefault="009855F3" w:rsidP="009855F3">
      <w:pPr>
        <w:spacing w:line="360" w:lineRule="auto"/>
        <w:contextualSpacing/>
        <w:jc w:val="both"/>
        <w:rPr>
          <w:rFonts w:ascii="Palatino Linotype" w:eastAsiaTheme="minorEastAsia" w:hAnsi="Palatino Linotype"/>
          <w:b/>
          <w:u w:val="single"/>
          <w:lang w:val="es-ES_tradnl" w:eastAsia="es-ES"/>
        </w:rPr>
      </w:pPr>
    </w:p>
    <w:p w:rsidR="009855F3" w:rsidRPr="009855F3" w:rsidRDefault="009855F3" w:rsidP="009855F3">
      <w:pPr>
        <w:pStyle w:val="Prrafodelista"/>
        <w:numPr>
          <w:ilvl w:val="0"/>
          <w:numId w:val="1"/>
        </w:numPr>
        <w:spacing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El trece (13) de octubre </w:t>
      </w:r>
      <w:r w:rsidRPr="009B6FD5">
        <w:rPr>
          <w:rFonts w:ascii="Palatino Linotype" w:eastAsia="Calibri" w:hAnsi="Palatino Linotype" w:cs="Arial"/>
          <w:sz w:val="24"/>
          <w:lang w:val="es-ES"/>
        </w:rPr>
        <w:t xml:space="preserve"> de dos mil veintiuno, se notificó mediante acuerdo que el plazo para resolver el recurso de revisión, se ampliaría por un periodo de quince días hábiles; </w:t>
      </w:r>
      <w:r w:rsidRPr="009B6FD5">
        <w:rPr>
          <w:rFonts w:ascii="Palatino Linotype" w:hAnsi="Palatino Linotype" w:cs="Arial"/>
          <w:sz w:val="24"/>
        </w:rPr>
        <w:t>posterior a ello ordenó turnar el expediente a resolución, misma que ahora se pronuncia; y-------------------------------------</w:t>
      </w:r>
      <w:r>
        <w:rPr>
          <w:rFonts w:ascii="Palatino Linotype" w:hAnsi="Palatino Linotype" w:cs="Arial"/>
          <w:sz w:val="24"/>
        </w:rPr>
        <w:t>-----------------------------------------------</w:t>
      </w:r>
    </w:p>
    <w:p w:rsidR="00BA0658" w:rsidRPr="00074CAB" w:rsidRDefault="00BA0658" w:rsidP="00074CAB">
      <w:pPr>
        <w:spacing w:line="360" w:lineRule="auto"/>
        <w:contextualSpacing/>
        <w:jc w:val="both"/>
        <w:rPr>
          <w:rFonts w:ascii="Palatino Linotype" w:eastAsiaTheme="minorEastAsia" w:hAnsi="Palatino Linotype"/>
          <w:b/>
          <w:u w:val="single"/>
          <w:lang w:val="es-ES_tradnl" w:eastAsia="es-ES"/>
        </w:rPr>
      </w:pPr>
    </w:p>
    <w:p w:rsidR="00BA0658" w:rsidRPr="00074CAB" w:rsidRDefault="00BA0658" w:rsidP="00074CAB">
      <w:pPr>
        <w:keepNext/>
        <w:keepLines/>
        <w:spacing w:line="360" w:lineRule="auto"/>
        <w:jc w:val="center"/>
        <w:outlineLvl w:val="0"/>
        <w:rPr>
          <w:rFonts w:ascii="Palatino Linotype" w:eastAsiaTheme="majorEastAsia" w:hAnsi="Palatino Linotype" w:cstheme="majorBidi"/>
        </w:rPr>
      </w:pPr>
      <w:bookmarkStart w:id="5" w:name="_Toc84935141"/>
      <w:r w:rsidRPr="00074CAB">
        <w:rPr>
          <w:rFonts w:ascii="Palatino Linotype" w:eastAsiaTheme="majorEastAsia" w:hAnsi="Palatino Linotype" w:cstheme="majorBidi"/>
          <w:b/>
        </w:rPr>
        <w:t>CONSIDERANDO</w:t>
      </w:r>
      <w:bookmarkEnd w:id="5"/>
      <w:r w:rsidRPr="00074CAB">
        <w:rPr>
          <w:rFonts w:ascii="Palatino Linotype" w:eastAsiaTheme="majorEastAsia" w:hAnsi="Palatino Linotype" w:cstheme="majorBidi"/>
          <w:b/>
        </w:rPr>
        <w:t xml:space="preserve"> </w:t>
      </w:r>
    </w:p>
    <w:p w:rsidR="00BA0658" w:rsidRPr="00074CAB" w:rsidRDefault="00BA0658" w:rsidP="00074CAB">
      <w:pPr>
        <w:spacing w:line="360" w:lineRule="auto"/>
        <w:rPr>
          <w:rFonts w:ascii="Palatino Linotype" w:eastAsiaTheme="minorEastAsia" w:hAnsi="Palatino Linotype"/>
        </w:rPr>
      </w:pPr>
    </w:p>
    <w:p w:rsidR="00BA0658" w:rsidRPr="00074CAB" w:rsidRDefault="00BA0658" w:rsidP="00074CAB">
      <w:pPr>
        <w:keepNext/>
        <w:keepLines/>
        <w:spacing w:line="360" w:lineRule="auto"/>
        <w:outlineLvl w:val="1"/>
        <w:rPr>
          <w:rFonts w:ascii="Palatino Linotype" w:eastAsiaTheme="majorEastAsia" w:hAnsi="Palatino Linotype" w:cstheme="majorBidi"/>
          <w:b/>
          <w:szCs w:val="26"/>
        </w:rPr>
      </w:pPr>
      <w:bookmarkStart w:id="6" w:name="_Toc84935142"/>
      <w:r w:rsidRPr="00074CAB">
        <w:rPr>
          <w:rFonts w:ascii="Palatino Linotype" w:eastAsiaTheme="majorEastAsia" w:hAnsi="Palatino Linotype" w:cstheme="majorBidi"/>
          <w:b/>
          <w:szCs w:val="26"/>
        </w:rPr>
        <w:t>PRIMERO. De la competencia</w:t>
      </w:r>
      <w:bookmarkEnd w:id="6"/>
    </w:p>
    <w:p w:rsidR="00BA0658" w:rsidRPr="00074CAB" w:rsidRDefault="00BA0658" w:rsidP="00074CAB">
      <w:pPr>
        <w:keepNext/>
        <w:keepLines/>
        <w:spacing w:line="360" w:lineRule="auto"/>
        <w:outlineLvl w:val="1"/>
        <w:rPr>
          <w:rFonts w:ascii="Palatino Linotype" w:eastAsiaTheme="majorEastAsia" w:hAnsi="Palatino Linotype" w:cstheme="majorBidi"/>
          <w:b/>
          <w:bCs/>
          <w:spacing w:val="60"/>
          <w:szCs w:val="26"/>
        </w:rPr>
      </w:pPr>
    </w:p>
    <w:p w:rsidR="00336D01" w:rsidRPr="00074CAB" w:rsidRDefault="00336D01" w:rsidP="00074CAB">
      <w:pPr>
        <w:numPr>
          <w:ilvl w:val="0"/>
          <w:numId w:val="1"/>
        </w:numPr>
        <w:spacing w:line="360" w:lineRule="auto"/>
        <w:ind w:left="0" w:firstLine="0"/>
        <w:contextualSpacing/>
        <w:jc w:val="both"/>
        <w:rPr>
          <w:rFonts w:ascii="Palatino Linotype" w:eastAsia="Calibri" w:hAnsi="Palatino Linotype"/>
          <w:lang w:eastAsia="es-ES"/>
        </w:rPr>
      </w:pPr>
      <w:r w:rsidRPr="00074CAB">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w:t>
      </w:r>
      <w:r w:rsidRPr="00074CAB">
        <w:rPr>
          <w:rFonts w:ascii="Palatino Linotype" w:eastAsia="Calibri" w:hAnsi="Palatino Linotype"/>
          <w:lang w:val="es-ES" w:eastAsia="es-ES"/>
        </w:rPr>
        <w:lastRenderedPageBreak/>
        <w:t xml:space="preserve">y resolver del presente recurso de conformidad con el artículo: 6, apartado A, de la </w:t>
      </w:r>
      <w:r w:rsidRPr="00074CAB">
        <w:rPr>
          <w:rFonts w:ascii="Palatino Linotype" w:eastAsia="Calibri" w:hAnsi="Palatino Linotype"/>
          <w:b/>
          <w:lang w:val="es-ES" w:eastAsia="es-ES"/>
        </w:rPr>
        <w:t>Constitución Política de los Estados Unidos Mexicanos</w:t>
      </w:r>
      <w:r w:rsidRPr="00074CAB">
        <w:rPr>
          <w:rFonts w:ascii="Palatino Linotype" w:eastAsia="Calibri" w:hAnsi="Palatino Linotype"/>
          <w:lang w:val="es-ES" w:eastAsia="es-ES"/>
        </w:rPr>
        <w:t xml:space="preserve">; 5, </w:t>
      </w:r>
      <w:r w:rsidRPr="00074CAB">
        <w:rPr>
          <w:rFonts w:ascii="Palatino Linotype" w:eastAsia="Calibri" w:hAnsi="Palatino Linotype"/>
          <w:lang w:eastAsia="es-ES"/>
        </w:rPr>
        <w:t xml:space="preserve">párrafos trigésimo, trigésimo primero y trigésimo segundo, fracciones I, II, III, IV y V de la </w:t>
      </w:r>
      <w:r w:rsidRPr="00074CAB">
        <w:rPr>
          <w:rFonts w:ascii="Palatino Linotype" w:eastAsia="Calibri" w:hAnsi="Palatino Linotype"/>
          <w:b/>
          <w:lang w:eastAsia="es-ES"/>
        </w:rPr>
        <w:t>Constitución Política del Estado Libre y Soberano de México</w:t>
      </w:r>
      <w:r w:rsidRPr="00074CAB">
        <w:rPr>
          <w:rFonts w:ascii="Palatino Linotype" w:eastAsia="Calibri" w:hAnsi="Palatino Linotype"/>
          <w:b/>
          <w:lang w:val="es-ES" w:eastAsia="es-ES"/>
        </w:rPr>
        <w:t>;</w:t>
      </w:r>
      <w:r w:rsidRPr="00074CAB">
        <w:rPr>
          <w:rFonts w:ascii="Palatino Linotype" w:eastAsia="Calibri" w:hAnsi="Palatino Linotype"/>
          <w:lang w:val="es-ES" w:eastAsia="es-ES"/>
        </w:rPr>
        <w:t xml:space="preserve"> 1, 3 fracción I, 82, 97, 98, 119, 123, 124, 127, 128 y 133 </w:t>
      </w:r>
      <w:r w:rsidRPr="00074CAB">
        <w:rPr>
          <w:rFonts w:ascii="Palatino Linotype" w:eastAsia="Calibri" w:hAnsi="Palatino Linotype"/>
          <w:b/>
          <w:lang w:eastAsia="es-ES"/>
        </w:rPr>
        <w:t>Ley de Protección de Datos Personales en Posesión de Sujetos Obligados del Estado de México y Municipios</w:t>
      </w:r>
      <w:r w:rsidRPr="00074CAB">
        <w:rPr>
          <w:rFonts w:ascii="Palatino Linotype" w:eastAsia="Calibri" w:hAnsi="Palatino Linotype"/>
          <w:lang w:val="es-ES" w:eastAsia="es-ES"/>
        </w:rPr>
        <w:t xml:space="preserve">; y 10, 7, 9 fracciones I y XXIV, y 11 del </w:t>
      </w:r>
      <w:r w:rsidRPr="00074CAB">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BA0658" w:rsidRPr="00074CAB" w:rsidRDefault="00BA0658" w:rsidP="00074CAB">
      <w:pPr>
        <w:spacing w:line="360" w:lineRule="auto"/>
        <w:contextualSpacing/>
        <w:jc w:val="both"/>
        <w:rPr>
          <w:rFonts w:ascii="Palatino Linotype" w:eastAsiaTheme="minorEastAsia" w:hAnsi="Palatino Linotype"/>
          <w:lang w:val="es-ES_tradnl" w:eastAsia="es-ES"/>
        </w:rPr>
      </w:pPr>
    </w:p>
    <w:p w:rsidR="00BA0658" w:rsidRPr="00074CAB" w:rsidRDefault="00BA0658" w:rsidP="00074CAB">
      <w:pPr>
        <w:keepNext/>
        <w:keepLines/>
        <w:spacing w:line="360" w:lineRule="auto"/>
        <w:outlineLvl w:val="1"/>
        <w:rPr>
          <w:rFonts w:ascii="Palatino Linotype" w:eastAsiaTheme="majorEastAsia" w:hAnsi="Palatino Linotype" w:cstheme="majorBidi"/>
          <w:b/>
          <w:szCs w:val="26"/>
        </w:rPr>
      </w:pPr>
      <w:bookmarkStart w:id="7" w:name="_Toc84935143"/>
      <w:r w:rsidRPr="00074CAB">
        <w:rPr>
          <w:rFonts w:ascii="Palatino Linotype" w:eastAsiaTheme="majorEastAsia" w:hAnsi="Palatino Linotype" w:cstheme="majorBidi"/>
          <w:b/>
          <w:szCs w:val="26"/>
        </w:rPr>
        <w:t>SEGUNDO. De la oportunidad y procedencia.</w:t>
      </w:r>
      <w:bookmarkEnd w:id="7"/>
    </w:p>
    <w:p w:rsidR="00BA0658" w:rsidRPr="00074CAB" w:rsidRDefault="00BA0658" w:rsidP="00074CAB">
      <w:pPr>
        <w:spacing w:line="360" w:lineRule="auto"/>
        <w:rPr>
          <w:rFonts w:ascii="Palatino Linotype" w:eastAsiaTheme="minorEastAsia" w:hAnsi="Palatino Linotype"/>
        </w:rPr>
      </w:pPr>
    </w:p>
    <w:p w:rsidR="00BA0658" w:rsidRPr="00074CAB" w:rsidRDefault="00BA0658"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Calibri" w:hAnsi="Palatino Linotype" w:cs="Arial"/>
          <w:lang w:val="es-ES_tradnl" w:eastAsia="es-ES"/>
        </w:rPr>
        <w:t xml:space="preserve">El medio de impugnación fue presentado a través del </w:t>
      </w:r>
      <w:r w:rsidRPr="00074CAB">
        <w:rPr>
          <w:rFonts w:ascii="Palatino Linotype" w:eastAsia="Calibri" w:hAnsi="Palatino Linotype" w:cs="Arial"/>
          <w:b/>
          <w:lang w:val="es-ES_tradnl" w:eastAsia="es-ES"/>
        </w:rPr>
        <w:t>SAIMEX,</w:t>
      </w:r>
      <w:r w:rsidRPr="00074CA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074CAB">
        <w:rPr>
          <w:rFonts w:ascii="Palatino Linotype" w:eastAsia="Calibri" w:hAnsi="Palatino Linotype" w:cs="Arial"/>
          <w:b/>
          <w:lang w:val="es-ES_tradnl" w:eastAsia="es-ES"/>
        </w:rPr>
        <w:t>SUJETO OBLIGADO</w:t>
      </w:r>
      <w:r w:rsidRPr="00074CAB">
        <w:rPr>
          <w:rFonts w:ascii="Palatino Linotype" w:eastAsia="Calibri" w:hAnsi="Palatino Linotype" w:cs="Arial"/>
          <w:lang w:val="es-ES_tradnl" w:eastAsia="es-ES"/>
        </w:rPr>
        <w:t xml:space="preserve"> entregó respuesta a la solicitud el día </w:t>
      </w:r>
      <w:r w:rsidR="00E00B75" w:rsidRPr="00074CAB">
        <w:rPr>
          <w:rFonts w:ascii="Palatino Linotype" w:eastAsia="Calibri" w:hAnsi="Palatino Linotype" w:cs="Arial"/>
          <w:lang w:val="es-ES_tradnl" w:eastAsia="es-ES"/>
        </w:rPr>
        <w:t>diez (10) de agosto</w:t>
      </w:r>
      <w:r w:rsidRPr="00074CAB">
        <w:rPr>
          <w:rFonts w:ascii="Palatino Linotype" w:eastAsia="Calibri" w:hAnsi="Palatino Linotype" w:cs="Arial"/>
          <w:lang w:val="es-ES_tradnl" w:eastAsia="es-ES"/>
        </w:rPr>
        <w:t xml:space="preserve">  de dos mil veintiuno, </w:t>
      </w:r>
      <w:r w:rsidRPr="00074CAB">
        <w:rPr>
          <w:rFonts w:ascii="Palatino Linotype" w:eastAsiaTheme="minorEastAsia" w:hAnsi="Palatino Linotype" w:cs="Arial"/>
          <w:lang w:val="es-ES_tradnl" w:eastAsia="es-ES"/>
        </w:rPr>
        <w:t xml:space="preserve">de tal forma que el plazo para interponer el recurso de revisión transcurrió del </w:t>
      </w:r>
      <w:r w:rsidR="00E00B75" w:rsidRPr="00074CAB">
        <w:rPr>
          <w:rFonts w:ascii="Palatino Linotype" w:eastAsiaTheme="minorEastAsia" w:hAnsi="Palatino Linotype" w:cs="Arial"/>
          <w:lang w:val="es-ES_tradnl" w:eastAsia="es-ES"/>
        </w:rPr>
        <w:t>once (11) de agosto  al veinticinco (25</w:t>
      </w:r>
      <w:r w:rsidRPr="00074CAB">
        <w:rPr>
          <w:rFonts w:ascii="Palatino Linotype" w:eastAsiaTheme="minorEastAsia" w:hAnsi="Palatino Linotype" w:cs="Arial"/>
          <w:lang w:val="es-ES_tradnl" w:eastAsia="es-ES"/>
        </w:rPr>
        <w:t xml:space="preserve">) de agosto  de dos mil veintiuno; en consecuencia, presentó su inconformidad el día </w:t>
      </w:r>
      <w:r w:rsidR="00E00B75" w:rsidRPr="00074CAB">
        <w:rPr>
          <w:rFonts w:ascii="Palatino Linotype" w:eastAsiaTheme="minorEastAsia" w:hAnsi="Palatino Linotype" w:cs="Arial"/>
          <w:lang w:val="es-ES_tradnl" w:eastAsia="es-ES"/>
        </w:rPr>
        <w:t xml:space="preserve">dieciséis (16) de agosto </w:t>
      </w:r>
      <w:r w:rsidRPr="00074CAB">
        <w:rPr>
          <w:rFonts w:ascii="Palatino Linotype" w:eastAsiaTheme="minorEastAsia" w:hAnsi="Palatino Linotype" w:cs="Arial"/>
          <w:lang w:val="es-ES_tradnl" w:eastAsia="es-ES"/>
        </w:rPr>
        <w:t xml:space="preserve">de dos mil veintiuno, por lo que se encuentra dentro de los márgenes temporales previstos en el artículo 178 de la </w:t>
      </w:r>
      <w:r w:rsidRPr="00074CAB">
        <w:rPr>
          <w:rFonts w:ascii="Palatino Linotype" w:eastAsiaTheme="minorEastAsia" w:hAnsi="Palatino Linotype" w:cs="Arial"/>
          <w:b/>
          <w:lang w:val="es-ES_tradnl" w:eastAsia="es-ES"/>
        </w:rPr>
        <w:t xml:space="preserve">Ley de Transparencia y Acceso a la Información Pública del Estado de México y Municipios </w:t>
      </w:r>
      <w:r w:rsidRPr="00074CAB">
        <w:rPr>
          <w:rFonts w:ascii="Palatino Linotype" w:eastAsiaTheme="minorEastAsia" w:hAnsi="Palatino Linotype" w:cs="Arial"/>
          <w:lang w:val="es-ES_tradnl" w:eastAsia="es-ES"/>
        </w:rPr>
        <w:t>vigente.</w:t>
      </w:r>
    </w:p>
    <w:p w:rsidR="00BA0658" w:rsidRPr="00074CAB" w:rsidRDefault="00BA0658" w:rsidP="00074CAB">
      <w:pPr>
        <w:spacing w:line="360" w:lineRule="auto"/>
        <w:ind w:right="49"/>
        <w:contextualSpacing/>
        <w:jc w:val="both"/>
        <w:rPr>
          <w:rFonts w:ascii="Palatino Linotype" w:eastAsiaTheme="minorEastAsia" w:hAnsi="Palatino Linotype" w:cs="Arial"/>
          <w:lang w:val="es-ES_tradnl" w:eastAsia="es-ES"/>
        </w:rPr>
      </w:pPr>
    </w:p>
    <w:p w:rsidR="003A19A2" w:rsidRPr="00074CAB" w:rsidRDefault="00BA0658"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3A19A2" w:rsidRPr="00074CAB" w:rsidRDefault="003A19A2" w:rsidP="00074CAB">
      <w:pPr>
        <w:spacing w:line="360" w:lineRule="auto"/>
        <w:ind w:right="49"/>
        <w:contextualSpacing/>
        <w:jc w:val="both"/>
        <w:rPr>
          <w:rFonts w:ascii="Palatino Linotype" w:eastAsia="Calibri" w:hAnsi="Palatino Linotype" w:cs="Arial"/>
          <w:lang w:val="es-ES_tradnl" w:eastAsia="es-ES"/>
        </w:rPr>
      </w:pPr>
    </w:p>
    <w:p w:rsidR="003A19A2" w:rsidRPr="00074CAB" w:rsidRDefault="00F47D77" w:rsidP="00074CAB">
      <w:pPr>
        <w:pStyle w:val="Ttulo1"/>
        <w:spacing w:before="0" w:line="360" w:lineRule="auto"/>
        <w:rPr>
          <w:rFonts w:ascii="Palatino Linotype" w:eastAsiaTheme="minorEastAsia" w:hAnsi="Palatino Linotype"/>
          <w:b/>
          <w:color w:val="auto"/>
          <w:sz w:val="24"/>
          <w:lang w:eastAsia="es-ES"/>
        </w:rPr>
      </w:pPr>
      <w:bookmarkStart w:id="11" w:name="_Toc70082938"/>
      <w:bookmarkStart w:id="12" w:name="_Toc84935144"/>
      <w:r w:rsidRPr="00074CAB">
        <w:rPr>
          <w:rFonts w:ascii="Palatino Linotype" w:eastAsiaTheme="minorEastAsia" w:hAnsi="Palatino Linotype"/>
          <w:b/>
          <w:color w:val="auto"/>
          <w:sz w:val="24"/>
          <w:lang w:eastAsia="es-ES"/>
        </w:rPr>
        <w:t>TERCER</w:t>
      </w:r>
      <w:r w:rsidR="003A19A2" w:rsidRPr="00074CAB">
        <w:rPr>
          <w:rFonts w:ascii="Palatino Linotype" w:eastAsiaTheme="minorEastAsia" w:hAnsi="Palatino Linotype"/>
          <w:b/>
          <w:color w:val="auto"/>
          <w:sz w:val="24"/>
          <w:lang w:eastAsia="es-ES"/>
        </w:rPr>
        <w:t>O. De las causales del sobreseimiento.</w:t>
      </w:r>
      <w:bookmarkEnd w:id="11"/>
      <w:bookmarkEnd w:id="12"/>
    </w:p>
    <w:p w:rsidR="00DF5DBB" w:rsidRPr="00074CAB" w:rsidRDefault="00DF5DBB" w:rsidP="00074CAB">
      <w:pPr>
        <w:spacing w:line="360" w:lineRule="auto"/>
        <w:ind w:right="49"/>
        <w:contextualSpacing/>
        <w:jc w:val="both"/>
        <w:rPr>
          <w:rFonts w:ascii="Palatino Linotype" w:eastAsiaTheme="minorEastAsia" w:hAnsi="Palatino Linotype"/>
          <w:b/>
          <w:lang w:eastAsia="es-ES"/>
        </w:rPr>
      </w:pPr>
    </w:p>
    <w:p w:rsidR="003A19A2"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olor w:val="000000" w:themeColor="text1"/>
        </w:rPr>
        <w:t xml:space="preserve">Ante la solicitud </w:t>
      </w:r>
      <w:r w:rsidRPr="00074CAB">
        <w:rPr>
          <w:rFonts w:ascii="Palatino Linotype" w:eastAsia="Calibri" w:hAnsi="Palatino Linotype" w:cs="Arial"/>
          <w:color w:val="000000" w:themeColor="text1"/>
          <w:lang w:val="es-ES"/>
        </w:rPr>
        <w:t>formulada por el particular al</w:t>
      </w:r>
      <w:r w:rsidRPr="00074CAB">
        <w:rPr>
          <w:rFonts w:ascii="Palatino Linotype" w:eastAsia="Calibri" w:hAnsi="Palatino Linotype" w:cs="Arial"/>
          <w:b/>
          <w:color w:val="000000" w:themeColor="text1"/>
          <w:lang w:val="es-ES"/>
        </w:rPr>
        <w:t xml:space="preserve"> Ayuntamiento de Atizapán de Zaragoza  </w:t>
      </w:r>
      <w:r w:rsidRPr="00074CAB">
        <w:rPr>
          <w:rFonts w:ascii="Palatino Linotype" w:hAnsi="Palatino Linotype"/>
          <w:color w:val="000000" w:themeColor="text1"/>
        </w:rPr>
        <w:t>en donde se requiere</w:t>
      </w:r>
      <w:r w:rsidR="00F47D77" w:rsidRPr="00074CAB">
        <w:rPr>
          <w:rFonts w:ascii="Palatino Linotype" w:hAnsi="Palatino Linotype"/>
          <w:color w:val="000000" w:themeColor="text1"/>
        </w:rPr>
        <w:t xml:space="preserve">: </w:t>
      </w:r>
    </w:p>
    <w:p w:rsidR="00F47D77" w:rsidRPr="00074CAB" w:rsidRDefault="00F47D77" w:rsidP="00074CAB">
      <w:pPr>
        <w:spacing w:line="360" w:lineRule="auto"/>
        <w:ind w:right="49"/>
        <w:contextualSpacing/>
        <w:jc w:val="both"/>
        <w:rPr>
          <w:rFonts w:ascii="Palatino Linotype" w:eastAsiaTheme="minorEastAsia" w:hAnsi="Palatino Linotype"/>
          <w:lang w:val="es-ES_tradnl" w:eastAsia="es-ES"/>
        </w:rPr>
      </w:pPr>
    </w:p>
    <w:p w:rsidR="00F47D77" w:rsidRPr="00074CAB" w:rsidRDefault="00F47D77" w:rsidP="00074CAB">
      <w:pPr>
        <w:pStyle w:val="Prrafodelista"/>
        <w:spacing w:line="360" w:lineRule="auto"/>
        <w:ind w:left="786" w:right="49"/>
        <w:jc w:val="both"/>
        <w:rPr>
          <w:rFonts w:ascii="Palatino Linotype" w:eastAsiaTheme="minorEastAsia" w:hAnsi="Palatino Linotype"/>
          <w:lang w:val="es-ES_tradnl" w:eastAsia="es-ES"/>
        </w:rPr>
      </w:pPr>
      <w:r w:rsidRPr="00074CAB">
        <w:rPr>
          <w:rFonts w:ascii="Palatino Linotype" w:eastAsia="MS Gothic" w:hAnsi="Palatino Linotype"/>
        </w:rPr>
        <w:t xml:space="preserve">1.- ¿Nombre del titular de seguridad pública? </w:t>
      </w:r>
    </w:p>
    <w:p w:rsidR="00F47D77" w:rsidRPr="00074CAB" w:rsidRDefault="00F47D77" w:rsidP="00074CAB">
      <w:pPr>
        <w:pStyle w:val="Prrafodelista"/>
        <w:spacing w:line="360" w:lineRule="auto"/>
        <w:ind w:left="786" w:right="49"/>
        <w:jc w:val="both"/>
        <w:rPr>
          <w:rFonts w:ascii="Palatino Linotype" w:eastAsia="MS Gothic" w:hAnsi="Palatino Linotype"/>
        </w:rPr>
      </w:pPr>
      <w:r w:rsidRPr="00074CAB">
        <w:rPr>
          <w:rFonts w:ascii="Palatino Linotype" w:eastAsia="MS Gothic" w:hAnsi="Palatino Linotype"/>
        </w:rPr>
        <w:t xml:space="preserve">2.- ¿Nombre del Titular de tránsito y/o movilidad? </w:t>
      </w:r>
    </w:p>
    <w:p w:rsidR="00F47D77" w:rsidRPr="00074CAB" w:rsidRDefault="00F47D77" w:rsidP="00074CAB">
      <w:pPr>
        <w:pStyle w:val="Prrafodelista"/>
        <w:spacing w:line="360" w:lineRule="auto"/>
        <w:ind w:left="786" w:right="49"/>
        <w:jc w:val="both"/>
        <w:rPr>
          <w:rFonts w:ascii="Palatino Linotype" w:eastAsia="MS Gothic" w:hAnsi="Palatino Linotype"/>
        </w:rPr>
      </w:pPr>
      <w:r w:rsidRPr="00074CAB">
        <w:rPr>
          <w:rFonts w:ascii="Palatino Linotype" w:eastAsia="MS Gothic" w:hAnsi="Palatino Linotype"/>
        </w:rPr>
        <w:t xml:space="preserve">3.- ¿Número de policías viales? </w:t>
      </w:r>
    </w:p>
    <w:p w:rsidR="00F47D77" w:rsidRPr="00074CAB" w:rsidRDefault="00F47D77" w:rsidP="00074CAB">
      <w:pPr>
        <w:pStyle w:val="Prrafodelista"/>
        <w:spacing w:line="360" w:lineRule="auto"/>
        <w:ind w:left="786" w:right="49"/>
        <w:jc w:val="both"/>
        <w:rPr>
          <w:rFonts w:ascii="Palatino Linotype" w:eastAsia="MS Gothic" w:hAnsi="Palatino Linotype"/>
        </w:rPr>
      </w:pPr>
      <w:r w:rsidRPr="00074CAB">
        <w:rPr>
          <w:rFonts w:ascii="Palatino Linotype" w:eastAsia="MS Gothic" w:hAnsi="Palatino Linotype"/>
        </w:rPr>
        <w:t xml:space="preserve">4.- ¿Número de infracciones anuales? </w:t>
      </w:r>
    </w:p>
    <w:p w:rsidR="00F47D77" w:rsidRPr="00074CAB" w:rsidRDefault="00F47D77" w:rsidP="00074CAB">
      <w:pPr>
        <w:pStyle w:val="Prrafodelista"/>
        <w:spacing w:line="360" w:lineRule="auto"/>
        <w:ind w:left="786" w:right="49"/>
        <w:jc w:val="both"/>
        <w:rPr>
          <w:rFonts w:ascii="Palatino Linotype" w:eastAsia="MS Gothic" w:hAnsi="Palatino Linotype"/>
        </w:rPr>
      </w:pPr>
      <w:r w:rsidRPr="00074CAB">
        <w:rPr>
          <w:rFonts w:ascii="Palatino Linotype" w:eastAsia="MS Gothic" w:hAnsi="Palatino Linotype"/>
        </w:rPr>
        <w:t xml:space="preserve">5.- ¿Número de infracciones por policía vial por día? </w:t>
      </w:r>
    </w:p>
    <w:p w:rsidR="00F47D77" w:rsidRPr="00074CAB" w:rsidRDefault="00F47D77" w:rsidP="00074CAB">
      <w:pPr>
        <w:pStyle w:val="Prrafodelista"/>
        <w:spacing w:line="360" w:lineRule="auto"/>
        <w:ind w:left="786" w:right="49"/>
        <w:jc w:val="both"/>
        <w:rPr>
          <w:rFonts w:ascii="Palatino Linotype" w:eastAsia="MS Gothic" w:hAnsi="Palatino Linotype"/>
        </w:rPr>
      </w:pPr>
      <w:r w:rsidRPr="00074CAB">
        <w:rPr>
          <w:rFonts w:ascii="Palatino Linotype" w:eastAsia="MS Gothic" w:hAnsi="Palatino Linotype"/>
        </w:rPr>
        <w:t xml:space="preserve">6.- ¿Cuáles son las 10 infracciones más frecuentes? </w:t>
      </w:r>
    </w:p>
    <w:p w:rsidR="00F47D77" w:rsidRPr="00074CAB" w:rsidRDefault="00F47D77" w:rsidP="00074CAB">
      <w:pPr>
        <w:pStyle w:val="Prrafodelista"/>
        <w:spacing w:line="360" w:lineRule="auto"/>
        <w:ind w:left="786" w:right="49"/>
        <w:jc w:val="both"/>
        <w:rPr>
          <w:rFonts w:ascii="Palatino Linotype" w:eastAsia="MS Gothic" w:hAnsi="Palatino Linotype"/>
        </w:rPr>
      </w:pPr>
      <w:r w:rsidRPr="00074CAB">
        <w:rPr>
          <w:rFonts w:ascii="Palatino Linotype" w:eastAsia="MS Gothic" w:hAnsi="Palatino Linotype"/>
        </w:rPr>
        <w:t>7.- ¿Cuál es el número de patrullas?</w:t>
      </w:r>
    </w:p>
    <w:p w:rsidR="00F47D77" w:rsidRPr="00074CAB" w:rsidRDefault="00F47D77" w:rsidP="00074CAB">
      <w:pPr>
        <w:pStyle w:val="Prrafodelista"/>
        <w:spacing w:line="360" w:lineRule="auto"/>
        <w:ind w:left="786" w:right="49"/>
        <w:jc w:val="both"/>
        <w:rPr>
          <w:rFonts w:ascii="Palatino Linotype" w:eastAsia="MS Gothic" w:hAnsi="Palatino Linotype"/>
        </w:rPr>
      </w:pPr>
      <w:r w:rsidRPr="00074CAB">
        <w:rPr>
          <w:rFonts w:ascii="Palatino Linotype" w:eastAsia="MS Gothic" w:hAnsi="Palatino Linotype"/>
        </w:rPr>
        <w:t xml:space="preserve">8.- ¿Cuentan o contaron con un sistema móvil o digital para registro de infracciones? ¿O se hacen a lápiz y papel? </w:t>
      </w:r>
    </w:p>
    <w:p w:rsidR="00F47D77" w:rsidRPr="00074CAB" w:rsidRDefault="00F47D77" w:rsidP="00074CAB">
      <w:pPr>
        <w:pStyle w:val="Prrafodelista"/>
        <w:spacing w:line="360" w:lineRule="auto"/>
        <w:ind w:left="786" w:right="49"/>
        <w:jc w:val="both"/>
        <w:rPr>
          <w:rFonts w:ascii="Palatino Linotype" w:eastAsia="MS Gothic" w:hAnsi="Palatino Linotype"/>
        </w:rPr>
      </w:pPr>
      <w:r w:rsidRPr="00074CAB">
        <w:rPr>
          <w:rFonts w:ascii="Palatino Linotype" w:eastAsia="MS Gothic" w:hAnsi="Palatino Linotype"/>
        </w:rPr>
        <w:t xml:space="preserve">9.- ¿En qué ocasiones retiran documentos al infraccionar? </w:t>
      </w:r>
    </w:p>
    <w:p w:rsidR="003A19A2" w:rsidRPr="00074CAB" w:rsidRDefault="00F47D77" w:rsidP="00074CAB">
      <w:pPr>
        <w:pStyle w:val="Prrafodelista"/>
        <w:spacing w:line="360" w:lineRule="auto"/>
        <w:ind w:left="786" w:right="49"/>
        <w:jc w:val="both"/>
        <w:rPr>
          <w:rFonts w:ascii="Palatino Linotype" w:eastAsia="MS Gothic" w:hAnsi="Palatino Linotype"/>
        </w:rPr>
      </w:pPr>
      <w:r w:rsidRPr="00074CAB">
        <w:rPr>
          <w:rFonts w:ascii="Palatino Linotype" w:eastAsia="MS Gothic" w:hAnsi="Palatino Linotype"/>
        </w:rPr>
        <w:t>10.- ¿Cuál es el número telefónico del área de tránsito y/o movilidad?</w:t>
      </w:r>
    </w:p>
    <w:p w:rsidR="00F47D77" w:rsidRPr="00074CAB" w:rsidRDefault="00F47D77" w:rsidP="00074CAB">
      <w:pPr>
        <w:pStyle w:val="Prrafodelista"/>
        <w:spacing w:line="360" w:lineRule="auto"/>
        <w:ind w:left="786" w:right="49"/>
        <w:jc w:val="both"/>
        <w:rPr>
          <w:rFonts w:ascii="Palatino Linotype" w:eastAsia="MS Gothic" w:hAnsi="Palatino Linotype"/>
        </w:rPr>
      </w:pPr>
    </w:p>
    <w:p w:rsidR="00DF2BC5"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rPr>
        <w:t xml:space="preserve">El Sujeto Obligado </w:t>
      </w:r>
      <w:r w:rsidR="00F47D77" w:rsidRPr="00074CAB">
        <w:rPr>
          <w:rFonts w:ascii="Palatino Linotype" w:hAnsi="Palatino Linotype"/>
          <w:iCs/>
          <w:color w:val="000000"/>
        </w:rPr>
        <w:t>entregó dos ligas electrónicas donde podía ser consultada la información,  el número telefónico y el horario de Atención de la Subdirección de Tránsito Municipal de Atizapán de Zaragoza</w:t>
      </w:r>
      <w:r w:rsidR="00DF2BC5" w:rsidRPr="00074CAB">
        <w:rPr>
          <w:rFonts w:ascii="Palatino Linotype" w:hAnsi="Palatino Linotype"/>
          <w:iCs/>
          <w:color w:val="000000"/>
        </w:rPr>
        <w:t>.</w:t>
      </w:r>
    </w:p>
    <w:p w:rsidR="00DF2BC5" w:rsidRPr="00074CAB" w:rsidRDefault="00DF2BC5" w:rsidP="00074CAB">
      <w:pPr>
        <w:spacing w:line="360" w:lineRule="auto"/>
        <w:ind w:right="49"/>
        <w:contextualSpacing/>
        <w:jc w:val="both"/>
        <w:rPr>
          <w:rFonts w:ascii="Palatino Linotype" w:eastAsiaTheme="minorEastAsia" w:hAnsi="Palatino Linotype"/>
          <w:lang w:val="es-ES_tradnl" w:eastAsia="es-ES"/>
        </w:rPr>
      </w:pPr>
    </w:p>
    <w:p w:rsidR="00DF2BC5" w:rsidRPr="00074CAB" w:rsidRDefault="00DF2BC5" w:rsidP="00074CAB">
      <w:pPr>
        <w:numPr>
          <w:ilvl w:val="0"/>
          <w:numId w:val="1"/>
        </w:numPr>
        <w:spacing w:line="360" w:lineRule="auto"/>
        <w:ind w:left="0" w:right="49" w:firstLine="0"/>
        <w:contextualSpacing/>
        <w:jc w:val="both"/>
        <w:rPr>
          <w:rFonts w:ascii="Palatino Linotype" w:hAnsi="Palatino Linotype"/>
          <w:i/>
          <w:color w:val="000000"/>
        </w:rPr>
      </w:pPr>
      <w:r w:rsidRPr="00074CAB">
        <w:rPr>
          <w:rFonts w:ascii="Palatino Linotype" w:hAnsi="Palatino Linotype"/>
        </w:rPr>
        <w:t xml:space="preserve">En consecuencia, el particular interpuso recurso de revisión; manifestó en sus motivos de inconformidad </w:t>
      </w:r>
      <w:r w:rsidRPr="00074CAB">
        <w:rPr>
          <w:rFonts w:ascii="Palatino Linotype" w:hAnsi="Palatino Linotype"/>
          <w:i/>
          <w:color w:val="000000"/>
          <w:lang w:val="es-ES"/>
        </w:rPr>
        <w:t>“</w:t>
      </w:r>
      <w:r w:rsidRPr="00074CAB">
        <w:rPr>
          <w:rFonts w:ascii="Palatino Linotype" w:hAnsi="Palatino Linotype"/>
          <w:i/>
          <w:color w:val="000000"/>
        </w:rPr>
        <w:t>La respuesta fueron dos Links. Link 1 para la respuesta 1 y 2 no lleva a ningún lado: http://www.transparenciaatiz.com.mx/Direccion-de-Administracion-y-Desarrollo-</w:t>
      </w:r>
      <w:r w:rsidRPr="00074CAB">
        <w:rPr>
          <w:rFonts w:ascii="Palatino Linotype" w:hAnsi="Palatino Linotype"/>
          <w:i/>
          <w:color w:val="000000"/>
        </w:rPr>
        <w:lastRenderedPageBreak/>
        <w:t xml:space="preserve">Personal/SUB.%20REC.%20HUM./2021/ART%2092%20FRACC%20XXI%20ORGANIGRAMA/ORG.pdf Link 2 para todas las preguntas de la 3 a la </w:t>
      </w:r>
      <w:proofErr w:type="gramStart"/>
      <w:r w:rsidRPr="00074CAB">
        <w:rPr>
          <w:rFonts w:ascii="Palatino Linotype" w:hAnsi="Palatino Linotype"/>
          <w:i/>
          <w:color w:val="000000"/>
        </w:rPr>
        <w:t>9 :</w:t>
      </w:r>
      <w:proofErr w:type="gramEnd"/>
      <w:r w:rsidRPr="00074CAB">
        <w:rPr>
          <w:rFonts w:ascii="Palatino Linotype" w:hAnsi="Palatino Linotype"/>
          <w:i/>
          <w:color w:val="000000"/>
        </w:rPr>
        <w:t xml:space="preserve"> Las respuestas son del año 2018, mi duda es ¿Es ese el periodo más reciente disponible? Además he de mencionar que NO MENCIONA LAS RESPUESTAS a los puntos 5, 8, y 9, por eso las solicito nuevamente” (Sic).</w:t>
      </w:r>
    </w:p>
    <w:p w:rsidR="00DF2BC5" w:rsidRPr="00074CAB" w:rsidRDefault="00DF2BC5" w:rsidP="00074CAB">
      <w:pPr>
        <w:spacing w:line="360" w:lineRule="auto"/>
        <w:ind w:right="49"/>
        <w:contextualSpacing/>
        <w:jc w:val="both"/>
        <w:rPr>
          <w:rFonts w:ascii="Palatino Linotype" w:hAnsi="Palatino Linotype"/>
          <w:i/>
          <w:color w:val="000000"/>
        </w:rPr>
      </w:pPr>
    </w:p>
    <w:p w:rsidR="003A19A2" w:rsidRPr="00074CAB" w:rsidRDefault="003A19A2" w:rsidP="00074CAB">
      <w:pPr>
        <w:numPr>
          <w:ilvl w:val="0"/>
          <w:numId w:val="1"/>
        </w:numPr>
        <w:spacing w:line="360" w:lineRule="auto"/>
        <w:ind w:left="0" w:right="49" w:firstLine="0"/>
        <w:contextualSpacing/>
        <w:jc w:val="both"/>
        <w:rPr>
          <w:rFonts w:ascii="Palatino Linotype" w:hAnsi="Palatino Linotype"/>
          <w:i/>
          <w:color w:val="000000"/>
        </w:rPr>
      </w:pPr>
      <w:r w:rsidRPr="00074CAB">
        <w:rPr>
          <w:rFonts w:ascii="Palatino Linotype" w:eastAsia="MS Mincho" w:hAnsi="Palatino Linotype"/>
        </w:rPr>
        <w:t>En atención a lo anterior expuesto, es pertinente señalar que el párrafo primero del artículo 11 de la</w:t>
      </w:r>
      <w:r w:rsidRPr="00074CAB">
        <w:rPr>
          <w:rFonts w:ascii="Palatino Linotype" w:hAnsi="Palatino Linotype"/>
        </w:rPr>
        <w:t xml:space="preserve"> </w:t>
      </w:r>
      <w:r w:rsidRPr="00074CAB">
        <w:rPr>
          <w:rFonts w:ascii="Palatino Linotype" w:hAnsi="Palatino Linotype"/>
          <w:b/>
        </w:rPr>
        <w:t>Ley de Transparencia y Acceso a la Información Pública del Estado de México y Municipios</w:t>
      </w:r>
      <w:r w:rsidRPr="00074CAB">
        <w:rPr>
          <w:rFonts w:ascii="Palatino Linotype" w:hAnsi="Palatino Linotype"/>
        </w:rPr>
        <w:t xml:space="preserve"> , misma que dispone las formas en que se habrá de generar, publicar y hacer entrega de la información al señalar que </w:t>
      </w:r>
      <w:r w:rsidRPr="00074CAB">
        <w:rPr>
          <w:rFonts w:ascii="Palatino Linotype" w:eastAsia="Calibri" w:hAnsi="Palatino Linotype" w:cs="Arial"/>
          <w:lang w:val="es-ES"/>
        </w:rPr>
        <w:t>“</w:t>
      </w:r>
      <w:r w:rsidRPr="00074CAB">
        <w:rPr>
          <w:rFonts w:ascii="Palatino Linotype" w:hAnsi="Palatino Linotype"/>
          <w:i/>
        </w:rPr>
        <w:t xml:space="preserve">En la generación, publicación y </w:t>
      </w:r>
      <w:r w:rsidRPr="00074CAB">
        <w:rPr>
          <w:rFonts w:ascii="Palatino Linotype" w:hAnsi="Palatino Linotype"/>
          <w:b/>
          <w:i/>
          <w:u w:val="single"/>
        </w:rPr>
        <w:t>entrega de información</w:t>
      </w:r>
      <w:r w:rsidRPr="00074CAB">
        <w:rPr>
          <w:rFonts w:ascii="Palatino Linotype" w:hAnsi="Palatino Linotype"/>
          <w:i/>
        </w:rPr>
        <w:t xml:space="preserve"> se deberá garantizar que ésta sea accesible, actualizada, </w:t>
      </w:r>
      <w:r w:rsidRPr="00074CAB">
        <w:rPr>
          <w:rFonts w:ascii="Palatino Linotype" w:hAnsi="Palatino Linotype"/>
          <w:b/>
          <w:i/>
          <w:u w:val="single"/>
        </w:rPr>
        <w:t>completa</w:t>
      </w:r>
      <w:r w:rsidRPr="00074CAB">
        <w:rPr>
          <w:rFonts w:ascii="Palatino Linotype" w:hAnsi="Palatino Linotype"/>
          <w:i/>
        </w:rPr>
        <w:t>,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3A19A2" w:rsidRPr="00074CAB" w:rsidRDefault="003A19A2" w:rsidP="00074CAB">
      <w:pPr>
        <w:spacing w:line="360" w:lineRule="auto"/>
        <w:ind w:right="49"/>
        <w:contextualSpacing/>
        <w:jc w:val="both"/>
        <w:rPr>
          <w:rFonts w:ascii="Palatino Linotype" w:eastAsiaTheme="minorEastAsia" w:hAnsi="Palatino Linotype"/>
          <w:lang w:val="es-ES_tradnl" w:eastAsia="es-ES"/>
        </w:rPr>
      </w:pPr>
    </w:p>
    <w:p w:rsidR="003A19A2"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MS Mincho" w:hAnsi="Palatino Linotype"/>
        </w:rPr>
        <w:t xml:space="preserve">De ello se advierte que la respuesta de todos los Sujetos Obligados a una solicitud de Acceso a la Información Pública debe ser completa </w:t>
      </w:r>
      <w:r w:rsidRPr="00074CAB">
        <w:rPr>
          <w:rFonts w:ascii="Palatino Linotype" w:hAnsi="Palatino Linotype"/>
        </w:rPr>
        <w:t>confiable, accesible, verificable, veraz, integral</w:t>
      </w:r>
      <w:r w:rsidRPr="00074CAB">
        <w:rPr>
          <w:rFonts w:ascii="Palatino Linotype" w:eastAsia="MS Mincho" w:hAnsi="Palatino Linotype"/>
        </w:rPr>
        <w:t xml:space="preserve"> y congruente con lo requerido, de lo contrario se contravendría el artículo 11 de la Ley de Transparencia Local.</w:t>
      </w:r>
    </w:p>
    <w:p w:rsidR="003A19A2" w:rsidRPr="00074CAB" w:rsidRDefault="003A19A2" w:rsidP="00074CAB">
      <w:pPr>
        <w:spacing w:line="360" w:lineRule="auto"/>
        <w:ind w:right="49"/>
        <w:contextualSpacing/>
        <w:jc w:val="both"/>
        <w:rPr>
          <w:rFonts w:ascii="Palatino Linotype" w:eastAsiaTheme="minorEastAsia" w:hAnsi="Palatino Linotype"/>
          <w:lang w:val="es-ES_tradnl" w:eastAsia="es-ES"/>
        </w:rPr>
      </w:pPr>
    </w:p>
    <w:p w:rsidR="003A19A2"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rPr>
        <w:t xml:space="preserve">Bajo ese tenor, se concluye que es obligación de todas las autoridades, promover, respetar y garantizar los derechos humanos, entre ellos el de acceso a la información pública, por lo que la falta de respuesta, las respuestas imprecisas, </w:t>
      </w:r>
      <w:r w:rsidRPr="00074CAB">
        <w:rPr>
          <w:rFonts w:ascii="Palatino Linotype" w:hAnsi="Palatino Linotype"/>
          <w:b/>
          <w:u w:val="single"/>
        </w:rPr>
        <w:lastRenderedPageBreak/>
        <w:t>incompletas</w:t>
      </w:r>
      <w:r w:rsidRPr="00074CAB">
        <w:rPr>
          <w:rFonts w:ascii="Palatino Linotype" w:hAnsi="Palatino Linotype"/>
        </w:rPr>
        <w:t xml:space="preserve">, o que no corresponden a lo solicitado </w:t>
      </w:r>
      <w:r w:rsidRPr="00074CAB">
        <w:rPr>
          <w:rFonts w:ascii="Palatino Linotype" w:hAnsi="Palatino Linotype"/>
          <w:b/>
          <w:u w:val="single"/>
        </w:rPr>
        <w:t>generan una afectación inicial susceptible de ser reparada mediante el recurso de revisión</w:t>
      </w:r>
      <w:r w:rsidRPr="00074CAB">
        <w:rPr>
          <w:rFonts w:ascii="Palatino Linotype" w:hAnsi="Palatino Linotype"/>
        </w:rPr>
        <w:t>.</w:t>
      </w:r>
    </w:p>
    <w:p w:rsidR="003A19A2" w:rsidRPr="00074CAB" w:rsidRDefault="003A19A2" w:rsidP="00074CAB">
      <w:pPr>
        <w:spacing w:line="360" w:lineRule="auto"/>
        <w:ind w:right="49"/>
        <w:contextualSpacing/>
        <w:jc w:val="both"/>
        <w:rPr>
          <w:rFonts w:ascii="Palatino Linotype" w:eastAsiaTheme="minorEastAsia" w:hAnsi="Palatino Linotype"/>
          <w:lang w:val="es-ES_tradnl" w:eastAsia="es-ES"/>
        </w:rPr>
      </w:pPr>
    </w:p>
    <w:p w:rsidR="00DF2BC5" w:rsidRPr="00074CAB" w:rsidRDefault="00DF2BC5" w:rsidP="00074CAB">
      <w:pPr>
        <w:pStyle w:val="Prrafodelista"/>
        <w:numPr>
          <w:ilvl w:val="0"/>
          <w:numId w:val="1"/>
        </w:numPr>
        <w:spacing w:line="360" w:lineRule="auto"/>
        <w:ind w:left="0" w:firstLine="0"/>
        <w:jc w:val="both"/>
        <w:rPr>
          <w:rFonts w:ascii="Palatino Linotype" w:eastAsiaTheme="minorEastAsia" w:hAnsi="Palatino Linotype"/>
          <w:sz w:val="24"/>
          <w:lang w:val="es-ES_tradnl" w:eastAsia="es-ES"/>
        </w:rPr>
      </w:pPr>
      <w:r w:rsidRPr="00074CAB">
        <w:rPr>
          <w:rFonts w:ascii="Palatino Linotype" w:eastAsiaTheme="minorEastAsia" w:hAnsi="Palatino Linotype"/>
          <w:sz w:val="24"/>
          <w:lang w:val="es-ES_tradnl" w:eastAsia="es-ES"/>
        </w:rPr>
        <w:t xml:space="preserve">En este caso, cabe señalar que </w:t>
      </w:r>
      <w:r w:rsidR="00AA5EDA" w:rsidRPr="00074CAB">
        <w:rPr>
          <w:rFonts w:ascii="Palatino Linotype" w:eastAsiaTheme="minorEastAsia" w:hAnsi="Palatino Linotype"/>
          <w:sz w:val="24"/>
          <w:lang w:val="es-ES_tradnl" w:eastAsia="es-ES"/>
        </w:rPr>
        <w:t xml:space="preserve">en primer lugar, </w:t>
      </w:r>
      <w:r w:rsidRPr="00074CAB">
        <w:rPr>
          <w:rFonts w:ascii="Palatino Linotype" w:eastAsiaTheme="minorEastAsia" w:hAnsi="Palatino Linotype"/>
          <w:sz w:val="24"/>
          <w:lang w:val="es-ES_tradnl" w:eastAsia="es-ES"/>
        </w:rPr>
        <w:t xml:space="preserve">la </w:t>
      </w:r>
      <w:r w:rsidR="00AA5EDA" w:rsidRPr="00074CAB">
        <w:rPr>
          <w:rFonts w:ascii="Palatino Linotype" w:eastAsiaTheme="minorEastAsia" w:hAnsi="Palatino Linotype"/>
          <w:sz w:val="24"/>
          <w:lang w:val="es-ES_tradnl" w:eastAsia="es-ES"/>
        </w:rPr>
        <w:t>RECURRENTE</w:t>
      </w:r>
      <w:r w:rsidRPr="00074CAB">
        <w:rPr>
          <w:rFonts w:ascii="Palatino Linotype" w:eastAsiaTheme="minorEastAsia" w:hAnsi="Palatino Linotype"/>
          <w:sz w:val="24"/>
          <w:lang w:val="es-ES_tradnl" w:eastAsia="es-ES"/>
        </w:rPr>
        <w:t xml:space="preserve"> se inconformó porque no se puede acceder a la liga electrónica que entregó el Sujeto Obligado para dar respuesta  al numeral 1 y 2 de la solicitud de información; en este caso, cabe señalar que mediante informe justificado, el Sujeto Obligado manifestó que en efecto, existía un error para ingresar a la liga electrónica, por esta razón, modifico su respuesta y en el documento entregado señalo los nombres del Director Seguridad Pública  y Tránsito,  y del Subdirector de Tránsito y Movilidad de la Dirección de Seguridad Pública y Tránsito Municipal de Atizapán de Zaragoza. </w:t>
      </w:r>
    </w:p>
    <w:p w:rsidR="00AA5EDA" w:rsidRPr="00074CAB" w:rsidRDefault="00AA5EDA" w:rsidP="00074CAB">
      <w:pPr>
        <w:pStyle w:val="Prrafodelista"/>
        <w:spacing w:line="360" w:lineRule="auto"/>
        <w:ind w:left="0"/>
        <w:jc w:val="both"/>
        <w:rPr>
          <w:rFonts w:ascii="Palatino Linotype" w:eastAsiaTheme="minorEastAsia" w:hAnsi="Palatino Linotype"/>
          <w:sz w:val="24"/>
          <w:lang w:val="es-ES_tradnl" w:eastAsia="es-ES"/>
        </w:rPr>
      </w:pPr>
    </w:p>
    <w:p w:rsidR="00DF2BC5" w:rsidRPr="00074CAB" w:rsidRDefault="00AA5EDA"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Theme="minorEastAsia" w:hAnsi="Palatino Linotype"/>
          <w:lang w:val="es-ES_tradnl" w:eastAsia="es-ES"/>
        </w:rPr>
        <w:t>En segundo lugar</w:t>
      </w:r>
      <w:r w:rsidR="00E250C9" w:rsidRPr="00074CAB">
        <w:rPr>
          <w:rFonts w:ascii="Palatino Linotype" w:eastAsiaTheme="minorEastAsia" w:hAnsi="Palatino Linotype"/>
          <w:lang w:val="es-ES_tradnl" w:eastAsia="es-ES"/>
        </w:rPr>
        <w:t>, el</w:t>
      </w:r>
      <w:r w:rsidRPr="00074CAB">
        <w:rPr>
          <w:rFonts w:ascii="Palatino Linotype" w:eastAsiaTheme="minorEastAsia" w:hAnsi="Palatino Linotype"/>
          <w:lang w:val="es-ES_tradnl" w:eastAsia="es-ES"/>
        </w:rPr>
        <w:t xml:space="preserve"> RECURRENTE se inconformó de las respuestas al numeral 5, 8 y 9</w:t>
      </w:r>
      <w:r w:rsidR="00F1355E" w:rsidRPr="00074CAB">
        <w:rPr>
          <w:rFonts w:ascii="Palatino Linotype" w:eastAsiaTheme="minorEastAsia" w:hAnsi="Palatino Linotype"/>
          <w:lang w:val="es-ES_tradnl" w:eastAsia="es-ES"/>
        </w:rPr>
        <w:t xml:space="preserve">; </w:t>
      </w:r>
      <w:r w:rsidRPr="00074CAB">
        <w:rPr>
          <w:rFonts w:ascii="Palatino Linotype" w:eastAsiaTheme="minorEastAsia" w:hAnsi="Palatino Linotype"/>
          <w:lang w:val="es-ES_tradnl" w:eastAsia="es-ES"/>
        </w:rPr>
        <w:t>mediante informe justificado, el SUJETO OBLIGADO señaló que por lo que respecta a la solicitud en el numeral 5 (número de infracciones por policía vial por día), deberá dirigirse a la estadística presentada en el Plan de Desarrollo Municipal de Atizapán de Zaragoza 2019-2021, remitido mediante respuesta, esto en virtud de que la obligación de proporcionar información no compren</w:t>
      </w:r>
      <w:r w:rsidR="00F1355E" w:rsidRPr="00074CAB">
        <w:rPr>
          <w:rFonts w:ascii="Palatino Linotype" w:eastAsiaTheme="minorEastAsia" w:hAnsi="Palatino Linotype"/>
          <w:lang w:val="es-ES_tradnl" w:eastAsia="es-ES"/>
        </w:rPr>
        <w:t xml:space="preserve">de el procesamiento de la misma, ni presentarla conforme al interés del solicitante. </w:t>
      </w:r>
    </w:p>
    <w:p w:rsidR="00BC2933" w:rsidRPr="00074CAB" w:rsidRDefault="00BC2933" w:rsidP="00074CAB">
      <w:pPr>
        <w:spacing w:line="360" w:lineRule="auto"/>
        <w:ind w:right="49"/>
        <w:contextualSpacing/>
        <w:jc w:val="both"/>
        <w:rPr>
          <w:rFonts w:ascii="Palatino Linotype" w:eastAsiaTheme="minorEastAsia" w:hAnsi="Palatino Linotype"/>
          <w:lang w:val="es-ES_tradnl" w:eastAsia="es-ES"/>
        </w:rPr>
      </w:pPr>
    </w:p>
    <w:p w:rsidR="00BC2933" w:rsidRPr="00074CAB" w:rsidRDefault="00BC2933"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Theme="minorEastAsia" w:hAnsi="Palatino Linotype"/>
          <w:lang w:val="es-ES_tradnl" w:eastAsia="es-ES"/>
        </w:rPr>
        <w:t xml:space="preserve">En este caso, cabe señalar que el artículo 12 d la ley de Transparencia establece que los Sujeto Obligados solo proporcionarán la información pública que obre en sus archivos y en el estado en que se encuentre; asimismo, la obligación de proporcionar la información no comprende el procesamiento de la misma, ni presentarla conforme al interés del solicitante, por lo que no estarán obligados a generarla, resumirla, </w:t>
      </w:r>
      <w:r w:rsidRPr="00074CAB">
        <w:rPr>
          <w:rFonts w:ascii="Palatino Linotype" w:eastAsiaTheme="minorEastAsia" w:hAnsi="Palatino Linotype"/>
          <w:lang w:val="es-ES_tradnl" w:eastAsia="es-ES"/>
        </w:rPr>
        <w:lastRenderedPageBreak/>
        <w:t>efectuar cálculos o practicar investigaciones, por lo que con la información entregada en el Plan de Desarrollo Municipal 2019-2021, se colma con el punto 5 de la solicitud de información.</w:t>
      </w:r>
    </w:p>
    <w:p w:rsidR="00BC2933" w:rsidRPr="00074CAB" w:rsidRDefault="00BC2933" w:rsidP="00074CAB">
      <w:pPr>
        <w:spacing w:line="360" w:lineRule="auto"/>
        <w:ind w:right="822"/>
        <w:contextualSpacing/>
        <w:jc w:val="both"/>
        <w:rPr>
          <w:rFonts w:ascii="Palatino Linotype" w:eastAsiaTheme="minorEastAsia" w:hAnsi="Palatino Linotype"/>
          <w:i/>
          <w:sz w:val="22"/>
          <w:lang w:val="es-ES_tradnl" w:eastAsia="es-ES"/>
        </w:rPr>
      </w:pPr>
    </w:p>
    <w:p w:rsidR="00DF2BC5" w:rsidRPr="00074CAB" w:rsidRDefault="00BC2933"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Theme="minorEastAsia" w:hAnsi="Palatino Linotype"/>
          <w:lang w:val="es-ES_tradnl" w:eastAsia="es-ES"/>
        </w:rPr>
        <w:t>Por lo que respecta</w:t>
      </w:r>
      <w:r w:rsidR="00DA103F" w:rsidRPr="00074CAB">
        <w:rPr>
          <w:rFonts w:ascii="Palatino Linotype" w:eastAsiaTheme="minorEastAsia" w:hAnsi="Palatino Linotype"/>
          <w:lang w:val="es-ES_tradnl" w:eastAsia="es-ES"/>
        </w:rPr>
        <w:t xml:space="preserve"> </w:t>
      </w:r>
      <w:r w:rsidR="000C4F59" w:rsidRPr="00074CAB">
        <w:rPr>
          <w:rFonts w:ascii="Palatino Linotype" w:eastAsiaTheme="minorEastAsia" w:hAnsi="Palatino Linotype"/>
          <w:lang w:val="es-ES_tradnl" w:eastAsia="es-ES"/>
        </w:rPr>
        <w:t>al</w:t>
      </w:r>
      <w:r w:rsidRPr="00074CAB">
        <w:rPr>
          <w:rFonts w:ascii="Palatino Linotype" w:eastAsiaTheme="minorEastAsia" w:hAnsi="Palatino Linotype"/>
          <w:lang w:val="es-ES_tradnl" w:eastAsia="es-ES"/>
        </w:rPr>
        <w:t xml:space="preserve"> numeral 8 </w:t>
      </w:r>
      <w:r w:rsidR="00DA103F" w:rsidRPr="00074CAB">
        <w:rPr>
          <w:rFonts w:ascii="Palatino Linotype" w:eastAsiaTheme="minorEastAsia" w:hAnsi="Palatino Linotype"/>
          <w:lang w:val="es-ES_tradnl" w:eastAsia="es-ES"/>
        </w:rPr>
        <w:t>(¿cuentan o contaron con un sistema móvil o digital para registro de infracciones?)</w:t>
      </w:r>
      <w:r w:rsidR="000C4F59" w:rsidRPr="00074CAB">
        <w:rPr>
          <w:rFonts w:ascii="Palatino Linotype" w:eastAsiaTheme="minorEastAsia" w:hAnsi="Palatino Linotype"/>
          <w:lang w:val="es-ES_tradnl" w:eastAsia="es-ES"/>
        </w:rPr>
        <w:t xml:space="preserve"> de la solicitud de información</w:t>
      </w:r>
      <w:r w:rsidR="00DA103F" w:rsidRPr="00074CAB">
        <w:rPr>
          <w:rFonts w:ascii="Palatino Linotype" w:eastAsiaTheme="minorEastAsia" w:hAnsi="Palatino Linotype"/>
          <w:lang w:val="es-ES_tradnl" w:eastAsia="es-ES"/>
        </w:rPr>
        <w:t xml:space="preserve">, </w:t>
      </w:r>
      <w:r w:rsidR="000C4F59" w:rsidRPr="00074CAB">
        <w:rPr>
          <w:rFonts w:ascii="Palatino Linotype" w:eastAsiaTheme="minorEastAsia" w:hAnsi="Palatino Linotype"/>
          <w:lang w:val="es-ES_tradnl" w:eastAsia="es-ES"/>
        </w:rPr>
        <w:t>el Sujeto Obligado manifestó a través del informe justificado, que cuenta con un sistema digital para el registro de infracciones, en ese contexto, colma con el numeral 8 de la solicitud de acceso a la información pública.</w:t>
      </w:r>
    </w:p>
    <w:p w:rsidR="000C4F59" w:rsidRPr="00074CAB" w:rsidRDefault="000C4F59" w:rsidP="00074CAB">
      <w:pPr>
        <w:spacing w:line="360" w:lineRule="auto"/>
        <w:ind w:right="49"/>
        <w:contextualSpacing/>
        <w:jc w:val="both"/>
        <w:rPr>
          <w:rFonts w:ascii="Palatino Linotype" w:eastAsiaTheme="minorEastAsia" w:hAnsi="Palatino Linotype"/>
          <w:lang w:val="es-ES_tradnl" w:eastAsia="es-ES"/>
        </w:rPr>
      </w:pPr>
    </w:p>
    <w:p w:rsidR="000C4F59" w:rsidRPr="00074CAB" w:rsidRDefault="000C4F59"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Theme="minorEastAsia" w:hAnsi="Palatino Linotype"/>
          <w:lang w:val="es-ES_tradnl" w:eastAsia="es-ES"/>
        </w:rPr>
        <w:t xml:space="preserve">Ahora bien, por lo que se refiere al numeral 9 (¿En </w:t>
      </w:r>
      <w:proofErr w:type="spellStart"/>
      <w:r w:rsidRPr="00074CAB">
        <w:rPr>
          <w:rFonts w:ascii="Palatino Linotype" w:eastAsiaTheme="minorEastAsia" w:hAnsi="Palatino Linotype"/>
          <w:lang w:val="es-ES_tradnl" w:eastAsia="es-ES"/>
        </w:rPr>
        <w:t>que</w:t>
      </w:r>
      <w:proofErr w:type="spellEnd"/>
      <w:r w:rsidRPr="00074CAB">
        <w:rPr>
          <w:rFonts w:ascii="Palatino Linotype" w:eastAsiaTheme="minorEastAsia" w:hAnsi="Palatino Linotype"/>
          <w:lang w:val="es-ES_tradnl" w:eastAsia="es-ES"/>
        </w:rPr>
        <w:t xml:space="preserve"> ocasiones retiran documentos al infraccionar?), el Sujeto Obligado refirió en informe justificado las razones </w:t>
      </w:r>
      <w:r w:rsidR="009974A8" w:rsidRPr="00074CAB">
        <w:rPr>
          <w:rFonts w:ascii="Palatino Linotype" w:eastAsiaTheme="minorEastAsia" w:hAnsi="Palatino Linotype"/>
          <w:lang w:val="es-ES_tradnl" w:eastAsia="es-ES"/>
        </w:rPr>
        <w:t xml:space="preserve">establecidas en el artículo 125 </w:t>
      </w:r>
      <w:proofErr w:type="spellStart"/>
      <w:r w:rsidR="009974A8" w:rsidRPr="00074CAB">
        <w:rPr>
          <w:rFonts w:ascii="Palatino Linotype" w:eastAsiaTheme="minorEastAsia" w:hAnsi="Palatino Linotype"/>
          <w:lang w:val="es-ES_tradnl" w:eastAsia="es-ES"/>
        </w:rPr>
        <w:t>Quinquies</w:t>
      </w:r>
      <w:proofErr w:type="spellEnd"/>
      <w:r w:rsidR="009974A8" w:rsidRPr="00074CAB">
        <w:rPr>
          <w:rFonts w:ascii="Palatino Linotype" w:eastAsiaTheme="minorEastAsia" w:hAnsi="Palatino Linotype"/>
          <w:lang w:val="es-ES_tradnl" w:eastAsia="es-ES"/>
        </w:rPr>
        <w:t xml:space="preserve"> del Reglamento de Tránsito del Estado de México y el artículo 8.19 del Código Administrativo del Estado de México, que establecen lo siguiente:</w:t>
      </w:r>
    </w:p>
    <w:p w:rsidR="009974A8" w:rsidRPr="00074CAB" w:rsidRDefault="009974A8" w:rsidP="00074CAB">
      <w:pPr>
        <w:spacing w:line="360" w:lineRule="auto"/>
        <w:ind w:right="49"/>
        <w:contextualSpacing/>
        <w:jc w:val="center"/>
        <w:rPr>
          <w:rFonts w:ascii="Palatino Linotype" w:eastAsiaTheme="minorEastAsia" w:hAnsi="Palatino Linotype"/>
          <w:b/>
          <w:i/>
          <w:lang w:val="es-ES_tradnl" w:eastAsia="es-ES"/>
        </w:rPr>
      </w:pPr>
    </w:p>
    <w:p w:rsidR="009974A8" w:rsidRPr="00074CAB" w:rsidRDefault="009974A8" w:rsidP="00074CAB">
      <w:pPr>
        <w:spacing w:line="360" w:lineRule="auto"/>
        <w:ind w:right="49"/>
        <w:contextualSpacing/>
        <w:jc w:val="center"/>
        <w:rPr>
          <w:rFonts w:ascii="Palatino Linotype" w:eastAsiaTheme="minorEastAsia" w:hAnsi="Palatino Linotype"/>
          <w:b/>
          <w:i/>
          <w:sz w:val="22"/>
          <w:lang w:eastAsia="es-ES"/>
        </w:rPr>
      </w:pPr>
      <w:r w:rsidRPr="00074CAB">
        <w:rPr>
          <w:rFonts w:ascii="Palatino Linotype" w:eastAsiaTheme="minorEastAsia" w:hAnsi="Palatino Linotype"/>
          <w:b/>
          <w:i/>
          <w:sz w:val="22"/>
          <w:lang w:eastAsia="es-ES"/>
        </w:rPr>
        <w:t>REGLAMENTO DE TRANSITO DEL ESTADO DE MEXICO</w:t>
      </w:r>
    </w:p>
    <w:p w:rsidR="009974A8" w:rsidRPr="00074CAB" w:rsidRDefault="009974A8" w:rsidP="00074CAB">
      <w:pPr>
        <w:spacing w:line="360" w:lineRule="auto"/>
        <w:ind w:right="49"/>
        <w:contextualSpacing/>
        <w:jc w:val="center"/>
        <w:rPr>
          <w:rFonts w:ascii="Palatino Linotype" w:eastAsiaTheme="minorEastAsia" w:hAnsi="Palatino Linotype"/>
          <w:b/>
          <w:i/>
          <w:lang w:val="es-ES_tradnl" w:eastAsia="es-ES"/>
        </w:rPr>
      </w:pPr>
    </w:p>
    <w:p w:rsidR="009974A8" w:rsidRPr="00074CAB" w:rsidRDefault="009974A8" w:rsidP="00074CAB">
      <w:pPr>
        <w:spacing w:line="360" w:lineRule="auto"/>
        <w:ind w:left="851" w:right="822"/>
        <w:contextualSpacing/>
        <w:jc w:val="both"/>
        <w:rPr>
          <w:rFonts w:ascii="Palatino Linotype" w:eastAsiaTheme="minorEastAsia" w:hAnsi="Palatino Linotype"/>
          <w:i/>
          <w:sz w:val="22"/>
          <w:lang w:eastAsia="es-ES"/>
        </w:rPr>
      </w:pPr>
      <w:r w:rsidRPr="00074CAB">
        <w:rPr>
          <w:rFonts w:ascii="Palatino Linotype" w:eastAsiaTheme="minorEastAsia" w:hAnsi="Palatino Linotype"/>
          <w:i/>
          <w:sz w:val="22"/>
          <w:lang w:eastAsia="es-ES"/>
        </w:rPr>
        <w:t xml:space="preserve">“Artículo 125 </w:t>
      </w:r>
      <w:proofErr w:type="spellStart"/>
      <w:r w:rsidRPr="00074CAB">
        <w:rPr>
          <w:rFonts w:ascii="Palatino Linotype" w:eastAsiaTheme="minorEastAsia" w:hAnsi="Palatino Linotype"/>
          <w:i/>
          <w:sz w:val="22"/>
          <w:lang w:eastAsia="es-ES"/>
        </w:rPr>
        <w:t>Quinquies</w:t>
      </w:r>
      <w:proofErr w:type="spellEnd"/>
      <w:r w:rsidRPr="00074CAB">
        <w:rPr>
          <w:rFonts w:ascii="Palatino Linotype" w:eastAsiaTheme="minorEastAsia" w:hAnsi="Palatino Linotype"/>
          <w:i/>
          <w:sz w:val="22"/>
          <w:lang w:eastAsia="es-ES"/>
        </w:rPr>
        <w:t xml:space="preserve">. Cuando un vehículo matriculado fuera del Estado de México, sea detectado en la vía pública con adeudos por infracciones al presente reglamento, el agente de tránsito que lo detecte podrá retener la tarjeta de circulación, la licencia del conductor o la placa de matrícula del vehículo como medida para garantizar el pago de las multas cuando no sea posible realizar el pago inmediato. El agente deberá remitir el documento retenido o la placa a la oficina correspondiente, debiendo así mismo informar al infractor de los beneficios a que tiene derecho en </w:t>
      </w:r>
      <w:r w:rsidRPr="00074CAB">
        <w:rPr>
          <w:rFonts w:ascii="Palatino Linotype" w:eastAsiaTheme="minorEastAsia" w:hAnsi="Palatino Linotype"/>
          <w:i/>
          <w:sz w:val="22"/>
          <w:lang w:eastAsia="es-ES"/>
        </w:rPr>
        <w:lastRenderedPageBreak/>
        <w:t>términos del presente artículo, así como el lugar en que podrá recoger el documento o la placa retenidos.” (Sic)</w:t>
      </w:r>
    </w:p>
    <w:p w:rsidR="009974A8" w:rsidRPr="00074CAB" w:rsidRDefault="009974A8" w:rsidP="00074CAB">
      <w:pPr>
        <w:spacing w:line="360" w:lineRule="auto"/>
        <w:ind w:left="851" w:right="822"/>
        <w:contextualSpacing/>
        <w:jc w:val="both"/>
        <w:rPr>
          <w:rFonts w:ascii="Palatino Linotype" w:eastAsiaTheme="minorEastAsia" w:hAnsi="Palatino Linotype"/>
          <w:i/>
          <w:sz w:val="22"/>
          <w:lang w:eastAsia="es-ES"/>
        </w:rPr>
      </w:pPr>
    </w:p>
    <w:p w:rsidR="009974A8" w:rsidRPr="00074CAB" w:rsidRDefault="009974A8" w:rsidP="00074CAB">
      <w:pPr>
        <w:spacing w:line="360" w:lineRule="auto"/>
        <w:ind w:left="851" w:right="822"/>
        <w:contextualSpacing/>
        <w:jc w:val="both"/>
        <w:rPr>
          <w:rFonts w:ascii="Palatino Linotype" w:eastAsiaTheme="minorEastAsia" w:hAnsi="Palatino Linotype"/>
          <w:b/>
          <w:i/>
          <w:sz w:val="22"/>
          <w:lang w:eastAsia="es-ES"/>
        </w:rPr>
      </w:pPr>
      <w:r w:rsidRPr="00074CAB">
        <w:rPr>
          <w:rFonts w:ascii="Palatino Linotype" w:eastAsiaTheme="minorEastAsia" w:hAnsi="Palatino Linotype"/>
          <w:b/>
          <w:i/>
          <w:sz w:val="22"/>
          <w:lang w:eastAsia="es-ES"/>
        </w:rPr>
        <w:t>CÓDIGO ADMINISTRATIVO DEL ESTADO DE MÉXICO</w:t>
      </w:r>
    </w:p>
    <w:p w:rsidR="009974A8" w:rsidRPr="00074CAB" w:rsidRDefault="009974A8" w:rsidP="00074CAB">
      <w:pPr>
        <w:spacing w:line="360" w:lineRule="auto"/>
        <w:ind w:left="851" w:right="822"/>
        <w:contextualSpacing/>
        <w:jc w:val="both"/>
        <w:rPr>
          <w:rFonts w:ascii="Palatino Linotype" w:eastAsiaTheme="minorEastAsia" w:hAnsi="Palatino Linotype"/>
          <w:b/>
          <w:i/>
          <w:sz w:val="22"/>
          <w:lang w:eastAsia="es-ES"/>
        </w:rPr>
      </w:pPr>
    </w:p>
    <w:p w:rsidR="009974A8" w:rsidRPr="00074CAB" w:rsidRDefault="009974A8" w:rsidP="00074CAB">
      <w:pPr>
        <w:spacing w:line="360" w:lineRule="auto"/>
        <w:ind w:left="851" w:right="822"/>
        <w:contextualSpacing/>
        <w:jc w:val="both"/>
        <w:rPr>
          <w:rFonts w:ascii="Palatino Linotype" w:hAnsi="Palatino Linotype"/>
          <w:i/>
          <w:sz w:val="22"/>
        </w:rPr>
      </w:pPr>
      <w:r w:rsidRPr="00074CAB">
        <w:rPr>
          <w:rFonts w:ascii="Palatino Linotype" w:hAnsi="Palatino Linotype"/>
          <w:i/>
          <w:sz w:val="22"/>
        </w:rPr>
        <w:t xml:space="preserve">“Artículo 8.19.- Las autoridades de tránsito están facultadas para: </w:t>
      </w:r>
    </w:p>
    <w:p w:rsidR="009974A8" w:rsidRPr="00074CAB" w:rsidRDefault="009974A8" w:rsidP="00074CAB">
      <w:pPr>
        <w:spacing w:line="360" w:lineRule="auto"/>
        <w:ind w:left="851" w:right="822"/>
        <w:contextualSpacing/>
        <w:jc w:val="both"/>
        <w:rPr>
          <w:rFonts w:ascii="Palatino Linotype" w:hAnsi="Palatino Linotype"/>
          <w:i/>
          <w:sz w:val="22"/>
        </w:rPr>
      </w:pPr>
    </w:p>
    <w:p w:rsidR="009974A8" w:rsidRPr="00074CAB" w:rsidRDefault="009974A8" w:rsidP="00074CAB">
      <w:pPr>
        <w:spacing w:line="360" w:lineRule="auto"/>
        <w:ind w:left="851" w:right="822"/>
        <w:contextualSpacing/>
        <w:jc w:val="both"/>
        <w:rPr>
          <w:rFonts w:ascii="Palatino Linotype" w:hAnsi="Palatino Linotype"/>
          <w:i/>
          <w:sz w:val="22"/>
        </w:rPr>
      </w:pPr>
      <w:r w:rsidRPr="00074CAB">
        <w:rPr>
          <w:rFonts w:ascii="Palatino Linotype" w:hAnsi="Palatino Linotype"/>
          <w:i/>
          <w:sz w:val="22"/>
        </w:rPr>
        <w:t xml:space="preserve">I. Ordenar el retiro de la vía pública de vehículos, objetos, personas o animales que obstaculicen o pongan en peligro el tránsito, remitiéndolos a los depósitos correspondientes y presentando a las personas ante las autoridades competentes en caso de delito o falta grave; </w:t>
      </w:r>
    </w:p>
    <w:p w:rsidR="009974A8" w:rsidRPr="00074CAB" w:rsidRDefault="009974A8" w:rsidP="00074CAB">
      <w:pPr>
        <w:spacing w:line="360" w:lineRule="auto"/>
        <w:ind w:left="851" w:right="822"/>
        <w:contextualSpacing/>
        <w:jc w:val="both"/>
        <w:rPr>
          <w:rFonts w:ascii="Palatino Linotype" w:hAnsi="Palatino Linotype"/>
          <w:i/>
          <w:sz w:val="22"/>
        </w:rPr>
      </w:pPr>
      <w:r w:rsidRPr="00074CAB">
        <w:rPr>
          <w:rFonts w:ascii="Palatino Linotype" w:hAnsi="Palatino Linotype"/>
          <w:i/>
          <w:sz w:val="22"/>
        </w:rPr>
        <w:t xml:space="preserve">II. Retener la tarjeta de circulación, la licencia del conductor o la placa delantera de matriculación del vehículo, únicamente en los siguientes supuestos: </w:t>
      </w:r>
    </w:p>
    <w:p w:rsidR="009974A8" w:rsidRPr="00074CAB" w:rsidRDefault="009974A8" w:rsidP="00074CAB">
      <w:pPr>
        <w:spacing w:line="360" w:lineRule="auto"/>
        <w:ind w:left="851" w:right="822"/>
        <w:contextualSpacing/>
        <w:jc w:val="both"/>
        <w:rPr>
          <w:rFonts w:ascii="Palatino Linotype" w:hAnsi="Palatino Linotype"/>
          <w:i/>
          <w:sz w:val="22"/>
        </w:rPr>
      </w:pPr>
      <w:r w:rsidRPr="00074CAB">
        <w:rPr>
          <w:rFonts w:ascii="Palatino Linotype" w:hAnsi="Palatino Linotype"/>
          <w:i/>
          <w:sz w:val="22"/>
        </w:rPr>
        <w:t xml:space="preserve">a) De los vehículos matriculados fuera del Estado de México, cuando no sea posible realizar el pago inmediato. </w:t>
      </w:r>
    </w:p>
    <w:p w:rsidR="009974A8" w:rsidRPr="00074CAB" w:rsidRDefault="009974A8" w:rsidP="00074CAB">
      <w:pPr>
        <w:spacing w:line="360" w:lineRule="auto"/>
        <w:ind w:left="851" w:right="822"/>
        <w:contextualSpacing/>
        <w:jc w:val="both"/>
        <w:rPr>
          <w:rFonts w:ascii="Palatino Linotype" w:hAnsi="Palatino Linotype"/>
          <w:i/>
          <w:sz w:val="22"/>
        </w:rPr>
      </w:pPr>
      <w:r w:rsidRPr="00074CAB">
        <w:rPr>
          <w:rFonts w:ascii="Palatino Linotype" w:hAnsi="Palatino Linotype"/>
          <w:i/>
          <w:sz w:val="22"/>
        </w:rPr>
        <w:t xml:space="preserve">b) Por infracciones cometidas en contravención con las disposiciones en materia de equilibrio ecológico, protección al ambiente y para la prevención y control de la contaminación, exigida en la verificación obligatoria, en términos de la legislación aplicable. </w:t>
      </w:r>
    </w:p>
    <w:p w:rsidR="009974A8" w:rsidRPr="00074CAB" w:rsidRDefault="009974A8" w:rsidP="00074CAB">
      <w:pPr>
        <w:spacing w:line="360" w:lineRule="auto"/>
        <w:ind w:left="851" w:right="822"/>
        <w:contextualSpacing/>
        <w:jc w:val="both"/>
        <w:rPr>
          <w:rFonts w:ascii="Palatino Linotype" w:hAnsi="Palatino Linotype"/>
          <w:i/>
          <w:sz w:val="22"/>
        </w:rPr>
      </w:pPr>
      <w:r w:rsidRPr="00074CAB">
        <w:rPr>
          <w:rFonts w:ascii="Palatino Linotype" w:hAnsi="Palatino Linotype"/>
          <w:i/>
          <w:sz w:val="22"/>
        </w:rPr>
        <w:t xml:space="preserve">c) Los vehículos que transporten carga perecedera. </w:t>
      </w:r>
    </w:p>
    <w:p w:rsidR="009974A8" w:rsidRPr="00074CAB" w:rsidRDefault="009974A8" w:rsidP="00074CAB">
      <w:pPr>
        <w:spacing w:line="360" w:lineRule="auto"/>
        <w:ind w:left="851" w:right="822"/>
        <w:contextualSpacing/>
        <w:jc w:val="both"/>
        <w:rPr>
          <w:rFonts w:ascii="Palatino Linotype" w:hAnsi="Palatino Linotype"/>
          <w:i/>
          <w:sz w:val="22"/>
        </w:rPr>
      </w:pPr>
      <w:r w:rsidRPr="00074CAB">
        <w:rPr>
          <w:rFonts w:ascii="Palatino Linotype" w:hAnsi="Palatino Linotype"/>
          <w:i/>
          <w:sz w:val="22"/>
        </w:rPr>
        <w:t>d) Cuando lo establezcan las disposiciones reglamentarias, por lo que respecta al servicio de transporte público.</w:t>
      </w:r>
    </w:p>
    <w:p w:rsidR="009974A8" w:rsidRPr="00074CAB" w:rsidRDefault="009974A8" w:rsidP="00074CAB">
      <w:pPr>
        <w:spacing w:line="360" w:lineRule="auto"/>
        <w:ind w:left="851" w:right="822"/>
        <w:contextualSpacing/>
        <w:jc w:val="both"/>
        <w:rPr>
          <w:rFonts w:ascii="Palatino Linotype" w:hAnsi="Palatino Linotype"/>
          <w:i/>
          <w:sz w:val="22"/>
        </w:rPr>
      </w:pPr>
      <w:r w:rsidRPr="00074CAB">
        <w:rPr>
          <w:rFonts w:ascii="Palatino Linotype" w:hAnsi="Palatino Linotype"/>
          <w:i/>
          <w:sz w:val="22"/>
        </w:rPr>
        <w:t xml:space="preserve">III. Detener la marcha de cualquier vehículo cuando el conductor esté cometiendo alguna infracción a las disposiciones en materia de tránsito, procediendo a entregar el documento que emita el Sistema Tecnológico a que se refieren los reglamentos respectivos. </w:t>
      </w:r>
    </w:p>
    <w:p w:rsidR="009974A8" w:rsidRPr="00074CAB" w:rsidRDefault="009974A8" w:rsidP="00074CAB">
      <w:pPr>
        <w:spacing w:line="360" w:lineRule="auto"/>
        <w:ind w:left="851" w:right="822"/>
        <w:contextualSpacing/>
        <w:jc w:val="both"/>
        <w:rPr>
          <w:rFonts w:ascii="Palatino Linotype" w:hAnsi="Palatino Linotype"/>
          <w:i/>
          <w:sz w:val="22"/>
        </w:rPr>
      </w:pPr>
      <w:r w:rsidRPr="00074CAB">
        <w:rPr>
          <w:rFonts w:ascii="Palatino Linotype" w:hAnsi="Palatino Linotype"/>
          <w:i/>
          <w:sz w:val="22"/>
        </w:rPr>
        <w:lastRenderedPageBreak/>
        <w:t xml:space="preserve">IV. Imponer la infracción correspondiente que deberá registrarse en la base de datos única, a cargo de la Secretaría de Seguridad. </w:t>
      </w:r>
    </w:p>
    <w:p w:rsidR="009974A8" w:rsidRPr="00074CAB" w:rsidRDefault="009974A8" w:rsidP="00074CAB">
      <w:pPr>
        <w:spacing w:line="360" w:lineRule="auto"/>
        <w:ind w:left="851" w:right="822"/>
        <w:contextualSpacing/>
        <w:jc w:val="both"/>
        <w:rPr>
          <w:rFonts w:ascii="Palatino Linotype" w:hAnsi="Palatino Linotype"/>
          <w:i/>
          <w:sz w:val="22"/>
        </w:rPr>
      </w:pPr>
      <w:r w:rsidRPr="00074CAB">
        <w:rPr>
          <w:rFonts w:ascii="Palatino Linotype" w:hAnsi="Palatino Linotype"/>
          <w:i/>
          <w:sz w:val="22"/>
        </w:rPr>
        <w:t>…”</w:t>
      </w:r>
    </w:p>
    <w:p w:rsidR="009974A8" w:rsidRPr="00074CAB" w:rsidRDefault="009974A8" w:rsidP="00074CAB">
      <w:pPr>
        <w:spacing w:line="360" w:lineRule="auto"/>
        <w:ind w:left="851" w:right="822"/>
        <w:contextualSpacing/>
        <w:jc w:val="both"/>
        <w:rPr>
          <w:rFonts w:ascii="Palatino Linotype" w:eastAsiaTheme="minorEastAsia" w:hAnsi="Palatino Linotype"/>
          <w:i/>
          <w:sz w:val="22"/>
          <w:lang w:val="es-ES_tradnl" w:eastAsia="es-ES"/>
        </w:rPr>
      </w:pPr>
    </w:p>
    <w:p w:rsidR="00DF2BC5" w:rsidRPr="00074CAB" w:rsidRDefault="009974A8"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Theme="minorEastAsia" w:hAnsi="Palatino Linotype"/>
          <w:lang w:val="es-ES_tradnl" w:eastAsia="es-ES"/>
        </w:rPr>
        <w:t xml:space="preserve">En ese sentido, con la información remitida mediante informe justificado, se colma el punto número 9 de la solicitud de información. </w:t>
      </w:r>
    </w:p>
    <w:p w:rsidR="009974A8" w:rsidRPr="00074CAB" w:rsidRDefault="009974A8" w:rsidP="00074CAB">
      <w:pPr>
        <w:spacing w:line="360" w:lineRule="auto"/>
        <w:ind w:right="49"/>
        <w:contextualSpacing/>
        <w:jc w:val="both"/>
        <w:rPr>
          <w:rFonts w:ascii="Palatino Linotype" w:eastAsiaTheme="minorEastAsia" w:hAnsi="Palatino Linotype"/>
          <w:lang w:val="es-ES_tradnl" w:eastAsia="es-ES"/>
        </w:rPr>
      </w:pPr>
    </w:p>
    <w:p w:rsidR="009974A8" w:rsidRPr="00074CAB" w:rsidRDefault="009974A8" w:rsidP="00074CAB">
      <w:pPr>
        <w:numPr>
          <w:ilvl w:val="0"/>
          <w:numId w:val="1"/>
        </w:numPr>
        <w:spacing w:line="360" w:lineRule="auto"/>
        <w:ind w:left="0" w:right="49" w:firstLine="0"/>
        <w:contextualSpacing/>
        <w:jc w:val="both"/>
        <w:rPr>
          <w:rFonts w:ascii="Palatino Linotype" w:eastAsiaTheme="minorEastAsia" w:hAnsi="Palatino Linotype"/>
          <w:i/>
          <w:sz w:val="40"/>
          <w:lang w:val="es-ES_tradnl" w:eastAsia="es-ES"/>
        </w:rPr>
      </w:pPr>
      <w:r w:rsidRPr="00074CAB">
        <w:rPr>
          <w:rFonts w:ascii="Palatino Linotype" w:eastAsiaTheme="minorEastAsia" w:hAnsi="Palatino Linotype"/>
          <w:lang w:val="es-ES_tradnl" w:eastAsia="es-ES"/>
        </w:rPr>
        <w:t xml:space="preserve">Por otro lado, la RECURRENTE manifestó en su motivos de inconformidad </w:t>
      </w:r>
      <w:r w:rsidR="006C7BC7" w:rsidRPr="00074CAB">
        <w:rPr>
          <w:rFonts w:ascii="Palatino Linotype" w:eastAsiaTheme="minorEastAsia" w:hAnsi="Palatino Linotype"/>
          <w:lang w:val="es-ES_tradnl" w:eastAsia="es-ES"/>
        </w:rPr>
        <w:t>“</w:t>
      </w:r>
      <w:r w:rsidR="006C7BC7" w:rsidRPr="00074CAB">
        <w:rPr>
          <w:rFonts w:ascii="Palatino Linotype" w:eastAsiaTheme="minorEastAsia" w:hAnsi="Palatino Linotype"/>
          <w:i/>
          <w:lang w:eastAsia="es-ES"/>
        </w:rPr>
        <w:t xml:space="preserve">Las respuestas son del año 2018, mi duda es ¿Es ese el periodo más reciente disponible?”, </w:t>
      </w:r>
      <w:r w:rsidR="006C7BC7" w:rsidRPr="00074CAB">
        <w:rPr>
          <w:rFonts w:ascii="Palatino Linotype" w:eastAsiaTheme="minorEastAsia" w:hAnsi="Palatino Linotype"/>
          <w:lang w:eastAsia="es-ES"/>
        </w:rPr>
        <w:t>en este caso, cabe señalar que la información que remitió el Sujeto Obligado en respuesta, se encuentra contenida en el Plan de Desarrollo Municipal 2019-2021, aunado a que manifestó mediante informe justificado, que ya se está trabajando en la estadística generada para que la información contenida en el sistema digital sea publicada en el próximo Plan de Desarrollo Municipal de Atizapán de Zaragoza 2022-2025, lo que nos lleva a concluir que la información remitida en respuesta es la más actual que tiene el Sujeto Obligado, por tal razón, se colma la solicitud de acceso a la información.</w:t>
      </w:r>
    </w:p>
    <w:p w:rsidR="00AA5EDA" w:rsidRPr="00074CAB" w:rsidRDefault="00AA5EDA" w:rsidP="00074CAB">
      <w:pPr>
        <w:spacing w:line="360" w:lineRule="auto"/>
        <w:ind w:right="49"/>
        <w:contextualSpacing/>
        <w:jc w:val="both"/>
        <w:rPr>
          <w:rStyle w:val="Hipervnculo"/>
          <w:rFonts w:ascii="Palatino Linotype" w:eastAsiaTheme="minorEastAsia" w:hAnsi="Palatino Linotype"/>
          <w:color w:val="auto"/>
          <w:u w:val="none"/>
          <w:lang w:val="es-ES_tradnl" w:eastAsia="es-ES"/>
        </w:rPr>
      </w:pPr>
    </w:p>
    <w:p w:rsidR="006C7BC7" w:rsidRPr="00074CAB" w:rsidRDefault="006C7BC7"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 xml:space="preserve">Así tenemos que </w:t>
      </w:r>
      <w:r w:rsidR="00AC365D" w:rsidRPr="00074CAB">
        <w:rPr>
          <w:rFonts w:ascii="Palatino Linotype" w:hAnsi="Palatino Linotype" w:cs="Arial"/>
        </w:rPr>
        <w:t xml:space="preserve">con </w:t>
      </w:r>
      <w:r w:rsidRPr="00074CAB">
        <w:rPr>
          <w:rFonts w:ascii="Palatino Linotype" w:hAnsi="Palatino Linotype" w:cs="Arial"/>
        </w:rPr>
        <w:t>la información</w:t>
      </w:r>
      <w:r w:rsidR="003A19A2" w:rsidRPr="00074CAB">
        <w:rPr>
          <w:rFonts w:ascii="Palatino Linotype" w:hAnsi="Palatino Linotype" w:cs="Arial"/>
        </w:rPr>
        <w:t xml:space="preserve"> enviada a través del informe justificado, el SUJETO OBLIGADO </w:t>
      </w:r>
      <w:r w:rsidR="003A19A2" w:rsidRPr="00074CAB">
        <w:rPr>
          <w:rFonts w:ascii="Palatino Linotype" w:hAnsi="Palatino Linotype" w:cs="Arial"/>
          <w:b/>
        </w:rPr>
        <w:t>modificó</w:t>
      </w:r>
      <w:r w:rsidR="003A19A2" w:rsidRPr="00074CAB">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192 </w:t>
      </w:r>
      <w:r w:rsidR="003A19A2" w:rsidRPr="00074CAB">
        <w:rPr>
          <w:rFonts w:ascii="Palatino Linotype" w:eastAsia="Batang" w:hAnsi="Palatino Linotype" w:cs="Arial"/>
        </w:rPr>
        <w:t xml:space="preserve">de la </w:t>
      </w:r>
      <w:r w:rsidR="003A19A2" w:rsidRPr="00074CAB">
        <w:rPr>
          <w:rFonts w:ascii="Palatino Linotype" w:eastAsia="Batang" w:hAnsi="Palatino Linotype" w:cs="Arial"/>
          <w:b/>
        </w:rPr>
        <w:t>Ley de Transparencia y Acceso a la Información Pública del Estado de México y Municipios</w:t>
      </w:r>
      <w:r w:rsidR="003A19A2" w:rsidRPr="00074CAB">
        <w:rPr>
          <w:rFonts w:ascii="Palatino Linotype" w:hAnsi="Palatino Linotype" w:cs="Arial"/>
        </w:rPr>
        <w:t>.</w:t>
      </w:r>
    </w:p>
    <w:p w:rsidR="006C7BC7" w:rsidRPr="00074CAB" w:rsidRDefault="006C7BC7" w:rsidP="00074CAB">
      <w:pPr>
        <w:spacing w:line="360" w:lineRule="auto"/>
        <w:ind w:right="49"/>
        <w:contextualSpacing/>
        <w:jc w:val="both"/>
        <w:rPr>
          <w:rFonts w:ascii="Palatino Linotype" w:eastAsiaTheme="minorEastAsia" w:hAnsi="Palatino Linotype"/>
          <w:lang w:val="es-ES_tradnl" w:eastAsia="es-ES"/>
        </w:rPr>
      </w:pPr>
    </w:p>
    <w:p w:rsidR="006C7BC7"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lang w:eastAsia="en-US"/>
        </w:rPr>
        <w:lastRenderedPageBreak/>
        <w:t xml:space="preserve">Una vez precisado lo anterior, </w:t>
      </w:r>
      <w:r w:rsidRPr="00074CAB">
        <w:rPr>
          <w:rFonts w:ascii="Palatino Linotype" w:eastAsia="Batang" w:hAnsi="Palatino Linotype" w:cs="Arial"/>
        </w:rPr>
        <w:t xml:space="preserve">por lo que hace a las causas de sobreseimiento contenidas en </w:t>
      </w:r>
      <w:r w:rsidRPr="00074CAB">
        <w:rPr>
          <w:rFonts w:ascii="Palatino Linotype" w:hAnsi="Palatino Linotype" w:cs="Arial"/>
        </w:rPr>
        <w:t xml:space="preserve">la fracción III del artículo 192 </w:t>
      </w:r>
      <w:r w:rsidRPr="00074CAB">
        <w:rPr>
          <w:rFonts w:ascii="Palatino Linotype" w:eastAsia="Batang" w:hAnsi="Palatino Linotype" w:cs="Arial"/>
        </w:rPr>
        <w:t xml:space="preserve">de la </w:t>
      </w:r>
      <w:r w:rsidRPr="00074CAB">
        <w:rPr>
          <w:rFonts w:ascii="Palatino Linotype" w:eastAsia="Batang" w:hAnsi="Palatino Linotype" w:cs="Arial"/>
          <w:b/>
        </w:rPr>
        <w:t>Ley de Transparencia y Acceso a la Información Pública del Estado de México y Municipios</w:t>
      </w:r>
      <w:r w:rsidRPr="00074CAB">
        <w:rPr>
          <w:rFonts w:ascii="Palatino Linotype" w:eastAsia="Batang" w:hAnsi="Palatino Linotype" w:cs="Arial"/>
        </w:rPr>
        <w:t xml:space="preserve">, es oportuno señalar que estos requisitos privilegian la existencia de elementos de fondo, tales como el desistimiento o fallecimiento del </w:t>
      </w:r>
      <w:r w:rsidRPr="00074CAB">
        <w:rPr>
          <w:rFonts w:ascii="Palatino Linotype" w:eastAsia="Batang" w:hAnsi="Palatino Linotype" w:cs="Arial"/>
          <w:b/>
        </w:rPr>
        <w:t>RECURRENTE</w:t>
      </w:r>
      <w:r w:rsidRPr="00074CAB">
        <w:rPr>
          <w:rFonts w:ascii="Palatino Linotype" w:eastAsia="Batang" w:hAnsi="Palatino Linotype" w:cs="Arial"/>
        </w:rPr>
        <w:t xml:space="preserve"> o que el </w:t>
      </w:r>
      <w:r w:rsidRPr="00074CAB">
        <w:rPr>
          <w:rFonts w:ascii="Palatino Linotype" w:eastAsia="Batang" w:hAnsi="Palatino Linotype" w:cs="Arial"/>
          <w:b/>
        </w:rPr>
        <w:t>SUJETO OBLIGADO</w:t>
      </w:r>
      <w:r w:rsidRPr="00074CAB">
        <w:rPr>
          <w:rFonts w:ascii="Palatino Linotype" w:eastAsia="Batang" w:hAnsi="Palatino Linotype" w:cs="Arial"/>
        </w:rPr>
        <w:t xml:space="preserve"> </w:t>
      </w:r>
      <w:r w:rsidRPr="00074CAB">
        <w:rPr>
          <w:rFonts w:ascii="Palatino Linotype" w:eastAsia="Batang" w:hAnsi="Palatino Linotype" w:cs="Arial"/>
          <w:b/>
          <w:u w:val="single"/>
        </w:rPr>
        <w:t>modifique o revoque el acto</w:t>
      </w:r>
      <w:r w:rsidRPr="00074CAB">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rsidR="006C7BC7" w:rsidRPr="00074CAB" w:rsidRDefault="006C7BC7" w:rsidP="00074CAB">
      <w:pPr>
        <w:spacing w:line="360" w:lineRule="auto"/>
        <w:ind w:right="49"/>
        <w:contextualSpacing/>
        <w:jc w:val="both"/>
        <w:rPr>
          <w:rFonts w:ascii="Palatino Linotype" w:eastAsiaTheme="minorEastAsia" w:hAnsi="Palatino Linotype"/>
          <w:lang w:val="es-ES_tradnl" w:eastAsia="es-ES"/>
        </w:rPr>
      </w:pPr>
    </w:p>
    <w:p w:rsidR="006C7BC7"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074CAB">
        <w:rPr>
          <w:rFonts w:ascii="Palatino Linotype" w:hAnsi="Palatino Linotype" w:cs="Arial"/>
          <w:b/>
        </w:rPr>
        <w:t>SUJETO OBLIGADO</w:t>
      </w:r>
      <w:r w:rsidRPr="00074CAB">
        <w:rPr>
          <w:rFonts w:ascii="Palatino Linotype" w:hAnsi="Palatino Linotype" w:cs="Arial"/>
        </w:rPr>
        <w:t>:</w:t>
      </w:r>
    </w:p>
    <w:p w:rsidR="006C7BC7" w:rsidRPr="00074CAB" w:rsidRDefault="006C7BC7" w:rsidP="00074CAB">
      <w:pPr>
        <w:spacing w:line="360" w:lineRule="auto"/>
        <w:ind w:right="49"/>
        <w:contextualSpacing/>
        <w:jc w:val="both"/>
        <w:rPr>
          <w:rFonts w:ascii="Palatino Linotype" w:hAnsi="Palatino Linotype" w:cs="Arial"/>
        </w:rPr>
      </w:pPr>
    </w:p>
    <w:p w:rsidR="006C7BC7" w:rsidRPr="00074CAB" w:rsidRDefault="006C7BC7" w:rsidP="00074CAB">
      <w:pPr>
        <w:pStyle w:val="Prrafodelista"/>
        <w:numPr>
          <w:ilvl w:val="0"/>
          <w:numId w:val="9"/>
        </w:numPr>
        <w:spacing w:line="360" w:lineRule="auto"/>
        <w:ind w:left="567" w:right="567" w:firstLine="0"/>
        <w:jc w:val="both"/>
        <w:rPr>
          <w:rFonts w:ascii="Palatino Linotype" w:hAnsi="Palatino Linotype" w:cs="Arial"/>
          <w:sz w:val="24"/>
        </w:rPr>
      </w:pPr>
      <w:r w:rsidRPr="00074CAB">
        <w:rPr>
          <w:rFonts w:ascii="Palatino Linotype" w:hAnsi="Palatino Linotype" w:cs="Arial"/>
          <w:b/>
          <w:sz w:val="24"/>
        </w:rPr>
        <w:t>Modifique el acto impugnado:</w:t>
      </w:r>
      <w:r w:rsidRPr="00074CAB">
        <w:rPr>
          <w:rFonts w:ascii="Palatino Linotype" w:hAnsi="Palatino Linotype" w:cs="Arial"/>
          <w:sz w:val="24"/>
        </w:rPr>
        <w:t xml:space="preserve"> Se actualiza cuando el </w:t>
      </w:r>
      <w:r w:rsidRPr="00074CAB">
        <w:rPr>
          <w:rFonts w:ascii="Palatino Linotype" w:hAnsi="Palatino Linotype" w:cs="Arial"/>
          <w:b/>
          <w:sz w:val="24"/>
        </w:rPr>
        <w:t>SUJETO OBLIGADO</w:t>
      </w:r>
      <w:r w:rsidRPr="00074CAB">
        <w:rPr>
          <w:rFonts w:ascii="Palatino Linotype" w:hAnsi="Palatino Linotype" w:cs="Arial"/>
          <w:sz w:val="24"/>
        </w:rPr>
        <w:t xml:space="preserve"> después de haber otorgado una respuesta y hasta antes de dictada la resolución del recurso de revisión, emite una diversa en la que subsane las deficiencias que hubiera tenido.</w:t>
      </w:r>
    </w:p>
    <w:p w:rsidR="006C7BC7" w:rsidRPr="00074CAB" w:rsidRDefault="006C7BC7" w:rsidP="00074CAB">
      <w:pPr>
        <w:pStyle w:val="Prrafodelista"/>
        <w:numPr>
          <w:ilvl w:val="0"/>
          <w:numId w:val="9"/>
        </w:numPr>
        <w:spacing w:line="360" w:lineRule="auto"/>
        <w:ind w:left="567" w:right="616" w:firstLine="0"/>
        <w:jc w:val="both"/>
        <w:rPr>
          <w:rFonts w:ascii="Palatino Linotype" w:hAnsi="Palatino Linotype" w:cs="Arial"/>
          <w:sz w:val="24"/>
        </w:rPr>
      </w:pPr>
      <w:r w:rsidRPr="00074CAB">
        <w:rPr>
          <w:rFonts w:ascii="Palatino Linotype" w:hAnsi="Palatino Linotype" w:cs="Arial"/>
          <w:b/>
          <w:sz w:val="24"/>
        </w:rPr>
        <w:t>Revoque el acto impugnado:</w:t>
      </w:r>
      <w:r w:rsidRPr="00074CAB">
        <w:rPr>
          <w:rFonts w:ascii="Palatino Linotype" w:hAnsi="Palatino Linotype" w:cs="Arial"/>
          <w:sz w:val="24"/>
        </w:rPr>
        <w:t xml:space="preserve"> En este supuesto, el </w:t>
      </w:r>
      <w:r w:rsidRPr="00074CAB">
        <w:rPr>
          <w:rFonts w:ascii="Palatino Linotype" w:hAnsi="Palatino Linotype" w:cs="Arial"/>
          <w:b/>
          <w:sz w:val="24"/>
        </w:rPr>
        <w:t>SUJETO OBLIGADO</w:t>
      </w:r>
      <w:r w:rsidRPr="00074CAB">
        <w:rPr>
          <w:rFonts w:ascii="Palatino Linotype" w:hAnsi="Palatino Linotype" w:cs="Arial"/>
          <w:sz w:val="24"/>
        </w:rPr>
        <w:t xml:space="preserve"> deja sin efectos la primera respuesta y en su lugar emite otra que satisfaga lo solicitado por el particular en un primer momento.</w:t>
      </w:r>
    </w:p>
    <w:p w:rsidR="006C7BC7" w:rsidRPr="00074CAB" w:rsidRDefault="006C7BC7" w:rsidP="00074CAB">
      <w:pPr>
        <w:spacing w:line="360" w:lineRule="auto"/>
        <w:ind w:right="49"/>
        <w:contextualSpacing/>
        <w:jc w:val="both"/>
        <w:rPr>
          <w:rFonts w:ascii="Palatino Linotype" w:eastAsiaTheme="minorEastAsia" w:hAnsi="Palatino Linotype"/>
          <w:lang w:val="es-ES_tradnl" w:eastAsia="es-ES"/>
        </w:rPr>
      </w:pPr>
    </w:p>
    <w:p w:rsidR="006C7BC7"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 xml:space="preserve">Las consecuencias jurídicas de esta modificación o revocación es que el recurso de revisión interpuesto quede sin efectos o sin materia. Un acto impugnado queda sin efectos, cuando aun existiendo jurídicamente, no genera consecuencia legal alguna; </w:t>
      </w:r>
      <w:r w:rsidRPr="00074CAB">
        <w:rPr>
          <w:rFonts w:ascii="Palatino Linotype" w:hAnsi="Palatino Linotype" w:cs="Arial"/>
        </w:rPr>
        <w:lastRenderedPageBreak/>
        <w:t>queda sin materia, cuando ha sido satisfecha la pretensión del particular, ya sea porque se hizo la entrega de la información solicitada o porque se completó la misma.</w:t>
      </w:r>
    </w:p>
    <w:p w:rsidR="006C7BC7" w:rsidRPr="00074CAB" w:rsidRDefault="006C7BC7" w:rsidP="00074CAB">
      <w:pPr>
        <w:spacing w:line="360" w:lineRule="auto"/>
        <w:ind w:right="49"/>
        <w:contextualSpacing/>
        <w:jc w:val="both"/>
        <w:rPr>
          <w:rFonts w:ascii="Palatino Linotype" w:eastAsiaTheme="minorEastAsia" w:hAnsi="Palatino Linotype"/>
          <w:lang w:val="es-ES_tradnl" w:eastAsia="es-ES"/>
        </w:rPr>
      </w:pPr>
    </w:p>
    <w:p w:rsidR="006C7BC7"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 xml:space="preserve">En el presente asunto, este Pleno advierte que el </w:t>
      </w:r>
      <w:r w:rsidRPr="00074CAB">
        <w:rPr>
          <w:rFonts w:ascii="Palatino Linotype" w:hAnsi="Palatino Linotype" w:cs="Arial"/>
          <w:b/>
        </w:rPr>
        <w:t>SUJETO OBLIGADO</w:t>
      </w:r>
      <w:r w:rsidRPr="00074CAB">
        <w:rPr>
          <w:rFonts w:ascii="Palatino Linotype" w:hAnsi="Palatino Linotype" w:cs="Arial"/>
        </w:rPr>
        <w:t xml:space="preserve"> con la información enviada a través del informe de justificación, </w:t>
      </w:r>
      <w:r w:rsidRPr="00074CAB">
        <w:rPr>
          <w:rFonts w:ascii="Palatino Linotype" w:hAnsi="Palatino Linotype" w:cs="Arial"/>
          <w:b/>
        </w:rPr>
        <w:t>modifica</w:t>
      </w:r>
      <w:r w:rsidRPr="00074CAB">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rsidR="006C7BC7" w:rsidRPr="00074CAB" w:rsidRDefault="006C7BC7" w:rsidP="00074CAB">
      <w:pPr>
        <w:spacing w:line="360" w:lineRule="auto"/>
        <w:ind w:right="49"/>
        <w:contextualSpacing/>
        <w:jc w:val="both"/>
        <w:rPr>
          <w:rFonts w:ascii="Palatino Linotype" w:eastAsiaTheme="minorEastAsia" w:hAnsi="Palatino Linotype"/>
          <w:lang w:val="es-ES_tradnl" w:eastAsia="es-ES"/>
        </w:rPr>
      </w:pPr>
    </w:p>
    <w:p w:rsidR="006C7BC7"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074CAB">
        <w:rPr>
          <w:rFonts w:ascii="Palatino Linotype" w:hAnsi="Palatino Linotype" w:cs="Arial"/>
          <w:b/>
        </w:rPr>
        <w:t>SUJETOS OBLIGADOS</w:t>
      </w:r>
      <w:r w:rsidRPr="00074CAB">
        <w:rPr>
          <w:rFonts w:ascii="Palatino Linotype" w:hAnsi="Palatino Linotype" w:cs="Arial"/>
        </w:rPr>
        <w:t xml:space="preserve"> o la negativa de entrega de la misma, derivada de la solicitud de información pública.</w:t>
      </w:r>
    </w:p>
    <w:p w:rsidR="006C7BC7" w:rsidRPr="00074CAB" w:rsidRDefault="006C7BC7" w:rsidP="00074CAB">
      <w:pPr>
        <w:spacing w:line="360" w:lineRule="auto"/>
        <w:ind w:right="49"/>
        <w:contextualSpacing/>
        <w:jc w:val="both"/>
        <w:rPr>
          <w:rFonts w:ascii="Palatino Linotype" w:eastAsiaTheme="minorEastAsia" w:hAnsi="Palatino Linotype"/>
          <w:lang w:val="es-ES_tradnl" w:eastAsia="es-ES"/>
        </w:rPr>
      </w:pPr>
    </w:p>
    <w:p w:rsidR="006C7BC7"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 xml:space="preserve">De este modo, cuando el </w:t>
      </w:r>
      <w:r w:rsidRPr="00074CAB">
        <w:rPr>
          <w:rFonts w:ascii="Palatino Linotype" w:hAnsi="Palatino Linotype" w:cs="Arial"/>
          <w:b/>
        </w:rPr>
        <w:t xml:space="preserve">SUJETO OBLIGADO, </w:t>
      </w:r>
      <w:r w:rsidRPr="00074CAB">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074CAB">
        <w:rPr>
          <w:rFonts w:ascii="Palatino Linotype" w:hAnsi="Palatino Linotype" w:cs="Arial"/>
          <w:i/>
        </w:rPr>
        <w:t>litis</w:t>
      </w:r>
      <w:proofErr w:type="spellEnd"/>
      <w:r w:rsidRPr="00074CAB">
        <w:rPr>
          <w:rFonts w:ascii="Palatino Linotype" w:hAnsi="Palatino Linotype" w:cs="Arial"/>
        </w:rPr>
        <w:t xml:space="preserve"> planteada, debido a que la afectación en su esfera de derechos fue restituida por la propia autoridad que emiti</w:t>
      </w:r>
      <w:r w:rsidR="006C7BC7" w:rsidRPr="00074CAB">
        <w:rPr>
          <w:rFonts w:ascii="Palatino Linotype" w:hAnsi="Palatino Linotype" w:cs="Arial"/>
        </w:rPr>
        <w:t>ó el acto motivo de impugnación.</w:t>
      </w:r>
    </w:p>
    <w:p w:rsidR="006C7BC7" w:rsidRPr="00074CAB" w:rsidRDefault="006C7BC7" w:rsidP="00074CAB">
      <w:pPr>
        <w:spacing w:line="360" w:lineRule="auto"/>
        <w:ind w:right="49"/>
        <w:contextualSpacing/>
        <w:jc w:val="both"/>
        <w:rPr>
          <w:rFonts w:ascii="Palatino Linotype" w:eastAsiaTheme="minorEastAsia" w:hAnsi="Palatino Linotype"/>
          <w:lang w:val="es-ES_tradnl" w:eastAsia="es-ES"/>
        </w:rPr>
      </w:pPr>
    </w:p>
    <w:p w:rsidR="00AC365D"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lastRenderedPageBreak/>
        <w:t>Sirve de sustento a lo anterior la siguiente jurisprudencia por contradicción, cuyo rubro, texto y datos de identificación son los siguientes:</w:t>
      </w:r>
    </w:p>
    <w:p w:rsidR="00AC365D" w:rsidRPr="00074CAB" w:rsidRDefault="00AC365D" w:rsidP="00074CAB">
      <w:pPr>
        <w:spacing w:line="360" w:lineRule="auto"/>
        <w:ind w:right="49"/>
        <w:contextualSpacing/>
        <w:jc w:val="both"/>
        <w:rPr>
          <w:rFonts w:ascii="Palatino Linotype" w:hAnsi="Palatino Linotype" w:cs="Arial"/>
        </w:rPr>
      </w:pPr>
    </w:p>
    <w:p w:rsidR="00AC365D" w:rsidRPr="00074CAB" w:rsidRDefault="00AC365D" w:rsidP="00074CAB">
      <w:pPr>
        <w:spacing w:line="360" w:lineRule="auto"/>
        <w:ind w:left="567" w:right="618"/>
        <w:jc w:val="both"/>
        <w:rPr>
          <w:rFonts w:ascii="Palatino Linotype" w:hAnsi="Palatino Linotype" w:cs="Arial"/>
          <w:i/>
          <w:sz w:val="22"/>
          <w:szCs w:val="22"/>
        </w:rPr>
      </w:pPr>
      <w:r w:rsidRPr="00074CAB">
        <w:rPr>
          <w:rFonts w:ascii="Palatino Linotype" w:hAnsi="Palatino Linotype" w:cs="Arial"/>
          <w:b/>
          <w:i/>
          <w:sz w:val="22"/>
          <w:szCs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74CAB">
        <w:rPr>
          <w:rFonts w:ascii="Palatino Linotype" w:hAnsi="Palatino Linotype" w:cs="Arial"/>
          <w:i/>
          <w:sz w:val="22"/>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AC365D" w:rsidRPr="00074CAB" w:rsidRDefault="00AC365D" w:rsidP="00074CAB">
      <w:pPr>
        <w:spacing w:line="360" w:lineRule="auto"/>
        <w:ind w:right="49"/>
        <w:contextualSpacing/>
        <w:jc w:val="both"/>
        <w:rPr>
          <w:rFonts w:ascii="Palatino Linotype" w:eastAsiaTheme="minorEastAsia" w:hAnsi="Palatino Linotype"/>
          <w:lang w:val="es-ES_tradnl" w:eastAsia="es-ES"/>
        </w:rPr>
      </w:pPr>
    </w:p>
    <w:p w:rsidR="00AC365D"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hAnsi="Palatino Linotype" w:cs="Arial"/>
        </w:rPr>
        <w:t>La anterior jurisprudencia resulta aplicable al presente asunto, en dos aspectos:</w:t>
      </w:r>
    </w:p>
    <w:p w:rsidR="00AC365D" w:rsidRPr="00074CAB" w:rsidRDefault="00AC365D" w:rsidP="00074CAB">
      <w:pPr>
        <w:pStyle w:val="Prrafodelista"/>
        <w:spacing w:line="360" w:lineRule="auto"/>
        <w:ind w:left="786" w:right="567"/>
        <w:jc w:val="both"/>
        <w:rPr>
          <w:rFonts w:ascii="Palatino Linotype" w:hAnsi="Palatino Linotype" w:cs="Arial"/>
        </w:rPr>
      </w:pPr>
      <w:r w:rsidRPr="00074CAB">
        <w:rPr>
          <w:rFonts w:ascii="Palatino Linotype" w:hAnsi="Palatino Linotype" w:cs="Arial"/>
          <w:b/>
        </w:rPr>
        <w:lastRenderedPageBreak/>
        <w:t>La cesación de los efectos perniciosos del acto de autoridad:</w:t>
      </w:r>
      <w:r w:rsidRPr="00074CAB">
        <w:rPr>
          <w:rFonts w:ascii="Palatino Linotype" w:hAnsi="Palatino Linotype" w:cs="Arial"/>
        </w:rPr>
        <w:t xml:space="preserve"> Al respecto, la Ley de Transparencia contempla la figura jurídica del sobreseimiento cuando el </w:t>
      </w:r>
      <w:r w:rsidRPr="00074CAB">
        <w:rPr>
          <w:rFonts w:ascii="Palatino Linotype" w:hAnsi="Palatino Linotype" w:cs="Arial"/>
          <w:b/>
        </w:rPr>
        <w:t>SUJETO OBLIGADO</w:t>
      </w:r>
      <w:r w:rsidRPr="00074CAB">
        <w:rPr>
          <w:rFonts w:ascii="Palatino Linotype" w:hAnsi="Palatino Linotype" w:cs="Arial"/>
        </w:rPr>
        <w:t xml:space="preserve"> de </w:t>
      </w:r>
      <w:r w:rsidRPr="00074CAB">
        <w:rPr>
          <w:rFonts w:ascii="Palatino Linotype" w:hAnsi="Palatino Linotype" w:cs="Arial"/>
          <w:i/>
        </w:rPr>
        <w:t>motu proprio</w:t>
      </w:r>
      <w:r w:rsidRPr="00074CAB">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w:t>
      </w:r>
    </w:p>
    <w:p w:rsidR="00AC365D" w:rsidRPr="00074CAB" w:rsidRDefault="00AC365D" w:rsidP="00074CAB">
      <w:pPr>
        <w:pStyle w:val="Prrafodelista"/>
        <w:spacing w:line="360" w:lineRule="auto"/>
        <w:ind w:left="567" w:right="567"/>
        <w:jc w:val="both"/>
        <w:rPr>
          <w:rFonts w:ascii="Palatino Linotype" w:hAnsi="Palatino Linotype" w:cs="Arial"/>
        </w:rPr>
      </w:pPr>
    </w:p>
    <w:p w:rsidR="00AC365D" w:rsidRPr="00074CAB" w:rsidRDefault="00AC365D" w:rsidP="00074CAB">
      <w:pPr>
        <w:pStyle w:val="Prrafodelista"/>
        <w:spacing w:line="360" w:lineRule="auto"/>
        <w:ind w:left="786" w:right="616"/>
        <w:jc w:val="both"/>
        <w:rPr>
          <w:rFonts w:ascii="Palatino Linotype" w:hAnsi="Palatino Linotype" w:cs="Arial"/>
        </w:rPr>
      </w:pPr>
      <w:r w:rsidRPr="00074CAB">
        <w:rPr>
          <w:rFonts w:ascii="Palatino Linotype" w:hAnsi="Palatino Linotype" w:cs="Arial"/>
          <w:b/>
        </w:rPr>
        <w:t>El momento procesal para modificar el acto impugnado:</w:t>
      </w:r>
      <w:r w:rsidRPr="00074CAB">
        <w:rPr>
          <w:rFonts w:ascii="Palatino Linotype" w:hAnsi="Palatino Linotype" w:cs="Arial"/>
        </w:rPr>
        <w:t xml:space="preserve"> Para que se actualice el sobreseimiento de un recurso de revisión, el </w:t>
      </w:r>
      <w:r w:rsidRPr="00074CAB">
        <w:rPr>
          <w:rFonts w:ascii="Palatino Linotype" w:hAnsi="Palatino Linotype" w:cs="Arial"/>
          <w:b/>
        </w:rPr>
        <w:t>SUJETO OBLIGADO</w:t>
      </w:r>
      <w:r w:rsidRPr="00074CAB">
        <w:rPr>
          <w:rFonts w:ascii="Palatino Linotype" w:hAnsi="Palatino Linotype" w:cs="Arial"/>
        </w:rPr>
        <w:t xml:space="preserve"> puede entregar o completar la información al momento de rendir su informe de justificación o </w:t>
      </w:r>
      <w:r w:rsidRPr="00074CAB">
        <w:rPr>
          <w:rFonts w:ascii="Palatino Linotype" w:hAnsi="Palatino Linotype" w:cs="Arial"/>
          <w:b/>
          <w:u w:val="single"/>
        </w:rPr>
        <w:t>posteriormente</w:t>
      </w:r>
      <w:r w:rsidRPr="00074CAB">
        <w:rPr>
          <w:rFonts w:ascii="Palatino Linotype" w:hAnsi="Palatino Linotype" w:cs="Arial"/>
        </w:rPr>
        <w:t xml:space="preserve"> a éste, siempre y cuando el Pleno del Instituto no haya dictado resolución definitiva.</w:t>
      </w:r>
    </w:p>
    <w:p w:rsidR="00AC365D" w:rsidRPr="00074CAB" w:rsidRDefault="00AC365D" w:rsidP="00074CAB">
      <w:pPr>
        <w:spacing w:line="360" w:lineRule="auto"/>
        <w:ind w:right="49"/>
        <w:contextualSpacing/>
        <w:jc w:val="both"/>
        <w:rPr>
          <w:rFonts w:ascii="Palatino Linotype" w:eastAsiaTheme="minorEastAsia" w:hAnsi="Palatino Linotype"/>
          <w:lang w:val="es-ES_tradnl" w:eastAsia="es-ES"/>
        </w:rPr>
      </w:pPr>
    </w:p>
    <w:p w:rsidR="00AC365D"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Batang" w:hAnsi="Palatino Linotype" w:cs="Arial"/>
        </w:rPr>
        <w:t xml:space="preserve">Además, de acuerdo con el procesalista Niceto Alcalá-Zamora y Castillo en su obra </w:t>
      </w:r>
      <w:r w:rsidRPr="00074CAB">
        <w:rPr>
          <w:rFonts w:ascii="Palatino Linotype" w:eastAsia="Batang" w:hAnsi="Palatino Linotype" w:cs="Arial"/>
          <w:i/>
        </w:rPr>
        <w:t>“Cuestiones de Terminología Procesal”</w:t>
      </w:r>
      <w:r w:rsidRPr="00074CAB">
        <w:rPr>
          <w:rFonts w:ascii="Palatino Linotype" w:eastAsia="Batang" w:hAnsi="Palatino Linotype" w:cs="Arial"/>
        </w:rPr>
        <w:t xml:space="preserve">, el sobreseimiento es </w:t>
      </w:r>
      <w:r w:rsidRPr="00074CAB">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rsidR="00AC365D" w:rsidRPr="00074CAB" w:rsidRDefault="00AC365D" w:rsidP="00074CAB">
      <w:pPr>
        <w:spacing w:line="360" w:lineRule="auto"/>
        <w:ind w:right="49"/>
        <w:contextualSpacing/>
        <w:jc w:val="both"/>
        <w:rPr>
          <w:rFonts w:ascii="Palatino Linotype" w:eastAsiaTheme="minorEastAsia" w:hAnsi="Palatino Linotype"/>
          <w:lang w:val="es-ES_tradnl" w:eastAsia="es-ES"/>
        </w:rPr>
      </w:pPr>
    </w:p>
    <w:p w:rsidR="00AC365D"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Batang" w:hAnsi="Palatino Linotype" w:cs="Arial"/>
        </w:rPr>
        <w:t xml:space="preserve">Eduardo Pallares, en su artículo </w:t>
      </w:r>
      <w:r w:rsidRPr="00074CAB">
        <w:rPr>
          <w:rFonts w:ascii="Palatino Linotype" w:eastAsia="Batang" w:hAnsi="Palatino Linotype" w:cs="Arial"/>
          <w:i/>
        </w:rPr>
        <w:t>“La caducidad y el sobreseimiento en el amparo”</w:t>
      </w:r>
      <w:r w:rsidRPr="00074CAB">
        <w:rPr>
          <w:rFonts w:ascii="Palatino Linotype" w:eastAsia="Batang" w:hAnsi="Palatino Linotype" w:cs="Arial"/>
        </w:rPr>
        <w:t xml:space="preserve">, cita la definición de Aguilera Paz, aduciendo que se </w:t>
      </w:r>
      <w:r w:rsidRPr="00074CAB">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074CAB">
        <w:rPr>
          <w:rFonts w:ascii="Palatino Linotype" w:eastAsia="Batang" w:hAnsi="Palatino Linotype" w:cs="Arial"/>
        </w:rPr>
        <w:t>. Asimismo señala que existe el sobreseimiento provisional y el definitivo</w:t>
      </w:r>
      <w:r w:rsidRPr="00074CAB">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rsidR="00AC365D" w:rsidRPr="00074CAB" w:rsidRDefault="00AC365D" w:rsidP="00074CAB">
      <w:pPr>
        <w:spacing w:line="360" w:lineRule="auto"/>
        <w:ind w:right="49"/>
        <w:contextualSpacing/>
        <w:jc w:val="both"/>
        <w:rPr>
          <w:rFonts w:ascii="Palatino Linotype" w:eastAsiaTheme="minorEastAsia" w:hAnsi="Palatino Linotype"/>
          <w:lang w:val="es-ES_tradnl" w:eastAsia="es-ES"/>
        </w:rPr>
      </w:pPr>
    </w:p>
    <w:p w:rsidR="003A19A2" w:rsidRPr="00074CAB" w:rsidRDefault="003A19A2" w:rsidP="00074CA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74CAB">
        <w:rPr>
          <w:rFonts w:ascii="Palatino Linotype" w:eastAsia="Batang" w:hAnsi="Palatino Linotype" w:cs="Arial"/>
        </w:rPr>
        <w:t xml:space="preserve">Así, para la doctrina el sobreseimiento provoca que un procedimiento se suspenda o se resuelva en definitiva </w:t>
      </w:r>
      <w:r w:rsidRPr="00074CAB">
        <w:rPr>
          <w:rFonts w:ascii="Palatino Linotype" w:eastAsia="Batang" w:hAnsi="Palatino Linotype" w:cs="Arial"/>
          <w:b/>
          <w:u w:val="single"/>
        </w:rPr>
        <w:t xml:space="preserve">sin que se entre al estudio de los agravios o motivos de inconformidad. </w:t>
      </w:r>
      <w:r w:rsidRPr="00074CAB">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rsidR="003A19A2" w:rsidRPr="00074CAB" w:rsidRDefault="003A19A2" w:rsidP="00074CAB">
      <w:pPr>
        <w:pStyle w:val="Prrafodelista"/>
        <w:spacing w:line="360" w:lineRule="auto"/>
        <w:ind w:left="0" w:right="49"/>
        <w:jc w:val="both"/>
        <w:rPr>
          <w:rFonts w:ascii="Palatino Linotype" w:hAnsi="Palatino Linotype"/>
        </w:rPr>
      </w:pPr>
    </w:p>
    <w:p w:rsidR="003A19A2" w:rsidRPr="00074CAB" w:rsidRDefault="003A19A2" w:rsidP="00074CAB">
      <w:pPr>
        <w:spacing w:line="360" w:lineRule="auto"/>
        <w:ind w:left="567" w:right="616"/>
        <w:jc w:val="both"/>
        <w:rPr>
          <w:rFonts w:ascii="Palatino Linotype" w:hAnsi="Palatino Linotype"/>
        </w:rPr>
      </w:pPr>
      <w:r w:rsidRPr="00074CAB">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rsidR="003A19A2" w:rsidRPr="00074CAB" w:rsidRDefault="003A19A2" w:rsidP="00074CAB">
      <w:pPr>
        <w:autoSpaceDE w:val="0"/>
        <w:autoSpaceDN w:val="0"/>
        <w:adjustRightInd w:val="0"/>
        <w:spacing w:line="360" w:lineRule="auto"/>
        <w:ind w:left="567" w:right="616"/>
        <w:jc w:val="both"/>
        <w:rPr>
          <w:rFonts w:ascii="Palatino Linotype" w:eastAsia="Batang" w:hAnsi="Palatino Linotype" w:cs="Arial"/>
          <w:i/>
          <w:sz w:val="22"/>
          <w:szCs w:val="22"/>
          <w:lang w:val="es-AR"/>
        </w:rPr>
      </w:pPr>
      <w:r w:rsidRPr="00074CAB">
        <w:rPr>
          <w:rFonts w:ascii="Palatino Linotype" w:eastAsia="Batang" w:hAnsi="Palatino Linotype" w:cs="Arial"/>
          <w:b/>
          <w:i/>
          <w:sz w:val="22"/>
          <w:szCs w:val="22"/>
          <w:lang w:val="es-AR"/>
        </w:rPr>
        <w:t>El sobreseimiento</w:t>
      </w:r>
      <w:r w:rsidRPr="00074CAB">
        <w:rPr>
          <w:rFonts w:ascii="Palatino Linotype" w:eastAsia="Batang" w:hAnsi="Palatino Linotype" w:cs="Arial"/>
          <w:i/>
          <w:sz w:val="22"/>
          <w:szCs w:val="22"/>
          <w:lang w:val="es-AR"/>
        </w:rPr>
        <w:t xml:space="preserve"> en el juicio de amparo directo </w:t>
      </w:r>
      <w:r w:rsidRPr="00074CAB">
        <w:rPr>
          <w:rFonts w:ascii="Palatino Linotype" w:eastAsia="Batang" w:hAnsi="Palatino Linotype" w:cs="Arial"/>
          <w:b/>
          <w:i/>
          <w:sz w:val="22"/>
          <w:szCs w:val="22"/>
          <w:lang w:val="es-AR"/>
        </w:rPr>
        <w:t>provoca la terminación de la controversia planteada</w:t>
      </w:r>
      <w:r w:rsidRPr="00074CAB">
        <w:rPr>
          <w:rFonts w:ascii="Palatino Linotype" w:eastAsia="Batang" w:hAnsi="Palatino Linotype" w:cs="Arial"/>
          <w:i/>
          <w:sz w:val="22"/>
          <w:szCs w:val="22"/>
          <w:lang w:val="es-AR"/>
        </w:rPr>
        <w:t xml:space="preserve"> por el quejoso en la demanda de amparo</w:t>
      </w:r>
      <w:r w:rsidRPr="00074CAB">
        <w:rPr>
          <w:rFonts w:ascii="Palatino Linotype" w:eastAsia="Batang" w:hAnsi="Palatino Linotype" w:cs="Arial"/>
          <w:b/>
          <w:i/>
          <w:sz w:val="22"/>
          <w:szCs w:val="22"/>
          <w:lang w:val="es-AR"/>
        </w:rPr>
        <w:t>, sin hacer un pronunciamiento de fondo sobre la legalidad o ilegalidad de la sentencia reclamada</w:t>
      </w:r>
      <w:r w:rsidRPr="00074CAB">
        <w:rPr>
          <w:rFonts w:ascii="Palatino Linotype" w:eastAsia="Batang" w:hAnsi="Palatino Linotype" w:cs="Arial"/>
          <w:i/>
          <w:sz w:val="22"/>
          <w:szCs w:val="22"/>
          <w:lang w:val="es-AR"/>
        </w:rPr>
        <w:t xml:space="preserve">. </w:t>
      </w:r>
      <w:r w:rsidRPr="00074CAB">
        <w:rPr>
          <w:rFonts w:ascii="Palatino Linotype" w:eastAsia="Batang" w:hAnsi="Palatino Linotype" w:cs="Arial"/>
          <w:b/>
          <w:i/>
          <w:sz w:val="22"/>
          <w:szCs w:val="22"/>
          <w:lang w:val="es-AR"/>
        </w:rPr>
        <w:t xml:space="preserve">Por consiguiente, si al sobreseerse en el juicio de amparo </w:t>
      </w:r>
      <w:r w:rsidRPr="00074CAB">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74CAB">
        <w:rPr>
          <w:rFonts w:ascii="Palatino Linotype" w:eastAsia="Batang" w:hAnsi="Palatino Linotype" w:cs="Arial"/>
          <w:i/>
          <w:sz w:val="22"/>
          <w:szCs w:val="22"/>
          <w:lang w:val="es-AR"/>
        </w:rPr>
        <w:t>.</w:t>
      </w:r>
    </w:p>
    <w:p w:rsidR="003A19A2" w:rsidRPr="00074CAB" w:rsidRDefault="003A19A2" w:rsidP="00074CAB">
      <w:pPr>
        <w:autoSpaceDE w:val="0"/>
        <w:autoSpaceDN w:val="0"/>
        <w:adjustRightInd w:val="0"/>
        <w:spacing w:line="360" w:lineRule="auto"/>
        <w:ind w:left="567" w:right="616"/>
        <w:jc w:val="both"/>
        <w:rPr>
          <w:rFonts w:ascii="Palatino Linotype" w:eastAsia="Batang" w:hAnsi="Palatino Linotype" w:cs="Arial"/>
          <w:i/>
          <w:sz w:val="22"/>
          <w:szCs w:val="22"/>
          <w:lang w:val="es-AR"/>
        </w:rPr>
      </w:pPr>
      <w:r w:rsidRPr="00074CAB">
        <w:rPr>
          <w:rFonts w:ascii="Palatino Linotype" w:eastAsia="Batang" w:hAnsi="Palatino Linotype" w:cs="Arial"/>
          <w:i/>
          <w:sz w:val="22"/>
          <w:szCs w:val="22"/>
          <w:lang w:val="es-AR"/>
        </w:rPr>
        <w:t>SÉPTIMO TRIBUNAL COLEGIADO EN MATERIA CIVIL DEL PRIMER CIRCUITO.</w:t>
      </w:r>
    </w:p>
    <w:p w:rsidR="00BA0658" w:rsidRPr="00074CAB" w:rsidRDefault="003A19A2" w:rsidP="00074CAB">
      <w:pPr>
        <w:autoSpaceDE w:val="0"/>
        <w:autoSpaceDN w:val="0"/>
        <w:adjustRightInd w:val="0"/>
        <w:spacing w:line="360" w:lineRule="auto"/>
        <w:ind w:left="567" w:right="616"/>
        <w:jc w:val="both"/>
        <w:rPr>
          <w:rFonts w:ascii="Palatino Linotype" w:eastAsia="Batang" w:hAnsi="Palatino Linotype" w:cs="Arial"/>
          <w:i/>
          <w:sz w:val="22"/>
          <w:szCs w:val="22"/>
          <w:lang w:val="es-AR"/>
        </w:rPr>
      </w:pPr>
      <w:r w:rsidRPr="00074CAB">
        <w:rPr>
          <w:rFonts w:ascii="Palatino Linotype" w:eastAsia="Batang" w:hAnsi="Palatino Linotype" w:cs="Arial"/>
          <w:i/>
          <w:sz w:val="22"/>
          <w:szCs w:val="22"/>
          <w:lang w:val="es-AR"/>
        </w:rPr>
        <w:t xml:space="preserve">Amparo directo 699/2008. Mariana Leticia González </w:t>
      </w:r>
      <w:proofErr w:type="spellStart"/>
      <w:r w:rsidRPr="00074CAB">
        <w:rPr>
          <w:rFonts w:ascii="Palatino Linotype" w:eastAsia="Batang" w:hAnsi="Palatino Linotype" w:cs="Arial"/>
          <w:i/>
          <w:sz w:val="22"/>
          <w:szCs w:val="22"/>
          <w:lang w:val="es-AR"/>
        </w:rPr>
        <w:t>Steele</w:t>
      </w:r>
      <w:proofErr w:type="spellEnd"/>
      <w:r w:rsidRPr="00074CAB">
        <w:rPr>
          <w:rFonts w:ascii="Palatino Linotype" w:eastAsia="Batang" w:hAnsi="Palatino Linotype" w:cs="Arial"/>
          <w:i/>
          <w:sz w:val="22"/>
          <w:szCs w:val="22"/>
          <w:lang w:val="es-AR"/>
        </w:rPr>
        <w:t>. 13 de noviembre de 2008. Unanimidad de votos. Ponente: Sara Judith Montalvo Trejo. Secretario: Arnulfo Mateos García.</w:t>
      </w:r>
      <w:bookmarkStart w:id="13" w:name="_Toc72934786"/>
    </w:p>
    <w:bookmarkEnd w:id="13"/>
    <w:p w:rsidR="00BA0658" w:rsidRPr="00074CAB" w:rsidRDefault="00BA0658" w:rsidP="00074CAB">
      <w:pPr>
        <w:pStyle w:val="Sinespaciado"/>
        <w:spacing w:line="360" w:lineRule="auto"/>
        <w:contextualSpacing/>
        <w:jc w:val="both"/>
        <w:rPr>
          <w:rFonts w:ascii="Palatino Linotype" w:eastAsia="Calibri" w:hAnsi="Palatino Linotype"/>
        </w:rPr>
      </w:pPr>
    </w:p>
    <w:p w:rsidR="00BA0658" w:rsidRPr="00074CAB" w:rsidRDefault="00BA0658" w:rsidP="00074CAB">
      <w:pPr>
        <w:pStyle w:val="Sinespaciado"/>
        <w:numPr>
          <w:ilvl w:val="0"/>
          <w:numId w:val="1"/>
        </w:numPr>
        <w:spacing w:line="360" w:lineRule="auto"/>
        <w:ind w:left="0" w:firstLine="0"/>
        <w:contextualSpacing/>
        <w:jc w:val="both"/>
        <w:rPr>
          <w:rFonts w:ascii="Palatino Linotype" w:eastAsia="Calibri" w:hAnsi="Palatino Linotype"/>
          <w:sz w:val="24"/>
        </w:rPr>
      </w:pPr>
      <w:r w:rsidRPr="00074CAB">
        <w:rPr>
          <w:rFonts w:ascii="Palatino Linotype" w:eastAsia="Calibri" w:hAnsi="Palatino Linotype"/>
          <w:sz w:val="24"/>
        </w:rPr>
        <w:t xml:space="preserve">Por lo anteriormente expuesto y fundado, este </w:t>
      </w:r>
      <w:r w:rsidRPr="00074CAB">
        <w:rPr>
          <w:rFonts w:ascii="Palatino Linotype" w:eastAsia="Calibri" w:hAnsi="Palatino Linotype"/>
          <w:b/>
          <w:bCs/>
          <w:sz w:val="24"/>
        </w:rPr>
        <w:t>ÓRGANO GARANTE</w:t>
      </w:r>
      <w:r w:rsidRPr="00074CAB">
        <w:rPr>
          <w:rFonts w:ascii="Palatino Linotype" w:eastAsia="Calibri" w:hAnsi="Palatino Linotype"/>
          <w:sz w:val="24"/>
        </w:rPr>
        <w:t xml:space="preserve"> emite los siguientes:</w:t>
      </w:r>
    </w:p>
    <w:p w:rsidR="00BA0658" w:rsidRPr="00074CAB" w:rsidRDefault="00BA0658" w:rsidP="00074CAB">
      <w:pPr>
        <w:spacing w:line="360" w:lineRule="auto"/>
        <w:contextualSpacing/>
        <w:jc w:val="both"/>
        <w:rPr>
          <w:rFonts w:ascii="Palatino Linotype" w:eastAsia="Calibri" w:hAnsi="Palatino Linotype"/>
        </w:rPr>
      </w:pPr>
    </w:p>
    <w:p w:rsidR="00BA0658" w:rsidRPr="00074CAB" w:rsidRDefault="00BA0658" w:rsidP="00074CAB">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4" w:name="_Toc528153792"/>
      <w:bookmarkStart w:id="15" w:name="_Toc71158406"/>
      <w:bookmarkStart w:id="16" w:name="_Toc84935145"/>
      <w:r w:rsidRPr="00074CAB">
        <w:rPr>
          <w:rFonts w:ascii="Palatino Linotype" w:eastAsiaTheme="majorEastAsia" w:hAnsi="Palatino Linotype" w:cstheme="majorBidi"/>
          <w:b/>
          <w:color w:val="000000" w:themeColor="text1"/>
          <w:lang w:eastAsia="en-US"/>
        </w:rPr>
        <w:t>R E S O L U T I V O S</w:t>
      </w:r>
      <w:bookmarkEnd w:id="14"/>
      <w:bookmarkEnd w:id="15"/>
      <w:bookmarkEnd w:id="16"/>
    </w:p>
    <w:p w:rsidR="00BA0658" w:rsidRPr="00074CAB" w:rsidRDefault="00BA0658" w:rsidP="00074CAB">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F811D1" w:rsidRPr="00F811D1" w:rsidRDefault="00F811D1" w:rsidP="00074CAB">
      <w:pPr>
        <w:spacing w:line="360" w:lineRule="auto"/>
        <w:jc w:val="both"/>
        <w:rPr>
          <w:rFonts w:ascii="Palatino Linotype" w:eastAsiaTheme="minorHAnsi" w:hAnsi="Palatino Linotype" w:cstheme="minorBidi"/>
          <w:szCs w:val="20"/>
          <w:lang w:eastAsia="en-US"/>
        </w:rPr>
      </w:pPr>
      <w:r w:rsidRPr="00F811D1">
        <w:rPr>
          <w:rFonts w:ascii="Palatino Linotype" w:eastAsiaTheme="minorHAnsi" w:hAnsi="Palatino Linotype" w:cstheme="minorBidi"/>
          <w:b/>
          <w:szCs w:val="20"/>
          <w:lang w:eastAsia="en-US"/>
        </w:rPr>
        <w:t xml:space="preserve">PRIMERO. </w:t>
      </w:r>
      <w:r w:rsidRPr="00F811D1">
        <w:rPr>
          <w:rFonts w:ascii="Palatino Linotype" w:eastAsiaTheme="minorHAnsi" w:hAnsi="Palatino Linotype" w:cstheme="minorBidi"/>
          <w:szCs w:val="20"/>
          <w:lang w:eastAsia="en-US"/>
        </w:rPr>
        <w:t xml:space="preserve">Se </w:t>
      </w:r>
      <w:r w:rsidRPr="00F811D1">
        <w:rPr>
          <w:rFonts w:ascii="Palatino Linotype" w:eastAsiaTheme="minorHAnsi" w:hAnsi="Palatino Linotype" w:cstheme="minorBidi"/>
          <w:b/>
          <w:szCs w:val="20"/>
          <w:lang w:eastAsia="en-US"/>
        </w:rPr>
        <w:t>SOBRESEE</w:t>
      </w:r>
      <w:r w:rsidRPr="00F811D1">
        <w:rPr>
          <w:rFonts w:ascii="Palatino Linotype" w:eastAsiaTheme="minorHAnsi" w:hAnsi="Palatino Linotype" w:cstheme="minorBidi"/>
          <w:szCs w:val="20"/>
          <w:lang w:eastAsia="en-US"/>
        </w:rPr>
        <w:t xml:space="preserve"> el recurso de revisión número </w:t>
      </w:r>
      <w:r w:rsidRPr="00074CAB">
        <w:rPr>
          <w:rFonts w:ascii="Palatino Linotype" w:eastAsiaTheme="minorHAnsi" w:hAnsi="Palatino Linotype" w:cstheme="minorBidi"/>
          <w:b/>
          <w:szCs w:val="20"/>
          <w:lang w:eastAsia="en-US"/>
        </w:rPr>
        <w:t>04048</w:t>
      </w:r>
      <w:r w:rsidRPr="00F811D1">
        <w:rPr>
          <w:rFonts w:ascii="Palatino Linotype" w:eastAsiaTheme="minorHAnsi" w:hAnsi="Palatino Linotype" w:cstheme="minorBidi"/>
          <w:b/>
          <w:szCs w:val="20"/>
          <w:lang w:eastAsia="en-US"/>
        </w:rPr>
        <w:t>/INFOEM/IP/RR/2021</w:t>
      </w:r>
      <w:r w:rsidRPr="00F811D1">
        <w:rPr>
          <w:rFonts w:ascii="Palatino Linotype" w:eastAsiaTheme="minorHAnsi" w:hAnsi="Palatino Linotype" w:cstheme="minorBidi"/>
          <w:szCs w:val="20"/>
          <w:lang w:eastAsia="en-US"/>
        </w:rPr>
        <w:t xml:space="preserve">, porque al </w:t>
      </w:r>
      <w:r w:rsidRPr="00F811D1">
        <w:rPr>
          <w:rFonts w:ascii="Palatino Linotype" w:eastAsiaTheme="minorHAnsi" w:hAnsi="Palatino Linotype" w:cstheme="minorBidi"/>
          <w:b/>
          <w:szCs w:val="20"/>
          <w:lang w:eastAsia="en-US"/>
        </w:rPr>
        <w:t>modificar la respuesta a través del informe justificado y atender lo solicitado, el recurso</w:t>
      </w:r>
      <w:r w:rsidRPr="00F811D1">
        <w:rPr>
          <w:rFonts w:ascii="Palatino Linotype" w:eastAsiaTheme="minorHAnsi" w:hAnsi="Palatino Linotype" w:cstheme="minorBidi"/>
          <w:szCs w:val="20"/>
          <w:lang w:eastAsia="en-US"/>
        </w:rPr>
        <w:t xml:space="preserve"> de revisión quedó sin materia en términos del  Considerando </w:t>
      </w:r>
      <w:r w:rsidRPr="00F811D1">
        <w:rPr>
          <w:rFonts w:ascii="Palatino Linotype" w:eastAsiaTheme="minorHAnsi" w:hAnsi="Palatino Linotype" w:cstheme="minorBidi"/>
          <w:b/>
          <w:szCs w:val="20"/>
          <w:lang w:eastAsia="en-US"/>
        </w:rPr>
        <w:t>CUARTO</w:t>
      </w:r>
      <w:r w:rsidRPr="00F811D1">
        <w:rPr>
          <w:rFonts w:ascii="Palatino Linotype" w:eastAsiaTheme="minorHAnsi" w:hAnsi="Palatino Linotype" w:cstheme="minorBidi"/>
          <w:szCs w:val="20"/>
          <w:lang w:eastAsia="en-US"/>
        </w:rPr>
        <w:t xml:space="preserve"> de la presente resolución.</w:t>
      </w:r>
    </w:p>
    <w:p w:rsidR="00F811D1" w:rsidRPr="00F811D1" w:rsidRDefault="00F811D1" w:rsidP="00074CAB">
      <w:pPr>
        <w:spacing w:line="360" w:lineRule="auto"/>
        <w:jc w:val="both"/>
        <w:rPr>
          <w:rFonts w:ascii="Palatino Linotype" w:eastAsiaTheme="minorHAnsi" w:hAnsi="Palatino Linotype" w:cstheme="minorBidi"/>
          <w:sz w:val="22"/>
          <w:szCs w:val="20"/>
          <w:lang w:eastAsia="en-US"/>
        </w:rPr>
      </w:pPr>
    </w:p>
    <w:p w:rsidR="00F811D1" w:rsidRPr="00F811D1" w:rsidRDefault="00F811D1" w:rsidP="00074CAB">
      <w:pPr>
        <w:spacing w:line="360" w:lineRule="auto"/>
        <w:jc w:val="both"/>
        <w:rPr>
          <w:rFonts w:ascii="Palatino Linotype" w:eastAsia="Calibri" w:hAnsi="Palatino Linotype" w:cs="Arial"/>
          <w:b/>
          <w:bCs/>
          <w:lang w:val="es-ES" w:eastAsia="en-US"/>
        </w:rPr>
      </w:pPr>
      <w:r w:rsidRPr="00F811D1">
        <w:rPr>
          <w:rFonts w:ascii="Palatino Linotype" w:eastAsia="Calibri" w:hAnsi="Palatino Linotype" w:cs="Arial"/>
          <w:b/>
          <w:bCs/>
          <w:lang w:val="es-ES" w:eastAsia="en-US"/>
        </w:rPr>
        <w:t xml:space="preserve">SEGUNDO. REMÍTASE </w:t>
      </w:r>
      <w:r w:rsidRPr="00F811D1">
        <w:rPr>
          <w:rFonts w:ascii="Palatino Linotype" w:eastAsia="Calibri" w:hAnsi="Palatino Linotype" w:cs="Arial"/>
          <w:bCs/>
          <w:lang w:val="es-ES" w:eastAsia="en-US"/>
        </w:rPr>
        <w:t xml:space="preserve">a través del Sistema de Acceso a la Información Mexiquense </w:t>
      </w:r>
      <w:r w:rsidRPr="00F811D1">
        <w:rPr>
          <w:rFonts w:ascii="Palatino Linotype" w:eastAsia="Calibri" w:hAnsi="Palatino Linotype" w:cs="Arial"/>
          <w:b/>
          <w:bCs/>
          <w:lang w:val="es-ES" w:eastAsia="en-US"/>
        </w:rPr>
        <w:t xml:space="preserve">(SAIMEX) </w:t>
      </w:r>
      <w:r w:rsidRPr="00F811D1">
        <w:rPr>
          <w:rFonts w:ascii="Palatino Linotype" w:eastAsia="Calibri" w:hAnsi="Palatino Linotype" w:cs="Arial"/>
          <w:bCs/>
          <w:lang w:val="es-ES" w:eastAsia="en-US"/>
        </w:rPr>
        <w:t>la presente resolución al Titular de la Unidad de Transparencia del</w:t>
      </w:r>
      <w:r w:rsidRPr="00F811D1">
        <w:rPr>
          <w:rFonts w:ascii="Palatino Linotype" w:eastAsia="Calibri" w:hAnsi="Palatino Linotype" w:cs="Arial"/>
          <w:b/>
          <w:bCs/>
          <w:lang w:val="es-ES" w:eastAsia="en-US"/>
        </w:rPr>
        <w:t xml:space="preserve"> SUJETO OBLIGADO. </w:t>
      </w:r>
    </w:p>
    <w:p w:rsidR="00F811D1" w:rsidRPr="00F811D1" w:rsidRDefault="00F811D1" w:rsidP="00074CAB">
      <w:pPr>
        <w:spacing w:line="360" w:lineRule="auto"/>
        <w:jc w:val="both"/>
        <w:rPr>
          <w:rFonts w:ascii="Palatino Linotype" w:eastAsia="Palatino Linotype" w:hAnsi="Palatino Linotype" w:cs="Palatino Linotype"/>
          <w:b/>
          <w:lang w:eastAsia="en-US"/>
        </w:rPr>
      </w:pPr>
    </w:p>
    <w:p w:rsidR="00F811D1" w:rsidRPr="00F811D1" w:rsidRDefault="00F811D1" w:rsidP="00074CAB">
      <w:pPr>
        <w:spacing w:line="360" w:lineRule="auto"/>
        <w:jc w:val="both"/>
        <w:rPr>
          <w:rFonts w:ascii="Palatino Linotype" w:hAnsi="Palatino Linotype"/>
          <w:color w:val="222222"/>
          <w:lang w:val="es-ES"/>
        </w:rPr>
      </w:pPr>
      <w:r w:rsidRPr="00F811D1">
        <w:rPr>
          <w:rFonts w:ascii="Palatino Linotype" w:hAnsi="Palatino Linotype" w:cs="Arial"/>
          <w:b/>
          <w:lang w:eastAsia="en-US"/>
        </w:rPr>
        <w:t xml:space="preserve">TERCERO. </w:t>
      </w:r>
      <w:r w:rsidRPr="00F811D1">
        <w:rPr>
          <w:rFonts w:ascii="Palatino Linotype" w:hAnsi="Palatino Linotype"/>
          <w:b/>
          <w:bCs/>
          <w:lang w:val="es-ES" w:eastAsia="en-US"/>
        </w:rPr>
        <w:t xml:space="preserve">Notifíquese </w:t>
      </w:r>
      <w:r w:rsidRPr="00F811D1">
        <w:rPr>
          <w:rFonts w:ascii="Palatino Linotype" w:hAnsi="Palatino Linotype"/>
          <w:bCs/>
          <w:lang w:val="es-ES" w:eastAsia="en-US"/>
        </w:rPr>
        <w:t xml:space="preserve">al </w:t>
      </w:r>
      <w:r w:rsidRPr="00F811D1">
        <w:rPr>
          <w:rFonts w:ascii="Palatino Linotype" w:hAnsi="Palatino Linotype"/>
          <w:b/>
          <w:bCs/>
          <w:lang w:val="es-ES" w:eastAsia="en-US"/>
        </w:rPr>
        <w:t>RECURRENTE</w:t>
      </w:r>
      <w:r w:rsidRPr="00F811D1">
        <w:rPr>
          <w:rFonts w:ascii="Palatino Linotype" w:eastAsiaTheme="minorHAnsi" w:hAnsi="Palatino Linotype" w:cstheme="minorBidi"/>
          <w:lang w:eastAsia="en-US"/>
        </w:rPr>
        <w:t xml:space="preserve"> </w:t>
      </w:r>
      <w:r w:rsidRPr="00F811D1">
        <w:rPr>
          <w:rFonts w:ascii="Palatino Linotype" w:hAnsi="Palatino Linotype"/>
          <w:lang w:val="es-ES"/>
        </w:rPr>
        <w:t>la presente resolución.</w:t>
      </w:r>
    </w:p>
    <w:p w:rsidR="00F811D1" w:rsidRPr="00F811D1" w:rsidRDefault="00F811D1" w:rsidP="00074CAB">
      <w:pPr>
        <w:spacing w:line="360" w:lineRule="auto"/>
        <w:jc w:val="both"/>
        <w:rPr>
          <w:rFonts w:ascii="Palatino Linotype" w:hAnsi="Palatino Linotype"/>
          <w:color w:val="222222"/>
          <w:lang w:val="es-ES"/>
        </w:rPr>
      </w:pPr>
    </w:p>
    <w:p w:rsidR="00F811D1" w:rsidRPr="00074CAB" w:rsidRDefault="00F811D1" w:rsidP="00074CAB">
      <w:pPr>
        <w:spacing w:line="360" w:lineRule="auto"/>
        <w:jc w:val="both"/>
        <w:rPr>
          <w:rFonts w:ascii="Palatino Linotype" w:eastAsia="MS Mincho" w:hAnsi="Palatino Linotype"/>
          <w:lang w:val="es-ES" w:eastAsia="es-ES"/>
        </w:rPr>
      </w:pPr>
      <w:r w:rsidRPr="00F811D1">
        <w:rPr>
          <w:rFonts w:ascii="Palatino Linotype" w:eastAsia="MS Mincho" w:hAnsi="Palatino Linotype"/>
          <w:b/>
          <w:lang w:eastAsia="es-ES"/>
        </w:rPr>
        <w:t>CUARTO.</w:t>
      </w:r>
      <w:r w:rsidRPr="00F811D1">
        <w:rPr>
          <w:rFonts w:ascii="Palatino Linotype" w:eastAsia="MS Mincho" w:hAnsi="Palatino Linotype"/>
          <w:lang w:eastAsia="es-ES"/>
        </w:rPr>
        <w:t xml:space="preserve"> </w:t>
      </w:r>
      <w:r w:rsidRPr="00F811D1">
        <w:rPr>
          <w:rFonts w:ascii="Palatino Linotype" w:eastAsia="MS Mincho" w:hAnsi="Palatino Linotype"/>
          <w:lang w:val="es-ES" w:eastAsia="es-ES"/>
        </w:rPr>
        <w:t xml:space="preserve">Se hace del conocimiento del </w:t>
      </w:r>
      <w:r w:rsidRPr="00F811D1">
        <w:rPr>
          <w:rFonts w:ascii="Palatino Linotype" w:hAnsi="Palatino Linotype"/>
          <w:b/>
          <w:bCs/>
          <w:lang w:val="es-ES" w:eastAsia="es-ES"/>
        </w:rPr>
        <w:t>RECURRENTE</w:t>
      </w:r>
      <w:r w:rsidRPr="00F811D1">
        <w:rPr>
          <w:rFonts w:ascii="Palatino Linotype" w:eastAsiaTheme="minorEastAsia" w:hAnsi="Palatino Linotype" w:cstheme="minorBidi"/>
          <w:lang w:val="es-ES_tradnl" w:eastAsia="es-ES"/>
        </w:rPr>
        <w:t xml:space="preserve">  </w:t>
      </w:r>
      <w:r w:rsidRPr="00F811D1">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811D1">
        <w:rPr>
          <w:rFonts w:ascii="Palatino Linotype" w:eastAsia="MS Mincho" w:hAnsi="Palatino Linotype"/>
          <w:bCs/>
          <w:lang w:val="es-ES" w:eastAsia="es-ES"/>
        </w:rPr>
        <w:t>vía juicio de amparo</w:t>
      </w:r>
      <w:r w:rsidRPr="00F811D1">
        <w:rPr>
          <w:rFonts w:ascii="Palatino Linotype" w:eastAsia="MS Mincho" w:hAnsi="Palatino Linotype"/>
          <w:lang w:val="es-ES" w:eastAsia="es-ES"/>
        </w:rPr>
        <w:t> en los términos de las leyes aplicables.</w:t>
      </w:r>
    </w:p>
    <w:p w:rsidR="00074CAB" w:rsidRPr="00F811D1" w:rsidRDefault="00074CAB" w:rsidP="00074CAB">
      <w:pPr>
        <w:spacing w:line="360" w:lineRule="auto"/>
        <w:jc w:val="both"/>
        <w:rPr>
          <w:rFonts w:ascii="Palatino Linotype" w:eastAsia="MS Mincho" w:hAnsi="Palatino Linotype"/>
          <w:lang w:val="es-ES" w:eastAsia="es-ES"/>
        </w:rPr>
      </w:pPr>
    </w:p>
    <w:p w:rsidR="00BA0658" w:rsidRPr="00074CAB" w:rsidRDefault="00BA0658" w:rsidP="00074CAB">
      <w:pPr>
        <w:spacing w:line="360" w:lineRule="auto"/>
        <w:ind w:right="48"/>
        <w:jc w:val="both"/>
        <w:rPr>
          <w:rFonts w:ascii="Palatino Linotype" w:hAnsi="Palatino Linotype"/>
        </w:rPr>
      </w:pPr>
      <w:r w:rsidRPr="00074CA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074CAB">
        <w:rPr>
          <w:rFonts w:ascii="Palatino Linotype" w:hAnsi="Palatino Linotype"/>
        </w:rPr>
        <w:lastRenderedPageBreak/>
        <w:t xml:space="preserve">GUSTAVO PARRA NORIEGA Y GUADALUPE RAMÍREZ PEÑA;  EN LA TRIGÉSIMA </w:t>
      </w:r>
      <w:r w:rsidR="00F811D1" w:rsidRPr="00074CAB">
        <w:rPr>
          <w:rFonts w:ascii="Palatino Linotype" w:hAnsi="Palatino Linotype"/>
        </w:rPr>
        <w:t>SÉPTIMA</w:t>
      </w:r>
      <w:r w:rsidRPr="00074CAB">
        <w:rPr>
          <w:rFonts w:ascii="Palatino Linotype" w:hAnsi="Palatino Linotype"/>
        </w:rPr>
        <w:t xml:space="preserve"> SESIÓN ORDINARIA CELEBRADA EL DÍA </w:t>
      </w:r>
      <w:r w:rsidR="00B271DF">
        <w:rPr>
          <w:rFonts w:ascii="Palatino Linotype" w:hAnsi="Palatino Linotype"/>
        </w:rPr>
        <w:t>VEINTE</w:t>
      </w:r>
      <w:r w:rsidRPr="00074CAB">
        <w:rPr>
          <w:rFonts w:ascii="Palatino Linotype" w:hAnsi="Palatino Linotype"/>
        </w:rPr>
        <w:t xml:space="preserve"> DE </w:t>
      </w:r>
      <w:r w:rsidR="00B271DF">
        <w:rPr>
          <w:rFonts w:ascii="Palatino Linotype" w:hAnsi="Palatino Linotype"/>
        </w:rPr>
        <w:t xml:space="preserve">OCTUBRE </w:t>
      </w:r>
      <w:r w:rsidRPr="00074CAB">
        <w:rPr>
          <w:rFonts w:ascii="Palatino Linotype" w:hAnsi="Palatino Linotype"/>
        </w:rPr>
        <w:t xml:space="preserve">DE DOS MIL VEINTIUNO, ANTE EL SECRETARIO TÉCNICO DEL PLENO, ALEXIS TAPIA RAMÍREZ. </w:t>
      </w:r>
    </w:p>
    <w:p w:rsidR="00BA0658" w:rsidRPr="00074CAB" w:rsidRDefault="00BA0658" w:rsidP="00074CAB">
      <w:pPr>
        <w:spacing w:line="360" w:lineRule="auto"/>
        <w:ind w:right="48"/>
        <w:rPr>
          <w:rFonts w:ascii="Palatino Linotype" w:hAnsi="Palatino Linotype"/>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ind w:right="49"/>
        <w:jc w:val="both"/>
        <w:rPr>
          <w:rFonts w:ascii="Palatino Linotype" w:eastAsiaTheme="minorEastAsia" w:hAnsi="Palatino Linotype" w:cs="Arial"/>
          <w:lang w:val="es-ES_tradnl" w:eastAsia="es-ES"/>
        </w:rPr>
      </w:pPr>
    </w:p>
    <w:p w:rsidR="00074CAB" w:rsidRPr="00074CAB" w:rsidRDefault="00074CAB" w:rsidP="00074CAB">
      <w:pPr>
        <w:spacing w:line="360" w:lineRule="auto"/>
        <w:ind w:right="49"/>
        <w:jc w:val="both"/>
        <w:rPr>
          <w:rFonts w:ascii="Palatino Linotype" w:eastAsiaTheme="minorEastAsia" w:hAnsi="Palatino Linotype" w:cs="Arial"/>
          <w:lang w:val="es-ES_tradnl" w:eastAsia="es-ES"/>
        </w:rPr>
      </w:pPr>
    </w:p>
    <w:p w:rsidR="00074CAB" w:rsidRPr="00074CAB" w:rsidRDefault="00074CAB" w:rsidP="00074CAB">
      <w:pPr>
        <w:spacing w:line="360" w:lineRule="auto"/>
        <w:ind w:right="49"/>
        <w:jc w:val="both"/>
        <w:rPr>
          <w:rFonts w:ascii="Palatino Linotype" w:eastAsiaTheme="minorEastAsia" w:hAnsi="Palatino Linotype" w:cs="Arial"/>
          <w:lang w:val="es-ES_tradnl" w:eastAsia="es-ES"/>
        </w:rPr>
      </w:pPr>
    </w:p>
    <w:p w:rsidR="00074CAB" w:rsidRPr="00074CAB" w:rsidRDefault="00074CAB" w:rsidP="00074CAB">
      <w:pPr>
        <w:spacing w:line="360" w:lineRule="auto"/>
        <w:ind w:right="49"/>
        <w:jc w:val="both"/>
        <w:rPr>
          <w:rFonts w:ascii="Palatino Linotype" w:eastAsiaTheme="minorEastAsia" w:hAnsi="Palatino Linotype" w:cs="Arial"/>
          <w:lang w:val="es-ES_tradnl" w:eastAsia="es-ES"/>
        </w:rPr>
      </w:pPr>
    </w:p>
    <w:p w:rsidR="00074CAB" w:rsidRPr="00074CAB" w:rsidRDefault="00074CAB" w:rsidP="00074CAB">
      <w:pPr>
        <w:spacing w:line="360" w:lineRule="auto"/>
        <w:ind w:right="49"/>
        <w:jc w:val="both"/>
        <w:rPr>
          <w:rFonts w:ascii="Palatino Linotype" w:eastAsiaTheme="minorEastAsia" w:hAnsi="Palatino Linotype" w:cs="Arial"/>
          <w:lang w:val="es-ES_tradnl" w:eastAsia="es-ES"/>
        </w:rPr>
      </w:pPr>
    </w:p>
    <w:p w:rsidR="00074CAB" w:rsidRPr="00074CAB" w:rsidRDefault="00074CAB" w:rsidP="00074CAB">
      <w:pPr>
        <w:spacing w:line="360" w:lineRule="auto"/>
        <w:ind w:right="49"/>
        <w:jc w:val="both"/>
        <w:rPr>
          <w:rFonts w:ascii="Palatino Linotype" w:eastAsiaTheme="minorEastAsia" w:hAnsi="Palatino Linotype" w:cs="Arial"/>
          <w:lang w:val="es-ES_tradnl" w:eastAsia="es-ES"/>
        </w:rPr>
      </w:pPr>
    </w:p>
    <w:p w:rsidR="00074CAB" w:rsidRPr="00074CAB" w:rsidRDefault="00074CAB" w:rsidP="00074CAB">
      <w:pPr>
        <w:spacing w:line="360" w:lineRule="auto"/>
        <w:ind w:right="49"/>
        <w:jc w:val="both"/>
        <w:rPr>
          <w:rFonts w:ascii="Palatino Linotype" w:eastAsiaTheme="minorEastAsia" w:hAnsi="Palatino Linotype" w:cs="Arial"/>
          <w:lang w:val="es-ES_tradnl" w:eastAsia="es-ES"/>
        </w:rPr>
      </w:pPr>
    </w:p>
    <w:p w:rsidR="00074CAB" w:rsidRPr="00074CAB" w:rsidRDefault="00074CAB" w:rsidP="00074CAB">
      <w:pPr>
        <w:spacing w:line="360" w:lineRule="auto"/>
        <w:ind w:right="49"/>
        <w:jc w:val="both"/>
        <w:rPr>
          <w:rFonts w:ascii="Palatino Linotype" w:eastAsiaTheme="minorEastAsia" w:hAnsi="Palatino Linotype" w:cs="Arial"/>
          <w:lang w:val="es-ES_tradnl" w:eastAsia="es-ES"/>
        </w:rPr>
      </w:pPr>
    </w:p>
    <w:p w:rsidR="00074CAB" w:rsidRPr="00074CAB" w:rsidRDefault="00074CAB" w:rsidP="00074CAB">
      <w:pPr>
        <w:spacing w:line="360" w:lineRule="auto"/>
        <w:ind w:right="49"/>
        <w:jc w:val="both"/>
        <w:rPr>
          <w:rFonts w:ascii="Palatino Linotype" w:eastAsiaTheme="minorEastAsia" w:hAnsi="Palatino Linotype" w:cs="Arial"/>
          <w:lang w:val="es-ES_tradnl" w:eastAsia="es-ES"/>
        </w:rPr>
      </w:pPr>
    </w:p>
    <w:p w:rsidR="00074CAB" w:rsidRPr="00074CAB" w:rsidRDefault="00074CAB" w:rsidP="00074CAB">
      <w:pPr>
        <w:spacing w:line="360" w:lineRule="auto"/>
        <w:ind w:right="49"/>
        <w:jc w:val="both"/>
        <w:rPr>
          <w:rFonts w:ascii="Palatino Linotype" w:eastAsiaTheme="minorEastAsia" w:hAnsi="Palatino Linotype" w:cs="Arial"/>
          <w:lang w:val="es-ES_tradnl" w:eastAsia="es-ES"/>
        </w:rPr>
      </w:pPr>
    </w:p>
    <w:p w:rsidR="00BA0658" w:rsidRPr="00074CAB" w:rsidRDefault="00BA0658" w:rsidP="00074CAB">
      <w:pPr>
        <w:spacing w:line="360" w:lineRule="auto"/>
        <w:rPr>
          <w:rFonts w:ascii="Palatino Linotype" w:hAnsi="Palatino Linotype"/>
        </w:rPr>
      </w:pPr>
    </w:p>
    <w:p w:rsidR="00BA0658" w:rsidRPr="00074CAB" w:rsidRDefault="00BA0658" w:rsidP="00074CAB">
      <w:pPr>
        <w:spacing w:line="360" w:lineRule="auto"/>
        <w:rPr>
          <w:rFonts w:ascii="Palatino Linotype" w:hAnsi="Palatino Linotype"/>
        </w:rPr>
      </w:pPr>
    </w:p>
    <w:p w:rsidR="00BA0658" w:rsidRPr="00074CAB" w:rsidRDefault="00BA0658" w:rsidP="00074CAB">
      <w:pPr>
        <w:spacing w:line="360" w:lineRule="auto"/>
        <w:rPr>
          <w:rFonts w:ascii="Palatino Linotype" w:hAnsi="Palatino Linotype"/>
        </w:rPr>
      </w:pPr>
    </w:p>
    <w:p w:rsidR="00BA0658" w:rsidRPr="00074CAB" w:rsidRDefault="00BA0658" w:rsidP="00074CAB">
      <w:pPr>
        <w:spacing w:line="360" w:lineRule="auto"/>
        <w:rPr>
          <w:rFonts w:ascii="Palatino Linotype" w:hAnsi="Palatino Linotype"/>
        </w:rPr>
      </w:pPr>
    </w:p>
    <w:p w:rsidR="00336D01" w:rsidRPr="00074CAB" w:rsidRDefault="00336D01" w:rsidP="00074CAB">
      <w:pPr>
        <w:spacing w:line="360" w:lineRule="auto"/>
        <w:rPr>
          <w:rFonts w:ascii="Palatino Linotype" w:hAnsi="Palatino Linotype"/>
        </w:rPr>
      </w:pPr>
    </w:p>
    <w:sectPr w:rsidR="00336D01" w:rsidRPr="00074CAB" w:rsidSect="00336D01">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F26" w:rsidRDefault="00592F26" w:rsidP="00BA0658">
      <w:r>
        <w:separator/>
      </w:r>
    </w:p>
  </w:endnote>
  <w:endnote w:type="continuationSeparator" w:id="0">
    <w:p w:rsidR="00592F26" w:rsidRDefault="00592F26" w:rsidP="00BA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D01" w:rsidRDefault="00336D01">
    <w:pPr>
      <w:pStyle w:val="Piedepgina"/>
      <w:jc w:val="right"/>
    </w:pPr>
    <w:r>
      <w:rPr>
        <w:lang w:val="es-ES"/>
      </w:rPr>
      <w:t xml:space="preserve">Página </w:t>
    </w:r>
    <w:r>
      <w:rPr>
        <w:b/>
        <w:bCs/>
      </w:rPr>
      <w:fldChar w:fldCharType="begin"/>
    </w:r>
    <w:r>
      <w:rPr>
        <w:b/>
        <w:bCs/>
      </w:rPr>
      <w:instrText>PAGE</w:instrText>
    </w:r>
    <w:r>
      <w:rPr>
        <w:b/>
        <w:bCs/>
      </w:rPr>
      <w:fldChar w:fldCharType="separate"/>
    </w:r>
    <w:r w:rsidR="00CD549E">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D549E">
      <w:rPr>
        <w:b/>
        <w:bCs/>
        <w:noProof/>
      </w:rPr>
      <w:t>22</w:t>
    </w:r>
    <w:r>
      <w:rPr>
        <w:b/>
        <w:bCs/>
      </w:rPr>
      <w:fldChar w:fldCharType="end"/>
    </w:r>
  </w:p>
  <w:p w:rsidR="00336D01" w:rsidRDefault="00336D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D01" w:rsidRDefault="00336D01">
    <w:pPr>
      <w:pStyle w:val="Piedepgina"/>
      <w:jc w:val="right"/>
    </w:pPr>
    <w:r>
      <w:rPr>
        <w:lang w:val="es-ES"/>
      </w:rPr>
      <w:t xml:space="preserve">Página </w:t>
    </w:r>
    <w:r>
      <w:rPr>
        <w:b/>
        <w:bCs/>
      </w:rPr>
      <w:fldChar w:fldCharType="begin"/>
    </w:r>
    <w:r>
      <w:rPr>
        <w:b/>
        <w:bCs/>
      </w:rPr>
      <w:instrText>PAGE</w:instrText>
    </w:r>
    <w:r>
      <w:rPr>
        <w:b/>
        <w:bCs/>
      </w:rPr>
      <w:fldChar w:fldCharType="separate"/>
    </w:r>
    <w:r w:rsidR="00CD549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D549E">
      <w:rPr>
        <w:b/>
        <w:bCs/>
        <w:noProof/>
      </w:rPr>
      <w:t>22</w:t>
    </w:r>
    <w:r>
      <w:rPr>
        <w:b/>
        <w:bCs/>
      </w:rPr>
      <w:fldChar w:fldCharType="end"/>
    </w:r>
  </w:p>
  <w:p w:rsidR="00336D01" w:rsidRDefault="00336D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F26" w:rsidRDefault="00592F26" w:rsidP="00BA0658">
      <w:r>
        <w:separator/>
      </w:r>
    </w:p>
  </w:footnote>
  <w:footnote w:type="continuationSeparator" w:id="0">
    <w:p w:rsidR="00592F26" w:rsidRDefault="00592F26" w:rsidP="00BA0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D01" w:rsidRDefault="00592F2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36D01" w:rsidRPr="005C106F" w:rsidTr="00336D01">
      <w:trPr>
        <w:trHeight w:val="1435"/>
      </w:trPr>
      <w:tc>
        <w:tcPr>
          <w:tcW w:w="2268" w:type="dxa"/>
          <w:shd w:val="clear" w:color="auto" w:fill="auto"/>
        </w:tcPr>
        <w:p w:rsidR="00336D01" w:rsidRPr="005C106F" w:rsidRDefault="00336D01" w:rsidP="00336D01">
          <w:pPr>
            <w:tabs>
              <w:tab w:val="right" w:pos="4273"/>
            </w:tabs>
            <w:rPr>
              <w:rFonts w:ascii="Garamond" w:eastAsia="Calibri" w:hAnsi="Garamond"/>
              <w:sz w:val="16"/>
              <w:szCs w:val="16"/>
              <w:lang w:eastAsia="en-US"/>
            </w:rPr>
          </w:pPr>
        </w:p>
      </w:tc>
      <w:tc>
        <w:tcPr>
          <w:tcW w:w="6946" w:type="dxa"/>
          <w:shd w:val="clear" w:color="auto" w:fill="auto"/>
        </w:tcPr>
        <w:p w:rsidR="00336D01" w:rsidRDefault="00336D01" w:rsidP="00336D01"/>
        <w:tbl>
          <w:tblPr>
            <w:tblW w:w="6662" w:type="dxa"/>
            <w:tblInd w:w="40" w:type="dxa"/>
            <w:tblLayout w:type="fixed"/>
            <w:tblLook w:val="0420" w:firstRow="1" w:lastRow="0" w:firstColumn="0" w:lastColumn="0" w:noHBand="0" w:noVBand="1"/>
          </w:tblPr>
          <w:tblGrid>
            <w:gridCol w:w="2551"/>
            <w:gridCol w:w="4111"/>
          </w:tblGrid>
          <w:tr w:rsidR="00336D01" w:rsidTr="00336D01">
            <w:trPr>
              <w:trHeight w:val="150"/>
            </w:trPr>
            <w:tc>
              <w:tcPr>
                <w:tcW w:w="2551" w:type="dxa"/>
                <w:shd w:val="clear" w:color="auto" w:fill="auto"/>
              </w:tcPr>
              <w:p w:rsidR="00336D01" w:rsidRPr="00020E73" w:rsidRDefault="00336D01" w:rsidP="00336D0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36D01" w:rsidRPr="00020E73" w:rsidRDefault="00336D01" w:rsidP="00336D0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04048</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336D01" w:rsidTr="00336D01">
            <w:trPr>
              <w:trHeight w:val="295"/>
            </w:trPr>
            <w:tc>
              <w:tcPr>
                <w:tcW w:w="2551" w:type="dxa"/>
                <w:shd w:val="clear" w:color="auto" w:fill="auto"/>
              </w:tcPr>
              <w:p w:rsidR="00336D01" w:rsidRPr="00020E73" w:rsidRDefault="00336D01" w:rsidP="00336D0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36D01" w:rsidRPr="00020E73" w:rsidRDefault="00336D01" w:rsidP="00336D0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Atizapán de Zaragoza</w:t>
                </w:r>
              </w:p>
            </w:tc>
          </w:tr>
          <w:tr w:rsidR="00336D01" w:rsidTr="00336D01">
            <w:trPr>
              <w:trHeight w:val="295"/>
            </w:trPr>
            <w:tc>
              <w:tcPr>
                <w:tcW w:w="2551" w:type="dxa"/>
                <w:shd w:val="clear" w:color="auto" w:fill="auto"/>
              </w:tcPr>
              <w:p w:rsidR="00336D01" w:rsidRPr="00020E73" w:rsidRDefault="00336D01" w:rsidP="00336D0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336D01" w:rsidRPr="00020E73" w:rsidRDefault="00336D01" w:rsidP="00336D0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36D01" w:rsidRPr="00020E73" w:rsidRDefault="00336D01" w:rsidP="00336D01">
                <w:pPr>
                  <w:tabs>
                    <w:tab w:val="right" w:pos="8838"/>
                  </w:tabs>
                  <w:ind w:left="-108" w:right="171"/>
                  <w:jc w:val="both"/>
                  <w:rPr>
                    <w:rFonts w:ascii="Palatino Linotype" w:eastAsia="Calibri" w:hAnsi="Palatino Linotype" w:cs="Tahoma"/>
                    <w:b/>
                    <w:sz w:val="22"/>
                    <w:szCs w:val="22"/>
                    <w:lang w:val="es-ES" w:eastAsia="en-US"/>
                  </w:rPr>
                </w:pPr>
              </w:p>
            </w:tc>
          </w:tr>
        </w:tbl>
        <w:p w:rsidR="00336D01" w:rsidRPr="005C106F" w:rsidRDefault="00336D01" w:rsidP="00336D01">
          <w:pPr>
            <w:tabs>
              <w:tab w:val="right" w:pos="8838"/>
            </w:tabs>
            <w:ind w:left="-28"/>
            <w:jc w:val="both"/>
            <w:rPr>
              <w:rFonts w:ascii="Arial" w:eastAsia="Calibri" w:hAnsi="Arial" w:cs="Arial"/>
              <w:b/>
              <w:sz w:val="22"/>
              <w:szCs w:val="22"/>
              <w:lang w:eastAsia="en-US"/>
            </w:rPr>
          </w:pPr>
        </w:p>
      </w:tc>
    </w:tr>
  </w:tbl>
  <w:p w:rsidR="00336D01" w:rsidRPr="00443C6B" w:rsidRDefault="00592F26" w:rsidP="00336D0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36D01" w:rsidRPr="00330DA7" w:rsidTr="00336D01">
      <w:trPr>
        <w:trHeight w:val="1435"/>
      </w:trPr>
      <w:tc>
        <w:tcPr>
          <w:tcW w:w="2268" w:type="dxa"/>
          <w:shd w:val="clear" w:color="auto" w:fill="auto"/>
        </w:tcPr>
        <w:p w:rsidR="00336D01" w:rsidRPr="00330DA7" w:rsidRDefault="00336D01" w:rsidP="00336D0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36D01" w:rsidRPr="00330DA7" w:rsidTr="00336D01">
            <w:trPr>
              <w:trHeight w:val="144"/>
            </w:trPr>
            <w:tc>
              <w:tcPr>
                <w:tcW w:w="2444" w:type="dxa"/>
                <w:shd w:val="clear" w:color="auto" w:fill="auto"/>
              </w:tcPr>
              <w:p w:rsidR="00336D01" w:rsidRPr="00020E73" w:rsidRDefault="00336D01" w:rsidP="00336D0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336D01" w:rsidRPr="00020E73" w:rsidRDefault="00336D01" w:rsidP="00336D01">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04048</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336D01" w:rsidRPr="00330DA7" w:rsidTr="00336D01">
            <w:trPr>
              <w:trHeight w:val="144"/>
            </w:trPr>
            <w:tc>
              <w:tcPr>
                <w:tcW w:w="2444" w:type="dxa"/>
                <w:shd w:val="clear" w:color="auto" w:fill="auto"/>
              </w:tcPr>
              <w:p w:rsidR="00336D01" w:rsidRPr="00020E73" w:rsidRDefault="00336D01" w:rsidP="00336D0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336D01" w:rsidRPr="00020E73" w:rsidRDefault="00CD549E" w:rsidP="00336D0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w:t>
                </w:r>
                <w:r w:rsidR="00336D01">
                  <w:rPr>
                    <w:rFonts w:ascii="Palatino Linotype" w:eastAsia="Calibri" w:hAnsi="Palatino Linotype" w:cs="Tahoma"/>
                    <w:sz w:val="22"/>
                    <w:szCs w:val="22"/>
                    <w:lang w:eastAsia="en-US"/>
                  </w:rPr>
                  <w:t xml:space="preserve"> </w:t>
                </w:r>
              </w:p>
            </w:tc>
          </w:tr>
          <w:tr w:rsidR="00336D01" w:rsidRPr="00330DA7" w:rsidTr="00336D01">
            <w:trPr>
              <w:trHeight w:val="283"/>
            </w:trPr>
            <w:tc>
              <w:tcPr>
                <w:tcW w:w="2444" w:type="dxa"/>
                <w:shd w:val="clear" w:color="auto" w:fill="auto"/>
              </w:tcPr>
              <w:p w:rsidR="00336D01" w:rsidRPr="00020E73" w:rsidRDefault="00336D01" w:rsidP="00336D0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336D01" w:rsidRPr="009E7B0A" w:rsidRDefault="00336D01" w:rsidP="00336D01">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Atizapán de Zaragoza</w:t>
                </w:r>
              </w:p>
            </w:tc>
          </w:tr>
          <w:tr w:rsidR="00336D01" w:rsidRPr="00330DA7" w:rsidTr="00336D01">
            <w:trPr>
              <w:trHeight w:val="283"/>
            </w:trPr>
            <w:tc>
              <w:tcPr>
                <w:tcW w:w="2444" w:type="dxa"/>
                <w:shd w:val="clear" w:color="auto" w:fill="auto"/>
              </w:tcPr>
              <w:p w:rsidR="00336D01" w:rsidRPr="00020E73" w:rsidRDefault="00336D01" w:rsidP="00336D0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336D01" w:rsidRPr="00020E73" w:rsidRDefault="00336D01" w:rsidP="00336D0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36D01" w:rsidRPr="00020E73" w:rsidRDefault="00336D01" w:rsidP="00336D01">
                <w:pPr>
                  <w:tabs>
                    <w:tab w:val="right" w:pos="8838"/>
                  </w:tabs>
                  <w:ind w:left="-74" w:right="-105"/>
                  <w:jc w:val="both"/>
                  <w:rPr>
                    <w:rFonts w:ascii="Palatino Linotype" w:eastAsia="Calibri" w:hAnsi="Palatino Linotype" w:cs="Tahoma"/>
                    <w:b/>
                    <w:sz w:val="22"/>
                    <w:szCs w:val="22"/>
                    <w:lang w:val="es-ES" w:eastAsia="en-US"/>
                  </w:rPr>
                </w:pPr>
              </w:p>
            </w:tc>
          </w:tr>
        </w:tbl>
        <w:p w:rsidR="00336D01" w:rsidRPr="00330DA7" w:rsidRDefault="00336D01" w:rsidP="00336D01">
          <w:pPr>
            <w:tabs>
              <w:tab w:val="right" w:pos="8838"/>
            </w:tabs>
            <w:ind w:left="-28"/>
            <w:jc w:val="both"/>
            <w:rPr>
              <w:rFonts w:ascii="Arial" w:eastAsia="Calibri" w:hAnsi="Arial" w:cs="Arial"/>
              <w:b/>
              <w:sz w:val="22"/>
              <w:szCs w:val="22"/>
              <w:lang w:eastAsia="en-US"/>
            </w:rPr>
          </w:pPr>
        </w:p>
      </w:tc>
    </w:tr>
  </w:tbl>
  <w:p w:rsidR="00336D01" w:rsidRPr="00827FA0" w:rsidRDefault="00592F26" w:rsidP="00336D0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51"/>
    <w:multiLevelType w:val="hybridMultilevel"/>
    <w:tmpl w:val="36585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DA58CC"/>
    <w:multiLevelType w:val="hybridMultilevel"/>
    <w:tmpl w:val="8F264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4317490"/>
    <w:multiLevelType w:val="hybridMultilevel"/>
    <w:tmpl w:val="2D5A1D6E"/>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6831A2"/>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0136A0"/>
    <w:multiLevelType w:val="hybridMultilevel"/>
    <w:tmpl w:val="470AAFC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7E2C32A8"/>
    <w:multiLevelType w:val="hybridMultilevel"/>
    <w:tmpl w:val="D5A0EB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6"/>
  </w:num>
  <w:num w:numId="6">
    <w:abstractNumId w:val="5"/>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58"/>
    <w:rsid w:val="00007A3C"/>
    <w:rsid w:val="00040329"/>
    <w:rsid w:val="00074CAB"/>
    <w:rsid w:val="000C4F59"/>
    <w:rsid w:val="00153702"/>
    <w:rsid w:val="0019753E"/>
    <w:rsid w:val="00214EBE"/>
    <w:rsid w:val="00336D01"/>
    <w:rsid w:val="003A19A2"/>
    <w:rsid w:val="003B5B9F"/>
    <w:rsid w:val="00592F26"/>
    <w:rsid w:val="0063573A"/>
    <w:rsid w:val="00662B6B"/>
    <w:rsid w:val="006C7BC7"/>
    <w:rsid w:val="00741DFA"/>
    <w:rsid w:val="0076643E"/>
    <w:rsid w:val="009855F3"/>
    <w:rsid w:val="009974A8"/>
    <w:rsid w:val="009F3D39"/>
    <w:rsid w:val="00AA5EDA"/>
    <w:rsid w:val="00AC365D"/>
    <w:rsid w:val="00B271DF"/>
    <w:rsid w:val="00BA0658"/>
    <w:rsid w:val="00BC2933"/>
    <w:rsid w:val="00C10ECE"/>
    <w:rsid w:val="00C52596"/>
    <w:rsid w:val="00CD549E"/>
    <w:rsid w:val="00DA103F"/>
    <w:rsid w:val="00DA791E"/>
    <w:rsid w:val="00DB717D"/>
    <w:rsid w:val="00DF2BC5"/>
    <w:rsid w:val="00DF5DBB"/>
    <w:rsid w:val="00E00B75"/>
    <w:rsid w:val="00E250C9"/>
    <w:rsid w:val="00EA3DB8"/>
    <w:rsid w:val="00F1355E"/>
    <w:rsid w:val="00F47D77"/>
    <w:rsid w:val="00F811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492343D-9B3D-4313-871A-77789F9B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65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A06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A065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658"/>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BA0658"/>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BA0658"/>
    <w:pPr>
      <w:tabs>
        <w:tab w:val="center" w:pos="4419"/>
        <w:tab w:val="right" w:pos="8838"/>
      </w:tabs>
    </w:pPr>
  </w:style>
  <w:style w:type="character" w:customStyle="1" w:styleId="EncabezadoCar">
    <w:name w:val="Encabezado Car"/>
    <w:basedOn w:val="Fuentedeprrafopredeter"/>
    <w:link w:val="Encabezado"/>
    <w:uiPriority w:val="99"/>
    <w:rsid w:val="00BA065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A0658"/>
    <w:pPr>
      <w:tabs>
        <w:tab w:val="center" w:pos="4419"/>
        <w:tab w:val="right" w:pos="8838"/>
      </w:tabs>
    </w:pPr>
  </w:style>
  <w:style w:type="character" w:customStyle="1" w:styleId="PiedepginaCar">
    <w:name w:val="Pie de página Car"/>
    <w:basedOn w:val="Fuentedeprrafopredeter"/>
    <w:link w:val="Piedepgina"/>
    <w:uiPriority w:val="99"/>
    <w:rsid w:val="00BA065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A065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BA065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A0658"/>
    <w:rPr>
      <w:color w:val="0563C1"/>
      <w:u w:val="single"/>
    </w:rPr>
  </w:style>
  <w:style w:type="paragraph" w:styleId="Sinespaciado">
    <w:name w:val="No Spacing"/>
    <w:aliases w:val="Francesa,INAI"/>
    <w:link w:val="SinespaciadoCar"/>
    <w:uiPriority w:val="1"/>
    <w:qFormat/>
    <w:rsid w:val="00BA0658"/>
    <w:pPr>
      <w:spacing w:after="0" w:line="240" w:lineRule="auto"/>
    </w:pPr>
    <w:rPr>
      <w:lang w:val="es-MX"/>
    </w:rPr>
  </w:style>
  <w:style w:type="character" w:customStyle="1" w:styleId="SinespaciadoCar">
    <w:name w:val="Sin espaciado Car"/>
    <w:aliases w:val="Francesa Car,INAI Car"/>
    <w:link w:val="Sinespaciado"/>
    <w:uiPriority w:val="1"/>
    <w:locked/>
    <w:rsid w:val="00BA0658"/>
    <w:rPr>
      <w:lang w:val="es-MX"/>
    </w:rPr>
  </w:style>
  <w:style w:type="paragraph" w:styleId="TDC1">
    <w:name w:val="toc 1"/>
    <w:basedOn w:val="Normal"/>
    <w:next w:val="Normal"/>
    <w:autoRedefine/>
    <w:uiPriority w:val="39"/>
    <w:unhideWhenUsed/>
    <w:rsid w:val="00BA065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BA065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A065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A065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A065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BA0658"/>
    <w:rPr>
      <w:rFonts w:ascii="Times New Roman" w:eastAsia="Times New Roman" w:hAnsi="Times New Roman" w:cs="Times New Roman"/>
      <w:sz w:val="20"/>
      <w:szCs w:val="20"/>
      <w:lang w:val="es-MX" w:eastAsia="es-MX"/>
    </w:rPr>
  </w:style>
  <w:style w:type="paragraph" w:styleId="TDC3">
    <w:name w:val="toc 3"/>
    <w:basedOn w:val="Normal"/>
    <w:next w:val="Normal"/>
    <w:autoRedefine/>
    <w:uiPriority w:val="39"/>
    <w:unhideWhenUsed/>
    <w:rsid w:val="00BA065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071474">
      <w:bodyDiv w:val="1"/>
      <w:marLeft w:val="0"/>
      <w:marRight w:val="0"/>
      <w:marTop w:val="0"/>
      <w:marBottom w:val="0"/>
      <w:divBdr>
        <w:top w:val="none" w:sz="0" w:space="0" w:color="auto"/>
        <w:left w:val="none" w:sz="0" w:space="0" w:color="auto"/>
        <w:bottom w:val="none" w:sz="0" w:space="0" w:color="auto"/>
        <w:right w:val="none" w:sz="0" w:space="0" w:color="auto"/>
      </w:divBdr>
    </w:div>
    <w:div w:id="68151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8461.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198443.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tizapan.gob.mx/Direccion-de-Bienestar/Ejercicio%202020/PLAN/Plan-de-Desarrollo-Municipal-de-Atizapan-de-Zaragoza-2019-2021.pdf" TargetMode="External"/><Relationship Id="rId4" Type="http://schemas.openxmlformats.org/officeDocument/2006/relationships/webSettings" Target="webSettings.xml"/><Relationship Id="rId9" Type="http://schemas.openxmlformats.org/officeDocument/2006/relationships/hyperlink" Target="https://transparenciaatiz.com.mx/Direcci&#243;n-de-Desarrollo-Personal/SUB.%20REC.%20HUM./2021/ART%2092%20FRACC%20XXI%20ORGANIGRAMA/ORG.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4500</Words>
  <Characters>24750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2021-10-21T15:00:00Z</cp:lastPrinted>
  <dcterms:created xsi:type="dcterms:W3CDTF">2021-11-04T00:15:00Z</dcterms:created>
  <dcterms:modified xsi:type="dcterms:W3CDTF">2021-11-04T00:15:00Z</dcterms:modified>
</cp:coreProperties>
</file>