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67DAA" w14:textId="55679D3F" w:rsidR="009B5FC2" w:rsidRPr="004508D0" w:rsidRDefault="009B5FC2" w:rsidP="009B5FC2">
      <w:pPr>
        <w:spacing w:before="100" w:beforeAutospacing="1" w:after="100" w:afterAutospacing="1" w:line="360" w:lineRule="auto"/>
        <w:jc w:val="both"/>
        <w:rPr>
          <w:rFonts w:ascii="Palatino Linotype" w:hAnsi="Palatino Linotype" w:cs="Arial"/>
        </w:rPr>
      </w:pPr>
      <w:r w:rsidRPr="004508D0">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5616F1" w:rsidRPr="004508D0">
        <w:rPr>
          <w:rFonts w:ascii="Palatino Linotype" w:hAnsi="Palatino Linotype" w:cs="Arial"/>
        </w:rPr>
        <w:t>quince</w:t>
      </w:r>
      <w:r w:rsidR="004E27D7" w:rsidRPr="004508D0">
        <w:rPr>
          <w:rFonts w:ascii="Palatino Linotype" w:hAnsi="Palatino Linotype" w:cs="Arial"/>
        </w:rPr>
        <w:t xml:space="preserve"> de diciembre </w:t>
      </w:r>
      <w:r w:rsidRPr="004508D0">
        <w:rPr>
          <w:rFonts w:ascii="Palatino Linotype" w:hAnsi="Palatino Linotype" w:cs="Arial"/>
        </w:rPr>
        <w:t>de dos mil veint</w:t>
      </w:r>
      <w:r w:rsidR="00E95E50" w:rsidRPr="004508D0">
        <w:rPr>
          <w:rFonts w:ascii="Palatino Linotype" w:hAnsi="Palatino Linotype" w:cs="Arial"/>
        </w:rPr>
        <w:t>iuno</w:t>
      </w:r>
      <w:r w:rsidRPr="004508D0">
        <w:rPr>
          <w:rFonts w:ascii="Palatino Linotype" w:hAnsi="Palatino Linotype" w:cs="Arial"/>
        </w:rPr>
        <w:t>.</w:t>
      </w:r>
    </w:p>
    <w:p w14:paraId="23FFD926" w14:textId="0E77AD40" w:rsidR="009B5FC2" w:rsidRPr="004508D0" w:rsidRDefault="009B5FC2" w:rsidP="009B5FC2">
      <w:pPr>
        <w:spacing w:before="100" w:beforeAutospacing="1" w:after="100" w:afterAutospacing="1" w:line="360" w:lineRule="auto"/>
        <w:jc w:val="both"/>
        <w:rPr>
          <w:rFonts w:ascii="Palatino Linotype" w:hAnsi="Palatino Linotype"/>
          <w:b/>
        </w:rPr>
      </w:pPr>
      <w:r w:rsidRPr="004508D0">
        <w:rPr>
          <w:rFonts w:ascii="Palatino Linotype" w:hAnsi="Palatino Linotype"/>
          <w:b/>
        </w:rPr>
        <w:t>VISTO</w:t>
      </w:r>
      <w:r w:rsidRPr="004508D0">
        <w:rPr>
          <w:rFonts w:ascii="Palatino Linotype" w:hAnsi="Palatino Linotype"/>
        </w:rPr>
        <w:t xml:space="preserve"> el expediente formado con motivo del recurso de revisión </w:t>
      </w:r>
      <w:r w:rsidR="00DB7FCD" w:rsidRPr="004508D0">
        <w:rPr>
          <w:rFonts w:ascii="Palatino Linotype" w:hAnsi="Palatino Linotype"/>
          <w:b/>
        </w:rPr>
        <w:t>0</w:t>
      </w:r>
      <w:r w:rsidR="00E95E50" w:rsidRPr="004508D0">
        <w:rPr>
          <w:rFonts w:ascii="Palatino Linotype" w:hAnsi="Palatino Linotype"/>
          <w:b/>
        </w:rPr>
        <w:t>5102</w:t>
      </w:r>
      <w:r w:rsidRPr="004508D0">
        <w:rPr>
          <w:rFonts w:ascii="Palatino Linotype" w:hAnsi="Palatino Linotype"/>
          <w:b/>
        </w:rPr>
        <w:t>/INFOEM/IP/RR/202</w:t>
      </w:r>
      <w:r w:rsidR="00E95E50" w:rsidRPr="004508D0">
        <w:rPr>
          <w:rFonts w:ascii="Palatino Linotype" w:hAnsi="Palatino Linotype"/>
          <w:b/>
        </w:rPr>
        <w:t>1</w:t>
      </w:r>
      <w:r w:rsidR="00DB7FCD" w:rsidRPr="004508D0">
        <w:rPr>
          <w:rFonts w:ascii="Palatino Linotype" w:hAnsi="Palatino Linotype"/>
        </w:rPr>
        <w:t>, interpuesto por el</w:t>
      </w:r>
      <w:r w:rsidRPr="004508D0">
        <w:rPr>
          <w:rFonts w:ascii="Palatino Linotype" w:hAnsi="Palatino Linotype"/>
        </w:rPr>
        <w:t xml:space="preserve"> </w:t>
      </w:r>
      <w:proofErr w:type="spellStart"/>
      <w:r w:rsidR="00F64BD0">
        <w:rPr>
          <w:rFonts w:ascii="Palatino Linotype" w:hAnsi="Palatino Linotype"/>
          <w:b/>
          <w:lang w:val="es-ES_tradnl"/>
        </w:rPr>
        <w:t>xxxxxxxxxxxxxxxxxxxxxxxxx</w:t>
      </w:r>
      <w:proofErr w:type="spellEnd"/>
      <w:r w:rsidRPr="004508D0">
        <w:rPr>
          <w:rFonts w:ascii="Palatino Linotype" w:hAnsi="Palatino Linotype"/>
          <w:b/>
        </w:rPr>
        <w:t xml:space="preserve">, </w:t>
      </w:r>
      <w:r w:rsidRPr="004508D0">
        <w:rPr>
          <w:rFonts w:ascii="Palatino Linotype" w:hAnsi="Palatino Linotype"/>
        </w:rPr>
        <w:t xml:space="preserve">en lo sucesivo </w:t>
      </w:r>
      <w:r w:rsidR="00DB7FCD" w:rsidRPr="004508D0">
        <w:rPr>
          <w:rFonts w:ascii="Palatino Linotype" w:hAnsi="Palatino Linotype"/>
          <w:b/>
        </w:rPr>
        <w:t>EL</w:t>
      </w:r>
      <w:r w:rsidRPr="004508D0">
        <w:rPr>
          <w:rFonts w:ascii="Palatino Linotype" w:hAnsi="Palatino Linotype"/>
          <w:b/>
        </w:rPr>
        <w:t xml:space="preserve"> RECURRENTE,</w:t>
      </w:r>
      <w:r w:rsidRPr="004508D0">
        <w:rPr>
          <w:rFonts w:ascii="Palatino Linotype" w:hAnsi="Palatino Linotype"/>
        </w:rPr>
        <w:t xml:space="preserve"> en contra de la respuesta de</w:t>
      </w:r>
      <w:r w:rsidR="00DB7FCD" w:rsidRPr="004508D0">
        <w:rPr>
          <w:rFonts w:ascii="Palatino Linotype" w:hAnsi="Palatino Linotype"/>
        </w:rPr>
        <w:t xml:space="preserve">l </w:t>
      </w:r>
      <w:r w:rsidR="00DB7FCD" w:rsidRPr="004508D0">
        <w:rPr>
          <w:rFonts w:ascii="Palatino Linotype" w:hAnsi="Palatino Linotype"/>
          <w:b/>
        </w:rPr>
        <w:t>Ayuntamiento de</w:t>
      </w:r>
      <w:r w:rsidR="00A24E09" w:rsidRPr="004508D0">
        <w:rPr>
          <w:rFonts w:ascii="Palatino Linotype" w:hAnsi="Palatino Linotype"/>
          <w:b/>
        </w:rPr>
        <w:t xml:space="preserve"> Metepec</w:t>
      </w:r>
      <w:r w:rsidRPr="004508D0">
        <w:rPr>
          <w:rFonts w:ascii="Palatino Linotype" w:hAnsi="Palatino Linotype"/>
          <w:b/>
        </w:rPr>
        <w:t xml:space="preserve">, </w:t>
      </w:r>
      <w:r w:rsidRPr="004508D0">
        <w:rPr>
          <w:rFonts w:ascii="Palatino Linotype" w:hAnsi="Palatino Linotype"/>
        </w:rPr>
        <w:t>en lo su</w:t>
      </w:r>
      <w:r w:rsidR="004E27D7" w:rsidRPr="004508D0">
        <w:rPr>
          <w:rFonts w:ascii="Palatino Linotype" w:hAnsi="Palatino Linotype"/>
        </w:rPr>
        <w:t>bsecuente</w:t>
      </w:r>
      <w:r w:rsidRPr="004508D0">
        <w:rPr>
          <w:rFonts w:ascii="Palatino Linotype" w:hAnsi="Palatino Linotype"/>
        </w:rPr>
        <w:t xml:space="preserve"> </w:t>
      </w:r>
      <w:r w:rsidRPr="004508D0">
        <w:rPr>
          <w:rFonts w:ascii="Palatino Linotype" w:hAnsi="Palatino Linotype"/>
          <w:b/>
        </w:rPr>
        <w:t>EL SUJETO OBLIGADO</w:t>
      </w:r>
      <w:r w:rsidRPr="004508D0">
        <w:rPr>
          <w:rFonts w:ascii="Palatino Linotype" w:hAnsi="Palatino Linotype"/>
        </w:rPr>
        <w:t xml:space="preserve">, se procede a dictar la presente resolución con base en lo siguiente: </w:t>
      </w:r>
    </w:p>
    <w:p w14:paraId="293A39FC" w14:textId="77777777" w:rsidR="009B5FC2" w:rsidRPr="004508D0" w:rsidRDefault="009B5FC2" w:rsidP="009B5FC2">
      <w:pPr>
        <w:jc w:val="center"/>
        <w:rPr>
          <w:rFonts w:ascii="Palatino Linotype" w:hAnsi="Palatino Linotype" w:cs="Arial"/>
          <w:b/>
          <w:bCs/>
          <w:spacing w:val="60"/>
          <w:sz w:val="28"/>
          <w:lang w:val="es-ES_tradnl"/>
        </w:rPr>
      </w:pPr>
      <w:r w:rsidRPr="004508D0">
        <w:rPr>
          <w:rFonts w:ascii="Palatino Linotype" w:hAnsi="Palatino Linotype" w:cs="Arial"/>
          <w:b/>
          <w:bCs/>
          <w:spacing w:val="60"/>
          <w:sz w:val="28"/>
          <w:lang w:val="es-ES_tradnl"/>
        </w:rPr>
        <w:t>RESULTANDO</w:t>
      </w:r>
    </w:p>
    <w:p w14:paraId="39CF2E59" w14:textId="3F829C5E" w:rsidR="009B5FC2" w:rsidRPr="004508D0" w:rsidRDefault="009B5FC2" w:rsidP="009B5FC2">
      <w:pPr>
        <w:pStyle w:val="Prrafodelista"/>
        <w:spacing w:before="100" w:beforeAutospacing="1" w:after="100" w:afterAutospacing="1" w:line="360" w:lineRule="auto"/>
        <w:ind w:left="0"/>
        <w:jc w:val="both"/>
        <w:rPr>
          <w:rFonts w:ascii="Palatino Linotype" w:hAnsi="Palatino Linotype"/>
        </w:rPr>
      </w:pPr>
      <w:r w:rsidRPr="004508D0">
        <w:rPr>
          <w:rFonts w:ascii="Palatino Linotype" w:hAnsi="Palatino Linotype" w:cs="Arial"/>
          <w:b/>
          <w:sz w:val="28"/>
          <w:szCs w:val="28"/>
        </w:rPr>
        <w:t xml:space="preserve">I. </w:t>
      </w:r>
      <w:r w:rsidRPr="004508D0">
        <w:rPr>
          <w:rFonts w:ascii="Palatino Linotype" w:hAnsi="Palatino Linotype"/>
        </w:rPr>
        <w:t xml:space="preserve">En fecha </w:t>
      </w:r>
      <w:r w:rsidR="00AF4B90" w:rsidRPr="004508D0">
        <w:rPr>
          <w:rFonts w:ascii="Palatino Linotype" w:hAnsi="Palatino Linotype"/>
        </w:rPr>
        <w:t>cuatro de octubre de dos mil veintiuno</w:t>
      </w:r>
      <w:r w:rsidRPr="004508D0">
        <w:rPr>
          <w:rFonts w:ascii="Palatino Linotype" w:hAnsi="Palatino Linotype"/>
        </w:rPr>
        <w:t xml:space="preserve">, </w:t>
      </w:r>
      <w:r w:rsidR="00DB7FCD" w:rsidRPr="004508D0">
        <w:rPr>
          <w:rFonts w:ascii="Palatino Linotype" w:hAnsi="Palatino Linotype"/>
          <w:b/>
        </w:rPr>
        <w:t>EL</w:t>
      </w:r>
      <w:r w:rsidRPr="004508D0">
        <w:rPr>
          <w:rFonts w:ascii="Palatino Linotype" w:hAnsi="Palatino Linotype"/>
          <w:b/>
        </w:rPr>
        <w:t xml:space="preserve"> RECURRENTE</w:t>
      </w:r>
      <w:r w:rsidRPr="004508D0">
        <w:rPr>
          <w:rFonts w:ascii="Palatino Linotype" w:hAnsi="Palatino Linotype"/>
        </w:rPr>
        <w:t xml:space="preserve"> presentó a través del Sistema de </w:t>
      </w:r>
      <w:r w:rsidRPr="004508D0">
        <w:rPr>
          <w:rFonts w:ascii="Palatino Linotype" w:hAnsi="Palatino Linotype" w:cs="Arial"/>
        </w:rPr>
        <w:t>Acceso</w:t>
      </w:r>
      <w:r w:rsidRPr="004508D0">
        <w:rPr>
          <w:rFonts w:ascii="Palatino Linotype" w:hAnsi="Palatino Linotype"/>
        </w:rPr>
        <w:t xml:space="preserve"> a la Información Mexiquense, en lo subsecuente </w:t>
      </w:r>
      <w:r w:rsidRPr="004508D0">
        <w:rPr>
          <w:rFonts w:ascii="Palatino Linotype" w:hAnsi="Palatino Linotype"/>
          <w:b/>
        </w:rPr>
        <w:t>EL SAIMEX</w:t>
      </w:r>
      <w:r w:rsidRPr="004508D0">
        <w:rPr>
          <w:rFonts w:ascii="Palatino Linotype" w:hAnsi="Palatino Linotype"/>
        </w:rPr>
        <w:t xml:space="preserve">, ante </w:t>
      </w:r>
      <w:r w:rsidRPr="004508D0">
        <w:rPr>
          <w:rFonts w:ascii="Palatino Linotype" w:hAnsi="Palatino Linotype"/>
          <w:b/>
        </w:rPr>
        <w:t>EL SUJETO OBLIGADO</w:t>
      </w:r>
      <w:r w:rsidRPr="004508D0">
        <w:rPr>
          <w:rFonts w:ascii="Palatino Linotype" w:hAnsi="Palatino Linotype"/>
        </w:rPr>
        <w:t xml:space="preserve">, la solicitud de acceso a la información pública, a la que se le asignó el número de expediente </w:t>
      </w:r>
      <w:r w:rsidR="00AF4B90" w:rsidRPr="004508D0">
        <w:rPr>
          <w:rFonts w:ascii="Palatino Linotype" w:hAnsi="Palatino Linotype"/>
          <w:b/>
        </w:rPr>
        <w:t>00577</w:t>
      </w:r>
      <w:r w:rsidR="00DB7FCD" w:rsidRPr="004508D0">
        <w:rPr>
          <w:rFonts w:ascii="Palatino Linotype" w:hAnsi="Palatino Linotype"/>
          <w:b/>
        </w:rPr>
        <w:t>/</w:t>
      </w:r>
      <w:r w:rsidR="00AF4B90" w:rsidRPr="004508D0">
        <w:rPr>
          <w:rFonts w:ascii="Palatino Linotype" w:hAnsi="Palatino Linotype"/>
          <w:b/>
        </w:rPr>
        <w:t>METEPEC</w:t>
      </w:r>
      <w:r w:rsidR="00DB7FCD" w:rsidRPr="004508D0">
        <w:rPr>
          <w:rFonts w:ascii="Palatino Linotype" w:hAnsi="Palatino Linotype"/>
          <w:b/>
        </w:rPr>
        <w:t>/IP/202</w:t>
      </w:r>
      <w:r w:rsidR="00AF4B90" w:rsidRPr="004508D0">
        <w:rPr>
          <w:rFonts w:ascii="Palatino Linotype" w:hAnsi="Palatino Linotype"/>
          <w:b/>
        </w:rPr>
        <w:t>1</w:t>
      </w:r>
      <w:r w:rsidRPr="004508D0">
        <w:rPr>
          <w:rFonts w:ascii="Palatino Linotype" w:hAnsi="Palatino Linotype"/>
        </w:rPr>
        <w:t>, mediante la cual solicitó:</w:t>
      </w:r>
    </w:p>
    <w:p w14:paraId="5C31CFD7" w14:textId="23BE6D07" w:rsidR="009B5FC2" w:rsidRPr="004508D0" w:rsidRDefault="009B5FC2" w:rsidP="009B5FC2">
      <w:pPr>
        <w:ind w:left="851" w:right="902"/>
        <w:jc w:val="both"/>
        <w:rPr>
          <w:rFonts w:ascii="Palatino Linotype" w:hAnsi="Palatino Linotype"/>
          <w:i/>
          <w:color w:val="000000"/>
          <w:sz w:val="22"/>
          <w:szCs w:val="22"/>
        </w:rPr>
      </w:pPr>
      <w:r w:rsidRPr="004508D0">
        <w:rPr>
          <w:rFonts w:ascii="Palatino Linotype" w:hAnsi="Palatino Linotype"/>
          <w:i/>
          <w:color w:val="000000"/>
          <w:sz w:val="22"/>
          <w:szCs w:val="22"/>
        </w:rPr>
        <w:t>“</w:t>
      </w:r>
      <w:r w:rsidR="00AF4B90" w:rsidRPr="004508D0">
        <w:rPr>
          <w:rFonts w:ascii="Palatino Linotype" w:hAnsi="Palatino Linotype"/>
          <w:i/>
          <w:color w:val="000000"/>
          <w:sz w:val="22"/>
          <w:szCs w:val="22"/>
        </w:rPr>
        <w:t>Solicito me sea informado la fecha en que me será entregado mi finiquito, debido a que en diversas ocasiones me apersone en la Dirección de Administración y la Tesorería Municipal y me dan evasivas sobre la situación en la que se encuentra, no obstante que se solicitó previamente por oficio. Se adjunta evidencia.</w:t>
      </w:r>
      <w:r w:rsidRPr="004508D0">
        <w:rPr>
          <w:rFonts w:ascii="Palatino Linotype" w:hAnsi="Palatino Linotype"/>
          <w:i/>
          <w:color w:val="000000"/>
          <w:sz w:val="22"/>
          <w:szCs w:val="22"/>
        </w:rPr>
        <w:t>” (Sic)</w:t>
      </w:r>
    </w:p>
    <w:p w14:paraId="6F47BA89" w14:textId="51D90132" w:rsidR="00904E17" w:rsidRPr="004508D0" w:rsidRDefault="00904E17" w:rsidP="004E27D7">
      <w:pPr>
        <w:spacing w:before="100" w:beforeAutospacing="1" w:after="100" w:afterAutospacing="1" w:line="360" w:lineRule="auto"/>
        <w:jc w:val="both"/>
        <w:rPr>
          <w:rFonts w:ascii="Palatino Linotype" w:hAnsi="Palatino Linotype"/>
        </w:rPr>
      </w:pPr>
      <w:r w:rsidRPr="004508D0">
        <w:rPr>
          <w:rFonts w:ascii="Palatino Linotype" w:hAnsi="Palatino Linotype"/>
        </w:rPr>
        <w:t xml:space="preserve">Además, el RECURRENTE adjuntó a su requerimiento </w:t>
      </w:r>
      <w:r w:rsidR="00DB7FCD" w:rsidRPr="004508D0">
        <w:rPr>
          <w:rFonts w:ascii="Palatino Linotype" w:hAnsi="Palatino Linotype"/>
        </w:rPr>
        <w:t>el archivo electrónico denominado</w:t>
      </w:r>
      <w:r w:rsidR="00AF4B90" w:rsidRPr="004508D0">
        <w:rPr>
          <w:rFonts w:ascii="Palatino Linotype" w:hAnsi="Palatino Linotype"/>
        </w:rPr>
        <w:t xml:space="preserve"> </w:t>
      </w:r>
      <w:r w:rsidR="00AF4B90" w:rsidRPr="004508D0">
        <w:rPr>
          <w:rFonts w:ascii="Palatino Linotype" w:hAnsi="Palatino Linotype"/>
          <w:b/>
        </w:rPr>
        <w:t>Solicitud de Finiquito HECAD</w:t>
      </w:r>
      <w:r w:rsidR="00C03767" w:rsidRPr="004508D0">
        <w:rPr>
          <w:rFonts w:ascii="Palatino Linotype" w:hAnsi="Palatino Linotype"/>
          <w:b/>
        </w:rPr>
        <w:t xml:space="preserve">, </w:t>
      </w:r>
      <w:r w:rsidRPr="004508D0">
        <w:rPr>
          <w:rFonts w:ascii="Palatino Linotype" w:hAnsi="Palatino Linotype"/>
        </w:rPr>
        <w:t>con el cual sustenta su petición y para mayor conocimiento se inserta la imagen siguiente:</w:t>
      </w:r>
    </w:p>
    <w:p w14:paraId="4DE78D49" w14:textId="77777777" w:rsidR="00043B6E" w:rsidRPr="004508D0" w:rsidRDefault="00043B6E" w:rsidP="00AF4B90">
      <w:pPr>
        <w:spacing w:before="100" w:beforeAutospacing="1" w:after="100" w:afterAutospacing="1" w:line="360" w:lineRule="auto"/>
        <w:jc w:val="center"/>
        <w:rPr>
          <w:noProof/>
          <w:lang w:eastAsia="es-MX"/>
        </w:rPr>
      </w:pPr>
    </w:p>
    <w:p w14:paraId="6DDB721C" w14:textId="708484FF" w:rsidR="00AF4B90" w:rsidRPr="004508D0" w:rsidRDefault="00F64BD0" w:rsidP="00AF4B90">
      <w:pPr>
        <w:spacing w:before="100" w:beforeAutospacing="1" w:after="100" w:afterAutospacing="1"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46D97B23" wp14:editId="09D5F77F">
            <wp:extent cx="3762375" cy="2352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2352675"/>
                    </a:xfrm>
                    <a:prstGeom prst="rect">
                      <a:avLst/>
                    </a:prstGeom>
                    <a:noFill/>
                    <a:ln>
                      <a:noFill/>
                    </a:ln>
                  </pic:spPr>
                </pic:pic>
              </a:graphicData>
            </a:graphic>
          </wp:inline>
        </w:drawing>
      </w:r>
    </w:p>
    <w:p w14:paraId="72FAB8B8" w14:textId="77777777" w:rsidR="009B5FC2" w:rsidRPr="004508D0" w:rsidRDefault="009B5FC2" w:rsidP="009B5FC2">
      <w:pPr>
        <w:spacing w:before="100" w:beforeAutospacing="1" w:after="100" w:afterAutospacing="1" w:line="360" w:lineRule="auto"/>
        <w:jc w:val="both"/>
        <w:rPr>
          <w:rFonts w:ascii="Palatino Linotype" w:hAnsi="Palatino Linotype" w:cs="Arial"/>
        </w:rPr>
      </w:pPr>
      <w:r w:rsidRPr="004508D0">
        <w:rPr>
          <w:rFonts w:ascii="Palatino Linotype" w:hAnsi="Palatino Linotype" w:cs="Arial"/>
          <w:b/>
        </w:rPr>
        <w:t>MODALIDAD DE ENTREGA:</w:t>
      </w:r>
      <w:r w:rsidRPr="004508D0">
        <w:rPr>
          <w:rFonts w:ascii="Palatino Linotype" w:hAnsi="Palatino Linotype" w:cs="Arial"/>
        </w:rPr>
        <w:t xml:space="preserve"> Vía </w:t>
      </w:r>
      <w:r w:rsidRPr="004508D0">
        <w:rPr>
          <w:rFonts w:ascii="Palatino Linotype" w:hAnsi="Palatino Linotype" w:cs="Arial"/>
          <w:b/>
        </w:rPr>
        <w:t>SAIMEX</w:t>
      </w:r>
      <w:r w:rsidRPr="004508D0">
        <w:rPr>
          <w:rFonts w:ascii="Palatino Linotype" w:hAnsi="Palatino Linotype" w:cs="Arial"/>
        </w:rPr>
        <w:t>.</w:t>
      </w:r>
    </w:p>
    <w:p w14:paraId="520E8D0A" w14:textId="368920E1" w:rsidR="009B5FC2" w:rsidRPr="004508D0" w:rsidRDefault="009B5FC2" w:rsidP="007F6742">
      <w:pPr>
        <w:spacing w:line="360" w:lineRule="auto"/>
        <w:jc w:val="both"/>
        <w:rPr>
          <w:rFonts w:ascii="Palatino Linotype" w:hAnsi="Palatino Linotype" w:cs="Arial"/>
          <w:lang w:val="es-ES_tradnl"/>
        </w:rPr>
      </w:pPr>
      <w:r w:rsidRPr="004508D0">
        <w:rPr>
          <w:rFonts w:ascii="Palatino Linotype" w:hAnsi="Palatino Linotype" w:cs="Arial"/>
          <w:b/>
          <w:sz w:val="28"/>
          <w:szCs w:val="28"/>
        </w:rPr>
        <w:t>II.</w:t>
      </w:r>
      <w:r w:rsidRPr="004508D0">
        <w:rPr>
          <w:rFonts w:ascii="Palatino Linotype" w:hAnsi="Palatino Linotype" w:cs="Arial"/>
        </w:rPr>
        <w:t xml:space="preserve"> De las </w:t>
      </w:r>
      <w:r w:rsidRPr="004508D0">
        <w:rPr>
          <w:rFonts w:ascii="Palatino Linotype" w:hAnsi="Palatino Linotype" w:cs="Arial"/>
          <w:lang w:val="es-ES_tradnl"/>
        </w:rPr>
        <w:t>constancias</w:t>
      </w:r>
      <w:r w:rsidR="00F14020" w:rsidRPr="004508D0">
        <w:rPr>
          <w:rFonts w:ascii="Palatino Linotype" w:hAnsi="Palatino Linotype" w:cs="Arial"/>
          <w:lang w:val="es-ES_tradnl"/>
        </w:rPr>
        <w:t xml:space="preserve"> digitales</w:t>
      </w:r>
      <w:r w:rsidRPr="004508D0">
        <w:rPr>
          <w:rFonts w:ascii="Palatino Linotype" w:hAnsi="Palatino Linotype" w:cs="Arial"/>
          <w:lang w:val="es-ES_tradnl"/>
        </w:rPr>
        <w:t xml:space="preserve"> que obran en </w:t>
      </w:r>
      <w:r w:rsidRPr="004508D0">
        <w:rPr>
          <w:rFonts w:ascii="Palatino Linotype" w:hAnsi="Palatino Linotype" w:cs="Arial"/>
          <w:b/>
          <w:lang w:val="es-ES_tradnl"/>
        </w:rPr>
        <w:t>EL</w:t>
      </w:r>
      <w:r w:rsidRPr="004508D0">
        <w:rPr>
          <w:rFonts w:ascii="Palatino Linotype" w:hAnsi="Palatino Linotype" w:cs="Arial"/>
          <w:lang w:val="es-ES_tradnl"/>
        </w:rPr>
        <w:t xml:space="preserve"> </w:t>
      </w:r>
      <w:r w:rsidRPr="004508D0">
        <w:rPr>
          <w:rFonts w:ascii="Palatino Linotype" w:hAnsi="Palatino Linotype" w:cs="Arial"/>
          <w:b/>
          <w:lang w:val="es-ES_tradnl"/>
        </w:rPr>
        <w:t>SAIMEX</w:t>
      </w:r>
      <w:r w:rsidRPr="004508D0">
        <w:rPr>
          <w:rFonts w:ascii="Palatino Linotype" w:hAnsi="Palatino Linotype" w:cs="Arial"/>
          <w:lang w:val="es-ES_tradnl"/>
        </w:rPr>
        <w:t xml:space="preserve">, se desprende que el </w:t>
      </w:r>
      <w:r w:rsidR="007F6742" w:rsidRPr="004508D0">
        <w:rPr>
          <w:rFonts w:ascii="Palatino Linotype" w:hAnsi="Palatino Linotype" w:cs="Arial"/>
          <w:lang w:val="es-ES_tradnl"/>
        </w:rPr>
        <w:t>trece de octubre de dos mil veintiuno</w:t>
      </w:r>
      <w:r w:rsidRPr="004508D0">
        <w:rPr>
          <w:rFonts w:ascii="Palatino Linotype" w:hAnsi="Palatino Linotype" w:cs="Arial"/>
          <w:lang w:val="es-ES_tradnl"/>
        </w:rPr>
        <w:t>,</w:t>
      </w:r>
      <w:r w:rsidRPr="004508D0">
        <w:rPr>
          <w:rFonts w:ascii="Palatino Linotype" w:hAnsi="Palatino Linotype" w:cs="Arial"/>
          <w:b/>
          <w:lang w:val="es-ES_tradnl"/>
        </w:rPr>
        <w:t xml:space="preserve"> EL SUJETO OBLIGADO</w:t>
      </w:r>
      <w:r w:rsidRPr="004508D0">
        <w:rPr>
          <w:rFonts w:ascii="Palatino Linotype" w:hAnsi="Palatino Linotype" w:cs="Arial"/>
          <w:lang w:val="es-ES_tradnl"/>
        </w:rPr>
        <w:t xml:space="preserve"> dio respuesta a la solicitud de acceso a la información</w:t>
      </w:r>
      <w:r w:rsidR="00F14020" w:rsidRPr="004508D0">
        <w:rPr>
          <w:rFonts w:ascii="Palatino Linotype" w:hAnsi="Palatino Linotype" w:cs="Arial"/>
          <w:lang w:val="es-ES_tradnl"/>
        </w:rPr>
        <w:t xml:space="preserve">, </w:t>
      </w:r>
      <w:r w:rsidR="00D83020" w:rsidRPr="004508D0">
        <w:rPr>
          <w:rFonts w:ascii="Palatino Linotype" w:hAnsi="Palatino Linotype" w:cs="Arial"/>
          <w:lang w:val="es-ES_tradnl"/>
        </w:rPr>
        <w:t>en los términos siguientes:</w:t>
      </w:r>
    </w:p>
    <w:p w14:paraId="632DB8E0" w14:textId="77777777" w:rsidR="005616F1" w:rsidRPr="004508D0" w:rsidRDefault="005616F1" w:rsidP="007F6742">
      <w:pPr>
        <w:spacing w:line="360" w:lineRule="auto"/>
        <w:jc w:val="both"/>
        <w:rPr>
          <w:rFonts w:ascii="Palatino Linotype" w:hAnsi="Palatino Linotype" w:cs="Arial"/>
          <w:lang w:val="es-ES_tradnl"/>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7F6742" w:rsidRPr="004508D0" w14:paraId="6338A6CD" w14:textId="77777777" w:rsidTr="007F6742">
        <w:trPr>
          <w:trHeight w:val="150"/>
          <w:tblCellSpacing w:w="0" w:type="dxa"/>
          <w:jc w:val="center"/>
        </w:trPr>
        <w:tc>
          <w:tcPr>
            <w:tcW w:w="0" w:type="auto"/>
            <w:vAlign w:val="center"/>
            <w:hideMark/>
          </w:tcPr>
          <w:p w14:paraId="0C95A070" w14:textId="77777777" w:rsidR="007F6742" w:rsidRPr="004508D0" w:rsidRDefault="007F6742" w:rsidP="007F6742">
            <w:pPr>
              <w:jc w:val="center"/>
              <w:rPr>
                <w:lang w:eastAsia="es-MX"/>
              </w:rPr>
            </w:pPr>
            <w:r w:rsidRPr="004508D0">
              <w:rPr>
                <w:rFonts w:ascii="Verdana" w:hAnsi="Verdana"/>
                <w:b/>
                <w:bCs/>
                <w:sz w:val="18"/>
                <w:szCs w:val="18"/>
                <w:lang w:eastAsia="es-MX"/>
              </w:rPr>
              <w:t>Ayuntamiento de Metepec</w:t>
            </w:r>
          </w:p>
        </w:tc>
      </w:tr>
    </w:tbl>
    <w:p w14:paraId="0F63F692" w14:textId="77777777" w:rsidR="007F6742" w:rsidRPr="004508D0" w:rsidRDefault="007F6742" w:rsidP="007F6742">
      <w:pPr>
        <w:rPr>
          <w:lang w:eastAsia="es-MX"/>
        </w:rPr>
      </w:pPr>
    </w:p>
    <w:tbl>
      <w:tblPr>
        <w:tblW w:w="5000" w:type="pct"/>
        <w:jc w:val="center"/>
        <w:tblCellSpacing w:w="0" w:type="dxa"/>
        <w:tblCellMar>
          <w:left w:w="0" w:type="dxa"/>
          <w:right w:w="0" w:type="dxa"/>
        </w:tblCellMar>
        <w:tblLook w:val="04A0" w:firstRow="1" w:lastRow="0" w:firstColumn="1" w:lastColumn="0" w:noHBand="0" w:noVBand="1"/>
      </w:tblPr>
      <w:tblGrid>
        <w:gridCol w:w="9121"/>
      </w:tblGrid>
      <w:tr w:rsidR="007F6742" w:rsidRPr="004508D0" w14:paraId="3A911549" w14:textId="77777777" w:rsidTr="007F6742">
        <w:trPr>
          <w:trHeight w:val="150"/>
          <w:tblCellSpacing w:w="0" w:type="dxa"/>
          <w:jc w:val="center"/>
        </w:trPr>
        <w:tc>
          <w:tcPr>
            <w:tcW w:w="5000" w:type="pct"/>
            <w:vAlign w:val="center"/>
            <w:hideMark/>
          </w:tcPr>
          <w:p w14:paraId="42B87C9B" w14:textId="77777777" w:rsidR="007F6742" w:rsidRPr="004508D0" w:rsidRDefault="007F6742" w:rsidP="007F6742">
            <w:pPr>
              <w:rPr>
                <w:lang w:eastAsia="es-MX"/>
              </w:rPr>
            </w:pPr>
          </w:p>
        </w:tc>
      </w:tr>
      <w:tr w:rsidR="007F6742" w:rsidRPr="004508D0" w14:paraId="3AFADE90" w14:textId="77777777" w:rsidTr="007F6742">
        <w:trPr>
          <w:trHeight w:val="450"/>
          <w:tblCellSpacing w:w="0" w:type="dxa"/>
          <w:jc w:val="center"/>
        </w:trPr>
        <w:tc>
          <w:tcPr>
            <w:tcW w:w="5000" w:type="pct"/>
            <w:vAlign w:val="center"/>
            <w:hideMark/>
          </w:tcPr>
          <w:p w14:paraId="6AEA563A" w14:textId="77777777" w:rsidR="007F6742" w:rsidRPr="004508D0" w:rsidRDefault="007F6742" w:rsidP="007F6742">
            <w:pPr>
              <w:rPr>
                <w:sz w:val="20"/>
                <w:szCs w:val="20"/>
                <w:lang w:eastAsia="es-MX"/>
              </w:rPr>
            </w:pPr>
          </w:p>
        </w:tc>
      </w:tr>
      <w:tr w:rsidR="007F6742" w:rsidRPr="004508D0" w14:paraId="3B64DB38" w14:textId="77777777" w:rsidTr="007F6742">
        <w:trPr>
          <w:trHeight w:val="300"/>
          <w:tblCellSpacing w:w="0" w:type="dxa"/>
          <w:jc w:val="center"/>
        </w:trPr>
        <w:tc>
          <w:tcPr>
            <w:tcW w:w="5000" w:type="pct"/>
            <w:vAlign w:val="center"/>
            <w:hideMark/>
          </w:tcPr>
          <w:p w14:paraId="45391EF1" w14:textId="77777777" w:rsidR="007F6742" w:rsidRPr="004508D0" w:rsidRDefault="007F6742" w:rsidP="007F6742">
            <w:pPr>
              <w:jc w:val="right"/>
              <w:rPr>
                <w:lang w:eastAsia="es-MX"/>
              </w:rPr>
            </w:pPr>
            <w:r w:rsidRPr="004508D0">
              <w:rPr>
                <w:rFonts w:ascii="Verdana" w:hAnsi="Verdana"/>
                <w:sz w:val="18"/>
                <w:szCs w:val="18"/>
                <w:lang w:eastAsia="es-MX"/>
              </w:rPr>
              <w:t>Metepec, México a 13 de Octubre de 2021</w:t>
            </w:r>
          </w:p>
        </w:tc>
      </w:tr>
      <w:tr w:rsidR="007F6742" w:rsidRPr="004508D0" w14:paraId="131B3590" w14:textId="77777777" w:rsidTr="007F6742">
        <w:trPr>
          <w:trHeight w:val="300"/>
          <w:tblCellSpacing w:w="0" w:type="dxa"/>
          <w:jc w:val="center"/>
        </w:trPr>
        <w:tc>
          <w:tcPr>
            <w:tcW w:w="5000" w:type="pct"/>
            <w:vAlign w:val="center"/>
            <w:hideMark/>
          </w:tcPr>
          <w:p w14:paraId="273ABAC1" w14:textId="0F2761DC" w:rsidR="007F6742" w:rsidRPr="004508D0" w:rsidRDefault="007F6742" w:rsidP="00C8594F">
            <w:pPr>
              <w:jc w:val="right"/>
              <w:rPr>
                <w:lang w:eastAsia="es-MX"/>
              </w:rPr>
            </w:pPr>
            <w:r w:rsidRPr="004508D0">
              <w:rPr>
                <w:rFonts w:ascii="Verdana" w:hAnsi="Verdana"/>
                <w:sz w:val="18"/>
                <w:szCs w:val="18"/>
                <w:lang w:eastAsia="es-MX"/>
              </w:rPr>
              <w:t xml:space="preserve">Nombre del solicitante: </w:t>
            </w:r>
            <w:proofErr w:type="spellStart"/>
            <w:r w:rsidR="00C8594F">
              <w:rPr>
                <w:rFonts w:ascii="Verdana" w:hAnsi="Verdana"/>
                <w:sz w:val="18"/>
                <w:szCs w:val="18"/>
                <w:lang w:eastAsia="es-MX"/>
              </w:rPr>
              <w:t>xxxxxxxxxxxxxxxxxxxxxxxxxxxxxxx</w:t>
            </w:r>
            <w:proofErr w:type="spellEnd"/>
          </w:p>
        </w:tc>
      </w:tr>
      <w:tr w:rsidR="007F6742" w:rsidRPr="004508D0" w14:paraId="3107E3A4" w14:textId="77777777" w:rsidTr="007F6742">
        <w:trPr>
          <w:trHeight w:val="300"/>
          <w:tblCellSpacing w:w="0" w:type="dxa"/>
          <w:jc w:val="center"/>
        </w:trPr>
        <w:tc>
          <w:tcPr>
            <w:tcW w:w="5000" w:type="pct"/>
            <w:vAlign w:val="center"/>
            <w:hideMark/>
          </w:tcPr>
          <w:p w14:paraId="15E298AD" w14:textId="77777777" w:rsidR="007F6742" w:rsidRPr="004508D0" w:rsidRDefault="007F6742" w:rsidP="007F6742">
            <w:pPr>
              <w:jc w:val="right"/>
              <w:rPr>
                <w:lang w:eastAsia="es-MX"/>
              </w:rPr>
            </w:pPr>
            <w:r w:rsidRPr="004508D0">
              <w:rPr>
                <w:rFonts w:ascii="Verdana" w:hAnsi="Verdana"/>
                <w:sz w:val="18"/>
                <w:szCs w:val="18"/>
                <w:lang w:eastAsia="es-MX"/>
              </w:rPr>
              <w:t>Folio de la solicitud: 00577/METEPEC/IP/2021</w:t>
            </w:r>
          </w:p>
        </w:tc>
      </w:tr>
      <w:tr w:rsidR="007F6742" w:rsidRPr="004508D0" w14:paraId="30282289" w14:textId="77777777" w:rsidTr="007F6742">
        <w:trPr>
          <w:trHeight w:val="450"/>
          <w:tblCellSpacing w:w="0" w:type="dxa"/>
          <w:jc w:val="center"/>
        </w:trPr>
        <w:tc>
          <w:tcPr>
            <w:tcW w:w="5000" w:type="pct"/>
            <w:vAlign w:val="center"/>
            <w:hideMark/>
          </w:tcPr>
          <w:p w14:paraId="16B4C64C" w14:textId="77777777" w:rsidR="007F6742" w:rsidRPr="004508D0" w:rsidRDefault="007F6742" w:rsidP="007F6742">
            <w:pPr>
              <w:jc w:val="right"/>
              <w:rPr>
                <w:lang w:eastAsia="es-MX"/>
              </w:rPr>
            </w:pPr>
          </w:p>
        </w:tc>
      </w:tr>
      <w:tr w:rsidR="007F6742" w:rsidRPr="004508D0" w14:paraId="3484582E" w14:textId="77777777" w:rsidTr="007F6742">
        <w:trPr>
          <w:trHeight w:val="150"/>
          <w:tblCellSpacing w:w="0" w:type="dxa"/>
          <w:jc w:val="center"/>
        </w:trPr>
        <w:tc>
          <w:tcPr>
            <w:tcW w:w="5000" w:type="pct"/>
            <w:vAlign w:val="center"/>
            <w:hideMark/>
          </w:tcPr>
          <w:p w14:paraId="0EC19BD8" w14:textId="77777777" w:rsidR="007F6742" w:rsidRPr="004508D0" w:rsidRDefault="007F6742" w:rsidP="007F6742">
            <w:pPr>
              <w:jc w:val="center"/>
              <w:rPr>
                <w:sz w:val="20"/>
                <w:szCs w:val="20"/>
                <w:lang w:eastAsia="es-MX"/>
              </w:rPr>
            </w:pPr>
          </w:p>
        </w:tc>
      </w:tr>
      <w:tr w:rsidR="007F6742" w:rsidRPr="004508D0" w14:paraId="75B6EFAC" w14:textId="77777777" w:rsidTr="007F6742">
        <w:trPr>
          <w:trHeight w:val="375"/>
          <w:tblCellSpacing w:w="0" w:type="dxa"/>
          <w:jc w:val="center"/>
        </w:trPr>
        <w:tc>
          <w:tcPr>
            <w:tcW w:w="5000" w:type="pct"/>
            <w:vAlign w:val="center"/>
            <w:hideMark/>
          </w:tcPr>
          <w:p w14:paraId="5437A4B7" w14:textId="77777777" w:rsidR="007F6742" w:rsidRPr="004508D0" w:rsidRDefault="007F6742" w:rsidP="007F6742">
            <w:pPr>
              <w:rPr>
                <w:sz w:val="20"/>
                <w:szCs w:val="20"/>
                <w:lang w:eastAsia="es-MX"/>
              </w:rPr>
            </w:pPr>
          </w:p>
        </w:tc>
      </w:tr>
      <w:tr w:rsidR="007F6742" w:rsidRPr="004508D0" w14:paraId="0326642D" w14:textId="77777777" w:rsidTr="007F6742">
        <w:trPr>
          <w:trHeight w:val="150"/>
          <w:tblCellSpacing w:w="0" w:type="dxa"/>
          <w:jc w:val="center"/>
        </w:trPr>
        <w:tc>
          <w:tcPr>
            <w:tcW w:w="5000" w:type="pct"/>
            <w:vAlign w:val="center"/>
            <w:hideMark/>
          </w:tcPr>
          <w:p w14:paraId="0615889B" w14:textId="77777777" w:rsidR="007F6742" w:rsidRPr="004508D0" w:rsidRDefault="007F6742" w:rsidP="007F6742">
            <w:pPr>
              <w:rPr>
                <w:lang w:eastAsia="es-MX"/>
              </w:rPr>
            </w:pPr>
            <w:r w:rsidRPr="004508D0">
              <w:rPr>
                <w:rFonts w:ascii="Verdana" w:hAnsi="Verdana"/>
                <w:sz w:val="18"/>
                <w:szCs w:val="18"/>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tc>
      </w:tr>
      <w:tr w:rsidR="007F6742" w:rsidRPr="004508D0" w14:paraId="3F09B7B3" w14:textId="77777777" w:rsidTr="007F6742">
        <w:trPr>
          <w:trHeight w:val="375"/>
          <w:tblCellSpacing w:w="0" w:type="dxa"/>
          <w:jc w:val="center"/>
        </w:trPr>
        <w:tc>
          <w:tcPr>
            <w:tcW w:w="5000" w:type="pct"/>
            <w:vAlign w:val="center"/>
            <w:hideMark/>
          </w:tcPr>
          <w:p w14:paraId="72DDB8DC" w14:textId="77777777" w:rsidR="007F6742" w:rsidRPr="004508D0" w:rsidRDefault="007F6742" w:rsidP="007F6742">
            <w:pPr>
              <w:rPr>
                <w:lang w:eastAsia="es-MX"/>
              </w:rPr>
            </w:pPr>
          </w:p>
        </w:tc>
      </w:tr>
      <w:tr w:rsidR="007F6742" w:rsidRPr="004508D0" w14:paraId="10D835F1" w14:textId="77777777" w:rsidTr="007F6742">
        <w:trPr>
          <w:trHeight w:val="150"/>
          <w:tblCellSpacing w:w="0" w:type="dxa"/>
          <w:jc w:val="center"/>
        </w:trPr>
        <w:tc>
          <w:tcPr>
            <w:tcW w:w="5000" w:type="pct"/>
            <w:vAlign w:val="center"/>
            <w:hideMark/>
          </w:tcPr>
          <w:p w14:paraId="72D92E75" w14:textId="77777777" w:rsidR="007F6742" w:rsidRPr="004508D0" w:rsidRDefault="007F6742" w:rsidP="007F6742">
            <w:pPr>
              <w:jc w:val="center"/>
              <w:rPr>
                <w:sz w:val="20"/>
                <w:szCs w:val="20"/>
                <w:lang w:eastAsia="es-MX"/>
              </w:rPr>
            </w:pPr>
          </w:p>
        </w:tc>
        <w:bookmarkStart w:id="0" w:name="_GoBack"/>
        <w:bookmarkEnd w:id="0"/>
      </w:tr>
      <w:tr w:rsidR="007F6742" w:rsidRPr="004508D0" w14:paraId="21CBC486" w14:textId="77777777" w:rsidTr="007F6742">
        <w:trPr>
          <w:trHeight w:val="150"/>
          <w:tblCellSpacing w:w="0" w:type="dxa"/>
          <w:jc w:val="center"/>
        </w:trPr>
        <w:tc>
          <w:tcPr>
            <w:tcW w:w="5000" w:type="pct"/>
            <w:vAlign w:val="center"/>
            <w:hideMark/>
          </w:tcPr>
          <w:p w14:paraId="519A26B5" w14:textId="77777777" w:rsidR="007F6742" w:rsidRPr="004508D0" w:rsidRDefault="007F6742" w:rsidP="007F6742">
            <w:pPr>
              <w:rPr>
                <w:sz w:val="20"/>
                <w:szCs w:val="20"/>
                <w:lang w:eastAsia="es-MX"/>
              </w:rPr>
            </w:pPr>
          </w:p>
        </w:tc>
      </w:tr>
      <w:tr w:rsidR="007F6742" w:rsidRPr="004508D0" w14:paraId="0A5085B4" w14:textId="77777777" w:rsidTr="007F6742">
        <w:trPr>
          <w:trHeight w:val="150"/>
          <w:tblCellSpacing w:w="0" w:type="dxa"/>
          <w:jc w:val="center"/>
        </w:trPr>
        <w:tc>
          <w:tcPr>
            <w:tcW w:w="5000" w:type="pct"/>
            <w:vAlign w:val="center"/>
            <w:hideMark/>
          </w:tcPr>
          <w:p w14:paraId="213F0932" w14:textId="77777777" w:rsidR="007F6742" w:rsidRPr="004508D0" w:rsidRDefault="007F6742" w:rsidP="007F6742">
            <w:pPr>
              <w:rPr>
                <w:lang w:eastAsia="es-MX"/>
              </w:rPr>
            </w:pPr>
            <w:r w:rsidRPr="004508D0">
              <w:rPr>
                <w:rFonts w:ascii="Verdana" w:hAnsi="Verdana"/>
                <w:sz w:val="18"/>
                <w:szCs w:val="18"/>
                <w:lang w:eastAsia="es-MX"/>
              </w:rPr>
              <w:t>ATENTAMENTE</w:t>
            </w:r>
          </w:p>
        </w:tc>
      </w:tr>
      <w:tr w:rsidR="007F6742" w:rsidRPr="004508D0" w14:paraId="243DEBAA" w14:textId="77777777" w:rsidTr="007F6742">
        <w:trPr>
          <w:trHeight w:val="225"/>
          <w:tblCellSpacing w:w="0" w:type="dxa"/>
          <w:jc w:val="center"/>
        </w:trPr>
        <w:tc>
          <w:tcPr>
            <w:tcW w:w="5000" w:type="pct"/>
            <w:vAlign w:val="center"/>
            <w:hideMark/>
          </w:tcPr>
          <w:p w14:paraId="4E260941" w14:textId="77777777" w:rsidR="007F6742" w:rsidRPr="004508D0" w:rsidRDefault="007F6742" w:rsidP="007F6742">
            <w:pPr>
              <w:rPr>
                <w:lang w:eastAsia="es-MX"/>
              </w:rPr>
            </w:pPr>
          </w:p>
        </w:tc>
      </w:tr>
      <w:tr w:rsidR="007F6742" w:rsidRPr="004508D0" w14:paraId="268A3FC2" w14:textId="77777777" w:rsidTr="007F6742">
        <w:trPr>
          <w:trHeight w:val="150"/>
          <w:tblCellSpacing w:w="0" w:type="dxa"/>
          <w:jc w:val="center"/>
        </w:trPr>
        <w:tc>
          <w:tcPr>
            <w:tcW w:w="5000" w:type="pct"/>
            <w:vAlign w:val="center"/>
            <w:hideMark/>
          </w:tcPr>
          <w:p w14:paraId="7686A58E" w14:textId="77777777" w:rsidR="007F6742" w:rsidRPr="004508D0" w:rsidRDefault="007F6742" w:rsidP="007F6742">
            <w:pPr>
              <w:rPr>
                <w:lang w:eastAsia="es-MX"/>
              </w:rPr>
            </w:pPr>
            <w:r w:rsidRPr="004508D0">
              <w:rPr>
                <w:rFonts w:ascii="Verdana" w:hAnsi="Verdana"/>
                <w:sz w:val="18"/>
                <w:szCs w:val="18"/>
                <w:lang w:eastAsia="es-MX"/>
              </w:rPr>
              <w:t>Alberto Daniel García Curiel</w:t>
            </w:r>
          </w:p>
        </w:tc>
      </w:tr>
    </w:tbl>
    <w:p w14:paraId="50DFB636" w14:textId="77777777" w:rsidR="007F6742" w:rsidRPr="004508D0" w:rsidRDefault="007F6742" w:rsidP="007F6742">
      <w:pPr>
        <w:spacing w:line="360" w:lineRule="auto"/>
        <w:jc w:val="both"/>
        <w:rPr>
          <w:rFonts w:ascii="Palatino Linotype" w:hAnsi="Palatino Linotype" w:cs="Arial"/>
          <w:lang w:val="es-ES_tradnl"/>
        </w:rPr>
      </w:pPr>
    </w:p>
    <w:p w14:paraId="35333077" w14:textId="66AF0A01" w:rsidR="00D35D1B" w:rsidRPr="004508D0" w:rsidRDefault="00F14020" w:rsidP="00D35D1B">
      <w:pPr>
        <w:spacing w:line="360" w:lineRule="auto"/>
        <w:jc w:val="both"/>
        <w:rPr>
          <w:rFonts w:ascii="Palatino Linotype" w:hAnsi="Palatino Linotype"/>
          <w:color w:val="000000" w:themeColor="text1"/>
        </w:rPr>
      </w:pPr>
      <w:r w:rsidRPr="004508D0">
        <w:rPr>
          <w:rFonts w:ascii="Palatino Linotype" w:hAnsi="Palatino Linotype"/>
          <w:color w:val="000000" w:themeColor="text1"/>
        </w:rPr>
        <w:t xml:space="preserve">De la respuesta anterior se advierte, </w:t>
      </w:r>
      <w:r w:rsidR="00D35D1B" w:rsidRPr="004508D0">
        <w:rPr>
          <w:rFonts w:ascii="Palatino Linotype" w:hAnsi="Palatino Linotype"/>
          <w:color w:val="000000" w:themeColor="text1"/>
        </w:rPr>
        <w:t xml:space="preserve">que </w:t>
      </w:r>
      <w:r w:rsidR="00D35D1B" w:rsidRPr="004508D0">
        <w:rPr>
          <w:rFonts w:ascii="Palatino Linotype" w:hAnsi="Palatino Linotype"/>
          <w:b/>
          <w:color w:val="000000" w:themeColor="text1"/>
        </w:rPr>
        <w:t>EL SUJETO OBLIGADO</w:t>
      </w:r>
      <w:r w:rsidR="00D35D1B" w:rsidRPr="004508D0">
        <w:rPr>
          <w:rFonts w:ascii="Palatino Linotype" w:hAnsi="Palatino Linotype"/>
          <w:color w:val="000000" w:themeColor="text1"/>
        </w:rPr>
        <w:t xml:space="preserve"> adjuntó el archivo denominado </w:t>
      </w:r>
      <w:r w:rsidR="00D35D1B" w:rsidRPr="004508D0">
        <w:rPr>
          <w:rFonts w:ascii="Palatino Linotype" w:hAnsi="Palatino Linotype"/>
          <w:b/>
        </w:rPr>
        <w:t>577.zip</w:t>
      </w:r>
      <w:r w:rsidR="00D35D1B" w:rsidRPr="004508D0">
        <w:rPr>
          <w:rFonts w:ascii="Palatino Linotype" w:hAnsi="Palatino Linotype"/>
          <w:b/>
          <w:color w:val="000000" w:themeColor="text1"/>
        </w:rPr>
        <w:t xml:space="preserve">, </w:t>
      </w:r>
      <w:r w:rsidR="00D35D1B" w:rsidRPr="004508D0">
        <w:rPr>
          <w:rFonts w:ascii="Palatino Linotype" w:hAnsi="Palatino Linotype"/>
          <w:color w:val="000000"/>
        </w:rPr>
        <w:t xml:space="preserve">el cual consta de cuatro fojas y de su contenido se </w:t>
      </w:r>
      <w:r w:rsidRPr="004508D0">
        <w:rPr>
          <w:rFonts w:ascii="Palatino Linotype" w:hAnsi="Palatino Linotype"/>
          <w:color w:val="000000"/>
        </w:rPr>
        <w:t>observa</w:t>
      </w:r>
      <w:r w:rsidR="00D35D1B" w:rsidRPr="004508D0">
        <w:rPr>
          <w:rFonts w:ascii="Palatino Linotype" w:hAnsi="Palatino Linotype"/>
          <w:color w:val="000000"/>
        </w:rPr>
        <w:t xml:space="preserve"> una explicación y diferencia entre el derecho de petición y el de acceso a la información; el cual, no se inserta por ser del conocimiento de las partes, sin embargo, será motivo de estudio en el Considerando correspondiente.</w:t>
      </w:r>
    </w:p>
    <w:p w14:paraId="6E6A4521" w14:textId="35070D9C" w:rsidR="009B5FC2" w:rsidRPr="004508D0" w:rsidRDefault="00F14020" w:rsidP="00D83020">
      <w:pPr>
        <w:pStyle w:val="Prrafodelista"/>
        <w:spacing w:before="100" w:beforeAutospacing="1" w:after="100" w:afterAutospacing="1" w:line="360" w:lineRule="auto"/>
        <w:ind w:left="0"/>
        <w:jc w:val="both"/>
        <w:rPr>
          <w:rFonts w:ascii="Palatino Linotype" w:hAnsi="Palatino Linotype"/>
          <w:b/>
        </w:rPr>
      </w:pPr>
      <w:r w:rsidRPr="004508D0">
        <w:rPr>
          <w:rFonts w:ascii="Palatino Linotype" w:hAnsi="Palatino Linotype" w:cs="Arial"/>
          <w:b/>
          <w:sz w:val="28"/>
          <w:szCs w:val="28"/>
        </w:rPr>
        <w:t>II</w:t>
      </w:r>
      <w:r w:rsidR="009B5FC2" w:rsidRPr="004508D0">
        <w:rPr>
          <w:rFonts w:ascii="Palatino Linotype" w:hAnsi="Palatino Linotype" w:cs="Arial"/>
          <w:b/>
          <w:sz w:val="28"/>
          <w:szCs w:val="28"/>
        </w:rPr>
        <w:t>I.</w:t>
      </w:r>
      <w:r w:rsidR="009B5FC2" w:rsidRPr="004508D0">
        <w:rPr>
          <w:rFonts w:ascii="Palatino Linotype" w:hAnsi="Palatino Linotype" w:cs="Arial"/>
        </w:rPr>
        <w:t xml:space="preserve"> </w:t>
      </w:r>
      <w:r w:rsidR="009B5FC2" w:rsidRPr="004508D0">
        <w:rPr>
          <w:rFonts w:ascii="Palatino Linotype" w:hAnsi="Palatino Linotype"/>
        </w:rPr>
        <w:t xml:space="preserve">Inconforme con la </w:t>
      </w:r>
      <w:r w:rsidR="009B5FC2" w:rsidRPr="004508D0">
        <w:rPr>
          <w:rFonts w:ascii="Palatino Linotype" w:hAnsi="Palatino Linotype" w:cs="Arial"/>
        </w:rPr>
        <w:t xml:space="preserve">respuesta, el </w:t>
      </w:r>
      <w:r w:rsidR="00C10DEE" w:rsidRPr="004508D0">
        <w:rPr>
          <w:rFonts w:ascii="Palatino Linotype" w:hAnsi="Palatino Linotype" w:cs="Arial"/>
        </w:rPr>
        <w:t>quince</w:t>
      </w:r>
      <w:r w:rsidR="004E27D7" w:rsidRPr="004508D0">
        <w:rPr>
          <w:rFonts w:ascii="Palatino Linotype" w:hAnsi="Palatino Linotype" w:cs="Arial"/>
        </w:rPr>
        <w:t xml:space="preserve"> </w:t>
      </w:r>
      <w:r w:rsidR="009B5FC2" w:rsidRPr="004508D0">
        <w:rPr>
          <w:rFonts w:ascii="Palatino Linotype" w:hAnsi="Palatino Linotype" w:cs="Arial"/>
        </w:rPr>
        <w:t>de octubre de dos mil veint</w:t>
      </w:r>
      <w:r w:rsidR="00C10DEE" w:rsidRPr="004508D0">
        <w:rPr>
          <w:rFonts w:ascii="Palatino Linotype" w:hAnsi="Palatino Linotype" w:cs="Arial"/>
        </w:rPr>
        <w:t>iuno</w:t>
      </w:r>
      <w:r w:rsidR="009B5FC2" w:rsidRPr="004508D0">
        <w:rPr>
          <w:rFonts w:ascii="Palatino Linotype" w:hAnsi="Palatino Linotype" w:cs="Arial"/>
        </w:rPr>
        <w:t xml:space="preserve">, </w:t>
      </w:r>
      <w:r w:rsidR="004E27D7" w:rsidRPr="004508D0">
        <w:rPr>
          <w:rFonts w:ascii="Palatino Linotype" w:hAnsi="Palatino Linotype"/>
          <w:b/>
        </w:rPr>
        <w:t xml:space="preserve">EL </w:t>
      </w:r>
      <w:r w:rsidR="009B5FC2" w:rsidRPr="004508D0">
        <w:rPr>
          <w:rFonts w:ascii="Palatino Linotype" w:hAnsi="Palatino Linotype"/>
          <w:b/>
        </w:rPr>
        <w:t>RECURRENTE</w:t>
      </w:r>
      <w:r w:rsidR="009B5FC2" w:rsidRPr="004508D0">
        <w:rPr>
          <w:rFonts w:ascii="Palatino Linotype" w:hAnsi="Palatino Linotype"/>
        </w:rPr>
        <w:t xml:space="preserve"> interpuso el recurso de revisión objeto del presente estudio, </w:t>
      </w:r>
      <w:r w:rsidR="009B5FC2" w:rsidRPr="004508D0">
        <w:rPr>
          <w:rFonts w:ascii="Palatino Linotype" w:hAnsi="Palatino Linotype" w:cs="Arial"/>
        </w:rPr>
        <w:t>al que se</w:t>
      </w:r>
      <w:r w:rsidR="009B5FC2" w:rsidRPr="004508D0">
        <w:rPr>
          <w:rFonts w:ascii="Palatino Linotype" w:hAnsi="Palatino Linotype"/>
        </w:rPr>
        <w:t xml:space="preserve"> le asignó el número de expediente al rubro indicado</w:t>
      </w:r>
      <w:r w:rsidR="009B5FC2" w:rsidRPr="004508D0">
        <w:rPr>
          <w:rFonts w:ascii="Palatino Linotype" w:hAnsi="Palatino Linotype" w:cs="Arial"/>
        </w:rPr>
        <w:t>, en el que señaló como acto impugnado lo siguiente:</w:t>
      </w:r>
    </w:p>
    <w:p w14:paraId="7DEAE537" w14:textId="63EA7ABD" w:rsidR="009B5FC2" w:rsidRPr="004508D0" w:rsidRDefault="009B5FC2" w:rsidP="009B5FC2">
      <w:pPr>
        <w:pStyle w:val="Prrafodelista"/>
        <w:ind w:left="851" w:right="899"/>
        <w:jc w:val="both"/>
        <w:rPr>
          <w:rFonts w:ascii="Palatino Linotype" w:hAnsi="Palatino Linotype" w:cs="Arial"/>
          <w:i/>
          <w:sz w:val="22"/>
          <w:szCs w:val="22"/>
          <w:lang w:val="es-ES_tradnl"/>
        </w:rPr>
      </w:pPr>
      <w:r w:rsidRPr="004508D0">
        <w:rPr>
          <w:rFonts w:ascii="Palatino Linotype" w:hAnsi="Palatino Linotype" w:cs="Arial"/>
          <w:i/>
          <w:sz w:val="22"/>
          <w:szCs w:val="22"/>
          <w:lang w:val="es-ES_tradnl"/>
        </w:rPr>
        <w:t>“</w:t>
      </w:r>
      <w:r w:rsidR="00C10DEE" w:rsidRPr="004508D0">
        <w:rPr>
          <w:rFonts w:ascii="Palatino Linotype" w:hAnsi="Palatino Linotype" w:cs="Arial"/>
          <w:i/>
          <w:sz w:val="22"/>
          <w:szCs w:val="22"/>
          <w:lang w:val="es-ES_tradnl"/>
        </w:rPr>
        <w:t>La respuesta identificada con el número de OFICIO No. UT/MET/0919/2021de fecha 13 de octubre de 2021, en razón de que violenta el derecho al acceso a la información al negar la información solicitada.</w:t>
      </w:r>
      <w:r w:rsidRPr="004508D0">
        <w:rPr>
          <w:rFonts w:ascii="Palatino Linotype" w:hAnsi="Palatino Linotype" w:cs="Arial"/>
          <w:i/>
          <w:sz w:val="22"/>
          <w:szCs w:val="22"/>
          <w:lang w:val="es-ES_tradnl"/>
        </w:rPr>
        <w:t>” (Sic)</w:t>
      </w:r>
    </w:p>
    <w:p w14:paraId="37687447" w14:textId="77777777" w:rsidR="009B5FC2" w:rsidRPr="004508D0" w:rsidRDefault="009B5FC2" w:rsidP="009B5FC2">
      <w:pPr>
        <w:spacing w:before="100" w:beforeAutospacing="1" w:after="100" w:afterAutospacing="1" w:line="360" w:lineRule="auto"/>
        <w:jc w:val="both"/>
        <w:rPr>
          <w:rFonts w:ascii="Palatino Linotype" w:hAnsi="Palatino Linotype" w:cs="Arial"/>
        </w:rPr>
      </w:pPr>
      <w:r w:rsidRPr="004508D0">
        <w:rPr>
          <w:rFonts w:ascii="Palatino Linotype" w:hAnsi="Palatino Linotype" w:cs="Arial"/>
        </w:rPr>
        <w:t xml:space="preserve">Asimismo, como razones o motivos de inconformidad: </w:t>
      </w:r>
    </w:p>
    <w:p w14:paraId="3D41A707" w14:textId="7916AFFE" w:rsidR="009B5FC2" w:rsidRPr="004508D0" w:rsidRDefault="009B5FC2" w:rsidP="009B5FC2">
      <w:pPr>
        <w:pStyle w:val="Prrafodelista"/>
        <w:ind w:left="851" w:right="899"/>
        <w:jc w:val="both"/>
        <w:rPr>
          <w:rFonts w:ascii="Palatino Linotype" w:hAnsi="Palatino Linotype" w:cs="Arial"/>
          <w:i/>
          <w:sz w:val="22"/>
          <w:szCs w:val="22"/>
          <w:lang w:val="es-ES_tradnl"/>
        </w:rPr>
      </w:pPr>
      <w:r w:rsidRPr="004508D0">
        <w:rPr>
          <w:rFonts w:ascii="Palatino Linotype" w:hAnsi="Palatino Linotype" w:cs="Arial"/>
          <w:i/>
          <w:sz w:val="22"/>
          <w:szCs w:val="22"/>
          <w:lang w:val="es-ES_tradnl"/>
        </w:rPr>
        <w:t>“</w:t>
      </w:r>
      <w:r w:rsidR="00310E55" w:rsidRPr="004508D0">
        <w:rPr>
          <w:rFonts w:ascii="Palatino Linotype" w:hAnsi="Palatino Linotype" w:cs="Arial"/>
          <w:i/>
          <w:sz w:val="22"/>
          <w:szCs w:val="22"/>
          <w:lang w:val="es-ES_tradnl"/>
        </w:rPr>
        <w:t xml:space="preserve">Se interpone el recurso de revisión en contra de la respuesta identificada con el número de OFICIO No. UT/MET/0919/2021de fecha 13 de octubre de 2021 en razón de lo siguiente: ÚNICO: El sujeto obligado es omiso al dar respuesta a la solicitud marcada con el número de folio 00577/METEPEC/IP/2021, violentando el derecho al acceso a la información pública en tenor de lo previsto por el artículo 6 Constitucional mismo que se cita para mayores referencias: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w:t>
      </w:r>
      <w:r w:rsidR="00310E55" w:rsidRPr="004508D0">
        <w:rPr>
          <w:rFonts w:ascii="Palatino Linotype" w:hAnsi="Palatino Linotype" w:cs="Arial"/>
          <w:i/>
          <w:sz w:val="22"/>
          <w:szCs w:val="22"/>
          <w:lang w:val="es-ES_tradnl"/>
        </w:rPr>
        <w:lastRenderedPageBreak/>
        <w:t xml:space="preserve">garantizado por el Estado. (…) Para efectos de lo dispuesto en el presente artículo se observará lo siguiente: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 VI. Las leyes determinarán la manera en que los sujetos obligados deberán hacer pública la información relativa a los recursos públicos que entreguen a personas físicas o morales. Lo anterior en relación a los artículos 4, 12 y 24 último párrafo de la Ley de Transparencia y Acceso a la Información Pública del Estado de México y Municipios, haciendo énfasis en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Artículo 24. … Los sujetos obligados solo proporcionarán la información pública que generen, administren o posean en el ejercicio de sus atribuciones.” (SIC) Los numerales previamente transcritos hacen referencia a que el solicitante, “tiene que el derecho de acceso a la información pública, lo que consiste en solicitar la información en posesión de la autoridad municipal en los términos que obre dentro de sus archivos; esto es; no se tiene el deber de procesarla o resumirla, ni realizar cálculos o investigaciones, en la intención de dar respuesta”. Tomando a consideración el criterio 03/17 emitido por el Instituto Nacional de Transparencia, Acceso a la Información y Protección de Datos </w:t>
      </w:r>
      <w:r w:rsidR="00310E55" w:rsidRPr="004508D0">
        <w:rPr>
          <w:rFonts w:ascii="Palatino Linotype" w:hAnsi="Palatino Linotype" w:cs="Arial"/>
          <w:i/>
          <w:sz w:val="22"/>
          <w:szCs w:val="22"/>
          <w:lang w:val="es-ES_tradnl"/>
        </w:rPr>
        <w:lastRenderedPageBreak/>
        <w:t xml:space="preserve">Personales (INAI), en el que se menciona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Lo que, si bien es cierto, los sujetos obligados sólo proporcionarán la información pública que se les requiera y que obre en sus archivos y en el estado en que ésta se encuentre, esto atendiendo a lo establecido por el artículo 12 la Ley de Transparencia y Acceso a la Información Pública del Estado de México y Municipios transcrito previamente. Lo anterior con la finalidad de no violentar el derecho humano que nos ocupa. En ese orden de ideas y atendiendo a lo mencionado en el párrafo que antecede, se hace referencia a que el Ayuntamiento de Metepec esta conformado atendiendo a lo dispuesto por el artículo 35 del Bando Municipal del mismo, el cual refiere: “ARTÍCULO 35.- La Administración Pública Centralizada, es una forma de organización de la Administración Pública del Municipio, la cual se integra por: I. Secretaría del Ayuntamiento; II. Tesorería; III. Contraloría Municipal; IV. Consejería Jurídica Municipal; V. Direcciones de: a) Administración;” Dependencias que tienen sus atribuciones conferidas en lo que respecta al pago de finiquitos en los artículos 3.47, 3.48 fracción XXXIII y 3.82 fracción VI del Código de Reglamentación Municipal de Metepec, Estado de México, que se transcriben en la parte que interesa como sigue: “Artículo 3.47.-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administración de la hacienda municipal.” “Artículo 3. 48.- Además de las previstas en la Ley Orgánica y en la legislación fiscal para los Municipios, son atribuciones de la Tesorería Municipal las siguientes: (…) XXXIII. Evaluar y determinar la programación de los pagos de las obligaciones de acuerdo al flujo de efectivo;” “Artículo 3.82.- La Subdirección de Recursos Humanos, tiene las siguientes atribuciones: (…) VI. Verificar la correcta aplicación en los pagos que se generen por concepto de sueldos y prestaciones, tanto en la elaboración de la nómina como pagos mediante recibo, por concepto de liquidaciones y finiquitos, como cualquier pago realizado por cualquier vía, y que se aplique a través del capítulo 1000; (…) XV. Tramitar los finiquitos a que tengan derecho las y los servidores públicos, conforme a lo dispuesto por la legislación aplicable; (…) XXI. Efectuar los cálculos de los finiquitos conforme a los lineamientos establecidos, previa integración y análisis de la documentación, y en su caso tramitar el pago ante la Tesorería Municipal, así como de aquellos por conceptos </w:t>
      </w:r>
      <w:r w:rsidR="00310E55" w:rsidRPr="004508D0">
        <w:rPr>
          <w:rFonts w:ascii="Palatino Linotype" w:hAnsi="Palatino Linotype" w:cs="Arial"/>
          <w:i/>
          <w:sz w:val="22"/>
          <w:szCs w:val="22"/>
          <w:lang w:val="es-ES_tradnl"/>
        </w:rPr>
        <w:lastRenderedPageBreak/>
        <w:t xml:space="preserve">de laudos determinados por la autoridad; Atendiendo a los numerales se hace referencia a que dos áreas del Ayuntamiento de Metepec tienen como funciones el verificar la correcta aplicación de pagos en el caso que nos interesa el finiquito (la Subdirección de Recursos Humanos) y tramitar los pagos a que tengan derechos las y los servidores públicos (la Tesorería Municipal). En ese entendido es, </w:t>
      </w:r>
      <w:r w:rsidR="00310E55" w:rsidRPr="004508D0">
        <w:rPr>
          <w:rFonts w:ascii="Palatino Linotype" w:hAnsi="Palatino Linotype" w:cs="Arial"/>
          <w:b/>
          <w:i/>
          <w:sz w:val="22"/>
          <w:szCs w:val="22"/>
          <w:lang w:val="es-ES_tradnl"/>
        </w:rPr>
        <w:t>el sujeto obligado infiere que en sus archivos no se encuentra la información sobre la solicitud realizada pero conforme a lo que respecta a sus atribuciones previamente citadas, así como a lo dispuesto por el artículo 12 la Ley de Transparencia y Acceso a la Información Pública del Estado de México y Municipios, el sujeto obligado debe informar el estado en que guarda la información que se solicitó debido a que la misma se trata de información pública y esta obra en sus archivos, toda vez que el ahora solicitante fue dado de baja en marzo del 2021 y solicitó el pago de su finiquito en fecha 24 de junio del mismo año (lo cual se acredito con el documento adjunto a la solicitud) y con forme a la ley laboral aplicable debió entregar en un lapso no mayor a 15 días, aunado a que los documentos relativos a su renuncia y pago del finiquito obran en los archivos del H. Ayuntamiento de Metepec en las áreas previamente señaladas.</w:t>
      </w:r>
      <w:r w:rsidR="00310E55" w:rsidRPr="004508D0">
        <w:rPr>
          <w:rFonts w:ascii="Palatino Linotype" w:hAnsi="Palatino Linotype" w:cs="Arial"/>
          <w:i/>
          <w:sz w:val="22"/>
          <w:szCs w:val="22"/>
          <w:lang w:val="es-ES_tradnl"/>
        </w:rPr>
        <w:t xml:space="preserve"> Sirve de sustento a lo anterior, lo dispuesto por el artículo 6 Constitucional el cual refiere que toda la información en posesión de cualquier autoridad, entidad, órgano y organismo federal, estatal y municipal es pública; en la interpretación de este derecho deberá prevalecer el principio de máxima publicidad. A través del ejercicio del derecho de acceso a la información pública, los titulares del mismo pueden solicitar la información referente de todos y cada uno de los documentos que en ejercicio de sus atribuciones generen y que reflejen precisamente la toma de decisiones de los sujetos obligados o de aquéllos que por cualquier concepto reciban, administren o apliquen recursos públicos. Atendiendo a que la solicitud fue la siguiente: “Solicito me sea informado la fecha en que me será entregado mi finiquito, debido a que en diversas ocasiones me apersone en la Dirección de Administración y la Tesorería Municipal y me dan evasivas sobre la situación en la que se encuentra, no obstante que se solicitó previamente por oficio. Se adjunta evidencia.” </w:t>
      </w:r>
      <w:r w:rsidR="00310E55" w:rsidRPr="004508D0">
        <w:rPr>
          <w:rFonts w:ascii="Palatino Linotype" w:hAnsi="Palatino Linotype" w:cs="Arial"/>
          <w:b/>
          <w:i/>
          <w:sz w:val="22"/>
          <w:szCs w:val="22"/>
          <w:lang w:val="es-ES_tradnl"/>
        </w:rPr>
        <w:t xml:space="preserve">Atendiendo a esto no se esta solicitando la entrega del finiquito si no que, se informe la fecha en que será entregado o en caso diverso lo previsto por el artículo 12 de la Ley de Transparencia y Acceso a la Información Pública del Estado de México, esto es, se informe el estado que guarda en los archivos de las áreas correspondientes la situación en la que se encuentra el finiquito del ahora solicitante. </w:t>
      </w:r>
      <w:r w:rsidR="00310E55" w:rsidRPr="004508D0">
        <w:rPr>
          <w:rFonts w:ascii="Palatino Linotype" w:hAnsi="Palatino Linotype" w:cs="Arial"/>
          <w:i/>
          <w:sz w:val="22"/>
          <w:szCs w:val="22"/>
          <w:lang w:val="es-ES_tradnl"/>
        </w:rPr>
        <w:t xml:space="preserve">En este punto resulta oportuno mencionar que la referencia que ocupa el sujeto obligado hacia el derecho de petición carece de fundamentación y motivación, en razón de que el derecho de petición “es el derecho que pertenece al individuo de dirigir a los órganos o agentes </w:t>
      </w:r>
      <w:r w:rsidR="00310E55" w:rsidRPr="004508D0">
        <w:rPr>
          <w:rFonts w:ascii="Palatino Linotype" w:hAnsi="Palatino Linotype" w:cs="Arial"/>
          <w:i/>
          <w:sz w:val="22"/>
          <w:szCs w:val="22"/>
          <w:lang w:val="es-ES_tradnl"/>
        </w:rPr>
        <w:lastRenderedPageBreak/>
        <w:t>públicos un escrito exponiendo opiniones, demandas o quejas” (León, Duguit). En la solicitud que se atienden solo se requiere información que guarda el finiquito en los archivos del sujeto obligado</w:t>
      </w:r>
      <w:r w:rsidR="00310E55" w:rsidRPr="004508D0">
        <w:rPr>
          <w:rFonts w:ascii="Palatino Linotype" w:hAnsi="Palatino Linotype" w:cs="Arial"/>
          <w:b/>
          <w:i/>
          <w:sz w:val="22"/>
          <w:szCs w:val="22"/>
          <w:lang w:val="es-ES_tradnl"/>
        </w:rPr>
        <w:t>, por lo que su argumento sobre el derecho de petición debe ser desestimado de plano.</w:t>
      </w:r>
      <w:r w:rsidR="00310E55" w:rsidRPr="004508D0">
        <w:rPr>
          <w:rFonts w:ascii="Palatino Linotype" w:hAnsi="Palatino Linotype" w:cs="Arial"/>
          <w:i/>
          <w:sz w:val="22"/>
          <w:szCs w:val="22"/>
          <w:lang w:val="es-ES_tradnl"/>
        </w:rPr>
        <w:t xml:space="preserve"> Concluyendo así que el sujeto obligado, resulta ser omiso al brindar la información correspondiente al estatus del finiquito o en su caso la fecha en que se entregaría el mismo. En ese entendido el sujeto obligado, al no dar respuesta a la solicitud del peticionario violenta el derecho de acceso a la información pública, debido a que tiene el deber de informar el estatus en el que se encuentre aquella información que tengan en su poder, como resultado de las actividades que desempeñan. POR LO ANTERIORMENTE EXPUESTO Y FUNDADO, A USTEDES ATENTAMENTE PIDO SE SIRVAN: PRIMERO. Se me tenga por presentado en tiempo y forma, interponiendo el presente recurso en contra se la respuesta identificada con el número de folio SEGUNDO. Proveer conforme a derecho.</w:t>
      </w:r>
      <w:r w:rsidRPr="004508D0">
        <w:rPr>
          <w:rFonts w:ascii="Palatino Linotype" w:hAnsi="Palatino Linotype" w:cs="Arial"/>
          <w:i/>
          <w:sz w:val="22"/>
          <w:szCs w:val="22"/>
          <w:lang w:val="es-ES_tradnl"/>
        </w:rPr>
        <w:t>” (Sic)</w:t>
      </w:r>
    </w:p>
    <w:p w14:paraId="285CD733" w14:textId="53CC1BFC" w:rsidR="009B5FC2" w:rsidRPr="004508D0" w:rsidRDefault="009B5FC2" w:rsidP="00054000">
      <w:pPr>
        <w:pStyle w:val="Prrafodelista"/>
        <w:spacing w:before="240" w:after="240" w:line="360" w:lineRule="auto"/>
        <w:ind w:left="0"/>
        <w:jc w:val="both"/>
        <w:rPr>
          <w:rFonts w:ascii="Palatino Linotype" w:hAnsi="Palatino Linotype" w:cs="Arial"/>
        </w:rPr>
      </w:pPr>
      <w:r w:rsidRPr="004508D0">
        <w:rPr>
          <w:rFonts w:ascii="Palatino Linotype" w:hAnsi="Palatino Linotype"/>
          <w:b/>
          <w:sz w:val="28"/>
          <w:szCs w:val="28"/>
        </w:rPr>
        <w:t>IV.</w:t>
      </w:r>
      <w:r w:rsidRPr="004508D0">
        <w:rPr>
          <w:rFonts w:ascii="Palatino Linotype" w:hAnsi="Palatino Linotype"/>
        </w:rPr>
        <w:t xml:space="preserve"> </w:t>
      </w:r>
      <w:r w:rsidRPr="004508D0">
        <w:rPr>
          <w:rFonts w:ascii="Palatino Linotype" w:hAnsi="Palatino Linotype" w:cs="Arial"/>
        </w:rPr>
        <w:t xml:space="preserve">El </w:t>
      </w:r>
      <w:r w:rsidR="0021360D" w:rsidRPr="004508D0">
        <w:rPr>
          <w:rFonts w:ascii="Palatino Linotype" w:hAnsi="Palatino Linotype" w:cs="Arial"/>
        </w:rPr>
        <w:t>quince</w:t>
      </w:r>
      <w:r w:rsidRPr="004508D0">
        <w:rPr>
          <w:rFonts w:ascii="Palatino Linotype" w:hAnsi="Palatino Linotype" w:cs="Arial"/>
        </w:rPr>
        <w:t xml:space="preserve"> de octubre de dos mil veint</w:t>
      </w:r>
      <w:r w:rsidR="0021360D" w:rsidRPr="004508D0">
        <w:rPr>
          <w:rFonts w:ascii="Palatino Linotype" w:hAnsi="Palatino Linotype" w:cs="Arial"/>
        </w:rPr>
        <w:t>iuno</w:t>
      </w:r>
      <w:r w:rsidRPr="004508D0">
        <w:rPr>
          <w:rFonts w:ascii="Palatino Linotype" w:hAnsi="Palatino Linotype" w:cs="Arial"/>
        </w:rPr>
        <w:t xml:space="preserve">, el </w:t>
      </w:r>
      <w:r w:rsidRPr="004508D0">
        <w:rPr>
          <w:rFonts w:ascii="Palatino Linotype" w:hAnsi="Palatino Linotype" w:cs="Arial"/>
          <w:lang w:val="es-ES_tradnl"/>
        </w:rPr>
        <w:t xml:space="preserve">recurso </w:t>
      </w:r>
      <w:r w:rsidRPr="004508D0">
        <w:rPr>
          <w:rFonts w:ascii="Palatino Linotype" w:hAnsi="Palatino Linotype" w:cs="Arial"/>
        </w:rPr>
        <w:t>se trata</w:t>
      </w:r>
      <w:r w:rsidR="00F14020" w:rsidRPr="004508D0">
        <w:rPr>
          <w:rFonts w:ascii="Palatino Linotype" w:hAnsi="Palatino Linotype" w:cs="Arial"/>
        </w:rPr>
        <w:t>,</w:t>
      </w:r>
      <w:r w:rsidRPr="004508D0">
        <w:rPr>
          <w:rFonts w:ascii="Palatino Linotype" w:hAnsi="Palatino Linotype" w:cs="Arial"/>
          <w:lang w:val="es-ES_tradnl"/>
        </w:rPr>
        <w:t xml:space="preserve"> se envió electrónicamente al Instituto de </w:t>
      </w:r>
      <w:r w:rsidRPr="004508D0">
        <w:rPr>
          <w:rFonts w:ascii="Palatino Linotype" w:eastAsia="Arial Unicode MS" w:hAnsi="Palatino Linotype" w:cs="Arial"/>
        </w:rPr>
        <w:t>Transparencia</w:t>
      </w:r>
      <w:r w:rsidRPr="004508D0">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4508D0">
        <w:rPr>
          <w:rFonts w:ascii="Palatino Linotype" w:hAnsi="Palatino Linotype"/>
        </w:rPr>
        <w:t>Ley de Transparencia y Acceso a la Información Pública del Estado de México y Municipios</w:t>
      </w:r>
      <w:r w:rsidRPr="004508D0">
        <w:rPr>
          <w:rFonts w:ascii="Palatino Linotype" w:hAnsi="Palatino Linotype" w:cs="Arial"/>
          <w:lang w:val="es-ES_tradnl"/>
        </w:rPr>
        <w:t xml:space="preserve">, se turno </w:t>
      </w:r>
      <w:r w:rsidRPr="004508D0">
        <w:rPr>
          <w:rFonts w:ascii="Palatino Linotype" w:hAnsi="Palatino Linotype" w:cs="Arial"/>
          <w:bCs/>
        </w:rPr>
        <w:t>a la</w:t>
      </w:r>
      <w:r w:rsidRPr="004508D0">
        <w:rPr>
          <w:rFonts w:ascii="Palatino Linotype" w:hAnsi="Palatino Linotype"/>
        </w:rPr>
        <w:t xml:space="preserve"> </w:t>
      </w:r>
      <w:r w:rsidRPr="004508D0">
        <w:rPr>
          <w:rFonts w:ascii="Palatino Linotype" w:hAnsi="Palatino Linotype" w:cs="Arial"/>
          <w:lang w:val="es-ES_tradnl"/>
        </w:rPr>
        <w:t xml:space="preserve">Comisionada </w:t>
      </w:r>
      <w:r w:rsidR="0021360D" w:rsidRPr="004508D0">
        <w:rPr>
          <w:rFonts w:ascii="Palatino Linotype" w:hAnsi="Palatino Linotype"/>
          <w:b/>
          <w:color w:val="000000" w:themeColor="text1"/>
          <w:lang w:val="es-ES_tradnl"/>
        </w:rPr>
        <w:t>Sharon Cristina Morales Martínez</w:t>
      </w:r>
      <w:r w:rsidRPr="004508D0">
        <w:rPr>
          <w:rFonts w:ascii="Palatino Linotype" w:hAnsi="Palatino Linotype" w:cs="Arial"/>
          <w:b/>
          <w:lang w:val="es-ES_tradnl"/>
        </w:rPr>
        <w:t>;</w:t>
      </w:r>
      <w:r w:rsidRPr="004508D0">
        <w:rPr>
          <w:rFonts w:ascii="Palatino Linotype" w:hAnsi="Palatino Linotype" w:cs="Arial"/>
          <w:lang w:val="es-ES_tradnl"/>
        </w:rPr>
        <w:t xml:space="preserve"> a efecto de</w:t>
      </w:r>
      <w:r w:rsidR="00F14020" w:rsidRPr="004508D0">
        <w:rPr>
          <w:rFonts w:ascii="Palatino Linotype" w:hAnsi="Palatino Linotype" w:cs="Arial"/>
          <w:lang w:val="es-ES_tradnl"/>
        </w:rPr>
        <w:t xml:space="preserve"> decretar </w:t>
      </w:r>
      <w:r w:rsidRPr="004508D0">
        <w:rPr>
          <w:rFonts w:ascii="Palatino Linotype" w:hAnsi="Palatino Linotype" w:cs="Arial"/>
          <w:lang w:val="es-ES_tradnl"/>
        </w:rPr>
        <w:t>su admisión o desechamiento.</w:t>
      </w:r>
    </w:p>
    <w:p w14:paraId="0CB8825E" w14:textId="66CB36D3" w:rsidR="009B5FC2" w:rsidRPr="004508D0" w:rsidRDefault="009B5FC2" w:rsidP="009B5FC2">
      <w:pPr>
        <w:pStyle w:val="Piedepgina"/>
        <w:spacing w:before="100" w:beforeAutospacing="1" w:after="100" w:afterAutospacing="1" w:line="360" w:lineRule="auto"/>
        <w:jc w:val="both"/>
        <w:rPr>
          <w:rFonts w:ascii="Palatino Linotype" w:hAnsi="Palatino Linotype" w:cs="Arial"/>
        </w:rPr>
      </w:pPr>
      <w:r w:rsidRPr="004508D0">
        <w:rPr>
          <w:rFonts w:ascii="Palatino Linotype" w:hAnsi="Palatino Linotype" w:cs="Arial"/>
          <w:b/>
          <w:sz w:val="28"/>
        </w:rPr>
        <w:t xml:space="preserve">V. </w:t>
      </w:r>
      <w:r w:rsidRPr="004508D0">
        <w:rPr>
          <w:rFonts w:ascii="Palatino Linotype" w:hAnsi="Palatino Linotype" w:cs="Arial"/>
        </w:rPr>
        <w:t xml:space="preserve">El </w:t>
      </w:r>
      <w:r w:rsidR="0021360D" w:rsidRPr="004508D0">
        <w:rPr>
          <w:rFonts w:ascii="Palatino Linotype" w:hAnsi="Palatino Linotype" w:cs="Arial"/>
        </w:rPr>
        <w:t xml:space="preserve">veinte de octubre de dos mil </w:t>
      </w:r>
      <w:r w:rsidR="005A08DF" w:rsidRPr="004508D0">
        <w:rPr>
          <w:rFonts w:ascii="Palatino Linotype" w:hAnsi="Palatino Linotype" w:cs="Arial"/>
        </w:rPr>
        <w:t>veintiuno</w:t>
      </w:r>
      <w:r w:rsidRPr="004508D0">
        <w:rPr>
          <w:rFonts w:ascii="Palatino Linotype" w:hAnsi="Palatino Linotype" w:cs="Arial"/>
        </w:rPr>
        <w:t xml:space="preserve">, atento a lo dispuesto en el artículo 185, fracciones I, II y IV de la </w:t>
      </w:r>
      <w:r w:rsidRPr="004508D0">
        <w:rPr>
          <w:rFonts w:ascii="Palatino Linotype" w:hAnsi="Palatino Linotype"/>
        </w:rPr>
        <w:t>Ley de Transparencia y Acceso a la Información Pública del Estado de México y Municipios, se a</w:t>
      </w:r>
      <w:r w:rsidRPr="004508D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054000" w:rsidRPr="004508D0">
        <w:rPr>
          <w:rFonts w:ascii="Palatino Linotype" w:hAnsi="Palatino Linotype" w:cs="Arial"/>
          <w:b/>
        </w:rPr>
        <w:t>EL</w:t>
      </w:r>
      <w:r w:rsidRPr="004508D0">
        <w:rPr>
          <w:rFonts w:ascii="Palatino Linotype" w:hAnsi="Palatino Linotype" w:cs="Arial"/>
          <w:b/>
        </w:rPr>
        <w:t xml:space="preserve"> RECURRENTE</w:t>
      </w:r>
      <w:r w:rsidRPr="004508D0">
        <w:rPr>
          <w:rFonts w:ascii="Palatino Linotype" w:hAnsi="Palatino Linotype" w:cs="Arial"/>
        </w:rPr>
        <w:t xml:space="preserve"> realizara manifestaciones y alegatos, así como ofreciera las pruebas que a su derecho conviniera y, en el caso del</w:t>
      </w:r>
      <w:r w:rsidRPr="004508D0">
        <w:rPr>
          <w:rFonts w:ascii="Palatino Linotype" w:hAnsi="Palatino Linotype" w:cs="Arial"/>
          <w:b/>
        </w:rPr>
        <w:t xml:space="preserve"> SUJETO OBLIGADO</w:t>
      </w:r>
      <w:r w:rsidRPr="004508D0">
        <w:rPr>
          <w:rFonts w:ascii="Palatino Linotype" w:hAnsi="Palatino Linotype" w:cs="Arial"/>
        </w:rPr>
        <w:t xml:space="preserve"> exhibiera el</w:t>
      </w:r>
      <w:r w:rsidR="00F14020" w:rsidRPr="004508D0">
        <w:rPr>
          <w:rFonts w:ascii="Palatino Linotype" w:hAnsi="Palatino Linotype" w:cs="Arial"/>
        </w:rPr>
        <w:t xml:space="preserve"> correspondiente</w:t>
      </w:r>
      <w:r w:rsidRPr="004508D0">
        <w:rPr>
          <w:rFonts w:ascii="Palatino Linotype" w:hAnsi="Palatino Linotype" w:cs="Arial"/>
        </w:rPr>
        <w:t xml:space="preserve"> Informe Justificado</w:t>
      </w:r>
      <w:r w:rsidR="00F14020" w:rsidRPr="004508D0">
        <w:rPr>
          <w:rFonts w:ascii="Palatino Linotype" w:hAnsi="Palatino Linotype" w:cs="Arial"/>
        </w:rPr>
        <w:t>.</w:t>
      </w:r>
    </w:p>
    <w:p w14:paraId="1D6E0487" w14:textId="5538F07A" w:rsidR="009B5FC2" w:rsidRPr="004508D0" w:rsidRDefault="009B5FC2" w:rsidP="009B5FC2">
      <w:pPr>
        <w:spacing w:before="100" w:beforeAutospacing="1" w:after="100" w:afterAutospacing="1" w:line="360" w:lineRule="auto"/>
        <w:jc w:val="both"/>
        <w:rPr>
          <w:rFonts w:ascii="Palatino Linotype" w:hAnsi="Palatino Linotype" w:cs="Arial"/>
        </w:rPr>
      </w:pPr>
      <w:r w:rsidRPr="004508D0">
        <w:rPr>
          <w:rFonts w:ascii="Palatino Linotype" w:hAnsi="Palatino Linotype" w:cs="Arial"/>
          <w:b/>
          <w:sz w:val="28"/>
          <w:szCs w:val="28"/>
        </w:rPr>
        <w:lastRenderedPageBreak/>
        <w:t>V</w:t>
      </w:r>
      <w:r w:rsidR="00F14020" w:rsidRPr="004508D0">
        <w:rPr>
          <w:rFonts w:ascii="Palatino Linotype" w:hAnsi="Palatino Linotype" w:cs="Arial"/>
          <w:b/>
          <w:sz w:val="28"/>
          <w:szCs w:val="28"/>
        </w:rPr>
        <w:t>I</w:t>
      </w:r>
      <w:r w:rsidRPr="004508D0">
        <w:rPr>
          <w:rFonts w:ascii="Palatino Linotype" w:hAnsi="Palatino Linotype" w:cs="Arial"/>
          <w:b/>
          <w:sz w:val="28"/>
          <w:szCs w:val="28"/>
        </w:rPr>
        <w:t xml:space="preserve">. </w:t>
      </w:r>
      <w:r w:rsidRPr="004508D0">
        <w:rPr>
          <w:rFonts w:ascii="Palatino Linotype" w:hAnsi="Palatino Linotype" w:cs="Arial"/>
        </w:rPr>
        <w:t xml:space="preserve">De las constancias que obran en el </w:t>
      </w:r>
      <w:r w:rsidRPr="004508D0">
        <w:rPr>
          <w:rFonts w:ascii="Palatino Linotype" w:hAnsi="Palatino Linotype" w:cs="Arial"/>
          <w:b/>
        </w:rPr>
        <w:t>SAIMEX</w:t>
      </w:r>
      <w:r w:rsidRPr="004508D0">
        <w:rPr>
          <w:rFonts w:ascii="Palatino Linotype" w:hAnsi="Palatino Linotype" w:cs="Arial"/>
        </w:rPr>
        <w:t>, se advierte que</w:t>
      </w:r>
      <w:r w:rsidRPr="004508D0">
        <w:rPr>
          <w:rFonts w:ascii="Palatino Linotype" w:hAnsi="Palatino Linotype" w:cs="Arial"/>
          <w:b/>
        </w:rPr>
        <w:t xml:space="preserve"> EL SUJETO OBLIGADO </w:t>
      </w:r>
      <w:r w:rsidR="00F14020" w:rsidRPr="004508D0">
        <w:rPr>
          <w:rFonts w:ascii="Palatino Linotype" w:hAnsi="Palatino Linotype" w:cs="Arial"/>
        </w:rPr>
        <w:t xml:space="preserve">no rindió el correspondiente </w:t>
      </w:r>
      <w:r w:rsidRPr="004508D0">
        <w:rPr>
          <w:rFonts w:ascii="Palatino Linotype" w:hAnsi="Palatino Linotype" w:cs="Arial"/>
        </w:rPr>
        <w:t>Infor</w:t>
      </w:r>
      <w:r w:rsidR="00054000" w:rsidRPr="004508D0">
        <w:rPr>
          <w:rFonts w:ascii="Palatino Linotype" w:hAnsi="Palatino Linotype" w:cs="Arial"/>
        </w:rPr>
        <w:t xml:space="preserve">me Justificado correspondiente. </w:t>
      </w:r>
      <w:r w:rsidRPr="004508D0">
        <w:rPr>
          <w:rFonts w:ascii="Palatino Linotype" w:hAnsi="Palatino Linotype" w:cs="Arial"/>
        </w:rPr>
        <w:t>Por su parte</w:t>
      </w:r>
      <w:r w:rsidR="00054000" w:rsidRPr="004508D0">
        <w:rPr>
          <w:rFonts w:ascii="Palatino Linotype" w:hAnsi="Palatino Linotype" w:cs="Arial"/>
          <w:b/>
        </w:rPr>
        <w:t xml:space="preserve"> EL</w:t>
      </w:r>
      <w:r w:rsidRPr="004508D0">
        <w:rPr>
          <w:rFonts w:ascii="Palatino Linotype" w:hAnsi="Palatino Linotype" w:cs="Arial"/>
          <w:b/>
        </w:rPr>
        <w:t xml:space="preserve"> RECURRENTE </w:t>
      </w:r>
      <w:r w:rsidR="007B3B7C" w:rsidRPr="004508D0">
        <w:rPr>
          <w:rFonts w:ascii="Palatino Linotype" w:hAnsi="Palatino Linotype" w:cs="Arial"/>
        </w:rPr>
        <w:t>si</w:t>
      </w:r>
      <w:r w:rsidRPr="004508D0">
        <w:rPr>
          <w:rFonts w:ascii="Palatino Linotype" w:hAnsi="Palatino Linotype" w:cs="Arial"/>
        </w:rPr>
        <w:t xml:space="preserve"> presentó alegatos, </w:t>
      </w:r>
      <w:r w:rsidR="00F14020" w:rsidRPr="004508D0">
        <w:rPr>
          <w:rFonts w:ascii="Palatino Linotype" w:hAnsi="Palatino Linotype" w:cs="Arial"/>
        </w:rPr>
        <w:t xml:space="preserve">tal como se muestra en </w:t>
      </w:r>
      <w:r w:rsidRPr="004508D0">
        <w:rPr>
          <w:rFonts w:ascii="Palatino Linotype" w:hAnsi="Palatino Linotype" w:cs="Arial"/>
        </w:rPr>
        <w:t>la imagen que a continuación se inserta:</w:t>
      </w:r>
    </w:p>
    <w:p w14:paraId="2DF2F9F5" w14:textId="5C726C1D" w:rsidR="007B3B7C" w:rsidRPr="004508D0" w:rsidRDefault="007B3B7C" w:rsidP="009B5FC2">
      <w:pPr>
        <w:spacing w:before="100" w:beforeAutospacing="1" w:after="100" w:afterAutospacing="1" w:line="360" w:lineRule="auto"/>
        <w:jc w:val="both"/>
        <w:rPr>
          <w:rFonts w:ascii="Palatino Linotype" w:hAnsi="Palatino Linotype" w:cs="Arial"/>
        </w:rPr>
      </w:pPr>
      <w:r w:rsidRPr="004508D0">
        <w:rPr>
          <w:noProof/>
          <w:lang w:eastAsia="es-MX"/>
        </w:rPr>
        <w:drawing>
          <wp:inline distT="0" distB="0" distL="0" distR="0" wp14:anchorId="2CAA6F93" wp14:editId="0FEE80FB">
            <wp:extent cx="5791835" cy="18307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0705"/>
                    </a:xfrm>
                    <a:prstGeom prst="rect">
                      <a:avLst/>
                    </a:prstGeom>
                  </pic:spPr>
                </pic:pic>
              </a:graphicData>
            </a:graphic>
          </wp:inline>
        </w:drawing>
      </w:r>
    </w:p>
    <w:p w14:paraId="79919583" w14:textId="756CB4B4" w:rsidR="00F86A88" w:rsidRPr="004508D0" w:rsidRDefault="00F86A88" w:rsidP="005A239A">
      <w:pPr>
        <w:pStyle w:val="Prrafodelista"/>
        <w:spacing w:line="360" w:lineRule="auto"/>
        <w:ind w:left="0"/>
        <w:jc w:val="both"/>
        <w:rPr>
          <w:rFonts w:ascii="Palatino Linotype" w:eastAsia="Batang" w:hAnsi="Palatino Linotype" w:cs="Tahoma"/>
          <w:bCs/>
          <w:lang w:val="es-ES_tradnl"/>
        </w:rPr>
      </w:pPr>
      <w:r w:rsidRPr="004508D0">
        <w:rPr>
          <w:rFonts w:ascii="Palatino Linotype" w:eastAsia="Batang" w:hAnsi="Palatino Linotype" w:cs="Tahoma"/>
          <w:b/>
          <w:bCs/>
          <w:lang w:val="es-ES_tradnl"/>
        </w:rPr>
        <w:t>Manifestaciones del Recurrente.</w:t>
      </w:r>
      <w:r w:rsidRPr="004508D0">
        <w:rPr>
          <w:rFonts w:ascii="Palatino Linotype" w:eastAsia="Batang" w:hAnsi="Palatino Linotype" w:cs="Tahoma"/>
          <w:bCs/>
          <w:lang w:val="es-ES_tradnl"/>
        </w:rPr>
        <w:t xml:space="preserve"> El </w:t>
      </w:r>
      <w:r w:rsidR="000C1ECE" w:rsidRPr="004508D0">
        <w:rPr>
          <w:rFonts w:ascii="Palatino Linotype" w:eastAsia="Batang" w:hAnsi="Palatino Linotype" w:cs="Tahoma"/>
          <w:bCs/>
          <w:lang w:val="es-ES_tradnl"/>
        </w:rPr>
        <w:t>veintiséis de octubre</w:t>
      </w:r>
      <w:r w:rsidRPr="004508D0">
        <w:rPr>
          <w:rFonts w:ascii="Palatino Linotype" w:eastAsia="Batang" w:hAnsi="Palatino Linotype" w:cs="Tahoma"/>
          <w:bCs/>
          <w:lang w:val="es-ES_tradnl"/>
        </w:rPr>
        <w:t xml:space="preserve"> de dos mil veintiuno, a través del Sistema de Acceso a la Información Mexiquense (SAIMEX), se recibió en este Instituto las manifestaciones realiza</w:t>
      </w:r>
      <w:r w:rsidR="0000500C" w:rsidRPr="004508D0">
        <w:rPr>
          <w:rFonts w:ascii="Palatino Linotype" w:eastAsia="Batang" w:hAnsi="Palatino Linotype" w:cs="Tahoma"/>
          <w:bCs/>
          <w:lang w:val="es-ES_tradnl"/>
        </w:rPr>
        <w:t>das por el Recurrente en las que medularmente señaló lo siguiente:</w:t>
      </w:r>
    </w:p>
    <w:p w14:paraId="748F6198" w14:textId="00DCE2C4" w:rsidR="000536CF" w:rsidRPr="004508D0" w:rsidRDefault="005A239A" w:rsidP="009E4767">
      <w:pPr>
        <w:ind w:left="851" w:right="899"/>
        <w:jc w:val="both"/>
        <w:rPr>
          <w:rFonts w:ascii="Palatino Linotype" w:hAnsi="Palatino Linotype"/>
          <w:sz w:val="22"/>
          <w:szCs w:val="22"/>
        </w:rPr>
      </w:pPr>
      <w:r w:rsidRPr="004508D0">
        <w:rPr>
          <w:rFonts w:ascii="Palatino Linotype" w:hAnsi="Palatino Linotype"/>
          <w:sz w:val="22"/>
          <w:szCs w:val="22"/>
        </w:rPr>
        <w:t>L</w:t>
      </w:r>
      <w:r w:rsidR="0000500C" w:rsidRPr="004508D0">
        <w:rPr>
          <w:rFonts w:ascii="Palatino Linotype" w:hAnsi="Palatino Linotype"/>
          <w:sz w:val="22"/>
          <w:szCs w:val="22"/>
        </w:rPr>
        <w:t xml:space="preserve">a referencia que ocupa el sujeto obligado hacia el derecho de petición carece de fundamentación y motivación, en razón de que el derecho de petición “es el derecho que pertenece al individuo de dirigir a los órganos o agentes públicos un escrito exponiendo opiniones, demandas o quejas” (León, Duguit). En la solicitud que se atienden solo se requiere información que guarda el finiquito en los archivos del sujeto obligado, por lo que su argumento sobre el derecho de petición debe ser desestimado de plano. </w:t>
      </w:r>
    </w:p>
    <w:p w14:paraId="178533D3" w14:textId="77777777" w:rsidR="000536CF" w:rsidRPr="004508D0" w:rsidRDefault="000536CF" w:rsidP="009E4767">
      <w:pPr>
        <w:ind w:left="851" w:right="899"/>
        <w:jc w:val="both"/>
        <w:rPr>
          <w:rFonts w:ascii="Palatino Linotype" w:hAnsi="Palatino Linotype"/>
          <w:sz w:val="22"/>
          <w:szCs w:val="22"/>
        </w:rPr>
      </w:pPr>
    </w:p>
    <w:p w14:paraId="7B912013" w14:textId="34F4343F" w:rsidR="0000500C" w:rsidRPr="004508D0" w:rsidRDefault="000536CF" w:rsidP="009E4767">
      <w:pPr>
        <w:ind w:left="851" w:right="899"/>
        <w:jc w:val="both"/>
        <w:rPr>
          <w:rFonts w:ascii="Palatino Linotype" w:eastAsia="Batang" w:hAnsi="Palatino Linotype" w:cs="Tahoma"/>
          <w:bCs/>
          <w:lang w:val="es-ES_tradnl"/>
        </w:rPr>
      </w:pPr>
      <w:r w:rsidRPr="004508D0">
        <w:rPr>
          <w:rFonts w:ascii="Palatino Linotype" w:hAnsi="Palatino Linotype"/>
          <w:sz w:val="22"/>
          <w:szCs w:val="22"/>
        </w:rPr>
        <w:t>C</w:t>
      </w:r>
      <w:r w:rsidR="0000500C" w:rsidRPr="004508D0">
        <w:rPr>
          <w:rFonts w:ascii="Palatino Linotype" w:hAnsi="Palatino Linotype"/>
          <w:sz w:val="22"/>
          <w:szCs w:val="22"/>
        </w:rPr>
        <w:t xml:space="preserve">oncluyendo así que el sujeto obligado, resulta ser omiso al brindar la información correspondiente al estatus del finiquito o en su caso la fecha en que se entregaría el mismo. En ese entendido el sujeto obligado, al no dar respuesta a la solicitud del peticionario violenta el derecho de acceso a la información pública, debido a que tiene el deber de informar el estatus en el </w:t>
      </w:r>
      <w:r w:rsidR="0000500C" w:rsidRPr="004508D0">
        <w:rPr>
          <w:rFonts w:ascii="Palatino Linotype" w:hAnsi="Palatino Linotype"/>
          <w:sz w:val="22"/>
          <w:szCs w:val="22"/>
        </w:rPr>
        <w:lastRenderedPageBreak/>
        <w:t>que se encuentre aquella información que tengan en su poder, como resultado de las actividades que desempeñan.</w:t>
      </w:r>
    </w:p>
    <w:p w14:paraId="298F7C30" w14:textId="3720E228" w:rsidR="009B5FC2" w:rsidRPr="004508D0" w:rsidRDefault="009B5FC2" w:rsidP="009B5FC2">
      <w:pPr>
        <w:pStyle w:val="Prrafodelista"/>
        <w:spacing w:before="100" w:beforeAutospacing="1" w:after="100" w:afterAutospacing="1" w:line="360" w:lineRule="auto"/>
        <w:ind w:left="0"/>
        <w:jc w:val="both"/>
        <w:rPr>
          <w:rFonts w:ascii="Palatino Linotype" w:hAnsi="Palatino Linotype" w:cs="Arial"/>
        </w:rPr>
      </w:pPr>
      <w:r w:rsidRPr="004508D0">
        <w:rPr>
          <w:rFonts w:ascii="Palatino Linotype" w:hAnsi="Palatino Linotype" w:cs="Arial"/>
          <w:b/>
          <w:sz w:val="28"/>
        </w:rPr>
        <w:t xml:space="preserve">VI. </w:t>
      </w:r>
      <w:r w:rsidRPr="004508D0">
        <w:rPr>
          <w:rFonts w:ascii="Palatino Linotype" w:hAnsi="Palatino Linotype" w:cs="Arial"/>
        </w:rPr>
        <w:t xml:space="preserve">Transcurrido el plazo señalado en el párrafo anterior y, una vez analizado el estado procesal que guarda el expediente, el </w:t>
      </w:r>
      <w:r w:rsidR="00102F74" w:rsidRPr="004508D0">
        <w:rPr>
          <w:rFonts w:ascii="Palatino Linotype" w:hAnsi="Palatino Linotype" w:cs="Arial"/>
        </w:rPr>
        <w:t>ocho de noviembre</w:t>
      </w:r>
      <w:r w:rsidR="00054000" w:rsidRPr="004508D0">
        <w:rPr>
          <w:rFonts w:ascii="Palatino Linotype" w:hAnsi="Palatino Linotype" w:cs="Arial"/>
        </w:rPr>
        <w:t xml:space="preserve"> </w:t>
      </w:r>
      <w:r w:rsidRPr="004508D0">
        <w:rPr>
          <w:rFonts w:ascii="Palatino Linotype" w:hAnsi="Palatino Linotype" w:cs="Arial"/>
        </w:rPr>
        <w:t>de dos mil veint</w:t>
      </w:r>
      <w:r w:rsidR="00102F74" w:rsidRPr="004508D0">
        <w:rPr>
          <w:rFonts w:ascii="Palatino Linotype" w:hAnsi="Palatino Linotype" w:cs="Arial"/>
        </w:rPr>
        <w:t>iuno</w:t>
      </w:r>
      <w:r w:rsidRPr="004508D0">
        <w:rPr>
          <w:rFonts w:ascii="Palatino Linotype" w:hAnsi="Palatino Linotype" w:cs="Arial"/>
        </w:rPr>
        <w:t xml:space="preserve">, la Comisionada Ponente acordó el cierre de instrucción, así como la remisión del mismo a efecto de ser resuelto, de conformidad con lo establecido en el artículo 185, fracciones VI y VIII de la Ley de Transparencia y Acceso a la Información Pública del </w:t>
      </w:r>
      <w:r w:rsidR="00054000" w:rsidRPr="004508D0">
        <w:rPr>
          <w:rFonts w:ascii="Palatino Linotype" w:hAnsi="Palatino Linotype" w:cs="Arial"/>
        </w:rPr>
        <w:t>Estado de México y Municipios.</w:t>
      </w:r>
    </w:p>
    <w:p w14:paraId="01822254" w14:textId="46129B05" w:rsidR="000536CF" w:rsidRPr="004508D0" w:rsidRDefault="000536CF" w:rsidP="000536CF">
      <w:pPr>
        <w:pStyle w:val="Prrafodelista"/>
        <w:spacing w:before="240" w:after="240" w:line="360" w:lineRule="auto"/>
        <w:ind w:left="0"/>
        <w:jc w:val="both"/>
        <w:rPr>
          <w:rFonts w:ascii="Palatino Linotype" w:hAnsi="Palatino Linotype"/>
          <w:color w:val="000000"/>
        </w:rPr>
      </w:pPr>
      <w:r w:rsidRPr="004508D0">
        <w:rPr>
          <w:rFonts w:ascii="Palatino Linotype" w:hAnsi="Palatino Linotype"/>
          <w:b/>
          <w:color w:val="000000"/>
          <w:sz w:val="28"/>
          <w:szCs w:val="28"/>
        </w:rPr>
        <w:t>VII.</w:t>
      </w:r>
      <w:r w:rsidRPr="004508D0">
        <w:rPr>
          <w:rFonts w:ascii="Palatino Linotype" w:hAnsi="Palatino Linotype"/>
          <w:color w:val="000000"/>
          <w:sz w:val="27"/>
          <w:szCs w:val="27"/>
        </w:rPr>
        <w:t xml:space="preserve"> </w:t>
      </w:r>
      <w:r w:rsidRPr="004508D0">
        <w:rPr>
          <w:rFonts w:ascii="Palatino Linotype" w:hAnsi="Palatino Linotype"/>
          <w:color w:val="000000"/>
        </w:rPr>
        <w:t>Posteriormente, el seis de diciembre de dos mil veintiuno, se acordó ampliar el plazo para resolver el recurso de revisión de mérito, por un periodo de hasta quince días hábiles, de conformidad con el artículo 181, tercer párrafo de la Ley de Transparencia y Acceso a la Información Pública de</w:t>
      </w:r>
      <w:r w:rsidR="0070000E" w:rsidRPr="004508D0">
        <w:rPr>
          <w:rFonts w:ascii="Palatino Linotype" w:hAnsi="Palatino Linotype"/>
          <w:color w:val="000000"/>
        </w:rPr>
        <w:t>l Estado de México y Municipios.</w:t>
      </w:r>
    </w:p>
    <w:p w14:paraId="07D18532" w14:textId="3542C7BC" w:rsidR="00186045" w:rsidRPr="004508D0" w:rsidRDefault="0070000E" w:rsidP="0070000E">
      <w:pPr>
        <w:spacing w:line="360" w:lineRule="auto"/>
        <w:jc w:val="both"/>
        <w:rPr>
          <w:rFonts w:ascii="Palatino Linotype" w:eastAsia="Palatino Linotype" w:hAnsi="Palatino Linotype" w:cs="Palatino Linotype"/>
        </w:rPr>
      </w:pPr>
      <w:r w:rsidRPr="004508D0">
        <w:rPr>
          <w:rFonts w:ascii="Palatino Linotype" w:eastAsia="Palatino Linotype" w:hAnsi="Palatino Linotype" w:cs="Palatino Linotype"/>
          <w:b/>
          <w:color w:val="000000"/>
          <w:sz w:val="28"/>
          <w:szCs w:val="28"/>
        </w:rPr>
        <w:t xml:space="preserve">VIII. </w:t>
      </w:r>
      <w:r w:rsidRPr="004508D0">
        <w:rPr>
          <w:rFonts w:ascii="Palatino Linotype" w:eastAsia="Palatino Linotype" w:hAnsi="Palatino Linotype" w:cs="Palatino Linotype"/>
          <w:color w:val="000000"/>
        </w:rPr>
        <w:t xml:space="preserve">En fecha </w:t>
      </w:r>
      <w:r w:rsidR="00186045" w:rsidRPr="004508D0">
        <w:rPr>
          <w:rFonts w:ascii="Palatino Linotype" w:eastAsia="Palatino Linotype" w:hAnsi="Palatino Linotype" w:cs="Palatino Linotype"/>
          <w:color w:val="000000"/>
        </w:rPr>
        <w:t xml:space="preserve">nueve de diciembre de dos mil veintiuno, el </w:t>
      </w:r>
      <w:r w:rsidRPr="004508D0">
        <w:rPr>
          <w:rFonts w:ascii="Palatino Linotype" w:eastAsia="Palatino Linotype" w:hAnsi="Palatino Linotype" w:cs="Palatino Linotype"/>
          <w:color w:val="000000"/>
        </w:rPr>
        <w:t xml:space="preserve">Pleno del Instituto de Transparencia, Acceso </w:t>
      </w:r>
      <w:r w:rsidRPr="004508D0">
        <w:rPr>
          <w:rFonts w:ascii="Palatino Linotype" w:eastAsia="Palatino Linotype" w:hAnsi="Palatino Linotype" w:cs="Palatino Linotype"/>
        </w:rPr>
        <w:t>a la Información Pública y Protección de Datos Personales del Estado de México y Municipios,</w:t>
      </w:r>
      <w:r w:rsidR="00186045" w:rsidRPr="004508D0">
        <w:rPr>
          <w:rFonts w:ascii="Palatino Linotype" w:eastAsia="Palatino Linotype" w:hAnsi="Palatino Linotype" w:cs="Palatino Linotype"/>
        </w:rPr>
        <w:t xml:space="preserve"> mediante acuerdo signado por sus integrantes, aprobó la Licencia por maternidad de la Comisionada Sharon Cristina Morales Martínez, conviniendo el returno del recurso de revisión de mérito al Comisionado Presidente José Martínez Vilchis, para que diera trámite y resolviera conforme a derecho.</w:t>
      </w:r>
    </w:p>
    <w:p w14:paraId="7CB6134B" w14:textId="77777777" w:rsidR="00186045" w:rsidRPr="004508D0" w:rsidRDefault="00186045" w:rsidP="0070000E">
      <w:pPr>
        <w:spacing w:line="360" w:lineRule="auto"/>
        <w:jc w:val="both"/>
        <w:rPr>
          <w:rFonts w:ascii="Palatino Linotype" w:eastAsia="Palatino Linotype" w:hAnsi="Palatino Linotype" w:cs="Palatino Linotype"/>
        </w:rPr>
      </w:pPr>
    </w:p>
    <w:p w14:paraId="7E24BCBF" w14:textId="77777777" w:rsidR="009B5FC2" w:rsidRPr="004508D0" w:rsidRDefault="009B5FC2" w:rsidP="009B5FC2">
      <w:pPr>
        <w:jc w:val="center"/>
        <w:rPr>
          <w:rFonts w:ascii="Palatino Linotype" w:hAnsi="Palatino Linotype" w:cs="Arial"/>
          <w:b/>
          <w:bCs/>
          <w:spacing w:val="60"/>
          <w:sz w:val="28"/>
          <w:lang w:val="es-ES_tradnl"/>
        </w:rPr>
      </w:pPr>
      <w:r w:rsidRPr="004508D0">
        <w:rPr>
          <w:rFonts w:ascii="Palatino Linotype" w:hAnsi="Palatino Linotype" w:cs="Arial"/>
          <w:b/>
          <w:bCs/>
          <w:spacing w:val="60"/>
          <w:sz w:val="28"/>
          <w:lang w:val="es-ES_tradnl"/>
        </w:rPr>
        <w:t>CONSIDERANDO</w:t>
      </w:r>
    </w:p>
    <w:p w14:paraId="5E638763" w14:textId="77777777" w:rsidR="00250CDB" w:rsidRPr="004508D0" w:rsidRDefault="00250CDB" w:rsidP="009B5FC2">
      <w:pPr>
        <w:jc w:val="center"/>
        <w:rPr>
          <w:rFonts w:ascii="Palatino Linotype" w:hAnsi="Palatino Linotype" w:cs="Arial"/>
          <w:b/>
          <w:bCs/>
          <w:spacing w:val="60"/>
          <w:sz w:val="28"/>
          <w:lang w:val="es-ES_tradnl"/>
        </w:rPr>
      </w:pPr>
    </w:p>
    <w:p w14:paraId="23EEF3F4" w14:textId="77777777" w:rsidR="00377038" w:rsidRPr="004508D0" w:rsidRDefault="009B5FC2" w:rsidP="00377038">
      <w:pPr>
        <w:spacing w:line="360" w:lineRule="auto"/>
        <w:ind w:right="50"/>
        <w:jc w:val="both"/>
        <w:rPr>
          <w:rFonts w:ascii="Palatino Linotype" w:hAnsi="Palatino Linotype"/>
        </w:rPr>
      </w:pPr>
      <w:r w:rsidRPr="004508D0">
        <w:rPr>
          <w:rFonts w:ascii="Palatino Linotype" w:hAnsi="Palatino Linotype"/>
          <w:b/>
          <w:sz w:val="28"/>
          <w:szCs w:val="28"/>
        </w:rPr>
        <w:t>PRIMERO</w:t>
      </w:r>
      <w:r w:rsidRPr="004508D0">
        <w:rPr>
          <w:rFonts w:ascii="Palatino Linotype" w:hAnsi="Palatino Linotype"/>
          <w:b/>
        </w:rPr>
        <w:t>.</w:t>
      </w:r>
      <w:r w:rsidRPr="004508D0">
        <w:rPr>
          <w:rFonts w:ascii="Palatino Linotype" w:hAnsi="Palatino Linotype"/>
        </w:rPr>
        <w:t xml:space="preserve"> </w:t>
      </w:r>
      <w:r w:rsidRPr="004508D0">
        <w:rPr>
          <w:rFonts w:ascii="Palatino Linotype" w:hAnsi="Palatino Linotype"/>
          <w:b/>
        </w:rPr>
        <w:t>Competencia</w:t>
      </w:r>
      <w:r w:rsidRPr="004508D0">
        <w:rPr>
          <w:rFonts w:ascii="Palatino Linotype" w:hAnsi="Palatino Linotype"/>
        </w:rPr>
        <w:t>.</w:t>
      </w:r>
    </w:p>
    <w:p w14:paraId="2E9398D4" w14:textId="77777777" w:rsidR="005616F1" w:rsidRPr="004508D0" w:rsidRDefault="005616F1" w:rsidP="005616F1">
      <w:pPr>
        <w:spacing w:before="280" w:after="280" w:line="360" w:lineRule="auto"/>
        <w:ind w:right="50"/>
        <w:jc w:val="both"/>
        <w:rPr>
          <w:rFonts w:ascii="Palatino Linotype" w:eastAsia="Palatino Linotype" w:hAnsi="Palatino Linotype" w:cs="Palatino Linotype"/>
          <w:color w:val="000000"/>
        </w:rPr>
      </w:pPr>
      <w:r w:rsidRPr="004508D0">
        <w:rPr>
          <w:rFonts w:ascii="Palatino Linotype" w:eastAsia="Palatino Linotype" w:hAnsi="Palatino Linotype" w:cs="Palatino Linotype"/>
          <w:color w:val="000000"/>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2C1C128" w14:textId="77777777" w:rsidR="00377038" w:rsidRPr="004508D0" w:rsidRDefault="009B5FC2" w:rsidP="009B5FC2">
      <w:pPr>
        <w:spacing w:before="100" w:beforeAutospacing="1" w:after="100" w:afterAutospacing="1" w:line="360" w:lineRule="auto"/>
        <w:jc w:val="both"/>
        <w:rPr>
          <w:rFonts w:ascii="Palatino Linotype" w:hAnsi="Palatino Linotype" w:cs="Arial"/>
          <w:b/>
        </w:rPr>
      </w:pPr>
      <w:r w:rsidRPr="004508D0">
        <w:rPr>
          <w:rFonts w:ascii="Palatino Linotype" w:hAnsi="Palatino Linotype" w:cs="Arial"/>
          <w:b/>
          <w:sz w:val="28"/>
        </w:rPr>
        <w:t>SEGUNDO</w:t>
      </w:r>
      <w:r w:rsidRPr="004508D0">
        <w:rPr>
          <w:rFonts w:ascii="Palatino Linotype" w:hAnsi="Palatino Linotype" w:cs="Arial"/>
          <w:b/>
        </w:rPr>
        <w:t>. Interés.</w:t>
      </w:r>
    </w:p>
    <w:p w14:paraId="159C7044" w14:textId="30DAB81C" w:rsidR="009B5FC2" w:rsidRPr="004508D0" w:rsidRDefault="009B5FC2" w:rsidP="009B5FC2">
      <w:pPr>
        <w:spacing w:before="100" w:beforeAutospacing="1" w:after="100" w:afterAutospacing="1" w:line="360" w:lineRule="auto"/>
        <w:jc w:val="both"/>
        <w:rPr>
          <w:rFonts w:ascii="Palatino Linotype" w:hAnsi="Palatino Linotype" w:cs="Arial"/>
          <w:b/>
          <w:bCs/>
        </w:rPr>
      </w:pPr>
      <w:r w:rsidRPr="004508D0">
        <w:rPr>
          <w:rFonts w:ascii="Palatino Linotype" w:hAnsi="Palatino Linotype" w:cs="Arial"/>
          <w:bCs/>
        </w:rPr>
        <w:t xml:space="preserve">El recurso de revisión fue interpuesto por parte legítima, en atención a que se presentó por </w:t>
      </w:r>
      <w:r w:rsidR="00A1527B" w:rsidRPr="004508D0">
        <w:rPr>
          <w:rFonts w:ascii="Palatino Linotype" w:hAnsi="Palatino Linotype" w:cs="Arial"/>
          <w:b/>
          <w:bCs/>
        </w:rPr>
        <w:t>EL</w:t>
      </w:r>
      <w:r w:rsidRPr="004508D0">
        <w:rPr>
          <w:rFonts w:ascii="Palatino Linotype" w:hAnsi="Palatino Linotype" w:cs="Arial"/>
          <w:b/>
          <w:bCs/>
        </w:rPr>
        <w:t xml:space="preserve"> RECURRENTE,</w:t>
      </w:r>
      <w:r w:rsidRPr="004508D0">
        <w:rPr>
          <w:rFonts w:ascii="Palatino Linotype" w:hAnsi="Palatino Linotype" w:cs="Arial"/>
          <w:bCs/>
        </w:rPr>
        <w:t xml:space="preserve"> quien es la misma persona que formuló la solicitud de acceso a la información pública al </w:t>
      </w:r>
      <w:r w:rsidRPr="004508D0">
        <w:rPr>
          <w:rFonts w:ascii="Palatino Linotype" w:hAnsi="Palatino Linotype" w:cs="Arial"/>
          <w:b/>
          <w:bCs/>
        </w:rPr>
        <w:t>SUJETO OBLIGADO.</w:t>
      </w:r>
    </w:p>
    <w:p w14:paraId="51D5CD02" w14:textId="77777777" w:rsidR="00377038" w:rsidRPr="004508D0"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4508D0">
        <w:rPr>
          <w:rFonts w:ascii="Palatino Linotype" w:hAnsi="Palatino Linotype" w:cs="Arial"/>
          <w:b/>
          <w:sz w:val="28"/>
          <w:szCs w:val="28"/>
        </w:rPr>
        <w:t xml:space="preserve">TERCERO. </w:t>
      </w:r>
      <w:r w:rsidRPr="004508D0">
        <w:rPr>
          <w:rFonts w:ascii="Palatino Linotype" w:hAnsi="Palatino Linotype" w:cs="Arial"/>
          <w:b/>
        </w:rPr>
        <w:t>Oportunidad</w:t>
      </w:r>
      <w:r w:rsidRPr="004508D0">
        <w:rPr>
          <w:rFonts w:ascii="Palatino Linotype" w:hAnsi="Palatino Linotype" w:cs="Arial"/>
          <w:b/>
          <w:i/>
        </w:rPr>
        <w:t>.</w:t>
      </w:r>
      <w:r w:rsidRPr="004508D0">
        <w:rPr>
          <w:rFonts w:ascii="Palatino Linotype" w:hAnsi="Palatino Linotype" w:cs="Arial"/>
          <w:b/>
        </w:rPr>
        <w:t xml:space="preserve"> </w:t>
      </w:r>
    </w:p>
    <w:p w14:paraId="2D8BA0B1" w14:textId="1226A078" w:rsidR="009B5FC2" w:rsidRPr="004508D0"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4508D0">
        <w:rPr>
          <w:rFonts w:ascii="Palatino Linotype" w:hAnsi="Palatino Linotype" w:cs="Arial"/>
        </w:rPr>
        <w:t xml:space="preserve">El recurso de revisión fue interpuesto dentro del plazo de quince días hábiles contados a partir del día siguiente al en que </w:t>
      </w:r>
      <w:r w:rsidR="00A1527B" w:rsidRPr="004508D0">
        <w:rPr>
          <w:rFonts w:ascii="Palatino Linotype" w:hAnsi="Palatino Linotype" w:cs="Arial"/>
          <w:b/>
        </w:rPr>
        <w:t>EL</w:t>
      </w:r>
      <w:r w:rsidRPr="004508D0">
        <w:rPr>
          <w:rFonts w:ascii="Palatino Linotype" w:hAnsi="Palatino Linotype" w:cs="Arial"/>
          <w:b/>
        </w:rPr>
        <w:t xml:space="preserve"> RECURRENTE </w:t>
      </w:r>
      <w:r w:rsidRPr="004508D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6C1A441C" w14:textId="77777777" w:rsidR="005616F1" w:rsidRPr="004508D0" w:rsidRDefault="005616F1"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60A084C9" w14:textId="77777777" w:rsidR="009B5FC2" w:rsidRPr="004508D0" w:rsidRDefault="009B5FC2" w:rsidP="009B5FC2">
      <w:pPr>
        <w:ind w:left="851" w:right="899"/>
        <w:jc w:val="both"/>
        <w:rPr>
          <w:rFonts w:ascii="Palatino Linotype" w:hAnsi="Palatino Linotype" w:cs="Arial"/>
          <w:i/>
        </w:rPr>
      </w:pPr>
      <w:r w:rsidRPr="004508D0">
        <w:rPr>
          <w:rFonts w:ascii="Palatino Linotype" w:hAnsi="Palatino Linotype" w:cs="Arial"/>
          <w:b/>
          <w:i/>
        </w:rPr>
        <w:lastRenderedPageBreak/>
        <w:t>“Artículo 178.</w:t>
      </w:r>
      <w:r w:rsidRPr="004508D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FB431C" w14:textId="77777777" w:rsidR="009E4767" w:rsidRPr="004508D0" w:rsidRDefault="009E4767" w:rsidP="009B5FC2">
      <w:pPr>
        <w:ind w:left="851" w:right="899"/>
        <w:jc w:val="both"/>
        <w:rPr>
          <w:rFonts w:ascii="Palatino Linotype" w:hAnsi="Palatino Linotype" w:cs="Arial"/>
          <w:i/>
        </w:rPr>
      </w:pPr>
    </w:p>
    <w:p w14:paraId="0912EEBC" w14:textId="77777777" w:rsidR="009B5FC2" w:rsidRPr="004508D0" w:rsidRDefault="009B5FC2" w:rsidP="009B5FC2">
      <w:pPr>
        <w:ind w:left="851" w:right="899"/>
        <w:jc w:val="both"/>
        <w:rPr>
          <w:rFonts w:ascii="Palatino Linotype" w:hAnsi="Palatino Linotype" w:cs="Arial"/>
          <w:i/>
        </w:rPr>
      </w:pPr>
      <w:r w:rsidRPr="004508D0">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65D625D" w14:textId="77777777" w:rsidR="009B5FC2" w:rsidRPr="004508D0" w:rsidRDefault="009B5FC2" w:rsidP="009B5FC2">
      <w:pPr>
        <w:ind w:left="851" w:right="899"/>
        <w:jc w:val="both"/>
        <w:rPr>
          <w:rFonts w:ascii="Palatino Linotype" w:hAnsi="Palatino Linotype" w:cs="Arial"/>
          <w:b/>
          <w:i/>
        </w:rPr>
      </w:pPr>
      <w:r w:rsidRPr="004508D0">
        <w:rPr>
          <w:rFonts w:ascii="Palatino Linotype" w:hAnsi="Palatino Linotype" w:cs="Arial"/>
          <w:i/>
        </w:rPr>
        <w:t>En el caso de que se interponga ante la Unidad de Transparencia, ésta deberá remitir el recurso de revisión al Instituto a más tardar al día siguiente de haberlo recibido.</w:t>
      </w:r>
      <w:r w:rsidRPr="004508D0">
        <w:rPr>
          <w:rFonts w:ascii="Palatino Linotype" w:hAnsi="Palatino Linotype" w:cs="Arial"/>
          <w:b/>
          <w:i/>
        </w:rPr>
        <w:t>”</w:t>
      </w:r>
    </w:p>
    <w:p w14:paraId="46B3E51A" w14:textId="77777777" w:rsidR="005616F1" w:rsidRPr="004508D0" w:rsidRDefault="005616F1" w:rsidP="009B5FC2">
      <w:pPr>
        <w:ind w:left="851" w:right="899"/>
        <w:jc w:val="both"/>
        <w:rPr>
          <w:rFonts w:ascii="Palatino Linotype" w:hAnsi="Palatino Linotype" w:cs="Arial"/>
          <w:i/>
        </w:rPr>
      </w:pPr>
    </w:p>
    <w:p w14:paraId="379348E0" w14:textId="45104B6A" w:rsidR="009B5FC2" w:rsidRPr="004508D0" w:rsidRDefault="009B5FC2" w:rsidP="009B5FC2">
      <w:pPr>
        <w:spacing w:before="100" w:beforeAutospacing="1" w:after="100" w:afterAutospacing="1" w:line="360" w:lineRule="auto"/>
        <w:jc w:val="both"/>
        <w:rPr>
          <w:rFonts w:ascii="Palatino Linotype" w:hAnsi="Palatino Linotype" w:cs="Arial"/>
          <w:lang w:val="es-ES_tradnl"/>
        </w:rPr>
      </w:pPr>
      <w:r w:rsidRPr="004508D0">
        <w:rPr>
          <w:rFonts w:ascii="Palatino Linotype" w:hAnsi="Palatino Linotype" w:cs="Arial"/>
        </w:rPr>
        <w:t xml:space="preserve">En efecto, atendiendo a que </w:t>
      </w:r>
      <w:r w:rsidRPr="004508D0">
        <w:rPr>
          <w:rFonts w:ascii="Palatino Linotype" w:hAnsi="Palatino Linotype" w:cs="Arial"/>
          <w:b/>
        </w:rPr>
        <w:t>EL SUJETO OBLIGADO</w:t>
      </w:r>
      <w:r w:rsidRPr="004508D0">
        <w:rPr>
          <w:rFonts w:ascii="Palatino Linotype" w:hAnsi="Palatino Linotype" w:cs="Arial"/>
        </w:rPr>
        <w:t xml:space="preserve"> notificó la respuesta a la solicitud de información pública el día </w:t>
      </w:r>
      <w:r w:rsidR="00377038" w:rsidRPr="004508D0">
        <w:rPr>
          <w:rFonts w:ascii="Palatino Linotype" w:hAnsi="Palatino Linotype" w:cs="Arial"/>
          <w:b/>
        </w:rPr>
        <w:t>trece</w:t>
      </w:r>
      <w:r w:rsidR="00A1527B" w:rsidRPr="004508D0">
        <w:rPr>
          <w:rFonts w:ascii="Palatino Linotype" w:hAnsi="Palatino Linotype" w:cs="Arial"/>
          <w:b/>
        </w:rPr>
        <w:t xml:space="preserve"> de octubre </w:t>
      </w:r>
      <w:r w:rsidRPr="004508D0">
        <w:rPr>
          <w:rFonts w:ascii="Palatino Linotype" w:hAnsi="Palatino Linotype" w:cs="Arial"/>
          <w:b/>
        </w:rPr>
        <w:t>de dos mil veint</w:t>
      </w:r>
      <w:r w:rsidR="00377038" w:rsidRPr="004508D0">
        <w:rPr>
          <w:rFonts w:ascii="Palatino Linotype" w:hAnsi="Palatino Linotype" w:cs="Arial"/>
          <w:b/>
        </w:rPr>
        <w:t>iuno</w:t>
      </w:r>
      <w:r w:rsidRPr="004508D0">
        <w:rPr>
          <w:rFonts w:ascii="Palatino Linotype" w:hAnsi="Palatino Linotype" w:cs="Arial"/>
        </w:rPr>
        <w:t xml:space="preserve">, el plazo de quince días hábiles que el artículo 178 de la ley de la materia otorga al hoy </w:t>
      </w:r>
      <w:r w:rsidRPr="004508D0">
        <w:rPr>
          <w:rFonts w:ascii="Palatino Linotype" w:hAnsi="Palatino Linotype" w:cs="Arial"/>
          <w:b/>
        </w:rPr>
        <w:t>RECURRENTE</w:t>
      </w:r>
      <w:r w:rsidRPr="004508D0">
        <w:rPr>
          <w:rFonts w:ascii="Palatino Linotype" w:hAnsi="Palatino Linotype" w:cs="Arial"/>
        </w:rPr>
        <w:t xml:space="preserve"> para presentar el recurso de revisión, transcurrió del </w:t>
      </w:r>
      <w:r w:rsidR="00377038" w:rsidRPr="004508D0">
        <w:rPr>
          <w:rFonts w:ascii="Palatino Linotype" w:hAnsi="Palatino Linotype" w:cs="Arial"/>
          <w:b/>
        </w:rPr>
        <w:t>catorce de octubre</w:t>
      </w:r>
      <w:r w:rsidR="00A1527B" w:rsidRPr="004508D0">
        <w:rPr>
          <w:rFonts w:ascii="Palatino Linotype" w:hAnsi="Palatino Linotype" w:cs="Arial"/>
          <w:b/>
        </w:rPr>
        <w:t xml:space="preserve"> al </w:t>
      </w:r>
      <w:r w:rsidR="00377038" w:rsidRPr="004508D0">
        <w:rPr>
          <w:rFonts w:ascii="Palatino Linotype" w:hAnsi="Palatino Linotype" w:cs="Arial"/>
          <w:b/>
        </w:rPr>
        <w:t>cuatro de noviembre</w:t>
      </w:r>
      <w:r w:rsidR="00A1527B" w:rsidRPr="004508D0">
        <w:rPr>
          <w:rFonts w:ascii="Palatino Linotype" w:hAnsi="Palatino Linotype" w:cs="Arial"/>
          <w:b/>
        </w:rPr>
        <w:t xml:space="preserve"> d</w:t>
      </w:r>
      <w:r w:rsidR="00377038" w:rsidRPr="004508D0">
        <w:rPr>
          <w:rFonts w:ascii="Palatino Linotype" w:hAnsi="Palatino Linotype" w:cs="Arial"/>
          <w:b/>
        </w:rPr>
        <w:t>e dos mil veintiuno</w:t>
      </w:r>
      <w:r w:rsidRPr="004508D0">
        <w:rPr>
          <w:rFonts w:ascii="Palatino Linotype" w:hAnsi="Palatino Linotype" w:cs="Arial"/>
          <w:b/>
        </w:rPr>
        <w:t xml:space="preserve">, </w:t>
      </w:r>
      <w:r w:rsidRPr="004508D0">
        <w:rPr>
          <w:rFonts w:ascii="Palatino Linotype" w:hAnsi="Palatino Linotype" w:cs="Arial"/>
          <w:lang w:val="es-ES_tradnl"/>
        </w:rPr>
        <w:t xml:space="preserve">sin contemplar en el cómputo los días </w:t>
      </w:r>
      <w:r w:rsidR="00FF7CFF" w:rsidRPr="004508D0">
        <w:rPr>
          <w:rFonts w:ascii="Palatino Linotype" w:hAnsi="Palatino Linotype" w:cs="Arial"/>
          <w:lang w:val="es-ES_tradnl"/>
        </w:rPr>
        <w:t>16, 17, 23, 24, 30 y 31</w:t>
      </w:r>
      <w:r w:rsidR="00A1527B" w:rsidRPr="004508D0">
        <w:rPr>
          <w:rFonts w:ascii="Palatino Linotype" w:hAnsi="Palatino Linotype" w:cs="Arial"/>
          <w:lang w:val="es-ES_tradnl"/>
        </w:rPr>
        <w:t xml:space="preserve"> de octubre del presente año, </w:t>
      </w:r>
      <w:r w:rsidRPr="004508D0">
        <w:rPr>
          <w:rFonts w:ascii="Palatino Linotype" w:hAnsi="Palatino Linotype" w:cs="Arial"/>
          <w:lang w:val="es-ES_tradnl"/>
        </w:rPr>
        <w:t>por corresponder a sábados y domingos</w:t>
      </w:r>
      <w:r w:rsidRPr="004508D0">
        <w:rPr>
          <w:rFonts w:ascii="Palatino Linotype" w:hAnsi="Palatino Linotype" w:cs="Arial"/>
        </w:rPr>
        <w:t xml:space="preserve">, considerados como días inhábiles, en términos del artículo 3, fracción X de la </w:t>
      </w:r>
      <w:r w:rsidRPr="004508D0">
        <w:rPr>
          <w:rFonts w:ascii="Palatino Linotype" w:hAnsi="Palatino Linotype"/>
        </w:rPr>
        <w:t xml:space="preserve">Ley de Transparencia y Acceso a la Información Pública del Estado de México y Municipios; así como, </w:t>
      </w:r>
      <w:r w:rsidRPr="004508D0">
        <w:rPr>
          <w:rFonts w:ascii="Palatino Linotype" w:hAnsi="Palatino Linotype"/>
          <w:color w:val="000000" w:themeColor="text1"/>
        </w:rPr>
        <w:t xml:space="preserve">en términos del </w:t>
      </w:r>
      <w:r w:rsidRPr="004508D0">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w:t>
      </w:r>
      <w:r w:rsidR="00724A05" w:rsidRPr="004508D0">
        <w:rPr>
          <w:rFonts w:ascii="Palatino Linotype" w:hAnsi="Palatino Linotype" w:cs="Arial"/>
          <w:color w:val="000000" w:themeColor="text1"/>
        </w:rPr>
        <w:t>veinte</w:t>
      </w:r>
      <w:r w:rsidRPr="004508D0">
        <w:rPr>
          <w:rFonts w:ascii="Palatino Linotype" w:hAnsi="Palatino Linotype" w:cs="Arial"/>
          <w:color w:val="000000" w:themeColor="text1"/>
        </w:rPr>
        <w:t>.</w:t>
      </w:r>
    </w:p>
    <w:p w14:paraId="285F90F8" w14:textId="35669E57" w:rsidR="009B5FC2" w:rsidRPr="004508D0" w:rsidRDefault="009B5FC2" w:rsidP="009B5FC2">
      <w:pPr>
        <w:pStyle w:val="Prrafodelista"/>
        <w:widowControl w:val="0"/>
        <w:autoSpaceDE w:val="0"/>
        <w:autoSpaceDN w:val="0"/>
        <w:adjustRightInd w:val="0"/>
        <w:spacing w:before="120" w:after="120" w:line="360" w:lineRule="auto"/>
        <w:ind w:left="0"/>
        <w:jc w:val="both"/>
        <w:rPr>
          <w:rFonts w:ascii="Palatino Linotype" w:hAnsi="Palatino Linotype"/>
        </w:rPr>
      </w:pPr>
      <w:r w:rsidRPr="004508D0">
        <w:rPr>
          <w:rFonts w:ascii="Palatino Linotype" w:hAnsi="Palatino Linotype"/>
        </w:rPr>
        <w:t xml:space="preserve">En ese tenor, si el recurso de revisión que nos ocupa, se interpuso el </w:t>
      </w:r>
      <w:r w:rsidR="007856D7" w:rsidRPr="004508D0">
        <w:rPr>
          <w:rFonts w:ascii="Palatino Linotype" w:hAnsi="Palatino Linotype"/>
          <w:b/>
        </w:rPr>
        <w:t>quince</w:t>
      </w:r>
      <w:r w:rsidRPr="004508D0">
        <w:rPr>
          <w:rFonts w:ascii="Palatino Linotype" w:hAnsi="Palatino Linotype"/>
          <w:b/>
        </w:rPr>
        <w:t xml:space="preserve"> de octubre </w:t>
      </w:r>
      <w:r w:rsidRPr="004508D0">
        <w:rPr>
          <w:rFonts w:ascii="Palatino Linotype" w:hAnsi="Palatino Linotype"/>
          <w:b/>
        </w:rPr>
        <w:lastRenderedPageBreak/>
        <w:t>de dos mil veint</w:t>
      </w:r>
      <w:r w:rsidR="007856D7" w:rsidRPr="004508D0">
        <w:rPr>
          <w:rFonts w:ascii="Palatino Linotype" w:hAnsi="Palatino Linotype"/>
          <w:b/>
        </w:rPr>
        <w:t>iuno</w:t>
      </w:r>
      <w:r w:rsidRPr="004508D0">
        <w:rPr>
          <w:rFonts w:ascii="Palatino Linotype" w:hAnsi="Palatino Linotype"/>
        </w:rPr>
        <w:t>, éste se encuentra dentro de los márgenes temporales previstos en el citado precepto legal y, por tanto, su interposición</w:t>
      </w:r>
      <w:r w:rsidR="001D073F" w:rsidRPr="004508D0">
        <w:rPr>
          <w:rFonts w:ascii="Palatino Linotype" w:hAnsi="Palatino Linotype"/>
        </w:rPr>
        <w:t xml:space="preserve"> se</w:t>
      </w:r>
      <w:r w:rsidRPr="004508D0">
        <w:rPr>
          <w:rFonts w:ascii="Palatino Linotype" w:hAnsi="Palatino Linotype"/>
        </w:rPr>
        <w:t xml:space="preserve"> considera oportuna.</w:t>
      </w:r>
    </w:p>
    <w:p w14:paraId="75493A87" w14:textId="77777777" w:rsidR="009B5FC2" w:rsidRPr="004508D0"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4508D0">
        <w:rPr>
          <w:rFonts w:ascii="Palatino Linotype" w:hAnsi="Palatino Linotype" w:cs="Arial"/>
          <w:b/>
          <w:sz w:val="28"/>
          <w:szCs w:val="28"/>
        </w:rPr>
        <w:t>CUARTO</w:t>
      </w:r>
      <w:r w:rsidRPr="004508D0">
        <w:rPr>
          <w:rFonts w:ascii="Palatino Linotype" w:hAnsi="Palatino Linotype" w:cs="Arial"/>
          <w:b/>
        </w:rPr>
        <w:t xml:space="preserve">. </w:t>
      </w:r>
      <w:r w:rsidRPr="004508D0">
        <w:rPr>
          <w:rFonts w:ascii="Palatino Linotype" w:hAnsi="Palatino Linotype" w:cs="Arial"/>
          <w:b/>
          <w:szCs w:val="28"/>
        </w:rPr>
        <w:t xml:space="preserve">Procedibilidad. </w:t>
      </w:r>
      <w:r w:rsidRPr="004508D0">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4508D0">
        <w:rPr>
          <w:rFonts w:ascii="Palatino Linotype" w:hAnsi="Palatino Linotype" w:cs="Arial"/>
          <w:b/>
          <w:szCs w:val="28"/>
        </w:rPr>
        <w:t>SAIMEX.</w:t>
      </w:r>
    </w:p>
    <w:p w14:paraId="15575557" w14:textId="77777777" w:rsidR="009B5FC2" w:rsidRPr="004508D0" w:rsidRDefault="009B5FC2" w:rsidP="009B5FC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4508D0">
        <w:rPr>
          <w:rFonts w:ascii="Palatino Linotype" w:hAnsi="Palatino Linotype"/>
          <w:b/>
          <w:sz w:val="28"/>
          <w:szCs w:val="20"/>
          <w:lang w:val="es-ES_tradnl"/>
        </w:rPr>
        <w:t xml:space="preserve">QUINTO. </w:t>
      </w:r>
      <w:r w:rsidRPr="004508D0">
        <w:rPr>
          <w:rFonts w:ascii="Palatino Linotype" w:eastAsiaTheme="minorEastAsia" w:hAnsi="Palatino Linotype" w:cs="Arial"/>
          <w:b/>
          <w:lang w:val="es-ES_tradnl"/>
        </w:rPr>
        <w:t>Análisis de causal de sobreseimiento.</w:t>
      </w:r>
      <w:r w:rsidRPr="004508D0">
        <w:rPr>
          <w:rFonts w:ascii="Palatino Linotype" w:eastAsia="Arial Unicode MS" w:hAnsi="Palatino Linotype" w:cs="Arial"/>
        </w:rPr>
        <w:t xml:space="preserve"> </w:t>
      </w:r>
      <w:r w:rsidRPr="004508D0">
        <w:rPr>
          <w:rFonts w:ascii="Palatino Linotype" w:hAnsi="Palatino Linotype" w:cs="Arial"/>
        </w:rPr>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5271ADAA" w14:textId="77777777" w:rsidR="009B5FC2" w:rsidRPr="004508D0" w:rsidRDefault="009B5FC2" w:rsidP="009E4767">
      <w:pPr>
        <w:ind w:left="851" w:right="899"/>
        <w:jc w:val="both"/>
        <w:rPr>
          <w:rFonts w:ascii="Palatino Linotype" w:hAnsi="Palatino Linotype" w:cs="Arial"/>
          <w:i/>
          <w:sz w:val="22"/>
          <w:szCs w:val="22"/>
        </w:rPr>
      </w:pPr>
      <w:r w:rsidRPr="004508D0">
        <w:rPr>
          <w:rFonts w:ascii="Palatino Linotype" w:hAnsi="Palatino Linotype" w:cs="Arial"/>
          <w:i/>
          <w:sz w:val="22"/>
          <w:szCs w:val="22"/>
        </w:rPr>
        <w:t>“</w:t>
      </w:r>
      <w:r w:rsidRPr="004508D0">
        <w:rPr>
          <w:rFonts w:ascii="Palatino Linotype" w:hAnsi="Palatino Linotype" w:cs="Arial"/>
          <w:b/>
          <w:i/>
          <w:sz w:val="22"/>
          <w:szCs w:val="22"/>
        </w:rPr>
        <w:t>Artículo 191</w:t>
      </w:r>
      <w:r w:rsidRPr="004508D0">
        <w:rPr>
          <w:rFonts w:ascii="Palatino Linotype" w:hAnsi="Palatino Linotype" w:cs="Arial"/>
          <w:i/>
          <w:sz w:val="22"/>
          <w:szCs w:val="22"/>
        </w:rPr>
        <w:t>. El recurso será desechado por improcedente cuando:</w:t>
      </w:r>
    </w:p>
    <w:p w14:paraId="6E204266" w14:textId="77777777" w:rsidR="009B5FC2" w:rsidRPr="004508D0" w:rsidRDefault="009B5FC2" w:rsidP="009E4767">
      <w:pPr>
        <w:ind w:left="851" w:right="899"/>
        <w:jc w:val="both"/>
        <w:rPr>
          <w:rFonts w:ascii="Palatino Linotype" w:hAnsi="Palatino Linotype" w:cs="Arial"/>
          <w:i/>
          <w:sz w:val="22"/>
          <w:szCs w:val="22"/>
        </w:rPr>
      </w:pPr>
    </w:p>
    <w:p w14:paraId="66A0359E" w14:textId="77777777" w:rsidR="009B5FC2" w:rsidRPr="004508D0" w:rsidRDefault="009B5FC2" w:rsidP="009E4767">
      <w:pPr>
        <w:ind w:left="851" w:right="899"/>
        <w:jc w:val="both"/>
        <w:rPr>
          <w:rFonts w:ascii="Palatino Linotype" w:hAnsi="Palatino Linotype" w:cs="Arial"/>
          <w:i/>
          <w:sz w:val="22"/>
          <w:szCs w:val="22"/>
        </w:rPr>
      </w:pPr>
      <w:r w:rsidRPr="004508D0">
        <w:rPr>
          <w:rFonts w:ascii="Palatino Linotype" w:hAnsi="Palatino Linotype" w:cs="Arial"/>
          <w:b/>
          <w:i/>
          <w:sz w:val="22"/>
          <w:szCs w:val="22"/>
        </w:rPr>
        <w:t>III.</w:t>
      </w:r>
      <w:r w:rsidRPr="004508D0">
        <w:rPr>
          <w:rFonts w:ascii="Palatino Linotype" w:hAnsi="Palatino Linotype" w:cs="Arial"/>
          <w:b/>
          <w:i/>
          <w:sz w:val="22"/>
          <w:szCs w:val="22"/>
        </w:rPr>
        <w:tab/>
        <w:t>No actualice alguno de los supuestos previstos en la presente Ley</w:t>
      </w:r>
      <w:r w:rsidRPr="004508D0">
        <w:rPr>
          <w:rFonts w:ascii="Palatino Linotype" w:hAnsi="Palatino Linotype" w:cs="Arial"/>
          <w:i/>
          <w:sz w:val="22"/>
          <w:szCs w:val="22"/>
        </w:rPr>
        <w:t>;</w:t>
      </w:r>
    </w:p>
    <w:p w14:paraId="2B35E443" w14:textId="77777777" w:rsidR="009B5FC2" w:rsidRPr="004508D0" w:rsidRDefault="009B5FC2" w:rsidP="009E4767">
      <w:pPr>
        <w:ind w:left="851" w:right="899"/>
        <w:jc w:val="both"/>
        <w:rPr>
          <w:rFonts w:ascii="Palatino Linotype" w:hAnsi="Palatino Linotype" w:cs="Arial"/>
          <w:i/>
          <w:sz w:val="22"/>
          <w:szCs w:val="22"/>
        </w:rPr>
      </w:pPr>
      <w:r w:rsidRPr="004508D0">
        <w:rPr>
          <w:rFonts w:ascii="Palatino Linotype" w:hAnsi="Palatino Linotype" w:cs="Arial"/>
          <w:i/>
          <w:sz w:val="22"/>
          <w:szCs w:val="22"/>
        </w:rPr>
        <w:t>…</w:t>
      </w:r>
    </w:p>
    <w:p w14:paraId="4D82AD77" w14:textId="77777777" w:rsidR="009B5FC2" w:rsidRPr="004508D0" w:rsidRDefault="009B5FC2" w:rsidP="009E4767">
      <w:pPr>
        <w:ind w:left="851" w:right="899"/>
        <w:jc w:val="both"/>
        <w:rPr>
          <w:rFonts w:ascii="Palatino Linotype" w:hAnsi="Palatino Linotype" w:cs="Arial"/>
          <w:i/>
          <w:sz w:val="22"/>
          <w:szCs w:val="22"/>
        </w:rPr>
      </w:pPr>
    </w:p>
    <w:p w14:paraId="294580E1" w14:textId="77777777" w:rsidR="009B5FC2" w:rsidRPr="004508D0" w:rsidRDefault="009B5FC2" w:rsidP="009E4767">
      <w:pPr>
        <w:ind w:left="851" w:right="899"/>
        <w:jc w:val="both"/>
        <w:rPr>
          <w:rFonts w:ascii="Palatino Linotype" w:hAnsi="Palatino Linotype" w:cs="Arial"/>
          <w:sz w:val="22"/>
          <w:szCs w:val="22"/>
        </w:rPr>
      </w:pPr>
      <w:r w:rsidRPr="004508D0">
        <w:rPr>
          <w:rFonts w:ascii="Palatino Linotype" w:hAnsi="Palatino Linotype" w:cs="Arial"/>
          <w:sz w:val="22"/>
          <w:szCs w:val="22"/>
        </w:rPr>
        <w:t>(Énfasis añadido)</w:t>
      </w:r>
    </w:p>
    <w:p w14:paraId="7EDC4E36" w14:textId="77777777" w:rsidR="00874B3E" w:rsidRPr="004508D0" w:rsidRDefault="00874B3E" w:rsidP="00874B3E">
      <w:pPr>
        <w:spacing w:line="360" w:lineRule="auto"/>
        <w:ind w:right="49"/>
        <w:jc w:val="both"/>
        <w:rPr>
          <w:rFonts w:ascii="Palatino Linotype" w:hAnsi="Palatino Linotype" w:cs="Arial"/>
        </w:rPr>
      </w:pPr>
    </w:p>
    <w:p w14:paraId="01E10B30" w14:textId="552C20F8" w:rsidR="00874B3E" w:rsidRPr="004508D0" w:rsidRDefault="00874B3E" w:rsidP="00874B3E">
      <w:pPr>
        <w:spacing w:line="360" w:lineRule="auto"/>
        <w:ind w:right="49"/>
        <w:jc w:val="both"/>
        <w:rPr>
          <w:rFonts w:ascii="Palatino Linotype" w:hAnsi="Palatino Linotype" w:cs="Arial"/>
        </w:rPr>
      </w:pPr>
      <w:r w:rsidRPr="004508D0">
        <w:rPr>
          <w:rFonts w:ascii="Palatino Linotype" w:hAnsi="Palatino Linotype" w:cs="Arial"/>
        </w:rPr>
        <w:t xml:space="preserve">En adición a lo anterior, y en correlación con el ordinal que antecede, conviene traer a contexto el diverso 192 en su fracción IV, que refiere que una vez admitido el recurso de revisión y se desprende alguna causal de improcedencia, resulta procedente el </w:t>
      </w:r>
      <w:r w:rsidRPr="004508D0">
        <w:rPr>
          <w:rFonts w:ascii="Palatino Linotype" w:hAnsi="Palatino Linotype" w:cs="Arial"/>
          <w:b/>
        </w:rPr>
        <w:t>decretar el sobreseimiento</w:t>
      </w:r>
      <w:r w:rsidRPr="004508D0">
        <w:rPr>
          <w:rFonts w:ascii="Palatino Linotype" w:hAnsi="Palatino Linotype" w:cs="Arial"/>
        </w:rPr>
        <w:t xml:space="preserve"> del medio de impugnación de que se trate.</w:t>
      </w:r>
    </w:p>
    <w:p w14:paraId="137DAA4B" w14:textId="456421B3" w:rsidR="00874B3E" w:rsidRPr="004508D0" w:rsidRDefault="009B5FC2" w:rsidP="009B5FC2">
      <w:pPr>
        <w:autoSpaceDE w:val="0"/>
        <w:autoSpaceDN w:val="0"/>
        <w:adjustRightInd w:val="0"/>
        <w:spacing w:before="100" w:beforeAutospacing="1" w:after="100" w:afterAutospacing="1" w:line="360" w:lineRule="auto"/>
        <w:jc w:val="both"/>
        <w:rPr>
          <w:rFonts w:ascii="Palatino Linotype" w:hAnsi="Palatino Linotype" w:cs="Arial"/>
        </w:rPr>
      </w:pPr>
      <w:r w:rsidRPr="004508D0">
        <w:rPr>
          <w:rFonts w:ascii="Palatino Linotype" w:hAnsi="Palatino Linotype" w:cs="Arial"/>
        </w:rPr>
        <w:lastRenderedPageBreak/>
        <w:t xml:space="preserve">Para efecto de ilustrar lo anterior, se advierte que </w:t>
      </w:r>
      <w:r w:rsidR="00A1527B" w:rsidRPr="004508D0">
        <w:rPr>
          <w:rFonts w:ascii="Palatino Linotype" w:hAnsi="Palatino Linotype" w:cs="Arial"/>
          <w:b/>
        </w:rPr>
        <w:t>EL</w:t>
      </w:r>
      <w:r w:rsidRPr="004508D0">
        <w:rPr>
          <w:rFonts w:ascii="Palatino Linotype" w:hAnsi="Palatino Linotype" w:cs="Arial"/>
          <w:b/>
        </w:rPr>
        <w:t xml:space="preserve"> RECURRENTE</w:t>
      </w:r>
      <w:r w:rsidRPr="004508D0">
        <w:rPr>
          <w:rFonts w:ascii="Palatino Linotype" w:hAnsi="Palatino Linotype" w:cs="Arial"/>
        </w:rPr>
        <w:t xml:space="preserve"> en </w:t>
      </w:r>
      <w:r w:rsidR="00A1527B" w:rsidRPr="004508D0">
        <w:rPr>
          <w:rFonts w:ascii="Palatino Linotype" w:hAnsi="Palatino Linotype" w:cs="Arial"/>
        </w:rPr>
        <w:t xml:space="preserve">el formato de la </w:t>
      </w:r>
      <w:r w:rsidRPr="004508D0">
        <w:rPr>
          <w:rFonts w:ascii="Palatino Linotype" w:hAnsi="Palatino Linotype" w:cs="Arial"/>
        </w:rPr>
        <w:t xml:space="preserve">solicitud de acceso a información pública, </w:t>
      </w:r>
      <w:r w:rsidR="00A1527B" w:rsidRPr="004508D0">
        <w:rPr>
          <w:rFonts w:ascii="Palatino Linotype" w:hAnsi="Palatino Linotype" w:cs="Arial"/>
        </w:rPr>
        <w:t>al momento de requisitarlo refirió</w:t>
      </w:r>
      <w:r w:rsidR="00B50936" w:rsidRPr="004508D0">
        <w:rPr>
          <w:rFonts w:ascii="Palatino Linotype" w:hAnsi="Palatino Linotype" w:cs="Arial"/>
        </w:rPr>
        <w:t xml:space="preserve"> lo siguiente:</w:t>
      </w:r>
      <w:r w:rsidR="00A1527B" w:rsidRPr="004508D0">
        <w:rPr>
          <w:rFonts w:ascii="Palatino Linotype" w:hAnsi="Palatino Linotype" w:cs="Arial"/>
        </w:rPr>
        <w:t xml:space="preserve"> </w:t>
      </w:r>
    </w:p>
    <w:p w14:paraId="6141F29A" w14:textId="3A04F455" w:rsidR="0016681B" w:rsidRPr="004508D0" w:rsidRDefault="0016681B" w:rsidP="00A3409A">
      <w:pPr>
        <w:autoSpaceDE w:val="0"/>
        <w:autoSpaceDN w:val="0"/>
        <w:adjustRightInd w:val="0"/>
        <w:spacing w:before="100" w:beforeAutospacing="1" w:after="100" w:afterAutospacing="1"/>
        <w:ind w:left="851" w:right="902"/>
        <w:jc w:val="both"/>
        <w:rPr>
          <w:rFonts w:ascii="Palatino Linotype" w:hAnsi="Palatino Linotype"/>
          <w:i/>
          <w:color w:val="000000"/>
          <w:sz w:val="22"/>
          <w:szCs w:val="22"/>
        </w:rPr>
      </w:pPr>
      <w:r w:rsidRPr="004508D0">
        <w:rPr>
          <w:rFonts w:ascii="Palatino Linotype" w:hAnsi="Palatino Linotype"/>
          <w:i/>
          <w:color w:val="000000"/>
          <w:sz w:val="22"/>
          <w:szCs w:val="22"/>
        </w:rPr>
        <w:t>Solicito me sea informado la fecha en que me será entregado mi finiquito, debido a que en diversas ocasiones me apersone en la Dirección de Administración y la Tesorería Municipal y me dan evasivas sobre la situación en la que se encuentra, no obstante que se solicitó previamente por oficio. Se adjunta evidencia.” (Sic)</w:t>
      </w:r>
    </w:p>
    <w:p w14:paraId="192205DA" w14:textId="77777777" w:rsidR="005616F1" w:rsidRPr="004508D0" w:rsidRDefault="005616F1" w:rsidP="00A3409A">
      <w:pPr>
        <w:autoSpaceDE w:val="0"/>
        <w:autoSpaceDN w:val="0"/>
        <w:adjustRightInd w:val="0"/>
        <w:spacing w:before="100" w:beforeAutospacing="1" w:after="100" w:afterAutospacing="1"/>
        <w:ind w:left="851" w:right="902"/>
        <w:jc w:val="both"/>
        <w:rPr>
          <w:rFonts w:ascii="Palatino Linotype" w:hAnsi="Palatino Linotype" w:cs="Arial"/>
        </w:rPr>
      </w:pPr>
    </w:p>
    <w:p w14:paraId="17E7F781" w14:textId="2559364F" w:rsidR="008C15B0" w:rsidRPr="004508D0" w:rsidRDefault="009B5FC2" w:rsidP="009B5FC2">
      <w:pPr>
        <w:spacing w:before="100" w:beforeAutospacing="1" w:after="100" w:afterAutospacing="1" w:line="360" w:lineRule="auto"/>
        <w:jc w:val="both"/>
        <w:rPr>
          <w:rFonts w:ascii="Palatino Linotype" w:hAnsi="Palatino Linotype" w:cs="Arial"/>
          <w:color w:val="000000"/>
        </w:rPr>
      </w:pPr>
      <w:r w:rsidRPr="004508D0">
        <w:rPr>
          <w:rFonts w:ascii="Palatino Linotype" w:hAnsi="Palatino Linotype" w:cs="Arial"/>
        </w:rPr>
        <w:t xml:space="preserve">Precisado lo anterior, </w:t>
      </w:r>
      <w:r w:rsidRPr="004508D0">
        <w:rPr>
          <w:rFonts w:ascii="Palatino Linotype" w:hAnsi="Palatino Linotype" w:cs="Arial"/>
          <w:b/>
          <w:color w:val="000000"/>
        </w:rPr>
        <w:t>EL SUJETO OBLIGADO</w:t>
      </w:r>
      <w:r w:rsidRPr="004508D0">
        <w:rPr>
          <w:rFonts w:ascii="Palatino Linotype" w:hAnsi="Palatino Linotype" w:cs="Arial"/>
          <w:color w:val="000000"/>
        </w:rPr>
        <w:t xml:space="preserve"> </w:t>
      </w:r>
      <w:r w:rsidR="003F3E09" w:rsidRPr="004508D0">
        <w:rPr>
          <w:rFonts w:ascii="Palatino Linotype" w:hAnsi="Palatino Linotype" w:cs="Arial"/>
          <w:color w:val="000000"/>
        </w:rPr>
        <w:t xml:space="preserve">refirió </w:t>
      </w:r>
      <w:r w:rsidR="003F3E09" w:rsidRPr="004508D0">
        <w:rPr>
          <w:rFonts w:ascii="Palatino Linotype" w:hAnsi="Palatino Linotype" w:cs="Arial"/>
          <w:color w:val="000000"/>
          <w:u w:val="single"/>
        </w:rPr>
        <w:t>medularmente</w:t>
      </w:r>
      <w:r w:rsidR="003F3E09" w:rsidRPr="004508D0">
        <w:rPr>
          <w:rFonts w:ascii="Palatino Linotype" w:hAnsi="Palatino Linotype" w:cs="Arial"/>
          <w:color w:val="000000"/>
        </w:rPr>
        <w:t xml:space="preserve"> lo siguiente:</w:t>
      </w:r>
    </w:p>
    <w:p w14:paraId="566351D0" w14:textId="4897C762" w:rsidR="0016681B" w:rsidRPr="004508D0" w:rsidRDefault="00A3409A" w:rsidP="00A3409A">
      <w:pPr>
        <w:autoSpaceDE w:val="0"/>
        <w:autoSpaceDN w:val="0"/>
        <w:adjustRightInd w:val="0"/>
        <w:ind w:left="851" w:right="902"/>
        <w:jc w:val="both"/>
        <w:rPr>
          <w:rFonts w:ascii="Futura-Medium" w:eastAsiaTheme="minorHAnsi" w:hAnsi="Futura-Medium" w:cs="Futura-Medium"/>
          <w:i/>
          <w:lang w:eastAsia="en-US"/>
        </w:rPr>
      </w:pPr>
      <w:r w:rsidRPr="004508D0">
        <w:rPr>
          <w:rFonts w:ascii="Palatino Linotype" w:eastAsiaTheme="minorHAnsi" w:hAnsi="Palatino Linotype" w:cs="Futura-Medium"/>
          <w:i/>
          <w:sz w:val="22"/>
          <w:szCs w:val="22"/>
          <w:lang w:eastAsia="en-US"/>
        </w:rPr>
        <w:t>Del</w:t>
      </w:r>
      <w:r w:rsidR="003F3E09" w:rsidRPr="004508D0">
        <w:rPr>
          <w:rFonts w:ascii="Palatino Linotype" w:eastAsiaTheme="minorHAnsi" w:hAnsi="Palatino Linotype" w:cs="Futura-Medium"/>
          <w:i/>
          <w:sz w:val="22"/>
          <w:szCs w:val="22"/>
          <w:lang w:eastAsia="en-US"/>
        </w:rPr>
        <w:t xml:space="preserve"> análisis correspondiente, se determinó que si bien fundamenta su solicitud en la Ley de Transparencia y Acceso a la Información Pública del Estado de México y Municipios, equivoca el derecho de acceso a la información pública con el de petición, motivo por el cual se debe considerar como necesario señalar que la naturaleza de la atención a las solicitudes de información radica en lo estatuido por el artículo 6º de la Constitución Política de los Estados Unidos Mexicanos, mismo que dispone los principios relativos a la publicidad de la información, así como las restricciones de la misma</w:t>
      </w:r>
      <w:r w:rsidR="003F3E09" w:rsidRPr="004508D0">
        <w:rPr>
          <w:rFonts w:ascii="Futura-Medium" w:eastAsiaTheme="minorHAnsi" w:hAnsi="Futura-Medium" w:cs="Futura-Medium"/>
          <w:i/>
          <w:lang w:eastAsia="en-US"/>
        </w:rPr>
        <w:t>.</w:t>
      </w:r>
    </w:p>
    <w:p w14:paraId="01C8E3A8" w14:textId="77777777" w:rsidR="00A3409A" w:rsidRPr="004508D0" w:rsidRDefault="00A3409A" w:rsidP="00A3409A">
      <w:pPr>
        <w:autoSpaceDE w:val="0"/>
        <w:autoSpaceDN w:val="0"/>
        <w:adjustRightInd w:val="0"/>
        <w:ind w:left="851" w:right="902"/>
        <w:jc w:val="both"/>
        <w:rPr>
          <w:rFonts w:ascii="Palatino Linotype" w:hAnsi="Palatino Linotype" w:cs="Arial"/>
          <w:i/>
          <w:color w:val="000000"/>
        </w:rPr>
      </w:pPr>
    </w:p>
    <w:p w14:paraId="2CF3B486" w14:textId="43252F58" w:rsidR="003F3E09" w:rsidRPr="004508D0" w:rsidRDefault="00A3409A" w:rsidP="00A3409A">
      <w:pPr>
        <w:autoSpaceDE w:val="0"/>
        <w:autoSpaceDN w:val="0"/>
        <w:adjustRightInd w:val="0"/>
        <w:ind w:left="851" w:right="899"/>
        <w:jc w:val="both"/>
        <w:rPr>
          <w:rFonts w:ascii="Palatino Linotype" w:eastAsiaTheme="minorHAnsi" w:hAnsi="Palatino Linotype" w:cs="Futura-Medium"/>
          <w:i/>
          <w:sz w:val="22"/>
          <w:szCs w:val="22"/>
          <w:lang w:eastAsia="en-US"/>
        </w:rPr>
      </w:pPr>
      <w:r w:rsidRPr="004508D0">
        <w:rPr>
          <w:rFonts w:ascii="Palatino Linotype" w:eastAsiaTheme="minorHAnsi" w:hAnsi="Palatino Linotype" w:cs="Futura-Medium"/>
          <w:i/>
          <w:sz w:val="22"/>
          <w:szCs w:val="22"/>
          <w:lang w:eastAsia="en-US"/>
        </w:rPr>
        <w:t>E</w:t>
      </w:r>
      <w:r w:rsidR="003F3E09" w:rsidRPr="004508D0">
        <w:rPr>
          <w:rFonts w:ascii="Palatino Linotype" w:eastAsiaTheme="minorHAnsi" w:hAnsi="Palatino Linotype" w:cs="Futura-Medium"/>
          <w:i/>
          <w:sz w:val="22"/>
          <w:szCs w:val="22"/>
          <w:lang w:eastAsia="en-US"/>
        </w:rPr>
        <w:t>n la solicitud que nos ocupa, estamos ante la presencia del</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derecho de petición, reconocido por el artículo 8º de Constitución Política de los</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Estados Unidos Mexicanos.</w:t>
      </w:r>
    </w:p>
    <w:p w14:paraId="19C20A64" w14:textId="77777777" w:rsidR="00A3409A" w:rsidRPr="004508D0" w:rsidRDefault="00A3409A" w:rsidP="00A3409A">
      <w:pPr>
        <w:autoSpaceDE w:val="0"/>
        <w:autoSpaceDN w:val="0"/>
        <w:adjustRightInd w:val="0"/>
        <w:ind w:left="851" w:right="899"/>
        <w:jc w:val="both"/>
        <w:rPr>
          <w:rFonts w:ascii="Palatino Linotype" w:eastAsiaTheme="minorHAnsi" w:hAnsi="Palatino Linotype" w:cs="Futura-Medium"/>
          <w:i/>
          <w:sz w:val="22"/>
          <w:szCs w:val="22"/>
          <w:lang w:eastAsia="en-US"/>
        </w:rPr>
      </w:pPr>
    </w:p>
    <w:p w14:paraId="3B4677CC" w14:textId="14DDF3DC" w:rsidR="0016681B" w:rsidRPr="004508D0" w:rsidRDefault="00A3409A" w:rsidP="00A3409A">
      <w:pPr>
        <w:autoSpaceDE w:val="0"/>
        <w:autoSpaceDN w:val="0"/>
        <w:adjustRightInd w:val="0"/>
        <w:ind w:left="851" w:right="899"/>
        <w:jc w:val="both"/>
        <w:rPr>
          <w:rFonts w:ascii="Palatino Linotype" w:hAnsi="Palatino Linotype" w:cs="Arial"/>
          <w:i/>
          <w:color w:val="000000"/>
          <w:sz w:val="22"/>
          <w:szCs w:val="22"/>
        </w:rPr>
      </w:pPr>
      <w:r w:rsidRPr="004508D0">
        <w:rPr>
          <w:rFonts w:ascii="Palatino Linotype" w:eastAsiaTheme="minorHAnsi" w:hAnsi="Palatino Linotype" w:cs="Futura-Medium"/>
          <w:i/>
          <w:sz w:val="22"/>
          <w:szCs w:val="22"/>
          <w:lang w:eastAsia="en-US"/>
        </w:rPr>
        <w:t>S</w:t>
      </w:r>
      <w:r w:rsidR="003F3E09" w:rsidRPr="004508D0">
        <w:rPr>
          <w:rFonts w:ascii="Palatino Linotype" w:eastAsiaTheme="minorHAnsi" w:hAnsi="Palatino Linotype" w:cs="Futura-Medium"/>
          <w:i/>
          <w:sz w:val="22"/>
          <w:szCs w:val="22"/>
          <w:lang w:eastAsia="en-US"/>
        </w:rPr>
        <w:t>e puede concluir que la distinción entre el derecho de petición</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y el derecho de acceso a la información pública estriba, principalmente, en que</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en el primero, la pretensión del peticionario consiste de manera general en</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obligar a la autoridad responsable a que actúe en el sentido de contestar lo</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solicitado, mientras que en el segundo, al acceso a los documentos que obran en</w:t>
      </w:r>
      <w:r w:rsidRPr="004508D0">
        <w:rPr>
          <w:rFonts w:ascii="Palatino Linotype" w:eastAsiaTheme="minorHAnsi" w:hAnsi="Palatino Linotype" w:cs="Futura-Medium"/>
          <w:i/>
          <w:sz w:val="22"/>
          <w:szCs w:val="22"/>
          <w:lang w:eastAsia="en-US"/>
        </w:rPr>
        <w:t xml:space="preserve"> </w:t>
      </w:r>
      <w:r w:rsidR="003F3E09" w:rsidRPr="004508D0">
        <w:rPr>
          <w:rFonts w:ascii="Palatino Linotype" w:eastAsiaTheme="minorHAnsi" w:hAnsi="Palatino Linotype" w:cs="Futura-Medium"/>
          <w:i/>
          <w:sz w:val="22"/>
          <w:szCs w:val="22"/>
          <w:lang w:eastAsia="en-US"/>
        </w:rPr>
        <w:t>los archivos.</w:t>
      </w:r>
    </w:p>
    <w:p w14:paraId="7D3BFA23" w14:textId="77777777" w:rsidR="00E911BF" w:rsidRPr="004508D0" w:rsidRDefault="009B5FC2" w:rsidP="009B5FC2">
      <w:pPr>
        <w:spacing w:before="100" w:beforeAutospacing="1" w:after="100" w:afterAutospacing="1" w:line="360" w:lineRule="auto"/>
        <w:jc w:val="both"/>
        <w:rPr>
          <w:rFonts w:ascii="Palatino Linotype" w:hAnsi="Palatino Linotype" w:cs="Arial"/>
        </w:rPr>
      </w:pPr>
      <w:r w:rsidRPr="004508D0">
        <w:rPr>
          <w:rFonts w:ascii="Palatino Linotype" w:hAnsi="Palatino Linotype" w:cs="Arial"/>
        </w:rPr>
        <w:t>Inconforme con dicha respuesta,</w:t>
      </w:r>
      <w:r w:rsidRPr="004508D0">
        <w:rPr>
          <w:rFonts w:ascii="Palatino Linotype" w:hAnsi="Palatino Linotype" w:cs="Arial"/>
          <w:b/>
        </w:rPr>
        <w:t xml:space="preserve"> </w:t>
      </w:r>
      <w:r w:rsidR="008C15B0" w:rsidRPr="004508D0">
        <w:rPr>
          <w:rFonts w:ascii="Palatino Linotype" w:hAnsi="Palatino Linotype" w:cs="Arial"/>
          <w:b/>
        </w:rPr>
        <w:t>EL</w:t>
      </w:r>
      <w:r w:rsidRPr="004508D0">
        <w:rPr>
          <w:rFonts w:ascii="Palatino Linotype" w:hAnsi="Palatino Linotype" w:cs="Arial"/>
          <w:b/>
        </w:rPr>
        <w:t xml:space="preserve"> RECURRENTE</w:t>
      </w:r>
      <w:r w:rsidRPr="004508D0">
        <w:rPr>
          <w:rFonts w:ascii="Palatino Linotype" w:hAnsi="Palatino Linotype" w:cs="Arial"/>
        </w:rPr>
        <w:t xml:space="preserve"> </w:t>
      </w:r>
      <w:r w:rsidR="00C35E9A" w:rsidRPr="004508D0">
        <w:rPr>
          <w:rFonts w:ascii="Palatino Linotype" w:hAnsi="Palatino Linotype" w:cs="Arial"/>
        </w:rPr>
        <w:t>interpuso</w:t>
      </w:r>
      <w:r w:rsidRPr="004508D0">
        <w:rPr>
          <w:rFonts w:ascii="Palatino Linotype" w:hAnsi="Palatino Linotype" w:cs="Arial"/>
        </w:rPr>
        <w:t xml:space="preserve"> el presente recurso de revisión, señalando</w:t>
      </w:r>
      <w:r w:rsidR="00E911BF" w:rsidRPr="004508D0">
        <w:rPr>
          <w:rFonts w:ascii="Palatino Linotype" w:hAnsi="Palatino Linotype" w:cs="Arial"/>
        </w:rPr>
        <w:t xml:space="preserve"> medularmente lo siguiente:</w:t>
      </w:r>
    </w:p>
    <w:p w14:paraId="26AF733F" w14:textId="2B02EF5E" w:rsidR="0032286E" w:rsidRPr="004508D0" w:rsidRDefault="0032286E" w:rsidP="00E911BF">
      <w:pPr>
        <w:spacing w:before="100" w:beforeAutospacing="1" w:after="100" w:afterAutospacing="1"/>
        <w:ind w:left="851" w:right="902"/>
        <w:jc w:val="both"/>
        <w:rPr>
          <w:rFonts w:ascii="Palatino Linotype" w:hAnsi="Palatino Linotype" w:cs="Arial"/>
          <w:i/>
          <w:sz w:val="22"/>
          <w:szCs w:val="22"/>
          <w:lang w:val="es-ES_tradnl"/>
        </w:rPr>
      </w:pPr>
      <w:r w:rsidRPr="004508D0">
        <w:rPr>
          <w:rFonts w:ascii="Palatino Linotype" w:hAnsi="Palatino Linotype" w:cs="Arial"/>
          <w:i/>
          <w:sz w:val="22"/>
          <w:szCs w:val="22"/>
          <w:lang w:val="es-ES_tradnl"/>
        </w:rPr>
        <w:lastRenderedPageBreak/>
        <w:t>En ese entendido es, el sujeto obligado infiere que en sus archivos no se encuentra la información sobre la solicitud realizada pero conforme a lo que respecta a sus atribuciones previamente citadas, así como a lo dispuesto por el artículo 12 la Ley de Transparencia y Acceso a la Información Pública del Estado de México y Municipios, el sujeto obligado debe informar el estado en que guarda la información que se solicitó debido a que la misma se trata de información pública y esta obra en sus archivos, toda vez que el ahora solicitante fue dado de baja en marzo del 2021 y solicitó el pago de su finiquito en fecha 24 de junio del mismo año (lo cual se acredito con el documento adjunto a la solicitud) y con forme a la ley laboral aplicable debió entregar en un lapso no mayor a 15 días, aunado a que los documentos relativos a su renuncia y pago del finiquito obran en los archivos del H. Ayuntamiento de Metepec en las áreas previamente señaladas.</w:t>
      </w:r>
    </w:p>
    <w:p w14:paraId="03EE32EF" w14:textId="33A53C03" w:rsidR="00F9555B" w:rsidRPr="004508D0" w:rsidRDefault="00F9555B" w:rsidP="00F9555B">
      <w:pPr>
        <w:spacing w:before="100" w:beforeAutospacing="1" w:after="100" w:afterAutospacing="1"/>
        <w:ind w:left="851" w:right="899"/>
        <w:jc w:val="both"/>
        <w:rPr>
          <w:rFonts w:ascii="Palatino Linotype" w:hAnsi="Palatino Linotype" w:cs="Arial"/>
          <w:lang w:eastAsia="es-MX"/>
        </w:rPr>
      </w:pPr>
      <w:r w:rsidRPr="004508D0">
        <w:rPr>
          <w:rFonts w:ascii="Palatino Linotype" w:hAnsi="Palatino Linotype" w:cs="Arial"/>
          <w:i/>
          <w:sz w:val="22"/>
          <w:szCs w:val="22"/>
          <w:lang w:val="es-ES_tradnl"/>
        </w:rPr>
        <w:t>Atendiendo a esto no se esta solicitando la entrega del finiquito si no que</w:t>
      </w:r>
      <w:r w:rsidRPr="004508D0">
        <w:rPr>
          <w:rFonts w:ascii="Palatino Linotype" w:hAnsi="Palatino Linotype" w:cs="Arial"/>
          <w:b/>
          <w:i/>
          <w:sz w:val="22"/>
          <w:szCs w:val="22"/>
          <w:lang w:val="es-ES_tradnl"/>
        </w:rPr>
        <w:t xml:space="preserve">, se </w:t>
      </w:r>
      <w:r w:rsidRPr="004508D0">
        <w:rPr>
          <w:rFonts w:ascii="Palatino Linotype" w:hAnsi="Palatino Linotype" w:cs="Arial"/>
          <w:i/>
          <w:sz w:val="22"/>
          <w:szCs w:val="22"/>
          <w:lang w:val="es-ES_tradnl"/>
        </w:rPr>
        <w:t>informe la fecha en que será entregado o en caso diverso lo previsto por el artículo 12 de la Ley de Transparencia y Acceso a la Información Pública del Estado de México, esto es, se informe el estado que guarda en los archivos de las áreas correspondientes la situación en la que se encuentra el finiquito del ahora solicitante</w:t>
      </w:r>
      <w:r w:rsidRPr="004508D0">
        <w:rPr>
          <w:rFonts w:ascii="Palatino Linotype" w:hAnsi="Palatino Linotype" w:cs="Arial"/>
          <w:b/>
          <w:i/>
          <w:sz w:val="22"/>
          <w:szCs w:val="22"/>
          <w:lang w:val="es-ES_tradnl"/>
        </w:rPr>
        <w:t xml:space="preserve">. </w:t>
      </w:r>
      <w:r w:rsidRPr="004508D0">
        <w:rPr>
          <w:rFonts w:ascii="Palatino Linotype" w:hAnsi="Palatino Linotype" w:cs="Arial"/>
          <w:i/>
          <w:sz w:val="22"/>
          <w:szCs w:val="22"/>
          <w:lang w:val="es-ES_tradnl"/>
        </w:rPr>
        <w:t>En este punto resulta oportuno mencionar que la referencia que ocupa el sujeto obligado hacia el derecho de petición carece de fundamentación y motivación, en razón de que el derecho de petición “es el derecho que pertenece al individuo de dirigir a los órganos o agentes públicos un escrito exponiendo opiniones, demandas o quejas” (León, Duguit). En la solicitud que se atienden solo se requiere información que guarda el finiquito en los archivos del sujeto obligado</w:t>
      </w:r>
      <w:r w:rsidRPr="004508D0">
        <w:rPr>
          <w:rFonts w:ascii="Palatino Linotype" w:hAnsi="Palatino Linotype" w:cs="Arial"/>
          <w:b/>
          <w:i/>
          <w:sz w:val="22"/>
          <w:szCs w:val="22"/>
          <w:lang w:val="es-ES_tradnl"/>
        </w:rPr>
        <w:t xml:space="preserve">, </w:t>
      </w:r>
      <w:r w:rsidRPr="004508D0">
        <w:rPr>
          <w:rFonts w:ascii="Palatino Linotype" w:hAnsi="Palatino Linotype" w:cs="Arial"/>
          <w:i/>
          <w:sz w:val="22"/>
          <w:szCs w:val="22"/>
          <w:lang w:val="es-ES_tradnl"/>
        </w:rPr>
        <w:t>por lo que su argumento sobre el derecho de petición debe ser desestimado de plano</w:t>
      </w:r>
      <w:r w:rsidRPr="004508D0">
        <w:rPr>
          <w:rFonts w:ascii="Palatino Linotype" w:hAnsi="Palatino Linotype" w:cs="Arial"/>
          <w:b/>
          <w:i/>
          <w:sz w:val="22"/>
          <w:szCs w:val="22"/>
          <w:lang w:val="es-ES_tradnl"/>
        </w:rPr>
        <w:t>.</w:t>
      </w:r>
      <w:r w:rsidRPr="004508D0">
        <w:rPr>
          <w:rFonts w:ascii="Palatino Linotype" w:hAnsi="Palatino Linotype" w:cs="Arial"/>
          <w:i/>
          <w:sz w:val="22"/>
          <w:szCs w:val="22"/>
          <w:lang w:val="es-ES_tradnl"/>
        </w:rPr>
        <w:t xml:space="preserve"> Concluyendo así que el sujeto obligado, resulta ser omiso al brindar la información correspondiente al estatus del finiquito o en su caso la fecha en que se entregaría el mismo.</w:t>
      </w:r>
    </w:p>
    <w:p w14:paraId="2A5FAAB4" w14:textId="3CF3F127" w:rsidR="006C35CB" w:rsidRPr="004508D0" w:rsidRDefault="00A75BAA" w:rsidP="009B5FC2">
      <w:pPr>
        <w:spacing w:before="100" w:beforeAutospacing="1" w:after="100" w:afterAutospacing="1" w:line="360" w:lineRule="auto"/>
        <w:jc w:val="both"/>
        <w:rPr>
          <w:rFonts w:ascii="Palatino Linotype" w:hAnsi="Palatino Linotype" w:cs="Arial"/>
          <w:lang w:eastAsia="es-MX"/>
        </w:rPr>
      </w:pPr>
      <w:r w:rsidRPr="004508D0">
        <w:rPr>
          <w:rFonts w:ascii="Palatino Linotype" w:hAnsi="Palatino Linotype" w:cs="Arial"/>
          <w:lang w:eastAsia="es-MX"/>
        </w:rPr>
        <w:t>P</w:t>
      </w:r>
      <w:r w:rsidR="009B5FC2" w:rsidRPr="004508D0">
        <w:rPr>
          <w:rFonts w:ascii="Palatino Linotype" w:hAnsi="Palatino Linotype" w:cs="Arial"/>
          <w:lang w:eastAsia="es-MX"/>
        </w:rPr>
        <w:t xml:space="preserve">or su </w:t>
      </w:r>
      <w:r w:rsidR="009B5FC2" w:rsidRPr="004508D0">
        <w:rPr>
          <w:rFonts w:ascii="Palatino Linotype" w:hAnsi="Palatino Linotype" w:cs="Arial"/>
        </w:rPr>
        <w:t>parte</w:t>
      </w:r>
      <w:r w:rsidR="009B5FC2" w:rsidRPr="004508D0">
        <w:rPr>
          <w:rFonts w:ascii="Palatino Linotype" w:hAnsi="Palatino Linotype" w:cs="Arial"/>
          <w:lang w:eastAsia="es-MX"/>
        </w:rPr>
        <w:t xml:space="preserve">, </w:t>
      </w:r>
      <w:r w:rsidR="009B5FC2" w:rsidRPr="004508D0">
        <w:rPr>
          <w:rFonts w:ascii="Palatino Linotype" w:hAnsi="Palatino Linotype" w:cs="Arial"/>
          <w:b/>
          <w:lang w:eastAsia="es-MX"/>
        </w:rPr>
        <w:t xml:space="preserve">EL SUJETO OBLIGADO </w:t>
      </w:r>
      <w:r w:rsidR="00724A05" w:rsidRPr="004508D0">
        <w:rPr>
          <w:rFonts w:ascii="Palatino Linotype" w:hAnsi="Palatino Linotype" w:cs="Arial"/>
          <w:lang w:eastAsia="es-MX"/>
        </w:rPr>
        <w:t>no rindió el correspondiente</w:t>
      </w:r>
      <w:r w:rsidR="00724A05" w:rsidRPr="004508D0">
        <w:rPr>
          <w:rFonts w:ascii="Palatino Linotype" w:hAnsi="Palatino Linotype" w:cs="Arial"/>
          <w:b/>
          <w:lang w:eastAsia="es-MX"/>
        </w:rPr>
        <w:t xml:space="preserve"> </w:t>
      </w:r>
      <w:r w:rsidR="009B5FC2" w:rsidRPr="004508D0">
        <w:rPr>
          <w:rFonts w:ascii="Palatino Linotype" w:hAnsi="Palatino Linotype" w:cs="Arial"/>
        </w:rPr>
        <w:t>Informe</w:t>
      </w:r>
      <w:r w:rsidR="006C35CB" w:rsidRPr="004508D0">
        <w:rPr>
          <w:rFonts w:ascii="Palatino Linotype" w:hAnsi="Palatino Linotype" w:cs="Arial"/>
          <w:lang w:eastAsia="es-MX"/>
        </w:rPr>
        <w:t xml:space="preserve"> Justificado; no así el </w:t>
      </w:r>
      <w:r w:rsidR="009B5FC2" w:rsidRPr="004508D0">
        <w:rPr>
          <w:rFonts w:ascii="Palatino Linotype" w:hAnsi="Palatino Linotype" w:cs="Arial"/>
          <w:b/>
          <w:lang w:eastAsia="es-MX"/>
        </w:rPr>
        <w:t>RECURRENTE</w:t>
      </w:r>
      <w:r w:rsidR="006C35CB" w:rsidRPr="004508D0">
        <w:rPr>
          <w:rFonts w:ascii="Palatino Linotype" w:hAnsi="Palatino Linotype" w:cs="Arial"/>
          <w:lang w:eastAsia="es-MX"/>
        </w:rPr>
        <w:t>, pues presentó alegatos que versan medularmente en lo siguiente:</w:t>
      </w:r>
    </w:p>
    <w:p w14:paraId="56E1D1CF" w14:textId="77777777" w:rsidR="005853BC" w:rsidRPr="004508D0" w:rsidRDefault="005853BC" w:rsidP="005853BC">
      <w:pPr>
        <w:spacing w:before="100" w:beforeAutospacing="1" w:after="100" w:afterAutospacing="1"/>
        <w:ind w:left="851" w:right="902"/>
        <w:jc w:val="center"/>
        <w:rPr>
          <w:rFonts w:ascii="Palatino Linotype" w:hAnsi="Palatino Linotype"/>
          <w:sz w:val="22"/>
          <w:szCs w:val="22"/>
        </w:rPr>
      </w:pPr>
      <w:r w:rsidRPr="004508D0">
        <w:rPr>
          <w:rFonts w:ascii="Palatino Linotype" w:hAnsi="Palatino Linotype"/>
          <w:sz w:val="22"/>
          <w:szCs w:val="22"/>
        </w:rPr>
        <w:t>ALEGATOS</w:t>
      </w:r>
    </w:p>
    <w:p w14:paraId="150FD6C6" w14:textId="77777777" w:rsidR="005853BC" w:rsidRPr="004508D0" w:rsidRDefault="005853BC" w:rsidP="009E4767">
      <w:pPr>
        <w:spacing w:before="100" w:beforeAutospacing="1" w:after="100" w:afterAutospacing="1"/>
        <w:ind w:left="851" w:right="899"/>
        <w:jc w:val="both"/>
        <w:rPr>
          <w:rFonts w:ascii="Palatino Linotype" w:hAnsi="Palatino Linotype"/>
          <w:i/>
          <w:sz w:val="22"/>
          <w:szCs w:val="22"/>
        </w:rPr>
      </w:pPr>
      <w:r w:rsidRPr="004508D0">
        <w:rPr>
          <w:rFonts w:ascii="Palatino Linotype" w:hAnsi="Palatino Linotype"/>
          <w:i/>
          <w:sz w:val="22"/>
          <w:szCs w:val="22"/>
        </w:rPr>
        <w:t xml:space="preserve">Se menciona que la supuesta la respuesta identificada con el número de OFICIO No. UT/MET/0919/2021de fecha 13 de octubre de 2021, violenta el derecho al acceso a la información pública y el principio de máxima publicidad en razón de lo siguiente: </w:t>
      </w:r>
    </w:p>
    <w:p w14:paraId="1DE54574" w14:textId="1BAF3755" w:rsidR="006C35CB" w:rsidRPr="004508D0" w:rsidRDefault="005853BC" w:rsidP="009E4767">
      <w:pPr>
        <w:spacing w:before="100" w:beforeAutospacing="1" w:after="100" w:afterAutospacing="1"/>
        <w:ind w:left="851" w:right="899"/>
        <w:jc w:val="both"/>
        <w:rPr>
          <w:rFonts w:ascii="Palatino Linotype" w:hAnsi="Palatino Linotype" w:cs="Arial"/>
          <w:i/>
          <w:sz w:val="22"/>
          <w:szCs w:val="22"/>
          <w:lang w:eastAsia="es-MX"/>
        </w:rPr>
      </w:pPr>
      <w:r w:rsidRPr="004508D0">
        <w:rPr>
          <w:rFonts w:ascii="Palatino Linotype" w:hAnsi="Palatino Linotype"/>
          <w:i/>
          <w:sz w:val="22"/>
          <w:szCs w:val="22"/>
        </w:rPr>
        <w:lastRenderedPageBreak/>
        <w:t>ÚNICO: El sujeto obligado es omiso al dar respuesta a la solicitud marcada con el número de folio 00577/METEPEC/IP/2021, violentando el derecho al acceso a la información pública</w:t>
      </w:r>
    </w:p>
    <w:p w14:paraId="2BEA83B5" w14:textId="08B8CDA0" w:rsidR="005853BC" w:rsidRPr="004508D0" w:rsidRDefault="005853BC" w:rsidP="009E4767">
      <w:pPr>
        <w:spacing w:before="100" w:beforeAutospacing="1" w:after="100" w:afterAutospacing="1"/>
        <w:ind w:left="851" w:right="899"/>
        <w:jc w:val="both"/>
        <w:rPr>
          <w:rFonts w:ascii="Palatino Linotype" w:hAnsi="Palatino Linotype"/>
          <w:i/>
          <w:sz w:val="22"/>
          <w:szCs w:val="22"/>
        </w:rPr>
      </w:pPr>
      <w:r w:rsidRPr="004508D0">
        <w:rPr>
          <w:rFonts w:ascii="Palatino Linotype" w:hAnsi="Palatino Linotype"/>
          <w:i/>
          <w:sz w:val="22"/>
          <w:szCs w:val="22"/>
        </w:rPr>
        <w:t>Dos áreas del Ayuntamiento de Metepec tienen como funciones el verificar la correcta aplicación de pagos en el caso que nos interesa el finiquito (la Subdirección de Recursos Humanos) y tramitar los pagos a que tengan derechos las y los servidores públicos (la Tesorería Municipal). En ese entendido es, el sujeto obligado infiere que en sus archivos no se encuentra la información sobre la solicitud realizada pero conforme a lo que respecta a sus atribuciones previamente citadas, así como a lo dispuesto por el artículo 12 la Ley de Transparencia y Acceso a la Información Pública del Estado de México y Municipios, el sujeto obligado debe informar el estado en que guarda la información que se solicitó debido a que la misma se trata de información pública y esta obra en sus archivos, toda vez que el ahora solicitante fue dado de baja en marzo del 2021 y solicitó el pago de su finiquito en fecha 24 de junio del mismo año (lo cual se acredito con el documento adjunto a la solicitud) y con forme a la ley laboral aplicable debió entregar en un lapso no mayor a 15 días, aunado a que los documentos relativos a su renuncia y pago del finiquito obran en los archivos del H. Ayuntamiento de Metepec en las áreas previamente señaladas.</w:t>
      </w:r>
    </w:p>
    <w:p w14:paraId="11C8178F" w14:textId="0EED6176" w:rsidR="00BC446B" w:rsidRPr="004508D0" w:rsidRDefault="00BC446B" w:rsidP="009E4767">
      <w:pPr>
        <w:spacing w:before="100" w:beforeAutospacing="1" w:after="100" w:afterAutospacing="1"/>
        <w:ind w:left="851" w:right="899"/>
        <w:jc w:val="both"/>
        <w:rPr>
          <w:rFonts w:ascii="Palatino Linotype" w:hAnsi="Palatino Linotype" w:cs="Arial"/>
          <w:i/>
          <w:sz w:val="22"/>
          <w:szCs w:val="22"/>
          <w:lang w:eastAsia="es-MX"/>
        </w:rPr>
      </w:pPr>
      <w:r w:rsidRPr="004508D0">
        <w:rPr>
          <w:rFonts w:ascii="Palatino Linotype" w:hAnsi="Palatino Linotype"/>
          <w:i/>
          <w:sz w:val="22"/>
          <w:szCs w:val="22"/>
        </w:rPr>
        <w:t>Atendiendo a esto no se está solicitando la entrega del finiquito si no que, se informe la fecha en que será entregado o en caso diverso lo previsto por el artículo 12 de la Ley de Transparencia y Acceso a la Información Pública del Estado de México, esto es, se informe el estado que guarda en los archivos de las áreas correspondientes la situación en la que se encuentra el finiquito del ahora solicitante. En este punto resulta oportuno mencionar que la referencia que ocupa el sujeto obligado hacia el derecho de petición carece de fundamentación y motivación, en razón de que el derecho de petición “es el derecho que pertenece al individuo de dirigir a los órganos o agentes públicos un escrito exponiendo opiniones, demandas o quejas” (León, Duguit). En la solicitud que se atienden solo se requiere información que guarda el finiquito en los archivos del sujeto obligado, por lo que su argumento sobre el derecho de petición debe ser desestimado de plano. Concluyendo así que el sujeto obligado, resulta ser omiso al brindar la información correspondiente al estatus del finiquito o en su caso la fecha en que se entregaría el mismo. En ese entendido el sujeto obligado, al no dar respuesta a la solicitud del peticionario violenta el derecho de acceso a la información pública, debido a que tiene el deber de informar el estatus en el que se encuentre aquella información que tengan en su poder, como resultado de las actividades que desempeñan.</w:t>
      </w:r>
    </w:p>
    <w:p w14:paraId="0A8B0EA7" w14:textId="1D23E74C" w:rsidR="00B3563F" w:rsidRPr="004508D0" w:rsidRDefault="00B3563F" w:rsidP="009B5FC2">
      <w:pPr>
        <w:spacing w:before="100" w:beforeAutospacing="1" w:after="100" w:afterAutospacing="1" w:line="360" w:lineRule="auto"/>
        <w:jc w:val="both"/>
        <w:rPr>
          <w:rFonts w:ascii="Palatino Linotype" w:hAnsi="Palatino Linotype"/>
          <w:bCs/>
        </w:rPr>
      </w:pPr>
      <w:r w:rsidRPr="004508D0">
        <w:rPr>
          <w:rFonts w:ascii="Palatino Linotype" w:hAnsi="Palatino Linotype" w:cs="Arial"/>
          <w:lang w:eastAsia="es-MX"/>
        </w:rPr>
        <w:lastRenderedPageBreak/>
        <w:t>P</w:t>
      </w:r>
      <w:r w:rsidR="009B5FC2" w:rsidRPr="004508D0">
        <w:rPr>
          <w:rFonts w:ascii="Palatino Linotype" w:hAnsi="Palatino Linotype" w:cs="Arial"/>
          <w:lang w:eastAsia="es-MX"/>
        </w:rPr>
        <w:t xml:space="preserve">or lo que, </w:t>
      </w:r>
      <w:r w:rsidR="009B5FC2" w:rsidRPr="004508D0">
        <w:rPr>
          <w:rFonts w:ascii="Palatino Linotype" w:hAnsi="Palatino Linotype"/>
          <w:bCs/>
        </w:rPr>
        <w:t>este Órgano Garante advirt</w:t>
      </w:r>
      <w:r w:rsidRPr="004508D0">
        <w:rPr>
          <w:rFonts w:ascii="Palatino Linotype" w:hAnsi="Palatino Linotype"/>
          <w:bCs/>
        </w:rPr>
        <w:t xml:space="preserve">ió </w:t>
      </w:r>
      <w:r w:rsidR="009B5FC2" w:rsidRPr="004508D0">
        <w:rPr>
          <w:rFonts w:ascii="Palatino Linotype" w:hAnsi="Palatino Linotype"/>
          <w:bCs/>
        </w:rPr>
        <w:t xml:space="preserve">que las razones y motivos de inconformidad expuestos por </w:t>
      </w:r>
      <w:r w:rsidRPr="004508D0">
        <w:rPr>
          <w:rFonts w:ascii="Palatino Linotype" w:hAnsi="Palatino Linotype"/>
          <w:b/>
          <w:bCs/>
        </w:rPr>
        <w:t>EL</w:t>
      </w:r>
      <w:r w:rsidR="009B5FC2" w:rsidRPr="004508D0">
        <w:rPr>
          <w:rFonts w:ascii="Palatino Linotype" w:hAnsi="Palatino Linotype"/>
          <w:b/>
          <w:bCs/>
        </w:rPr>
        <w:t xml:space="preserve"> RECURRENTE</w:t>
      </w:r>
      <w:r w:rsidR="008D2266" w:rsidRPr="004508D0">
        <w:rPr>
          <w:rFonts w:ascii="Palatino Linotype" w:hAnsi="Palatino Linotype"/>
          <w:b/>
          <w:bCs/>
        </w:rPr>
        <w:t xml:space="preserve"> </w:t>
      </w:r>
      <w:r w:rsidR="008D2266" w:rsidRPr="004508D0">
        <w:rPr>
          <w:rFonts w:ascii="Palatino Linotype" w:hAnsi="Palatino Linotype"/>
          <w:bCs/>
        </w:rPr>
        <w:t xml:space="preserve">tanto al interponer su recurso de revisión, así como al presentar sus alegatos, </w:t>
      </w:r>
      <w:r w:rsidRPr="004508D0">
        <w:rPr>
          <w:rFonts w:ascii="Palatino Linotype" w:hAnsi="Palatino Linotype"/>
          <w:bCs/>
        </w:rPr>
        <w:t xml:space="preserve">si bien guardan </w:t>
      </w:r>
      <w:r w:rsidR="009B5FC2" w:rsidRPr="004508D0">
        <w:rPr>
          <w:rFonts w:ascii="Palatino Linotype" w:hAnsi="Palatino Linotype"/>
          <w:bCs/>
        </w:rPr>
        <w:t>relación con la solicitud de acceso a la información pública</w:t>
      </w:r>
      <w:r w:rsidRPr="004508D0">
        <w:rPr>
          <w:rFonts w:ascii="Palatino Linotype" w:hAnsi="Palatino Linotype"/>
          <w:bCs/>
        </w:rPr>
        <w:t>; lo cierto es que la misma en esencia no se trata de un derecho de acceso a la información.</w:t>
      </w:r>
    </w:p>
    <w:p w14:paraId="311EF2AC" w14:textId="6DF6AA2D" w:rsidR="003C529C" w:rsidRPr="004508D0" w:rsidRDefault="003020F5" w:rsidP="00724A05">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4508D0">
        <w:rPr>
          <w:rFonts w:ascii="Palatino Linotype" w:eastAsia="Calibri" w:hAnsi="Palatino Linotype" w:cs="Arial"/>
          <w:sz w:val="24"/>
          <w:szCs w:val="24"/>
        </w:rPr>
        <w:t>Siendo menester</w:t>
      </w:r>
      <w:r w:rsidR="00ED4DF1" w:rsidRPr="004508D0">
        <w:rPr>
          <w:rFonts w:ascii="Palatino Linotype" w:eastAsia="Calibri" w:hAnsi="Palatino Linotype" w:cs="Arial"/>
          <w:sz w:val="24"/>
          <w:szCs w:val="24"/>
        </w:rPr>
        <w:t xml:space="preserve"> mencionar que del análisis realizado, se advierte que </w:t>
      </w:r>
      <w:r w:rsidR="00ED4DF1" w:rsidRPr="004508D0">
        <w:rPr>
          <w:rFonts w:ascii="Palatino Linotype" w:eastAsia="Calibri" w:hAnsi="Palatino Linotype" w:cs="Arial"/>
          <w:b/>
          <w:sz w:val="24"/>
          <w:szCs w:val="24"/>
        </w:rPr>
        <w:t>EL RECURRENTE</w:t>
      </w:r>
      <w:r w:rsidR="00ED4DF1" w:rsidRPr="004508D0">
        <w:rPr>
          <w:rFonts w:ascii="Palatino Linotype" w:eastAsia="Calibri" w:hAnsi="Palatino Linotype" w:cs="Arial"/>
          <w:sz w:val="24"/>
          <w:szCs w:val="24"/>
        </w:rPr>
        <w:t>, busca un pronunciamiento</w:t>
      </w:r>
      <w:r w:rsidR="00950E46" w:rsidRPr="004508D0">
        <w:rPr>
          <w:rFonts w:ascii="Palatino Linotype" w:eastAsia="Calibri" w:hAnsi="Palatino Linotype" w:cs="Arial"/>
          <w:sz w:val="24"/>
          <w:szCs w:val="24"/>
        </w:rPr>
        <w:t xml:space="preserve"> respecto a cuándo le será entregado su finiquito</w:t>
      </w:r>
      <w:r w:rsidR="00ED4DF1" w:rsidRPr="004508D0">
        <w:rPr>
          <w:rFonts w:ascii="Palatino Linotype" w:eastAsia="Calibri" w:hAnsi="Palatino Linotype" w:cs="Arial"/>
          <w:sz w:val="24"/>
          <w:szCs w:val="24"/>
        </w:rPr>
        <w:t xml:space="preserve"> por parte del </w:t>
      </w:r>
      <w:r w:rsidR="00ED4DF1" w:rsidRPr="004508D0">
        <w:rPr>
          <w:rFonts w:ascii="Palatino Linotype" w:eastAsia="Calibri" w:hAnsi="Palatino Linotype" w:cs="Arial"/>
          <w:b/>
          <w:sz w:val="24"/>
          <w:szCs w:val="24"/>
        </w:rPr>
        <w:t>SUJETO OBLIGADO</w:t>
      </w:r>
      <w:r w:rsidR="00ED4DF1" w:rsidRPr="004508D0">
        <w:rPr>
          <w:rFonts w:ascii="Palatino Linotype" w:eastAsia="Calibri" w:hAnsi="Palatino Linotype" w:cs="Arial"/>
          <w:sz w:val="24"/>
          <w:szCs w:val="24"/>
        </w:rPr>
        <w:t xml:space="preserve">, a lo cual no </w:t>
      </w:r>
      <w:r w:rsidR="00ED4DF1" w:rsidRPr="004508D0">
        <w:rPr>
          <w:rFonts w:ascii="Palatino Linotype" w:eastAsia="Times New Roman" w:hAnsi="Palatino Linotype" w:cs="Segoe UI"/>
          <w:sz w:val="24"/>
          <w:szCs w:val="24"/>
        </w:rPr>
        <w:t>constituye un derecho de acceso a la información; sino un derecho de petición, debido a que se tratan cuestionamientos realizados por el entonces solicitante, que no se colman con la entrega de documentos, situación que conlleva a afirmar que se está ante la presencia del ejercicio del derecho</w:t>
      </w:r>
      <w:r w:rsidR="00724A05" w:rsidRPr="004508D0">
        <w:rPr>
          <w:rFonts w:ascii="Palatino Linotype" w:eastAsia="Times New Roman" w:hAnsi="Palatino Linotype" w:cs="Segoe UI"/>
          <w:sz w:val="24"/>
          <w:szCs w:val="24"/>
        </w:rPr>
        <w:t xml:space="preserve"> ya</w:t>
      </w:r>
      <w:r w:rsidR="00ED4DF1" w:rsidRPr="004508D0">
        <w:rPr>
          <w:rFonts w:ascii="Palatino Linotype" w:eastAsia="Times New Roman" w:hAnsi="Palatino Linotype" w:cs="Segoe UI"/>
          <w:sz w:val="24"/>
          <w:szCs w:val="24"/>
        </w:rPr>
        <w:t xml:space="preserve"> enunciado. </w:t>
      </w:r>
    </w:p>
    <w:p w14:paraId="2AEB7B02" w14:textId="77777777" w:rsidR="00724A05" w:rsidRPr="004508D0" w:rsidRDefault="00724A05" w:rsidP="00724A05">
      <w:pPr>
        <w:pStyle w:val="paragraph"/>
        <w:spacing w:before="0" w:beforeAutospacing="0" w:after="0" w:afterAutospacing="0" w:line="360" w:lineRule="auto"/>
        <w:jc w:val="both"/>
        <w:textAlignment w:val="baseline"/>
        <w:rPr>
          <w:rFonts w:ascii="Palatino Linotype" w:hAnsi="Palatino Linotype" w:cs="Arial"/>
        </w:rPr>
      </w:pPr>
    </w:p>
    <w:p w14:paraId="1F51AA61" w14:textId="77777777" w:rsidR="00ED4DF1" w:rsidRPr="004508D0" w:rsidRDefault="00ED4DF1" w:rsidP="00ED4DF1">
      <w:pPr>
        <w:autoSpaceDE w:val="0"/>
        <w:autoSpaceDN w:val="0"/>
        <w:adjustRightInd w:val="0"/>
        <w:spacing w:line="360" w:lineRule="auto"/>
        <w:jc w:val="both"/>
        <w:rPr>
          <w:rFonts w:ascii="Palatino Linotype" w:hAnsi="Palatino Linotype" w:cs="Arial"/>
        </w:rPr>
      </w:pPr>
      <w:r w:rsidRPr="004508D0">
        <w:rPr>
          <w:rFonts w:ascii="Palatino Linotype" w:hAnsi="Palatino Linotype" w:cs="Arial"/>
        </w:rPr>
        <w:t>Bajo ese contexto, es importante dejar en claro lo que debe entenderse por derecho de petición y por derecho de acceso a la información pública.</w:t>
      </w:r>
    </w:p>
    <w:p w14:paraId="1B0211D3" w14:textId="77777777" w:rsidR="00ED4DF1" w:rsidRPr="004508D0" w:rsidRDefault="00ED4DF1" w:rsidP="00ED4DF1">
      <w:pPr>
        <w:autoSpaceDE w:val="0"/>
        <w:autoSpaceDN w:val="0"/>
        <w:adjustRightInd w:val="0"/>
        <w:spacing w:line="360" w:lineRule="auto"/>
        <w:jc w:val="both"/>
        <w:rPr>
          <w:rFonts w:ascii="Palatino Linotype" w:hAnsi="Palatino Linotype" w:cs="Arial"/>
        </w:rPr>
      </w:pPr>
    </w:p>
    <w:p w14:paraId="3972832D" w14:textId="77777777" w:rsidR="00ED4DF1" w:rsidRPr="004508D0" w:rsidRDefault="00ED4DF1" w:rsidP="00ED4DF1">
      <w:pPr>
        <w:autoSpaceDE w:val="0"/>
        <w:autoSpaceDN w:val="0"/>
        <w:adjustRightInd w:val="0"/>
        <w:spacing w:line="360" w:lineRule="auto"/>
        <w:jc w:val="both"/>
        <w:rPr>
          <w:rFonts w:ascii="Palatino Linotype" w:hAnsi="Palatino Linotype" w:cs="Arial"/>
        </w:rPr>
      </w:pPr>
      <w:r w:rsidRPr="004508D0">
        <w:rPr>
          <w:rFonts w:ascii="Palatino Linotype" w:hAnsi="Palatino Linotype" w:cs="Arial"/>
        </w:rPr>
        <w:t xml:space="preserve">Por lo que respecta a la definición de Derecho de Petición, el Maestro Ignacio Burgoa Orihuela refiere: </w:t>
      </w:r>
    </w:p>
    <w:p w14:paraId="791F1FAC" w14:textId="77777777" w:rsidR="00ED4DF1" w:rsidRPr="004508D0" w:rsidRDefault="00ED4DF1" w:rsidP="00ED4DF1">
      <w:pPr>
        <w:autoSpaceDE w:val="0"/>
        <w:autoSpaceDN w:val="0"/>
        <w:adjustRightInd w:val="0"/>
        <w:jc w:val="both"/>
        <w:rPr>
          <w:rFonts w:ascii="Palatino Linotype" w:hAnsi="Palatino Linotype" w:cs="Arial"/>
        </w:rPr>
      </w:pPr>
    </w:p>
    <w:p w14:paraId="3A0F10E1" w14:textId="77777777" w:rsidR="00ED4DF1" w:rsidRPr="004508D0" w:rsidRDefault="00ED4DF1" w:rsidP="009E4767">
      <w:pPr>
        <w:tabs>
          <w:tab w:val="left" w:pos="8222"/>
        </w:tabs>
        <w:ind w:left="851" w:right="899"/>
        <w:jc w:val="both"/>
        <w:rPr>
          <w:rFonts w:ascii="Palatino Linotype" w:hAnsi="Palatino Linotype" w:cs="Arial"/>
          <w:i/>
          <w:sz w:val="22"/>
          <w:szCs w:val="22"/>
        </w:rPr>
      </w:pPr>
      <w:r w:rsidRPr="004508D0">
        <w:rPr>
          <w:rFonts w:ascii="Palatino Linotype" w:hAnsi="Palatino Linotype" w:cs="Arial"/>
          <w:b/>
          <w:sz w:val="22"/>
          <w:szCs w:val="22"/>
        </w:rPr>
        <w:t>“</w:t>
      </w:r>
      <w:r w:rsidRPr="004508D0">
        <w:rPr>
          <w:rFonts w:ascii="Palatino Linotype" w:hAnsi="Palatino Linotype" w:cs="Arial"/>
          <w:sz w:val="22"/>
          <w:szCs w:val="22"/>
        </w:rPr>
        <w:t>…</w:t>
      </w:r>
      <w:r w:rsidRPr="004508D0">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4508D0">
        <w:rPr>
          <w:rFonts w:ascii="Palatino Linotype" w:eastAsia="MS Mincho" w:hAnsi="Palatino Linotype"/>
          <w:i/>
          <w:sz w:val="22"/>
          <w:szCs w:val="22"/>
          <w:shd w:val="clear" w:color="auto" w:fill="FFFFFF"/>
          <w:lang w:val="es-ES_tradnl"/>
        </w:rPr>
        <w:t>autoridad</w:t>
      </w:r>
      <w:r w:rsidRPr="004508D0">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4508D0">
        <w:rPr>
          <w:rFonts w:ascii="Palatino Linotype" w:hAnsi="Palatino Linotype"/>
          <w:b/>
          <w:i/>
          <w:sz w:val="22"/>
          <w:szCs w:val="22"/>
        </w:rPr>
        <w:t xml:space="preserve"> “</w:t>
      </w:r>
      <w:r w:rsidRPr="004508D0">
        <w:rPr>
          <w:rFonts w:ascii="Palatino Linotype" w:hAnsi="Palatino Linotype" w:cs="Arial"/>
          <w:i/>
          <w:sz w:val="22"/>
          <w:szCs w:val="22"/>
        </w:rPr>
        <w:t>(sic)</w:t>
      </w:r>
    </w:p>
    <w:p w14:paraId="6F076A44" w14:textId="77777777" w:rsidR="00ED4DF1" w:rsidRPr="004508D0" w:rsidRDefault="00ED4DF1" w:rsidP="00ED4DF1">
      <w:pPr>
        <w:autoSpaceDE w:val="0"/>
        <w:autoSpaceDN w:val="0"/>
        <w:adjustRightInd w:val="0"/>
        <w:ind w:left="851" w:right="901"/>
        <w:jc w:val="both"/>
        <w:rPr>
          <w:rFonts w:ascii="Palatino Linotype" w:hAnsi="Palatino Linotype" w:cs="Arial"/>
          <w:i/>
          <w:sz w:val="22"/>
          <w:szCs w:val="22"/>
        </w:rPr>
      </w:pPr>
    </w:p>
    <w:p w14:paraId="0A84AD70" w14:textId="77777777" w:rsidR="00ED4DF1" w:rsidRPr="004508D0" w:rsidRDefault="00ED4DF1" w:rsidP="00ED4DF1">
      <w:pPr>
        <w:autoSpaceDE w:val="0"/>
        <w:autoSpaceDN w:val="0"/>
        <w:adjustRightInd w:val="0"/>
        <w:spacing w:line="360" w:lineRule="auto"/>
        <w:jc w:val="both"/>
        <w:rPr>
          <w:rFonts w:ascii="Palatino Linotype" w:hAnsi="Palatino Linotype" w:cs="Arial"/>
        </w:rPr>
      </w:pPr>
      <w:r w:rsidRPr="004508D0">
        <w:rPr>
          <w:rFonts w:ascii="Palatino Linotype" w:hAnsi="Palatino Linotype" w:cs="Arial"/>
        </w:rPr>
        <w:t xml:space="preserve">Por su parte, David Cienfuegos Salgado, concibe al derecho de petición como: </w:t>
      </w:r>
    </w:p>
    <w:p w14:paraId="1EFE698C" w14:textId="77777777" w:rsidR="00ED4DF1" w:rsidRPr="004508D0" w:rsidRDefault="00ED4DF1" w:rsidP="00ED4DF1">
      <w:pPr>
        <w:autoSpaceDE w:val="0"/>
        <w:autoSpaceDN w:val="0"/>
        <w:adjustRightInd w:val="0"/>
        <w:jc w:val="both"/>
        <w:rPr>
          <w:rFonts w:ascii="Palatino Linotype" w:hAnsi="Palatino Linotype" w:cs="Arial"/>
        </w:rPr>
      </w:pPr>
    </w:p>
    <w:p w14:paraId="2123DAC1" w14:textId="77777777" w:rsidR="00ED4DF1" w:rsidRPr="004508D0" w:rsidRDefault="00ED4DF1" w:rsidP="009E4767">
      <w:pPr>
        <w:tabs>
          <w:tab w:val="left" w:pos="8222"/>
        </w:tabs>
        <w:ind w:left="851" w:right="899"/>
        <w:jc w:val="both"/>
        <w:rPr>
          <w:rFonts w:ascii="Palatino Linotype" w:hAnsi="Palatino Linotype" w:cs="Arial"/>
          <w:i/>
          <w:sz w:val="22"/>
          <w:szCs w:val="22"/>
        </w:rPr>
      </w:pPr>
      <w:r w:rsidRPr="004508D0">
        <w:rPr>
          <w:rFonts w:ascii="Palatino Linotype" w:hAnsi="Palatino Linotype" w:cs="Arial"/>
          <w:b/>
          <w:i/>
          <w:sz w:val="22"/>
          <w:szCs w:val="22"/>
        </w:rPr>
        <w:t>“</w:t>
      </w:r>
      <w:r w:rsidRPr="004508D0">
        <w:rPr>
          <w:rFonts w:ascii="Palatino Linotype" w:hAnsi="Palatino Linotype" w:cs="Arial"/>
          <w:i/>
          <w:sz w:val="22"/>
          <w:szCs w:val="22"/>
        </w:rPr>
        <w:t xml:space="preserve">el derecho de toda persona a ser </w:t>
      </w:r>
      <w:r w:rsidRPr="004508D0">
        <w:rPr>
          <w:rFonts w:ascii="Palatino Linotype" w:eastAsia="MS Mincho" w:hAnsi="Palatino Linotype"/>
          <w:i/>
          <w:sz w:val="22"/>
          <w:szCs w:val="22"/>
          <w:shd w:val="clear" w:color="auto" w:fill="FFFFFF"/>
          <w:lang w:val="es-ES_tradnl"/>
        </w:rPr>
        <w:t>escuchado</w:t>
      </w:r>
      <w:r w:rsidRPr="004508D0">
        <w:rPr>
          <w:rFonts w:ascii="Palatino Linotype" w:hAnsi="Palatino Linotype" w:cs="Arial"/>
          <w:i/>
          <w:sz w:val="22"/>
          <w:szCs w:val="22"/>
        </w:rPr>
        <w:t xml:space="preserve"> por quienes ejercen el poder público.</w:t>
      </w:r>
      <w:r w:rsidRPr="004508D0">
        <w:rPr>
          <w:rFonts w:ascii="Palatino Linotype" w:hAnsi="Palatino Linotype" w:cs="Arial"/>
          <w:b/>
          <w:i/>
          <w:sz w:val="22"/>
          <w:szCs w:val="22"/>
        </w:rPr>
        <w:t>”</w:t>
      </w:r>
      <w:r w:rsidRPr="004508D0">
        <w:rPr>
          <w:rFonts w:ascii="Palatino Linotype" w:hAnsi="Palatino Linotype" w:cs="Arial"/>
          <w:i/>
          <w:sz w:val="22"/>
          <w:szCs w:val="22"/>
        </w:rPr>
        <w:t xml:space="preserve"> (Sic) </w:t>
      </w:r>
    </w:p>
    <w:p w14:paraId="778BEF1C" w14:textId="77777777" w:rsidR="00ED4DF1" w:rsidRPr="004508D0" w:rsidRDefault="00ED4DF1" w:rsidP="00ED4DF1">
      <w:pPr>
        <w:autoSpaceDE w:val="0"/>
        <w:autoSpaceDN w:val="0"/>
        <w:adjustRightInd w:val="0"/>
        <w:ind w:left="851" w:right="901"/>
        <w:jc w:val="both"/>
        <w:rPr>
          <w:rFonts w:ascii="Palatino Linotype" w:hAnsi="Palatino Linotype" w:cs="Arial"/>
          <w:i/>
          <w:sz w:val="22"/>
          <w:szCs w:val="22"/>
        </w:rPr>
      </w:pPr>
    </w:p>
    <w:p w14:paraId="4E60EC93"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760905A" w14:textId="77777777" w:rsidR="00ED4DF1" w:rsidRPr="004508D0" w:rsidRDefault="00ED4DF1" w:rsidP="00ED4DF1">
      <w:pPr>
        <w:jc w:val="both"/>
        <w:rPr>
          <w:rFonts w:ascii="Palatino Linotype" w:hAnsi="Palatino Linotype" w:cs="Arial"/>
        </w:rPr>
      </w:pPr>
    </w:p>
    <w:p w14:paraId="4E8EBB70" w14:textId="77777777" w:rsidR="00ED4DF1" w:rsidRPr="004508D0" w:rsidRDefault="00ED4DF1" w:rsidP="009E4767">
      <w:pPr>
        <w:tabs>
          <w:tab w:val="left" w:pos="8222"/>
        </w:tabs>
        <w:ind w:left="851" w:right="899"/>
        <w:jc w:val="both"/>
        <w:rPr>
          <w:rFonts w:ascii="Palatino Linotype" w:hAnsi="Palatino Linotype" w:cs="Arial"/>
          <w:i/>
          <w:sz w:val="22"/>
          <w:szCs w:val="22"/>
        </w:rPr>
      </w:pPr>
      <w:r w:rsidRPr="004508D0">
        <w:rPr>
          <w:rFonts w:ascii="Palatino Linotype" w:hAnsi="Palatino Linotype" w:cs="Arial"/>
          <w:b/>
          <w:i/>
          <w:sz w:val="22"/>
          <w:szCs w:val="22"/>
        </w:rPr>
        <w:t>“</w:t>
      </w:r>
      <w:r w:rsidRPr="004508D0">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4508D0">
        <w:rPr>
          <w:rFonts w:ascii="Palatino Linotype" w:eastAsia="MS Mincho" w:hAnsi="Palatino Linotype"/>
          <w:i/>
          <w:sz w:val="22"/>
          <w:szCs w:val="22"/>
          <w:shd w:val="clear" w:color="auto" w:fill="FFFFFF"/>
          <w:lang w:val="es-ES_tradnl"/>
        </w:rPr>
        <w:t>claridad</w:t>
      </w:r>
      <w:r w:rsidRPr="004508D0">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4508D0">
        <w:rPr>
          <w:rFonts w:ascii="Palatino Linotype" w:hAnsi="Palatino Linotype" w:cs="Arial"/>
          <w:b/>
          <w:i/>
          <w:sz w:val="22"/>
          <w:szCs w:val="22"/>
        </w:rPr>
        <w:t>”</w:t>
      </w:r>
      <w:r w:rsidRPr="004508D0">
        <w:rPr>
          <w:rFonts w:ascii="Palatino Linotype" w:hAnsi="Palatino Linotype" w:cs="Arial"/>
          <w:i/>
          <w:sz w:val="22"/>
          <w:szCs w:val="22"/>
        </w:rPr>
        <w:t xml:space="preserve"> (Sic) </w:t>
      </w:r>
    </w:p>
    <w:p w14:paraId="54B9A382" w14:textId="77777777" w:rsidR="00ED4DF1" w:rsidRPr="004508D0" w:rsidRDefault="00ED4DF1" w:rsidP="00ED4DF1">
      <w:pPr>
        <w:ind w:right="901"/>
        <w:jc w:val="both"/>
        <w:rPr>
          <w:rFonts w:ascii="Palatino Linotype" w:hAnsi="Palatino Linotype" w:cs="Arial"/>
          <w:i/>
          <w:sz w:val="22"/>
          <w:szCs w:val="22"/>
        </w:rPr>
      </w:pPr>
    </w:p>
    <w:p w14:paraId="70C29AAD" w14:textId="77777777" w:rsidR="00ED4DF1" w:rsidRPr="004508D0" w:rsidRDefault="00ED4DF1" w:rsidP="00ED4DF1">
      <w:pPr>
        <w:spacing w:line="360" w:lineRule="auto"/>
        <w:jc w:val="both"/>
        <w:rPr>
          <w:rFonts w:ascii="Palatino Linotype" w:hAnsi="Palatino Linotype"/>
        </w:rPr>
      </w:pPr>
      <w:r w:rsidRPr="004508D0">
        <w:rPr>
          <w:rFonts w:ascii="Palatino Linotype" w:hAnsi="Palatino Linotype" w:cs="Arial"/>
        </w:rPr>
        <w:t xml:space="preserve">Ahora bien, el derecho </w:t>
      </w:r>
      <w:r w:rsidRPr="004508D0">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4B4C0A0" w14:textId="77777777" w:rsidR="00ED4DF1" w:rsidRPr="004508D0" w:rsidRDefault="00ED4DF1" w:rsidP="00ED4DF1">
      <w:pPr>
        <w:spacing w:line="360" w:lineRule="auto"/>
        <w:jc w:val="both"/>
        <w:rPr>
          <w:rFonts w:ascii="Palatino Linotype" w:hAnsi="Palatino Linotype"/>
        </w:rPr>
      </w:pPr>
    </w:p>
    <w:p w14:paraId="554EBBFA" w14:textId="3B60E190" w:rsidR="00ED4DF1" w:rsidRPr="004508D0" w:rsidRDefault="00724A05" w:rsidP="00ED4DF1">
      <w:pPr>
        <w:spacing w:line="360" w:lineRule="auto"/>
        <w:jc w:val="both"/>
        <w:rPr>
          <w:rFonts w:ascii="Palatino Linotype" w:hAnsi="Palatino Linotype" w:cs="Arial"/>
        </w:rPr>
      </w:pPr>
      <w:r w:rsidRPr="004508D0">
        <w:rPr>
          <w:rFonts w:ascii="Palatino Linotype" w:hAnsi="Palatino Linotype" w:cs="Arial"/>
        </w:rPr>
        <w:t>Mientras</w:t>
      </w:r>
      <w:r w:rsidR="00ED4DF1" w:rsidRPr="004508D0">
        <w:rPr>
          <w:rFonts w:ascii="Palatino Linotype" w:hAnsi="Palatino Linotype" w:cs="Arial"/>
        </w:rPr>
        <w:t xml:space="preserve">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88E376B" w14:textId="77777777" w:rsidR="00ED4DF1" w:rsidRPr="004508D0" w:rsidRDefault="00ED4DF1" w:rsidP="00ED4DF1">
      <w:pPr>
        <w:spacing w:line="360" w:lineRule="auto"/>
        <w:jc w:val="both"/>
        <w:rPr>
          <w:rFonts w:ascii="Palatino Linotype" w:hAnsi="Palatino Linotype" w:cs="Arial"/>
        </w:rPr>
      </w:pPr>
    </w:p>
    <w:p w14:paraId="12F0D64C" w14:textId="7F5ADEDA"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w:t>
      </w:r>
      <w:r w:rsidRPr="004508D0">
        <w:rPr>
          <w:rFonts w:ascii="Palatino Linotype" w:hAnsi="Palatino Linotype" w:cs="Arial"/>
        </w:rPr>
        <w:lastRenderedPageBreak/>
        <w:t>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w:t>
      </w:r>
      <w:r w:rsidR="00724A05" w:rsidRPr="004508D0">
        <w:rPr>
          <w:rFonts w:ascii="Palatino Linotype" w:hAnsi="Palatino Linotype" w:cs="Arial"/>
        </w:rPr>
        <w:t xml:space="preserve"> aunado a lo anterior se debe privilegiar </w:t>
      </w:r>
      <w:r w:rsidRPr="004508D0">
        <w:rPr>
          <w:rFonts w:ascii="Palatino Linotype" w:hAnsi="Palatino Linotype" w:cs="Arial"/>
        </w:rPr>
        <w:t xml:space="preserve">el principio de máxima publicidad de la información. </w:t>
      </w:r>
    </w:p>
    <w:p w14:paraId="3C59CD98" w14:textId="77777777" w:rsidR="00ED4DF1" w:rsidRPr="004508D0" w:rsidRDefault="00ED4DF1" w:rsidP="00ED4DF1">
      <w:pPr>
        <w:spacing w:line="360" w:lineRule="auto"/>
        <w:jc w:val="both"/>
        <w:rPr>
          <w:rFonts w:ascii="Palatino Linotype" w:hAnsi="Palatino Linotype" w:cs="Arial"/>
        </w:rPr>
      </w:pPr>
    </w:p>
    <w:p w14:paraId="5C310B98"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096BC14" w14:textId="77777777" w:rsidR="00ED4DF1" w:rsidRPr="004508D0" w:rsidRDefault="00ED4DF1" w:rsidP="00ED4DF1">
      <w:pPr>
        <w:spacing w:line="360" w:lineRule="auto"/>
        <w:jc w:val="both"/>
        <w:rPr>
          <w:rFonts w:ascii="Palatino Linotype" w:hAnsi="Palatino Linotype" w:cs="Arial"/>
        </w:rPr>
      </w:pPr>
    </w:p>
    <w:p w14:paraId="11BA40C2"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Lo anterior, tiene sustento en los artículos 3 fracciones XI y XXII; 4; 11 y 12 de la Ley de Transparencia y Acceso a la Información Pública del Estado de México y Municipios:</w:t>
      </w:r>
    </w:p>
    <w:p w14:paraId="3152FEC3" w14:textId="77777777" w:rsidR="00ED4DF1" w:rsidRPr="004508D0" w:rsidRDefault="00ED4DF1" w:rsidP="00ED4DF1">
      <w:pPr>
        <w:jc w:val="both"/>
        <w:rPr>
          <w:rFonts w:ascii="Palatino Linotype" w:hAnsi="Palatino Linotype" w:cs="Arial"/>
        </w:rPr>
      </w:pPr>
    </w:p>
    <w:p w14:paraId="58043FBA" w14:textId="77777777" w:rsidR="00ED4DF1" w:rsidRPr="004508D0" w:rsidRDefault="00ED4DF1" w:rsidP="009E4767">
      <w:pPr>
        <w:tabs>
          <w:tab w:val="left" w:pos="8080"/>
        </w:tabs>
        <w:ind w:left="851" w:right="992"/>
        <w:jc w:val="both"/>
        <w:rPr>
          <w:rFonts w:ascii="Palatino Linotype" w:hAnsi="Palatino Linotype" w:cs="Arial"/>
          <w:bCs/>
          <w:i/>
          <w:noProof/>
          <w:sz w:val="22"/>
        </w:rPr>
      </w:pPr>
      <w:r w:rsidRPr="004508D0">
        <w:rPr>
          <w:rFonts w:ascii="Palatino Linotype" w:hAnsi="Palatino Linotype" w:cs="Arial"/>
          <w:b/>
          <w:bCs/>
          <w:i/>
          <w:noProof/>
          <w:sz w:val="22"/>
        </w:rPr>
        <w:t xml:space="preserve">“Artículo 3. Para los efectos </w:t>
      </w:r>
      <w:r w:rsidRPr="004508D0">
        <w:rPr>
          <w:rFonts w:ascii="Palatino Linotype" w:hAnsi="Palatino Linotype" w:cs="Arial"/>
          <w:b/>
          <w:i/>
          <w:sz w:val="22"/>
          <w:szCs w:val="22"/>
        </w:rPr>
        <w:t>de</w:t>
      </w:r>
      <w:r w:rsidRPr="004508D0">
        <w:rPr>
          <w:rFonts w:ascii="Palatino Linotype" w:hAnsi="Palatino Linotype" w:cs="Arial"/>
          <w:b/>
          <w:bCs/>
          <w:i/>
          <w:noProof/>
          <w:sz w:val="22"/>
        </w:rPr>
        <w:t xml:space="preserve"> la presente Ley se entenderá por: </w:t>
      </w:r>
      <w:r w:rsidRPr="004508D0">
        <w:rPr>
          <w:rFonts w:ascii="Palatino Linotype" w:hAnsi="Palatino Linotype" w:cs="Arial"/>
          <w:bCs/>
          <w:i/>
          <w:noProof/>
          <w:sz w:val="22"/>
        </w:rPr>
        <w:t>…</w:t>
      </w:r>
    </w:p>
    <w:p w14:paraId="360DA7F3" w14:textId="77777777" w:rsidR="00ED4DF1" w:rsidRPr="004508D0" w:rsidRDefault="00ED4DF1" w:rsidP="009E4767">
      <w:pPr>
        <w:tabs>
          <w:tab w:val="left" w:pos="8080"/>
        </w:tabs>
        <w:ind w:left="851" w:right="992"/>
        <w:jc w:val="both"/>
        <w:rPr>
          <w:rFonts w:ascii="Palatino Linotype" w:hAnsi="Palatino Linotype" w:cs="Arial"/>
          <w:bCs/>
          <w:i/>
          <w:noProof/>
          <w:sz w:val="22"/>
        </w:rPr>
      </w:pPr>
      <w:r w:rsidRPr="004508D0">
        <w:rPr>
          <w:rFonts w:ascii="Palatino Linotype" w:hAnsi="Palatino Linotype" w:cs="Arial"/>
          <w:bCs/>
          <w:i/>
          <w:noProof/>
          <w:sz w:val="22"/>
        </w:rPr>
        <w:t>…</w:t>
      </w:r>
    </w:p>
    <w:p w14:paraId="44F0E5E6" w14:textId="77777777" w:rsidR="00ED4DF1" w:rsidRPr="004508D0" w:rsidRDefault="00ED4DF1" w:rsidP="009E4767">
      <w:pPr>
        <w:tabs>
          <w:tab w:val="left" w:pos="8080"/>
        </w:tabs>
        <w:ind w:left="851" w:right="992"/>
        <w:jc w:val="both"/>
        <w:rPr>
          <w:rFonts w:ascii="Palatino Linotype" w:hAnsi="Palatino Linotype" w:cs="Arial"/>
          <w:bCs/>
          <w:i/>
          <w:noProof/>
          <w:sz w:val="22"/>
        </w:rPr>
      </w:pPr>
      <w:r w:rsidRPr="004508D0">
        <w:rPr>
          <w:rFonts w:ascii="Palatino Linotype" w:hAnsi="Palatino Linotype" w:cs="Arial"/>
          <w:b/>
          <w:bCs/>
          <w:i/>
          <w:noProof/>
          <w:sz w:val="22"/>
        </w:rPr>
        <w:t>XI. Documento:</w:t>
      </w:r>
      <w:r w:rsidRPr="004508D0">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8B0937A" w14:textId="77777777" w:rsidR="00ED4DF1" w:rsidRPr="004508D0" w:rsidRDefault="00ED4DF1" w:rsidP="009E4767">
      <w:pPr>
        <w:tabs>
          <w:tab w:val="left" w:pos="2670"/>
          <w:tab w:val="left" w:pos="8080"/>
        </w:tabs>
        <w:ind w:left="851" w:right="992"/>
        <w:jc w:val="both"/>
        <w:rPr>
          <w:rFonts w:ascii="Palatino Linotype" w:hAnsi="Palatino Linotype" w:cs="Arial"/>
          <w:bCs/>
          <w:i/>
          <w:noProof/>
          <w:sz w:val="22"/>
        </w:rPr>
      </w:pPr>
      <w:r w:rsidRPr="004508D0">
        <w:rPr>
          <w:rFonts w:ascii="Palatino Linotype" w:hAnsi="Palatino Linotype" w:cs="Arial"/>
          <w:bCs/>
          <w:i/>
          <w:noProof/>
          <w:sz w:val="22"/>
        </w:rPr>
        <w:t>…</w:t>
      </w:r>
      <w:r w:rsidRPr="004508D0">
        <w:rPr>
          <w:rFonts w:ascii="Palatino Linotype" w:hAnsi="Palatino Linotype" w:cs="Arial"/>
          <w:bCs/>
          <w:i/>
          <w:noProof/>
          <w:sz w:val="22"/>
        </w:rPr>
        <w:tab/>
      </w:r>
    </w:p>
    <w:p w14:paraId="591690E0" w14:textId="77777777" w:rsidR="00ED4DF1" w:rsidRPr="004508D0" w:rsidRDefault="00ED4DF1" w:rsidP="009E4767">
      <w:pPr>
        <w:tabs>
          <w:tab w:val="left" w:pos="8080"/>
        </w:tabs>
        <w:ind w:left="851" w:right="992"/>
        <w:jc w:val="both"/>
        <w:rPr>
          <w:rFonts w:ascii="Palatino Linotype" w:hAnsi="Palatino Linotype" w:cs="Arial"/>
          <w:bCs/>
          <w:i/>
          <w:noProof/>
          <w:sz w:val="22"/>
        </w:rPr>
      </w:pPr>
      <w:r w:rsidRPr="004508D0">
        <w:rPr>
          <w:rFonts w:ascii="Palatino Linotype" w:hAnsi="Palatino Linotype" w:cs="Arial"/>
          <w:b/>
          <w:bCs/>
          <w:i/>
          <w:noProof/>
          <w:sz w:val="22"/>
        </w:rPr>
        <w:t>XXII.</w:t>
      </w:r>
      <w:r w:rsidRPr="004508D0">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51C0CE3F"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
          <w:bCs/>
          <w:i/>
          <w:noProof/>
          <w:sz w:val="22"/>
        </w:rPr>
        <w:lastRenderedPageBreak/>
        <w:t>Artículo 4.</w:t>
      </w:r>
      <w:r w:rsidRPr="004508D0">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B51DCD"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B453648"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29406F41"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
          <w:bCs/>
          <w:i/>
          <w:noProof/>
          <w:sz w:val="22"/>
        </w:rPr>
        <w:t>Artículo 11.-</w:t>
      </w:r>
      <w:r w:rsidRPr="004508D0">
        <w:rPr>
          <w:rFonts w:ascii="Palatino Linotype" w:hAnsi="Palatino Linotype" w:cs="Arial"/>
          <w:bCs/>
          <w:i/>
          <w:noProof/>
          <w:sz w:val="22"/>
        </w:rPr>
        <w:t xml:space="preserve"> Los Sujetos Obligados sólo proporcionarán la información que generen en el ejercicio de sus atribuciones.</w:t>
      </w:r>
    </w:p>
    <w:p w14:paraId="27F8D746"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
          <w:bCs/>
          <w:i/>
          <w:noProof/>
          <w:sz w:val="22"/>
        </w:rPr>
        <w:t>Artículo 12.</w:t>
      </w:r>
      <w:r w:rsidRPr="004508D0">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106756EC"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7E61F1" w14:textId="77777777" w:rsidR="00ED4DF1" w:rsidRPr="004508D0" w:rsidRDefault="00ED4DF1" w:rsidP="00ED4DF1">
      <w:pPr>
        <w:tabs>
          <w:tab w:val="left" w:pos="8222"/>
        </w:tabs>
        <w:ind w:left="851" w:right="992"/>
        <w:jc w:val="both"/>
        <w:rPr>
          <w:rFonts w:ascii="Palatino Linotype" w:hAnsi="Palatino Linotype" w:cs="Arial"/>
          <w:bCs/>
          <w:i/>
          <w:noProof/>
          <w:sz w:val="22"/>
        </w:rPr>
      </w:pPr>
      <w:r w:rsidRPr="004508D0">
        <w:rPr>
          <w:rFonts w:ascii="Palatino Linotype" w:hAnsi="Palatino Linotype" w:cs="Arial"/>
          <w:bCs/>
          <w:i/>
          <w:noProof/>
          <w:sz w:val="22"/>
        </w:rPr>
        <w:t>(Ënfasis añadido)</w:t>
      </w:r>
    </w:p>
    <w:p w14:paraId="76803BF4" w14:textId="77777777" w:rsidR="00ED4DF1" w:rsidRPr="004508D0" w:rsidRDefault="00ED4DF1" w:rsidP="00ED4DF1">
      <w:pPr>
        <w:ind w:left="851" w:right="901"/>
        <w:jc w:val="both"/>
        <w:rPr>
          <w:rFonts w:ascii="Palatino Linotype" w:hAnsi="Palatino Linotype" w:cs="Arial"/>
          <w:bCs/>
          <w:i/>
          <w:noProof/>
          <w:sz w:val="22"/>
        </w:rPr>
      </w:pPr>
    </w:p>
    <w:p w14:paraId="308904F0"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138F4A6D" w14:textId="77777777" w:rsidR="00ED4DF1" w:rsidRPr="004508D0" w:rsidRDefault="00ED4DF1" w:rsidP="00ED4DF1">
      <w:pPr>
        <w:spacing w:line="360" w:lineRule="auto"/>
        <w:jc w:val="both"/>
        <w:rPr>
          <w:rFonts w:ascii="Palatino Linotype" w:hAnsi="Palatino Linotype" w:cs="Arial"/>
        </w:rPr>
      </w:pPr>
    </w:p>
    <w:p w14:paraId="7B26E5E6"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 xml:space="preserve">Para ello, la Ley de la materia otorga la calidad de documento a los expedientes, reportes, estudios, actas, resoluciones, oficios, correspondencia, acuerdos, directivas, </w:t>
      </w:r>
      <w:r w:rsidRPr="004508D0">
        <w:rPr>
          <w:rFonts w:ascii="Palatino Linotype" w:hAnsi="Palatino Linotype" w:cs="Arial"/>
        </w:rPr>
        <w:lastRenderedPageBreak/>
        <w:t xml:space="preserve">directrices, circulares, contratos, convenios, instructivos, notas, memorandos, estadísticas o bien, </w:t>
      </w:r>
      <w:r w:rsidRPr="004508D0">
        <w:rPr>
          <w:rFonts w:ascii="Palatino Linotype" w:hAnsi="Palatino Linotype" w:cs="Arial"/>
          <w:b/>
        </w:rPr>
        <w:t>cualquier otro registro que documente el ejercicio de las facultades, funciones y competencias de los sujetos obligados</w:t>
      </w:r>
      <w:r w:rsidRPr="004508D0">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E4EB280" w14:textId="77777777" w:rsidR="00ED4DF1" w:rsidRPr="004508D0" w:rsidRDefault="00ED4DF1" w:rsidP="00ED4DF1">
      <w:pPr>
        <w:spacing w:line="360" w:lineRule="auto"/>
        <w:jc w:val="both"/>
        <w:rPr>
          <w:rFonts w:ascii="Palatino Linotype" w:hAnsi="Palatino Linotype" w:cs="Arial"/>
        </w:rPr>
      </w:pPr>
    </w:p>
    <w:p w14:paraId="4C229B69" w14:textId="77777777" w:rsidR="00ED4DF1" w:rsidRPr="004508D0" w:rsidRDefault="00ED4DF1" w:rsidP="00ED4DF1">
      <w:pPr>
        <w:spacing w:line="360" w:lineRule="auto"/>
        <w:jc w:val="both"/>
        <w:rPr>
          <w:rFonts w:ascii="Palatino Linotype" w:hAnsi="Palatino Linotype" w:cs="Arial"/>
        </w:rPr>
      </w:pPr>
      <w:r w:rsidRPr="004508D0">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6B0ECD9" w14:textId="77777777" w:rsidR="00ED4DF1" w:rsidRPr="004508D0" w:rsidRDefault="00ED4DF1" w:rsidP="00ED4DF1">
      <w:pPr>
        <w:spacing w:line="360" w:lineRule="auto"/>
        <w:jc w:val="both"/>
        <w:rPr>
          <w:rFonts w:ascii="Palatino Linotype" w:hAnsi="Palatino Linotype" w:cs="Arial"/>
        </w:rPr>
      </w:pPr>
    </w:p>
    <w:p w14:paraId="2C7B3BA4" w14:textId="77777777" w:rsidR="00ED4DF1" w:rsidRPr="004508D0" w:rsidRDefault="00ED4DF1" w:rsidP="00ED4DF1">
      <w:pPr>
        <w:spacing w:line="360" w:lineRule="auto"/>
        <w:jc w:val="both"/>
        <w:rPr>
          <w:rFonts w:ascii="Palatino Linotype" w:hAnsi="Palatino Linotype" w:cs="Arial"/>
          <w:lang w:eastAsia="es-MX"/>
        </w:rPr>
      </w:pPr>
      <w:r w:rsidRPr="004508D0">
        <w:rPr>
          <w:rFonts w:ascii="Palatino Linotype" w:hAnsi="Palatino Linotype" w:cs="Arial"/>
          <w:lang w:eastAsia="es-MX"/>
        </w:rPr>
        <w:t xml:space="preserve">Aunado a lo anterior, el doctrinario Ernesto Villanueva Villanueva define al derecho de acceso a la información como: </w:t>
      </w:r>
    </w:p>
    <w:p w14:paraId="0EABD142" w14:textId="77777777" w:rsidR="00ED4DF1" w:rsidRPr="004508D0" w:rsidRDefault="00ED4DF1" w:rsidP="00ED4DF1">
      <w:pPr>
        <w:jc w:val="both"/>
        <w:rPr>
          <w:rFonts w:ascii="Palatino Linotype" w:hAnsi="Palatino Linotype" w:cs="Arial"/>
          <w:lang w:eastAsia="es-MX"/>
        </w:rPr>
      </w:pPr>
    </w:p>
    <w:p w14:paraId="708779CF" w14:textId="77777777" w:rsidR="00ED4DF1" w:rsidRPr="004508D0" w:rsidRDefault="00ED4DF1" w:rsidP="009E4767">
      <w:pPr>
        <w:tabs>
          <w:tab w:val="left" w:pos="8222"/>
        </w:tabs>
        <w:ind w:left="851" w:right="899"/>
        <w:jc w:val="both"/>
        <w:rPr>
          <w:rFonts w:ascii="Palatino Linotype" w:hAnsi="Palatino Linotype" w:cs="Arial"/>
          <w:i/>
          <w:sz w:val="22"/>
          <w:szCs w:val="22"/>
          <w:lang w:eastAsia="es-MX"/>
        </w:rPr>
      </w:pPr>
      <w:r w:rsidRPr="004508D0">
        <w:rPr>
          <w:rFonts w:ascii="Palatino Linotype" w:hAnsi="Palatino Linotype" w:cs="Arial"/>
          <w:b/>
          <w:i/>
          <w:sz w:val="22"/>
          <w:szCs w:val="22"/>
          <w:lang w:eastAsia="es-MX"/>
        </w:rPr>
        <w:t>“</w:t>
      </w:r>
      <w:r w:rsidRPr="004508D0">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508D0">
        <w:rPr>
          <w:rFonts w:ascii="Palatino Linotype" w:hAnsi="Palatino Linotype" w:cs="Arial"/>
          <w:b/>
          <w:i/>
          <w:sz w:val="22"/>
          <w:szCs w:val="22"/>
          <w:lang w:eastAsia="es-MX"/>
        </w:rPr>
        <w:t>”</w:t>
      </w:r>
      <w:r w:rsidRPr="004508D0">
        <w:rPr>
          <w:rFonts w:ascii="Palatino Linotype" w:hAnsi="Palatino Linotype" w:cs="Arial"/>
          <w:i/>
          <w:sz w:val="22"/>
          <w:szCs w:val="22"/>
          <w:vertAlign w:val="superscript"/>
          <w:lang w:eastAsia="es-MX"/>
        </w:rPr>
        <w:t xml:space="preserve"> </w:t>
      </w:r>
      <w:r w:rsidRPr="004508D0">
        <w:rPr>
          <w:rFonts w:ascii="Palatino Linotype" w:hAnsi="Palatino Linotype" w:cs="Arial"/>
          <w:i/>
          <w:sz w:val="22"/>
          <w:szCs w:val="22"/>
          <w:lang w:eastAsia="es-MX"/>
        </w:rPr>
        <w:t xml:space="preserve">(Sic) </w:t>
      </w:r>
    </w:p>
    <w:p w14:paraId="1858FA2E" w14:textId="77777777" w:rsidR="00ED4DF1" w:rsidRPr="004508D0" w:rsidRDefault="00ED4DF1" w:rsidP="00ED4DF1">
      <w:pPr>
        <w:ind w:left="851" w:right="902"/>
        <w:jc w:val="both"/>
        <w:rPr>
          <w:rFonts w:ascii="Palatino Linotype" w:hAnsi="Palatino Linotype" w:cs="Arial"/>
          <w:i/>
          <w:sz w:val="22"/>
          <w:szCs w:val="22"/>
        </w:rPr>
      </w:pPr>
    </w:p>
    <w:p w14:paraId="2882737B" w14:textId="77777777" w:rsidR="00ED4DF1" w:rsidRPr="004508D0" w:rsidRDefault="00ED4DF1" w:rsidP="00ED4DF1">
      <w:pPr>
        <w:spacing w:line="360" w:lineRule="auto"/>
        <w:jc w:val="both"/>
        <w:rPr>
          <w:rFonts w:ascii="Palatino Linotype" w:hAnsi="Palatino Linotype" w:cs="Arial"/>
          <w:b/>
          <w:u w:val="single"/>
        </w:rPr>
      </w:pPr>
      <w:r w:rsidRPr="004508D0">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4508D0">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4508D0">
        <w:rPr>
          <w:rFonts w:ascii="Palatino Linotype" w:hAnsi="Palatino Linotype" w:cs="Arial"/>
          <w:bCs/>
          <w:lang w:eastAsia="es-CO"/>
        </w:rPr>
        <w:lastRenderedPageBreak/>
        <w:t xml:space="preserve">segundo supuesto </w:t>
      </w:r>
      <w:r w:rsidRPr="004508D0">
        <w:rPr>
          <w:rFonts w:ascii="Palatino Linotype" w:hAnsi="Palatino Linotype" w:cs="Arial"/>
          <w:b/>
          <w:bCs/>
          <w:u w:val="single"/>
          <w:lang w:eastAsia="es-CO"/>
        </w:rPr>
        <w:t>la solicitud de acceso a la información pública se encamina primordialmente a</w:t>
      </w:r>
      <w:r w:rsidRPr="004508D0">
        <w:rPr>
          <w:rFonts w:ascii="Palatino Linotype" w:hAnsi="Palatino Linotype" w:cs="Arial"/>
          <w:b/>
          <w:u w:val="single"/>
        </w:rPr>
        <w:t xml:space="preserve"> permitir el </w:t>
      </w:r>
      <w:r w:rsidRPr="004508D0">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4508D0">
        <w:rPr>
          <w:rFonts w:ascii="Palatino Linotype" w:hAnsi="Palatino Linotype" w:cs="Arial"/>
          <w:b/>
          <w:u w:val="single"/>
        </w:rPr>
        <w:t xml:space="preserve">la autoridad. </w:t>
      </w:r>
    </w:p>
    <w:p w14:paraId="2F94F513" w14:textId="77777777" w:rsidR="00ED4DF1" w:rsidRPr="004508D0" w:rsidRDefault="00ED4DF1" w:rsidP="00ED4DF1">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p>
    <w:p w14:paraId="008AA702" w14:textId="77777777" w:rsidR="00ED4DF1" w:rsidRPr="004508D0" w:rsidRDefault="00ED4DF1" w:rsidP="00ED4DF1">
      <w:pPr>
        <w:pStyle w:val="paragraph"/>
        <w:spacing w:before="0" w:beforeAutospacing="0" w:after="0" w:afterAutospacing="0" w:line="360" w:lineRule="auto"/>
        <w:jc w:val="both"/>
        <w:textAlignment w:val="baseline"/>
        <w:rPr>
          <w:rFonts w:ascii="Palatino Linotype" w:eastAsia="Times New Roman" w:hAnsi="Palatino Linotype" w:cs="Segoe UI"/>
          <w:sz w:val="24"/>
          <w:szCs w:val="24"/>
        </w:rPr>
      </w:pPr>
      <w:r w:rsidRPr="004508D0">
        <w:rPr>
          <w:rFonts w:ascii="Palatino Linotype" w:eastAsia="Times New Roman" w:hAnsi="Palatino Linotype" w:cs="Segoe UI"/>
          <w:sz w:val="24"/>
          <w:szCs w:val="24"/>
        </w:rPr>
        <w:t xml:space="preserve">Derivado de lo anterior, este Órgano determina que no es procedente la entrega de información al corresponder a un derecho de petición. </w:t>
      </w:r>
    </w:p>
    <w:p w14:paraId="6235A7AE" w14:textId="77777777" w:rsidR="00ED4DF1" w:rsidRPr="004508D0" w:rsidRDefault="00ED4DF1" w:rsidP="00ED4DF1"/>
    <w:p w14:paraId="76C10C43" w14:textId="66CB6476" w:rsidR="009B5FC2" w:rsidRPr="004508D0" w:rsidRDefault="009D3546" w:rsidP="009B5FC2">
      <w:pPr>
        <w:spacing w:before="100" w:beforeAutospacing="1" w:after="100" w:afterAutospacing="1" w:line="360" w:lineRule="auto"/>
        <w:jc w:val="both"/>
        <w:rPr>
          <w:rFonts w:ascii="Palatino Linotype" w:hAnsi="Palatino Linotype"/>
          <w:bCs/>
        </w:rPr>
      </w:pPr>
      <w:r w:rsidRPr="004508D0">
        <w:rPr>
          <w:rFonts w:ascii="Palatino Linotype" w:hAnsi="Palatino Linotype" w:cs="Arial"/>
        </w:rPr>
        <w:t>Finalmente</w:t>
      </w:r>
      <w:r w:rsidR="009B5FC2" w:rsidRPr="004508D0">
        <w:rPr>
          <w:rFonts w:ascii="Palatino Linotype" w:hAnsi="Palatino Linotype" w:cs="Arial"/>
        </w:rPr>
        <w:t>,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7005B27"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w:t>
      </w:r>
      <w:r w:rsidRPr="004508D0">
        <w:rPr>
          <w:rFonts w:ascii="Palatino Linotype" w:hAnsi="Palatino Linotype" w:cs="Arial"/>
          <w:b/>
          <w:i/>
          <w:sz w:val="22"/>
        </w:rPr>
        <w:t>Artículo 179</w:t>
      </w:r>
      <w:r w:rsidRPr="004508D0">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13B5C7E7" w14:textId="77777777" w:rsidR="009B5FC2" w:rsidRPr="004508D0" w:rsidRDefault="009B5FC2" w:rsidP="009E4767">
      <w:pPr>
        <w:ind w:left="851" w:right="899"/>
        <w:jc w:val="both"/>
        <w:rPr>
          <w:rFonts w:ascii="Palatino Linotype" w:hAnsi="Palatino Linotype" w:cs="Arial"/>
          <w:i/>
          <w:sz w:val="22"/>
        </w:rPr>
      </w:pPr>
    </w:p>
    <w:p w14:paraId="3FC2AF80"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I. La negativa a la información solicitada;</w:t>
      </w:r>
    </w:p>
    <w:p w14:paraId="2AD39F63"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II. La clasificación de la información;</w:t>
      </w:r>
    </w:p>
    <w:p w14:paraId="1396634C"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III. La declaración de inexistencia de la información;</w:t>
      </w:r>
    </w:p>
    <w:p w14:paraId="0B6C1548"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IV. La declaración de incompetencia por el sujeto obligado;</w:t>
      </w:r>
    </w:p>
    <w:p w14:paraId="4C792740"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V. La entrega de información incompleta;</w:t>
      </w:r>
    </w:p>
    <w:p w14:paraId="5EE38FA6"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VI. La entrega de información que no corresponda con lo solicitado;</w:t>
      </w:r>
    </w:p>
    <w:p w14:paraId="5B0AC57E"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VII. La falta de respuesta a una solicitud de acceso a la información;</w:t>
      </w:r>
    </w:p>
    <w:p w14:paraId="47476C15"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VIII. La notificación, entrega o puesta a disposición de información en una modalidad o formato distinto al solicitado;</w:t>
      </w:r>
    </w:p>
    <w:p w14:paraId="1A0A3E65"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IX. La entrega o puesta a disposición de información en un formato incomprensible y/o no accesible para el solicitante;</w:t>
      </w:r>
    </w:p>
    <w:p w14:paraId="1608573A"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lastRenderedPageBreak/>
        <w:t>X. Los costos o tiempos de entrega de la información;</w:t>
      </w:r>
    </w:p>
    <w:p w14:paraId="5906F7D4"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XI. La falta de trámite a una solicitud;</w:t>
      </w:r>
    </w:p>
    <w:p w14:paraId="7B5E5CD9"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XII. La negativa a permitir la consulta directa de la información;</w:t>
      </w:r>
    </w:p>
    <w:p w14:paraId="6E1CF30E"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XIII. La falta, deficiencia o insuficiencia de la fundamentación y/o motivación en la respuesta; y</w:t>
      </w:r>
    </w:p>
    <w:p w14:paraId="67A55499"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XIV. La orientación a un trámite específico.</w:t>
      </w:r>
    </w:p>
    <w:p w14:paraId="4CAB5CCE" w14:textId="77777777" w:rsidR="009B5FC2" w:rsidRPr="004508D0" w:rsidRDefault="009B5FC2" w:rsidP="009E4767">
      <w:pPr>
        <w:ind w:left="851" w:right="899"/>
        <w:jc w:val="both"/>
        <w:rPr>
          <w:rFonts w:ascii="Palatino Linotype" w:hAnsi="Palatino Linotype" w:cs="Arial"/>
          <w:i/>
          <w:sz w:val="22"/>
        </w:rPr>
      </w:pPr>
      <w:r w:rsidRPr="004508D0">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056920C" w14:textId="35CBDBB7" w:rsidR="009B5FC2" w:rsidRPr="004508D0" w:rsidRDefault="009B5FC2" w:rsidP="009B5FC2">
      <w:pPr>
        <w:spacing w:before="100" w:beforeAutospacing="1" w:after="100" w:afterAutospacing="1" w:line="360" w:lineRule="auto"/>
        <w:ind w:right="49"/>
        <w:jc w:val="both"/>
        <w:rPr>
          <w:rFonts w:ascii="Palatino Linotype" w:hAnsi="Palatino Linotype" w:cs="Arial"/>
        </w:rPr>
      </w:pPr>
      <w:r w:rsidRPr="004508D0">
        <w:rPr>
          <w:rFonts w:ascii="Palatino Linotype" w:hAnsi="Palatino Linotype" w:cs="Arial"/>
        </w:rPr>
        <w:t xml:space="preserve">Es así que, los argumentos expuestos permiten a este Órgano Garante determinar que lo solicitado por </w:t>
      </w:r>
      <w:r w:rsidR="00CA472F" w:rsidRPr="004508D0">
        <w:rPr>
          <w:rFonts w:ascii="Palatino Linotype" w:hAnsi="Palatino Linotype" w:cs="Arial"/>
          <w:b/>
        </w:rPr>
        <w:t>EL</w:t>
      </w:r>
      <w:r w:rsidRPr="004508D0">
        <w:rPr>
          <w:rFonts w:ascii="Palatino Linotype" w:hAnsi="Palatino Linotype" w:cs="Arial"/>
          <w:b/>
        </w:rPr>
        <w:t xml:space="preserve"> RECURRENTE</w:t>
      </w:r>
      <w:r w:rsidRPr="004508D0">
        <w:rPr>
          <w:rFonts w:ascii="Palatino Linotype" w:hAnsi="Palatino Linotype" w:cs="Arial"/>
        </w:rPr>
        <w:t xml:space="preserve"> no es materia del presente recurso de revisión, motivo por el cual resulta procedente </w:t>
      </w:r>
      <w:r w:rsidR="00874B3E" w:rsidRPr="004508D0">
        <w:rPr>
          <w:rFonts w:ascii="Palatino Linotype" w:hAnsi="Palatino Linotype" w:cs="Arial"/>
          <w:b/>
        </w:rPr>
        <w:t>SOBRESEER</w:t>
      </w:r>
      <w:r w:rsidRPr="004508D0">
        <w:rPr>
          <w:rFonts w:ascii="Palatino Linotype" w:hAnsi="Palatino Linotype" w:cs="Arial"/>
        </w:rPr>
        <w:t xml:space="preserve"> el recurso de revisión número </w:t>
      </w:r>
      <w:r w:rsidRPr="004508D0">
        <w:rPr>
          <w:rFonts w:ascii="Palatino Linotype" w:hAnsi="Palatino Linotype" w:cs="Arial"/>
          <w:b/>
        </w:rPr>
        <w:t>0</w:t>
      </w:r>
      <w:r w:rsidR="00B73DE5" w:rsidRPr="004508D0">
        <w:rPr>
          <w:rFonts w:ascii="Palatino Linotype" w:hAnsi="Palatino Linotype" w:cs="Arial"/>
          <w:b/>
        </w:rPr>
        <w:t>5102/INFOEM/IP/RR/2021</w:t>
      </w:r>
      <w:r w:rsidRPr="004508D0">
        <w:rPr>
          <w:rFonts w:ascii="Palatino Linotype" w:hAnsi="Palatino Linotype" w:cs="Arial"/>
        </w:rPr>
        <w:t xml:space="preserve"> por improcedente</w:t>
      </w:r>
      <w:r w:rsidR="00C70529" w:rsidRPr="004508D0">
        <w:rPr>
          <w:rFonts w:ascii="Palatino Linotype" w:hAnsi="Palatino Linotype" w:cs="Arial"/>
        </w:rPr>
        <w:t>, puesto que se insiste en que el particular lo que busca es un pronunciamiento en específico por parte del</w:t>
      </w:r>
      <w:r w:rsidR="00B73DE5" w:rsidRPr="004508D0">
        <w:rPr>
          <w:rFonts w:ascii="Palatino Linotype" w:hAnsi="Palatino Linotype" w:cs="Arial"/>
        </w:rPr>
        <w:t xml:space="preserve"> Ayuntamiento de Metepec</w:t>
      </w:r>
      <w:r w:rsidR="00C70529" w:rsidRPr="004508D0">
        <w:rPr>
          <w:rFonts w:ascii="Palatino Linotype" w:hAnsi="Palatino Linotype" w:cs="Arial"/>
        </w:rPr>
        <w:t xml:space="preserve"> tendiente a solucionar la problemática que lo aqueja</w:t>
      </w:r>
      <w:r w:rsidR="00B73DE5" w:rsidRPr="004508D0">
        <w:rPr>
          <w:rFonts w:ascii="Palatino Linotype" w:hAnsi="Palatino Linotype" w:cs="Arial"/>
        </w:rPr>
        <w:t xml:space="preserve"> al querer conocer cuando le será depositado lo correspondiente al finiquito</w:t>
      </w:r>
      <w:r w:rsidR="00C70529" w:rsidRPr="004508D0">
        <w:rPr>
          <w:rFonts w:ascii="Palatino Linotype" w:hAnsi="Palatino Linotype" w:cs="Arial"/>
        </w:rPr>
        <w:t xml:space="preserve">, situación que no constituye el </w:t>
      </w:r>
      <w:r w:rsidR="00B73DE5" w:rsidRPr="004508D0">
        <w:rPr>
          <w:rFonts w:ascii="Palatino Linotype" w:hAnsi="Palatino Linotype" w:cs="Arial"/>
        </w:rPr>
        <w:t>ejercicio</w:t>
      </w:r>
      <w:r w:rsidR="00C70529" w:rsidRPr="004508D0">
        <w:rPr>
          <w:rFonts w:ascii="Palatino Linotype" w:hAnsi="Palatino Linotype" w:cs="Arial"/>
        </w:rPr>
        <w:t xml:space="preserve"> del derecho de acceso a la información pública, pues éste se basa en otorgar el acceso a documentos públicos ya generados en ejercicio de las funciones, más no así a los que se creen en ejercicio del derecho de petición, por lo que la solicitud de análisis se basa en una queja del particular mediante la que se requie</w:t>
      </w:r>
      <w:r w:rsidR="003F0DBD" w:rsidRPr="004508D0">
        <w:rPr>
          <w:rFonts w:ascii="Palatino Linotype" w:hAnsi="Palatino Linotype" w:cs="Arial"/>
        </w:rPr>
        <w:t>re se responda por la presidencia</w:t>
      </w:r>
      <w:r w:rsidR="00C70529" w:rsidRPr="004508D0">
        <w:rPr>
          <w:rFonts w:ascii="Palatino Linotype" w:hAnsi="Palatino Linotype" w:cs="Arial"/>
        </w:rPr>
        <w:t xml:space="preserve"> municipal</w:t>
      </w:r>
      <w:r w:rsidRPr="004508D0">
        <w:rPr>
          <w:rFonts w:ascii="Palatino Linotype" w:hAnsi="Palatino Linotype" w:cs="Arial"/>
        </w:rPr>
        <w:t>.</w:t>
      </w:r>
    </w:p>
    <w:p w14:paraId="742DB584" w14:textId="77777777" w:rsidR="009B5FC2" w:rsidRPr="004508D0" w:rsidRDefault="009B5FC2" w:rsidP="009B5FC2">
      <w:pPr>
        <w:tabs>
          <w:tab w:val="left" w:pos="2422"/>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4508D0">
        <w:rPr>
          <w:rFonts w:ascii="Palatino Linotype" w:eastAsia="Calibri" w:hAnsi="Palatino Linotype" w:cs="Arial"/>
        </w:rPr>
        <w:t xml:space="preserve">Así, con </w:t>
      </w:r>
      <w:r w:rsidRPr="004508D0">
        <w:rPr>
          <w:rFonts w:ascii="Palatino Linotype" w:hAnsi="Palatino Linotype" w:cs="Arial"/>
        </w:rPr>
        <w:t>fundamento</w:t>
      </w:r>
      <w:r w:rsidRPr="004508D0">
        <w:rPr>
          <w:rFonts w:ascii="Palatino Linotype" w:eastAsia="Calibri" w:hAnsi="Palatino Linotype" w:cs="Arial"/>
        </w:rPr>
        <w:t xml:space="preserve"> en lo prescrito en los artículos 5, </w:t>
      </w:r>
      <w:r w:rsidRPr="004508D0">
        <w:rPr>
          <w:rFonts w:ascii="Palatino Linotype" w:hAnsi="Palatino Linotype"/>
        </w:rPr>
        <w:t>párrafos vigésimo segundo, vigésimo tercero y vigésimo cuarto</w:t>
      </w:r>
      <w:r w:rsidRPr="004508D0">
        <w:rPr>
          <w:rFonts w:ascii="Palatino Linotype" w:hAnsi="Palatino Linotype" w:cs="Arial"/>
        </w:rPr>
        <w:t>,</w:t>
      </w:r>
      <w:r w:rsidRPr="004508D0">
        <w:rPr>
          <w:rFonts w:ascii="Palatino Linotype" w:hAnsi="Palatino Linotype"/>
        </w:rPr>
        <w:t xml:space="preserve"> fracciones IV y V,</w:t>
      </w:r>
      <w:r w:rsidRPr="004508D0">
        <w:rPr>
          <w:rFonts w:ascii="Palatino Linotype" w:eastAsia="Calibri" w:hAnsi="Palatino Linotype" w:cs="Arial"/>
        </w:rPr>
        <w:t xml:space="preserve"> de la Constitución Política del Estado Libre y Soberano de </w:t>
      </w:r>
      <w:r w:rsidRPr="004508D0">
        <w:rPr>
          <w:rFonts w:ascii="Palatino Linotype" w:hAnsi="Palatino Linotype" w:cs="Arial"/>
          <w:lang w:val="es-ES_tradnl"/>
        </w:rPr>
        <w:t>México</w:t>
      </w:r>
      <w:r w:rsidRPr="004508D0">
        <w:rPr>
          <w:rFonts w:ascii="Palatino Linotype" w:eastAsia="Calibri" w:hAnsi="Palatino Linotype" w:cs="Arial"/>
        </w:rPr>
        <w:t xml:space="preserve"> y los artículos </w:t>
      </w:r>
      <w:r w:rsidRPr="004508D0">
        <w:rPr>
          <w:rFonts w:ascii="Palatino Linotype" w:hAnsi="Palatino Linotype"/>
        </w:rPr>
        <w:t xml:space="preserve">2, </w:t>
      </w:r>
      <w:r w:rsidRPr="004508D0">
        <w:rPr>
          <w:rFonts w:ascii="Palatino Linotype" w:hAnsi="Palatino Linotype" w:cs="Arial"/>
        </w:rPr>
        <w:t>fracción</w:t>
      </w:r>
      <w:r w:rsidRPr="004508D0">
        <w:rPr>
          <w:rFonts w:ascii="Palatino Linotype" w:hAnsi="Palatino Linotype"/>
        </w:rPr>
        <w:t xml:space="preserve"> II, 9, </w:t>
      </w:r>
      <w:r w:rsidRPr="004508D0">
        <w:rPr>
          <w:rFonts w:ascii="Palatino Linotype" w:hAnsi="Palatino Linotype" w:cs="Arial"/>
          <w:lang w:val="es-ES_tradnl"/>
        </w:rPr>
        <w:t>29</w:t>
      </w:r>
      <w:r w:rsidRPr="004508D0">
        <w:rPr>
          <w:rFonts w:ascii="Palatino Linotype" w:hAnsi="Palatino Linotype"/>
        </w:rPr>
        <w:t>, 36, fracciones I y II, 176, 178, 179, 181, 185, fracción I, 186, 188 y 192, fracción I</w:t>
      </w:r>
      <w:r w:rsidRPr="004508D0">
        <w:rPr>
          <w:rFonts w:ascii="Palatino Linotype" w:eastAsia="Calibri" w:hAnsi="Palatino Linotype" w:cs="Arial"/>
        </w:rPr>
        <w:t xml:space="preserve"> de la Ley de Transparencia y Acceso a la Información Pública del Estado de México y </w:t>
      </w:r>
      <w:r w:rsidRPr="004508D0">
        <w:rPr>
          <w:rFonts w:ascii="Palatino Linotype" w:hAnsi="Palatino Linotype" w:cs="Arial"/>
        </w:rPr>
        <w:t>Municipios</w:t>
      </w:r>
      <w:r w:rsidRPr="004508D0">
        <w:rPr>
          <w:rFonts w:ascii="Palatino Linotype" w:eastAsia="Calibri" w:hAnsi="Palatino Linotype" w:cs="Arial"/>
        </w:rPr>
        <w:t xml:space="preserve">, </w:t>
      </w:r>
      <w:r w:rsidRPr="004508D0">
        <w:rPr>
          <w:rFonts w:ascii="Palatino Linotype" w:hAnsi="Palatino Linotype"/>
        </w:rPr>
        <w:t>este</w:t>
      </w:r>
      <w:r w:rsidRPr="004508D0">
        <w:rPr>
          <w:rFonts w:ascii="Palatino Linotype" w:eastAsia="Calibri" w:hAnsi="Palatino Linotype" w:cs="Arial"/>
        </w:rPr>
        <w:t xml:space="preserve"> Pleno:</w:t>
      </w:r>
    </w:p>
    <w:p w14:paraId="18997D05" w14:textId="77777777" w:rsidR="009B5FC2" w:rsidRPr="004508D0" w:rsidRDefault="009B5FC2" w:rsidP="009B5FC2">
      <w:pPr>
        <w:spacing w:before="240" w:after="240" w:line="360" w:lineRule="auto"/>
        <w:jc w:val="center"/>
        <w:rPr>
          <w:rFonts w:ascii="Palatino Linotype" w:hAnsi="Palatino Linotype"/>
          <w:b/>
          <w:sz w:val="28"/>
        </w:rPr>
      </w:pPr>
      <w:r w:rsidRPr="004508D0">
        <w:rPr>
          <w:rFonts w:ascii="Palatino Linotype" w:hAnsi="Palatino Linotype"/>
          <w:b/>
          <w:sz w:val="28"/>
        </w:rPr>
        <w:lastRenderedPageBreak/>
        <w:t>R E S U E L V E</w:t>
      </w:r>
    </w:p>
    <w:p w14:paraId="535DEA3A" w14:textId="55D36D41" w:rsidR="009B5FC2" w:rsidRPr="004508D0" w:rsidRDefault="009B5FC2" w:rsidP="009B5FC2">
      <w:pPr>
        <w:pStyle w:val="Prrafodelista"/>
        <w:widowControl w:val="0"/>
        <w:autoSpaceDE w:val="0"/>
        <w:autoSpaceDN w:val="0"/>
        <w:adjustRightInd w:val="0"/>
        <w:spacing w:line="360" w:lineRule="auto"/>
        <w:ind w:left="0"/>
        <w:jc w:val="both"/>
        <w:rPr>
          <w:rFonts w:ascii="Palatino Linotype" w:hAnsi="Palatino Linotype" w:cs="Arial"/>
          <w:bCs/>
        </w:rPr>
      </w:pPr>
      <w:r w:rsidRPr="004508D0">
        <w:rPr>
          <w:rFonts w:ascii="Palatino Linotype" w:hAnsi="Palatino Linotype" w:cs="Arial"/>
          <w:b/>
          <w:color w:val="000000" w:themeColor="text1"/>
          <w:sz w:val="28"/>
        </w:rPr>
        <w:t xml:space="preserve">PRIMERO. </w:t>
      </w:r>
      <w:r w:rsidRPr="004508D0">
        <w:rPr>
          <w:rFonts w:ascii="Palatino Linotype" w:hAnsi="Palatino Linotype" w:cs="Arial"/>
        </w:rPr>
        <w:t xml:space="preserve">Se </w:t>
      </w:r>
      <w:r w:rsidR="00874B3E" w:rsidRPr="004508D0">
        <w:rPr>
          <w:rFonts w:ascii="Palatino Linotype" w:hAnsi="Palatino Linotype" w:cs="Arial"/>
          <w:b/>
          <w:bCs/>
        </w:rPr>
        <w:t>SOBRESEE</w:t>
      </w:r>
      <w:r w:rsidR="00874B3E" w:rsidRPr="004508D0">
        <w:rPr>
          <w:rFonts w:ascii="Palatino Linotype" w:hAnsi="Palatino Linotype" w:cs="Arial"/>
          <w:bCs/>
        </w:rPr>
        <w:t xml:space="preserve"> </w:t>
      </w:r>
      <w:r w:rsidRPr="004508D0">
        <w:rPr>
          <w:rFonts w:ascii="Palatino Linotype" w:hAnsi="Palatino Linotype" w:cs="Arial"/>
          <w:bCs/>
        </w:rPr>
        <w:t xml:space="preserve">por </w:t>
      </w:r>
      <w:r w:rsidRPr="004508D0">
        <w:rPr>
          <w:rFonts w:ascii="Palatino Linotype" w:hAnsi="Palatino Linotype" w:cs="Arial"/>
        </w:rPr>
        <w:t>improcedente</w:t>
      </w:r>
      <w:r w:rsidRPr="004508D0">
        <w:rPr>
          <w:rFonts w:ascii="Palatino Linotype" w:hAnsi="Palatino Linotype" w:cs="Arial"/>
          <w:bCs/>
        </w:rPr>
        <w:t xml:space="preserve"> el recurso de revisión </w:t>
      </w:r>
      <w:r w:rsidR="00E14F50" w:rsidRPr="004508D0">
        <w:rPr>
          <w:rFonts w:ascii="Palatino Linotype" w:hAnsi="Palatino Linotype" w:cs="Arial"/>
          <w:b/>
        </w:rPr>
        <w:t>05102</w:t>
      </w:r>
      <w:r w:rsidRPr="004508D0">
        <w:rPr>
          <w:rFonts w:ascii="Palatino Linotype" w:hAnsi="Palatino Linotype" w:cs="Arial"/>
          <w:b/>
        </w:rPr>
        <w:t>/INFOEM/IP/RR/202</w:t>
      </w:r>
      <w:r w:rsidR="00E14F50" w:rsidRPr="004508D0">
        <w:rPr>
          <w:rFonts w:ascii="Palatino Linotype" w:hAnsi="Palatino Linotype" w:cs="Arial"/>
          <w:b/>
        </w:rPr>
        <w:t>1</w:t>
      </w:r>
      <w:r w:rsidRPr="004508D0">
        <w:rPr>
          <w:rFonts w:ascii="Palatino Linotype" w:hAnsi="Palatino Linotype" w:cs="Arial"/>
          <w:bCs/>
        </w:rPr>
        <w:t xml:space="preserve">, en términos del Considerando </w:t>
      </w:r>
      <w:r w:rsidRPr="004508D0">
        <w:rPr>
          <w:rFonts w:ascii="Palatino Linotype" w:hAnsi="Palatino Linotype" w:cs="Arial"/>
          <w:b/>
          <w:bCs/>
        </w:rPr>
        <w:t>QUINTO</w:t>
      </w:r>
      <w:r w:rsidRPr="004508D0">
        <w:rPr>
          <w:rFonts w:ascii="Palatino Linotype" w:hAnsi="Palatino Linotype" w:cs="Arial"/>
          <w:bCs/>
        </w:rPr>
        <w:t xml:space="preserve"> de la presente resolución.</w:t>
      </w:r>
    </w:p>
    <w:p w14:paraId="54EFA2DD" w14:textId="77777777" w:rsidR="009B5FC2" w:rsidRPr="004508D0" w:rsidRDefault="009B5FC2" w:rsidP="009B5FC2">
      <w:pPr>
        <w:spacing w:line="360" w:lineRule="auto"/>
        <w:jc w:val="both"/>
        <w:rPr>
          <w:rFonts w:ascii="Palatino Linotype" w:hAnsi="Palatino Linotype"/>
          <w:b/>
        </w:rPr>
      </w:pPr>
      <w:r w:rsidRPr="004508D0">
        <w:rPr>
          <w:rFonts w:ascii="Palatino Linotype" w:hAnsi="Palatino Linotype" w:cs="Arial"/>
          <w:b/>
          <w:color w:val="000000" w:themeColor="text1"/>
          <w:sz w:val="28"/>
        </w:rPr>
        <w:t>SEGUNDO</w:t>
      </w:r>
      <w:r w:rsidRPr="004508D0">
        <w:rPr>
          <w:rFonts w:ascii="Palatino Linotype" w:hAnsi="Palatino Linotype" w:cs="Arial"/>
          <w:color w:val="000000" w:themeColor="text1"/>
          <w:sz w:val="28"/>
        </w:rPr>
        <w:t>.</w:t>
      </w:r>
      <w:r w:rsidRPr="004508D0">
        <w:rPr>
          <w:rFonts w:ascii="Palatino Linotype" w:eastAsia="Calibri" w:hAnsi="Palatino Linotype" w:cs="Arial"/>
          <w:bCs/>
        </w:rPr>
        <w:t xml:space="preserve"> </w:t>
      </w:r>
      <w:r w:rsidRPr="004508D0">
        <w:rPr>
          <w:rFonts w:ascii="Palatino Linotype" w:hAnsi="Palatino Linotype"/>
          <w:b/>
        </w:rPr>
        <w:t>Notifíquese</w:t>
      </w:r>
      <w:r w:rsidRPr="004508D0">
        <w:rPr>
          <w:rFonts w:ascii="Palatino Linotype" w:hAnsi="Palatino Linotype"/>
        </w:rPr>
        <w:t xml:space="preserve"> la presente resolución al Titular de la Unidad de Transparencia del </w:t>
      </w:r>
      <w:r w:rsidRPr="004508D0">
        <w:rPr>
          <w:rFonts w:ascii="Palatino Linotype" w:hAnsi="Palatino Linotype"/>
          <w:b/>
        </w:rPr>
        <w:t>SUJETO OBLIGADO</w:t>
      </w:r>
      <w:r w:rsidRPr="004508D0">
        <w:rPr>
          <w:rFonts w:ascii="Palatino Linotype" w:hAnsi="Palatino Linotype"/>
        </w:rPr>
        <w:t xml:space="preserve"> para su conocimiento.</w:t>
      </w:r>
    </w:p>
    <w:p w14:paraId="0847D26D" w14:textId="77777777" w:rsidR="009B5FC2" w:rsidRPr="004508D0" w:rsidRDefault="009B5FC2" w:rsidP="009B5FC2">
      <w:pPr>
        <w:spacing w:before="240" w:after="240" w:line="360" w:lineRule="auto"/>
        <w:jc w:val="both"/>
        <w:rPr>
          <w:color w:val="222222"/>
          <w:lang w:eastAsia="es-MX"/>
        </w:rPr>
      </w:pPr>
      <w:r w:rsidRPr="004508D0">
        <w:rPr>
          <w:rFonts w:ascii="Palatino Linotype" w:hAnsi="Palatino Linotype" w:cs="Arial"/>
          <w:b/>
          <w:color w:val="000000" w:themeColor="text1"/>
          <w:sz w:val="28"/>
          <w:szCs w:val="28"/>
        </w:rPr>
        <w:t xml:space="preserve">TERCERO. </w:t>
      </w:r>
      <w:r w:rsidRPr="004508D0">
        <w:rPr>
          <w:rFonts w:ascii="Palatino Linotype" w:eastAsiaTheme="minorEastAsia" w:hAnsi="Palatino Linotype"/>
          <w:b/>
          <w:color w:val="222222"/>
          <w:szCs w:val="17"/>
          <w:lang w:eastAsia="es-ES_tradnl"/>
        </w:rPr>
        <w:t>Notifíquese</w:t>
      </w:r>
      <w:r w:rsidRPr="004508D0">
        <w:rPr>
          <w:rFonts w:ascii="Palatino Linotype" w:eastAsiaTheme="minorEastAsia" w:hAnsi="Palatino Linotype"/>
          <w:color w:val="222222"/>
          <w:szCs w:val="17"/>
          <w:lang w:eastAsia="es-ES_tradnl"/>
        </w:rPr>
        <w:t xml:space="preserve"> a</w:t>
      </w:r>
      <w:r w:rsidR="00CA472F" w:rsidRPr="004508D0">
        <w:rPr>
          <w:rFonts w:ascii="Palatino Linotype" w:eastAsiaTheme="minorEastAsia" w:hAnsi="Palatino Linotype"/>
          <w:color w:val="222222"/>
          <w:szCs w:val="17"/>
          <w:lang w:eastAsia="es-ES_tradnl"/>
        </w:rPr>
        <w:t>l</w:t>
      </w:r>
      <w:r w:rsidRPr="004508D0">
        <w:rPr>
          <w:rFonts w:ascii="Palatino Linotype" w:eastAsiaTheme="minorEastAsia" w:hAnsi="Palatino Linotype"/>
          <w:b/>
          <w:color w:val="222222"/>
          <w:szCs w:val="17"/>
          <w:lang w:eastAsia="es-ES_tradnl"/>
        </w:rPr>
        <w:t xml:space="preserve"> RECURRENTE</w:t>
      </w:r>
      <w:r w:rsidRPr="004508D0">
        <w:rPr>
          <w:rFonts w:ascii="Palatino Linotype" w:eastAsiaTheme="minorEastAsia" w:hAnsi="Palatino Linotype"/>
          <w:color w:val="222222"/>
          <w:szCs w:val="17"/>
          <w:lang w:eastAsia="es-ES_tradnl"/>
        </w:rPr>
        <w:t xml:space="preserve"> la presente resolución.</w:t>
      </w:r>
    </w:p>
    <w:p w14:paraId="466066C8" w14:textId="77777777" w:rsidR="009B5FC2" w:rsidRPr="004508D0" w:rsidRDefault="009B5FC2" w:rsidP="009B5FC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4508D0">
        <w:rPr>
          <w:rFonts w:ascii="Palatino Linotype" w:hAnsi="Palatino Linotype" w:cs="Arial"/>
          <w:b/>
          <w:color w:val="000000" w:themeColor="text1"/>
          <w:sz w:val="28"/>
          <w:szCs w:val="28"/>
        </w:rPr>
        <w:t xml:space="preserve">CUARTO. </w:t>
      </w:r>
      <w:r w:rsidRPr="004508D0">
        <w:rPr>
          <w:rFonts w:ascii="Palatino Linotype" w:eastAsiaTheme="minorEastAsia" w:hAnsi="Palatino Linotype"/>
          <w:b/>
          <w:color w:val="222222"/>
          <w:szCs w:val="17"/>
          <w:lang w:eastAsia="es-ES_tradnl"/>
        </w:rPr>
        <w:t>Hágase del conocimiento</w:t>
      </w:r>
      <w:r w:rsidRPr="004508D0">
        <w:rPr>
          <w:rFonts w:ascii="Palatino Linotype" w:eastAsiaTheme="minorEastAsia" w:hAnsi="Palatino Linotype"/>
          <w:color w:val="222222"/>
          <w:szCs w:val="17"/>
          <w:lang w:eastAsia="es-ES_tradnl"/>
        </w:rPr>
        <w:t xml:space="preserve"> a</w:t>
      </w:r>
      <w:r w:rsidR="00CA472F" w:rsidRPr="004508D0">
        <w:rPr>
          <w:rFonts w:ascii="Palatino Linotype" w:eastAsiaTheme="minorEastAsia" w:hAnsi="Palatino Linotype"/>
          <w:color w:val="222222"/>
          <w:szCs w:val="17"/>
          <w:lang w:eastAsia="es-ES_tradnl"/>
        </w:rPr>
        <w:t xml:space="preserve">l </w:t>
      </w:r>
      <w:r w:rsidRPr="004508D0">
        <w:rPr>
          <w:rFonts w:ascii="Palatino Linotype" w:eastAsiaTheme="minorEastAsia" w:hAnsi="Palatino Linotype"/>
          <w:b/>
          <w:color w:val="222222"/>
          <w:szCs w:val="17"/>
          <w:lang w:eastAsia="es-ES_tradnl"/>
        </w:rPr>
        <w:t>RECURRENTE</w:t>
      </w:r>
      <w:r w:rsidRPr="004508D0">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B53CF8F" w14:textId="0433C61B" w:rsidR="009B5FC2" w:rsidRDefault="003F0DBD" w:rsidP="009B5FC2">
      <w:pPr>
        <w:spacing w:before="240" w:after="240" w:line="360" w:lineRule="auto"/>
        <w:ind w:right="49"/>
        <w:jc w:val="both"/>
        <w:rPr>
          <w:rFonts w:ascii="Palatino Linotype" w:hAnsi="Palatino Linotype" w:cs="Arial"/>
          <w:color w:val="000000" w:themeColor="text1"/>
        </w:rPr>
      </w:pPr>
      <w:r w:rsidRPr="004508D0">
        <w:rPr>
          <w:rFonts w:ascii="Palatino Linotype" w:hAnsi="Palatino Linotype" w:cs="Arial"/>
          <w:color w:val="000000" w:themeColor="text1"/>
        </w:rPr>
        <w:t xml:space="preserve">ASÍ LO RESUELVE, POR </w:t>
      </w:r>
      <w:r w:rsidR="00EC6A1C" w:rsidRPr="004508D0">
        <w:rPr>
          <w:rFonts w:ascii="Palatino Linotype" w:hAnsi="Palatino Linotype" w:cs="Arial"/>
          <w:color w:val="000000" w:themeColor="text1"/>
        </w:rPr>
        <w:t>UNANIMIDAD</w:t>
      </w:r>
      <w:r w:rsidR="009B5FC2" w:rsidRPr="004508D0">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w:t>
      </w:r>
      <w:r w:rsidR="00517131" w:rsidRPr="004508D0">
        <w:rPr>
          <w:rFonts w:ascii="Palatino Linotype" w:hAnsi="Palatino Linotype" w:cs="Arial"/>
          <w:lang w:val="es-ES"/>
        </w:rPr>
        <w:t xml:space="preserve"> LOS COMISIONADOS JOSÉ MARTÍNEZ VILCHIS; MARÍA DEL ROSARIO MEJÍA AYALA; SHARON CRISTINA MORALES MARTÍNEZ</w:t>
      </w:r>
      <w:r w:rsidR="00416870" w:rsidRPr="004508D0">
        <w:rPr>
          <w:rFonts w:ascii="Palatino Linotype" w:hAnsi="Palatino Linotype" w:cs="Arial"/>
          <w:lang w:val="es-ES"/>
        </w:rPr>
        <w:t xml:space="preserve"> (AUSENCIA JUSTIFICADA)</w:t>
      </w:r>
      <w:r w:rsidR="00517131" w:rsidRPr="004508D0">
        <w:rPr>
          <w:rFonts w:ascii="Palatino Linotype" w:hAnsi="Palatino Linotype" w:cs="Arial"/>
          <w:lang w:val="es-ES"/>
        </w:rPr>
        <w:t>; LUIS GUSTAVO PARRA NORIEGA Y GUADALUPE RAMÍREZ PEÑA</w:t>
      </w:r>
      <w:r w:rsidR="009B5FC2" w:rsidRPr="004508D0">
        <w:rPr>
          <w:rFonts w:ascii="Palatino Linotype" w:hAnsi="Palatino Linotype" w:cs="Arial"/>
          <w:color w:val="000000" w:themeColor="text1"/>
        </w:rPr>
        <w:t xml:space="preserve">; EN LA </w:t>
      </w:r>
      <w:r w:rsidRPr="004508D0">
        <w:rPr>
          <w:rFonts w:ascii="Palatino Linotype" w:hAnsi="Palatino Linotype" w:cs="Arial"/>
          <w:color w:val="000000" w:themeColor="text1"/>
        </w:rPr>
        <w:t xml:space="preserve">CUADRAGÉSIMA QUINTA </w:t>
      </w:r>
      <w:r w:rsidR="009B5FC2" w:rsidRPr="004508D0">
        <w:rPr>
          <w:rFonts w:ascii="Palatino Linotype" w:hAnsi="Palatino Linotype" w:cs="Arial"/>
          <w:color w:val="000000" w:themeColor="text1"/>
        </w:rPr>
        <w:t xml:space="preserve">SESIÓN ORDINARIA CELEBRADA EL </w:t>
      </w:r>
      <w:r w:rsidRPr="004508D0">
        <w:rPr>
          <w:rFonts w:ascii="Palatino Linotype" w:hAnsi="Palatino Linotype" w:cs="Arial"/>
          <w:color w:val="000000" w:themeColor="text1"/>
        </w:rPr>
        <w:t>QUINCE</w:t>
      </w:r>
      <w:r w:rsidR="00CA472F" w:rsidRPr="004508D0">
        <w:rPr>
          <w:rFonts w:ascii="Palatino Linotype" w:hAnsi="Palatino Linotype" w:cs="Arial"/>
          <w:color w:val="000000" w:themeColor="text1"/>
        </w:rPr>
        <w:t xml:space="preserve"> DE DICIEMBRE </w:t>
      </w:r>
      <w:r w:rsidR="009B5FC2" w:rsidRPr="004508D0">
        <w:rPr>
          <w:rFonts w:ascii="Palatino Linotype" w:hAnsi="Palatino Linotype" w:cs="Arial"/>
          <w:color w:val="000000" w:themeColor="text1"/>
        </w:rPr>
        <w:t>DE DOS MIL VEINT</w:t>
      </w:r>
      <w:r w:rsidRPr="004508D0">
        <w:rPr>
          <w:rFonts w:ascii="Palatino Linotype" w:hAnsi="Palatino Linotype" w:cs="Arial"/>
          <w:color w:val="000000" w:themeColor="text1"/>
        </w:rPr>
        <w:t>IUNO</w:t>
      </w:r>
      <w:r w:rsidR="009B5FC2" w:rsidRPr="004508D0">
        <w:rPr>
          <w:rFonts w:ascii="Palatino Linotype" w:hAnsi="Palatino Linotype" w:cs="Arial"/>
          <w:color w:val="000000" w:themeColor="text1"/>
        </w:rPr>
        <w:t>, ANTE EL SECRETARIO TÉCNICO DEL PLENO ALEXIS TAPIA RAMÍREZ.</w:t>
      </w:r>
    </w:p>
    <w:p w14:paraId="1D31255D" w14:textId="01732C18" w:rsidR="00AA5809" w:rsidRPr="00AA5809" w:rsidRDefault="00AA5809" w:rsidP="009B5FC2">
      <w:pPr>
        <w:spacing w:before="240" w:after="240" w:line="360" w:lineRule="auto"/>
        <w:ind w:right="49"/>
        <w:jc w:val="both"/>
        <w:rPr>
          <w:rFonts w:ascii="Palatino Linotype" w:hAnsi="Palatino Linotype" w:cs="Arial"/>
          <w:color w:val="000000" w:themeColor="text1"/>
          <w:sz w:val="18"/>
        </w:rPr>
      </w:pPr>
      <w:r>
        <w:rPr>
          <w:rFonts w:ascii="Palatino Linotype" w:hAnsi="Palatino Linotype" w:cs="Arial"/>
          <w:color w:val="000000" w:themeColor="text1"/>
          <w:sz w:val="18"/>
        </w:rPr>
        <w:t>JMV/CCR</w:t>
      </w:r>
    </w:p>
    <w:p w14:paraId="681BAFF4" w14:textId="77777777" w:rsidR="001D3FC4" w:rsidRDefault="001D3FC4" w:rsidP="009B5FC2">
      <w:pPr>
        <w:spacing w:before="240" w:after="240" w:line="360" w:lineRule="auto"/>
        <w:ind w:right="49"/>
        <w:jc w:val="both"/>
        <w:rPr>
          <w:rFonts w:ascii="Palatino Linotype" w:hAnsi="Palatino Linotype" w:cs="Arial"/>
          <w:color w:val="000000" w:themeColor="text1"/>
        </w:rPr>
      </w:pPr>
    </w:p>
    <w:p w14:paraId="3BFD29F0" w14:textId="77777777" w:rsidR="00C67EA1" w:rsidRDefault="00C67EA1" w:rsidP="009B5FC2">
      <w:pPr>
        <w:spacing w:before="240" w:after="240" w:line="360" w:lineRule="auto"/>
        <w:ind w:right="49"/>
        <w:jc w:val="both"/>
        <w:rPr>
          <w:rFonts w:ascii="Palatino Linotype" w:hAnsi="Palatino Linotype" w:cs="Arial"/>
          <w:color w:val="000000" w:themeColor="text1"/>
        </w:rPr>
      </w:pPr>
    </w:p>
    <w:p w14:paraId="7A3EC336" w14:textId="77777777" w:rsidR="00C67EA1" w:rsidRDefault="00C67EA1" w:rsidP="009B5FC2">
      <w:pPr>
        <w:spacing w:before="240" w:after="240" w:line="360" w:lineRule="auto"/>
        <w:ind w:right="49"/>
        <w:jc w:val="both"/>
        <w:rPr>
          <w:rFonts w:ascii="Palatino Linotype" w:hAnsi="Palatino Linotype" w:cs="Arial"/>
          <w:color w:val="000000" w:themeColor="text1"/>
        </w:rPr>
      </w:pPr>
    </w:p>
    <w:p w14:paraId="18252D71" w14:textId="77777777" w:rsidR="00CA472F" w:rsidRDefault="00CA472F" w:rsidP="009B5FC2">
      <w:pPr>
        <w:ind w:right="49"/>
        <w:jc w:val="both"/>
        <w:rPr>
          <w:rFonts w:ascii="Palatino Linotype" w:hAnsi="Palatino Linotype"/>
          <w:sz w:val="20"/>
          <w:szCs w:val="22"/>
          <w:lang w:val="es-ES_tradnl"/>
        </w:rPr>
      </w:pPr>
    </w:p>
    <w:sectPr w:rsidR="00CA472F" w:rsidSect="009E4767">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F0AB1" w14:textId="77777777" w:rsidR="002E7CFC" w:rsidRDefault="002E7CFC" w:rsidP="009B5FC2">
      <w:r>
        <w:separator/>
      </w:r>
    </w:p>
  </w:endnote>
  <w:endnote w:type="continuationSeparator" w:id="0">
    <w:p w14:paraId="08051600" w14:textId="77777777" w:rsidR="002E7CFC" w:rsidRDefault="002E7CFC" w:rsidP="009B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utura-Medium">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1EAE" w14:textId="77777777" w:rsidR="00FA7086" w:rsidRPr="0010196A" w:rsidRDefault="005F17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516F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516FF">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820C5" w14:textId="77777777" w:rsidR="00FA7086" w:rsidRPr="0010196A" w:rsidRDefault="005F17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64BD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64BD0">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F2EC9" w14:textId="77777777" w:rsidR="002E7CFC" w:rsidRDefault="002E7CFC" w:rsidP="009B5FC2">
      <w:r>
        <w:separator/>
      </w:r>
    </w:p>
  </w:footnote>
  <w:footnote w:type="continuationSeparator" w:id="0">
    <w:p w14:paraId="3793A55C" w14:textId="77777777" w:rsidR="002E7CFC" w:rsidRDefault="002E7CFC" w:rsidP="009B5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C6B9" w14:textId="77777777" w:rsidR="00FA7086" w:rsidRDefault="00E516FF">
    <w:pPr>
      <w:pStyle w:val="Encabezado"/>
    </w:pPr>
    <w:r>
      <w:rPr>
        <w:noProof/>
        <w:lang w:val="es-MX" w:eastAsia="es-MX"/>
      </w:rPr>
      <w:pict w14:anchorId="50C9A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0E3A" w14:textId="77777777" w:rsidR="00FA7086" w:rsidRPr="0010196A" w:rsidRDefault="00E516F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41E6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214" w:type="dxa"/>
      <w:tblInd w:w="-142" w:type="dxa"/>
      <w:tblLayout w:type="fixed"/>
      <w:tblLook w:val="04A0" w:firstRow="1" w:lastRow="0" w:firstColumn="1" w:lastColumn="0" w:noHBand="0" w:noVBand="1"/>
    </w:tblPr>
    <w:tblGrid>
      <w:gridCol w:w="3686"/>
      <w:gridCol w:w="2551"/>
      <w:gridCol w:w="2977"/>
    </w:tblGrid>
    <w:tr w:rsidR="00FA7086" w:rsidRPr="008F2CCC" w14:paraId="14281CDB" w14:textId="77777777" w:rsidTr="009B5FC2">
      <w:tc>
        <w:tcPr>
          <w:tcW w:w="3686" w:type="dxa"/>
          <w:vMerge w:val="restart"/>
        </w:tcPr>
        <w:p w14:paraId="4FDAAE79" w14:textId="77777777" w:rsidR="00FA7086" w:rsidRPr="008F2CCC" w:rsidRDefault="005F173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CBB62D4" wp14:editId="3BCB47C4">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36424E9" w14:textId="77777777" w:rsidR="00FA7086" w:rsidRPr="00664658" w:rsidRDefault="005F173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3E8C707" w14:textId="0507E502" w:rsidR="00FA7086" w:rsidRPr="00664658" w:rsidRDefault="005F1739" w:rsidP="00A24E09">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A24E09">
            <w:rPr>
              <w:rFonts w:ascii="Palatino Linotype" w:hAnsi="Palatino Linotype"/>
              <w:b/>
              <w:sz w:val="22"/>
              <w:szCs w:val="22"/>
              <w:lang w:val="es-ES_tradnl"/>
            </w:rPr>
            <w:t>5102</w:t>
          </w:r>
          <w:r w:rsidRPr="00764773">
            <w:rPr>
              <w:rFonts w:ascii="Palatino Linotype" w:hAnsi="Palatino Linotype"/>
              <w:b/>
              <w:sz w:val="22"/>
              <w:szCs w:val="22"/>
              <w:lang w:val="es-ES_tradnl"/>
            </w:rPr>
            <w:t>/INFOEM/IP/RR/202</w:t>
          </w:r>
          <w:r w:rsidR="00A24E09">
            <w:rPr>
              <w:rFonts w:ascii="Palatino Linotype" w:hAnsi="Palatino Linotype"/>
              <w:b/>
              <w:sz w:val="22"/>
              <w:szCs w:val="22"/>
              <w:lang w:val="es-ES_tradnl"/>
            </w:rPr>
            <w:t>1</w:t>
          </w:r>
          <w:r w:rsidRPr="00764773">
            <w:rPr>
              <w:rFonts w:ascii="Palatino Linotype" w:hAnsi="Palatino Linotype"/>
              <w:b/>
              <w:sz w:val="22"/>
              <w:szCs w:val="22"/>
              <w:lang w:val="es-ES_tradnl"/>
            </w:rPr>
            <w:t xml:space="preserve"> </w:t>
          </w:r>
        </w:p>
      </w:tc>
    </w:tr>
    <w:tr w:rsidR="00FA7086" w:rsidRPr="008F2CCC" w14:paraId="361C8A9A" w14:textId="77777777" w:rsidTr="009B5FC2">
      <w:tc>
        <w:tcPr>
          <w:tcW w:w="3686" w:type="dxa"/>
          <w:vMerge/>
        </w:tcPr>
        <w:p w14:paraId="61E7B1B5" w14:textId="77777777" w:rsidR="00FA7086" w:rsidRPr="008F2CCC" w:rsidRDefault="00E516FF" w:rsidP="00D41D47">
          <w:pPr>
            <w:rPr>
              <w:rFonts w:ascii="Palatino Linotype" w:hAnsi="Palatino Linotype"/>
              <w:b/>
              <w:sz w:val="22"/>
              <w:szCs w:val="22"/>
              <w:lang w:val="es-ES_tradnl"/>
            </w:rPr>
          </w:pPr>
        </w:p>
      </w:tc>
      <w:tc>
        <w:tcPr>
          <w:tcW w:w="2551" w:type="dxa"/>
          <w:shd w:val="clear" w:color="auto" w:fill="auto"/>
        </w:tcPr>
        <w:p w14:paraId="109956C8" w14:textId="77777777" w:rsidR="00FA7086" w:rsidRPr="00664658" w:rsidRDefault="005F173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5A2EAF4" w14:textId="1BF04C7F" w:rsidR="00FA7086" w:rsidRPr="00D41D47" w:rsidRDefault="00DB7FCD" w:rsidP="00A24E0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A24E09">
            <w:rPr>
              <w:rFonts w:ascii="Palatino Linotype" w:hAnsi="Palatino Linotype"/>
              <w:b/>
              <w:sz w:val="22"/>
              <w:szCs w:val="22"/>
              <w:lang w:val="es-ES_tradnl"/>
            </w:rPr>
            <w:t>Metepec</w:t>
          </w:r>
          <w:r>
            <w:rPr>
              <w:rFonts w:ascii="Palatino Linotype" w:hAnsi="Palatino Linotype"/>
              <w:b/>
              <w:sz w:val="22"/>
              <w:szCs w:val="22"/>
              <w:lang w:val="es-ES_tradnl"/>
            </w:rPr>
            <w:t xml:space="preserve"> </w:t>
          </w:r>
        </w:p>
      </w:tc>
    </w:tr>
    <w:tr w:rsidR="00FA7086" w:rsidRPr="008F2CCC" w14:paraId="7AA36E52" w14:textId="77777777" w:rsidTr="009B5FC2">
      <w:trPr>
        <w:trHeight w:val="228"/>
      </w:trPr>
      <w:tc>
        <w:tcPr>
          <w:tcW w:w="3686" w:type="dxa"/>
          <w:vMerge/>
        </w:tcPr>
        <w:p w14:paraId="7FFE085D" w14:textId="77777777" w:rsidR="00FA7086" w:rsidRPr="008F2CCC" w:rsidRDefault="00E516FF" w:rsidP="00070856">
          <w:pPr>
            <w:rPr>
              <w:rFonts w:ascii="Palatino Linotype" w:hAnsi="Palatino Linotype"/>
              <w:b/>
              <w:sz w:val="22"/>
              <w:szCs w:val="22"/>
              <w:lang w:val="es-ES_tradnl"/>
            </w:rPr>
          </w:pPr>
        </w:p>
      </w:tc>
      <w:tc>
        <w:tcPr>
          <w:tcW w:w="2551" w:type="dxa"/>
          <w:shd w:val="clear" w:color="auto" w:fill="auto"/>
        </w:tcPr>
        <w:p w14:paraId="4F93D07E" w14:textId="4317A6AF" w:rsidR="00FA7086" w:rsidRPr="00664658" w:rsidRDefault="00C50B66" w:rsidP="00070856">
          <w:pPr>
            <w:rPr>
              <w:rFonts w:ascii="Palatino Linotype" w:hAnsi="Palatino Linotype"/>
              <w:b/>
              <w:sz w:val="22"/>
              <w:szCs w:val="22"/>
              <w:lang w:val="es-ES_tradnl"/>
            </w:rPr>
          </w:pPr>
          <w:r>
            <w:rPr>
              <w:rFonts w:ascii="Palatino Linotype" w:hAnsi="Palatino Linotype"/>
              <w:b/>
              <w:sz w:val="22"/>
              <w:szCs w:val="22"/>
              <w:lang w:val="es-ES_tradnl"/>
            </w:rPr>
            <w:t>Comisionado</w:t>
          </w:r>
          <w:r w:rsidR="005F1739">
            <w:rPr>
              <w:rFonts w:ascii="Palatino Linotype" w:hAnsi="Palatino Linotype"/>
              <w:b/>
              <w:sz w:val="22"/>
              <w:szCs w:val="22"/>
              <w:lang w:val="es-ES_tradnl"/>
            </w:rPr>
            <w:t xml:space="preserve"> </w:t>
          </w:r>
          <w:r w:rsidR="005F1739" w:rsidRPr="00664658">
            <w:rPr>
              <w:rFonts w:ascii="Palatino Linotype" w:hAnsi="Palatino Linotype"/>
              <w:b/>
              <w:sz w:val="22"/>
              <w:szCs w:val="22"/>
              <w:lang w:val="es-ES_tradnl"/>
            </w:rPr>
            <w:t>ponente:</w:t>
          </w:r>
        </w:p>
      </w:tc>
      <w:tc>
        <w:tcPr>
          <w:tcW w:w="2977" w:type="dxa"/>
          <w:shd w:val="clear" w:color="auto" w:fill="auto"/>
        </w:tcPr>
        <w:p w14:paraId="74B26396" w14:textId="790E4607" w:rsidR="00FA7086" w:rsidRPr="00664658" w:rsidRDefault="00C50B66"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ACC314E" w14:textId="77777777" w:rsidR="00FA7086" w:rsidRPr="0010196A" w:rsidRDefault="00E516F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94D6" w14:textId="77777777" w:rsidR="00FA7086" w:rsidRPr="0010196A" w:rsidRDefault="00E516FF">
    <w:pPr>
      <w:rPr>
        <w:rFonts w:ascii="Palatino Linotype" w:hAnsi="Palatino Linotype"/>
        <w:sz w:val="28"/>
        <w:szCs w:val="28"/>
      </w:rPr>
    </w:pPr>
    <w:r>
      <w:rPr>
        <w:rFonts w:ascii="Palatino Linotype" w:hAnsi="Palatino Linotype"/>
        <w:noProof/>
        <w:sz w:val="28"/>
        <w:szCs w:val="28"/>
        <w:lang w:eastAsia="es-MX"/>
      </w:rPr>
      <w:pict w14:anchorId="008D0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72.3pt;margin-top:-41pt;width:540pt;height:10in;z-index:-251657728;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FA7086" w:rsidRPr="008F2CCC" w14:paraId="0ECFCFDF" w14:textId="77777777" w:rsidTr="009B5FC2">
      <w:tc>
        <w:tcPr>
          <w:tcW w:w="3828" w:type="dxa"/>
          <w:vMerge w:val="restart"/>
          <w:shd w:val="clear" w:color="auto" w:fill="auto"/>
        </w:tcPr>
        <w:p w14:paraId="53B7A910" w14:textId="77777777" w:rsidR="00FA7086" w:rsidRPr="008F2CCC" w:rsidRDefault="005F173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C84EFCF" wp14:editId="52F09C02">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7DDA40D" w14:textId="77777777" w:rsidR="00FA7086" w:rsidRPr="008F2CCC" w:rsidRDefault="005F17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1CEB6D60" w14:textId="18527295" w:rsidR="00FA7086" w:rsidRPr="008F2CCC" w:rsidRDefault="005F1739" w:rsidP="00923E29">
          <w:pPr>
            <w:jc w:val="both"/>
            <w:rPr>
              <w:rFonts w:ascii="Palatino Linotype" w:hAnsi="Palatino Linotype"/>
              <w:b/>
              <w:sz w:val="22"/>
              <w:szCs w:val="22"/>
              <w:lang w:val="es-ES_tradnl"/>
            </w:rPr>
          </w:pPr>
          <w:r w:rsidRPr="00764773">
            <w:rPr>
              <w:rFonts w:ascii="Palatino Linotype" w:hAnsi="Palatino Linotype"/>
              <w:b/>
              <w:sz w:val="22"/>
              <w:szCs w:val="22"/>
              <w:lang w:val="es-ES_tradnl"/>
            </w:rPr>
            <w:t>0</w:t>
          </w:r>
          <w:r w:rsidR="00E95E50">
            <w:rPr>
              <w:rFonts w:ascii="Palatino Linotype" w:hAnsi="Palatino Linotype"/>
              <w:b/>
              <w:sz w:val="22"/>
              <w:szCs w:val="22"/>
              <w:lang w:val="es-ES_tradnl"/>
            </w:rPr>
            <w:t>5102</w:t>
          </w:r>
          <w:r w:rsidRPr="00764773">
            <w:rPr>
              <w:rFonts w:ascii="Palatino Linotype" w:hAnsi="Palatino Linotype"/>
              <w:b/>
              <w:sz w:val="22"/>
              <w:szCs w:val="22"/>
              <w:lang w:val="es-ES_tradnl"/>
            </w:rPr>
            <w:t xml:space="preserve">/INFOEM/IP/RR/2020 </w:t>
          </w:r>
        </w:p>
      </w:tc>
    </w:tr>
    <w:tr w:rsidR="00FA7086" w:rsidRPr="008F2CCC" w14:paraId="0C5CCB52" w14:textId="77777777" w:rsidTr="009B5FC2">
      <w:tc>
        <w:tcPr>
          <w:tcW w:w="3828" w:type="dxa"/>
          <w:vMerge/>
          <w:shd w:val="clear" w:color="auto" w:fill="auto"/>
        </w:tcPr>
        <w:p w14:paraId="5566693D" w14:textId="77777777" w:rsidR="00FA7086" w:rsidRPr="008F2CCC" w:rsidRDefault="00E516FF" w:rsidP="00A2780F">
          <w:pPr>
            <w:rPr>
              <w:rFonts w:ascii="Palatino Linotype" w:hAnsi="Palatino Linotype"/>
              <w:b/>
              <w:sz w:val="22"/>
              <w:szCs w:val="22"/>
              <w:lang w:val="es-ES_tradnl"/>
            </w:rPr>
          </w:pPr>
        </w:p>
      </w:tc>
      <w:tc>
        <w:tcPr>
          <w:tcW w:w="2552" w:type="dxa"/>
          <w:shd w:val="clear" w:color="auto" w:fill="auto"/>
        </w:tcPr>
        <w:p w14:paraId="54E03116" w14:textId="77777777" w:rsidR="00FA7086" w:rsidRPr="008F2CCC" w:rsidRDefault="005F173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37C7F05C" w14:textId="72F03229" w:rsidR="00FA7086" w:rsidRPr="008F2CCC" w:rsidRDefault="00F64BD0" w:rsidP="00F64BD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w:t>
          </w:r>
          <w:proofErr w:type="spellEnd"/>
          <w:r w:rsidR="00E95E5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DB7FCD">
            <w:rPr>
              <w:rFonts w:ascii="Palatino Linotype" w:hAnsi="Palatino Linotype"/>
              <w:b/>
              <w:sz w:val="22"/>
              <w:szCs w:val="22"/>
              <w:lang w:val="es-ES_tradnl"/>
            </w:rPr>
            <w:t xml:space="preserve"> </w:t>
          </w:r>
        </w:p>
      </w:tc>
    </w:tr>
    <w:tr w:rsidR="00FA7086" w:rsidRPr="008F2CCC" w14:paraId="24639049" w14:textId="77777777" w:rsidTr="009B5FC2">
      <w:trPr>
        <w:trHeight w:val="228"/>
      </w:trPr>
      <w:tc>
        <w:tcPr>
          <w:tcW w:w="3828" w:type="dxa"/>
          <w:vMerge/>
          <w:shd w:val="clear" w:color="auto" w:fill="auto"/>
        </w:tcPr>
        <w:p w14:paraId="5EF0D0B8" w14:textId="77777777" w:rsidR="00FA7086" w:rsidRPr="008F2CCC" w:rsidRDefault="00E516FF" w:rsidP="00E37C88">
          <w:pPr>
            <w:rPr>
              <w:rFonts w:ascii="Palatino Linotype" w:hAnsi="Palatino Linotype"/>
              <w:b/>
              <w:sz w:val="22"/>
              <w:szCs w:val="22"/>
              <w:lang w:val="es-ES_tradnl"/>
            </w:rPr>
          </w:pPr>
        </w:p>
      </w:tc>
      <w:tc>
        <w:tcPr>
          <w:tcW w:w="2552" w:type="dxa"/>
          <w:shd w:val="clear" w:color="auto" w:fill="auto"/>
        </w:tcPr>
        <w:p w14:paraId="57840B11" w14:textId="77777777" w:rsidR="00FA7086" w:rsidRPr="008F2CCC" w:rsidRDefault="005F173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7FA97E69" w14:textId="13A19E37" w:rsidR="00FA7086" w:rsidRPr="00E109F0" w:rsidRDefault="009B5FC2" w:rsidP="00840ECD">
          <w:pPr>
            <w:jc w:val="both"/>
            <w:rPr>
              <w:rFonts w:ascii="Palatino Linotype" w:hAnsi="Palatino Linotype"/>
              <w:b/>
              <w:sz w:val="22"/>
              <w:szCs w:val="22"/>
              <w:lang w:val="es-ES_tradnl"/>
            </w:rPr>
          </w:pPr>
          <w:r>
            <w:rPr>
              <w:rFonts w:ascii="Palatino Linotype" w:hAnsi="Palatino Linotype"/>
              <w:b/>
              <w:sz w:val="22"/>
              <w:szCs w:val="22"/>
              <w:lang w:val="es-ES_tradnl"/>
            </w:rPr>
            <w:t>Ayuntamiento de</w:t>
          </w:r>
          <w:r w:rsidR="00E95E50">
            <w:rPr>
              <w:rFonts w:ascii="Palatino Linotype" w:hAnsi="Palatino Linotype"/>
              <w:b/>
              <w:sz w:val="22"/>
              <w:szCs w:val="22"/>
              <w:lang w:val="es-ES_tradnl"/>
            </w:rPr>
            <w:t xml:space="preserve"> Metepec</w:t>
          </w:r>
          <w:r w:rsidR="00A24E09">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FA7086" w:rsidRPr="008F2CCC" w14:paraId="02CC5346" w14:textId="77777777" w:rsidTr="009B5FC2">
      <w:tc>
        <w:tcPr>
          <w:tcW w:w="3828" w:type="dxa"/>
          <w:vMerge/>
          <w:shd w:val="clear" w:color="auto" w:fill="auto"/>
        </w:tcPr>
        <w:p w14:paraId="1AA30A07" w14:textId="77777777" w:rsidR="00FA7086" w:rsidRPr="008F2CCC" w:rsidRDefault="00E516FF" w:rsidP="00A2780F">
          <w:pPr>
            <w:rPr>
              <w:rFonts w:ascii="Palatino Linotype" w:hAnsi="Palatino Linotype"/>
              <w:b/>
              <w:sz w:val="22"/>
              <w:szCs w:val="22"/>
              <w:lang w:val="es-ES_tradnl"/>
            </w:rPr>
          </w:pPr>
        </w:p>
      </w:tc>
      <w:tc>
        <w:tcPr>
          <w:tcW w:w="2552" w:type="dxa"/>
          <w:shd w:val="clear" w:color="auto" w:fill="auto"/>
        </w:tcPr>
        <w:p w14:paraId="7BC46949" w14:textId="778C178E" w:rsidR="00FA7086" w:rsidRPr="008F2CCC" w:rsidRDefault="005F1739"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C50B66">
            <w:rPr>
              <w:rFonts w:ascii="Palatino Linotype" w:hAnsi="Palatino Linotype"/>
              <w:b/>
              <w:sz w:val="22"/>
              <w:szCs w:val="22"/>
              <w:lang w:val="es-ES_tradnl"/>
            </w:rPr>
            <w: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ponente:</w:t>
          </w:r>
        </w:p>
      </w:tc>
      <w:tc>
        <w:tcPr>
          <w:tcW w:w="2976" w:type="dxa"/>
          <w:shd w:val="clear" w:color="auto" w:fill="auto"/>
        </w:tcPr>
        <w:p w14:paraId="3907FEF2" w14:textId="3FB4DB7C" w:rsidR="00FA7086" w:rsidRPr="008F2CCC" w:rsidRDefault="00C50B66"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3A3513C" w14:textId="77777777" w:rsidR="00FA7086" w:rsidRPr="0010196A" w:rsidRDefault="00E516F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6007A"/>
    <w:multiLevelType w:val="multilevel"/>
    <w:tmpl w:val="06D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A291A"/>
    <w:multiLevelType w:val="hybridMultilevel"/>
    <w:tmpl w:val="BBC89AA4"/>
    <w:lvl w:ilvl="0" w:tplc="FF700E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C2"/>
    <w:rsid w:val="0000500C"/>
    <w:rsid w:val="00040C2D"/>
    <w:rsid w:val="00043B6E"/>
    <w:rsid w:val="000536CF"/>
    <w:rsid w:val="00054000"/>
    <w:rsid w:val="000C1ECE"/>
    <w:rsid w:val="000E2BE8"/>
    <w:rsid w:val="000F1B4D"/>
    <w:rsid w:val="00102F74"/>
    <w:rsid w:val="001521AE"/>
    <w:rsid w:val="0016681B"/>
    <w:rsid w:val="00186045"/>
    <w:rsid w:val="001B510D"/>
    <w:rsid w:val="001D073F"/>
    <w:rsid w:val="001D3FC4"/>
    <w:rsid w:val="00201D8D"/>
    <w:rsid w:val="0021360D"/>
    <w:rsid w:val="00242EFC"/>
    <w:rsid w:val="00250CDB"/>
    <w:rsid w:val="002E7CFC"/>
    <w:rsid w:val="003020F5"/>
    <w:rsid w:val="00310E55"/>
    <w:rsid w:val="0032286E"/>
    <w:rsid w:val="00372EE1"/>
    <w:rsid w:val="00377038"/>
    <w:rsid w:val="003C529C"/>
    <w:rsid w:val="003F0DBD"/>
    <w:rsid w:val="003F3E09"/>
    <w:rsid w:val="00416870"/>
    <w:rsid w:val="004341ED"/>
    <w:rsid w:val="004508D0"/>
    <w:rsid w:val="00476E40"/>
    <w:rsid w:val="004E27D7"/>
    <w:rsid w:val="004F1623"/>
    <w:rsid w:val="00517131"/>
    <w:rsid w:val="0056094E"/>
    <w:rsid w:val="005616F1"/>
    <w:rsid w:val="005629F8"/>
    <w:rsid w:val="00566D8E"/>
    <w:rsid w:val="005853BC"/>
    <w:rsid w:val="005A08DF"/>
    <w:rsid w:val="005A239A"/>
    <w:rsid w:val="005A33FD"/>
    <w:rsid w:val="005D1965"/>
    <w:rsid w:val="005F1739"/>
    <w:rsid w:val="0061769B"/>
    <w:rsid w:val="006B6C89"/>
    <w:rsid w:val="006C35CB"/>
    <w:rsid w:val="0070000E"/>
    <w:rsid w:val="00724A05"/>
    <w:rsid w:val="007856D7"/>
    <w:rsid w:val="0079677D"/>
    <w:rsid w:val="007A0A81"/>
    <w:rsid w:val="007B3B7C"/>
    <w:rsid w:val="007F6742"/>
    <w:rsid w:val="00874B3E"/>
    <w:rsid w:val="008C15B0"/>
    <w:rsid w:val="008D2266"/>
    <w:rsid w:val="00904E17"/>
    <w:rsid w:val="00950E46"/>
    <w:rsid w:val="009668E6"/>
    <w:rsid w:val="009A15F9"/>
    <w:rsid w:val="009B5FC2"/>
    <w:rsid w:val="009D3546"/>
    <w:rsid w:val="009D3D38"/>
    <w:rsid w:val="009E4767"/>
    <w:rsid w:val="00A1527B"/>
    <w:rsid w:val="00A21461"/>
    <w:rsid w:val="00A24E09"/>
    <w:rsid w:val="00A3409A"/>
    <w:rsid w:val="00A56C53"/>
    <w:rsid w:val="00A75BAA"/>
    <w:rsid w:val="00A83F18"/>
    <w:rsid w:val="00AA5809"/>
    <w:rsid w:val="00AF4B90"/>
    <w:rsid w:val="00B05C89"/>
    <w:rsid w:val="00B3563F"/>
    <w:rsid w:val="00B50936"/>
    <w:rsid w:val="00B72454"/>
    <w:rsid w:val="00B73DE5"/>
    <w:rsid w:val="00BC446B"/>
    <w:rsid w:val="00BF6100"/>
    <w:rsid w:val="00C03767"/>
    <w:rsid w:val="00C10DEE"/>
    <w:rsid w:val="00C34FEB"/>
    <w:rsid w:val="00C35E9A"/>
    <w:rsid w:val="00C50B66"/>
    <w:rsid w:val="00C60ED9"/>
    <w:rsid w:val="00C67EA1"/>
    <w:rsid w:val="00C70529"/>
    <w:rsid w:val="00C8594F"/>
    <w:rsid w:val="00CA472F"/>
    <w:rsid w:val="00D35D1B"/>
    <w:rsid w:val="00D83020"/>
    <w:rsid w:val="00DB6D3F"/>
    <w:rsid w:val="00DB7FCD"/>
    <w:rsid w:val="00E14F50"/>
    <w:rsid w:val="00E516FF"/>
    <w:rsid w:val="00E911BF"/>
    <w:rsid w:val="00E95E50"/>
    <w:rsid w:val="00EC3C7E"/>
    <w:rsid w:val="00EC6A1C"/>
    <w:rsid w:val="00ED35F2"/>
    <w:rsid w:val="00ED4DF1"/>
    <w:rsid w:val="00F14020"/>
    <w:rsid w:val="00F31D5D"/>
    <w:rsid w:val="00F44E15"/>
    <w:rsid w:val="00F64BD0"/>
    <w:rsid w:val="00F824CD"/>
    <w:rsid w:val="00F86A88"/>
    <w:rsid w:val="00F9555B"/>
    <w:rsid w:val="00FF7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6C013A"/>
  <w15:chartTrackingRefBased/>
  <w15:docId w15:val="{FE55B2ED-7AB1-46B0-BA69-7B9D05A6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FC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B5FC2"/>
    <w:rPr>
      <w:rFonts w:eastAsiaTheme="minorEastAsia"/>
      <w:sz w:val="24"/>
      <w:szCs w:val="24"/>
      <w:lang w:val="es-ES_tradnl" w:eastAsia="es-ES"/>
    </w:rPr>
  </w:style>
  <w:style w:type="paragraph" w:styleId="Piedepgina">
    <w:name w:val="footer"/>
    <w:basedOn w:val="Normal"/>
    <w:link w:val="PiedepginaCar"/>
    <w:uiPriority w:val="99"/>
    <w:unhideWhenUsed/>
    <w:rsid w:val="009B5FC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B5FC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B5FC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B5FC2"/>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9B5FC2"/>
    <w:rPr>
      <w:vertAlign w:val="superscript"/>
    </w:rPr>
  </w:style>
  <w:style w:type="paragraph" w:styleId="Textonotapie">
    <w:name w:val="footnote text"/>
    <w:basedOn w:val="Normal"/>
    <w:link w:val="TextonotapieCar"/>
    <w:uiPriority w:val="99"/>
    <w:semiHidden/>
    <w:unhideWhenUsed/>
    <w:rsid w:val="009B5FC2"/>
    <w:rPr>
      <w:sz w:val="20"/>
      <w:szCs w:val="20"/>
    </w:rPr>
  </w:style>
  <w:style w:type="character" w:customStyle="1" w:styleId="TextonotapieCar">
    <w:name w:val="Texto nota pie Car"/>
    <w:basedOn w:val="Fuentedeprrafopredeter"/>
    <w:link w:val="Textonotapie"/>
    <w:uiPriority w:val="99"/>
    <w:semiHidden/>
    <w:rsid w:val="009B5FC2"/>
    <w:rPr>
      <w:rFonts w:ascii="Times New Roman" w:eastAsia="Times New Roman" w:hAnsi="Times New Roman" w:cs="Times New Roman"/>
      <w:sz w:val="20"/>
      <w:szCs w:val="20"/>
      <w:lang w:eastAsia="es-ES"/>
    </w:rPr>
  </w:style>
  <w:style w:type="character" w:styleId="Hipervnculo">
    <w:name w:val="Hyperlink"/>
    <w:basedOn w:val="Fuentedeprrafopredeter"/>
    <w:uiPriority w:val="99"/>
    <w:semiHidden/>
    <w:unhideWhenUsed/>
    <w:rsid w:val="00DB7FCD"/>
    <w:rPr>
      <w:color w:val="0000FF"/>
      <w:u w:val="single"/>
    </w:rPr>
  </w:style>
  <w:style w:type="character" w:styleId="Refdecomentario">
    <w:name w:val="annotation reference"/>
    <w:basedOn w:val="Fuentedeprrafopredeter"/>
    <w:uiPriority w:val="99"/>
    <w:semiHidden/>
    <w:unhideWhenUsed/>
    <w:rsid w:val="00C70529"/>
    <w:rPr>
      <w:sz w:val="16"/>
      <w:szCs w:val="16"/>
    </w:rPr>
  </w:style>
  <w:style w:type="paragraph" w:styleId="Textocomentario">
    <w:name w:val="annotation text"/>
    <w:basedOn w:val="Normal"/>
    <w:link w:val="TextocomentarioCar"/>
    <w:uiPriority w:val="99"/>
    <w:semiHidden/>
    <w:unhideWhenUsed/>
    <w:rsid w:val="00C70529"/>
    <w:rPr>
      <w:sz w:val="20"/>
      <w:szCs w:val="20"/>
    </w:rPr>
  </w:style>
  <w:style w:type="character" w:customStyle="1" w:styleId="TextocomentarioCar">
    <w:name w:val="Texto comentario Car"/>
    <w:basedOn w:val="Fuentedeprrafopredeter"/>
    <w:link w:val="Textocomentario"/>
    <w:uiPriority w:val="99"/>
    <w:semiHidden/>
    <w:rsid w:val="00C7052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0529"/>
    <w:rPr>
      <w:b/>
      <w:bCs/>
    </w:rPr>
  </w:style>
  <w:style w:type="character" w:customStyle="1" w:styleId="AsuntodelcomentarioCar">
    <w:name w:val="Asunto del comentario Car"/>
    <w:basedOn w:val="TextocomentarioCar"/>
    <w:link w:val="Asuntodelcomentario"/>
    <w:uiPriority w:val="99"/>
    <w:semiHidden/>
    <w:rsid w:val="00C7052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705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9"/>
    <w:rPr>
      <w:rFonts w:ascii="Segoe UI" w:eastAsia="Times New Roman" w:hAnsi="Segoe UI" w:cs="Segoe UI"/>
      <w:sz w:val="18"/>
      <w:szCs w:val="18"/>
      <w:lang w:eastAsia="es-ES"/>
    </w:rPr>
  </w:style>
  <w:style w:type="paragraph" w:customStyle="1" w:styleId="paragraph">
    <w:name w:val="paragraph"/>
    <w:basedOn w:val="Normal"/>
    <w:rsid w:val="00ED4DF1"/>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8697">
      <w:bodyDiv w:val="1"/>
      <w:marLeft w:val="0"/>
      <w:marRight w:val="0"/>
      <w:marTop w:val="0"/>
      <w:marBottom w:val="0"/>
      <w:divBdr>
        <w:top w:val="none" w:sz="0" w:space="0" w:color="auto"/>
        <w:left w:val="none" w:sz="0" w:space="0" w:color="auto"/>
        <w:bottom w:val="none" w:sz="0" w:space="0" w:color="auto"/>
        <w:right w:val="none" w:sz="0" w:space="0" w:color="auto"/>
      </w:divBdr>
    </w:div>
    <w:div w:id="1835490696">
      <w:bodyDiv w:val="1"/>
      <w:marLeft w:val="0"/>
      <w:marRight w:val="0"/>
      <w:marTop w:val="0"/>
      <w:marBottom w:val="0"/>
      <w:divBdr>
        <w:top w:val="none" w:sz="0" w:space="0" w:color="auto"/>
        <w:left w:val="none" w:sz="0" w:space="0" w:color="auto"/>
        <w:bottom w:val="none" w:sz="0" w:space="0" w:color="auto"/>
        <w:right w:val="none" w:sz="0" w:space="0" w:color="auto"/>
      </w:divBdr>
    </w:div>
    <w:div w:id="207824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ADC78-D8DC-4DC9-97AD-3EEC5C76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6831</Words>
  <Characters>37575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USUARIO-INFOEM</cp:lastModifiedBy>
  <cp:revision>10</cp:revision>
  <dcterms:created xsi:type="dcterms:W3CDTF">2021-12-15T23:43:00Z</dcterms:created>
  <dcterms:modified xsi:type="dcterms:W3CDTF">2022-01-11T19:52:00Z</dcterms:modified>
</cp:coreProperties>
</file>