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uno de diciembre de dos mil veintiuno. </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02789/INFOEM/IP/RR/2021</w:t>
      </w:r>
      <w:r>
        <w:rPr>
          <w:rFonts w:ascii="Palatino Linotype" w:eastAsia="Palatino Linotype" w:hAnsi="Palatino Linotype" w:cs="Palatino Linotype"/>
        </w:rPr>
        <w:t xml:space="preserve">, interpuesto por </w:t>
      </w:r>
      <w:r w:rsidR="001F50E6" w:rsidRPr="001F50E6">
        <w:rPr>
          <w:rFonts w:ascii="Palatino Linotype" w:eastAsia="Palatino Linotype" w:hAnsi="Palatino Linotype" w:cs="Palatino Linotype"/>
          <w:b/>
        </w:rPr>
        <w:t>XXXX</w:t>
      </w:r>
      <w:bookmarkStart w:id="0" w:name="_GoBack"/>
      <w:bookmarkEnd w:id="0"/>
      <w:r w:rsidR="001F50E6" w:rsidRPr="001F50E6">
        <w:rPr>
          <w:rFonts w:ascii="Palatino Linotype" w:eastAsia="Palatino Linotype" w:hAnsi="Palatino Linotype" w:cs="Palatino Linotype"/>
          <w:b/>
        </w:rPr>
        <w:t>XXXXXXXXX</w:t>
      </w:r>
      <w:r w:rsidRPr="001F50E6">
        <w:rPr>
          <w:rFonts w:ascii="Palatino Linotype" w:eastAsia="Palatino Linotype" w:hAnsi="Palatino Linotype" w:cs="Palatino Linotype"/>
          <w:b/>
        </w:rPr>
        <w:t xml:space="preserve"> </w:t>
      </w:r>
      <w:r>
        <w:rPr>
          <w:rFonts w:ascii="Palatino Linotype" w:eastAsia="Palatino Linotype" w:hAnsi="Palatino Linotype" w:cs="Palatino Linotype"/>
        </w:rPr>
        <w:t>y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Partido Verde Ecologista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12659E" w:rsidRDefault="00B77A70">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veintiséis de abril de dos mil veintiuno,</w:t>
      </w:r>
      <w:r>
        <w:rPr>
          <w:rFonts w:ascii="Palatino Linotype" w:eastAsia="Palatino Linotype" w:hAnsi="Palatino Linotype" w:cs="Palatino Linotype"/>
        </w:rPr>
        <w:t xml:space="preserve"> la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00013/PVERDE/IP/2021, </w:t>
      </w:r>
      <w:r>
        <w:rPr>
          <w:rFonts w:ascii="Palatino Linotype" w:eastAsia="Palatino Linotype" w:hAnsi="Palatino Linotype" w:cs="Palatino Linotype"/>
        </w:rPr>
        <w:t xml:space="preserve">mediante la cual requirió la información siguiente: </w:t>
      </w:r>
    </w:p>
    <w:p w:rsidR="0012659E" w:rsidRDefault="00B77A70">
      <w:pPr>
        <w:spacing w:line="360" w:lineRule="auto"/>
        <w:ind w:left="851" w:right="902"/>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“Se solicita responder el siguiente cuestionario: 1. Qué es ser militante del PVEM en el Estado de México 2. Qué requisitos se necesitan para ser militante del PVEM el EDOMEX 3. Quién otorga las constancias de militancia en el PVEM del Estado de México 4. ¿Se entregan constancias de pago de cuotas a los militantes del PVEM en el Estado de México? 5. ¿Cómo está integrado su órgano de administración, qué facultades tiene y cuál es el nombre de los integrantes? 6. ¿cómo está integrado el Comité de Transparencia, cuáles son los nombres y su </w:t>
      </w:r>
      <w:r>
        <w:rPr>
          <w:rFonts w:ascii="Palatino Linotype" w:eastAsia="Palatino Linotype" w:hAnsi="Palatino Linotype" w:cs="Palatino Linotype"/>
          <w:i/>
          <w:sz w:val="22"/>
          <w:szCs w:val="22"/>
        </w:rPr>
        <w:lastRenderedPageBreak/>
        <w:t xml:space="preserve">cargo? 7. ¿cómo está integrada la Comisión Estatal de Honor y Justicia, cuáles son los nombres de sus integrantes y su cargo? 8. ¿cómo está integrada su Asamblea Estatal, cuáles son los nombres? 9. ¿cómo está integrada su Comisión Estatal de Honor y Justicia, cuáles son los nombres? 10. ¿cómo está integrado su Consejo Político, cuáles son los nombres y su cargo? 11. ¿El Comité de Transparencia tiene integrantes que sean familiares? 12. El Consejo Político tiene integrantes que sean familiares? 13. La Comisión Estatal de Honor y Justicia tiene integrantes que sean familiares? 14. Proporcionar la constancia de militancia de los integrantes del Comité Ejecutivo Estatal, Comité de Transparencia, de la Comisión Estatal de Honor y Justicia, y Consejo Político; tanto de los propietarios como de los suplentes 15. Qué procedimiento o sanción es aplicable para quiénes ocupen un cargo dentro de su comité que no cuenten con constancia de militancia 16. Proporcionar los informes mensuales de los años de 2018 al 2021 que ha presentado su Secretario General del Comité Ejecutivo Estatal a su órgano de administración, de conformidad con sus estatutos 17. Cuáles son los nombres de las secretarias que forman parte de su comité, de conformidad con sus estatutos 18. Proporcionar los nombramientos de los secretarios así como su registro ante el IEEM y/o INE 19. Cuál es el plan de trabajo de cada una de las secretarias a las que hace mención sus estatutos, en versión pública 20. Constancia de militancia de los integrantes de la unidad de transparencia y de los funcionarios partidistas habilitados 21. Cuál es el proceso por el cual se eligió al titular y/o presidente de la comisión estatal de honor y justicia del PVEM en el Estado de México, así como su acta de instalación 22. Cuál es el proceso por el cual se eligió al titular y/o presidente del Comité de Transparencia del PVEM, proporcionar su acta instalación y la de su Sistema Institucional de Archivo 23. Cuál es el proceso por el cual se eligió al titular y/o </w:t>
      </w:r>
      <w:r>
        <w:rPr>
          <w:rFonts w:ascii="Palatino Linotype" w:eastAsia="Palatino Linotype" w:hAnsi="Palatino Linotype" w:cs="Palatino Linotype"/>
          <w:i/>
          <w:sz w:val="22"/>
          <w:szCs w:val="22"/>
        </w:rPr>
        <w:lastRenderedPageBreak/>
        <w:t>presidente de la comisión estatal de honor y justicia del PVEM 24. Cuál es el proceso por el cual se eligió al titular y/o presidente de consejo político del PVEM 25. Informe anual de actividades de 2018, 2019 y 2020 que presentó el Secretario General del PVEM ante el Consejo Político, Asamblea General 26. Cuál es el proceso de elección para ser Dirigente del PVEM en el estado de México 27. Proporcionar constancias de registro en el padrón de adherentes de todos los secretarios de su Comité Estatal, del Consejo Político, de la Asamblea Estatal, de Comisión de Honor y Justicia. 28. Cuántas resoluciones ha emitido Y EN QUÉ FECHAS la Comisión de Honor y Justicia 29. ADJUNTAR TODA LA DOCUMENTACIÓN SOLICITADA EN SAIMEX.” (sic)</w:t>
      </w:r>
    </w:p>
    <w:p w:rsidR="0012659E" w:rsidRDefault="0012659E">
      <w:pPr>
        <w:ind w:right="900"/>
        <w:jc w:val="both"/>
        <w:rPr>
          <w:rFonts w:ascii="Palatino Linotype" w:eastAsia="Palatino Linotype" w:hAnsi="Palatino Linotype" w:cs="Palatino Linotype"/>
        </w:rPr>
      </w:pP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mayo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12659E" w:rsidRDefault="00B77A70">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entrega al solicitante, repuesta a cada uno de los puntos de la información solicitada, de acuerdo con lo establecido en el artículo 162 en el entendido de que la Unidad de Transparencia a mi digno cargo, se ha turnado a todas las Áreas competentes que cuenten con la información o deban tenerla de acuerdo a sus facultades, competencias y funciones, con el objeto de que realicen una búsqueda exhaustiva y razonable de la información solicitada. Se adjunta archivo PDF denominado "03Respuesta a solicitud" Así mismo, no omito en informarle que, según lo establecido en el Título Octavo de la Ley de Transparencia y Acceso a la Información Pública del Estado de México y Municipios, Usted podrá presentar recurso de revisión. Sin otro particular, le envío un cordial saludo quedando a sus órdenes.” (sic)</w:t>
      </w:r>
    </w:p>
    <w:p w:rsidR="0012659E" w:rsidRDefault="00B77A7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Manifestación a la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el archivo electrónico denominado </w:t>
      </w:r>
      <w:r>
        <w:rPr>
          <w:rFonts w:ascii="Palatino Linotype" w:eastAsia="Palatino Linotype" w:hAnsi="Palatino Linotype" w:cs="Palatino Linotype"/>
          <w:b/>
          <w:i/>
        </w:rPr>
        <w:t xml:space="preserve">“03 Respuesta a solicitud.pdf” </w:t>
      </w:r>
      <w:r>
        <w:rPr>
          <w:rFonts w:ascii="Palatino Linotype" w:eastAsia="Palatino Linotype" w:hAnsi="Palatino Linotype" w:cs="Palatino Linotype"/>
        </w:rPr>
        <w:t xml:space="preserve">integrado por 47 páginas, en las que se observa el oficio PVEM-EDOMEX/UT-286/2021 de fecha 30 de abril de 2021, suscrito </w:t>
      </w:r>
      <w:r>
        <w:rPr>
          <w:rFonts w:ascii="Palatino Linotype" w:eastAsia="Palatino Linotype" w:hAnsi="Palatino Linotype" w:cs="Palatino Linotype"/>
        </w:rPr>
        <w:lastRenderedPageBreak/>
        <w:t xml:space="preserve">por la Titular de la Unidad de Transparencia, en el que responde a cada uno de los cuestionamientos formulados por el entonces solicitante. </w:t>
      </w:r>
    </w:p>
    <w:p w:rsidR="0012659E" w:rsidRDefault="00B77A7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once de mayo de dos mil veintiuno </w:t>
      </w:r>
      <w:r>
        <w:rPr>
          <w:rFonts w:ascii="Palatino Linotype" w:eastAsia="Palatino Linotype" w:hAnsi="Palatino Linotype" w:cs="Palatino Linotype"/>
        </w:rPr>
        <w:t xml:space="preserve">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en el que manifestó tanto en </w:t>
      </w:r>
      <w:r>
        <w:rPr>
          <w:rFonts w:ascii="Palatino Linotype" w:eastAsia="Palatino Linotype" w:hAnsi="Palatino Linotype" w:cs="Palatino Linotype"/>
          <w:b/>
        </w:rPr>
        <w:t>acto impugnado¸</w:t>
      </w:r>
      <w:r>
        <w:rPr>
          <w:rFonts w:ascii="Palatino Linotype" w:eastAsia="Palatino Linotype" w:hAnsi="Palatino Linotype" w:cs="Palatino Linotype"/>
        </w:rPr>
        <w:t xml:space="preserve"> como en, </w:t>
      </w:r>
      <w:r>
        <w:rPr>
          <w:rFonts w:ascii="Palatino Linotype" w:eastAsia="Palatino Linotype" w:hAnsi="Palatino Linotype" w:cs="Palatino Linotype"/>
          <w:b/>
        </w:rPr>
        <w:t>razones y/o motivos de inconformidad</w:t>
      </w:r>
      <w:r>
        <w:rPr>
          <w:rFonts w:ascii="Palatino Linotype" w:eastAsia="Palatino Linotype" w:hAnsi="Palatino Linotype" w:cs="Palatino Linotype"/>
        </w:rPr>
        <w:t xml:space="preserve"> lo siguiente:</w:t>
      </w:r>
    </w:p>
    <w:p w:rsidR="0012659E" w:rsidRDefault="00B77A70">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“1. En razón a sus estatutos, se observa que si cuentan con el padrón de militantes de su Partido en el Estado, por lo que la orientación no corresponde. Artículo 69.- Facultades del Comité Ejecutivo Estatal y del Distrito Federal, en cada una de las entidades federativas:III.- Someter a consideración del Consejo Político Nacional las propuestas de cambio de carácter de afiliación de adherentes a militantes; Artículo 77.- Del Procedimiento para dirimir conflictos de la Comisión Estatal de Honor y Justicia; El procedimiento para dirimir conflictos internos, aplicable en las entidades federativas, el Distrito Federal, en los municipios, en los distritos o en las delegaciones en el caso del Distrito Federal, tendrá como objetivos básicos el integrar los expedientes para sancionar a los militantes o adherentes que violen los Documentos Básicos, o cometan actos de indisciplina en detrimento del Partido, u omisión en el ejercicio de sus obligaciones partidarias o públicas, desviación de recursos o actos en contra de la honorabilidad del Partido. Artículo 97.- Las cuotas de los militantes del Partido serán cubiertas en las sedes de los Comités Ejecutivos Estatales, dentro de los primeros cinco días hábiles de los meses de febrero, abril, junio, agosto, octubre y diciembre de cada año. 2. Así mismo, en su respuesta confirma que si cuentan con el padrón de militantes: “Es preciso hacer del conocimiento del solicitante que con respecto a la información referente a la militancia de los miembros al ser interpretado como la preferencia política o similares están tutelados por lo establecido en el artículo 7 de la Ley de Protección de Datos Personales en Posesión de Sujetos Obligados del Estado de México y Municipios que a la letra dice:” Además dice que son datos personales, pero no lo demuestra. 3.Tampoco responde si en sus órganos internos tienen parentescos familiares, particularmente de hermanos, en sus respuestas dicen que no generan información y que tampoco los obliga a tenerla Además dice que hizo una búsqueda, pero no proporciona la evidencia. Así mismo, en su respuesta “Entendiendo que el ciudadano se refiere a las Secretarías que conforman el Comité Ejecutivo Nacional del Partido Verde Ecologista de México, y” </w:t>
      </w:r>
      <w:r>
        <w:rPr>
          <w:rFonts w:ascii="Palatino Linotype" w:eastAsia="Palatino Linotype" w:hAnsi="Palatino Linotype" w:cs="Palatino Linotype"/>
          <w:i/>
          <w:sz w:val="22"/>
          <w:szCs w:val="22"/>
        </w:rPr>
        <w:lastRenderedPageBreak/>
        <w:t>nuevamente dice que es al Nacional y no entrega nada de su Comité del Estado. Por otro lado “Se le informa que este Comité Ejecutivo Estatal del Partido Verde Ecologista de México en el Estado de México no genera información con respecto a nombramiento de los secretarios -entendiéndose como los titulares de las Secretarías que conforman el Comité Ejecutivo Estatal del Partido Verde Ecologista de México en el Estado de México- por lo que se le orienta al solicitante para que pueda presentar su solicitud de acceso a la información pública ante el posible sujeto obligado que pudiese tener en sus archivos dicha información” no tiene información de sus secretario y remite al IEEM. 4.Además, atendiendo lo establecido en el Capítulo XV De los Comités Ejecutivos Estatales o del Distrito Federal en su artículo 68 párrafo segundo que a la letra dice: “La titularidad de las secretarías serán ocupadas por militantes del Partido los cuales serán propuestos por el Secretario General del Comité Ejecutivo Estatal al Consejo Político Estatal o del Distrito Federal.” Para terminar, ese comité dice en su respuesta: Se informa al solicitante que se atenderá el sentido de interpretación al cuestionamiento en comento, se entiende que el solicitante al establecer en su pregunta hace referencia al Secretario General del Comité Ejecutivo Estatal del Partido Verde Ecologista de México en el Estado de México, Consejo Político Estatal y Asamblea Estatal en el Estado de México; por lo que se le informa que los informes que generan las Secretarías que conforman este ente político son públicos en el Sistema de Información Pública de Oficio Mexiquense (IPOMEX), en donde podrá consultar la información anterior de los ejercicios 2018, 2019 y 2020 en la siguiente liga: https://www.ipomex.org.mx/ipo3/lgt/indice/PVERDE/art_92_xxxiii.web Se le informa al solicitante que se atiende a lo dispuesto por el criterio 18/13 del INAI que a la letra dice: “CRITERIO 18/13.Respuesta igual a cero. No es necesario declarar formalmente la inexistencia. En los casos en que se requiere un dato estadístico o numérico, y el resultado de la búsqueda de la información sea cero, éste deberá entenderse como un dato que constituye un elemento numérico que atiende la solicitud, y no como la inexistencia de la información solicitada” Dice que los documentos son públicos y en seguida dice que tiene cero documentos, ¿si los tienen se solicitan envíen por saimex?” (sic)</w:t>
      </w:r>
    </w:p>
    <w:p w:rsidR="0012659E" w:rsidRDefault="0012659E">
      <w:pPr>
        <w:spacing w:line="360" w:lineRule="auto"/>
        <w:jc w:val="both"/>
        <w:rPr>
          <w:rFonts w:ascii="Palatino Linotype" w:eastAsia="Palatino Linotype" w:hAnsi="Palatino Linotype" w:cs="Palatino Linotype"/>
          <w:sz w:val="2"/>
          <w:szCs w:val="2"/>
        </w:rPr>
      </w:pPr>
    </w:p>
    <w:p w:rsidR="0012659E" w:rsidRDefault="0012659E">
      <w:pPr>
        <w:spacing w:line="360" w:lineRule="auto"/>
        <w:jc w:val="both"/>
        <w:rPr>
          <w:rFonts w:ascii="Palatino Linotype" w:eastAsia="Palatino Linotype" w:hAnsi="Palatino Linotype" w:cs="Palatino Linotype"/>
          <w:b/>
          <w:sz w:val="14"/>
          <w:szCs w:val="14"/>
        </w:rPr>
      </w:pP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al entonces Comisionado </w:t>
      </w:r>
      <w:r>
        <w:rPr>
          <w:rFonts w:ascii="Palatino Linotype" w:eastAsia="Palatino Linotype" w:hAnsi="Palatino Linotype" w:cs="Palatino Linotype"/>
          <w:b/>
        </w:rPr>
        <w:t xml:space="preserve">Javier Martínez Cruz, </w:t>
      </w:r>
      <w:r>
        <w:rPr>
          <w:rFonts w:ascii="Palatino Linotype" w:eastAsia="Palatino Linotype" w:hAnsi="Palatino Linotype" w:cs="Palatino Linotype"/>
        </w:rPr>
        <w:t>a efecto de que analizara sobre su admisión o su desechamiento.</w:t>
      </w:r>
    </w:p>
    <w:p w:rsidR="0012659E" w:rsidRDefault="00B77A7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catorce de mayo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12659E" w:rsidRDefault="00B77A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dieciocho de mayo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en informe justificado el archivo identificado como </w:t>
      </w:r>
      <w:r>
        <w:rPr>
          <w:rFonts w:ascii="Palatino Linotype" w:eastAsia="Palatino Linotype" w:hAnsi="Palatino Linotype" w:cs="Palatino Linotype"/>
          <w:b/>
          <w:i/>
        </w:rPr>
        <w:t xml:space="preserve">02789-INFOEM-IP-RR-2021.pdf </w:t>
      </w:r>
      <w:r>
        <w:rPr>
          <w:rFonts w:ascii="Palatino Linotype" w:eastAsia="Palatino Linotype" w:hAnsi="Palatino Linotype" w:cs="Palatino Linotype"/>
        </w:rPr>
        <w:t xml:space="preserve">consistente en el oficio PVEM-EDOMEX/UT-095/2021, suscrito por la Titular de la Unidad de Transparencia en el que se insertó el oficio de respuesta a la solicitud y refutó los motivos de inconformidad, ratificando la respuesta inicial. </w:t>
      </w:r>
    </w:p>
    <w:p w:rsidR="0012659E" w:rsidRDefault="00B77A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si bien ratifica la respuesta inicial, en fecha dieciocho de noviembre de dos mil veintiuno, se puso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 el objeto de que tuviera conocimiento sobre la totalidad de las constancias que integran el expediente y manifestará lo que a su derecho asistiera y conviniera. </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once de agosto de dos mil veintiuno</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w:t>
      </w:r>
      <w:r>
        <w:rPr>
          <w:rFonts w:ascii="Palatino Linotype" w:eastAsia="Palatino Linotype" w:hAnsi="Palatino Linotype" w:cs="Palatino Linotype"/>
        </w:rPr>
        <w:lastRenderedPageBreak/>
        <w:t xml:space="preserve">Municipios, determinó mediante el acuerdo respectivo, ampliar por quince días hábiles adicionales el plazo para emitir la presente resolución. </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Returno.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agosto de dos mil veintiuno, </w:t>
      </w:r>
      <w:r>
        <w:rPr>
          <w:rFonts w:ascii="Palatino Linotype" w:eastAsia="Palatino Linotype" w:hAnsi="Palatino Linotype" w:cs="Palatino Linotype"/>
        </w:rPr>
        <w:t xml:space="preserve">en la Segunda Sesión Extraordinaria, el Pleno del Instituto aprobó el returno del recurso de revisión al rubro indicado a la Ponencia de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para su estudio y resolución. </w:t>
      </w:r>
    </w:p>
    <w:p w:rsidR="0012659E" w:rsidRDefault="00B77A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veinticuatro de noviembre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2659E" w:rsidRDefault="00B77A70">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12659E" w:rsidRDefault="00B77A70">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tres de mayo de dos mil veintiuno,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once de mayo de dos mil veintiuno</w:t>
      </w:r>
      <w:r>
        <w:rPr>
          <w:rFonts w:ascii="Palatino Linotype" w:eastAsia="Palatino Linotype" w:hAnsi="Palatino Linotype" w:cs="Palatino Linotype"/>
        </w:rPr>
        <w:t>, esto es, el quinto día hábil posterior en que tuvo conocimiento de la respuesta impugnada.</w:t>
      </w:r>
    </w:p>
    <w:p w:rsidR="0012659E" w:rsidRDefault="00B77A70">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Pr>
          <w:rFonts w:ascii="Palatino Linotype" w:eastAsia="Palatino Linotype" w:hAnsi="Palatino Linotype" w:cs="Palatino Linotype"/>
          <w:b/>
          <w:color w:val="000000"/>
        </w:rPr>
        <w:t xml:space="preserve">no proporciona su nombre completo para que sea </w:t>
      </w:r>
      <w:r>
        <w:rPr>
          <w:rFonts w:ascii="Palatino Linotype" w:eastAsia="Palatino Linotype" w:hAnsi="Palatino Linotype" w:cs="Palatino Linotype"/>
          <w:b/>
          <w:color w:val="000000"/>
          <w:u w:val="single"/>
        </w:rPr>
        <w:t>identificado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ni se tiene la certeza sobre su identidad, sin embargo, es importante señalar también que el nombre de los solicitantes y recurrentes no es requisito indispensable para la tramitación del acto procesal específico en materia de acceso a la información, ello </w:t>
      </w:r>
      <w:r>
        <w:rPr>
          <w:rFonts w:ascii="Palatino Linotype" w:eastAsia="Palatino Linotype" w:hAnsi="Palatino Linotype" w:cs="Palatino Linotype"/>
          <w:color w:val="000000"/>
        </w:rPr>
        <w:lastRenderedPageBreak/>
        <w:t>en estricto apego al numeral 155 párrafo tercero de la Ley de la materia, en concatenación con el 180 del mismo ordenamiento.</w:t>
      </w:r>
    </w:p>
    <w:p w:rsidR="0012659E" w:rsidRDefault="0012659E">
      <w:pPr>
        <w:pBdr>
          <w:top w:val="nil"/>
          <w:left w:val="nil"/>
          <w:bottom w:val="nil"/>
          <w:right w:val="nil"/>
          <w:between w:val="nil"/>
        </w:pBdr>
        <w:ind w:left="720"/>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así, ya que de conformidad con los artículos 6, Apartado A, fracciones III y IV de la Constitución Política de los Estados Unidos Mexicanos y 5 párrafos </w:t>
      </w:r>
      <w:r>
        <w:rPr>
          <w:rFonts w:ascii="Palatino Linotype" w:eastAsia="Palatino Linotype" w:hAnsi="Palatino Linotype" w:cs="Palatino Linotype"/>
          <w:color w:val="222222"/>
        </w:rPr>
        <w:t xml:space="preserve">vigésimo, vigésimo primero y vigésimo segundo </w:t>
      </w:r>
      <w:r>
        <w:rPr>
          <w:rFonts w:ascii="Palatino Linotype" w:eastAsia="Palatino Linotype" w:hAnsi="Palatino Linotype" w:cs="Palatino Linotype"/>
          <w:color w:val="000000"/>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2659E" w:rsidRDefault="0012659E">
      <w:pPr>
        <w:pBdr>
          <w:top w:val="nil"/>
          <w:left w:val="nil"/>
          <w:bottom w:val="nil"/>
          <w:right w:val="nil"/>
          <w:between w:val="nil"/>
        </w:pBdr>
        <w:ind w:left="720"/>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2659E" w:rsidRDefault="0012659E">
      <w:pPr>
        <w:pBdr>
          <w:top w:val="nil"/>
          <w:left w:val="nil"/>
          <w:bottom w:val="nil"/>
          <w:right w:val="nil"/>
          <w:between w:val="nil"/>
        </w:pBdr>
        <w:ind w:left="720"/>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entendido, se omite un análisis más profundo en torno a los conceptos de interés jurídico y legitimación, debido a que se estima que a ningún efecto práctico </w:t>
      </w:r>
      <w:r>
        <w:rPr>
          <w:rFonts w:ascii="Palatino Linotype" w:eastAsia="Palatino Linotype" w:hAnsi="Palatino Linotype" w:cs="Palatino Linotype"/>
          <w:color w:val="000000"/>
        </w:rPr>
        <w:lastRenderedPageBreak/>
        <w:t>conduciría, puesto que la propia estructura del derecho fundamental bajo análisis no lo exige.</w:t>
      </w:r>
    </w:p>
    <w:p w:rsidR="0012659E" w:rsidRDefault="0012659E">
      <w:pPr>
        <w:pBdr>
          <w:top w:val="nil"/>
          <w:left w:val="nil"/>
          <w:bottom w:val="nil"/>
          <w:right w:val="nil"/>
          <w:between w:val="nil"/>
        </w:pBdr>
        <w:ind w:left="720"/>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el nombre del solicitante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12659E" w:rsidRDefault="00B77A7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12659E" w:rsidRDefault="00B77A70">
      <w:pPr>
        <w:spacing w:before="120" w:after="120"/>
        <w:ind w:left="993"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12659E" w:rsidRDefault="00B77A70">
      <w:pPr>
        <w:spacing w:before="120" w:after="120"/>
        <w:ind w:left="993"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La declaración de incompetencia por el sujeto obligado;</w:t>
      </w:r>
    </w:p>
    <w:p w:rsidR="0012659E" w:rsidRDefault="00B77A7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La entrega de información incompleta;</w:t>
      </w:r>
    </w:p>
    <w:p w:rsidR="0012659E" w:rsidRDefault="00B77A7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i/>
          <w:sz w:val="22"/>
          <w:szCs w:val="22"/>
        </w:rPr>
        <w:t>”</w:t>
      </w:r>
    </w:p>
    <w:p w:rsidR="0012659E" w:rsidRDefault="00B77A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completa.</w:t>
      </w:r>
    </w:p>
    <w:p w:rsidR="0012659E" w:rsidRDefault="00B77A70">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Es menester precisar que este </w:t>
      </w:r>
      <w:r>
        <w:rPr>
          <w:rFonts w:ascii="Palatino Linotype" w:eastAsia="Palatino Linotype" w:hAnsi="Palatino Linotype" w:cs="Palatino Linotype"/>
          <w:color w:val="000000"/>
        </w:rPr>
        <w:t xml:space="preserve">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ser cuidadoso del debido cumplimiento de las obligaciones constitucionales que se le imponen, que de acuerdo a lo dispuesto en el tercer párrafo del artículo primero de la </w:t>
      </w:r>
      <w:r>
        <w:rPr>
          <w:rFonts w:ascii="Palatino Linotype" w:eastAsia="Palatino Linotype" w:hAnsi="Palatino Linotype" w:cs="Palatino Linotype"/>
          <w:b/>
          <w:color w:val="000000"/>
        </w:rPr>
        <w:t xml:space="preserve">Constitución Política de los Estados Unidos Mexicanos </w:t>
      </w:r>
      <w:r>
        <w:rPr>
          <w:rFonts w:ascii="Palatino Linotype" w:eastAsia="Palatino Linotype" w:hAnsi="Palatino Linotype" w:cs="Palatino Linotype"/>
          <w:color w:val="000000"/>
        </w:rPr>
        <w:t xml:space="preserve">tiene el deber de  “promover, </w:t>
      </w:r>
      <w:r>
        <w:rPr>
          <w:rFonts w:ascii="Palatino Linotype" w:eastAsia="Palatino Linotype" w:hAnsi="Palatino Linotype" w:cs="Palatino Linotype"/>
          <w:b/>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derechos humanos”, entre los cuales se encuentra ese derecho. </w:t>
      </w:r>
    </w:p>
    <w:p w:rsidR="0012659E" w:rsidRDefault="0012659E">
      <w:pPr>
        <w:ind w:left="720"/>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Asimismo, el artículo primero Constitucional dispone de manera clara  y precisa que, como consecuencia de la obligación que tienen las autoridades de promover, respetar, proteger y garantizar el derecho humano; el Estado deberá </w:t>
      </w:r>
      <w:r>
        <w:rPr>
          <w:rFonts w:ascii="Palatino Linotype" w:eastAsia="Palatino Linotype" w:hAnsi="Palatino Linotype" w:cs="Palatino Linotype"/>
          <w:u w:val="single"/>
        </w:rPr>
        <w:t>prevenir, investigar, sancionar y reparar las violaciones a los derechos humanos</w:t>
      </w:r>
      <w:r>
        <w:rPr>
          <w:rFonts w:ascii="Palatino Linotype" w:eastAsia="Palatino Linotype" w:hAnsi="Palatino Linotype" w:cs="Palatino Linotype"/>
        </w:rPr>
        <w:t xml:space="preserve">. </w:t>
      </w:r>
    </w:p>
    <w:p w:rsidR="0012659E" w:rsidRDefault="0012659E">
      <w:pPr>
        <w:spacing w:line="360" w:lineRule="auto"/>
        <w:ind w:left="360"/>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establece principios, bases generales y procedimientos para tutelar y garantizar la transparencia y el derecho humano de acceso a la información pública en posesión de los sujetos obligados; y para tal efecto, el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u w:val="single"/>
        </w:rPr>
        <w:t>el recurso de revisión es la garantía secundaria</w:t>
      </w:r>
      <w:r>
        <w:rPr>
          <w:rFonts w:ascii="Palatino Linotype" w:eastAsia="Palatino Linotype" w:hAnsi="Palatino Linotype" w:cs="Palatino Linotype"/>
          <w:b/>
          <w:i/>
        </w:rPr>
        <w:t xml:space="preserve"> mediante la cual se pretende reparar cualquier posible afectación al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siendo el medio para que este Órgano Garante después de realizar el análisis al procedimiento de acceso a la información, determine la posible afectación y de ser el caso ordene la reparación del derecho en cuestión. </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12659E" w:rsidRDefault="00B77A7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2659E" w:rsidRDefault="00B77A7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2659E" w:rsidRDefault="00B77A7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12659E" w:rsidRDefault="0012659E">
      <w:pPr>
        <w:ind w:left="709" w:right="760"/>
        <w:jc w:val="both"/>
        <w:rPr>
          <w:rFonts w:ascii="Palatino Linotype" w:eastAsia="Palatino Linotype" w:hAnsi="Palatino Linotype" w:cs="Palatino Linotype"/>
          <w:i/>
        </w:rPr>
      </w:pP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12659E" w:rsidRDefault="00B77A7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2659E" w:rsidRDefault="00B77A7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2659E" w:rsidRDefault="0012659E">
      <w:pPr>
        <w:spacing w:line="360" w:lineRule="auto"/>
        <w:ind w:right="-93"/>
        <w:jc w:val="both"/>
        <w:rPr>
          <w:rFonts w:ascii="Palatino Linotype" w:eastAsia="Palatino Linotype" w:hAnsi="Palatino Linotype" w:cs="Palatino Linotype"/>
          <w:color w:val="000000"/>
        </w:rPr>
      </w:pPr>
    </w:p>
    <w:p w:rsidR="0012659E" w:rsidRDefault="00B77A7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12659E" w:rsidRDefault="0012659E">
      <w:pPr>
        <w:spacing w:line="360" w:lineRule="auto"/>
        <w:ind w:right="-93"/>
        <w:jc w:val="both"/>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2659E" w:rsidRDefault="0012659E">
      <w:pPr>
        <w:ind w:left="851" w:right="850"/>
        <w:jc w:val="both"/>
        <w:rPr>
          <w:rFonts w:ascii="Palatino Linotype" w:eastAsia="Palatino Linotype" w:hAnsi="Palatino Linotype" w:cs="Palatino Linotype"/>
          <w:color w:val="000000"/>
        </w:rPr>
      </w:pPr>
    </w:p>
    <w:p w:rsidR="0012659E" w:rsidRDefault="00B77A7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2659E" w:rsidRDefault="00B77A7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2659E" w:rsidRDefault="00B77A7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2659E" w:rsidRDefault="00B77A7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2659E" w:rsidRDefault="00B77A7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12659E" w:rsidRDefault="0012659E">
      <w:pPr>
        <w:spacing w:line="360" w:lineRule="auto"/>
        <w:jc w:val="both"/>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2659E" w:rsidRDefault="0012659E">
      <w:pPr>
        <w:ind w:left="851" w:right="899"/>
        <w:jc w:val="both"/>
        <w:rPr>
          <w:rFonts w:ascii="Palatino Linotype" w:eastAsia="Palatino Linotype" w:hAnsi="Palatino Linotype" w:cs="Palatino Linotype"/>
          <w:i/>
          <w:sz w:val="22"/>
          <w:szCs w:val="22"/>
        </w:rPr>
      </w:pPr>
    </w:p>
    <w:p w:rsidR="0012659E" w:rsidRDefault="00B77A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2659E" w:rsidRDefault="00B77A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2659E" w:rsidRDefault="0012659E">
      <w:pPr>
        <w:ind w:left="851" w:right="899"/>
        <w:jc w:val="both"/>
        <w:rPr>
          <w:rFonts w:ascii="Palatino Linotype" w:eastAsia="Palatino Linotype" w:hAnsi="Palatino Linotype" w:cs="Palatino Linotype"/>
          <w:sz w:val="22"/>
          <w:szCs w:val="22"/>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2659E" w:rsidRDefault="0012659E">
      <w:pPr>
        <w:ind w:left="851" w:right="899"/>
        <w:jc w:val="both"/>
        <w:rPr>
          <w:rFonts w:ascii="Palatino Linotype" w:eastAsia="Palatino Linotype" w:hAnsi="Palatino Linotype" w:cs="Palatino Linotype"/>
        </w:rPr>
      </w:pPr>
    </w:p>
    <w:p w:rsidR="0012659E" w:rsidRDefault="00B77A7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2659E" w:rsidRDefault="00B77A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2659E" w:rsidRDefault="00B77A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2659E" w:rsidRDefault="00B77A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2659E" w:rsidRDefault="00B77A7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2659E" w:rsidRDefault="00B77A7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12659E" w:rsidRDefault="0012659E">
      <w:pPr>
        <w:spacing w:line="360" w:lineRule="auto"/>
        <w:ind w:right="-93"/>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orden de ideas, se considera necesario traer a contexto las expresiones desarrolladas en la solicitud de información, tales como: "¿Qué..."; "¿Quién..."; "¿Cómo..."; "¿Cuál…".</w:t>
      </w:r>
    </w:p>
    <w:p w:rsidR="0012659E" w:rsidRDefault="0012659E">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De la lectura a los requerimientos formulados, se advierte que se plantearon en forma de interrogantes y cuestionamientos; por lo que,  la entrega de una razón o un </w:t>
      </w:r>
      <w:r>
        <w:rPr>
          <w:rFonts w:ascii="Palatino Linotype" w:eastAsia="Palatino Linotype" w:hAnsi="Palatino Linotype" w:cs="Palatino Linotype"/>
          <w:color w:val="000000"/>
        </w:rPr>
        <w:lastRenderedPageBreak/>
        <w:t xml:space="preserve">razonamiento por parte del Sujeto Obligado no es algo que la ley establezca como atribución, derecho, o facultad; pues ello implicaría un juicio de valor referente a </w:t>
      </w:r>
      <w:r>
        <w:rPr>
          <w:rFonts w:ascii="Palatino Linotype" w:eastAsia="Palatino Linotype" w:hAnsi="Palatino Linotype" w:cs="Palatino Linotype"/>
          <w:b/>
          <w:color w:val="000000"/>
          <w:u w:val="single"/>
        </w:rPr>
        <w:t>un cuestionamiento</w:t>
      </w:r>
      <w:r>
        <w:rPr>
          <w:rFonts w:ascii="Palatino Linotype" w:eastAsia="Palatino Linotype" w:hAnsi="Palatino Linotype" w:cs="Palatino Linotype"/>
          <w:color w:val="000000"/>
        </w:rPr>
        <w:t xml:space="preserve"> realizado, los cuales, </w:t>
      </w:r>
      <w:r>
        <w:rPr>
          <w:rFonts w:ascii="Palatino Linotype" w:eastAsia="Palatino Linotype" w:hAnsi="Palatino Linotype" w:cs="Palatino Linotype"/>
          <w:b/>
          <w:color w:val="000000"/>
          <w:u w:val="single"/>
        </w:rPr>
        <w:t>al constituir interrogantes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inquietudes</w:t>
      </w:r>
      <w:r>
        <w:rPr>
          <w:rFonts w:ascii="Palatino Linotype" w:eastAsia="Palatino Linotype" w:hAnsi="Palatino Linotype" w:cs="Palatino Linotype"/>
          <w:color w:val="000000"/>
        </w:rPr>
        <w:t xml:space="preserve"> y manifestaciones se satisfacen vía derecho de petición. </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 transcendental dejar en claro lo que debe entenderse por derecho de petición y por derecho de acceso a la información pública.</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Por lo que respecta a la definición de derecho de petición, el Maestro Ignacio Burgoa Orihuela refiere: “…</w:t>
      </w:r>
      <w:r>
        <w:rPr>
          <w:rFonts w:ascii="Palatino Linotype" w:eastAsia="Palatino Linotype" w:hAnsi="Palatino Linotype" w:cs="Palatino Linotype"/>
          <w:i/>
          <w:color w:val="000000"/>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w:t>
      </w:r>
    </w:p>
    <w:p w:rsidR="0012659E" w:rsidRDefault="0012659E">
      <w:pPr>
        <w:pBdr>
          <w:top w:val="nil"/>
          <w:left w:val="nil"/>
          <w:bottom w:val="nil"/>
          <w:right w:val="nil"/>
          <w:between w:val="nil"/>
        </w:pBdr>
        <w:ind w:left="720"/>
        <w:rPr>
          <w:rFonts w:ascii="Palatino Linotype" w:eastAsia="Palatino Linotype" w:hAnsi="Palatino Linotype" w:cs="Palatino Linotype"/>
          <w:i/>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i/>
          <w:color w:val="000000"/>
        </w:rPr>
        <w:t>” .</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 este respecto, y 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color w:val="000000"/>
        </w:rPr>
        <w:t xml:space="preserve">“un derecho fundamental tanto de carácter individual </w:t>
      </w:r>
      <w:r>
        <w:rPr>
          <w:rFonts w:ascii="Palatino Linotype" w:eastAsia="Palatino Linotype" w:hAnsi="Palatino Linotype" w:cs="Palatino Linotype"/>
          <w:i/>
          <w:color w:val="000000"/>
        </w:rPr>
        <w:lastRenderedPageBreak/>
        <w:t>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w:t>
      </w:r>
    </w:p>
    <w:p w:rsidR="0012659E" w:rsidRDefault="0012659E">
      <w:pPr>
        <w:pBdr>
          <w:top w:val="nil"/>
          <w:left w:val="nil"/>
          <w:bottom w:val="nil"/>
          <w:right w:val="nil"/>
          <w:between w:val="nil"/>
        </w:pBdr>
        <w:ind w:left="720"/>
        <w:rPr>
          <w:rFonts w:ascii="Palatino Linotype" w:eastAsia="Palatino Linotype" w:hAnsi="Palatino Linotype" w:cs="Palatino Linotype"/>
          <w:i/>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el derecho a la información constituye una prerrogativa de acceder a documentación en poder de los Sujetos Obligados, </w:t>
      </w:r>
      <w:r>
        <w:rPr>
          <w:rFonts w:ascii="Palatino Linotype" w:eastAsia="Palatino Linotype" w:hAnsi="Palatino Linotype" w:cs="Palatino Linotype"/>
          <w:b/>
          <w:color w:val="000000"/>
          <w:u w:val="single"/>
        </w:rPr>
        <w:t>NO ASÍ A REALIZAR CUESTIONAMIENTOS</w:t>
      </w:r>
      <w:r>
        <w:rPr>
          <w:rFonts w:ascii="Palatino Linotype" w:eastAsia="Palatino Linotype" w:hAnsi="Palatino Linotype" w:cs="Palatino Linotype"/>
          <w:color w:val="000000"/>
        </w:rPr>
        <w:t>. Sirve de apoyo a lo anterior la definición de derecho a la información de Ernesto Villanueva Villanueva que dice: “</w:t>
      </w:r>
      <w:r>
        <w:rPr>
          <w:rFonts w:ascii="Palatino Linotype" w:eastAsia="Palatino Linotype" w:hAnsi="Palatino Linotype" w:cs="Palatino Linotype"/>
          <w:i/>
          <w:color w:val="00000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w:t>
      </w:r>
    </w:p>
    <w:p w:rsidR="0012659E" w:rsidRDefault="0012659E">
      <w:pPr>
        <w:pBdr>
          <w:top w:val="nil"/>
          <w:left w:val="nil"/>
          <w:bottom w:val="nil"/>
          <w:right w:val="nil"/>
          <w:between w:val="nil"/>
        </w:pBdr>
        <w:ind w:left="720"/>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Pr>
          <w:rFonts w:ascii="Palatino Linotype" w:eastAsia="Palatino Linotype" w:hAnsi="Palatino Linotype" w:cs="Palatino Linotype"/>
          <w:b/>
          <w:color w:val="000000"/>
        </w:rPr>
        <w:t>que conste en documentos</w:t>
      </w:r>
      <w:r>
        <w:rPr>
          <w:rFonts w:ascii="Palatino Linotype" w:eastAsia="Palatino Linotype" w:hAnsi="Palatino Linotype" w:cs="Palatino Linotype"/>
          <w:color w:val="000000"/>
        </w:rPr>
        <w:t>, sea generada o se encuentre en posesión de la autoridad.</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lastRenderedPageBreak/>
        <w:t xml:space="preserve">En ese sentido, se debe tomar en cuenta lo dispuesto en el artículos 12, de la Ley de Transparencia y Acceso a la Información Pública del Estado de México y Municipios  y referir que el derecho de acceso a la información pública se satisface en aquellos casos en que se entregue el soporte documental en que conste o se advierta la información pública, toda vez que no se tiene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las inquietudes específicas de los solicitantes.</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Órgano Garante en distintas oportunidades ha señalado que </w:t>
      </w:r>
      <w:r>
        <w:rPr>
          <w:rFonts w:ascii="Palatino Linotype" w:eastAsia="Palatino Linotype" w:hAnsi="Palatino Linotype" w:cs="Palatino Linotype"/>
          <w:b/>
          <w:color w:val="000000"/>
        </w:rPr>
        <w:t>responder a solicitudes de información, formularios o cuestionarios requeridos por las personas</w:t>
      </w:r>
      <w:r>
        <w:rPr>
          <w:rFonts w:ascii="Palatino Linotype" w:eastAsia="Palatino Linotype" w:hAnsi="Palatino Linotype" w:cs="Palatino Linotype"/>
          <w:color w:val="000000"/>
        </w:rPr>
        <w:t xml:space="preserve">, a través de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xml:space="preserve"> Sistemáticamente se ha señalado, y así lo entienden tanto otros Órganos Garantes</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como Órganos </w:t>
      </w:r>
      <w:r>
        <w:rPr>
          <w:rFonts w:ascii="Palatino Linotype" w:eastAsia="Palatino Linotype" w:hAnsi="Palatino Linotype" w:cs="Palatino Linotype"/>
          <w:color w:val="000000"/>
        </w:rPr>
        <w:lastRenderedPageBreak/>
        <w:t>Internacionales Especializados,</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que el derecho de acceso a la información pública consiste en el acceso a documentos generados por la autoridad con antelación a que fuera presentada la solicitud de acceso a la información pública.</w:t>
      </w:r>
    </w:p>
    <w:p w:rsidR="0012659E" w:rsidRDefault="0012659E"/>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lo anterior, es de reconocer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observancia al principio de máxima publicidad y con el objetivo de satisfacer y garantizar el derecho de acceso a la información del particular, respondió a cada uno de los cuestionamientos planteados en la solicitud. </w:t>
      </w:r>
    </w:p>
    <w:p w:rsidR="0012659E" w:rsidRDefault="00126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659E" w:rsidRDefault="00B77A70">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el Pleno de este Instituto considera necesario mencionar que, por cuestiones de técnica jurídica, se considera pertinente elaborar un cuadro de análisis, para identificar cada uno de los requerimientos; así como, la información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entregó en respuesta a la solicitud, mismo que se inserta a continuación.</w:t>
      </w:r>
    </w:p>
    <w:tbl>
      <w:tblPr>
        <w:tblStyle w:val="a"/>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64"/>
        <w:gridCol w:w="4820"/>
      </w:tblGrid>
      <w:tr w:rsidR="0012659E">
        <w:tc>
          <w:tcPr>
            <w:tcW w:w="3964" w:type="dxa"/>
            <w:shd w:val="clear" w:color="auto" w:fill="BFBFBF"/>
          </w:tcPr>
          <w:p w:rsidR="0012659E" w:rsidRDefault="00B77A70">
            <w:pPr>
              <w:ind w:firstLine="114"/>
              <w:jc w:val="center"/>
              <w:rPr>
                <w:rFonts w:ascii="Palatino Linotype" w:eastAsia="Palatino Linotype" w:hAnsi="Palatino Linotype" w:cs="Palatino Linotype"/>
                <w:b/>
              </w:rPr>
            </w:pPr>
            <w:r>
              <w:rPr>
                <w:rFonts w:ascii="Palatino Linotype" w:eastAsia="Palatino Linotype" w:hAnsi="Palatino Linotype" w:cs="Palatino Linotype"/>
                <w:b/>
              </w:rPr>
              <w:t>Solicitud</w:t>
            </w:r>
          </w:p>
        </w:tc>
        <w:tc>
          <w:tcPr>
            <w:tcW w:w="4820" w:type="dxa"/>
            <w:shd w:val="clear" w:color="auto" w:fill="BFBFBF"/>
          </w:tcPr>
          <w:p w:rsidR="0012659E" w:rsidRDefault="00B77A70">
            <w:pPr>
              <w:ind w:firstLine="114"/>
              <w:jc w:val="center"/>
              <w:rPr>
                <w:rFonts w:ascii="Palatino Linotype" w:eastAsia="Palatino Linotype" w:hAnsi="Palatino Linotype" w:cs="Palatino Linotype"/>
                <w:b/>
              </w:rPr>
            </w:pPr>
            <w:r>
              <w:rPr>
                <w:rFonts w:ascii="Palatino Linotype" w:eastAsia="Palatino Linotype" w:hAnsi="Palatino Linotype" w:cs="Palatino Linotype"/>
                <w:b/>
              </w:rPr>
              <w:t>Respuesta</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1. Qué es ser militante del PVEM en el Estado de México</w:t>
            </w:r>
          </w:p>
        </w:tc>
        <w:tc>
          <w:tcPr>
            <w:tcW w:w="4820" w:type="dxa"/>
          </w:tcPr>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 xml:space="preserve">Ley General de Partidos Políticos, que a la letra dice: </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 xml:space="preserve">“Artículo 4. 1. Para los efectos de esta Ley, se entiende por: </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a) Afiliado o Militante: El ciudadano que, en pleno goce y ejercicio de sus derechos político-</w:t>
            </w:r>
            <w:r>
              <w:rPr>
                <w:rFonts w:ascii="Palatino Linotype" w:eastAsia="Palatino Linotype" w:hAnsi="Palatino Linotype" w:cs="Palatino Linotype"/>
              </w:rPr>
              <w:lastRenderedPageBreak/>
              <w:t>electorales, se registra libre, voluntaria e individualmente a un partido político en los términos que para esos efectos disponga el partido en su normatividad interna, independientemente de su denominación, actividad y grado de participación; ...”</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liga: https://www.ine.mx/compendionormativo/</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2. Qué requisitos se necesitan para ser militante del PVEM el EDOMEX</w:t>
            </w:r>
          </w:p>
        </w:tc>
        <w:tc>
          <w:tcPr>
            <w:tcW w:w="4820" w:type="dxa"/>
          </w:tcPr>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Artículo 3 de los Estatutos del Partido Verde Ecologista de México</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http://actores-politicos.ine.mx/docs/actores-politicos/partidospoliticos/nacionales/documentos-basicos/estatutos-generales-pvem.pdf</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3. Quién otorga las constancias de militancia en el PVEM del Estado de México</w:t>
            </w:r>
          </w:p>
        </w:tc>
        <w:tc>
          <w:tcPr>
            <w:tcW w:w="4820" w:type="dxa"/>
          </w:tcPr>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Artículo 16 y 89 de los Estatutos del Partido Verde Ecologista de México</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Es así que, la expedición de constancias se delegará parcialmente a los Comités Ejecutivos Estatales y del Distrito Federal.</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http://actores-politicos.ine.mx/docs/actores-politicos/partidospoliticos/nacionales/documentos-basicos/estatutos-generales-pvem.pdf</w:t>
            </w:r>
          </w:p>
          <w:p w:rsidR="0012659E" w:rsidRDefault="00B77A70">
            <w:pPr>
              <w:jc w:val="both"/>
              <w:rPr>
                <w:rFonts w:ascii="Palatino Linotype" w:eastAsia="Palatino Linotype" w:hAnsi="Palatino Linotype" w:cs="Palatino Linotype"/>
              </w:rPr>
            </w:pPr>
            <w:r>
              <w:rPr>
                <w:rFonts w:ascii="Palatino Linotype" w:eastAsia="Palatino Linotype" w:hAnsi="Palatino Linotype" w:cs="Palatino Linotype"/>
              </w:rPr>
              <w:t xml:space="preserve">Asimismo, orientó al solicitante para presentar su solicitud en </w:t>
            </w:r>
            <w:r>
              <w:t>liga: https://www.partidoverde.org.mx/</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4. ¿Se entregan constancias de pago de cuotas a los militantes del PVEM en el Estado de México?</w:t>
            </w:r>
          </w:p>
        </w:tc>
        <w:tc>
          <w:tcPr>
            <w:tcW w:w="4820" w:type="dxa"/>
          </w:tcPr>
          <w:p w:rsidR="0012659E" w:rsidRDefault="00B77A70">
            <w:pPr>
              <w:jc w:val="both"/>
              <w:rPr>
                <w:rFonts w:ascii="Palatino Linotype" w:eastAsia="Palatino Linotype" w:hAnsi="Palatino Linotype" w:cs="Palatino Linotype"/>
              </w:rPr>
            </w:pPr>
            <w:r>
              <w:t>Los artículos 41, base II, 116, fracción IV, inciso g), de la Constitución Política de los Estados Unidos Mexicanos; 50,51, 53, 54, 55 y 56 de la Ley General de Partidos Políticos; así como 65 y 66 del Código Electoral del Estado de México, los partidos políticos tienen dos fuentes de financiamiento público y privado.</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5. ¿Cómo está integrado su órgano de administración, qué facultades tiene y cuál es el nombre de los integrantes?</w:t>
            </w:r>
          </w:p>
        </w:tc>
        <w:tc>
          <w:tcPr>
            <w:tcW w:w="4820" w:type="dxa"/>
          </w:tcPr>
          <w:p w:rsidR="0012659E" w:rsidRDefault="00B77A70">
            <w:pPr>
              <w:jc w:val="both"/>
              <w:rPr>
                <w:rFonts w:ascii="Palatino Linotype" w:eastAsia="Palatino Linotype" w:hAnsi="Palatino Linotype" w:cs="Palatino Linotype"/>
                <w:i/>
              </w:rPr>
            </w:pPr>
            <w:r>
              <w:t xml:space="preserve">En el Capítulo VIII Del Órgano de Administración de los Estatutos del Partido Verde Ecologista de México la información solicitada puede obrar en los archivos de otro sujeto obligado; por lo anterior se le orienta para presentar su solicitud de acceso a la información pública: 1. Partido Verde Ecologista de México </w:t>
            </w:r>
            <w:sdt>
              <w:sdtPr>
                <w:tag w:val="goog_rdk_0"/>
                <w:id w:val="-678034530"/>
              </w:sdtPr>
              <w:sdtContent>
                <w:r>
                  <w:rPr>
                    <w:rFonts w:ascii="Gungsuh" w:eastAsia="Gungsuh" w:hAnsi="Gungsuh" w:cs="Gungsuh"/>
                  </w:rPr>
                  <w:t>∙ Ingrese a la siguiente liga: https://www.partidoverde.org.mx/ ∙ Diríjase al apartado de transparencia:</w:t>
                </w:r>
              </w:sdtContent>
            </w:sdt>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6. ¿cómo está integrado el Comité de Transparencia, cuáles son los nombres y su cargo?</w:t>
            </w:r>
          </w:p>
        </w:tc>
        <w:tc>
          <w:tcPr>
            <w:tcW w:w="4820" w:type="dxa"/>
          </w:tcPr>
          <w:p w:rsidR="0012659E" w:rsidRDefault="00B77A70">
            <w:pPr>
              <w:jc w:val="both"/>
            </w:pPr>
            <w:r>
              <w:t>Los artículos 45 y 46 de la Ley de Trasparencia y Acceso a la Información Pública del Estado de México y Municipios</w:t>
            </w: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18460" cy="107442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918460" cy="1074420"/>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7. ¿cómo está integrada la Comisión Estatal de Honor y Justicia, cuáles son los nombres de sus integrantes y su cargo?</w:t>
            </w:r>
          </w:p>
        </w:tc>
        <w:tc>
          <w:tcPr>
            <w:tcW w:w="4820" w:type="dxa"/>
          </w:tcPr>
          <w:p w:rsidR="0012659E" w:rsidRDefault="00B77A70">
            <w:pPr>
              <w:jc w:val="both"/>
              <w:rPr>
                <w:rFonts w:ascii="Palatino Linotype" w:eastAsia="Palatino Linotype" w:hAnsi="Palatino Linotype" w:cs="Palatino Linotype"/>
                <w:i/>
              </w:rPr>
            </w:pPr>
            <w:r>
              <w:t>Atendiendo lo establecido en los artículos 52 fracción III, 67 fracción X y 73 de los Estatutos del Partido Verde Ecologista de México, la Comisión Estatal de Honor y Justicia, está integrada por 05 integrantes. Los nombres y cargos de los mismos son información pública reportada en el Sistema de Información Pública de Oficio Mexiquense (IPOMEX), en donde podrá consultar la información anteriormente referida: https://www.ipomex.org.mx/ipo3/lgt/indice/PVERDE/organigramas.web https://www.ipomex.org.mx/ipo3/lgt/indice/PVERDE/art_92_vii/3/0/69925.web</w:t>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8. ¿cómo está integrada su Asamblea Estatal, cuáles son los nombres?</w:t>
            </w:r>
          </w:p>
        </w:tc>
        <w:tc>
          <w:tcPr>
            <w:tcW w:w="4820" w:type="dxa"/>
          </w:tcPr>
          <w:p w:rsidR="0012659E" w:rsidRDefault="00B77A70">
            <w:pPr>
              <w:jc w:val="both"/>
            </w:pPr>
            <w:r>
              <w:t>Se atiende lo establecido en el Capítulo XIII De la Asamblea Estatal o del Distrito Federal de los Estatutos del Partido Verde Ecologista de México, que a la letra dice: Artículo 63.- La Asamblea Estatal es el órgano deliberativo de las políticas del Partido en cada una de sus Entidades Federativas y el Distrito Federal; será coordinada por el Secretario General del Comité Ejecutivo Estatal.</w:t>
            </w:r>
          </w:p>
          <w:p w:rsidR="0012659E" w:rsidRDefault="00B77A70">
            <w:pPr>
              <w:jc w:val="both"/>
            </w:pPr>
            <w:r>
              <w:t xml:space="preserve">…los integrantes de la Asamblea Estatal en el Estado de México; por lo anterior, se hace de su conocimiento que dicha información es pública y se encuentra en el Sistema de Información Pública de Oficio Mexiquense (IPOMEX), en donde podrá consultar la información anteriormente referida: </w:t>
            </w:r>
            <w:hyperlink r:id="rId9">
              <w:r>
                <w:rPr>
                  <w:color w:val="0000FF"/>
                  <w:u w:val="single"/>
                </w:rPr>
                <w:t>https://www.ipomex.org.mx/ipo3/lgt/indice/PVERDE/art_92_vii/3.web</w:t>
              </w:r>
            </w:hyperlink>
          </w:p>
          <w:p w:rsidR="0012659E" w:rsidRDefault="00B77A70">
            <w:pPr>
              <w:jc w:val="both"/>
            </w:pPr>
            <w:r>
              <w:t>Aunado a lo anteriormente establecido, se hace del conocimiento, que la información referente a la militancia de cualquier ciudadano, no es generada por este Instituto Político; se orienta al solicitante presentar su solicitud de acceso a la información pública ante el posible Sujeto Obligado de la siguiente manera:</w:t>
            </w: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lastRenderedPageBreak/>
              <w:drawing>
                <wp:inline distT="0" distB="0" distL="0" distR="0">
                  <wp:extent cx="2923540" cy="947420"/>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923540" cy="947420"/>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9. ¿cómo está integrada su Comisión Estatal de Honor y Justicia, cuáles son los nombres?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917575"/>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23540" cy="917575"/>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10. ¿cómo está integrado su Consejo Político, cuáles son los nombres y su cargo?</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33400"/>
                  <wp:effectExtent l="0" t="0" r="0" b="0"/>
                  <wp:docPr id="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2923540" cy="533400"/>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b/>
                <w:i/>
              </w:rPr>
            </w:pPr>
            <w:r>
              <w:rPr>
                <w:rFonts w:ascii="Palatino Linotype" w:eastAsia="Palatino Linotype" w:hAnsi="Palatino Linotype" w:cs="Palatino Linotype"/>
                <w:i/>
              </w:rPr>
              <w:t>11. ¿El Comité de Transparencia tiene integrantes que sean familiares?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701040"/>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923540" cy="701040"/>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12. El Consejo Político tiene integrantes que sean familiares?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728345"/>
                  <wp:effectExtent l="0" t="0" r="0" b="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923540" cy="728345"/>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13. La Comisión Estatal de Honor y Justicia tiene integrantes que sean familiares?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02285"/>
                  <wp:effectExtent l="0" t="0" r="0" b="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923540" cy="50228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14. Proporcionar la constancia de militancia de los integrantes del Comité Ejecutivo Estatal, Comité de Transparencia, de la Comisión Estatal de Honor y Justicia, y Consejo Político; tanto de los propietarios como de los suplentes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1022985"/>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923540" cy="102298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15. Qué procedimiento o sanción es aplicable para quiénes ocupen un cargo dentro de su comité que no cuenten con constancia de militancia</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909320"/>
                  <wp:effectExtent l="0" t="0" r="0" b="0"/>
                  <wp:docPr id="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2923540" cy="909320"/>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16. Proporcionar los informes mensuales de los años de 2018 al 2021 que ha presentado su Secretario General del Comité Ejecutivo Estatal a su órgano de </w:t>
            </w:r>
            <w:r>
              <w:rPr>
                <w:rFonts w:ascii="Palatino Linotype" w:eastAsia="Palatino Linotype" w:hAnsi="Palatino Linotype" w:cs="Palatino Linotype"/>
                <w:i/>
              </w:rPr>
              <w:lastRenderedPageBreak/>
              <w:t>administración, de conformidad con sus estatutos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lastRenderedPageBreak/>
              <w:drawing>
                <wp:inline distT="0" distB="0" distL="0" distR="0">
                  <wp:extent cx="2923540" cy="798195"/>
                  <wp:effectExtent l="0" t="0" r="0" b="0"/>
                  <wp:docPr id="7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2923540" cy="79819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17. Cuáles son los nombres de las secretarias que forman parte de su comité, de conformidad con sus estatutos</w:t>
            </w:r>
          </w:p>
        </w:tc>
        <w:tc>
          <w:tcPr>
            <w:tcW w:w="4820" w:type="dxa"/>
          </w:tcPr>
          <w:p w:rsidR="0012659E" w:rsidRDefault="00B77A70">
            <w:pPr>
              <w:jc w:val="both"/>
              <w:rPr>
                <w:rFonts w:ascii="Palatino Linotype" w:eastAsia="Palatino Linotype" w:hAnsi="Palatino Linotype" w:cs="Palatino Linotype"/>
                <w:i/>
              </w:rPr>
            </w:pPr>
            <w:r>
              <w:t>La titularidad de las secretarías será ocupada por militantes del Partido los cuales serán propuestos por el Secretario General del Comité Ejecutivo Estatal al Consejo Político Estatal o del Distrito Federal.</w:t>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18. Proporcionar los nombramientos de los secretarios así como su registro ante el IEEM y/o INE</w:t>
            </w:r>
          </w:p>
        </w:tc>
        <w:tc>
          <w:tcPr>
            <w:tcW w:w="4820" w:type="dxa"/>
          </w:tcPr>
          <w:p w:rsidR="0012659E" w:rsidRDefault="00B77A70">
            <w:pPr>
              <w:jc w:val="both"/>
            </w:pPr>
            <w:r>
              <w:t>Se le informa que este Comité Ejecutivo Estatal del Partido Verde Ecologista de México en el Estado de México no genera información con respecto a nombramiento de los secretarios -entendiéndose como los titulares de las Secretarías que conforman el Comité Ejecutivo Estatal del Partido Verde Ecologista de México en el Estado de México- por lo que se le orienta al solicitante para que pueda presentar su solicitud de acceso a la información pública ante el posible sujeto obligado que pudiese tener en sus archivos dicha información:</w:t>
            </w: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387350"/>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923540" cy="387350"/>
                          </a:xfrm>
                          <a:prstGeom prst="rect">
                            <a:avLst/>
                          </a:prstGeom>
                          <a:ln/>
                        </pic:spPr>
                      </pic:pic>
                    </a:graphicData>
                  </a:graphic>
                </wp:inline>
              </w:drawing>
            </w:r>
          </w:p>
          <w:p w:rsidR="0012659E" w:rsidRDefault="0012659E">
            <w:pPr>
              <w:jc w:val="both"/>
              <w:rPr>
                <w:rFonts w:ascii="Palatino Linotype" w:eastAsia="Palatino Linotype" w:hAnsi="Palatino Linotype" w:cs="Palatino Linotype"/>
                <w:i/>
              </w:rPr>
            </w:pP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51815"/>
                  <wp:effectExtent l="0" t="0" r="0" b="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923540" cy="551815"/>
                          </a:xfrm>
                          <a:prstGeom prst="rect">
                            <a:avLst/>
                          </a:prstGeom>
                          <a:ln/>
                        </pic:spPr>
                      </pic:pic>
                    </a:graphicData>
                  </a:graphic>
                </wp:inline>
              </w:drawing>
            </w:r>
          </w:p>
          <w:p w:rsidR="0012659E" w:rsidRDefault="0012659E">
            <w:pPr>
              <w:jc w:val="both"/>
              <w:rPr>
                <w:rFonts w:ascii="Palatino Linotype" w:eastAsia="Palatino Linotype" w:hAnsi="Palatino Linotype" w:cs="Palatino Linotype"/>
                <w:i/>
              </w:rPr>
            </w:pP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23875"/>
                  <wp:effectExtent l="0" t="0" r="0" b="0"/>
                  <wp:docPr id="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2923540" cy="523875"/>
                          </a:xfrm>
                          <a:prstGeom prst="rect">
                            <a:avLst/>
                          </a:prstGeom>
                          <a:ln/>
                        </pic:spPr>
                      </pic:pic>
                    </a:graphicData>
                  </a:graphic>
                </wp:inline>
              </w:drawing>
            </w:r>
          </w:p>
          <w:p w:rsidR="0012659E" w:rsidRDefault="0012659E">
            <w:pPr>
              <w:jc w:val="both"/>
              <w:rPr>
                <w:rFonts w:ascii="Palatino Linotype" w:eastAsia="Palatino Linotype" w:hAnsi="Palatino Linotype" w:cs="Palatino Linotype"/>
                <w:i/>
              </w:rPr>
            </w:pPr>
          </w:p>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01650"/>
                  <wp:effectExtent l="0" t="0" r="0" b="0"/>
                  <wp:docPr id="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2923540" cy="501650"/>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19. Cuál es el plan de trabajo de cada una de las secretarias a las que hace mención sus estatutos, en versión pública</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532130"/>
                  <wp:effectExtent l="0" t="0" r="0" b="0"/>
                  <wp:docPr id="8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2923540" cy="532130"/>
                          </a:xfrm>
                          <a:prstGeom prst="rect">
                            <a:avLst/>
                          </a:prstGeom>
                          <a:ln/>
                        </pic:spPr>
                      </pic:pic>
                    </a:graphicData>
                  </a:graphic>
                </wp:inline>
              </w:drawing>
            </w:r>
          </w:p>
        </w:tc>
      </w:tr>
      <w:tr w:rsidR="0012659E">
        <w:tc>
          <w:tcPr>
            <w:tcW w:w="3964" w:type="dxa"/>
            <w:shd w:val="clear" w:color="auto" w:fill="auto"/>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20. Constancia de militancia de los integrantes de la unidad de transparencia y de los funcionarios partidistas habilitados</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734060"/>
                  <wp:effectExtent l="0" t="0" r="0" b="0"/>
                  <wp:docPr id="8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923540" cy="734060"/>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21. Cuál es el proceso por el cual se eligió al titular y/o presidente de la comisión estatal de honor y justicia del PVEM en el Estado de México, así como su acta de instalación</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803275"/>
                  <wp:effectExtent l="0" t="0" r="0" b="0"/>
                  <wp:docPr id="8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2923540" cy="80327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22. Cuál es el proceso por el cual se eligió al titular y/o presidente del Comité de Transparencia del PVEM, proporcionar su acta instalación y la de su Sistema Institucional de Archivo</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1075690"/>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923540" cy="1075690"/>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23. Cuál es el proceso por el cual se eligió al titular y/o presidente de la comisión estatal de honor y justicia del PVEM</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755015"/>
                  <wp:effectExtent l="0" t="0" r="0" b="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2923540" cy="75501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24. Cuál es el proceso por el cual se eligió al titular y/o presidente de consejo político del PVEM</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954405"/>
                  <wp:effectExtent l="0" t="0" r="0" b="0"/>
                  <wp:docPr id="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923540" cy="95440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25. Informe anual de actividades de 2018, 2019 y 2020 que presentó el Secretario General del PVEM ante el Consejo Político, Asamblea General</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950595"/>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2923540" cy="95059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26. Cuál es el proceso de elección para ser Dirigente del PVEM en el estado de México</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880745"/>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923540" cy="880745"/>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27. Proporcionar constancias de registro en el padrón de adherentes de todos los secretarios de su Comité Estatal, del Consejo Político, de la Asamblea Estatal, de Comisión de Honor y Justicia.</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14097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923540" cy="1409700"/>
                          </a:xfrm>
                          <a:prstGeom prst="rect">
                            <a:avLst/>
                          </a:prstGeom>
                          <a:ln/>
                        </pic:spPr>
                      </pic:pic>
                    </a:graphicData>
                  </a:graphic>
                </wp:inline>
              </w:drawing>
            </w:r>
          </w:p>
        </w:tc>
      </w:tr>
      <w:tr w:rsidR="0012659E">
        <w:tc>
          <w:tcPr>
            <w:tcW w:w="3964"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28. Cuántas resoluciones ha emitido Y EN QUÉ FECHAS la Comisión de Honor y Justicia</w:t>
            </w:r>
          </w:p>
        </w:tc>
        <w:tc>
          <w:tcPr>
            <w:tcW w:w="4820" w:type="dxa"/>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noProof/>
                <w:lang w:val="es-MX"/>
              </w:rPr>
              <w:drawing>
                <wp:inline distT="0" distB="0" distL="0" distR="0">
                  <wp:extent cx="2923540" cy="603885"/>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923540" cy="603885"/>
                          </a:xfrm>
                          <a:prstGeom prst="rect">
                            <a:avLst/>
                          </a:prstGeom>
                          <a:ln/>
                        </pic:spPr>
                      </pic:pic>
                    </a:graphicData>
                  </a:graphic>
                </wp:inline>
              </w:drawing>
            </w:r>
          </w:p>
        </w:tc>
      </w:tr>
    </w:tbl>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inconforme con la respuesta a la solicitud de información, interpuso el recurso de revisión en el que se pronunció en la parte sustantiva sobre los siguientes rubros: </w:t>
      </w:r>
    </w:p>
    <w:p w:rsidR="0012659E" w:rsidRDefault="0012659E">
      <w:pPr>
        <w:spacing w:line="360" w:lineRule="auto"/>
        <w:jc w:val="both"/>
        <w:rPr>
          <w:rFonts w:ascii="Palatino Linotype" w:eastAsia="Palatino Linotype" w:hAnsi="Palatino Linotype" w:cs="Palatino Linotype"/>
        </w:rPr>
      </w:pPr>
    </w:p>
    <w:p w:rsidR="0012659E" w:rsidRDefault="00B77A7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los estatutos se observa que si cuentan con el padrón de militantes del partido en el Estado, por lo que la orientación no corresponde; </w:t>
      </w:r>
    </w:p>
    <w:p w:rsidR="0012659E" w:rsidRDefault="00B77A7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su respuesta confirma  que cuenta con el padrón de militantes, ya que  manifiesta que se trata de una preferencia política, tutelada por el artículo 7 de la Ley de Protección de Datos Personales en Posesión de Sujetos Obligados del Estado de México y Municipios;</w:t>
      </w:r>
    </w:p>
    <w:p w:rsidR="0012659E" w:rsidRDefault="00B77A7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responde si en los órganos internos tienen parentescos familiares, particularmente de hermanos, toda vez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manifestó que no generan la información y no están obligados a tenerla y que realizó la búsqueda exhaustiva, pero no se acreditó; y,</w:t>
      </w:r>
    </w:p>
    <w:p w:rsidR="0012659E" w:rsidRDefault="00B77A7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informes que generan las Secretarías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manifestó que son públicos y se encuentran para su consulta en el portal de Información Pública de Oficio (IPOMEX). el particular manifestó: </w:t>
      </w:r>
      <w:r>
        <w:rPr>
          <w:rFonts w:ascii="Palatino Linotype" w:eastAsia="Palatino Linotype" w:hAnsi="Palatino Linotype" w:cs="Palatino Linotype"/>
          <w:i/>
          <w:color w:val="000000"/>
        </w:rPr>
        <w:t>“Dice que los documentos son públicos y en seguida dice que tiene cero documentos. ¿Si los tienen se solicitan envíen por saimex? (Sic)</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se resalta que si bien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cierto es que no expresó razón o motivo de inconformidad en contra de la respuesta emitida a los requerimientos 1, 2, 3, 4, 5, 6, 7, 8, 9, 10, 15, 16, 17, 18, 19, 21, 22, 23, 24, 26, 27 y 28  en consecuencia los puntos en comento deben declararse atendidos, pues se entiende que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entregada al no controvertirlos. </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apoyo a lo anterior, por analogía, la Tesis Jurisprudencial Número 3ª./J.7/91, publicada en el Semanario Judicial de la Federación y su Gaceta bajo el número de registro 174,177, que establece lo siguiente:</w:t>
      </w:r>
    </w:p>
    <w:p w:rsidR="0012659E" w:rsidRDefault="00B77A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2659E" w:rsidRDefault="0012659E">
      <w:pPr>
        <w:ind w:left="851" w:right="851"/>
        <w:jc w:val="both"/>
        <w:rPr>
          <w:rFonts w:ascii="Palatino Linotype" w:eastAsia="Palatino Linotype" w:hAnsi="Palatino Linotype" w:cs="Palatino Linotype"/>
          <w:sz w:val="22"/>
          <w:szCs w:val="22"/>
        </w:rPr>
      </w:pP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 parte de la solicitud que no fue impugnada debe declararse consentida por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toda vez que no se realizaron manifestaciones de inconformidad, por lo que no pueden producir efectos jurídicos tendentes a revocar, confirmar o modificar el acto reclamado, pues en la Ley Local que rige la materia no existe dispositivo que permita a este Órgano Garante estudiar lo no combatido por los recurrentes, pues se entiende que éstos al interponer sus recursos de revisión, lo </w:t>
      </w:r>
      <w:r>
        <w:rPr>
          <w:rFonts w:ascii="Palatino Linotype" w:eastAsia="Palatino Linotype" w:hAnsi="Palatino Linotype" w:cs="Palatino Linotype"/>
        </w:rPr>
        <w:lastRenderedPageBreak/>
        <w:t xml:space="preserve">hacen con el fin de exponer los agravios que se han cometido en su perjuicio,  contrariamente, lo no expuesto se presume que no causa agravio a su persona.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relación al requerimiento descrito en el punto número 14 de la solicitud, relativo a: “</w:t>
      </w:r>
      <w:r>
        <w:rPr>
          <w:rFonts w:ascii="Palatino Linotype" w:eastAsia="Palatino Linotype" w:hAnsi="Palatino Linotype" w:cs="Palatino Linotype"/>
          <w:i/>
        </w:rPr>
        <w:t xml:space="preserve">la constancia de militancia de los integrantes del Comité Ejecutivo Estatal, Comité de Transparencia, de la Comisión Estatal de Honor y Justicia, y Consejo Político; tanto de los propietarios como de los suplentes,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que se trata de información referente a la preferencia política o similares tutelados por el artículo 7 de la Ley de Protección de Datos Personales en Posesión de Sujetos Obligados del Estado de México y Municipios.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manifiesta que la información referente a la militancia de los Integrantes, Presidentes, Consejeros, Titulares. Suplentes, Encargados, Secretarios, del Comité Ejecutivo Estatal, Comité de Transparencia, de la Comisión Estatal de Honor y Justicia y Consejo Político del Comité Ejecutivo Estatal del Partido Verde Ecologista de México en el Estado de México, no es generada por el Instituto Político, motivo por el cual orientó al particular para que presentara su solicitud ante el Instituto Nacional Electoral ante el o Partido Verde Ecologista.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traer a contexto, lo dispuesto por los artículos 2, fracción I, 3 fracción III, 4, 7 y 18 base segunda, fracción III de los </w:t>
      </w:r>
      <w:r>
        <w:rPr>
          <w:rFonts w:ascii="Palatino Linotype" w:eastAsia="Palatino Linotype" w:hAnsi="Palatino Linotype" w:cs="Palatino Linotype"/>
          <w:b/>
        </w:rPr>
        <w:t xml:space="preserve">Estatutos del Partido Verde Ecologista de México </w:t>
      </w:r>
      <w:r>
        <w:rPr>
          <w:rFonts w:ascii="Palatino Linotype" w:eastAsia="Palatino Linotype" w:hAnsi="Palatino Linotype" w:cs="Palatino Linotype"/>
        </w:rPr>
        <w:t xml:space="preserve">que establecen: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w:t>
      </w:r>
      <w:r>
        <w:rPr>
          <w:rFonts w:ascii="Palatino Linotype" w:eastAsia="Palatino Linotype" w:hAnsi="Palatino Linotype" w:cs="Palatino Linotype"/>
          <w:i/>
          <w:sz w:val="22"/>
          <w:szCs w:val="22"/>
        </w:rPr>
        <w:t xml:space="preserve"> El Partido Verde Ecologista de México, está abierto para todos los mexicanos que se interesen, respeten y acepten la Declaración de Principios, el </w:t>
      </w:r>
      <w:r>
        <w:rPr>
          <w:rFonts w:ascii="Palatino Linotype" w:eastAsia="Palatino Linotype" w:hAnsi="Palatino Linotype" w:cs="Palatino Linotype"/>
          <w:i/>
          <w:sz w:val="22"/>
          <w:szCs w:val="22"/>
        </w:rPr>
        <w:lastRenderedPageBreak/>
        <w:t xml:space="preserve">Programa de Acción, y los Estatutos del Partido, que colaboren en la defensa y protección del medio ambiente y coincidan con el principio básico de la democracia en el respeto de la decisión de la mayoría. Los mexicanos que así lo decidan podrán afiliarse libre e individualmente al instituto político de conformidad con las siguientes modalidades: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Militante,</w:t>
      </w:r>
      <w:r>
        <w:rPr>
          <w:rFonts w:ascii="Palatino Linotype" w:eastAsia="Palatino Linotype" w:hAnsi="Palatino Linotype" w:cs="Palatino Linotype"/>
          <w:i/>
          <w:sz w:val="22"/>
          <w:szCs w:val="22"/>
        </w:rPr>
        <w:t xml:space="preserve"> ciudadanos que se valoran como el principal activo del Partido Verde Ecologista de México; con el compromiso y la participación en la toma de decisiones, que contribuyen a definir el proyecto verde ecologista mexicano;</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ser militante del Partido Verde Ecologista de México, es necesario ser ciudadano mexicano con el compromiso de lograr una sociedad más justa, solidaria e igualitaria, a través de la participación de las ideas y del trabajo, que definan y configuren el proyecto político verde ecologista mexicano de transformación y búsqueda de una sociedad mejor y de una sana relación del hombre con su entorno natural.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militantes del Partido Verde Ecologista de México son aquellos ciudadanos que están en pleno ejercicio de sus derechos políticos y estatutarios y acreditar el cumplimiento de los siguientes requisitos: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u w:val="single"/>
        </w:rPr>
        <w:t>Una vez cumplidos los requisitos anteriores y apoyado por un militante, solicitar por escrito su cambio de carácter al Comité Ejecutivo Estatal correspondiente</w:t>
      </w:r>
      <w:r>
        <w:rPr>
          <w:rFonts w:ascii="Palatino Linotype" w:eastAsia="Palatino Linotype" w:hAnsi="Palatino Linotype" w:cs="Palatino Linotype"/>
          <w:i/>
          <w:sz w:val="22"/>
          <w:szCs w:val="22"/>
        </w:rPr>
        <w:t xml:space="preserve">, quien turnará dicha solicitud al </w:t>
      </w:r>
      <w:r>
        <w:rPr>
          <w:rFonts w:ascii="Palatino Linotype" w:eastAsia="Palatino Linotype" w:hAnsi="Palatino Linotype" w:cs="Palatino Linotype"/>
          <w:b/>
          <w:i/>
          <w:sz w:val="22"/>
          <w:szCs w:val="22"/>
          <w:u w:val="single"/>
        </w:rPr>
        <w:t>Consejo Político Nacional</w:t>
      </w:r>
      <w:r>
        <w:rPr>
          <w:rFonts w:ascii="Palatino Linotype" w:eastAsia="Palatino Linotype" w:hAnsi="Palatino Linotype" w:cs="Palatino Linotype"/>
          <w:i/>
          <w:sz w:val="22"/>
          <w:szCs w:val="22"/>
        </w:rPr>
        <w:t xml:space="preserve"> para su aprobación, quien en su caso </w:t>
      </w:r>
      <w:r>
        <w:rPr>
          <w:rFonts w:ascii="Palatino Linotype" w:eastAsia="Palatino Linotype" w:hAnsi="Palatino Linotype" w:cs="Palatino Linotype"/>
          <w:b/>
          <w:i/>
          <w:sz w:val="22"/>
          <w:szCs w:val="22"/>
          <w:u w:val="single"/>
        </w:rPr>
        <w:t>registrará su inclusión en el padrón nacional de militantes.</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4.-</w:t>
      </w: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u w:val="single"/>
        </w:rPr>
        <w:t>Consejo Político Nacional</w:t>
      </w:r>
      <w:r>
        <w:rPr>
          <w:rFonts w:ascii="Palatino Linotype" w:eastAsia="Palatino Linotype" w:hAnsi="Palatino Linotype" w:cs="Palatino Linotype"/>
          <w:i/>
          <w:sz w:val="22"/>
          <w:szCs w:val="22"/>
        </w:rPr>
        <w:t xml:space="preserve"> se reunirá, por lo menos una vez cada tres meses o cuando las necesidades así lo indiquen, con el objeto de pronunciarse sobre la admisión o no de ciudadanos que durante ese lapso hayan solicitado su </w:t>
      </w:r>
      <w:r>
        <w:rPr>
          <w:rFonts w:ascii="Palatino Linotype" w:eastAsia="Palatino Linotype" w:hAnsi="Palatino Linotype" w:cs="Palatino Linotype"/>
          <w:b/>
          <w:i/>
          <w:sz w:val="22"/>
          <w:szCs w:val="22"/>
        </w:rPr>
        <w:t>cambio de calidad</w:t>
      </w:r>
      <w:r>
        <w:rPr>
          <w:rFonts w:ascii="Palatino Linotype" w:eastAsia="Palatino Linotype" w:hAnsi="Palatino Linotype" w:cs="Palatino Linotype"/>
          <w:i/>
          <w:sz w:val="22"/>
          <w:szCs w:val="22"/>
        </w:rPr>
        <w:t xml:space="preserve"> de afiliado, </w:t>
      </w:r>
      <w:r>
        <w:rPr>
          <w:rFonts w:ascii="Palatino Linotype" w:eastAsia="Palatino Linotype" w:hAnsi="Palatino Linotype" w:cs="Palatino Linotype"/>
          <w:b/>
          <w:i/>
          <w:sz w:val="22"/>
          <w:szCs w:val="22"/>
          <w:u w:val="single"/>
        </w:rPr>
        <w:t>de adherente a militante y, en su caso, expedir el nombramiento y la credencial correspondiente del solicitante</w:t>
      </w:r>
      <w:r>
        <w:rPr>
          <w:rFonts w:ascii="Palatino Linotype" w:eastAsia="Palatino Linotype" w:hAnsi="Palatino Linotype" w:cs="Palatino Linotype"/>
          <w:i/>
          <w:sz w:val="22"/>
          <w:szCs w:val="22"/>
        </w:rPr>
        <w:t xml:space="preserve"> o, en su defecto, emitir el Acuerdo que niegue tal calidad, en el que se establecerán la razones y fundamentos que motivan la negativa de registro.</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w:t>
      </w:r>
      <w:r>
        <w:rPr>
          <w:rFonts w:ascii="Palatino Linotype" w:eastAsia="Palatino Linotype" w:hAnsi="Palatino Linotype" w:cs="Palatino Linotype"/>
          <w:i/>
          <w:sz w:val="22"/>
          <w:szCs w:val="22"/>
        </w:rPr>
        <w:t>.- Son derechos y obligaciones de los militantes del Partido Verde Ecologista de México, los consignados en las siguientes bases:</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Segunda.- </w:t>
      </w:r>
      <w:r>
        <w:rPr>
          <w:rFonts w:ascii="Palatino Linotype" w:eastAsia="Palatino Linotype" w:hAnsi="Palatino Linotype" w:cs="Palatino Linotype"/>
          <w:b/>
          <w:i/>
          <w:sz w:val="22"/>
          <w:szCs w:val="22"/>
          <w:u w:val="single"/>
        </w:rPr>
        <w:t>Serán obligaciones y deberes de los militantes</w:t>
      </w: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i/>
          <w:sz w:val="22"/>
          <w:szCs w:val="22"/>
          <w:u w:val="single"/>
        </w:rPr>
        <w:t xml:space="preserve">Conservar y mantener vigente su </w:t>
      </w:r>
      <w:r>
        <w:rPr>
          <w:rFonts w:ascii="Palatino Linotype" w:eastAsia="Palatino Linotype" w:hAnsi="Palatino Linotype" w:cs="Palatino Linotype"/>
          <w:b/>
          <w:i/>
          <w:sz w:val="22"/>
          <w:szCs w:val="22"/>
          <w:u w:val="single"/>
        </w:rPr>
        <w:t>constancia de militante</w:t>
      </w:r>
      <w:r>
        <w:rPr>
          <w:rFonts w:ascii="Palatino Linotype" w:eastAsia="Palatino Linotype" w:hAnsi="Palatino Linotype" w:cs="Palatino Linotype"/>
          <w:i/>
          <w:sz w:val="22"/>
          <w:szCs w:val="22"/>
          <w:u w:val="single"/>
        </w:rPr>
        <w:t xml:space="preserve"> del Partido Verde Ecologista de México;</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Facultades del </w:t>
      </w:r>
      <w:r>
        <w:rPr>
          <w:rFonts w:ascii="Palatino Linotype" w:eastAsia="Palatino Linotype" w:hAnsi="Palatino Linotype" w:cs="Palatino Linotype"/>
          <w:b/>
          <w:i/>
          <w:sz w:val="22"/>
          <w:szCs w:val="22"/>
        </w:rPr>
        <w:t>Consejo Político Nacional</w:t>
      </w: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w:t>
      </w:r>
      <w:r>
        <w:rPr>
          <w:rFonts w:ascii="Palatino Linotype" w:eastAsia="Palatino Linotype" w:hAnsi="Palatino Linotype" w:cs="Palatino Linotype"/>
          <w:b/>
          <w:i/>
          <w:sz w:val="22"/>
          <w:szCs w:val="22"/>
          <w:u w:val="single"/>
        </w:rPr>
        <w:t>Administrar, custodiar y ejecutar todo lo relativo al padrón nacional de militantes;</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de los preceptos normativos citados se deduce que la solicitud obtener la condición de militante es presentada ante el  Comité Ejecutivo Estatal, </w:t>
      </w:r>
      <w:r>
        <w:rPr>
          <w:rFonts w:ascii="Palatino Linotype" w:eastAsia="Palatino Linotype" w:hAnsi="Palatino Linotype" w:cs="Palatino Linotype"/>
        </w:rPr>
        <w:lastRenderedPageBreak/>
        <w:t xml:space="preserve">quien a su vez, turna la petición Consejo Político Nacional que, de acuerdo con las atribuciones que los Estatutos le confieren, emite el nombramiento y la credencial correspondiente; por lo tanto, se trata de información que el Consejo Político Nacional genera en el ejercicio de sus facultades, competencias y funciones.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asunto que nos ocupa estudiar, la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manifestó  que en los estatutos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con el padrón de militantes del partido en el Estado; sin embargo, derivado del análisis al ordenamiento citado; se advierte que, corresponde al Consejo Político Nacional, administrar, custodiar y ejecutar todo lo relativo al </w:t>
      </w:r>
      <w:r>
        <w:rPr>
          <w:rFonts w:ascii="Palatino Linotype" w:eastAsia="Palatino Linotype" w:hAnsi="Palatino Linotype" w:cs="Palatino Linotype"/>
          <w:b/>
          <w:u w:val="single"/>
        </w:rPr>
        <w:t xml:space="preserve">padrón nacional de militantes.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necesario enfatizar que al particular requirió de manera específica,  en el punto número 14, la </w:t>
      </w:r>
      <w:r>
        <w:rPr>
          <w:rFonts w:ascii="Palatino Linotype" w:eastAsia="Palatino Linotype" w:hAnsi="Palatino Linotype" w:cs="Palatino Linotype"/>
          <w:b/>
          <w:u w:val="single"/>
        </w:rPr>
        <w:t>constancia de militancia</w:t>
      </w:r>
      <w:r>
        <w:rPr>
          <w:rFonts w:ascii="Palatino Linotype" w:eastAsia="Palatino Linotype" w:hAnsi="Palatino Linotype" w:cs="Palatino Linotype"/>
        </w:rPr>
        <w:t xml:space="preserve"> de los integrantes propietarios y suplentes del Comité Ejecutivo Estatal, Comité de Transparencia, Comisión de Honor y Justicia y del Consejo Político.</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conviene citar que los artículo 10, fracciones VII, VIII, IX y X, 63, 64, fracción II y VI, y 67 fracciones I, III, VIII, IX, y X de los Estatutos previamente citados establecen las instancias y órganos directivos que integran la estructura del Partido Verde Ecologista de México, así como sus atribuciones, preceptos jurídico que en su texto literal señalan:</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10.-</w:t>
      </w:r>
      <w:r>
        <w:rPr>
          <w:rFonts w:ascii="Palatino Linotype" w:eastAsia="Palatino Linotype" w:hAnsi="Palatino Linotype" w:cs="Palatino Linotype"/>
          <w:i/>
          <w:sz w:val="22"/>
          <w:szCs w:val="22"/>
        </w:rPr>
        <w:t xml:space="preserve"> Las instancias y órganos directivos del Partido son: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Asamblea Nacional;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Consejo Político Nacional;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Comité Ejecutivo Nacional;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Órgano de Administración;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Comisión Nacional de Honor y Justicia;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Comisión Nacional de Procedimientos Internos; </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VII.- Asamblea Estatal o del Distrito Federal; </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VIII.- Consejo Político Estatal o del Distrito Federal; </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IX.- Comité Ejecutivo Estatal o del Distrito Federal; </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X.- Comisión Estatal de Honor y Justicia o del Distrito Federal; </w:t>
      </w: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XI.- Comités Ejecutivos Municipales o Delegacionales del Distrito Federal;</w:t>
      </w:r>
    </w:p>
    <w:p w:rsidR="0012659E" w:rsidRDefault="0012659E">
      <w:pPr>
        <w:spacing w:line="360" w:lineRule="auto"/>
        <w:jc w:val="both"/>
        <w:rPr>
          <w:rFonts w:ascii="Palatino Linotype" w:eastAsia="Palatino Linotype" w:hAnsi="Palatino Linotype" w:cs="Palatino Linotype"/>
          <w:b/>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63.-</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u w:val="single"/>
        </w:rPr>
        <w:t xml:space="preserve">Asamblea Estatal es el órgano deliberativo de las políticas del Partido </w:t>
      </w:r>
      <w:r>
        <w:rPr>
          <w:rFonts w:ascii="Palatino Linotype" w:eastAsia="Palatino Linotype" w:hAnsi="Palatino Linotype" w:cs="Palatino Linotype"/>
          <w:i/>
          <w:sz w:val="22"/>
          <w:szCs w:val="22"/>
        </w:rPr>
        <w:t xml:space="preserve">en cada una de sus Entidades Federativas y el Distrito Federal; será </w:t>
      </w:r>
      <w:r>
        <w:rPr>
          <w:rFonts w:ascii="Palatino Linotype" w:eastAsia="Palatino Linotype" w:hAnsi="Palatino Linotype" w:cs="Palatino Linotype"/>
          <w:b/>
          <w:i/>
          <w:sz w:val="22"/>
          <w:szCs w:val="22"/>
          <w:u w:val="single"/>
        </w:rPr>
        <w:t>coordinada por el Secretario General del Comité Ejecutivo Estatal</w:t>
      </w:r>
      <w:r>
        <w:rPr>
          <w:rFonts w:ascii="Palatino Linotype" w:eastAsia="Palatino Linotype" w:hAnsi="Palatino Linotype" w:cs="Palatino Linotype"/>
          <w:i/>
          <w:sz w:val="22"/>
          <w:szCs w:val="22"/>
        </w:rPr>
        <w:t xml:space="preserve"> y la </w:t>
      </w:r>
      <w:r>
        <w:rPr>
          <w:rFonts w:ascii="Palatino Linotype" w:eastAsia="Palatino Linotype" w:hAnsi="Palatino Linotype" w:cs="Palatino Linotype"/>
          <w:b/>
          <w:i/>
          <w:sz w:val="22"/>
          <w:szCs w:val="22"/>
          <w:u w:val="single"/>
        </w:rPr>
        <w:t>integrarán los militantes del Partido</w:t>
      </w:r>
      <w:r>
        <w:rPr>
          <w:rFonts w:ascii="Palatino Linotype" w:eastAsia="Palatino Linotype" w:hAnsi="Palatino Linotype" w:cs="Palatino Linotype"/>
          <w:i/>
          <w:sz w:val="22"/>
          <w:szCs w:val="22"/>
        </w:rPr>
        <w:t xml:space="preserve"> en la entidad federativa correspondiente, debidamente registrados en el Padrón Nacional de Militantes del Consejo Político Nacional, de conformidad a lo dispuesto por los presentes Estatutos.</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64</w:t>
      </w:r>
      <w:r>
        <w:rPr>
          <w:rFonts w:ascii="Palatino Linotype" w:eastAsia="Palatino Linotype" w:hAnsi="Palatino Linotype" w:cs="Palatino Linotype"/>
          <w:i/>
          <w:sz w:val="22"/>
          <w:szCs w:val="22"/>
        </w:rPr>
        <w:t>.- Son facultades de la Asamblea Estatal:</w:t>
      </w: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Elegir a </w:t>
      </w:r>
      <w:r>
        <w:rPr>
          <w:rFonts w:ascii="Palatino Linotype" w:eastAsia="Palatino Linotype" w:hAnsi="Palatino Linotype" w:cs="Palatino Linotype"/>
          <w:b/>
          <w:i/>
          <w:sz w:val="22"/>
          <w:szCs w:val="22"/>
          <w:u w:val="single"/>
        </w:rPr>
        <w:t>15 militantes</w:t>
      </w:r>
      <w:r>
        <w:rPr>
          <w:rFonts w:ascii="Palatino Linotype" w:eastAsia="Palatino Linotype" w:hAnsi="Palatino Linotype" w:cs="Palatino Linotype"/>
          <w:i/>
          <w:sz w:val="22"/>
          <w:szCs w:val="22"/>
        </w:rPr>
        <w:t xml:space="preserve"> de la entidad federativa correspondiente o del Distrito Federal, para integrar por tres años el </w:t>
      </w:r>
      <w:r>
        <w:rPr>
          <w:rFonts w:ascii="Palatino Linotype" w:eastAsia="Palatino Linotype" w:hAnsi="Palatino Linotype" w:cs="Palatino Linotype"/>
          <w:b/>
          <w:i/>
          <w:sz w:val="22"/>
          <w:szCs w:val="22"/>
          <w:u w:val="single"/>
        </w:rPr>
        <w:t>Consejo Político Estatal</w:t>
      </w:r>
      <w:r>
        <w:rPr>
          <w:rFonts w:ascii="Palatino Linotype" w:eastAsia="Palatino Linotype" w:hAnsi="Palatino Linotype" w:cs="Palatino Linotype"/>
          <w:i/>
          <w:sz w:val="22"/>
          <w:szCs w:val="22"/>
        </w:rPr>
        <w:t xml:space="preserve">, los cuales, serán electos mediante el sistema de planillas con la firma de propuesta de cuando menos el 30% de los militantes registrados en el padrón Nacional de Militantes </w:t>
      </w:r>
      <w:r>
        <w:rPr>
          <w:rFonts w:ascii="Palatino Linotype" w:eastAsia="Palatino Linotype" w:hAnsi="Palatino Linotype" w:cs="Palatino Linotype"/>
          <w:i/>
          <w:sz w:val="22"/>
          <w:szCs w:val="22"/>
        </w:rPr>
        <w:lastRenderedPageBreak/>
        <w:t>correspondientes a su entidad, siendo este requisito indispensable para obtener el registro como aspirantes en el proceso interno respectivo.</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u w:val="single"/>
        </w:rPr>
        <w:t>Elegir a los miembros de la Comisión Estatal de Honor y Justicia</w:t>
      </w:r>
      <w:r>
        <w:rPr>
          <w:rFonts w:ascii="Palatino Linotype" w:eastAsia="Palatino Linotype" w:hAnsi="Palatino Linotype" w:cs="Palatino Linotype"/>
          <w:i/>
          <w:sz w:val="22"/>
          <w:szCs w:val="22"/>
        </w:rPr>
        <w:t>; y</w:t>
      </w:r>
    </w:p>
    <w:p w:rsidR="0012659E" w:rsidRDefault="0012659E">
      <w:pPr>
        <w:spacing w:line="360" w:lineRule="auto"/>
        <w:ind w:left="851" w:right="616"/>
        <w:jc w:val="both"/>
        <w:rPr>
          <w:rFonts w:ascii="Palatino Linotype" w:eastAsia="Palatino Linotype" w:hAnsi="Palatino Linotype" w:cs="Palatino Linotype"/>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67</w:t>
      </w:r>
      <w:r>
        <w:rPr>
          <w:rFonts w:ascii="Palatino Linotype" w:eastAsia="Palatino Linotype" w:hAnsi="Palatino Linotype" w:cs="Palatino Linotype"/>
          <w:i/>
          <w:sz w:val="22"/>
          <w:szCs w:val="22"/>
        </w:rPr>
        <w:t>.- Facultades del Consejo Político Estatal:</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Elegir de entre sus integrantes al Secretario General del Comité Ejecutivo Estatal</w:t>
      </w:r>
      <w:r>
        <w:rPr>
          <w:rFonts w:ascii="Palatino Linotype" w:eastAsia="Palatino Linotype" w:hAnsi="Palatino Linotype" w:cs="Palatino Linotype"/>
          <w:i/>
          <w:sz w:val="22"/>
          <w:szCs w:val="22"/>
        </w:rPr>
        <w:t>; para poder sustituir del cargo de Secretario General a un integrante del Consejo Político Estatal, este Órgano Colegiado deberá previamente obtener la aprobación del Consejo Político Nacional;</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u w:val="single"/>
        </w:rPr>
        <w:t>Elegir al Secretario Técnico del Consejo Político Estatal</w:t>
      </w: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Aprobar, los nombramientos y sustituciones que le presente el Secretario General del Comité Ejecutivo Estatal o del Distrito Federal, </w:t>
      </w:r>
      <w:r>
        <w:rPr>
          <w:rFonts w:ascii="Palatino Linotype" w:eastAsia="Palatino Linotype" w:hAnsi="Palatino Linotype" w:cs="Palatino Linotype"/>
          <w:b/>
          <w:i/>
          <w:sz w:val="22"/>
          <w:szCs w:val="22"/>
          <w:u w:val="single"/>
        </w:rPr>
        <w:t>de los militantes que ocuparán la titularidad de cada una de las secretarías del Comité Ejecutivo Estatal</w:t>
      </w:r>
      <w:r>
        <w:rPr>
          <w:rFonts w:ascii="Palatino Linotype" w:eastAsia="Palatino Linotype" w:hAnsi="Palatino Linotype" w:cs="Palatino Linotype"/>
          <w:i/>
          <w:sz w:val="22"/>
          <w:szCs w:val="22"/>
        </w:rPr>
        <w:t xml:space="preserve"> o del Distrito Federal;</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IX.- Ante la ausencia definitiva o renuncia de alguno de sus integrantes, aprobar a propuesta del Secretario General del Comité Ejecutivo Estatal, </w:t>
      </w:r>
      <w:r>
        <w:rPr>
          <w:rFonts w:ascii="Palatino Linotype" w:eastAsia="Palatino Linotype" w:hAnsi="Palatino Linotype" w:cs="Palatino Linotype"/>
          <w:b/>
          <w:i/>
          <w:sz w:val="22"/>
          <w:szCs w:val="22"/>
          <w:u w:val="single"/>
        </w:rPr>
        <w:t>al militante que habrá de sustituirlo;</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En caso de ausencia definitiva de alguno o algunos de los integrantes de la Comisión Estatal de Honor y Justicia, a propuesta de los integrantes de esta, el Consejo Político Estatal </w:t>
      </w:r>
      <w:r>
        <w:rPr>
          <w:rFonts w:ascii="Palatino Linotype" w:eastAsia="Palatino Linotype" w:hAnsi="Palatino Linotype" w:cs="Palatino Linotype"/>
          <w:b/>
          <w:i/>
          <w:sz w:val="22"/>
          <w:szCs w:val="22"/>
          <w:u w:val="single"/>
        </w:rPr>
        <w:t>aprobara a los militantes que habrán de sustituirlos</w:t>
      </w:r>
      <w:r>
        <w:rPr>
          <w:rFonts w:ascii="Palatino Linotype" w:eastAsia="Palatino Linotype" w:hAnsi="Palatino Linotype" w:cs="Palatino Linotype"/>
          <w:i/>
          <w:sz w:val="22"/>
          <w:szCs w:val="22"/>
        </w:rPr>
        <w:t>; y…”</w:t>
      </w:r>
    </w:p>
    <w:p w:rsidR="0012659E" w:rsidRDefault="0012659E">
      <w:pPr>
        <w:spacing w:line="360" w:lineRule="auto"/>
        <w:jc w:val="both"/>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de la normatividad citada, se advierte que es facultad de la Asamblea Estatal la elección de los </w:t>
      </w:r>
      <w:r>
        <w:rPr>
          <w:rFonts w:ascii="Palatino Linotype" w:eastAsia="Palatino Linotype" w:hAnsi="Palatino Linotype" w:cs="Palatino Linotype"/>
          <w:u w:val="single"/>
        </w:rPr>
        <w:t>quince militantes que integran el Consejo Político Estatal</w:t>
      </w:r>
      <w:r>
        <w:rPr>
          <w:rFonts w:ascii="Palatino Linotype" w:eastAsia="Palatino Linotype" w:hAnsi="Palatino Linotype" w:cs="Palatino Linotype"/>
        </w:rPr>
        <w:t xml:space="preserve">; así como a los miembros de la Comisión Estatal de Honor y Justicia y corresponde al Consejo Político Estatal la designación del Secretario General del Comité Ejecutivo Estatal y del Secretario Técnico del Consejo Político Estatal; aprobar los nombramientos y sustituciones de los militantes que ocuparán la titularidad de cada una de las Secretarías del Comité Ejecutivo Estatal; del mismo modo, es de su competencia aprobar al militante que sustituirá la ausencia definitiva o renuncia de alguno de los integrantes del Comité Ejecutivo Estatal y de la Comisión Estatal de Honor y Justicia.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los Comité Ejecutivos Estatales son coordinados por el Secretario General del Comité Ejecutivo Estatal y por distintas secretarias, tal como lo disponen los Estatutos del Partido Verde Ecologista de México que en el artículo 68 establece: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68</w:t>
      </w:r>
      <w:r>
        <w:rPr>
          <w:rFonts w:ascii="Palatino Linotype" w:eastAsia="Palatino Linotype" w:hAnsi="Palatino Linotype" w:cs="Palatino Linotype"/>
          <w:i/>
          <w:sz w:val="22"/>
          <w:szCs w:val="22"/>
        </w:rPr>
        <w:t xml:space="preserve">.- Los Comités Ejecutivos Estatales son los órganos ejecutores de las políticas del Partido en cada una de sus Entidades Federativas y el Distrito Federal. Los Comités Ejecutivos Estatales serán coordinados por el Secretario General del Comité Ejecutivo Estatal y estarán integrados por las siguientes secretarías: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Secretaría de Organización;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Secretaría de Procesos Electorales;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Secretaría de Ecología y Medio Ambiente;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Secretaría de Finanzas;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Secretaría de Comunicación Social;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Secretaría de Asuntos de la Juventud;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 Secretaría de la Mujer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Secretarios Generales de los Comités Ejecutivos Estatales y del Distrito Federal con apoyo de la secretaría de finanzas de su Comité tendrán que entregar un informe mensual al Órgano de Administración, informándole sobre todos los ingresos y egresos del Comité Ejecutivo Estatal. </w:t>
      </w:r>
    </w:p>
    <w:p w:rsidR="0012659E" w:rsidRDefault="0012659E">
      <w:pPr>
        <w:spacing w:line="360" w:lineRule="auto"/>
        <w:ind w:left="851" w:right="616"/>
        <w:jc w:val="both"/>
        <w:rPr>
          <w:rFonts w:ascii="Palatino Linotype" w:eastAsia="Palatino Linotype" w:hAnsi="Palatino Linotype" w:cs="Palatino Linotype"/>
          <w:i/>
          <w:sz w:val="22"/>
          <w:szCs w:val="22"/>
        </w:rPr>
      </w:pP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 titularidad de las secretarías serán ocupadas por militantes del Partido los cuales serán propuestos por el Secretario General del Comité Ejecutivo Estatal al Consejo Político Estatal</w:t>
      </w:r>
      <w:r>
        <w:rPr>
          <w:rFonts w:ascii="Palatino Linotype" w:eastAsia="Palatino Linotype" w:hAnsi="Palatino Linotype" w:cs="Palatino Linotype"/>
          <w:i/>
          <w:sz w:val="22"/>
          <w:szCs w:val="22"/>
        </w:rPr>
        <w:t xml:space="preserve"> o del Distrito Federal.. </w:t>
      </w:r>
    </w:p>
    <w:p w:rsidR="0012659E" w:rsidRDefault="0012659E">
      <w:pPr>
        <w:spacing w:line="360" w:lineRule="auto"/>
        <w:ind w:left="851" w:right="616"/>
        <w:jc w:val="both"/>
        <w:rPr>
          <w:rFonts w:ascii="Palatino Linotype" w:eastAsia="Palatino Linotype" w:hAnsi="Palatino Linotype" w:cs="Palatino Linotype"/>
          <w:i/>
          <w:sz w:val="22"/>
          <w:szCs w:val="22"/>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señalar que el particular requirió información del Comité de Transparencia, la cual, forma parte de estructura orgánica del Comité Ejecutivo Estatal, de acuerdo con el registro existente en el portal de Información Pública de Oficio (IPOMEX), tal como se observa en la captura de pantalla que se inserta.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4914900"/>
            <wp:effectExtent l="19050" t="19050" r="19050" b="1905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612130" cy="4914900"/>
                    </a:xfrm>
                    <a:prstGeom prst="rect">
                      <a:avLst/>
                    </a:prstGeom>
                    <a:ln w="19050">
                      <a:solidFill>
                        <a:srgbClr val="000000"/>
                      </a:solidFill>
                      <a:prstDash val="solid"/>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622300</wp:posOffset>
                </wp:positionH>
                <wp:positionV relativeFrom="paragraph">
                  <wp:posOffset>4114800</wp:posOffset>
                </wp:positionV>
                <wp:extent cx="3571875" cy="386715"/>
                <wp:effectExtent l="0" t="0" r="0" b="0"/>
                <wp:wrapNone/>
                <wp:docPr id="51" name="Rectángulo 51"/>
                <wp:cNvGraphicFramePr/>
                <a:graphic xmlns:a="http://schemas.openxmlformats.org/drawingml/2006/main">
                  <a:graphicData uri="http://schemas.microsoft.com/office/word/2010/wordprocessingShape">
                    <wps:wsp>
                      <wps:cNvSpPr/>
                      <wps:spPr>
                        <a:xfrm>
                          <a:off x="3574350" y="3600930"/>
                          <a:ext cx="3543300" cy="358140"/>
                        </a:xfrm>
                        <a:prstGeom prst="rect">
                          <a:avLst/>
                        </a:prstGeom>
                        <a:noFill/>
                        <a:ln w="28575" cap="flat" cmpd="sng">
                          <a:solidFill>
                            <a:srgbClr val="FF0000"/>
                          </a:solidFill>
                          <a:prstDash val="solid"/>
                          <a:round/>
                          <a:headEnd type="none" w="sm" len="sm"/>
                          <a:tailEnd type="none" w="sm" len="sm"/>
                        </a:ln>
                      </wps:spPr>
                      <wps:txbx>
                        <w:txbxContent>
                          <w:p w:rsidR="001F50E6" w:rsidRDefault="001F50E6">
                            <w:pPr>
                              <w:textDirection w:val="btLr"/>
                            </w:pPr>
                          </w:p>
                        </w:txbxContent>
                      </wps:txbx>
                      <wps:bodyPr spcFirstLastPara="1" wrap="square" lIns="91425" tIns="91425" rIns="91425" bIns="91425" anchor="ctr" anchorCtr="0">
                        <a:noAutofit/>
                      </wps:bodyPr>
                    </wps:wsp>
                  </a:graphicData>
                </a:graphic>
              </wp:anchor>
            </w:drawing>
          </mc:Choice>
          <mc:Fallback>
            <w:pict>
              <v:rect id="Rectángulo 51" o:spid="_x0000_s1026" style="position:absolute;left:0;text-align:left;margin-left:49pt;margin-top:324pt;width:281.25pt;height:3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" filled="f" strokecolor="red" strokeweight="2.25pt">
                <v:stroke startarrowwidth="narrow" startarrowlength="short" endarrowwidth="narrow" endarrowlength="short" joinstyle="round"/>
                <v:textbox inset="2.53958mm,2.53958mm,2.53958mm,2.53958mm">
                  <w:txbxContent>
                    <w:p w:rsidR="001F50E6" w:rsidRDefault="001F50E6">
                      <w:pPr>
                        <w:textDirection w:val="btLr"/>
                      </w:pPr>
                    </w:p>
                  </w:txbxContent>
                </v:textbox>
              </v:rect>
            </w:pict>
          </mc:Fallback>
        </mc:AlternateContent>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838200</wp:posOffset>
                </wp:positionV>
                <wp:extent cx="1682115" cy="516255"/>
                <wp:effectExtent l="0" t="0" r="0" b="0"/>
                <wp:wrapNone/>
                <wp:docPr id="52" name="Elipse 52"/>
                <wp:cNvGraphicFramePr/>
                <a:graphic xmlns:a="http://schemas.openxmlformats.org/drawingml/2006/main">
                  <a:graphicData uri="http://schemas.microsoft.com/office/word/2010/wordprocessingShape">
                    <wps:wsp>
                      <wps:cNvSpPr/>
                      <wps:spPr>
                        <a:xfrm>
                          <a:off x="4519230" y="3536160"/>
                          <a:ext cx="1653540" cy="487680"/>
                        </a:xfrm>
                        <a:prstGeom prst="ellipse">
                          <a:avLst/>
                        </a:prstGeom>
                        <a:noFill/>
                        <a:ln w="28575" cap="flat" cmpd="sng">
                          <a:solidFill>
                            <a:srgbClr val="FF0000"/>
                          </a:solidFill>
                          <a:prstDash val="solid"/>
                          <a:round/>
                          <a:headEnd type="none" w="sm" len="sm"/>
                          <a:tailEnd type="none" w="sm" len="sm"/>
                        </a:ln>
                      </wps:spPr>
                      <wps:txbx>
                        <w:txbxContent>
                          <w:p w:rsidR="001F50E6" w:rsidRDefault="001F50E6">
                            <w:pPr>
                              <w:textDirection w:val="btLr"/>
                            </w:pPr>
                          </w:p>
                        </w:txbxContent>
                      </wps:txbx>
                      <wps:bodyPr spcFirstLastPara="1" wrap="square" lIns="91425" tIns="91425" rIns="91425" bIns="91425" anchor="ctr" anchorCtr="0">
                        <a:noAutofit/>
                      </wps:bodyPr>
                    </wps:wsp>
                  </a:graphicData>
                </a:graphic>
              </wp:anchor>
            </w:drawing>
          </mc:Choice>
          <mc:Fallback>
            <w:pict>
              <v:oval id="Elipse 52" o:spid="_x0000_s1027" style="position:absolute;left:0;text-align:left;margin-left:-1pt;margin-top:66pt;width:132.45pt;height:4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" filled="f" strokecolor="red" strokeweight="2.25pt">
                <v:stroke startarrowwidth="narrow" startarrowlength="short" endarrowwidth="narrow" endarrowlength="short"/>
                <v:textbox inset="2.53958mm,2.53958mm,2.53958mm,2.53958mm">
                  <w:txbxContent>
                    <w:p w:rsidR="001F50E6" w:rsidRDefault="001F50E6">
                      <w:pPr>
                        <w:textDirection w:val="btLr"/>
                      </w:pPr>
                    </w:p>
                  </w:txbxContent>
                </v:textbox>
              </v:oval>
            </w:pict>
          </mc:Fallback>
        </mc:AlternateConten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citar  a modo de ejemplo, los requisitos que con sustento en lo estipulado por el artículo 70 de los estatutos debe cumplir y acreditar el  Secretario General del Comité Ejecutivo Estatal, siendo los siguientes: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Tener el carácter de militante con una antigüedad ininterrumpida de por lo menos dieciocho meses, conforme al padrón de militantes del Consejo Político Nacional</w:t>
      </w:r>
      <w:r>
        <w:rPr>
          <w:rFonts w:ascii="Palatino Linotype" w:eastAsia="Palatino Linotype" w:hAnsi="Palatino Linotype" w:cs="Palatino Linotype"/>
          <w:i/>
          <w:sz w:val="22"/>
          <w:szCs w:val="22"/>
        </w:rPr>
        <w:t xml:space="preserv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Ser un militante de convicción ecologista, de probada lealtad y disciplina al Partido, tener prestigio y arraigo entre la militancia y la sociedad en la entidad federativa corrspondiente, tener amplios conocimientos del Partido y reconocido liderazgo;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En ningún momento haber sido dirigente, candidato, militante o activista de otro Partido político en los últimos dos años;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Estar al corriente en el pago de sus cuotas como militante;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Haber participado en trabajo activo del Partido en forma ininterrumpida en los últimos dos años;</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Presentar para su estudio y valoración ante el Consejo Político Estatal un proyecto de programa de trabajo que sustente el crecimiento del Partido con base a sus principios e ideología en la entidad federativa correspondiente; que contemple además el desarrollo de los temas en materia ambiental, social, política, económica y de género;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No haber participado con actores políticos ajenos al Partido, en movimientos que atenten en contra de la unidad y estabilidad del Partido;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Acreditar ante el Consejo Político Estatal</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con pruebas documentales, que se reúnen los requisitos exigidos.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Debe entenderse que las pruebas documentales a que se hace mención, se refieren a una acepción amplia de ese medio de convicción, según la cual documento es todo aquello que tenga como función representar una idea o un hecho. La demostración de los requisitos no comprende los previstos en las fracciones III, IV y VIII, puesto que, en principio, el cumplimiento de estas exigencias debe presumirse, correspondiendo al Partido, en su caso, demostrar su no cumplimiento; y</w:t>
      </w:r>
    </w:p>
    <w:p w:rsidR="0012659E" w:rsidRDefault="0012659E">
      <w:pPr>
        <w:spacing w:line="360" w:lineRule="auto"/>
        <w:ind w:right="616"/>
        <w:jc w:val="both"/>
        <w:rPr>
          <w:rFonts w:ascii="Palatino Linotype" w:eastAsia="Palatino Linotype" w:hAnsi="Palatino Linotype" w:cs="Palatino Linotype"/>
        </w:rPr>
      </w:pPr>
    </w:p>
    <w:p w:rsidR="0012659E" w:rsidRDefault="00B77A70">
      <w:p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consiguiente, una vez analizado el proceso de designación de los integrantes de las instancias y órganos directivos del Partido, se concluye que, </w:t>
      </w:r>
      <w:r>
        <w:rPr>
          <w:rFonts w:ascii="Palatino Linotype" w:eastAsia="Palatino Linotype" w:hAnsi="Palatino Linotype" w:cs="Palatino Linotype"/>
          <w:b/>
          <w:u w:val="single"/>
        </w:rPr>
        <w:t xml:space="preserve">ser militante </w:t>
      </w:r>
      <w:r>
        <w:rPr>
          <w:rFonts w:ascii="Palatino Linotype" w:eastAsia="Palatino Linotype" w:hAnsi="Palatino Linotype" w:cs="Palatino Linotype"/>
        </w:rPr>
        <w:t xml:space="preserve"> del Partido Verde Ecologista de México, es un requisito ineludible que se debe acreditar ante el órgano correspondiente, para formar parte del Comité Ejecutivo Estatal, Comité de Transparencia, Comisión de Honor y Justicia y del Consejo Político; y por lo tanto, es necesario presentar, ante la Asamblea Estatal o el Consejo Político Estatal, según sea el caso, la </w:t>
      </w:r>
      <w:r>
        <w:rPr>
          <w:rFonts w:ascii="Palatino Linotype" w:eastAsia="Palatino Linotype" w:hAnsi="Palatino Linotype" w:cs="Palatino Linotype"/>
          <w:b/>
          <w:u w:val="single"/>
        </w:rPr>
        <w:t>constancia de militante</w:t>
      </w:r>
      <w:r>
        <w:rPr>
          <w:rFonts w:ascii="Palatino Linotype" w:eastAsia="Palatino Linotype" w:hAnsi="Palatino Linotype" w:cs="Palatino Linotype"/>
        </w:rPr>
        <w:t xml:space="preserve"> como el documento idóneo para acreditar tal condición, mismo, que de acuerdo a la fracción  III, base segunda del artículo 7 de los Estatutos es obligación y deber de los militantes conservarla y mantenerla vigente. </w:t>
      </w:r>
    </w:p>
    <w:p w:rsidR="0012659E" w:rsidRDefault="0012659E">
      <w:pPr>
        <w:spacing w:line="360" w:lineRule="auto"/>
        <w:ind w:right="616"/>
        <w:jc w:val="both"/>
        <w:rPr>
          <w:rFonts w:ascii="Palatino Linotype" w:eastAsia="Palatino Linotype" w:hAnsi="Palatino Linotype" w:cs="Palatino Linotype"/>
        </w:rPr>
      </w:pPr>
    </w:p>
    <w:p w:rsidR="0012659E" w:rsidRDefault="00B77A70">
      <w:pPr>
        <w:spacing w:line="360" w:lineRule="auto"/>
        <w:ind w:right="616"/>
        <w:jc w:val="both"/>
      </w:pPr>
      <w:r>
        <w:rPr>
          <w:rFonts w:ascii="Palatino Linotype" w:eastAsia="Palatino Linotype" w:hAnsi="Palatino Linotype" w:cs="Palatino Linotype"/>
        </w:rPr>
        <w:t xml:space="preserve">Por lo tanto, si bien es cierto, la constancia de militante es un documento que genera el Consejo Político Nacional, también lo es, que la Asamblea Estatal y/o el Consejo Político Estatal, según corresponda, las puede poseer por tratarse de un requisito que debieron cumplir quienes fueron designados para formar parte de los órganos colegiados que forman parte de la estructura orgánica del </w:t>
      </w:r>
      <w:r>
        <w:rPr>
          <w:rFonts w:ascii="Palatino Linotype" w:eastAsia="Palatino Linotype" w:hAnsi="Palatino Linotype" w:cs="Palatino Linotype"/>
          <w:b/>
        </w:rPr>
        <w:t xml:space="preserve">SUJETO OBLIGADO. </w:t>
      </w:r>
    </w:p>
    <w:p w:rsidR="0012659E" w:rsidRDefault="0012659E">
      <w:pPr>
        <w:spacing w:line="360" w:lineRule="auto"/>
        <w:jc w:val="both"/>
      </w:pPr>
    </w:p>
    <w:p w:rsidR="0012659E" w:rsidRDefault="00B77A7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Ahora bien, es necesario referir,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su respuesta a la solicitud manifestó que </w:t>
      </w:r>
      <w:r>
        <w:rPr>
          <w:rFonts w:ascii="Palatino Linotype" w:eastAsia="Palatino Linotype" w:hAnsi="Palatino Linotype" w:cs="Palatino Linotype"/>
          <w:i/>
        </w:rPr>
        <w:t>“la información referente a la preferencia política o similares están tutelados por lo establecido en el artículo 7 de la Ley de Protección de Datos personales en Posesión de Sujetos Obligados del Estado de México y Municipios…”</w:t>
      </w:r>
    </w:p>
    <w:p w:rsidR="0012659E" w:rsidRDefault="0012659E">
      <w:pPr>
        <w:spacing w:line="360" w:lineRule="auto"/>
        <w:jc w:val="both"/>
        <w:rPr>
          <w:rFonts w:ascii="Palatino Linotype" w:eastAsia="Palatino Linotype" w:hAnsi="Palatino Linotype" w:cs="Palatino Linotype"/>
          <w:i/>
        </w:rPr>
      </w:pPr>
    </w:p>
    <w:p w:rsidR="0012659E" w:rsidRDefault="00B77A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la lectura realizada al pronunciamiento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advierte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pretendió clasificar como información confidencial las constancias de militancia solicitadas, por lo tanto, no niega contar con la información requerida, por el contrario, se presume que dicha información la posee o administra al manifestar que no es posible entregarla, por considerar que es información clasificada de conformidad con los dispositivos jurídicos que en su respuesta e informe justificado señala. </w:t>
      </w:r>
    </w:p>
    <w:p w:rsidR="0012659E" w:rsidRDefault="0012659E">
      <w:pPr>
        <w:spacing w:line="360" w:lineRule="auto"/>
        <w:ind w:right="49"/>
        <w:jc w:val="both"/>
        <w:rPr>
          <w:rFonts w:ascii="Palatino Linotype" w:eastAsia="Palatino Linotype" w:hAnsi="Palatino Linotype" w:cs="Palatino Linotype"/>
        </w:rPr>
      </w:pPr>
    </w:p>
    <w:p w:rsidR="0012659E" w:rsidRDefault="00B77A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debió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confidencial.</w:t>
      </w:r>
    </w:p>
    <w:p w:rsidR="0012659E" w:rsidRDefault="0012659E">
      <w:pPr>
        <w:ind w:left="720"/>
        <w:rPr>
          <w:rFonts w:ascii="Palatino Linotype" w:eastAsia="Palatino Linotype" w:hAnsi="Palatino Linotype" w:cs="Palatino Linotype"/>
        </w:rPr>
      </w:pPr>
    </w:p>
    <w:p w:rsidR="0012659E" w:rsidRDefault="00B77A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la clasificación y la inexistencia se excluyen entre sí, por tanto, si en el presente caso,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niega la entrega de la información que le solicitó el particular, está reconociendo implícitamente que la misma obra en sus archivos.</w:t>
      </w:r>
    </w:p>
    <w:p w:rsidR="0012659E" w:rsidRDefault="0012659E">
      <w:pPr>
        <w:ind w:left="720"/>
        <w:rPr>
          <w:rFonts w:ascii="Palatino Linotype" w:eastAsia="Palatino Linotype" w:hAnsi="Palatino Linotype" w:cs="Palatino Linotype"/>
        </w:rPr>
      </w:pPr>
    </w:p>
    <w:p w:rsidR="0012659E" w:rsidRDefault="00B77A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Tiene aplicación al respecto el criterio sostenido por el ahora Instituto Nacional de Transparencia, Acceso a la Información y Protección de Datos Personales número 29/10, mismo que tiene como contenido el que a continuación se transcribe:</w:t>
      </w:r>
    </w:p>
    <w:p w:rsidR="0012659E" w:rsidRDefault="0012659E">
      <w:pPr>
        <w:spacing w:line="360" w:lineRule="auto"/>
        <w:ind w:right="49"/>
        <w:jc w:val="both"/>
        <w:rPr>
          <w:rFonts w:ascii="Palatino Linotype" w:eastAsia="Palatino Linotype" w:hAnsi="Palatino Linotype" w:cs="Palatino Linotype"/>
        </w:rPr>
      </w:pPr>
    </w:p>
    <w:p w:rsidR="0012659E" w:rsidRDefault="00B77A70">
      <w:pPr>
        <w:spacing w:after="240"/>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“La clasificación y la inexistencia de información son conceptos que no pueden coexistir.</w:t>
      </w:r>
      <w:r>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12659E" w:rsidRDefault="00B77A70">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asimismo, señala que en la interpretación de dicho derecho deberá prevalecer el principio de máxima publicidad, haciendo hincapié en que los Sujetos Obligados deberán documentar todo acto que derive del ejercicio de sus facultades, competencias o funciones; de igual forma prevé que la información que se refiere a la vida privada de las personas será protegida en los términos y con las excepciones que fijen las leyes. Garantía que recoge la Constitución Política del </w:t>
      </w:r>
      <w:r>
        <w:rPr>
          <w:rFonts w:ascii="Palatino Linotype" w:eastAsia="Palatino Linotype" w:hAnsi="Palatino Linotype" w:cs="Palatino Linotype"/>
        </w:rPr>
        <w:lastRenderedPageBreak/>
        <w:t xml:space="preserve">Estado Libre y Soberano de México en su </w:t>
      </w:r>
      <w:r>
        <w:rPr>
          <w:rFonts w:ascii="Palatino Linotype" w:eastAsia="Palatino Linotype" w:hAnsi="Palatino Linotype" w:cs="Palatino Linotype"/>
          <w:color w:val="000000"/>
        </w:rPr>
        <w:t>artículo 5 de la Constitución Política del Estado Libre y Soberano de México, el cual dispone:</w:t>
      </w:r>
    </w:p>
    <w:p w:rsidR="0012659E" w:rsidRDefault="0012659E">
      <w:pPr>
        <w:jc w:val="both"/>
        <w:rPr>
          <w:rFonts w:ascii="Palatino Linotype" w:eastAsia="Palatino Linotype" w:hAnsi="Palatino Linotype" w:cs="Palatino Linotype"/>
          <w:b/>
          <w:i/>
          <w:color w:val="000000"/>
        </w:rPr>
      </w:pPr>
    </w:p>
    <w:p w:rsidR="0012659E" w:rsidRDefault="00B77A70">
      <w:pPr>
        <w:ind w:left="851"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“Artículo 5.-...</w:t>
      </w:r>
    </w:p>
    <w:p w:rsidR="0012659E" w:rsidRDefault="00B77A7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2659E" w:rsidRDefault="00B77A7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Este derecho se regirá por los siguientes principios y bases siguientes:</w:t>
      </w:r>
    </w:p>
    <w:p w:rsidR="0012659E" w:rsidRDefault="0012659E">
      <w:pPr>
        <w:ind w:left="709" w:right="757"/>
        <w:jc w:val="both"/>
        <w:rPr>
          <w:rFonts w:ascii="Palatino Linotype" w:eastAsia="Palatino Linotype" w:hAnsi="Palatino Linotype" w:cs="Palatino Linotype"/>
          <w:i/>
          <w:color w:val="000000"/>
          <w:sz w:val="22"/>
          <w:szCs w:val="22"/>
        </w:rPr>
      </w:pPr>
    </w:p>
    <w:p w:rsidR="0012659E" w:rsidRDefault="00B77A7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w:t>
      </w:r>
      <w:r>
        <w:rPr>
          <w:rFonts w:ascii="Palatino Linotype" w:eastAsia="Palatino Linotype" w:hAnsi="Palatino Linotype" w:cs="Palatino Linotype"/>
          <w:b/>
          <w:i/>
          <w:color w:val="000000"/>
          <w:sz w:val="22"/>
          <w:szCs w:val="22"/>
        </w:rPr>
        <w:t>Toda la información en posesión de cualquier autoridad, entidad, órgano y organismos de los Poderes Ejecutivo, Legislativo y Judicial, órganos autónomos</w:t>
      </w:r>
      <w:r>
        <w:rPr>
          <w:rFonts w:ascii="Palatino Linotype" w:eastAsia="Palatino Linotype" w:hAnsi="Palatino Linotype" w:cs="Palatino Linotype"/>
          <w:i/>
          <w:color w:val="000000"/>
          <w:sz w:val="22"/>
          <w:szCs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659E" w:rsidRDefault="00B77A7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2659E" w:rsidRDefault="0012659E">
      <w:pPr>
        <w:jc w:val="both"/>
        <w:rPr>
          <w:rFonts w:ascii="Palatino Linotype" w:eastAsia="Palatino Linotype" w:hAnsi="Palatino Linotype" w:cs="Palatino Linotype"/>
          <w:i/>
          <w:color w:val="000000"/>
        </w:rPr>
      </w:pPr>
    </w:p>
    <w:p w:rsidR="0012659E" w:rsidRDefault="00B77A7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deduce que la Constitución le otorga a todos los documentos en posesión de las autoridades la calidad de públicos y únicamente pueden ser clasificados en los términos expresamente señalados en la Ley, es decir, el derecho de acceso a la información pública no es absoluto pero su restricción debe estar sujeta a un sistema rígido de excepciones, en el que los Sujetos Obligados deben fundamentar y argumentar las razones por que cuales procede la clasificación de información.</w:t>
      </w:r>
    </w:p>
    <w:p w:rsidR="0012659E" w:rsidRDefault="0012659E">
      <w:pPr>
        <w:spacing w:line="360" w:lineRule="auto"/>
        <w:jc w:val="both"/>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este contexto, es necesario citar que el artículo 100 fracción I de la Ley de Transparencia y Acceso a la Información Pública del Estado de México y Municipios establece: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100.</w:t>
      </w:r>
      <w:r>
        <w:rPr>
          <w:rFonts w:ascii="Palatino Linotype" w:eastAsia="Palatino Linotype" w:hAnsi="Palatino Linotype" w:cs="Palatino Linotype"/>
          <w:i/>
          <w:sz w:val="22"/>
          <w:szCs w:val="22"/>
        </w:rPr>
        <w:t xml:space="preserve"> Los partidos políticos nacionales acreditados para participar en elecciones locales y los partidos locales, en cuanto hace a sus </w:t>
      </w:r>
      <w:r>
        <w:rPr>
          <w:rFonts w:ascii="Palatino Linotype" w:eastAsia="Palatino Linotype" w:hAnsi="Palatino Linotype" w:cs="Palatino Linotype"/>
          <w:b/>
          <w:i/>
          <w:sz w:val="22"/>
          <w:szCs w:val="22"/>
          <w:u w:val="single"/>
        </w:rPr>
        <w:t xml:space="preserve">órganos directivos estatales </w:t>
      </w:r>
      <w:r>
        <w:rPr>
          <w:rFonts w:ascii="Palatino Linotype" w:eastAsia="Palatino Linotype" w:hAnsi="Palatino Linotype" w:cs="Palatino Linotype"/>
          <w:i/>
          <w:sz w:val="22"/>
          <w:szCs w:val="22"/>
        </w:rPr>
        <w:t xml:space="preserve">y municipales, las agrupaciones políticas y las personas jurídicas colectivas constituidas en asociación civil creadas por los ciudadanos que pretendan postular su candidatura independiente, según corresponda, </w:t>
      </w:r>
      <w:r>
        <w:rPr>
          <w:rFonts w:ascii="Palatino Linotype" w:eastAsia="Palatino Linotype" w:hAnsi="Palatino Linotype" w:cs="Palatino Linotype"/>
          <w:b/>
          <w:i/>
          <w:sz w:val="22"/>
          <w:szCs w:val="22"/>
          <w:u w:val="single"/>
        </w:rPr>
        <w:t>deberán poner a disposición del público y actualizar</w:t>
      </w:r>
      <w:r>
        <w:rPr>
          <w:rFonts w:ascii="Palatino Linotype" w:eastAsia="Palatino Linotype" w:hAnsi="Palatino Linotype" w:cs="Palatino Linotype"/>
          <w:i/>
          <w:sz w:val="22"/>
          <w:szCs w:val="22"/>
        </w:rPr>
        <w:t xml:space="preserve"> la siguiente información: </w:t>
      </w:r>
    </w:p>
    <w:p w:rsidR="0012659E" w:rsidRDefault="00B77A70">
      <w:pP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El padrón de afiliados o militantes de los partidos políticos estatales</w:t>
      </w:r>
      <w:r>
        <w:rPr>
          <w:rFonts w:ascii="Palatino Linotype" w:eastAsia="Palatino Linotype" w:hAnsi="Palatino Linotype" w:cs="Palatino Linotype"/>
          <w:i/>
          <w:sz w:val="22"/>
          <w:szCs w:val="22"/>
        </w:rPr>
        <w:t xml:space="preserve">, que contendrá exclusivamente: </w:t>
      </w:r>
      <w:r>
        <w:rPr>
          <w:rFonts w:ascii="Palatino Linotype" w:eastAsia="Palatino Linotype" w:hAnsi="Palatino Linotype" w:cs="Palatino Linotype"/>
          <w:b/>
          <w:i/>
          <w:sz w:val="22"/>
          <w:szCs w:val="22"/>
          <w:u w:val="single"/>
        </w:rPr>
        <w:t>apellidos, nombre o nombres, fechas de afiliación y entidad de residencia;</w:t>
      </w:r>
    </w:p>
    <w:p w:rsidR="0012659E" w:rsidRDefault="0012659E">
      <w:pPr>
        <w:spacing w:line="360" w:lineRule="auto"/>
        <w:jc w:val="both"/>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precepto jurídico citado, se concluye que los datos relativos al  nombre, apellidos, fechas de afiliación de residencia, de los militantes de los partidos políticos son de naturaleza pública; aunado a que el artículo 148, fracción II del mismo ordenamiento legal dispone: </w:t>
      </w:r>
    </w:p>
    <w:p w:rsidR="0012659E" w:rsidRDefault="0012659E">
      <w:pPr>
        <w:spacing w:line="360" w:lineRule="auto"/>
        <w:jc w:val="both"/>
        <w:rPr>
          <w:rFonts w:ascii="Palatino Linotype" w:eastAsia="Palatino Linotype" w:hAnsi="Palatino Linotype" w:cs="Palatino Linotype"/>
          <w:color w:val="000000"/>
        </w:rPr>
      </w:pPr>
    </w:p>
    <w:p w:rsidR="0012659E" w:rsidRDefault="00B77A7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No se requerirá el consentimiento del titular de la información confidencial cuando:</w:t>
      </w:r>
    </w:p>
    <w:p w:rsidR="0012659E" w:rsidRDefault="00B77A70">
      <w:pPr>
        <w:spacing w:line="360" w:lineRule="auto"/>
        <w:ind w:left="851"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Por Ley </w:t>
      </w:r>
      <w:r>
        <w:rPr>
          <w:rFonts w:ascii="Palatino Linotype" w:eastAsia="Palatino Linotype" w:hAnsi="Palatino Linotype" w:cs="Palatino Linotype"/>
          <w:b/>
          <w:i/>
          <w:sz w:val="22"/>
          <w:szCs w:val="22"/>
          <w:u w:val="single"/>
        </w:rPr>
        <w:t>tenga el carácter de pública</w:t>
      </w:r>
      <w:r>
        <w:rPr>
          <w:rFonts w:ascii="Palatino Linotype" w:eastAsia="Palatino Linotype" w:hAnsi="Palatino Linotype" w:cs="Palatino Linotype"/>
          <w:i/>
          <w:sz w:val="22"/>
          <w:szCs w:val="22"/>
        </w:rPr>
        <w:t>;</w:t>
      </w:r>
    </w:p>
    <w:p w:rsidR="0012659E" w:rsidRDefault="00B77A70">
      <w:pPr>
        <w:spacing w:line="360"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12659E">
      <w:pPr>
        <w:spacing w:line="360" w:lineRule="auto"/>
        <w:ind w:left="851" w:right="758"/>
        <w:jc w:val="both"/>
        <w:rPr>
          <w:rFonts w:ascii="Palatino Linotype" w:eastAsia="Palatino Linotype" w:hAnsi="Palatino Linotype" w:cs="Palatino Linotype"/>
          <w:i/>
          <w:sz w:val="22"/>
          <w:szCs w:val="22"/>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derivado de las consideraciones señaladas, este Órgano Garante determina dable ordenar la entrega en versión pública de las constancias de militancia de los integrantes propietarios y suplentes del Comité Ejecutivo Estatal, Comité de Transparencia, de la Comisión Estatal de Honor y Justicia y del Consejo Político Estatal vigentes al veintiséis de abril de dos mil veintiuno.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los planteamientos formulados en los numerales 11, 12 y 13 en los que el entonces solicitante cuestionó si en el Comité de Transparencia, en el Consejo Político y en la Comisión Estatal de Honor y Justicia tienen integrantes que sean familiares.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que el Comité de Transparencia que encuentra conformado según lo establecido por los artículos 45 y 46 de la Ley de Trasparencia y Acceso a la Información Pública del Estado de México y Municipios; asimismo, que los nombres se encuentran publicados en el Sistema de Información Pública de Oficio Mexiquense (IPOMEX) en el sitio electrónico : </w:t>
      </w:r>
      <w:hyperlink r:id="rId34">
        <w:r>
          <w:rPr>
            <w:rFonts w:ascii="Palatino Linotype" w:eastAsia="Palatino Linotype" w:hAnsi="Palatino Linotype" w:cs="Palatino Linotype"/>
            <w:color w:val="0000FF"/>
            <w:u w:val="single"/>
          </w:rPr>
          <w:t>https://www.ipomex.org.mx/ipo3/lgt/indice/PVERDE/art_92_xliii_c/3.web</w:t>
        </w:r>
      </w:hyperlink>
      <w:r>
        <w:rPr>
          <w:rFonts w:ascii="Palatino Linotype" w:eastAsia="Palatino Linotype" w:hAnsi="Palatino Linotype" w:cs="Palatino Linotype"/>
        </w:rPr>
        <w:t xml:space="preserve">.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Hipervínculo que dirige a la fracción XLIII “Integrantes del comité de transparencia”, tal como se observa en la captura de pantalla que se inserta.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5064760"/>
            <wp:effectExtent l="0" t="0" r="0" b="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r="3869"/>
                    <a:stretch>
                      <a:fillRect/>
                    </a:stretch>
                  </pic:blipFill>
                  <pic:spPr>
                    <a:xfrm>
                      <a:off x="0" y="0"/>
                      <a:ext cx="5486400" cy="5064760"/>
                    </a:xfrm>
                    <a:prstGeom prst="rect">
                      <a:avLst/>
                    </a:prstGeom>
                    <a:ln/>
                  </pic:spPr>
                </pic:pic>
              </a:graphicData>
            </a:graphic>
          </wp:inline>
        </w:drawing>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relación a que si el Consejo Político tiene integrantes familiares,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respondió: “</w:t>
      </w:r>
      <w:r>
        <w:rPr>
          <w:rFonts w:ascii="Palatino Linotype" w:eastAsia="Palatino Linotype" w:hAnsi="Palatino Linotype" w:cs="Palatino Linotype"/>
          <w:i/>
        </w:rPr>
        <w:t xml:space="preserve">En cuanto a los lazos consanguíneos o similares respecto de los integrantes del Consejo Político del Partido Verde Ecologista de México, se le informa que este se conforma según lo establecido en los artículos 13 fracción VI y 16 de los Estatutos del Partido Verde Ecologista de México, el Consejo Político Nacional estará conformado por 26 integrantes. Ahora bien, según lo establecido en el </w:t>
      </w:r>
      <w:r>
        <w:rPr>
          <w:rFonts w:ascii="Palatino Linotype" w:eastAsia="Palatino Linotype" w:hAnsi="Palatino Linotype" w:cs="Palatino Linotype"/>
          <w:b/>
          <w:i/>
          <w:u w:val="single"/>
        </w:rPr>
        <w:t>artículo 64 fracción II</w:t>
      </w:r>
      <w:r>
        <w:rPr>
          <w:rFonts w:ascii="Palatino Linotype" w:eastAsia="Palatino Linotype" w:hAnsi="Palatino Linotype" w:cs="Palatino Linotype"/>
          <w:i/>
        </w:rPr>
        <w:t xml:space="preserve"> del ordenamiento </w:t>
      </w:r>
      <w:r>
        <w:rPr>
          <w:rFonts w:ascii="Palatino Linotype" w:eastAsia="Palatino Linotype" w:hAnsi="Palatino Linotype" w:cs="Palatino Linotype"/>
          <w:i/>
        </w:rPr>
        <w:lastRenderedPageBreak/>
        <w:t xml:space="preserve">legal en comento; </w:t>
      </w:r>
      <w:r>
        <w:rPr>
          <w:rFonts w:ascii="Palatino Linotype" w:eastAsia="Palatino Linotype" w:hAnsi="Palatino Linotype" w:cs="Palatino Linotype"/>
          <w:b/>
          <w:i/>
          <w:u w:val="single"/>
        </w:rPr>
        <w:t>los Consejo Políticos Estatales o del Distrito Federal, estarán conformados por 15 militantes</w:t>
      </w:r>
      <w:r>
        <w:rPr>
          <w:rFonts w:ascii="Palatino Linotype" w:eastAsia="Palatino Linotype" w:hAnsi="Palatino Linotype" w:cs="Palatino Linotype"/>
          <w:i/>
        </w:rPr>
        <w:t xml:space="preserve"> de la entidad federativa correspondiente o del Distrito Federal.</w:t>
      </w:r>
    </w:p>
    <w:p w:rsidR="0012659E" w:rsidRDefault="0012659E">
      <w:pPr>
        <w:spacing w:line="360" w:lineRule="auto"/>
        <w:jc w:val="both"/>
        <w:rPr>
          <w:rFonts w:ascii="Palatino Linotype" w:eastAsia="Palatino Linotype" w:hAnsi="Palatino Linotype" w:cs="Palatino Linotype"/>
          <w:i/>
        </w:rPr>
      </w:pPr>
    </w:p>
    <w:p w:rsidR="0012659E" w:rsidRDefault="00B77A70">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Tomando en cuenta al sentido de interpretación al cuestionamiento en comento, se entiende que el solicitante al establecer en su pregunta, el Consejo Político Estatal del Partido Verde Ecologista de México en el Estado de México publica en el Sistema de Información Pública de Oficio Mexiquense (IPOMEX) dicha información, y podrá consultarla en la siguiente liga: </w:t>
      </w:r>
      <w:hyperlink r:id="rId36">
        <w:r>
          <w:rPr>
            <w:rFonts w:ascii="Palatino Linotype" w:eastAsia="Palatino Linotype" w:hAnsi="Palatino Linotype" w:cs="Palatino Linotype"/>
            <w:i/>
            <w:color w:val="0000FF"/>
            <w:u w:val="single"/>
          </w:rPr>
          <w:t>https://www.ipomex.org.mx/ipo3/lgt/indice/PVERDE/art_92_vii/3.web</w:t>
        </w:r>
      </w:hyperlink>
    </w:p>
    <w:p w:rsidR="0012659E" w:rsidRDefault="0012659E">
      <w:pPr>
        <w:spacing w:line="360" w:lineRule="auto"/>
        <w:jc w:val="both"/>
        <w:rPr>
          <w:rFonts w:ascii="Palatino Linotype" w:eastAsia="Palatino Linotype" w:hAnsi="Palatino Linotype" w:cs="Palatino Linotype"/>
          <w:i/>
          <w:sz w:val="22"/>
          <w:szCs w:val="22"/>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Sitio electrónico que al consultarse dirige al Directorio de Servidores Públicos en el que se observa el total de quince registros tal como se muestra en la imagen que se inserta: </w:t>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927100</wp:posOffset>
                </wp:positionV>
                <wp:extent cx="5663565" cy="3552825"/>
                <wp:effectExtent l="0" t="0" r="0" b="0"/>
                <wp:wrapNone/>
                <wp:docPr id="53" name="Conector recto de flecha 53"/>
                <wp:cNvGraphicFramePr/>
                <a:graphic xmlns:a="http://schemas.openxmlformats.org/drawingml/2006/main">
                  <a:graphicData uri="http://schemas.microsoft.com/office/word/2010/wordprocessingShape">
                    <wps:wsp>
                      <wps:cNvCnPr/>
                      <wps:spPr>
                        <a:xfrm>
                          <a:off x="2518980" y="2008350"/>
                          <a:ext cx="5654040" cy="354330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927100</wp:posOffset>
                </wp:positionV>
                <wp:extent cx="5663565" cy="3552825"/>
                <wp:effectExtent b="0" l="0" r="0" t="0"/>
                <wp:wrapNone/>
                <wp:docPr id="53"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5663565" cy="3552825"/>
                        </a:xfrm>
                        <a:prstGeom prst="rect"/>
                        <a:ln/>
                      </pic:spPr>
                    </pic:pic>
                  </a:graphicData>
                </a:graphic>
              </wp:anchor>
            </w:drawing>
          </mc:Fallback>
        </mc:AlternateConten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4038600"/>
            <wp:effectExtent l="12700" t="12700" r="12700" b="1270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612130" cy="4038600"/>
                    </a:xfrm>
                    <a:prstGeom prst="rect">
                      <a:avLst/>
                    </a:prstGeom>
                    <a:ln w="12700">
                      <a:solidFill>
                        <a:srgbClr val="000000"/>
                      </a:solidFill>
                      <a:prstDash val="solid"/>
                    </a:ln>
                  </pic:spPr>
                </pic:pic>
              </a:graphicData>
            </a:graphic>
          </wp:inline>
        </w:drawing>
      </w:r>
      <w:r>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292100</wp:posOffset>
                </wp:positionH>
                <wp:positionV relativeFrom="paragraph">
                  <wp:posOffset>2959100</wp:posOffset>
                </wp:positionV>
                <wp:extent cx="2419350" cy="270510"/>
                <wp:effectExtent l="0" t="0" r="0" b="0"/>
                <wp:wrapNone/>
                <wp:docPr id="55" name="Rectángulo 55"/>
                <wp:cNvGraphicFramePr/>
                <a:graphic xmlns:a="http://schemas.openxmlformats.org/drawingml/2006/main">
                  <a:graphicData uri="http://schemas.microsoft.com/office/word/2010/wordprocessingShape">
                    <wps:wsp>
                      <wps:cNvSpPr/>
                      <wps:spPr>
                        <a:xfrm>
                          <a:off x="4145850" y="3654270"/>
                          <a:ext cx="2400300" cy="251460"/>
                        </a:xfrm>
                        <a:prstGeom prst="rect">
                          <a:avLst/>
                        </a:prstGeom>
                        <a:noFill/>
                        <a:ln w="19050" cap="flat" cmpd="sng">
                          <a:solidFill>
                            <a:srgbClr val="FF0000"/>
                          </a:solidFill>
                          <a:prstDash val="solid"/>
                          <a:round/>
                          <a:headEnd type="none" w="sm" len="sm"/>
                          <a:tailEnd type="none" w="sm" len="sm"/>
                        </a:ln>
                      </wps:spPr>
                      <wps:txbx>
                        <w:txbxContent>
                          <w:p w:rsidR="001F50E6" w:rsidRDefault="001F50E6">
                            <w:pPr>
                              <w:textDirection w:val="btLr"/>
                            </w:pPr>
                          </w:p>
                        </w:txbxContent>
                      </wps:txbx>
                      <wps:bodyPr spcFirstLastPara="1" wrap="square" lIns="91425" tIns="91425" rIns="91425" bIns="91425" anchor="ctr" anchorCtr="0">
                        <a:noAutofit/>
                      </wps:bodyPr>
                    </wps:wsp>
                  </a:graphicData>
                </a:graphic>
              </wp:anchor>
            </w:drawing>
          </mc:Choice>
          <mc:Fallback>
            <w:pict>
              <v:rect id="Rectángulo 55" o:spid="_x0000_s1028" style="position:absolute;left:0;text-align:left;margin-left:23pt;margin-top:233pt;width:190.5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" filled="f" strokecolor="red" strokeweight="1.5pt">
                <v:stroke startarrowwidth="narrow" startarrowlength="short" endarrowwidth="narrow" endarrowlength="short" joinstyle="round"/>
                <v:textbox inset="2.53958mm,2.53958mm,2.53958mm,2.53958mm">
                  <w:txbxContent>
                    <w:p w:rsidR="001F50E6" w:rsidRDefault="001F50E6">
                      <w:pPr>
                        <w:textDirection w:val="btLr"/>
                      </w:pPr>
                    </w:p>
                  </w:txbxContent>
                </v:textbox>
              </v:rect>
            </w:pict>
          </mc:Fallback>
        </mc:AlternateContent>
      </w:r>
    </w:p>
    <w:p w:rsidR="0012659E" w:rsidRDefault="0012659E">
      <w:pPr>
        <w:spacing w:line="360" w:lineRule="auto"/>
        <w:jc w:val="both"/>
        <w:rPr>
          <w:rFonts w:ascii="Palatino Linotype" w:eastAsia="Palatino Linotype" w:hAnsi="Palatino Linotype" w:cs="Palatino Linotype"/>
        </w:rPr>
      </w:pPr>
    </w:p>
    <w:p w:rsidR="0012659E" w:rsidRDefault="00B77A7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Respecto la información relacionada con la Comisión Estatal de Honor y Justicia manifestó: </w:t>
      </w:r>
      <w:r>
        <w:rPr>
          <w:rFonts w:ascii="Palatino Linotype" w:eastAsia="Palatino Linotype" w:hAnsi="Palatino Linotype" w:cs="Palatino Linotype"/>
          <w:i/>
          <w:color w:val="000000"/>
        </w:rPr>
        <w:t xml:space="preserve">“En cuanto a los lazos consanguíneos o similares respecto de los integrantes de la Comisión Estatal de Honor y Justicia del Partido Verde Ecologista de México en el Estado de México, se hace de su conocimiento que la Comisión Estatal de Honor y Justicia del Partido Verde Ecologista de México en el Estado de México está integrada según lo establecido en el artículo 52 fracción III de los Estatutos del Partido Verde Ecologista de México, la Comisión Estatal de Honor y Justicia, está integrada por 05 integrantes. </w:t>
      </w:r>
    </w:p>
    <w:p w:rsidR="0012659E" w:rsidRDefault="0012659E">
      <w:pPr>
        <w:spacing w:line="360" w:lineRule="auto"/>
        <w:jc w:val="both"/>
        <w:rPr>
          <w:rFonts w:ascii="Palatino Linotype" w:eastAsia="Palatino Linotype" w:hAnsi="Palatino Linotype" w:cs="Palatino Linotype"/>
          <w:i/>
          <w:color w:val="000000"/>
        </w:rPr>
      </w:pPr>
    </w:p>
    <w:p w:rsidR="0012659E" w:rsidRDefault="00B77A70">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Los nombres y cargos de los mismos son información pública reportada en el Sistema de Información Pública de Oficio Mexiquense (IPOMEX), en donde podrá consultar la información anteriormente referida: y </w:t>
      </w:r>
      <w:hyperlink r:id="rId41">
        <w:r>
          <w:rPr>
            <w:rFonts w:ascii="Palatino Linotype" w:eastAsia="Palatino Linotype" w:hAnsi="Palatino Linotype" w:cs="Palatino Linotype"/>
            <w:i/>
            <w:color w:val="0000FF"/>
            <w:u w:val="single"/>
          </w:rPr>
          <w:t>https://www.ipomex.org.mx/ipo3/lgt/indice/PVERDE/art_92_vii/3.web</w:t>
        </w:r>
      </w:hyperlink>
      <w:r>
        <w:rPr>
          <w:rFonts w:ascii="Palatino Linotype" w:eastAsia="Palatino Linotype" w:hAnsi="Palatino Linotype" w:cs="Palatino Linotype"/>
          <w:i/>
          <w:color w:val="000000"/>
        </w:rPr>
        <w:t xml:space="preserve">.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que se realizó la consulta en el hipervínculo proporcionado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dirige a la fracción VII “El directorio de todos los servidores públicos” portal de Información Pública de Oficio (IPOMEX), como a continuación se observa.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2249805"/>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612130" cy="2249805"/>
                    </a:xfrm>
                    <a:prstGeom prst="rect">
                      <a:avLst/>
                    </a:prstGeom>
                    <a:ln/>
                  </pic:spPr>
                </pic:pic>
              </a:graphicData>
            </a:graphic>
          </wp:inline>
        </w:drawing>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2004060"/>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612130" cy="2004060"/>
                    </a:xfrm>
                    <a:prstGeom prst="rect">
                      <a:avLst/>
                    </a:prstGeom>
                    <a:ln/>
                  </pic:spPr>
                </pic:pic>
              </a:graphicData>
            </a:graphic>
          </wp:inline>
        </w:drawing>
      </w:r>
      <w:r>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266700</wp:posOffset>
                </wp:positionH>
                <wp:positionV relativeFrom="paragraph">
                  <wp:posOffset>38100</wp:posOffset>
                </wp:positionV>
                <wp:extent cx="3438525" cy="337185"/>
                <wp:effectExtent l="0" t="0" r="0" b="0"/>
                <wp:wrapNone/>
                <wp:docPr id="54" name="Rectángulo 54"/>
                <wp:cNvGraphicFramePr/>
                <a:graphic xmlns:a="http://schemas.openxmlformats.org/drawingml/2006/main">
                  <a:graphicData uri="http://schemas.microsoft.com/office/word/2010/wordprocessingShape">
                    <wps:wsp>
                      <wps:cNvSpPr/>
                      <wps:spPr>
                        <a:xfrm>
                          <a:off x="3631500" y="3616170"/>
                          <a:ext cx="3429000" cy="327660"/>
                        </a:xfrm>
                        <a:prstGeom prst="rect">
                          <a:avLst/>
                        </a:prstGeom>
                        <a:noFill/>
                        <a:ln w="9525" cap="flat" cmpd="sng">
                          <a:solidFill>
                            <a:srgbClr val="FF0000"/>
                          </a:solidFill>
                          <a:prstDash val="solid"/>
                          <a:round/>
                          <a:headEnd type="none" w="sm" len="sm"/>
                          <a:tailEnd type="none" w="sm" len="sm"/>
                        </a:ln>
                      </wps:spPr>
                      <wps:txbx>
                        <w:txbxContent>
                          <w:p w:rsidR="001F50E6" w:rsidRDefault="001F50E6">
                            <w:pPr>
                              <w:textDirection w:val="btLr"/>
                            </w:pPr>
                          </w:p>
                        </w:txbxContent>
                      </wps:txbx>
                      <wps:bodyPr spcFirstLastPara="1" wrap="square" lIns="91425" tIns="91425" rIns="91425" bIns="91425" anchor="ctr" anchorCtr="0">
                        <a:noAutofit/>
                      </wps:bodyPr>
                    </wps:wsp>
                  </a:graphicData>
                </a:graphic>
              </wp:anchor>
            </w:drawing>
          </mc:Choice>
          <mc:Fallback>
            <w:pict>
              <v:rect id="Rectángulo 54" o:spid="_x0000_s1029" style="position:absolute;left:0;text-align:left;margin-left:21pt;margin-top:3pt;width:270.75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" filled="f" strokecolor="red">
                <v:stroke startarrowwidth="narrow" startarrowlength="short" endarrowwidth="narrow" endarrowlength="short" joinstyle="round"/>
                <v:textbox inset="2.53958mm,2.53958mm,2.53958mm,2.53958mm">
                  <w:txbxContent>
                    <w:p w:rsidR="001F50E6" w:rsidRDefault="001F50E6">
                      <w:pPr>
                        <w:textDirection w:val="btLr"/>
                      </w:pPr>
                    </w:p>
                  </w:txbxContent>
                </v:textbox>
              </v:rect>
            </w:pict>
          </mc:Fallback>
        </mc:AlternateConten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las imágenes insertas se aprecian cinco registros con los datos que corresponden a los integrantes de la Comisión Estatal de Honor y Justicia.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de reconocer e insistir que si bien el entonces solicitante formuló la solicitud de información mediante interrogantes y cuestionamientos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con el propósito de garantizar el derecho del particular, atendió los requerimientos que ahora se analizan y entregó el fundamento jurídico en el que se sustenta la integración de los del Comité, el Consejo y la Comisión solicitados, así como el sitio electrónico en el que se encuentran publicados los nombres de los integrantes; por lo tanto, al hacer del conocimiento del solicitante los datos de cada uno de los integrantes, por lo que, la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podrá verificar y determinar si existen lazos de parentesco consanguíneos entre las personas que conforman estos órganos colegiados.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Pleno de este Instituto determina que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satisface los requerimientos formulados por la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los numerales 11, 12  y 13 en los que se cuestionó si en el Comité de Transparencia, en el Consejo Político y en la Comisión Estatal de Honor y Justicia tienen integrantes que sean familiares.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en relación al requerimiento formulado en el numeral 25. “</w:t>
      </w:r>
      <w:r>
        <w:rPr>
          <w:rFonts w:ascii="Palatino Linotype" w:eastAsia="Palatino Linotype" w:hAnsi="Palatino Linotype" w:cs="Palatino Linotype"/>
          <w:i/>
        </w:rPr>
        <w:t>Informe anual de actividades de 2018, 2019 y 2020 que presentó el Secretario General del PVEM ante el Consejo Político, Asamblea General</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que se </w:t>
      </w:r>
      <w:r>
        <w:rPr>
          <w:rFonts w:ascii="Palatino Linotype" w:eastAsia="Palatino Linotype" w:hAnsi="Palatino Linotype" w:cs="Palatino Linotype"/>
        </w:rPr>
        <w:lastRenderedPageBreak/>
        <w:t xml:space="preserve">entiende que el solicitante al establecer su pregunta hace referencia al Secretario General del Comité Ejecutivo Estatal, Consejo Político Estatal y Asamblea Estatal.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necesario traer a contexto que los Estatutos del Partido Verde Ecologista en los artículos 64, fracción I y  67, fracción IV , 68 y 71 fracción de los Estatutos, establecen: </w:t>
      </w:r>
    </w:p>
    <w:p w:rsidR="0012659E" w:rsidRDefault="0012659E">
      <w:pPr>
        <w:spacing w:line="360" w:lineRule="auto"/>
        <w:ind w:left="851" w:right="616"/>
        <w:jc w:val="both"/>
        <w:rPr>
          <w:rFonts w:ascii="Palatino Linotype" w:eastAsia="Palatino Linotype" w:hAnsi="Palatino Linotype" w:cs="Palatino Linotype"/>
          <w:b/>
          <w:i/>
          <w:sz w:val="22"/>
          <w:szCs w:val="22"/>
        </w:rPr>
      </w:pPr>
    </w:p>
    <w:p w:rsidR="0012659E" w:rsidRDefault="00B77A70">
      <w:pPr>
        <w:spacing w:line="360" w:lineRule="auto"/>
        <w:ind w:left="851" w:right="118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64</w:t>
      </w:r>
      <w:r>
        <w:rPr>
          <w:rFonts w:ascii="Palatino Linotype" w:eastAsia="Palatino Linotype" w:hAnsi="Palatino Linotype" w:cs="Palatino Linotype"/>
          <w:i/>
          <w:sz w:val="22"/>
          <w:szCs w:val="22"/>
        </w:rPr>
        <w:t xml:space="preserve">.- Son facultades de la Asamblea Estatal: I.- </w:t>
      </w:r>
      <w:r>
        <w:rPr>
          <w:rFonts w:ascii="Palatino Linotype" w:eastAsia="Palatino Linotype" w:hAnsi="Palatino Linotype" w:cs="Palatino Linotype"/>
          <w:b/>
          <w:i/>
          <w:sz w:val="22"/>
          <w:szCs w:val="22"/>
          <w:u w:val="single"/>
        </w:rPr>
        <w:t>Recibir el informe del Comité Ejecutivo Estatal</w:t>
      </w:r>
      <w:r>
        <w:rPr>
          <w:rFonts w:ascii="Palatino Linotype" w:eastAsia="Palatino Linotype" w:hAnsi="Palatino Linotype" w:cs="Palatino Linotype"/>
          <w:i/>
          <w:sz w:val="22"/>
          <w:szCs w:val="22"/>
        </w:rPr>
        <w:t xml:space="preserve"> o del Distrito Federal y de la Comisión Estatal de Honor y Justicia, durante el tiempo transcurrido desde la Asamblea inmediata anterior;</w:t>
      </w:r>
    </w:p>
    <w:p w:rsidR="0012659E" w:rsidRDefault="0012659E">
      <w:pPr>
        <w:spacing w:line="360" w:lineRule="auto"/>
        <w:ind w:left="851" w:right="1183"/>
        <w:jc w:val="both"/>
        <w:rPr>
          <w:rFonts w:ascii="Palatino Linotype" w:eastAsia="Palatino Linotype" w:hAnsi="Palatino Linotype" w:cs="Palatino Linotype"/>
          <w:b/>
          <w:i/>
          <w:sz w:val="22"/>
          <w:szCs w:val="22"/>
        </w:rPr>
      </w:pPr>
    </w:p>
    <w:p w:rsidR="0012659E" w:rsidRDefault="00B77A70">
      <w:pPr>
        <w:spacing w:line="360" w:lineRule="auto"/>
        <w:ind w:left="851"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67</w:t>
      </w:r>
      <w:r>
        <w:rPr>
          <w:rFonts w:ascii="Palatino Linotype" w:eastAsia="Palatino Linotype" w:hAnsi="Palatino Linotype" w:cs="Palatino Linotype"/>
          <w:i/>
          <w:sz w:val="22"/>
          <w:szCs w:val="22"/>
        </w:rPr>
        <w:t>.- Facultades del Consejo Político Estatal:</w:t>
      </w:r>
    </w:p>
    <w:p w:rsidR="0012659E" w:rsidRDefault="00B77A70">
      <w:pPr>
        <w:spacing w:line="360" w:lineRule="auto"/>
        <w:ind w:left="851"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12659E" w:rsidRDefault="00B77A70">
      <w:pPr>
        <w:spacing w:line="360" w:lineRule="auto"/>
        <w:ind w:left="851"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Conocer del </w:t>
      </w:r>
      <w:r>
        <w:rPr>
          <w:rFonts w:ascii="Palatino Linotype" w:eastAsia="Palatino Linotype" w:hAnsi="Palatino Linotype" w:cs="Palatino Linotype"/>
          <w:b/>
          <w:i/>
          <w:sz w:val="22"/>
          <w:szCs w:val="22"/>
          <w:u w:val="single"/>
        </w:rPr>
        <w:t>informe anual que le presente el Comité Ejecutivo Estatal</w:t>
      </w:r>
      <w:r>
        <w:rPr>
          <w:rFonts w:ascii="Palatino Linotype" w:eastAsia="Palatino Linotype" w:hAnsi="Palatino Linotype" w:cs="Palatino Linotype"/>
          <w:i/>
          <w:sz w:val="22"/>
          <w:szCs w:val="22"/>
        </w:rPr>
        <w:t xml:space="preserve"> y la Comisión Estatal de Honor y Justicia;</w:t>
      </w:r>
    </w:p>
    <w:p w:rsidR="0012659E" w:rsidRDefault="00B77A70">
      <w:pPr>
        <w:spacing w:line="360" w:lineRule="auto"/>
        <w:ind w:left="851"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68.-</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u w:val="single"/>
        </w:rPr>
        <w:t>Comités Ejecutivos Estatales</w:t>
      </w:r>
      <w:r>
        <w:rPr>
          <w:rFonts w:ascii="Palatino Linotype" w:eastAsia="Palatino Linotype" w:hAnsi="Palatino Linotype" w:cs="Palatino Linotype"/>
          <w:i/>
          <w:sz w:val="22"/>
          <w:szCs w:val="22"/>
        </w:rPr>
        <w:t xml:space="preserve"> son los órganos ejecutores de las políticas del Partido en cada una de sus Entidades Federativas y el Distrito Federal. Los Comités Ejecutivos Estatales </w:t>
      </w:r>
      <w:r>
        <w:rPr>
          <w:rFonts w:ascii="Palatino Linotype" w:eastAsia="Palatino Linotype" w:hAnsi="Palatino Linotype" w:cs="Palatino Linotype"/>
          <w:b/>
          <w:i/>
          <w:sz w:val="22"/>
          <w:szCs w:val="22"/>
          <w:u w:val="single"/>
        </w:rPr>
        <w:t>serán coordinados por el Secretario General del Comité Ejecutivo Estatal</w:t>
      </w:r>
      <w:r>
        <w:rPr>
          <w:rFonts w:ascii="Palatino Linotype" w:eastAsia="Palatino Linotype" w:hAnsi="Palatino Linotype" w:cs="Palatino Linotype"/>
          <w:i/>
          <w:sz w:val="22"/>
          <w:szCs w:val="22"/>
        </w:rPr>
        <w:t xml:space="preserve"> y estarán integrados por las siguientes secretarías: </w:t>
      </w:r>
    </w:p>
    <w:p w:rsidR="0012659E" w:rsidRDefault="00B77A70">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71</w:t>
      </w:r>
      <w:r>
        <w:rPr>
          <w:rFonts w:ascii="Palatino Linotype" w:eastAsia="Palatino Linotype" w:hAnsi="Palatino Linotype" w:cs="Palatino Linotype"/>
          <w:i/>
          <w:sz w:val="22"/>
          <w:szCs w:val="22"/>
        </w:rPr>
        <w:t xml:space="preserve">.- Facultades del Secretario General del Comité Ejecutivo Estatal, en cada una de las entidades federativas y el Distrito Federal: </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 Dirigir al Partido, sus trabajos y coordinar las actividades de sus instancias y órganos directivos y representar legalmente al Partido:</w:t>
      </w:r>
    </w:p>
    <w:p w:rsidR="0012659E" w:rsidRDefault="00B77A70">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entendido, el Secretario General como coordinador y representante del Comité Ejecutivo Estatal esta constreñido a entregar tanto a la Asamblea Estatal y al Consejo Político Estatal informe de las actividades realizadas.</w:t>
      </w:r>
    </w:p>
    <w:p w:rsidR="0012659E" w:rsidRDefault="00B77A7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así que, una vez analizada la naturaleza de jurídica de la documentación requerida por el particular, el Pleno de este Instituto como garante del derecho de acceso a la información pública en términos de la dispuesto por los artículos 13 y 181, penúltimo párrafo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aplica la suplencia de la queja en favor de la (el) hoy recurrente, a fin de considerar que su requerimiento se centra en obtener </w:t>
      </w:r>
      <w:r>
        <w:rPr>
          <w:rFonts w:ascii="Palatino Linotype" w:eastAsia="Palatino Linotype" w:hAnsi="Palatino Linotype" w:cs="Palatino Linotype"/>
          <w:color w:val="000000"/>
        </w:rPr>
        <w:t xml:space="preserve">el informe anual de actividades que presentó el Secretario General del Comité Ejecutivo Estatal ante el Consejo Político Estatal y Asamblea Estatal. </w:t>
      </w: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refirió que los informes que generan las Secretarías que conforman el ente político pueden consultarse en el sitio electrónico </w:t>
      </w:r>
      <w:hyperlink r:id="rId44">
        <w:r>
          <w:rPr>
            <w:rFonts w:ascii="Palatino Linotype" w:eastAsia="Palatino Linotype" w:hAnsi="Palatino Linotype" w:cs="Palatino Linotype"/>
            <w:color w:val="0000FF"/>
            <w:u w:val="single"/>
          </w:rPr>
          <w:t>https://www.ipomex.org.mx/ipo3/lgt/indice/PVERDE/art_92_xxxiii.web</w:t>
        </w:r>
      </w:hyperlink>
      <w:r>
        <w:rPr>
          <w:rFonts w:ascii="Palatino Linotype" w:eastAsia="Palatino Linotype" w:hAnsi="Palatino Linotype" w:cs="Palatino Linotype"/>
          <w:color w:val="000000"/>
        </w:rPr>
        <w:t>.</w:t>
      </w:r>
    </w:p>
    <w:p w:rsidR="0012659E" w:rsidRDefault="0012659E">
      <w:pPr>
        <w:spacing w:line="360" w:lineRule="auto"/>
        <w:jc w:val="both"/>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 procedió a realizar la verificación en el sitio electrónico proporcionado para determinar si en el mismo se encuentra la documentación que atienda el requerimiento del solicitante y se observó la siguiente captura de pantalla.</w:t>
      </w:r>
    </w:p>
    <w:p w:rsidR="0012659E" w:rsidRDefault="0012659E">
      <w:pPr>
        <w:pBdr>
          <w:top w:val="nil"/>
          <w:left w:val="nil"/>
          <w:bottom w:val="nil"/>
          <w:right w:val="nil"/>
          <w:between w:val="nil"/>
        </w:pBdr>
        <w:rPr>
          <w:rFonts w:ascii="Palatino Linotype" w:eastAsia="Palatino Linotype" w:hAnsi="Palatino Linotype" w:cs="Palatino Linotype"/>
          <w:color w:val="000000"/>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326136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srcRect/>
                    <a:stretch>
                      <a:fillRect/>
                    </a:stretch>
                  </pic:blipFill>
                  <pic:spPr>
                    <a:xfrm>
                      <a:off x="0" y="0"/>
                      <a:ext cx="5612130" cy="3261360"/>
                    </a:xfrm>
                    <a:prstGeom prst="rect">
                      <a:avLst/>
                    </a:prstGeom>
                    <a:ln/>
                  </pic:spPr>
                </pic:pic>
              </a:graphicData>
            </a:graphic>
          </wp:inline>
        </w:drawing>
      </w:r>
    </w:p>
    <w:p w:rsidR="0012659E" w:rsidRDefault="0012659E">
      <w:pPr>
        <w:spacing w:line="360" w:lineRule="auto"/>
        <w:jc w:val="both"/>
        <w:rPr>
          <w:rFonts w:ascii="Palatino Linotype" w:eastAsia="Palatino Linotype" w:hAnsi="Palatino Linotype" w:cs="Palatino Linotype"/>
          <w:b/>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imagen que se inserta se observa que el hipervínculo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respuesta dirige directamente al sitio en el que se encuentra el registro de los informes emitidos en los años 2018, 2019, 2020 y 2021; sin embargo, una vez realizada la consulta en los registros correspondiente a cada ejercicio fiscal se observó que en el año 2018 únicamente se encuentra publicado el informe anual de actividades de la Unidad de Transparencia; en el año 2019  se encuentra publicado el </w:t>
      </w:r>
      <w:r>
        <w:rPr>
          <w:rFonts w:ascii="Palatino Linotype" w:eastAsia="Palatino Linotype" w:hAnsi="Palatino Linotype" w:cs="Palatino Linotype"/>
          <w:i/>
        </w:rPr>
        <w:t xml:space="preserve">“ACUSE DE PRESENTACION DEL INFORME TRIMESTRAL (RECURSO LOCAL) </w:t>
      </w:r>
      <w:r>
        <w:rPr>
          <w:rFonts w:ascii="Palatino Linotype" w:eastAsia="Palatino Linotype" w:hAnsi="Palatino Linotype" w:cs="Palatino Linotype"/>
        </w:rPr>
        <w:t xml:space="preserve">correspondiente al tercer trimestre de 2019; así como el informe anual de actividades de la Unidad de Transparencia; y en el año 2020, se observa de igual forma </w:t>
      </w:r>
      <w:r>
        <w:rPr>
          <w:rFonts w:ascii="Palatino Linotype" w:eastAsia="Palatino Linotype" w:hAnsi="Palatino Linotype" w:cs="Palatino Linotype"/>
          <w:i/>
        </w:rPr>
        <w:t xml:space="preserve">ACUSE DE PRESENTACION DEL INFORME TRIMESTRAL (RECURSO LOCAL) </w:t>
      </w:r>
      <w:r>
        <w:rPr>
          <w:rFonts w:ascii="Palatino Linotype" w:eastAsia="Palatino Linotype" w:hAnsi="Palatino Linotype" w:cs="Palatino Linotype"/>
        </w:rPr>
        <w:t xml:space="preserve">correspondiente al tercer trimestre de 2020, y dos informes trimestrales de actividades de la Unidad de Transparencia del Comte Ejecutivo Estatal; por lo tanto, </w:t>
      </w:r>
      <w:r>
        <w:rPr>
          <w:rFonts w:ascii="Palatino Linotype" w:eastAsia="Palatino Linotype" w:hAnsi="Palatino Linotype" w:cs="Palatino Linotype"/>
        </w:rPr>
        <w:lastRenderedPageBreak/>
        <w:t xml:space="preserve">de la respuesta enviada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advierte que en los registros no se encuentra publicada la información solicitada por el particular. </w:t>
      </w:r>
    </w:p>
    <w:p w:rsidR="0012659E" w:rsidRDefault="00B77A7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una vez analizada la naturaleza jurídica de la información y el análisis de los documentos entregados en respuestas sobre el rubro que se estudia, este Órgano Garante determina procedente ordenar la entrega de los informes de actividades presentados por el Secretario General del Comité Ejecutivo Estatal ante el Consejo Político Estatal y a la Asamblea Estatal en los años 2018, 2019 y 2020. </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rPr>
        <w:t xml:space="preserve"> 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(el) recurrente sin menoscabar el derecho a la protección de los datos personales de terceros.</w:t>
      </w:r>
    </w:p>
    <w:p w:rsidR="0012659E" w:rsidRDefault="0012659E">
      <w:pPr>
        <w:spacing w:line="360" w:lineRule="auto"/>
        <w:jc w:val="both"/>
        <w:rPr>
          <w:rFonts w:ascii="Palatino Linotype" w:eastAsia="Palatino Linotype" w:hAnsi="Palatino Linotype" w:cs="Palatino Linotype"/>
        </w:rPr>
      </w:pPr>
    </w:p>
    <w:p w:rsidR="0012659E" w:rsidRDefault="00B77A70">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2659E" w:rsidRDefault="00B77A70">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2659E" w:rsidRDefault="0012659E">
      <w:pPr>
        <w:ind w:left="993" w:right="1041"/>
        <w:jc w:val="both"/>
        <w:rPr>
          <w:rFonts w:ascii="Palatino Linotype" w:eastAsia="Palatino Linotype" w:hAnsi="Palatino Linotype" w:cs="Palatino Linotype"/>
          <w:i/>
          <w:sz w:val="22"/>
          <w:szCs w:val="22"/>
        </w:rPr>
      </w:pP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2659E" w:rsidRDefault="0012659E">
      <w:pPr>
        <w:ind w:left="993" w:right="1041"/>
        <w:jc w:val="both"/>
        <w:rPr>
          <w:rFonts w:ascii="Palatino Linotype" w:eastAsia="Palatino Linotype" w:hAnsi="Palatino Linotype" w:cs="Palatino Linotype"/>
          <w:i/>
          <w:sz w:val="22"/>
          <w:szCs w:val="22"/>
        </w:rPr>
      </w:pPr>
    </w:p>
    <w:p w:rsidR="0012659E" w:rsidRDefault="00B77A70">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2659E" w:rsidRDefault="0012659E">
      <w:pPr>
        <w:ind w:left="993" w:right="1041"/>
        <w:jc w:val="both"/>
        <w:rPr>
          <w:rFonts w:ascii="Palatino Linotype" w:eastAsia="Palatino Linotype" w:hAnsi="Palatino Linotype" w:cs="Palatino Linotype"/>
          <w:b/>
          <w:i/>
          <w:sz w:val="22"/>
          <w:szCs w:val="22"/>
        </w:rPr>
      </w:pP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2659E" w:rsidRDefault="00B77A7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2659E" w:rsidRDefault="0012659E">
      <w:pPr>
        <w:ind w:left="993" w:right="1041"/>
        <w:jc w:val="both"/>
        <w:rPr>
          <w:rFonts w:ascii="Palatino Linotype" w:eastAsia="Palatino Linotype" w:hAnsi="Palatino Linotype" w:cs="Palatino Linotype"/>
          <w:i/>
          <w:sz w:val="22"/>
          <w:szCs w:val="22"/>
        </w:rPr>
      </w:pPr>
    </w:p>
    <w:p w:rsidR="0012659E" w:rsidRDefault="00B77A7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2659E" w:rsidRDefault="0012659E">
      <w:pPr>
        <w:spacing w:line="360" w:lineRule="auto"/>
        <w:ind w:right="51"/>
        <w:jc w:val="both"/>
        <w:rPr>
          <w:rFonts w:ascii="Palatino Linotype" w:eastAsia="Palatino Linotype" w:hAnsi="Palatino Linotype" w:cs="Palatino Linotype"/>
        </w:rPr>
      </w:pPr>
    </w:p>
    <w:p w:rsidR="0012659E" w:rsidRDefault="00B77A70">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2659E" w:rsidRDefault="0012659E">
      <w:pPr>
        <w:spacing w:line="360" w:lineRule="auto"/>
        <w:ind w:right="50"/>
        <w:jc w:val="both"/>
        <w:rPr>
          <w:rFonts w:ascii="Palatino Linotype" w:eastAsia="Palatino Linotype" w:hAnsi="Palatino Linotype" w:cs="Palatino Linotype"/>
        </w:rPr>
      </w:pPr>
    </w:p>
    <w:p w:rsidR="0012659E" w:rsidRDefault="00B77A7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rsidR="0012659E" w:rsidRDefault="0012659E">
      <w:pPr>
        <w:spacing w:line="360" w:lineRule="auto"/>
        <w:ind w:right="51"/>
        <w:jc w:val="both"/>
        <w:rPr>
          <w:rFonts w:ascii="Palatino Linotype" w:eastAsia="Palatino Linotype" w:hAnsi="Palatino Linotype" w:cs="Palatino Linotype"/>
        </w:rPr>
      </w:pP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2659E" w:rsidRDefault="00B77A7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12659E" w:rsidRDefault="0012659E">
      <w:pPr>
        <w:ind w:left="992" w:right="1043"/>
        <w:jc w:val="both"/>
        <w:rPr>
          <w:rFonts w:ascii="Palatino Linotype" w:eastAsia="Palatino Linotype" w:hAnsi="Palatino Linotype" w:cs="Palatino Linotype"/>
          <w:i/>
          <w:sz w:val="22"/>
          <w:szCs w:val="22"/>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2659E" w:rsidRDefault="0012659E">
      <w:pPr>
        <w:spacing w:line="360" w:lineRule="auto"/>
        <w:jc w:val="both"/>
        <w:rPr>
          <w:rFonts w:ascii="Palatino Linotype" w:eastAsia="Palatino Linotype" w:hAnsi="Palatino Linotype" w:cs="Palatino Linotype"/>
        </w:rPr>
      </w:pPr>
    </w:p>
    <w:p w:rsidR="0012659E" w:rsidRDefault="00B77A70">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2659E" w:rsidRDefault="00B77A7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2659E" w:rsidRDefault="00B77A7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w:t>
      </w:r>
      <w:r>
        <w:rPr>
          <w:rFonts w:ascii="Palatino Linotype" w:eastAsia="Palatino Linotype" w:hAnsi="Palatino Linotype" w:cs="Palatino Linotype"/>
        </w:rPr>
        <w:lastRenderedPageBreak/>
        <w:t>la Federación en fecha quince de abril del año dos mil dieciséis, mediante Acuerdo del Consejo Nacional del Sistema Nacional de Transparencia, Acceso a la Información Pública y Protección de Datos Personales, que literalmente expresan:</w:t>
      </w:r>
    </w:p>
    <w:p w:rsidR="0012659E" w:rsidRDefault="0012659E">
      <w:pPr>
        <w:ind w:left="709" w:right="709"/>
        <w:jc w:val="both"/>
        <w:rPr>
          <w:rFonts w:ascii="Palatino Linotype" w:eastAsia="Palatino Linotype" w:hAnsi="Palatino Linotype" w:cs="Palatino Linotype"/>
          <w:b/>
          <w:i/>
          <w:sz w:val="22"/>
          <w:szCs w:val="22"/>
        </w:rPr>
      </w:pPr>
    </w:p>
    <w:p w:rsidR="0012659E" w:rsidRDefault="00B77A70">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CAPÍTULO VIII</w:t>
      </w:r>
    </w:p>
    <w:p w:rsidR="0012659E" w:rsidRDefault="00B77A7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2659E" w:rsidRDefault="00B77A7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659E" w:rsidRDefault="00B77A70">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0"/>
        <w:tblW w:w="768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59"/>
        <w:gridCol w:w="1990"/>
        <w:gridCol w:w="4531"/>
      </w:tblGrid>
      <w:tr w:rsidR="0012659E">
        <w:trPr>
          <w:jc w:val="center"/>
        </w:trPr>
        <w:tc>
          <w:tcPr>
            <w:tcW w:w="1159" w:type="dxa"/>
            <w:tcBorders>
              <w:top w:val="nil"/>
              <w:left w:val="nil"/>
              <w:bottom w:val="single" w:sz="4" w:space="0" w:color="000000"/>
              <w:right w:val="single" w:sz="4" w:space="0" w:color="000000"/>
            </w:tcBorders>
          </w:tcPr>
          <w:p w:rsidR="0012659E" w:rsidRDefault="0012659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2659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2659E" w:rsidRDefault="00B77A70">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2659E" w:rsidRDefault="00B77A7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2659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659E" w:rsidRDefault="0012659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659E" w:rsidRDefault="00B77A70">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2659E" w:rsidRDefault="00B77A70">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2659E" w:rsidRDefault="0012659E">
      <w:pPr>
        <w:spacing w:before="240" w:line="360" w:lineRule="auto"/>
        <w:ind w:right="51"/>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12659E" w:rsidRDefault="0012659E">
      <w:pPr>
        <w:spacing w:line="360" w:lineRule="auto"/>
        <w:ind w:right="51"/>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12659E" w:rsidRDefault="0012659E">
      <w:pPr>
        <w:spacing w:line="360" w:lineRule="auto"/>
        <w:jc w:val="both"/>
        <w:rPr>
          <w:rFonts w:ascii="Palatino Linotype" w:eastAsia="Palatino Linotype" w:hAnsi="Palatino Linotype" w:cs="Palatino Linotype"/>
        </w:rPr>
      </w:pPr>
    </w:p>
    <w:p w:rsidR="0012659E" w:rsidRDefault="00B77A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en consecuencia y en mérito de lo expuesto en líneas anteriores, resultan parcialmente fundadas las razones o motivos de inconformidad hechos valer por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02789/INFOEM/IP/RR/2021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00013/PVERDE/IP/2021</w:t>
      </w:r>
      <w:r>
        <w:rPr>
          <w:rFonts w:ascii="Palatino Linotype" w:eastAsia="Palatino Linotype" w:hAnsi="Palatino Linotype" w:cs="Palatino Linotype"/>
        </w:rPr>
        <w:t>.</w:t>
      </w:r>
    </w:p>
    <w:p w:rsidR="0012659E" w:rsidRDefault="00B77A7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2659E" w:rsidRDefault="00B77A7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12659E" w:rsidRDefault="00B77A7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02789/INFOEM/IP/RR/2021, </w:t>
      </w:r>
      <w:r>
        <w:rPr>
          <w:rFonts w:ascii="Palatino Linotype" w:eastAsia="Palatino Linotype" w:hAnsi="Palatino Linotype" w:cs="Palatino Linotype"/>
        </w:rPr>
        <w:lastRenderedPageBreak/>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w:t>
      </w:r>
      <w:r>
        <w:rPr>
          <w:rFonts w:ascii="Palatino Linotype" w:eastAsia="Palatino Linotype" w:hAnsi="Palatino Linotype" w:cs="Palatino Linotype"/>
        </w:rPr>
        <w:t xml:space="preserve"> y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 haga entrega vía Sistema de Acceso a la Información Mexiquense (SAIMEX), de ser procedente en versión pública, de lo siguiente:</w:t>
      </w:r>
    </w:p>
    <w:p w:rsidR="0012659E" w:rsidRDefault="00B77A7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3" w:name="_heading=h.1fob9te" w:colFirst="0" w:colLast="0"/>
      <w:bookmarkEnd w:id="3"/>
      <w:r>
        <w:rPr>
          <w:rFonts w:ascii="Palatino Linotype" w:eastAsia="Palatino Linotype" w:hAnsi="Palatino Linotype" w:cs="Palatino Linotype"/>
          <w:b/>
          <w:color w:val="000000"/>
        </w:rPr>
        <w:t>Constancias de militancia de los integrantes propietarios y suplentes del Comité Ejecutivo Estatal, Comité de Transparencia, de la Comisión Estatal de Honor y Justicia y del Consejo Político Estatal vigentes al veintiséis de abril de dos mil veintiuno; y,</w:t>
      </w:r>
    </w:p>
    <w:p w:rsidR="0012659E" w:rsidRDefault="00B77A70">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Informes de actividades presentados por el Secretario General del Comité Ejecutivo Estatal ante el Consejo Político Estatal y a la Asamblea Estatal en los años 2018, 2019 y 2020. </w:t>
      </w:r>
    </w:p>
    <w:p w:rsidR="0012659E" w:rsidRDefault="0012659E">
      <w:pPr>
        <w:tabs>
          <w:tab w:val="left" w:pos="8080"/>
        </w:tabs>
        <w:spacing w:line="360" w:lineRule="auto"/>
        <w:ind w:left="851" w:right="616"/>
        <w:jc w:val="both"/>
        <w:rPr>
          <w:rFonts w:ascii="Palatino Linotype" w:eastAsia="Palatino Linotype" w:hAnsi="Palatino Linotype" w:cs="Palatino Linotype"/>
        </w:rPr>
      </w:pPr>
    </w:p>
    <w:p w:rsidR="0012659E" w:rsidRDefault="00B77A70">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w:t>
      </w:r>
    </w:p>
    <w:p w:rsidR="0012659E" w:rsidRDefault="0012659E">
      <w:pPr>
        <w:tabs>
          <w:tab w:val="left" w:pos="8080"/>
        </w:tabs>
        <w:ind w:left="851" w:right="616"/>
        <w:jc w:val="both"/>
        <w:rPr>
          <w:rFonts w:ascii="Palatino Linotype" w:eastAsia="Palatino Linotype" w:hAnsi="Palatino Linotype" w:cs="Palatino Linotype"/>
          <w:i/>
        </w:rPr>
      </w:pPr>
    </w:p>
    <w:p w:rsidR="0012659E" w:rsidRDefault="00B77A7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Responsable de la Unidad de Transparencia del Sujeto Obligado la presente resolución, para que conforme a los artículo 186, último párrafo y 189, párrafo segundo de la Ley de Transparencia y </w:t>
      </w:r>
      <w:r>
        <w:rPr>
          <w:rFonts w:ascii="Palatino Linotype" w:eastAsia="Palatino Linotype" w:hAnsi="Palatino Linotype" w:cs="Palatino Linotype"/>
        </w:rPr>
        <w:lastRenderedPageBreak/>
        <w:t>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2659E" w:rsidRDefault="0012659E">
      <w:pPr>
        <w:spacing w:before="240" w:after="240" w:line="360" w:lineRule="auto"/>
        <w:jc w:val="both"/>
        <w:rPr>
          <w:rFonts w:ascii="Palatino Linotype" w:eastAsia="Palatino Linotype" w:hAnsi="Palatino Linotype" w:cs="Palatino Linotype"/>
        </w:rPr>
      </w:pPr>
    </w:p>
    <w:p w:rsidR="0012659E" w:rsidRDefault="00B77A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GUADALUPE RAMÍREZ PEÑA Y LUIS GUSTAVO PARRA NORIEGA; EN LA CUADRAGÈSIMA TERCERA SESIÓN ORDINARIA </w:t>
      </w:r>
      <w:r>
        <w:rPr>
          <w:rFonts w:ascii="Palatino Linotype" w:eastAsia="Palatino Linotype" w:hAnsi="Palatino Linotype" w:cs="Palatino Linotype"/>
        </w:rPr>
        <w:lastRenderedPageBreak/>
        <w:t>CELEBRADA EL UNO DE DICIEMBRE DE DOS MIL VEINTIUNO, ANTE EL SECRETARIO TÉCNICO DEL PLENO, ALEXIS TAPIA RAMÍREZ.</w:t>
      </w: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rPr>
      </w:pPr>
    </w:p>
    <w:p w:rsidR="0012659E" w:rsidRDefault="0012659E">
      <w:pPr>
        <w:spacing w:before="240" w:after="240" w:line="360" w:lineRule="auto"/>
        <w:jc w:val="both"/>
        <w:rPr>
          <w:rFonts w:ascii="Palatino Linotype" w:eastAsia="Palatino Linotype" w:hAnsi="Palatino Linotype" w:cs="Palatino Linotype"/>
          <w:sz w:val="20"/>
          <w:szCs w:val="20"/>
        </w:rPr>
      </w:pPr>
      <w:bookmarkStart w:id="4" w:name="_heading=h.3znysh7" w:colFirst="0" w:colLast="0"/>
      <w:bookmarkEnd w:id="4"/>
    </w:p>
    <w:sectPr w:rsidR="0012659E">
      <w:headerReference w:type="default" r:id="rId46"/>
      <w:footerReference w:type="default" r:id="rId47"/>
      <w:headerReference w:type="first" r:id="rId48"/>
      <w:footerReference w:type="first" r:id="rId4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6F3" w:rsidRDefault="003B06F3">
      <w:r>
        <w:separator/>
      </w:r>
    </w:p>
  </w:endnote>
  <w:endnote w:type="continuationSeparator" w:id="0">
    <w:p w:rsidR="003B06F3" w:rsidRDefault="003B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E6" w:rsidRDefault="001F50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1B9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1B9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1F50E6" w:rsidRDefault="001F50E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E6" w:rsidRDefault="001F50E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1B9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1B9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1F50E6" w:rsidRDefault="001F50E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6F3" w:rsidRDefault="003B06F3">
      <w:r>
        <w:separator/>
      </w:r>
    </w:p>
  </w:footnote>
  <w:footnote w:type="continuationSeparator" w:id="0">
    <w:p w:rsidR="003B06F3" w:rsidRDefault="003B06F3">
      <w:r>
        <w:continuationSeparator/>
      </w:r>
    </w:p>
  </w:footnote>
  <w:footnote w:id="1">
    <w:p w:rsidR="001F50E6" w:rsidRDefault="001F50E6">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1F50E6" w:rsidRDefault="001F50E6">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1F50E6" w:rsidRDefault="001F50E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1F50E6" w:rsidRDefault="001F50E6">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r>
        <w:rPr>
          <w:rFonts w:ascii="Palatino Linotype" w:eastAsia="Palatino Linotype" w:hAnsi="Palatino Linotype" w:cs="Palatino Linotype"/>
          <w:sz w:val="16"/>
          <w:szCs w:val="16"/>
        </w:rPr>
        <w:tab/>
      </w:r>
    </w:p>
    <w:p w:rsidR="001F50E6" w:rsidRDefault="001F50E6">
      <w:pPr>
        <w:pBdr>
          <w:top w:val="nil"/>
          <w:left w:val="nil"/>
          <w:bottom w:val="nil"/>
          <w:right w:val="nil"/>
          <w:between w:val="nil"/>
        </w:pBdr>
        <w:jc w:val="both"/>
        <w:rPr>
          <w:rFonts w:ascii="Arial" w:eastAsia="Arial" w:hAnsi="Arial" w:cs="Arial"/>
          <w:color w:val="000000"/>
          <w:sz w:val="16"/>
          <w:szCs w:val="16"/>
        </w:rPr>
      </w:pPr>
    </w:p>
  </w:footnote>
  <w:footnote w:id="5">
    <w:p w:rsidR="001F50E6" w:rsidRDefault="001F50E6">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01653/INFOEM/IP/RR/2016 aprobada por Unanimidad de votos en la vigésima quinta sesión ordinaria celebrada el día cuatro (4) de julio de 2016.</w:t>
      </w:r>
    </w:p>
  </w:footnote>
  <w:footnote w:id="6">
    <w:p w:rsidR="001F50E6" w:rsidRDefault="001F50E6">
      <w:pPr>
        <w:jc w:val="both"/>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1F50E6" w:rsidRDefault="001F50E6">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rsidR="001F50E6" w:rsidRDefault="001F50E6">
      <w:pPr>
        <w:pBdr>
          <w:top w:val="nil"/>
          <w:left w:val="nil"/>
          <w:bottom w:val="nil"/>
          <w:right w:val="nil"/>
          <w:between w:val="nil"/>
        </w:pBdr>
        <w:jc w:val="both"/>
        <w:rPr>
          <w:rFonts w:ascii="Calibri" w:eastAsia="Calibri" w:hAnsi="Calibri" w:cs="Calibri"/>
          <w:i/>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eastAsia="Palatino Linotype" w:hAnsi="Palatino Linotype" w:cs="Palatino Linotype"/>
          <w:i/>
          <w:color w:val="000000"/>
          <w:sz w:val="18"/>
          <w:szCs w:val="18"/>
        </w:rPr>
        <w:t>El derecho de acceso a la información en el marco jurídico interamericano.</w:t>
      </w:r>
      <w:r>
        <w:rPr>
          <w:rFonts w:ascii="Palatino Linotype" w:eastAsia="Palatino Linotype" w:hAnsi="Palatino Linotype" w:cs="Palatino Linotype"/>
          <w:color w:val="000000"/>
          <w:sz w:val="18"/>
          <w:szCs w:val="18"/>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E6" w:rsidRDefault="001F50E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1F50E6">
      <w:tc>
        <w:tcPr>
          <w:tcW w:w="2489" w:type="dxa"/>
          <w:shd w:val="clear" w:color="auto" w:fill="auto"/>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F50E6" w:rsidRDefault="001F50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02789/INFOEM/IP/RR/2021</w:t>
          </w:r>
        </w:p>
      </w:tc>
    </w:tr>
    <w:tr w:rsidR="001F50E6">
      <w:trPr>
        <w:trHeight w:val="228"/>
      </w:trPr>
      <w:tc>
        <w:tcPr>
          <w:tcW w:w="2489" w:type="dxa"/>
          <w:shd w:val="clear" w:color="auto" w:fill="auto"/>
          <w:vAlign w:val="center"/>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F50E6" w:rsidRDefault="001F50E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Verde Ecologista de México</w:t>
          </w:r>
        </w:p>
      </w:tc>
    </w:tr>
    <w:tr w:rsidR="001F50E6">
      <w:tc>
        <w:tcPr>
          <w:tcW w:w="2489" w:type="dxa"/>
          <w:shd w:val="clear" w:color="auto" w:fill="auto"/>
          <w:vAlign w:val="center"/>
        </w:tcPr>
        <w:p w:rsidR="001F50E6" w:rsidRDefault="001F50E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F50E6" w:rsidRDefault="001F50E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F50E6" w:rsidRDefault="001F50E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E6" w:rsidRDefault="001F50E6">
    <w:pPr>
      <w:widowControl w:val="0"/>
      <w:pBdr>
        <w:top w:val="nil"/>
        <w:left w:val="nil"/>
        <w:bottom w:val="nil"/>
        <w:right w:val="nil"/>
        <w:between w:val="nil"/>
      </w:pBdr>
      <w:spacing w:line="276" w:lineRule="auto"/>
      <w:rPr>
        <w:rFonts w:ascii="Calibri" w:eastAsia="Calibri" w:hAnsi="Calibri" w:cs="Calibri"/>
        <w:i/>
        <w:color w:val="000000"/>
        <w:sz w:val="20"/>
        <w:szCs w:val="20"/>
      </w:rPr>
    </w:pPr>
  </w:p>
  <w:tbl>
    <w:tblPr>
      <w:tblStyle w:val="a2"/>
      <w:tblW w:w="5953" w:type="dxa"/>
      <w:tblInd w:w="3261" w:type="dxa"/>
      <w:tblLayout w:type="fixed"/>
      <w:tblLook w:val="0400" w:firstRow="0" w:lastRow="0" w:firstColumn="0" w:lastColumn="0" w:noHBand="0" w:noVBand="1"/>
    </w:tblPr>
    <w:tblGrid>
      <w:gridCol w:w="2551"/>
      <w:gridCol w:w="3402"/>
    </w:tblGrid>
    <w:tr w:rsidR="001F50E6">
      <w:tc>
        <w:tcPr>
          <w:tcW w:w="2551" w:type="dxa"/>
          <w:shd w:val="clear" w:color="auto" w:fill="auto"/>
          <w:vAlign w:val="center"/>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1F50E6" w:rsidRDefault="001F50E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02789/INFOEM/IP/RR/2021</w:t>
          </w:r>
        </w:p>
      </w:tc>
    </w:tr>
    <w:tr w:rsidR="001F50E6">
      <w:trPr>
        <w:trHeight w:val="130"/>
      </w:trPr>
      <w:tc>
        <w:tcPr>
          <w:tcW w:w="2551" w:type="dxa"/>
          <w:shd w:val="clear" w:color="auto" w:fill="auto"/>
          <w:vAlign w:val="center"/>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1F50E6" w:rsidRDefault="001F50E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w:t>
          </w:r>
        </w:p>
      </w:tc>
    </w:tr>
    <w:tr w:rsidR="001F50E6">
      <w:trPr>
        <w:trHeight w:val="228"/>
      </w:trPr>
      <w:tc>
        <w:tcPr>
          <w:tcW w:w="2551" w:type="dxa"/>
          <w:shd w:val="clear" w:color="auto" w:fill="auto"/>
          <w:vAlign w:val="center"/>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1F50E6" w:rsidRDefault="001F50E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Partido Verde Ecologista de México</w:t>
          </w:r>
        </w:p>
      </w:tc>
    </w:tr>
    <w:tr w:rsidR="001F50E6">
      <w:tc>
        <w:tcPr>
          <w:tcW w:w="2551" w:type="dxa"/>
          <w:shd w:val="clear" w:color="auto" w:fill="auto"/>
          <w:vAlign w:val="center"/>
        </w:tcPr>
        <w:p w:rsidR="001F50E6" w:rsidRDefault="001F50E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1F50E6" w:rsidRDefault="001F50E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F50E6" w:rsidRDefault="001F50E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-1170939</wp:posOffset>
          </wp:positionV>
          <wp:extent cx="7809865" cy="10165715"/>
          <wp:effectExtent l="0" t="0" r="0" b="0"/>
          <wp:wrapNone/>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20B60"/>
    <w:multiLevelType w:val="multilevel"/>
    <w:tmpl w:val="478E9C2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F57334"/>
    <w:multiLevelType w:val="multilevel"/>
    <w:tmpl w:val="E1D8B52E"/>
    <w:lvl w:ilvl="0">
      <w:start w:val="1"/>
      <w:numFmt w:val="lowerLetter"/>
      <w:pStyle w:val="Listaconvietas3"/>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48B87BCB"/>
    <w:multiLevelType w:val="multilevel"/>
    <w:tmpl w:val="BF940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9E"/>
    <w:rsid w:val="000A1D83"/>
    <w:rsid w:val="0012659E"/>
    <w:rsid w:val="001F50E6"/>
    <w:rsid w:val="00261B9D"/>
    <w:rsid w:val="003B06F3"/>
    <w:rsid w:val="00487DD6"/>
    <w:rsid w:val="00B77A70"/>
    <w:rsid w:val="00F46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4FDAA-3FC8-46BD-B8A3-1D3926E9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0.png"/><Relationship Id="rId21" Type="http://schemas.openxmlformats.org/officeDocument/2006/relationships/image" Target="media/image13.png"/><Relationship Id="rId34" Type="http://schemas.openxmlformats.org/officeDocument/2006/relationships/hyperlink" Target="https://www.ipomex.org.mx/ipo3/lgt/indice/PVERDE/art_92_xliii_c/3.web" TargetMode="External"/><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ipomex.org.mx/ipo3/lgt/indice/PVERDE/art_92_vii/3.web" TargetMode="External"/><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ipomex.org.mx/ipo3/lgt/indice/PVERDE/art_92_xxxiii.web" TargetMode="External"/><Relationship Id="rId4" Type="http://schemas.openxmlformats.org/officeDocument/2006/relationships/settings" Target="settings.xml"/><Relationship Id="rId9" Type="http://schemas.openxmlformats.org/officeDocument/2006/relationships/hyperlink" Target="https://www.ipomex.org.mx/ipo3/lgt/indice/PVERDE/art_92_vii/3.web"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www.ipomex.org.mx/ipo3/lgt/indice/PVERDE/art_92_vii/3.web"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JSUta+RYNPcTSukJlR9EHk8hQ==">AMUW2mUzCP3ZNHDtMiDZtfZ2SDCJMPQo5mOjcYIFY7zsTyVF+ng1JGb3pyHqyth1FLdvwFnkObOC9Jl1IESs2f+uUPtDS4JMnJqPnMzlf8Bom3Pxaqioo6B4AzyVPk4NgfBIk37PTFsgeUZ59XeKtOkWr7S107or6jdOcdy9H+mhwGwGqqUFE6SgcJXysf06DikMgWZfLEiZ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15007</Words>
  <Characters>82543</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4</cp:revision>
  <dcterms:created xsi:type="dcterms:W3CDTF">2021-12-10T19:16:00Z</dcterms:created>
  <dcterms:modified xsi:type="dcterms:W3CDTF">2021-12-16T18:07:00Z</dcterms:modified>
</cp:coreProperties>
</file>