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ocho de diciembre del dos mil veintiuno</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 </w:t>
      </w:r>
      <w:r w:rsidDel="00000000" w:rsidR="00000000" w:rsidRPr="00000000">
        <w:rPr>
          <w:rFonts w:ascii="Palatino Linotype" w:cs="Palatino Linotype" w:eastAsia="Palatino Linotype" w:hAnsi="Palatino Linotype"/>
          <w:rtl w:val="0"/>
        </w:rPr>
        <w:t xml:space="preserve">el expediente relativo al recurso de revisión </w:t>
      </w:r>
      <w:r w:rsidDel="00000000" w:rsidR="00000000" w:rsidRPr="00000000">
        <w:rPr>
          <w:rFonts w:ascii="Palatino Linotype" w:cs="Palatino Linotype" w:eastAsia="Palatino Linotype" w:hAnsi="Palatino Linotype"/>
          <w:b w:val="1"/>
          <w:rtl w:val="0"/>
        </w:rPr>
        <w:t xml:space="preserve">05409/INFOEM/IP/RR/2021</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Xxxxxxx Xxxxxxxxx Xxxxxxxxx</w:t>
      </w:r>
      <w:r w:rsidDel="00000000" w:rsidR="00000000" w:rsidRPr="00000000">
        <w:rPr>
          <w:rFonts w:ascii="Palatino Linotype" w:cs="Palatino Linotype" w:eastAsia="Palatino Linotype" w:hAnsi="Palatino Linotype"/>
          <w:rtl w:val="0"/>
        </w:rPr>
        <w:t xml:space="preserve">, en lo sucesivo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falta de respuesta a la solicitud de información con número de folio </w:t>
      </w:r>
      <w:r w:rsidDel="00000000" w:rsidR="00000000" w:rsidRPr="00000000">
        <w:rPr>
          <w:rFonts w:ascii="Palatino Linotype" w:cs="Palatino Linotype" w:eastAsia="Palatino Linotype" w:hAnsi="Palatino Linotype"/>
          <w:b w:val="1"/>
          <w:rtl w:val="0"/>
        </w:rPr>
        <w:t xml:space="preserve">00090/FELIPRO/IP/2021,</w:t>
      </w:r>
      <w:r w:rsidDel="00000000" w:rsidR="00000000" w:rsidRPr="00000000">
        <w:rPr>
          <w:rFonts w:ascii="Palatino Linotype" w:cs="Palatino Linotype" w:eastAsia="Palatino Linotype" w:hAnsi="Palatino Linotype"/>
          <w:rtl w:val="0"/>
        </w:rPr>
        <w:t xml:space="preserve"> por parte del </w:t>
      </w:r>
      <w:r w:rsidDel="00000000" w:rsidR="00000000" w:rsidRPr="00000000">
        <w:rPr>
          <w:rFonts w:ascii="Palatino Linotype" w:cs="Palatino Linotype" w:eastAsia="Palatino Linotype" w:hAnsi="Palatino Linotype"/>
          <w:b w:val="1"/>
          <w:rtl w:val="0"/>
        </w:rPr>
        <w:t xml:space="preserve">Ayuntamiento de San Felipe del Progreso</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 siguiente.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077"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once de octubre del dos mil veintiuno,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información pública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7" w:right="1043" w:firstLine="0"/>
        <w:jc w:val="both"/>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1"/>
          <w:szCs w:val="21"/>
          <w:u w:val="none"/>
          <w:shd w:fill="auto" w:val="clear"/>
          <w:vertAlign w:val="baseline"/>
          <w:rtl w:val="0"/>
        </w:rPr>
        <w:t xml:space="preserve">“¿Cuáles son las fuentes que abastecen de agua a San Felipe del Progreso? ¿Hay horarios establecidos para suministra el agua en San Felipe del Progreso? ¿Qué costo tiene el suministro de agua en San Felipe del Progreso? ¿Cuánto pagan los usuarios del servicio y con qué periodicidad? ¿A cargo de quién está el servicio de distribución y suministro del agua en San Felipe del Progreso? ¿El servicio de Agua potable, alcantarillado y saneamiento se realiza a través de contratación pública con empresas privadas? ¿Cómo se realiza el control de la calidad del agua potable que se suministra en San Felipe del Progreso? ¿Cuál es el tratamiento que se da a las aguas residuales en San Felipe del Progreso? ¿El Sistema Municipal de la prestación de los servicios de Agua Potable, Alcantarillado y Saneamiento de San Felipe del Progreso gestiona una red de drenaje y alcantarillado sanitario adecuado?¿Por qué? ¿Qué ordenamientos regulan el Sistema Municipal de la prestación de los servicios de Agua Potable, Alcantarillado y Saneamiento de San Felipe del Progreso?” (Sic)</w:t>
      </w:r>
    </w:p>
    <w:p w:rsidR="00000000" w:rsidDel="00000000" w:rsidP="00000000" w:rsidRDefault="00000000" w:rsidRPr="00000000" w14:paraId="00000006">
      <w:pPr>
        <w:ind w:right="1043"/>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para la entrega de la información: </w:t>
      </w:r>
      <w:r w:rsidDel="00000000" w:rsidR="00000000" w:rsidRPr="00000000">
        <w:rPr>
          <w:rFonts w:ascii="Palatino Linotype" w:cs="Palatino Linotype" w:eastAsia="Palatino Linotype" w:hAnsi="Palatino Linotype"/>
          <w:rtl w:val="0"/>
        </w:rPr>
        <w:t xml:space="preserve">a través del 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De las constancias que obran en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no emitió respuesta a la solicitud de información formulada por el hoy recurrente.</w:t>
      </w:r>
      <w:r w:rsidDel="00000000" w:rsidR="00000000" w:rsidRPr="00000000">
        <w:rPr>
          <w:rtl w:val="0"/>
        </w:rPr>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el solicitante con la falta de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interpuso recurso de revisión a través del SAIMEX en fecha cinco de noviembre del año dos mil veintiuno, expresando lo siguiente:</w:t>
      </w:r>
    </w:p>
    <w:p w:rsidR="00000000" w:rsidDel="00000000" w:rsidP="00000000" w:rsidRDefault="00000000" w:rsidRPr="00000000" w14:paraId="0000000A">
      <w:pPr>
        <w:spacing w:line="36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1"/>
          <w:szCs w:val="21"/>
          <w:u w:val="none"/>
          <w:shd w:fill="auto" w:val="clear"/>
          <w:vertAlign w:val="baseline"/>
          <w:rtl w:val="0"/>
        </w:rPr>
        <w:t xml:space="preserve">“Solicitud de información 00090/FELIPRO/IP/2021: ¿Cuáles son las fuentes que abastecen de agua a San Felipe del Progreso? ¿Hay horarios establecidos para suministra el agua en San Felipe del Progreso? ¿Qué costo tiene el suministro de agua en San Felipe del Progreso? ¿Cuánto pagan los usuarios del servicio y con qué periodicidad? ¿A cargo de quién está el servicio de distribución y suministro del agua en San Felipe del Progreso? ¿El servicio de Agua potable, alcantarillado y saneamiento se realiza a través de contratación pública con empresas privadas? ¿Cómo se realiza el control de la calidad del agua potable que se suministra en San Felipe del Progreso? ¿Cuál es el tratamiento que se da a las aguas residuales en San Felipe del Progreso? ¿El Sistema Municipal de la prestación de los servicios de Agua Potable, Alcantarillado y Saneamiento de San Felipe del Progreso gestiona una red de drenaje y alcantarillado sanitario adecuado?¿Por qué? ¿Qué ordenamientos regulan el Sistema Municipal de la prestación de los servicios de Agua Potable, Alcantarillado y Saneamiento de San Felipe del Progreso?” (Sic)</w:t>
      </w:r>
    </w:p>
    <w:p w:rsidR="00000000" w:rsidDel="00000000" w:rsidP="00000000" w:rsidRDefault="00000000" w:rsidRPr="00000000" w14:paraId="0000000C">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Motivos de inconformidad.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“No hubo repuesta alguna”(Sic)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Énfasis añadido.</w:t>
      </w:r>
    </w:p>
    <w:p w:rsidR="00000000" w:rsidDel="00000000" w:rsidP="00000000" w:rsidRDefault="00000000" w:rsidRPr="00000000" w14:paraId="0000000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w:t>
      </w:r>
      <w:r w:rsidDel="00000000" w:rsidR="00000000" w:rsidRPr="00000000">
        <w:rPr>
          <w:rFonts w:ascii="Palatino Linotype" w:cs="Palatino Linotype" w:eastAsia="Palatino Linotype" w:hAnsi="Palatino Linotype"/>
          <w:highlight w:val="white"/>
          <w:rtl w:val="0"/>
        </w:rPr>
        <w:t xml:space="preserve">de la Ley Transparencia y Acceso a la Información Pública</w:t>
      </w:r>
      <w:r w:rsidDel="00000000" w:rsidR="00000000" w:rsidRPr="00000000">
        <w:rPr>
          <w:rFonts w:ascii="Palatino Linotype" w:cs="Palatino Linotype" w:eastAsia="Palatino Linotype" w:hAnsi="Palatino Linotype"/>
          <w:rtl w:val="0"/>
        </w:rPr>
        <w:t xml:space="preserve">, el recurso de revisión número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sz w:val="23"/>
          <w:szCs w:val="23"/>
          <w:rtl w:val="0"/>
        </w:rPr>
        <w:t xml:space="preserve">05409/INFOEM/IP/RR/2021 </w:t>
      </w:r>
      <w:r w:rsidDel="00000000" w:rsidR="00000000" w:rsidRPr="00000000">
        <w:rPr>
          <w:rFonts w:ascii="Palatino Linotype" w:cs="Palatino Linotype" w:eastAsia="Palatino Linotype" w:hAnsi="Palatino Linotype"/>
          <w:rtl w:val="0"/>
        </w:rPr>
        <w:t xml:space="preserve">fue turnado en fecha cinco de noviembre de dos mil veintiuno a la </w:t>
      </w:r>
      <w:r w:rsidDel="00000000" w:rsidR="00000000" w:rsidRPr="00000000">
        <w:rPr>
          <w:rFonts w:ascii="Palatino Linotype" w:cs="Palatino Linotype" w:eastAsia="Palatino Linotype" w:hAnsi="Palatino Linotype"/>
          <w:b w:val="1"/>
          <w:rtl w:val="0"/>
        </w:rPr>
        <w:t xml:space="preserve">Comisionada Ponente Guadalupe Ramírez Peña</w:t>
      </w:r>
      <w:r w:rsidDel="00000000" w:rsidR="00000000" w:rsidRPr="00000000">
        <w:rPr>
          <w:rFonts w:ascii="Palatino Linotype" w:cs="Palatino Linotype" w:eastAsia="Palatino Linotype" w:hAnsi="Palatino Linotype"/>
          <w:rtl w:val="0"/>
        </w:rPr>
        <w:t xml:space="preserve">; a efecto de presentar al Pleno el proyecto de resolución correspondiente.</w:t>
      </w:r>
    </w:p>
    <w:p w:rsidR="00000000" w:rsidDel="00000000" w:rsidP="00000000" w:rsidRDefault="00000000" w:rsidRPr="00000000" w14:paraId="0000001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w:t>
      </w:r>
      <w:r w:rsidDel="00000000" w:rsidR="00000000" w:rsidRPr="00000000">
        <w:rPr>
          <w:rFonts w:ascii="Palatino Linotype" w:cs="Palatino Linotype" w:eastAsia="Palatino Linotype" w:hAnsi="Palatino Linotype"/>
          <w:rtl w:val="0"/>
        </w:rPr>
        <w:t xml:space="preserve">En fecha diez de noviembre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 </w:t>
      </w:r>
      <w:r w:rsidDel="00000000" w:rsidR="00000000" w:rsidRPr="00000000">
        <w:rPr>
          <w:rFonts w:ascii="Palatino Linotype" w:cs="Palatino Linotype" w:eastAsia="Palatino Linotype" w:hAnsi="Palatino Linotype"/>
          <w:rtl w:val="0"/>
        </w:rPr>
        <w:t xml:space="preserve">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 rindió su informe justificado, del mismo modo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omitió realizar manifestaciones.</w:t>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Cierre de Instrucción. </w:t>
      </w:r>
      <w:r w:rsidDel="00000000" w:rsidR="00000000" w:rsidRPr="00000000">
        <w:rPr>
          <w:rFonts w:ascii="Palatino Linotype" w:cs="Palatino Linotype" w:eastAsia="Palatino Linotype" w:hAnsi="Palatino Linotype"/>
          <w:rtl w:val="0"/>
        </w:rPr>
        <w:t xml:space="preserve">En fecha veinticinco de noviembre del año dos mil veintiuno,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 O N S I D E R A N D O:</w:t>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w:t>
      </w:r>
      <w:r w:rsidDel="00000000" w:rsidR="00000000" w:rsidRPr="00000000">
        <w:rPr>
          <w:rFonts w:ascii="Palatino Linotype" w:cs="Palatino Linotype" w:eastAsia="Palatino Linotype" w:hAnsi="Palatino Linotype"/>
          <w:rtl w:val="0"/>
        </w:rPr>
        <w:t xml:space="preserve">Es de precisar que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describe el mecanismo de procedencia de los recursos de revisión, como se dispone en los artículos 163 y 166, del tenor literal siguiente: </w:t>
      </w:r>
    </w:p>
    <w:p w:rsidR="00000000" w:rsidDel="00000000" w:rsidP="00000000" w:rsidRDefault="00000000" w:rsidRPr="00000000" w14:paraId="00000016">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Artículo 163. </w:t>
      </w:r>
      <w:r w:rsidDel="00000000" w:rsidR="00000000" w:rsidRPr="00000000">
        <w:rPr>
          <w:rFonts w:ascii="Palatino Linotype" w:cs="Palatino Linotype" w:eastAsia="Palatino Linotype" w:hAnsi="Palatino Linotype"/>
          <w:i w:val="1"/>
          <w:sz w:val="21"/>
          <w:szCs w:val="21"/>
          <w:rtl w:val="0"/>
        </w:rPr>
        <w:t xml:space="preserve">La Unidad de Transparencia deberá notificar la respuesta a la solicitud al interesado en el menor tiempo posible, que no podrá exceder de quince días hábiles, contados a partir del día siguiente a la presentación de aquélla. </w:t>
      </w:r>
    </w:p>
    <w:p w:rsidR="00000000" w:rsidDel="00000000" w:rsidP="00000000" w:rsidRDefault="00000000" w:rsidRPr="00000000" w14:paraId="00000017">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18">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Artículo 166.-</w:t>
      </w: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19">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Cuando el sujeto obligado no entregue la respuesta a la solicitud dentro del plazo previsto en la Ley, la solicitud se entenderá negada y el solicitante podrá interponer el recurso de revisión previsto en este ordenamiento.</w:t>
      </w:r>
    </w:p>
    <w:p w:rsidR="00000000" w:rsidDel="00000000" w:rsidP="00000000" w:rsidRDefault="00000000" w:rsidRPr="00000000" w14:paraId="0000001A">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1B">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(Énfasis añadido)</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Derivado de lo anterior, se constituye lo que en la doctrina se conoce como negativa ficta, figura jurídica cuya esencia consiste en atribuir un efecto negativo al silencio de la autoridad administrativa frente a las instancias y solicitudes que hagan los particulares.</w:t>
      </w:r>
      <w:r w:rsidDel="00000000" w:rsidR="00000000" w:rsidRPr="00000000">
        <w:rPr>
          <w:rtl w:val="0"/>
        </w:rPr>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su parte, el artículo 178 del citado ordenamiento, establece:</w:t>
      </w:r>
      <w:r w:rsidDel="00000000" w:rsidR="00000000" w:rsidRPr="00000000">
        <w:rPr>
          <w:rtl w:val="0"/>
        </w:rPr>
      </w:r>
    </w:p>
    <w:p w:rsidR="00000000" w:rsidDel="00000000" w:rsidP="00000000" w:rsidRDefault="00000000" w:rsidRPr="00000000" w14:paraId="0000001F">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Artículo 178. </w:t>
      </w:r>
      <w:r w:rsidDel="00000000" w:rsidR="00000000" w:rsidRPr="00000000">
        <w:rPr>
          <w:rFonts w:ascii="Palatino Linotype" w:cs="Palatino Linotype" w:eastAsia="Palatino Linotype" w:hAnsi="Palatino Linotype"/>
          <w:i w:val="1"/>
          <w:sz w:val="21"/>
          <w:szCs w:val="21"/>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Del="00000000" w:rsidR="00000000" w:rsidRPr="00000000">
        <w:rPr>
          <w:rFonts w:ascii="Palatino Linotype" w:cs="Palatino Linotype" w:eastAsia="Palatino Linotype" w:hAnsi="Palatino Linotype"/>
          <w:b w:val="1"/>
          <w:i w:val="1"/>
          <w:sz w:val="21"/>
          <w:szCs w:val="21"/>
          <w:rtl w:val="0"/>
        </w:rPr>
        <w:t xml:space="preserve">.”</w:t>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el recurso de revisión se ha de interponer dentro del plazo de quince días hábiles, a partir de la fecha en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negativa ficta constituye una presunción legal, en el entendido de que donde no hubo respuesta por parte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r w:rsidDel="00000000" w:rsidR="00000000" w:rsidRPr="00000000">
        <w:rPr>
          <w:rtl w:val="0"/>
        </w:rPr>
      </w:r>
    </w:p>
    <w:p w:rsidR="00000000" w:rsidDel="00000000" w:rsidP="00000000" w:rsidRDefault="00000000" w:rsidRPr="00000000" w14:paraId="00000024">
      <w:pPr>
        <w:spacing w:after="0" w:lineRule="auto"/>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1"/>
          <w:szCs w:val="21"/>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rsidR="00000000" w:rsidDel="00000000" w:rsidP="00000000" w:rsidRDefault="00000000" w:rsidRPr="00000000" w14:paraId="00000025">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6">
      <w:pPr>
        <w:spacing w:after="240" w:before="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Del="00000000" w:rsidR="00000000" w:rsidRPr="00000000">
        <w:rPr>
          <w:rFonts w:ascii="Palatino Linotype" w:cs="Palatino Linotype" w:eastAsia="Palatino Linotype" w:hAnsi="Palatino Linotype"/>
          <w:b w:val="1"/>
          <w:rtl w:val="0"/>
        </w:rPr>
        <w:t xml:space="preserve">EL SAIMEX.  </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000000" w:rsidDel="00000000" w:rsidP="00000000" w:rsidRDefault="00000000" w:rsidRPr="00000000" w14:paraId="00000028">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Artículo 179. </w:t>
      </w:r>
      <w:r w:rsidDel="00000000" w:rsidR="00000000" w:rsidRPr="00000000">
        <w:rPr>
          <w:rFonts w:ascii="Palatino Linotype" w:cs="Palatino Linotype" w:eastAsia="Palatino Linotype" w:hAnsi="Palatino Linotype"/>
          <w:i w:val="1"/>
          <w:sz w:val="21"/>
          <w:szCs w:val="21"/>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29">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2A">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VII. </w:t>
      </w:r>
      <w:r w:rsidDel="00000000" w:rsidR="00000000" w:rsidRPr="00000000">
        <w:rPr>
          <w:rFonts w:ascii="Palatino Linotype" w:cs="Palatino Linotype" w:eastAsia="Palatino Linotype" w:hAnsi="Palatino Linotype"/>
          <w:i w:val="1"/>
          <w:sz w:val="21"/>
          <w:szCs w:val="21"/>
          <w:rtl w:val="0"/>
        </w:rPr>
        <w:t xml:space="preserve">La falta de respuesta a una solicitud de acceso a la información;</w:t>
      </w:r>
    </w:p>
    <w:p w:rsidR="00000000" w:rsidDel="00000000" w:rsidP="00000000" w:rsidRDefault="00000000" w:rsidRPr="00000000" w14:paraId="0000002B">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w:t>
      </w: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2C">
      <w:pPr>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este asunto se actualiza la hipótesis jurídica citada, en atención a que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combate falta de trámite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y expresa motivos de inconformidad en contra de ella.</w:t>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precepto legal citado, establece como supuesto de procedencia del recurso de revisión, en aquellos casos en que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estime negado el acceso a la información por la falta de respuesta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luego, en este asunto se actualiza la hipótesis jurídica citada, en atención a que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combate falta de trámite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y expresa motivos de inconformidad en contra de ella.</w:t>
      </w:r>
    </w:p>
    <w:p w:rsidR="00000000" w:rsidDel="00000000" w:rsidP="00000000" w:rsidRDefault="00000000" w:rsidRPr="00000000" w14:paraId="0000002F">
      <w:pPr>
        <w:tabs>
          <w:tab w:val="left" w:pos="8647"/>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r w:rsidDel="00000000" w:rsidR="00000000" w:rsidRPr="00000000">
        <w:rPr>
          <w:rtl w:val="0"/>
        </w:rPr>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Una vez determinada la vía sobre la que versará el presente recurso, y previa revisión del expediente del recurso de revisión materia de la presente resolución, se advierte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 dio respuesta a la solicitud de información planteada por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lo que se traduce como la configuración de la </w:t>
      </w:r>
      <w:r w:rsidDel="00000000" w:rsidR="00000000" w:rsidRPr="00000000">
        <w:rPr>
          <w:rFonts w:ascii="Palatino Linotype" w:cs="Palatino Linotype" w:eastAsia="Palatino Linotype" w:hAnsi="Palatino Linotype"/>
          <w:b w:val="1"/>
          <w:rtl w:val="0"/>
        </w:rPr>
        <w:t xml:space="preserve">NEGATIVA FICTA</w:t>
      </w:r>
      <w:r w:rsidDel="00000000" w:rsidR="00000000" w:rsidRPr="00000000">
        <w:rPr>
          <w:rFonts w:ascii="Palatino Linotype" w:cs="Palatino Linotype" w:eastAsia="Palatino Linotype" w:hAnsi="Palatino Linotype"/>
          <w:rtl w:val="0"/>
        </w:rPr>
        <w:t xml:space="preserve">, situación que demuestra la existencia del acto impugnado y procedencia del motivo de inconformidad, que en términos generales consistente en que el Sujeto Obligado no emitió respuesta a la solicitud </w:t>
      </w:r>
      <w:r w:rsidDel="00000000" w:rsidR="00000000" w:rsidRPr="00000000">
        <w:rPr>
          <w:rFonts w:ascii="Palatino Linotype" w:cs="Palatino Linotype" w:eastAsia="Palatino Linotype" w:hAnsi="Palatino Linotype"/>
          <w:b w:val="1"/>
          <w:rtl w:val="0"/>
        </w:rPr>
        <w:t xml:space="preserve">00090/FELIPRO/IP/2021,</w:t>
      </w:r>
      <w:r w:rsidDel="00000000" w:rsidR="00000000" w:rsidRPr="00000000">
        <w:rPr>
          <w:rFonts w:ascii="Palatino Linotype" w:cs="Palatino Linotype" w:eastAsia="Palatino Linotype" w:hAnsi="Palatino Linotype"/>
          <w:rtl w:val="0"/>
        </w:rPr>
        <w:t xml:space="preserve"> dentro del plazo legal previsto para ello.</w:t>
      </w:r>
    </w:p>
    <w:p w:rsidR="00000000" w:rsidDel="00000000" w:rsidP="00000000" w:rsidRDefault="00000000" w:rsidRPr="00000000" w14:paraId="00000031">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32">
      <w:pPr>
        <w:tabs>
          <w:tab w:val="left" w:pos="709"/>
        </w:tabs>
        <w:ind w:left="851" w:right="85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3">
      <w:pPr>
        <w:tabs>
          <w:tab w:val="left" w:pos="709"/>
        </w:tabs>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1"/>
          <w:szCs w:val="21"/>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34">
      <w:pPr>
        <w:tabs>
          <w:tab w:val="left" w:pos="709"/>
        </w:tabs>
        <w:ind w:left="851" w:right="851" w:firstLine="0"/>
        <w:jc w:val="both"/>
        <w:rPr>
          <w:rFonts w:ascii="Palatino Linotype" w:cs="Palatino Linotype" w:eastAsia="Palatino Linotype" w:hAnsi="Palatino Linotype"/>
          <w:b w:val="1"/>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35">
      <w:pPr>
        <w:tabs>
          <w:tab w:val="left" w:pos="709"/>
        </w:tabs>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1"/>
          <w:szCs w:val="21"/>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36">
      <w:pPr>
        <w:tabs>
          <w:tab w:val="left" w:pos="709"/>
        </w:tabs>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37">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“Artículo 6o.</w:t>
      </w:r>
      <w:r w:rsidDel="00000000" w:rsidR="00000000" w:rsidRPr="00000000">
        <w:rPr>
          <w:rtl w:val="0"/>
        </w:rPr>
      </w:r>
    </w:p>
    <w:p w:rsidR="00000000" w:rsidDel="00000000" w:rsidP="00000000" w:rsidRDefault="00000000" w:rsidRPr="00000000" w14:paraId="00000038">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39">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1"/>
          <w:szCs w:val="21"/>
          <w:u w:val="single"/>
          <w:rtl w:val="0"/>
        </w:rPr>
        <w:t xml:space="preserve">las entidades federativas</w:t>
      </w:r>
      <w:r w:rsidDel="00000000" w:rsidR="00000000" w:rsidRPr="00000000">
        <w:rPr>
          <w:rFonts w:ascii="Palatino Linotype" w:cs="Palatino Linotype" w:eastAsia="Palatino Linotype" w:hAnsi="Palatino Linotype"/>
          <w:b w:val="1"/>
          <w:i w:val="1"/>
          <w:sz w:val="21"/>
          <w:szCs w:val="21"/>
          <w:rtl w:val="0"/>
        </w:rPr>
        <w:t xml:space="preserve">,</w:t>
      </w:r>
      <w:r w:rsidDel="00000000" w:rsidR="00000000" w:rsidRPr="00000000">
        <w:rPr>
          <w:rFonts w:ascii="Palatino Linotype" w:cs="Palatino Linotype" w:eastAsia="Palatino Linotype" w:hAnsi="Palatino Linotype"/>
          <w:i w:val="1"/>
          <w:sz w:val="21"/>
          <w:szCs w:val="21"/>
          <w:rtl w:val="0"/>
        </w:rPr>
        <w:t xml:space="preserve"> en el ámbito de sus respectivas competencias, se regirán por los siguientes principios y bases:</w:t>
      </w:r>
    </w:p>
    <w:p w:rsidR="00000000" w:rsidDel="00000000" w:rsidP="00000000" w:rsidRDefault="00000000" w:rsidRPr="00000000" w14:paraId="0000003A">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3B">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 </w:t>
      </w:r>
      <w:r w:rsidDel="00000000" w:rsidR="00000000" w:rsidRPr="00000000">
        <w:rPr>
          <w:rFonts w:ascii="Palatino Linotype" w:cs="Palatino Linotype" w:eastAsia="Palatino Linotype" w:hAnsi="Palatino Linotype"/>
          <w:b w:val="1"/>
          <w:i w:val="1"/>
          <w:sz w:val="21"/>
          <w:szCs w:val="21"/>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1"/>
          <w:szCs w:val="21"/>
          <w:rtl w:val="0"/>
        </w:rPr>
        <w:t xml:space="preserve"> Ejecutivo, Legislativo </w:t>
      </w:r>
      <w:r w:rsidDel="00000000" w:rsidR="00000000" w:rsidRPr="00000000">
        <w:rPr>
          <w:rFonts w:ascii="Palatino Linotype" w:cs="Palatino Linotype" w:eastAsia="Palatino Linotype" w:hAnsi="Palatino Linotype"/>
          <w:b w:val="1"/>
          <w:i w:val="1"/>
          <w:sz w:val="21"/>
          <w:szCs w:val="21"/>
          <w:u w:val="single"/>
          <w:rtl w:val="0"/>
        </w:rPr>
        <w:t xml:space="preserve">y Judicial</w:t>
      </w:r>
      <w:r w:rsidDel="00000000" w:rsidR="00000000" w:rsidRPr="00000000">
        <w:rPr>
          <w:rFonts w:ascii="Palatino Linotype" w:cs="Palatino Linotype" w:eastAsia="Palatino Linotype" w:hAnsi="Palatino Linotype"/>
          <w:i w:val="1"/>
          <w:sz w:val="21"/>
          <w:szCs w:val="21"/>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1"/>
          <w:szCs w:val="21"/>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1"/>
          <w:szCs w:val="21"/>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3C">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3D">
      <w:pPr>
        <w:ind w:left="851" w:right="851" w:firstLine="0"/>
        <w:jc w:val="both"/>
        <w:rPr>
          <w:rFonts w:ascii="Palatino Linotype" w:cs="Palatino Linotype" w:eastAsia="Palatino Linotype" w:hAnsi="Palatino Linotype"/>
          <w:b w:val="1"/>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3E">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3F">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III. </w:t>
      </w:r>
      <w:r w:rsidDel="00000000" w:rsidR="00000000" w:rsidRPr="00000000">
        <w:rPr>
          <w:rFonts w:ascii="Palatino Linotype" w:cs="Palatino Linotype" w:eastAsia="Palatino Linotype" w:hAnsi="Palatino Linotype"/>
          <w:b w:val="1"/>
          <w:i w:val="1"/>
          <w:sz w:val="21"/>
          <w:szCs w:val="21"/>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1"/>
          <w:szCs w:val="21"/>
          <w:rtl w:val="0"/>
        </w:rPr>
        <w:t xml:space="preserve"> a sus datos personales o a la rectificación de éstos.</w:t>
      </w:r>
    </w:p>
    <w:p w:rsidR="00000000" w:rsidDel="00000000" w:rsidP="00000000" w:rsidRDefault="00000000" w:rsidRPr="00000000" w14:paraId="00000040">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41">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IV. </w:t>
      </w:r>
      <w:r w:rsidDel="00000000" w:rsidR="00000000" w:rsidRPr="00000000">
        <w:rPr>
          <w:rFonts w:ascii="Palatino Linotype" w:cs="Palatino Linotype" w:eastAsia="Palatino Linotype" w:hAnsi="Palatino Linotype"/>
          <w:i w:val="1"/>
          <w:sz w:val="21"/>
          <w:szCs w:val="21"/>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42">
      <w:pPr>
        <w:ind w:left="851" w:right="851" w:firstLine="0"/>
        <w:jc w:val="both"/>
        <w:rPr>
          <w:rFonts w:ascii="Palatino Linotype" w:cs="Palatino Linotype" w:eastAsia="Palatino Linotype" w:hAnsi="Palatino Linotype"/>
          <w:i w:val="1"/>
          <w:sz w:val="21"/>
          <w:szCs w:val="21"/>
        </w:rPr>
      </w:pPr>
      <w:r w:rsidDel="00000000" w:rsidR="00000000" w:rsidRPr="00000000">
        <w:rPr>
          <w:rtl w:val="0"/>
        </w:rPr>
      </w:r>
    </w:p>
    <w:p w:rsidR="00000000" w:rsidDel="00000000" w:rsidP="00000000" w:rsidRDefault="00000000" w:rsidRPr="00000000" w14:paraId="00000043">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 </w:t>
      </w:r>
      <w:r w:rsidDel="00000000" w:rsidR="00000000" w:rsidRPr="00000000">
        <w:rPr>
          <w:rFonts w:ascii="Palatino Linotype" w:cs="Palatino Linotype" w:eastAsia="Palatino Linotype" w:hAnsi="Palatino Linotype"/>
          <w:i w:val="1"/>
          <w:sz w:val="21"/>
          <w:szCs w:val="21"/>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44">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45">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VI. </w:t>
      </w:r>
      <w:r w:rsidDel="00000000" w:rsidR="00000000" w:rsidRPr="00000000">
        <w:rPr>
          <w:rFonts w:ascii="Palatino Linotype" w:cs="Palatino Linotype" w:eastAsia="Palatino Linotype" w:hAnsi="Palatino Linotype"/>
          <w:i w:val="1"/>
          <w:sz w:val="21"/>
          <w:szCs w:val="21"/>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46">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 </w:t>
      </w:r>
    </w:p>
    <w:p w:rsidR="00000000" w:rsidDel="00000000" w:rsidP="00000000" w:rsidRDefault="00000000" w:rsidRPr="00000000" w14:paraId="00000047">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VII. </w:t>
      </w:r>
      <w:r w:rsidDel="00000000" w:rsidR="00000000" w:rsidRPr="00000000">
        <w:rPr>
          <w:rFonts w:ascii="Palatino Linotype" w:cs="Palatino Linotype" w:eastAsia="Palatino Linotype" w:hAnsi="Palatino Linotype"/>
          <w:i w:val="1"/>
          <w:sz w:val="21"/>
          <w:szCs w:val="21"/>
          <w:rtl w:val="0"/>
        </w:rPr>
        <w:t xml:space="preserve">La inobservancia a las disposiciones en materia de acceso a la información pública será sancionada en los términos que dispongan las leyes. [Sic]</w:t>
      </w:r>
    </w:p>
    <w:p w:rsidR="00000000" w:rsidDel="00000000" w:rsidP="00000000" w:rsidRDefault="00000000" w:rsidRPr="00000000" w14:paraId="00000048">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9">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00000" w:rsidDel="00000000" w:rsidP="00000000" w:rsidRDefault="00000000" w:rsidRPr="00000000" w14:paraId="0000004A">
      <w:pPr>
        <w:spacing w:after="280" w:before="28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rtl w:val="0"/>
        </w:rPr>
        <w:t xml:space="preserve">En ese orden de ideas, la Ley de Transparencia y Acceso a la Información Pública del Estado de México y Municipios, prevé en su artículo 23, lo siguiente:</w:t>
      </w:r>
      <w:r w:rsidDel="00000000" w:rsidR="00000000" w:rsidRPr="00000000">
        <w:rPr>
          <w:rtl w:val="0"/>
        </w:rPr>
      </w:r>
    </w:p>
    <w:p w:rsidR="00000000" w:rsidDel="00000000" w:rsidP="00000000" w:rsidRDefault="00000000" w:rsidRPr="00000000" w14:paraId="0000004B">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Artículo 23. Son sujetos obligados a transparentar y permitir el acceso a su información y proteger los datos personales que obren en su poder</w:t>
      </w: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4C">
      <w:pPr>
        <w:ind w:left="851" w:right="902" w:firstLine="0"/>
        <w:jc w:val="both"/>
        <w:rPr>
          <w:rFonts w:ascii="Palatino Linotype" w:cs="Palatino Linotype" w:eastAsia="Palatino Linotype" w:hAnsi="Palatino Linotype"/>
          <w:b w:val="1"/>
          <w:i w:val="1"/>
          <w:sz w:val="21"/>
          <w:szCs w:val="21"/>
        </w:rPr>
      </w:pPr>
      <w:r w:rsidDel="00000000" w:rsidR="00000000" w:rsidRPr="00000000">
        <w:rPr>
          <w:rFonts w:ascii="Palatino Linotype" w:cs="Palatino Linotype" w:eastAsia="Palatino Linotype" w:hAnsi="Palatino Linotype"/>
          <w:i w:val="1"/>
          <w:sz w:val="21"/>
          <w:szCs w:val="21"/>
          <w:rtl w:val="0"/>
        </w:rPr>
        <w:t xml:space="preserve">I. El Poder Ejecutivo del Estado de México, las dependencias, organismos auxiliares,</w:t>
      </w:r>
      <w:r w:rsidDel="00000000" w:rsidR="00000000" w:rsidRPr="00000000">
        <w:rPr>
          <w:rFonts w:ascii="Palatino Linotype" w:cs="Palatino Linotype" w:eastAsia="Palatino Linotype" w:hAnsi="Palatino Linotype"/>
          <w:b w:val="1"/>
          <w:i w:val="1"/>
          <w:sz w:val="21"/>
          <w:szCs w:val="21"/>
          <w:rtl w:val="0"/>
        </w:rPr>
        <w:t xml:space="preserve"> </w:t>
      </w:r>
      <w:r w:rsidDel="00000000" w:rsidR="00000000" w:rsidRPr="00000000">
        <w:rPr>
          <w:rFonts w:ascii="Palatino Linotype" w:cs="Palatino Linotype" w:eastAsia="Palatino Linotype" w:hAnsi="Palatino Linotype"/>
          <w:i w:val="1"/>
          <w:sz w:val="21"/>
          <w:szCs w:val="21"/>
          <w:rtl w:val="0"/>
        </w:rPr>
        <w:t xml:space="preserve">órganos, entidades, fideicomisos y fondos públicos, así como la Procuraduría General de Justicia;</w:t>
      </w:r>
      <w:r w:rsidDel="00000000" w:rsidR="00000000" w:rsidRPr="00000000">
        <w:rPr>
          <w:rtl w:val="0"/>
        </w:rPr>
      </w:r>
    </w:p>
    <w:p w:rsidR="00000000" w:rsidDel="00000000" w:rsidP="00000000" w:rsidRDefault="00000000" w:rsidRPr="00000000" w14:paraId="0000004D">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II. El Poder Legislativo del Estado, los organismos, órganos y entidades de la Legislatura y sus dependencias;</w:t>
      </w:r>
    </w:p>
    <w:p w:rsidR="00000000" w:rsidDel="00000000" w:rsidP="00000000" w:rsidRDefault="00000000" w:rsidRPr="00000000" w14:paraId="0000004E">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III. El Poder Judicial, sus organismos, órganos y entidades, así como el Consejo de la Judicatura del Estado;</w:t>
      </w:r>
    </w:p>
    <w:p w:rsidR="00000000" w:rsidDel="00000000" w:rsidP="00000000" w:rsidRDefault="00000000" w:rsidRPr="00000000" w14:paraId="0000004F">
      <w:pPr>
        <w:ind w:left="851" w:right="902" w:firstLine="0"/>
        <w:jc w:val="both"/>
        <w:rPr>
          <w:rFonts w:ascii="Palatino Linotype" w:cs="Palatino Linotype" w:eastAsia="Palatino Linotype" w:hAnsi="Palatino Linotype"/>
          <w:b w:val="1"/>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IV. Los ayuntamientos y las dependencias, organismos, órganos y entidades de la administración municipal;</w:t>
      </w:r>
    </w:p>
    <w:p w:rsidR="00000000" w:rsidDel="00000000" w:rsidP="00000000" w:rsidRDefault="00000000" w:rsidRPr="00000000" w14:paraId="00000050">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V. Los órganos autónomos;</w:t>
      </w:r>
    </w:p>
    <w:p w:rsidR="00000000" w:rsidDel="00000000" w:rsidP="00000000" w:rsidRDefault="00000000" w:rsidRPr="00000000" w14:paraId="00000051">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VI. Los tribunales administrativos y autoridades jurisdiccionales en materia laboral;</w:t>
      </w:r>
    </w:p>
    <w:p w:rsidR="00000000" w:rsidDel="00000000" w:rsidP="00000000" w:rsidRDefault="00000000" w:rsidRPr="00000000" w14:paraId="00000052">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VII. Los partidos políticos y agrupaciones políticas, en los términos de las disposiciones aplicables;</w:t>
      </w:r>
    </w:p>
    <w:p w:rsidR="00000000" w:rsidDel="00000000" w:rsidP="00000000" w:rsidRDefault="00000000" w:rsidRPr="00000000" w14:paraId="00000053">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VIII. Los fideicomisos y fondos públicos que cuenten con financiamiento público, parcial o total, o con participación de entidades de gobierno;</w:t>
      </w:r>
    </w:p>
    <w:p w:rsidR="00000000" w:rsidDel="00000000" w:rsidP="00000000" w:rsidRDefault="00000000" w:rsidRPr="00000000" w14:paraId="00000054">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IX. Los sindicatos que reciban y/o ejerzan recursos públicos en el ámbito estatal y municipal;</w:t>
      </w:r>
    </w:p>
    <w:p w:rsidR="00000000" w:rsidDel="00000000" w:rsidP="00000000" w:rsidRDefault="00000000" w:rsidRPr="00000000" w14:paraId="00000055">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X. Cualquier persona física o jurídico colectiva que reciba y ejerza recursos públicos en el ámbito estatal o municipal; y</w:t>
      </w:r>
    </w:p>
    <w:p w:rsidR="00000000" w:rsidDel="00000000" w:rsidP="00000000" w:rsidRDefault="00000000" w:rsidRPr="00000000" w14:paraId="00000056">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XI. Cualquier otra autoridad, entidad, órgano u organismo de los poderes estatal o municipal, que reciba recursos públicos.</w:t>
      </w:r>
    </w:p>
    <w:p w:rsidR="00000000" w:rsidDel="00000000" w:rsidP="00000000" w:rsidRDefault="00000000" w:rsidRPr="00000000" w14:paraId="00000057">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00000" w:rsidDel="00000000" w:rsidP="00000000" w:rsidRDefault="00000000" w:rsidRPr="00000000" w14:paraId="00000058">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Los servidores públicos deberán transparentar sus acciones, así como garantizar y respetar el derecho de acceso a la información pública</w:t>
      </w:r>
      <w:r w:rsidDel="00000000" w:rsidR="00000000" w:rsidRPr="00000000">
        <w:rPr>
          <w:rFonts w:ascii="Palatino Linotype" w:cs="Palatino Linotype" w:eastAsia="Palatino Linotype" w:hAnsi="Palatino Linotype"/>
          <w:i w:val="1"/>
          <w:sz w:val="21"/>
          <w:szCs w:val="21"/>
          <w:rtl w:val="0"/>
        </w:rPr>
        <w:t xml:space="preserve">.” (Sic)</w:t>
      </w:r>
    </w:p>
    <w:p w:rsidR="00000000" w:rsidDel="00000000" w:rsidP="00000000" w:rsidRDefault="00000000" w:rsidRPr="00000000" w14:paraId="00000059">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A">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00000" w:rsidDel="00000000" w:rsidP="00000000" w:rsidRDefault="00000000" w:rsidRPr="00000000" w14:paraId="0000005B">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00000" w:rsidDel="00000000" w:rsidP="00000000" w:rsidRDefault="00000000" w:rsidRPr="00000000" w14:paraId="0000005C">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00000" w:rsidDel="00000000" w:rsidP="00000000" w:rsidRDefault="00000000" w:rsidRPr="00000000" w14:paraId="0000005D">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0000" w:rsidDel="00000000" w:rsidP="00000000" w:rsidRDefault="00000000" w:rsidRPr="00000000" w14:paraId="0000005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5F">
      <w:pPr>
        <w:widowControl w:val="0"/>
        <w:tabs>
          <w:tab w:val="left" w:pos="1276"/>
        </w:tabs>
        <w:spacing w:after="28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00000" w:rsidDel="00000000" w:rsidP="00000000" w:rsidRDefault="00000000" w:rsidRPr="00000000" w14:paraId="00000060">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00000" w:rsidDel="00000000" w:rsidP="00000000" w:rsidRDefault="00000000" w:rsidRPr="00000000" w14:paraId="00000061">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sz w:val="21"/>
          <w:szCs w:val="21"/>
          <w:rtl w:val="0"/>
        </w:rPr>
        <w:t xml:space="preserve">, contados a partir del día siguiente a la presentación de aquélla. </w:t>
      </w:r>
    </w:p>
    <w:p w:rsidR="00000000" w:rsidDel="00000000" w:rsidP="00000000" w:rsidRDefault="00000000" w:rsidRPr="00000000" w14:paraId="00000062">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00000" w:rsidDel="00000000" w:rsidP="00000000" w:rsidRDefault="00000000" w:rsidRPr="00000000" w14:paraId="00000063">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expuesto, es claro que en este caso en particular el Sujeto Obligado incumplió la normatividad en la materia, puesto que no dio trámite ni respuesta a la solicitud de acceso a la información, limitando el derecho de acceso a la información, accionado por el particular.</w:t>
      </w:r>
    </w:p>
    <w:p w:rsidR="00000000" w:rsidDel="00000000" w:rsidP="00000000" w:rsidRDefault="00000000" w:rsidRPr="00000000" w14:paraId="00000064">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tramité y respuesta a la solicitud del particular.</w:t>
      </w:r>
    </w:p>
    <w:p w:rsidR="00000000" w:rsidDel="00000000" w:rsidP="00000000" w:rsidRDefault="00000000" w:rsidRPr="00000000" w14:paraId="0000006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por lo que, en caso de no atender de manera positiva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el requerimiento de información deberá manifestarse al respecto.</w:t>
      </w:r>
    </w:p>
    <w:p w:rsidR="00000000" w:rsidDel="00000000" w:rsidP="00000000" w:rsidRDefault="00000000" w:rsidRPr="00000000" w14:paraId="00000066">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atención al sentido en que se resuelve el presente medio de impugnación, este Instituto no omite señalar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000000" w:rsidDel="00000000" w:rsidP="00000000" w:rsidRDefault="00000000" w:rsidRPr="00000000" w14:paraId="00000067">
      <w:pPr>
        <w:spacing w:after="280" w:before="28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de precisar que la clasificación de la información no se da por el simple mandato de la Ley, sino que es necesario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00000" w:rsidDel="00000000" w:rsidP="00000000" w:rsidRDefault="00000000" w:rsidRPr="00000000" w14:paraId="00000068">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6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00000" w:rsidDel="00000000" w:rsidP="00000000" w:rsidRDefault="00000000" w:rsidRPr="00000000" w14:paraId="0000006A">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este Instituto no omite mencionar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000000" w:rsidDel="00000000" w:rsidP="00000000" w:rsidRDefault="00000000" w:rsidRPr="00000000" w14:paraId="0000006B">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sin perder de vista que la Constitución Política de los Estados Unidos Mexicanos le otorga a </w:t>
      </w:r>
      <w:r w:rsidDel="00000000" w:rsidR="00000000" w:rsidRPr="00000000">
        <w:rPr>
          <w:rFonts w:ascii="Palatino Linotype" w:cs="Palatino Linotype" w:eastAsia="Palatino Linotype" w:hAnsi="Palatino Linotype"/>
          <w:b w:val="1"/>
          <w:rtl w:val="0"/>
        </w:rPr>
        <w:t xml:space="preserve">todos los documentos</w:t>
      </w:r>
      <w:r w:rsidDel="00000000" w:rsidR="00000000" w:rsidRPr="00000000">
        <w:rPr>
          <w:rFonts w:ascii="Palatino Linotype" w:cs="Palatino Linotype" w:eastAsia="Palatino Linotype" w:hAnsi="Palatino Linotype"/>
          <w:rtl w:val="0"/>
        </w:rPr>
        <w:t xml:space="preserve"> en posesión de las autoridades </w:t>
      </w:r>
      <w:r w:rsidDel="00000000" w:rsidR="00000000" w:rsidRPr="00000000">
        <w:rPr>
          <w:rFonts w:ascii="Palatino Linotype" w:cs="Palatino Linotype" w:eastAsia="Palatino Linotype" w:hAnsi="Palatino Linotype"/>
          <w:b w:val="1"/>
          <w:rtl w:val="0"/>
        </w:rPr>
        <w:t xml:space="preserve">la calidad de públicos</w:t>
      </w:r>
      <w:r w:rsidDel="00000000" w:rsidR="00000000" w:rsidRPr="00000000">
        <w:rPr>
          <w:rFonts w:ascii="Palatino Linotype" w:cs="Palatino Linotype" w:eastAsia="Palatino Linotype" w:hAnsi="Palatino Linotype"/>
          <w:rtl w:val="0"/>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00000" w:rsidDel="00000000" w:rsidP="00000000" w:rsidRDefault="00000000" w:rsidRPr="00000000" w14:paraId="0000006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pertinente aclarar que, la información que se clasifica bajo la premisa de reservada, </w:t>
      </w:r>
      <w:r w:rsidDel="00000000" w:rsidR="00000000" w:rsidRPr="00000000">
        <w:rPr>
          <w:rFonts w:ascii="Palatino Linotype" w:cs="Palatino Linotype" w:eastAsia="Palatino Linotype" w:hAnsi="Palatino Linotype"/>
          <w:b w:val="1"/>
          <w:rtl w:val="0"/>
        </w:rPr>
        <w:t xml:space="preserve">no pierde el carácter de pública</w:t>
      </w:r>
      <w:r w:rsidDel="00000000" w:rsidR="00000000" w:rsidRPr="00000000">
        <w:rPr>
          <w:rFonts w:ascii="Palatino Linotype" w:cs="Palatino Linotype" w:eastAsia="Palatino Linotype" w:hAnsi="Palatino Linotype"/>
          <w:rtl w:val="0"/>
        </w:rPr>
        <w:t xml:space="preserve">, sino que </w:t>
      </w:r>
      <w:r w:rsidDel="00000000" w:rsidR="00000000" w:rsidRPr="00000000">
        <w:rPr>
          <w:rFonts w:ascii="Palatino Linotype" w:cs="Palatino Linotype" w:eastAsia="Palatino Linotype" w:hAnsi="Palatino Linotype"/>
          <w:b w:val="1"/>
          <w:rtl w:val="0"/>
        </w:rPr>
        <w:t xml:space="preserve">se reserva temporalmente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del conocimiento público</w:t>
      </w:r>
      <w:r w:rsidDel="00000000" w:rsidR="00000000" w:rsidRPr="00000000">
        <w:rPr>
          <w:rFonts w:ascii="Palatino Linotype" w:cs="Palatino Linotype" w:eastAsia="Palatino Linotype" w:hAnsi="Palatino Linotype"/>
          <w:rtl w:val="0"/>
        </w:rPr>
        <w:t xml:space="preserve">, es decir, que, </w:t>
      </w:r>
      <w:r w:rsidDel="00000000" w:rsidR="00000000" w:rsidRPr="00000000">
        <w:rPr>
          <w:rFonts w:ascii="Palatino Linotype" w:cs="Palatino Linotype" w:eastAsia="Palatino Linotype" w:hAnsi="Palatino Linotype"/>
          <w:b w:val="1"/>
          <w:rtl w:val="0"/>
        </w:rPr>
        <w:t xml:space="preserve">por un tiempo determinado</w:t>
      </w:r>
      <w:r w:rsidDel="00000000" w:rsidR="00000000" w:rsidRPr="00000000">
        <w:rPr>
          <w:rFonts w:ascii="Palatino Linotype" w:cs="Palatino Linotype" w:eastAsia="Palatino Linotype" w:hAnsi="Palatino Linotype"/>
          <w:rtl w:val="0"/>
        </w:rPr>
        <w:t xml:space="preserve">, se conservará y custodiará la información de manera especial, y una vez transcurrido el plazo de reserva, el documento podrá divulgarse.</w:t>
      </w:r>
    </w:p>
    <w:p w:rsidR="00000000" w:rsidDel="00000000" w:rsidP="00000000" w:rsidRDefault="00000000" w:rsidRPr="00000000" w14:paraId="0000006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000000" w:rsidDel="00000000" w:rsidP="00000000" w:rsidRDefault="00000000" w:rsidRPr="00000000" w14:paraId="0000006E">
      <w:pP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INFORMACIÓN RESERVADA. APLICACIÓN DE LA "PRUEBA DE DAÑO E INTERÉS PÚBLICO" PARA DETERMINAR LO ADECUADO DE LA APORTADA CON ESA CLASIFICACIÓN EN EL JUICIO DE AMPARO POR LA AUTORIDAD RESPONSABLE, A EFECTO DE HACER VIABLE LA DEFENSA EFECTIVA DEL QUEJOSO.</w:t>
      </w:r>
      <w:r w:rsidDel="00000000" w:rsidR="00000000" w:rsidRPr="00000000">
        <w:rPr>
          <w:rFonts w:ascii="Palatino Linotype" w:cs="Palatino Linotype" w:eastAsia="Palatino Linotype" w:hAnsi="Palatino Linotype"/>
          <w:i w:val="1"/>
          <w:sz w:val="21"/>
          <w:szCs w:val="21"/>
          <w:rtl w:val="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00000" w:rsidDel="00000000" w:rsidP="00000000" w:rsidRDefault="00000000" w:rsidRPr="00000000" w14:paraId="0000006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todo lo anterior, la reserva de la información implica una clasificación, la cual debe entenderse como el proceso mediante el cual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determina que la información en su poder, actualiza alguno de los supuestos conforme a las normas aplicables.</w:t>
      </w:r>
    </w:p>
    <w:p w:rsidR="00000000" w:rsidDel="00000000" w:rsidP="00000000" w:rsidRDefault="00000000" w:rsidRPr="00000000" w14:paraId="00000070">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concluir que el caso particular se ajusta al supuesto previsto por la norma legal invocada como fundamento; siendo que, además,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 en todo momento, aplicar una prueba de daño.</w:t>
      </w:r>
    </w:p>
    <w:p w:rsidR="00000000" w:rsidDel="00000000" w:rsidP="00000000" w:rsidRDefault="00000000" w:rsidRPr="00000000" w14:paraId="00000071">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00000" w:rsidDel="00000000" w:rsidP="00000000" w:rsidRDefault="00000000" w:rsidRPr="00000000" w14:paraId="00000072">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73">
      <w:pPr>
        <w:numPr>
          <w:ilvl w:val="0"/>
          <w:numId w:val="2"/>
        </w:numPr>
        <w:spacing w:after="0" w:before="28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reciba una solicitud de acceso a la información;</w:t>
      </w:r>
    </w:p>
    <w:p w:rsidR="00000000" w:rsidDel="00000000" w:rsidP="00000000" w:rsidRDefault="00000000" w:rsidRPr="00000000" w14:paraId="00000074">
      <w:pPr>
        <w:numPr>
          <w:ilvl w:val="0"/>
          <w:numId w:val="2"/>
        </w:numPr>
        <w:spacing w:after="0" w:before="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determine mediante resolución de autoridad competente; y/o</w:t>
      </w:r>
    </w:p>
    <w:p w:rsidR="00000000" w:rsidDel="00000000" w:rsidP="00000000" w:rsidRDefault="00000000" w:rsidRPr="00000000" w14:paraId="00000075">
      <w:pPr>
        <w:numPr>
          <w:ilvl w:val="0"/>
          <w:numId w:val="2"/>
        </w:numPr>
        <w:spacing w:after="280" w:before="0"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generen versiones públicas para dar cumplimiento a las obligaciones de transparencia previstas en la Ley.</w:t>
      </w:r>
    </w:p>
    <w:p w:rsidR="00000000" w:rsidDel="00000000" w:rsidP="00000000" w:rsidRDefault="00000000" w:rsidRPr="00000000" w14:paraId="00000076">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se robustece con el artículo 141 de la misma Ley, que señala que las causales de reserva previstas, se deberán fundar y motivar, a través de la aplicación de la prueba de daño.</w:t>
      </w:r>
    </w:p>
    <w:p w:rsidR="00000000" w:rsidDel="00000000" w:rsidP="00000000" w:rsidRDefault="00000000" w:rsidRPr="00000000" w14:paraId="00000077">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00000" w:rsidDel="00000000" w:rsidP="00000000" w:rsidRDefault="00000000" w:rsidRPr="00000000" w14:paraId="00000078">
      <w:pPr>
        <w:numPr>
          <w:ilvl w:val="0"/>
          <w:numId w:val="3"/>
        </w:numPr>
        <w:spacing w:after="0" w:before="28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divulgación de la información representa un </w:t>
      </w:r>
      <w:r w:rsidDel="00000000" w:rsidR="00000000" w:rsidRPr="00000000">
        <w:rPr>
          <w:rFonts w:ascii="Palatino Linotype" w:cs="Palatino Linotype" w:eastAsia="Palatino Linotype" w:hAnsi="Palatino Linotype"/>
          <w:b w:val="1"/>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79">
      <w:pPr>
        <w:numPr>
          <w:ilvl w:val="0"/>
          <w:numId w:val="3"/>
        </w:numPr>
        <w:spacing w:after="0" w:before="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riesgo de perjuicio que supondría la divulgación supera el interés público general de que se difunda; y,</w:t>
      </w:r>
    </w:p>
    <w:p w:rsidR="00000000" w:rsidDel="00000000" w:rsidP="00000000" w:rsidRDefault="00000000" w:rsidRPr="00000000" w14:paraId="0000007A">
      <w:pPr>
        <w:numPr>
          <w:ilvl w:val="0"/>
          <w:numId w:val="3"/>
        </w:numPr>
        <w:spacing w:after="280" w:before="0"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76"/>
          <w:tab w:val="left" w:pos="1701"/>
          <w:tab w:val="left" w:pos="1843"/>
        </w:tabs>
        <w:spacing w:after="280" w:before="28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00000" w:rsidDel="00000000" w:rsidP="00000000" w:rsidRDefault="00000000" w:rsidRPr="00000000" w14:paraId="0000007C">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este Órgano Garante de la Protección de Datos Personales no omite mencionar que, si dentro de la información que se ordena su entrega,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advierte documentos que por su propia y especial naturaleza son privados, deberá efectuar el Acuerdo de Clasificación como confidencial, en términos de la legislación aplicable y en los términos abordados con antelación.</w:t>
      </w:r>
    </w:p>
    <w:p w:rsidR="00000000" w:rsidDel="00000000" w:rsidP="00000000" w:rsidRDefault="00000000" w:rsidRPr="00000000" w14:paraId="0000007D">
      <w:pPr>
        <w:spacing w:after="280" w:before="280" w:line="360" w:lineRule="auto"/>
        <w:jc w:val="both"/>
        <w:rPr/>
      </w:pPr>
      <w:r w:rsidDel="00000000" w:rsidR="00000000" w:rsidRPr="00000000">
        <w:rPr>
          <w:rFonts w:ascii="Palatino Linotype" w:cs="Palatino Linotype" w:eastAsia="Palatino Linotype" w:hAnsi="Palatino Linotype"/>
          <w:rtl w:val="0"/>
        </w:rPr>
        <w:t xml:space="preserve">Por lo tanto, 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emita un Acuerdo de Clasificación que cumpla con las formalidades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r w:rsidDel="00000000" w:rsidR="00000000" w:rsidRPr="00000000">
        <w:rPr>
          <w:rtl w:val="0"/>
        </w:rPr>
      </w:r>
    </w:p>
    <w:p w:rsidR="00000000" w:rsidDel="00000000" w:rsidP="00000000" w:rsidRDefault="00000000" w:rsidRPr="00000000" w14:paraId="0000007E">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este Instituto estima prudente señalar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07F">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080">
      <w:pPr>
        <w:shd w:fill="ffffff" w:val="clea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081">
      <w:pPr>
        <w:shd w:fill="ffffff" w:val="clea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Resulta aplicable el criterio de interpretación en el orden administrativo número 0008-19 emitido por Acuerdo del Pleno del Instituto de Transparencia y Acceso a la Información Pública del Estado de México y Municipios, que a la letra dice:</w:t>
      </w:r>
    </w:p>
    <w:p w:rsidR="00000000" w:rsidDel="00000000" w:rsidP="00000000" w:rsidRDefault="00000000" w:rsidRPr="00000000" w14:paraId="00000082">
      <w:pPr>
        <w:shd w:fill="ffffff" w:val="clea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“INEXISTENCIA DE LA INFORMACIÓN. SUPUESTOS PARA EMITIR LA RESOLUCIÓN DE LA. </w:t>
      </w:r>
      <w:r w:rsidDel="00000000" w:rsidR="00000000" w:rsidRPr="00000000">
        <w:rPr>
          <w:rFonts w:ascii="Palatino Linotype" w:cs="Palatino Linotype" w:eastAsia="Palatino Linotype" w:hAnsi="Palatino Linotype"/>
          <w:i w:val="1"/>
          <w:sz w:val="21"/>
          <w:szCs w:val="21"/>
          <w:rtl w:val="0"/>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00000" w:rsidDel="00000000" w:rsidP="00000000" w:rsidRDefault="00000000" w:rsidRPr="00000000" w14:paraId="00000083">
      <w:pPr>
        <w:shd w:fill="ffffff" w:val="clea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Precedentes: </w:t>
      </w:r>
    </w:p>
    <w:p w:rsidR="00000000" w:rsidDel="00000000" w:rsidP="00000000" w:rsidRDefault="00000000" w:rsidRPr="00000000" w14:paraId="00000084">
      <w:pPr>
        <w:shd w:fill="ffffff" w:val="clea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000000" w:rsidDel="00000000" w:rsidP="00000000" w:rsidRDefault="00000000" w:rsidRPr="00000000" w14:paraId="00000085">
      <w:pPr>
        <w:shd w:fill="ffffff" w:val="clear"/>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w:t>
        <w:tab/>
        <w:t xml:space="preserve">En materia de acceso a la información pública. 05732/INFOEM/IP/RR/2019. Aprobado por unanimidad de votos. Ayuntamiento de Chicoloapan. Comisionada Ponente Eva Abaid Yapur. </w:t>
      </w:r>
    </w:p>
    <w:p w:rsidR="00000000" w:rsidDel="00000000" w:rsidP="00000000" w:rsidRDefault="00000000" w:rsidRPr="00000000" w14:paraId="00000086">
      <w:pPr>
        <w:shd w:fill="ffffff" w:val="clear"/>
        <w:ind w:left="851" w:right="902" w:firstLine="0"/>
        <w:jc w:val="both"/>
        <w:rPr>
          <w:rFonts w:ascii="Georgia" w:cs="Georgia" w:eastAsia="Georgia" w:hAnsi="Georgia"/>
          <w:b w:val="1"/>
          <w:i w:val="1"/>
          <w:sz w:val="21"/>
          <w:szCs w:val="21"/>
        </w:rPr>
      </w:pPr>
      <w:r w:rsidDel="00000000" w:rsidR="00000000" w:rsidRPr="00000000">
        <w:rPr>
          <w:rFonts w:ascii="Palatino Linotype" w:cs="Palatino Linotype" w:eastAsia="Palatino Linotype" w:hAnsi="Palatino Linotype"/>
          <w:i w:val="1"/>
          <w:sz w:val="21"/>
          <w:szCs w:val="21"/>
          <w:rtl w:val="0"/>
        </w:rPr>
        <w:t xml:space="preserve">•</w:t>
        <w:tab/>
        <w:t xml:space="preserve">En materia de acceso a la información pública. 04749INFOEM/IP/RR/2019 y acumulados. Aprobado por unanimidad de votos, emitiendo voto particular la Comisionada Eva Abaid Yapur. Universidad Politécnica del Valle de Toluca. Comisionado Ponente Javier Martínez Cruz</w:t>
      </w:r>
      <w:r w:rsidDel="00000000" w:rsidR="00000000" w:rsidRPr="00000000">
        <w:rPr>
          <w:rFonts w:ascii="Palatino Linotype" w:cs="Palatino Linotype" w:eastAsia="Palatino Linotype" w:hAnsi="Palatino Linotype"/>
          <w:b w:val="1"/>
          <w:i w:val="1"/>
          <w:sz w:val="21"/>
          <w:szCs w:val="21"/>
          <w:rtl w:val="0"/>
        </w:rPr>
        <w:t xml:space="preserve">.”</w:t>
      </w:r>
      <w:r w:rsidDel="00000000" w:rsidR="00000000" w:rsidRPr="00000000">
        <w:rPr>
          <w:rtl w:val="0"/>
        </w:rPr>
      </w:r>
    </w:p>
    <w:p w:rsidR="00000000" w:rsidDel="00000000" w:rsidP="00000000" w:rsidRDefault="00000000" w:rsidRPr="00000000" w14:paraId="00000087">
      <w:pPr>
        <w:shd w:fill="ffffff" w:val="clear"/>
        <w:ind w:right="902" w:firstLine="851"/>
        <w:jc w:val="both"/>
        <w:rPr>
          <w:rFonts w:ascii="Georgia" w:cs="Georgia" w:eastAsia="Georgia" w:hAnsi="Georgia"/>
          <w:i w:val="1"/>
          <w:sz w:val="21"/>
          <w:szCs w:val="21"/>
        </w:rPr>
      </w:pPr>
      <w:r w:rsidDel="00000000" w:rsidR="00000000" w:rsidRPr="00000000">
        <w:rPr>
          <w:rFonts w:ascii="Palatino Linotype" w:cs="Palatino Linotype" w:eastAsia="Palatino Linotype" w:hAnsi="Palatino Linotype"/>
          <w:i w:val="1"/>
          <w:sz w:val="21"/>
          <w:szCs w:val="21"/>
          <w:rtl w:val="0"/>
        </w:rPr>
        <w:t xml:space="preserve">(Énfasis añadido)</w:t>
      </w:r>
      <w:r w:rsidDel="00000000" w:rsidR="00000000" w:rsidRPr="00000000">
        <w:rPr>
          <w:rtl w:val="0"/>
        </w:rPr>
      </w:r>
    </w:p>
    <w:p w:rsidR="00000000" w:rsidDel="00000000" w:rsidP="00000000" w:rsidRDefault="00000000" w:rsidRPr="00000000" w14:paraId="00000088">
      <w:pPr>
        <w:shd w:fill="ffffff" w:val="clear"/>
        <w:ind w:right="902" w:firstLine="851"/>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89">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todo lo expuesto, ante lo </w:t>
      </w:r>
      <w:r w:rsidDel="00000000" w:rsidR="00000000" w:rsidRPr="00000000">
        <w:rPr>
          <w:rFonts w:ascii="Palatino Linotype" w:cs="Palatino Linotype" w:eastAsia="Palatino Linotype" w:hAnsi="Palatino Linotype"/>
          <w:b w:val="1"/>
          <w:rtl w:val="0"/>
        </w:rPr>
        <w:t xml:space="preserve">fundado</w:t>
      </w:r>
      <w:r w:rsidDel="00000000" w:rsidR="00000000" w:rsidRPr="00000000">
        <w:rPr>
          <w:rFonts w:ascii="Palatino Linotype" w:cs="Palatino Linotype" w:eastAsia="Palatino Linotype" w:hAnsi="Palatino Linotype"/>
          <w:rtl w:val="0"/>
        </w:rPr>
        <w:t xml:space="preserve"> de las razones o motivos de inconformidad hechos valer por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este Instituto estima que lo dable es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respuesta a la solicitud de acceso a la información, atendiendo lo señalado en el presente Considerando.</w:t>
      </w:r>
    </w:p>
    <w:p w:rsidR="00000000" w:rsidDel="00000000" w:rsidP="00000000" w:rsidRDefault="00000000" w:rsidRPr="00000000" w14:paraId="0000008A">
      <w:pPr>
        <w:spacing w:after="280" w:before="28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Antes de concluir, es de señalar que, como ya se mencionó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omitió proporcionar la respuesta a su solicitud de acceso a la información pública, en el término contemplado en el ya citado artículo 163 de la Ley de la materia, razón por la que </w:t>
      </w:r>
      <w:r w:rsidDel="00000000" w:rsidR="00000000" w:rsidRPr="00000000">
        <w:rPr>
          <w:rFonts w:ascii="Palatino Linotype" w:cs="Palatino Linotype" w:eastAsia="Palatino Linotype" w:hAnsi="Palatino Linotype"/>
          <w:b w:val="1"/>
          <w:rtl w:val="0"/>
        </w:rPr>
        <w:t xml:space="preserve">se ordena dar vista al Titular de la Contraloría Interna y Órgano de Control y Vigilancia de este Instituto</w:t>
      </w:r>
      <w:r w:rsidDel="00000000" w:rsidR="00000000" w:rsidRPr="00000000">
        <w:rPr>
          <w:rFonts w:ascii="Palatino Linotype" w:cs="Palatino Linotype" w:eastAsia="Palatino Linotype" w:hAnsi="Palatino Linotype"/>
          <w:rtl w:val="0"/>
        </w:rPr>
        <w:t xml:space="preserve">,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00000" w:rsidDel="00000000" w:rsidP="00000000" w:rsidRDefault="00000000" w:rsidRPr="00000000" w14:paraId="0000008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w:t>
      </w:r>
      <w:r w:rsidDel="00000000" w:rsidR="00000000" w:rsidRPr="00000000">
        <w:rPr>
          <w:rFonts w:ascii="Palatino Linotype" w:cs="Palatino Linotype" w:eastAsia="Palatino Linotype" w:hAnsi="Palatino Linotype"/>
          <w:highlight w:val="white"/>
          <w:rtl w:val="0"/>
        </w:rPr>
        <w:t xml:space="preserve">párrafos trigésimo, trigésimo primero y trigésimo segundo fracciones IV y V </w:t>
      </w:r>
      <w:r w:rsidDel="00000000" w:rsidR="00000000" w:rsidRPr="00000000">
        <w:rPr>
          <w:rFonts w:ascii="Palatino Linotype" w:cs="Palatino Linotype" w:eastAsia="Palatino Linotype" w:hAnsi="Palatino Linotype"/>
          <w:rtl w:val="0"/>
        </w:rPr>
        <w:t xml:space="preserve">de la Constitución Política del Estado Libre y Soberano de México; 2, fracción II; 29, 36 fracciones I y II; 176, 178, 181, 185 de la Ley de Transparencia y Acceso a la Información Pública del Estado de México y Municipios, este Pleno:</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U E L V E:</w:t>
      </w:r>
    </w:p>
    <w:p w:rsidR="00000000" w:rsidDel="00000000" w:rsidP="00000000" w:rsidRDefault="00000000" w:rsidRPr="00000000" w14:paraId="0000008D">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 fundados los motivos de inconformidad que arguye </w:t>
      </w:r>
      <w:r w:rsidDel="00000000" w:rsidR="00000000" w:rsidRPr="00000000">
        <w:rPr>
          <w:rFonts w:ascii="Palatino Linotype" w:cs="Palatino Linotype" w:eastAsia="Palatino Linotype" w:hAnsi="Palatino Linotype"/>
          <w:b w:val="1"/>
          <w:rtl w:val="0"/>
        </w:rPr>
        <w:t xml:space="preserve">LA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del Considerando Cuarto de la presente resolución.</w:t>
      </w:r>
    </w:p>
    <w:p w:rsidR="00000000" w:rsidDel="00000000" w:rsidP="00000000" w:rsidRDefault="00000000" w:rsidRPr="00000000" w14:paraId="0000008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rtl w:val="0"/>
        </w:rPr>
        <w:t xml:space="preserve"> 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dé trámite a la solicitud de acceso a la información pública que dio origen al recurso de revisión </w:t>
      </w:r>
      <w:r w:rsidDel="00000000" w:rsidR="00000000" w:rsidRPr="00000000">
        <w:rPr>
          <w:rFonts w:ascii="Palatino Linotype" w:cs="Palatino Linotype" w:eastAsia="Palatino Linotype" w:hAnsi="Palatino Linotype"/>
          <w:b w:val="1"/>
          <w:rtl w:val="0"/>
        </w:rPr>
        <w:t xml:space="preserve">05409/INFOEM/IP/RR/2021</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vía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términos del Considerando Cuarto de esta resolución y emita respuesta, debiendo observar las excepciones contenidas en la Ley de Transparencia y Acceso a la Información Pública del Estado de México y Municipios.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highlight w:val="white"/>
          <w:u w:val="none"/>
          <w:vertAlign w:val="baseline"/>
        </w:rPr>
      </w:pPr>
      <w:bookmarkStart w:colFirst="0" w:colLast="0" w:name="_heading=h.30j0zll" w:id="1"/>
      <w:bookmarkEnd w:id="1"/>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Tercero.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Notifíquese</w:t>
      </w:r>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 vía SAIMEX </w:t>
      </w:r>
      <w:r w:rsidDel="00000000" w:rsidR="00000000" w:rsidRPr="00000000">
        <w:rPr>
          <w:rFonts w:ascii="Palatino Linotype" w:cs="Palatino Linotype" w:eastAsia="Palatino Linotype" w:hAnsi="Palatino Linotype"/>
          <w:b w:val="0"/>
          <w:i w:val="0"/>
          <w:smallCaps w:val="0"/>
          <w:strike w:val="0"/>
          <w:color w:val="000000"/>
          <w:sz w:val="24"/>
          <w:szCs w:val="24"/>
          <w:highlight w:val="white"/>
          <w:u w:val="none"/>
          <w:vertAlign w:val="baseline"/>
          <w:rtl w:val="0"/>
        </w:rPr>
        <w:t xml:space="preserve">al Titular de la Unidad de Transparencia del</w:t>
      </w:r>
      <w:r w:rsidDel="00000000" w:rsidR="00000000" w:rsidRPr="00000000">
        <w:rPr>
          <w:rFonts w:ascii="Palatino Linotype" w:cs="Palatino Linotype" w:eastAsia="Palatino Linotype" w:hAnsi="Palatino Linotype"/>
          <w:b w:val="1"/>
          <w:i w:val="0"/>
          <w:smallCaps w:val="0"/>
          <w:strike w:val="0"/>
          <w:color w:val="000000"/>
          <w:sz w:val="24"/>
          <w:szCs w:val="24"/>
          <w:highlight w:val="white"/>
          <w:u w:val="none"/>
          <w:vertAlign w:val="baseline"/>
          <w:rtl w:val="0"/>
        </w:rPr>
        <w:t xml:space="preserve"> SUJETO OBLIGADO</w:t>
      </w:r>
      <w:r w:rsidDel="00000000" w:rsidR="00000000" w:rsidRPr="00000000">
        <w:rPr>
          <w:rFonts w:ascii="Palatino Linotype" w:cs="Palatino Linotype" w:eastAsia="Palatino Linotype" w:hAnsi="Palatino Linotype"/>
          <w:b w:val="0"/>
          <w:i w:val="0"/>
          <w:smallCaps w:val="0"/>
          <w:strike w:val="0"/>
          <w:color w:val="000000"/>
          <w:sz w:val="24"/>
          <w:szCs w:val="24"/>
          <w:highlight w:val="white"/>
          <w:u w:val="none"/>
          <w:vertAlign w:val="baseline"/>
          <w:rtl w:val="0"/>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09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Notifíquese</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highlight w:val="white"/>
          <w:rtl w:val="0"/>
        </w:rPr>
        <w:t xml:space="preserve">al </w:t>
      </w:r>
      <w:r w:rsidDel="00000000" w:rsidR="00000000" w:rsidRPr="00000000">
        <w:rPr>
          <w:rFonts w:ascii="Palatino Linotype" w:cs="Palatino Linotype" w:eastAsia="Palatino Linotype" w:hAnsi="Palatino Linotype"/>
          <w:rtl w:val="0"/>
        </w:rPr>
        <w:t xml:space="preserve">recurrente vía SAIMEX</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91">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Quinto. Hágase del conocimiento </w:t>
      </w:r>
      <w:r w:rsidDel="00000000" w:rsidR="00000000" w:rsidRPr="00000000">
        <w:rPr>
          <w:rFonts w:ascii="Palatino Linotype" w:cs="Palatino Linotype" w:eastAsia="Palatino Linotype" w:hAnsi="Palatino Linotype"/>
          <w:rtl w:val="0"/>
        </w:rPr>
        <w:t xml:space="preserve">del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que la respuesta que dé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92">
      <w:pPr>
        <w:widowControl w:val="0"/>
        <w:tabs>
          <w:tab w:val="left" w:pos="1701"/>
        </w:tabs>
        <w:spacing w:after="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Sexto.</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rtl w:val="0"/>
        </w:rPr>
        <w:t xml:space="preserve">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000000" w:rsidDel="00000000" w:rsidP="00000000" w:rsidRDefault="00000000" w:rsidRPr="00000000" w14:paraId="00000093">
      <w:pPr>
        <w:widowControl w:val="0"/>
        <w:tabs>
          <w:tab w:val="left" w:pos="1701"/>
        </w:tabs>
        <w:spacing w:after="0" w:before="0" w:line="360" w:lineRule="auto"/>
        <w:ind w:right="51"/>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Séptimo. </w:t>
      </w:r>
      <w:r w:rsidDel="00000000" w:rsidR="00000000" w:rsidRPr="00000000">
        <w:rPr>
          <w:rFonts w:ascii="Palatino Linotype" w:cs="Palatino Linotype" w:eastAsia="Palatino Linotype" w:hAnsi="Palatino Linotype"/>
          <w:b w:val="1"/>
          <w:highlight w:val="white"/>
          <w:rtl w:val="0"/>
        </w:rPr>
        <w:t xml:space="preserve">Gírese</w:t>
      </w:r>
      <w:r w:rsidDel="00000000" w:rsidR="00000000" w:rsidRPr="00000000">
        <w:rPr>
          <w:rFonts w:ascii="Palatino Linotype" w:cs="Palatino Linotype" w:eastAsia="Palatino Linotype" w:hAnsi="Palatino Linotype"/>
          <w:highlight w:val="white"/>
          <w:rtl w:val="0"/>
        </w:rPr>
        <w:t xml:space="preserve"> oficio al Contralor Interno de este Instituto para que actúe en razón de su competencia, en términos de lo expuesto en el Considerando Cuarto de la presente resolución.</w:t>
      </w:r>
    </w:p>
    <w:p w:rsidR="00000000" w:rsidDel="00000000" w:rsidP="00000000" w:rsidRDefault="00000000" w:rsidRPr="00000000" w14:paraId="00000094">
      <w:pPr>
        <w:widowControl w:val="0"/>
        <w:tabs>
          <w:tab w:val="left" w:pos="1701"/>
        </w:tabs>
        <w:spacing w:after="0" w:before="0"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5">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OCHO DE DICIEMBRE DE DOS MIL VEINTIUNO, ANTE EL SECRETARIO TÉCNICO DEL PLENO ALEXIS TAPIA RAMÍREZ.</w:t>
      </w:r>
    </w:p>
    <w:p w:rsidR="00000000" w:rsidDel="00000000" w:rsidP="00000000" w:rsidRDefault="00000000" w:rsidRPr="00000000" w14:paraId="00000096">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bookmarkStart w:colFirst="0" w:colLast="0" w:name="_heading=h.1fob9te" w:id="2"/>
      <w:bookmarkEnd w:id="2"/>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Al encontrarse en algún supuesto restrictivo, previsto en la normatividad aplicable.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-438784</wp:posOffset>
          </wp:positionV>
          <wp:extent cx="7635600" cy="9943200"/>
          <wp:effectExtent b="0" l="0" r="0" t="0"/>
          <wp:wrapNone/>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tbl>
    <w:tblPr>
      <w:tblStyle w:val="Table1"/>
      <w:tblW w:w="6238.0" w:type="dxa"/>
      <w:jc w:val="left"/>
      <w:tblInd w:w="3119.0" w:type="dxa"/>
      <w:tblLayout w:type="fixed"/>
      <w:tblLook w:val="0400"/>
    </w:tblPr>
    <w:tblGrid>
      <w:gridCol w:w="2551"/>
      <w:gridCol w:w="3687"/>
      <w:tblGridChange w:id="0">
        <w:tblGrid>
          <w:gridCol w:w="2551"/>
          <w:gridCol w:w="3687"/>
        </w:tblGrid>
      </w:tblGridChange>
    </w:tblGrid>
    <w:tr>
      <w:trPr>
        <w:cantSplit w:val="0"/>
        <w:tblHeader w:val="0"/>
      </w:trPr>
      <w:tc>
        <w:tcPr>
          <w:vAlign w:val="center"/>
        </w:tcPr>
        <w:p w:rsidR="00000000" w:rsidDel="00000000" w:rsidP="00000000" w:rsidRDefault="00000000" w:rsidRPr="00000000" w14:paraId="000000B6">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B7">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05409/INFOEM/IP/RR/2021</w:t>
          </w:r>
        </w:p>
      </w:tc>
    </w:tr>
    <w:tr>
      <w:trPr>
        <w:cantSplit w:val="0"/>
        <w:tblHeader w:val="0"/>
      </w:trPr>
      <w:tc>
        <w:tcPr>
          <w:vAlign w:val="center"/>
        </w:tcPr>
        <w:p w:rsidR="00000000" w:rsidDel="00000000" w:rsidP="00000000" w:rsidRDefault="00000000" w:rsidRPr="00000000" w14:paraId="000000B8">
          <w:pPr>
            <w:ind w:left="35" w:hanging="35"/>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vAlign w:val="center"/>
        </w:tcPr>
        <w:p w:rsidR="00000000" w:rsidDel="00000000" w:rsidP="00000000" w:rsidRDefault="00000000" w:rsidRPr="00000000" w14:paraId="000000B9">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Xxxxxxx Xxxxxxxxx Xxxxxxxxx</w:t>
          </w:r>
        </w:p>
      </w:tc>
    </w:tr>
    <w:tr>
      <w:trPr>
        <w:cantSplit w:val="0"/>
        <w:trHeight w:val="228" w:hRule="atLeast"/>
        <w:tblHeader w:val="0"/>
      </w:trPr>
      <w:tc>
        <w:tcPr>
          <w:vAlign w:val="center"/>
        </w:tcPr>
        <w:p w:rsidR="00000000" w:rsidDel="00000000" w:rsidP="00000000" w:rsidRDefault="00000000" w:rsidRPr="00000000" w14:paraId="000000BA">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BB">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San Felipe del Progreso</w:t>
          </w:r>
        </w:p>
      </w:tc>
    </w:tr>
    <w:tr>
      <w:trPr>
        <w:cantSplit w:val="0"/>
        <w:tblHeader w:val="0"/>
      </w:trPr>
      <w:tc>
        <w:tcPr>
          <w:vAlign w:val="center"/>
        </w:tcPr>
        <w:p w:rsidR="00000000" w:rsidDel="00000000" w:rsidP="00000000" w:rsidRDefault="00000000" w:rsidRPr="00000000" w14:paraId="000000BC">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BD">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0C0">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C1">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05409/INFOEM/IP/RR/2021 </w:t>
          </w:r>
        </w:p>
      </w:tc>
    </w:tr>
    <w:tr>
      <w:trPr>
        <w:cantSplit w:val="0"/>
        <w:trHeight w:val="228" w:hRule="atLeast"/>
        <w:tblHeader w:val="0"/>
      </w:trPr>
      <w:tc>
        <w:tcPr>
          <w:vAlign w:val="center"/>
        </w:tcPr>
        <w:p w:rsidR="00000000" w:rsidDel="00000000" w:rsidP="00000000" w:rsidRDefault="00000000" w:rsidRPr="00000000" w14:paraId="000000C2">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C3">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San Felipe del Progreso</w:t>
          </w:r>
        </w:p>
      </w:tc>
    </w:tr>
    <w:tr>
      <w:trPr>
        <w:cantSplit w:val="0"/>
        <w:tblHeader w:val="0"/>
      </w:trPr>
      <w:tc>
        <w:tcPr>
          <w:vAlign w:val="center"/>
        </w:tcPr>
        <w:p w:rsidR="00000000" w:rsidDel="00000000" w:rsidP="00000000" w:rsidRDefault="00000000" w:rsidRPr="00000000" w14:paraId="000000C4">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C5">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-1249679</wp:posOffset>
          </wp:positionV>
          <wp:extent cx="7635163" cy="9944100"/>
          <wp:effectExtent b="0" l="0" r="0" t="0"/>
          <wp:wrapNone/>
          <wp:docPr id="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163" cy="9944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2E40"/>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82E40"/>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E82E40"/>
    <w:rPr>
      <w:rFonts w:eastAsiaTheme="minorEastAsia"/>
      <w:sz w:val="24"/>
      <w:szCs w:val="24"/>
      <w:lang w:eastAsia="es-ES" w:val="es-ES_tradnl"/>
    </w:rPr>
  </w:style>
  <w:style w:type="paragraph" w:styleId="Piedepgina">
    <w:name w:val="footer"/>
    <w:basedOn w:val="Normal"/>
    <w:link w:val="PiedepginaCar"/>
    <w:uiPriority w:val="99"/>
    <w:unhideWhenUsed w:val="1"/>
    <w:rsid w:val="00E82E40"/>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E82E40"/>
    <w:rPr>
      <w:rFonts w:eastAsiaTheme="minorEastAsia"/>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E82E40"/>
    <w:rPr>
      <w:rFonts w:ascii="Times New Roman" w:cs="Times New Roman" w:eastAsia="Times New Roman" w:hAnsi="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E82E40"/>
    <w:pPr>
      <w:ind w:left="708"/>
    </w:pPr>
    <w:rPr>
      <w:sz w:val="22"/>
      <w:szCs w:val="22"/>
      <w:lang w:eastAsia="en-US" w:val="es-MX"/>
    </w:rPr>
  </w:style>
  <w:style w:type="character" w:styleId="normaltextrun" w:customStyle="1">
    <w:name w:val="normaltextrun"/>
    <w:basedOn w:val="Fuentedeprrafopredeter"/>
    <w:rsid w:val="00E82E40"/>
  </w:style>
  <w:style w:type="character" w:styleId="apple-converted-space" w:customStyle="1">
    <w:name w:val="apple-converted-space"/>
    <w:basedOn w:val="Fuentedeprrafopredeter"/>
    <w:rsid w:val="00E82E40"/>
  </w:style>
  <w:style w:type="paragraph" w:styleId="NormalWeb">
    <w:name w:val="Normal (Web)"/>
    <w:basedOn w:val="Normal"/>
    <w:uiPriority w:val="99"/>
    <w:unhideWhenUsed w:val="1"/>
    <w:rsid w:val="00E82E40"/>
    <w:pPr>
      <w:spacing w:after="100" w:afterAutospacing="1" w:before="100" w:beforeAutospacing="1"/>
    </w:pPr>
    <w:rPr>
      <w:lang w:eastAsia="es-MX"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E82E40"/>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E4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val="1"/>
    <w:qFormat w:val="1"/>
    <w:rsid w:val="00E82E40"/>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Rx8C6CDRVdYv1zEV2NE+muEjwQ==">AMUW2mUnmH6Yk7z+29Lb5YIuWXArBHErvjo+BVU12KmmJMyr/tgoh4upSCmWb4//uOBLzW7wON8R34vJrc24n/qd2fg8Qgs/Td8nlO8EQuwy9by/IK7+AnVd5XRq+RguWvrTsrIrUAVJsrgd+jLs4gfmQssntDBZGg==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2021-11-30T01:40:00Z</dcterms:created>
  <dc:creator>Usuario de Windows</dc:creator>
</cp:coreProperties>
</file>