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1BD5C" w14:textId="6C259F0D" w:rsidR="005E0CA6" w:rsidRPr="004326A0" w:rsidRDefault="005E0CA6" w:rsidP="005E0CA6">
      <w:pPr>
        <w:spacing w:before="240" w:after="240" w:line="360" w:lineRule="auto"/>
        <w:jc w:val="both"/>
        <w:rPr>
          <w:rFonts w:ascii="Palatino Linotype" w:hAnsi="Palatino Linotype" w:cs="Arial"/>
        </w:rPr>
      </w:pPr>
      <w:bookmarkStart w:id="0" w:name="_Hlk24476807"/>
      <w:bookmarkStart w:id="1" w:name="_GoBack"/>
      <w:bookmarkEnd w:id="1"/>
      <w:r w:rsidRPr="004326A0">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326A0">
        <w:rPr>
          <w:rStyle w:val="normaltextrun"/>
          <w:rFonts w:ascii="Palatino Linotype" w:hAnsi="Palatino Linotype" w:cs="Arial"/>
        </w:rPr>
        <w:t>,</w:t>
      </w:r>
      <w:r w:rsidRPr="004326A0">
        <w:rPr>
          <w:rStyle w:val="apple-converted-space"/>
          <w:rFonts w:ascii="Palatino Linotype" w:hAnsi="Palatino Linotype" w:cs="Arial"/>
        </w:rPr>
        <w:t> </w:t>
      </w:r>
      <w:r w:rsidR="008A5BDF">
        <w:rPr>
          <w:rStyle w:val="normaltextrun"/>
          <w:rFonts w:ascii="Palatino Linotype" w:hAnsi="Palatino Linotype" w:cs="Arial"/>
        </w:rPr>
        <w:t xml:space="preserve">de fecha </w:t>
      </w:r>
      <w:r w:rsidR="00CE60CE">
        <w:rPr>
          <w:rStyle w:val="normaltextrun"/>
          <w:rFonts w:ascii="Palatino Linotype" w:hAnsi="Palatino Linotype" w:cs="Arial"/>
          <w:b/>
        </w:rPr>
        <w:t>quince</w:t>
      </w:r>
      <w:r w:rsidR="00056AE1">
        <w:rPr>
          <w:rStyle w:val="normaltextrun"/>
          <w:rFonts w:ascii="Palatino Linotype" w:hAnsi="Palatino Linotype" w:cs="Arial"/>
          <w:b/>
        </w:rPr>
        <w:t xml:space="preserve"> de sept</w:t>
      </w:r>
      <w:r w:rsidR="008A5BDF">
        <w:rPr>
          <w:rStyle w:val="normaltextrun"/>
          <w:rFonts w:ascii="Palatino Linotype" w:hAnsi="Palatino Linotype" w:cs="Arial"/>
          <w:b/>
        </w:rPr>
        <w:t>iem</w:t>
      </w:r>
      <w:r w:rsidR="00050CEC" w:rsidRPr="00B65E33">
        <w:rPr>
          <w:rStyle w:val="normaltextrun"/>
          <w:rFonts w:ascii="Palatino Linotype" w:hAnsi="Palatino Linotype" w:cs="Arial"/>
          <w:b/>
        </w:rPr>
        <w:t>bre</w:t>
      </w:r>
      <w:r w:rsidR="00056AE1">
        <w:rPr>
          <w:rStyle w:val="normaltextrun"/>
          <w:rFonts w:ascii="Palatino Linotype" w:hAnsi="Palatino Linotype" w:cs="Arial"/>
          <w:b/>
        </w:rPr>
        <w:t xml:space="preserve"> de dos mil veintiuno</w:t>
      </w:r>
      <w:r w:rsidRPr="004326A0">
        <w:rPr>
          <w:rStyle w:val="normaltextrun"/>
          <w:rFonts w:ascii="Palatino Linotype" w:hAnsi="Palatino Linotype" w:cs="Arial"/>
        </w:rPr>
        <w:t>.</w:t>
      </w:r>
    </w:p>
    <w:p w14:paraId="0EDA3EED" w14:textId="78150E86" w:rsidR="005E0CA6" w:rsidRPr="004326A0" w:rsidRDefault="005E0CA6" w:rsidP="005E0CA6">
      <w:pPr>
        <w:spacing w:before="240" w:after="240" w:line="360" w:lineRule="auto"/>
        <w:jc w:val="both"/>
        <w:rPr>
          <w:rFonts w:ascii="Palatino Linotype" w:hAnsi="Palatino Linotype" w:cs="Arial"/>
        </w:rPr>
      </w:pPr>
      <w:r w:rsidRPr="004326A0">
        <w:rPr>
          <w:rFonts w:ascii="Palatino Linotype" w:hAnsi="Palatino Linotype" w:cs="Arial"/>
          <w:b/>
        </w:rPr>
        <w:t xml:space="preserve">Visto </w:t>
      </w:r>
      <w:r w:rsidRPr="004326A0">
        <w:rPr>
          <w:rFonts w:ascii="Palatino Linotype" w:hAnsi="Palatino Linotype" w:cs="Arial"/>
        </w:rPr>
        <w:t xml:space="preserve">el expediente relativo al recurso de revisión </w:t>
      </w:r>
      <w:r w:rsidR="00056AE1">
        <w:rPr>
          <w:rFonts w:ascii="Palatino Linotype" w:hAnsi="Palatino Linotype" w:cs="Arial"/>
          <w:b/>
          <w:bCs/>
        </w:rPr>
        <w:t>02774/INFOEM/IP/RR/2021</w:t>
      </w:r>
      <w:r w:rsidRPr="004326A0">
        <w:rPr>
          <w:rFonts w:ascii="Palatino Linotype" w:hAnsi="Palatino Linotype" w:cs="Arial"/>
        </w:rPr>
        <w:t>, interpuesto por</w:t>
      </w:r>
      <w:r w:rsidR="008A5BDF">
        <w:rPr>
          <w:rFonts w:ascii="Palatino Linotype" w:hAnsi="Palatino Linotype" w:cs="Arial"/>
          <w:b/>
          <w:lang w:val="es-ES_tradnl"/>
        </w:rPr>
        <w:t xml:space="preserve"> un particular de manera anónima</w:t>
      </w:r>
      <w:r w:rsidRPr="004326A0">
        <w:rPr>
          <w:rFonts w:ascii="Palatino Linotype" w:hAnsi="Palatino Linotype" w:cs="Arial"/>
        </w:rPr>
        <w:t xml:space="preserve">, en lo sucesivo </w:t>
      </w:r>
      <w:r w:rsidR="008A5BDF">
        <w:rPr>
          <w:rFonts w:ascii="Palatino Linotype" w:hAnsi="Palatino Linotype" w:cs="Arial"/>
          <w:b/>
        </w:rPr>
        <w:t>la parte</w:t>
      </w:r>
      <w:r w:rsidRPr="004326A0">
        <w:rPr>
          <w:rFonts w:ascii="Palatino Linotype" w:hAnsi="Palatino Linotype" w:cs="Arial"/>
        </w:rPr>
        <w:t xml:space="preserve"> </w:t>
      </w:r>
      <w:r w:rsidRPr="004326A0">
        <w:rPr>
          <w:rFonts w:ascii="Palatino Linotype" w:hAnsi="Palatino Linotype" w:cs="Arial"/>
          <w:b/>
        </w:rPr>
        <w:t>recurrente</w:t>
      </w:r>
      <w:r w:rsidRPr="004326A0">
        <w:rPr>
          <w:rFonts w:ascii="Palatino Linotype" w:hAnsi="Palatino Linotype" w:cs="Arial"/>
        </w:rPr>
        <w:t xml:space="preserve"> en contra de la respuesta emitida a la solicitud de información con número de folio </w:t>
      </w:r>
      <w:r w:rsidR="00056AE1" w:rsidRPr="00056AE1">
        <w:rPr>
          <w:rFonts w:ascii="Palatino Linotype" w:hAnsi="Palatino Linotype" w:cs="Arial"/>
          <w:b/>
          <w:bCs/>
        </w:rPr>
        <w:t>00188/UAEM/IP/2021</w:t>
      </w:r>
      <w:r w:rsidR="00056AE1">
        <w:rPr>
          <w:rFonts w:ascii="Palatino Linotype" w:hAnsi="Palatino Linotype" w:cs="Arial"/>
        </w:rPr>
        <w:t>, por parte de la</w:t>
      </w:r>
      <w:r w:rsidRPr="004326A0">
        <w:rPr>
          <w:rFonts w:ascii="Palatino Linotype" w:hAnsi="Palatino Linotype" w:cs="Arial"/>
        </w:rPr>
        <w:t xml:space="preserve"> </w:t>
      </w:r>
      <w:r w:rsidR="00056AE1">
        <w:rPr>
          <w:rFonts w:ascii="Palatino Linotype" w:hAnsi="Palatino Linotype" w:cs="Arial"/>
          <w:b/>
          <w:bCs/>
        </w:rPr>
        <w:t xml:space="preserve"> Universidad Autónoma </w:t>
      </w:r>
      <w:r w:rsidR="008A5BDF" w:rsidRPr="008A5BDF">
        <w:rPr>
          <w:rFonts w:ascii="Palatino Linotype" w:hAnsi="Palatino Linotype" w:cs="Arial"/>
          <w:b/>
          <w:bCs/>
        </w:rPr>
        <w:t>del Estado de México</w:t>
      </w:r>
      <w:r w:rsidRPr="004326A0">
        <w:rPr>
          <w:rFonts w:ascii="Palatino Linotype" w:hAnsi="Palatino Linotype" w:cs="Arial"/>
        </w:rPr>
        <w:t xml:space="preserve">, en lo sucesivo el </w:t>
      </w:r>
      <w:r w:rsidR="008A5BDF">
        <w:rPr>
          <w:rFonts w:ascii="Palatino Linotype" w:hAnsi="Palatino Linotype" w:cs="Arial"/>
          <w:b/>
        </w:rPr>
        <w:t>Sujeto Obligado</w:t>
      </w:r>
      <w:r w:rsidRPr="004326A0">
        <w:rPr>
          <w:rFonts w:ascii="Palatino Linotype" w:hAnsi="Palatino Linotype" w:cs="Arial"/>
          <w:b/>
        </w:rPr>
        <w:t xml:space="preserve"> </w:t>
      </w:r>
      <w:r w:rsidRPr="004326A0">
        <w:rPr>
          <w:rFonts w:ascii="Palatino Linotype" w:hAnsi="Palatino Linotype" w:cs="Arial"/>
        </w:rPr>
        <w:t>se procede a dictar la presente resolución, con base en lo siguiente.</w:t>
      </w:r>
    </w:p>
    <w:p w14:paraId="65ACCF08" w14:textId="77777777" w:rsidR="005E0CA6" w:rsidRPr="004326A0" w:rsidRDefault="005E0CA6" w:rsidP="00963DFA">
      <w:pPr>
        <w:pStyle w:val="Prrafodelista"/>
        <w:numPr>
          <w:ilvl w:val="0"/>
          <w:numId w:val="1"/>
        </w:numPr>
        <w:spacing w:before="240" w:after="240" w:line="360" w:lineRule="auto"/>
        <w:ind w:left="426" w:hanging="284"/>
        <w:contextualSpacing/>
        <w:jc w:val="center"/>
        <w:rPr>
          <w:rFonts w:ascii="Palatino Linotype" w:hAnsi="Palatino Linotype" w:cs="Arial"/>
          <w:b/>
          <w:sz w:val="24"/>
          <w:szCs w:val="24"/>
        </w:rPr>
      </w:pPr>
      <w:r w:rsidRPr="004326A0">
        <w:rPr>
          <w:rFonts w:ascii="Palatino Linotype" w:hAnsi="Palatino Linotype" w:cs="Arial"/>
          <w:b/>
          <w:sz w:val="24"/>
          <w:szCs w:val="24"/>
        </w:rPr>
        <w:t>A N T E C E D E N T E S:</w:t>
      </w:r>
    </w:p>
    <w:p w14:paraId="318F43F1" w14:textId="3C0B9B88" w:rsidR="005E0CA6" w:rsidRPr="004326A0" w:rsidRDefault="005E0CA6" w:rsidP="005E0CA6">
      <w:pPr>
        <w:spacing w:before="240" w:after="240" w:line="360" w:lineRule="auto"/>
        <w:jc w:val="both"/>
        <w:rPr>
          <w:rFonts w:ascii="Palatino Linotype" w:hAnsi="Palatino Linotype" w:cs="Arial"/>
          <w:b/>
        </w:rPr>
      </w:pPr>
      <w:r w:rsidRPr="004326A0">
        <w:rPr>
          <w:rFonts w:ascii="Palatino Linotype" w:hAnsi="Palatino Linotype" w:cs="Arial"/>
          <w:b/>
        </w:rPr>
        <w:t xml:space="preserve">1. Solicitud de acceso a la información. </w:t>
      </w:r>
      <w:r w:rsidR="008A5BDF">
        <w:rPr>
          <w:rFonts w:ascii="Palatino Linotype" w:hAnsi="Palatino Linotype" w:cs="Arial"/>
        </w:rPr>
        <w:t xml:space="preserve">El </w:t>
      </w:r>
      <w:r w:rsidR="00056AE1">
        <w:rPr>
          <w:rFonts w:ascii="Palatino Linotype" w:hAnsi="Palatino Linotype" w:cs="Arial"/>
          <w:b/>
        </w:rPr>
        <w:t>catorce</w:t>
      </w:r>
      <w:r w:rsidRPr="008A5BDF">
        <w:rPr>
          <w:rFonts w:ascii="Palatino Linotype" w:hAnsi="Palatino Linotype" w:cs="Arial"/>
          <w:b/>
        </w:rPr>
        <w:t xml:space="preserve"> d</w:t>
      </w:r>
      <w:r w:rsidRPr="008921BD">
        <w:rPr>
          <w:rFonts w:ascii="Palatino Linotype" w:hAnsi="Palatino Linotype" w:cs="Arial"/>
          <w:b/>
        </w:rPr>
        <w:t xml:space="preserve">e </w:t>
      </w:r>
      <w:r w:rsidR="00056AE1">
        <w:rPr>
          <w:rFonts w:ascii="Palatino Linotype" w:hAnsi="Palatino Linotype" w:cs="Arial"/>
          <w:b/>
        </w:rPr>
        <w:t>abril</w:t>
      </w:r>
      <w:r w:rsidR="000509AF" w:rsidRPr="008921BD">
        <w:rPr>
          <w:rFonts w:ascii="Palatino Linotype" w:hAnsi="Palatino Linotype" w:cs="Arial"/>
          <w:b/>
        </w:rPr>
        <w:t xml:space="preserve"> </w:t>
      </w:r>
      <w:r w:rsidR="00056AE1">
        <w:rPr>
          <w:rFonts w:ascii="Palatino Linotype" w:hAnsi="Palatino Linotype" w:cs="Arial"/>
          <w:b/>
        </w:rPr>
        <w:t>de dos mil veintiuno</w:t>
      </w:r>
      <w:r w:rsidR="00C93F5E">
        <w:rPr>
          <w:rFonts w:ascii="Palatino Linotype" w:hAnsi="Palatino Linotype" w:cs="Arial"/>
        </w:rPr>
        <w:t xml:space="preserve">, la parte </w:t>
      </w:r>
      <w:r w:rsidRPr="004326A0">
        <w:rPr>
          <w:rFonts w:ascii="Palatino Linotype" w:hAnsi="Palatino Linotype" w:cs="Arial"/>
          <w:b/>
        </w:rPr>
        <w:t>recurrente</w:t>
      </w:r>
      <w:r w:rsidRPr="004326A0">
        <w:rPr>
          <w:rFonts w:ascii="Palatino Linotype" w:hAnsi="Palatino Linotype" w:cs="Arial"/>
        </w:rPr>
        <w:t xml:space="preserve"> formuló solicitud de acceso a información pública al </w:t>
      </w:r>
      <w:r w:rsidRPr="004326A0">
        <w:rPr>
          <w:rFonts w:ascii="Palatino Linotype" w:hAnsi="Palatino Linotype" w:cs="Arial"/>
          <w:b/>
        </w:rPr>
        <w:t>Sujeto Obligado</w:t>
      </w:r>
      <w:r w:rsidRPr="004326A0">
        <w:rPr>
          <w:rFonts w:ascii="Palatino Linotype" w:hAnsi="Palatino Linotype" w:cs="Arial"/>
        </w:rPr>
        <w:t xml:space="preserve"> a través del Sistema de Acceso a la Información Mexiquense, en adelante </w:t>
      </w:r>
      <w:r w:rsidRPr="004326A0">
        <w:rPr>
          <w:rFonts w:ascii="Palatino Linotype" w:hAnsi="Palatino Linotype" w:cs="Arial"/>
          <w:b/>
        </w:rPr>
        <w:t>SAIMEX,</w:t>
      </w:r>
      <w:r w:rsidRPr="004326A0">
        <w:rPr>
          <w:rFonts w:ascii="Palatino Linotype" w:hAnsi="Palatino Linotype" w:cs="Arial"/>
        </w:rPr>
        <w:t xml:space="preserve"> requiriéndole lo siguiente:</w:t>
      </w:r>
    </w:p>
    <w:p w14:paraId="07370252" w14:textId="05B080BF" w:rsidR="005E0CA6" w:rsidRPr="004326A0" w:rsidRDefault="005E0CA6" w:rsidP="00963DFA">
      <w:pPr>
        <w:autoSpaceDE w:val="0"/>
        <w:autoSpaceDN w:val="0"/>
        <w:adjustRightInd w:val="0"/>
        <w:ind w:left="992" w:right="1043"/>
        <w:jc w:val="both"/>
        <w:rPr>
          <w:rFonts w:ascii="Palatino Linotype" w:hAnsi="Palatino Linotype" w:cs="Arial"/>
          <w:i/>
          <w:sz w:val="22"/>
          <w:szCs w:val="22"/>
        </w:rPr>
      </w:pPr>
      <w:r w:rsidRPr="004326A0">
        <w:rPr>
          <w:rFonts w:ascii="Palatino Linotype" w:hAnsi="Palatino Linotype" w:cs="Arial"/>
          <w:i/>
          <w:sz w:val="22"/>
          <w:szCs w:val="22"/>
        </w:rPr>
        <w:t xml:space="preserve"> “</w:t>
      </w:r>
      <w:r w:rsidR="00056AE1" w:rsidRPr="00056AE1">
        <w:rPr>
          <w:rFonts w:ascii="Palatino Linotype" w:hAnsi="Palatino Linotype" w:cs="Arial"/>
          <w:i/>
          <w:sz w:val="22"/>
          <w:szCs w:val="22"/>
        </w:rPr>
        <w:t xml:space="preserve">Solicito Copia simple de la Acta de elección de consejeros universitarios de la Facultad de Humanidades del año 2020 tanto de consejos docentes y de alumnos. Todo lo anterior lo solicito en virtud de mi derecho de acceso a la información del texto vigente de la Ley Federal de Transparencia y Acceso a la Información Pública, publicada el pasado 9 de mayo de 2016, cuyo Capítulo 1, Artículo 2, fracciones I, II y III, señalan que se debe "I Proveer lo necesario para que todo solicitante pueda tener acceso a la información mediante procedimientos sencillos y expeditos; II. Transparentar la gestión pública mediante la difusión de la información oportuna, verificable, inteligible, relevante e integral; y III. Favorecer la rendición de cuentas a los ciudadanos, </w:t>
      </w:r>
      <w:r w:rsidR="00056AE1" w:rsidRPr="00056AE1">
        <w:rPr>
          <w:rFonts w:ascii="Palatino Linotype" w:hAnsi="Palatino Linotype" w:cs="Arial"/>
          <w:i/>
          <w:sz w:val="22"/>
          <w:szCs w:val="22"/>
        </w:rPr>
        <w:lastRenderedPageBreak/>
        <w:t>de manera que puedan valorar el desempeño de los sujetos obligados Así como el Artículo 3, Capítulo 1, el cual prevé que "Toda la información generada, obtenida, adquirida, transformada o en posesión de los sujetos obligados en el ámbito federal, a que se refiere la Ley General de Transparencia y Acceso a la Información Pública y esta Ley, es pública, accesible a cualquier persona y sólo podrá ser clasificada excepcionalmente como reservada de forma temporal por razones de interés público y seguridad nacional o bien, como confidencial. Los particulares tendrán acceso a la misma en los términos que estas leyes señalan. "El derecho humano de acceso a la información comprende solicitar, investigar, difundir, buscar y recibir información".</w:t>
      </w:r>
      <w:r w:rsidRPr="004326A0">
        <w:rPr>
          <w:rFonts w:ascii="Palatino Linotype" w:hAnsi="Palatino Linotype" w:cs="Arial"/>
          <w:i/>
          <w:sz w:val="22"/>
          <w:szCs w:val="22"/>
        </w:rPr>
        <w:t>” (sic)</w:t>
      </w:r>
    </w:p>
    <w:p w14:paraId="6460BF35" w14:textId="77777777" w:rsidR="005E0CA6" w:rsidRPr="004326A0" w:rsidRDefault="005E0CA6" w:rsidP="005E0CA6">
      <w:pPr>
        <w:autoSpaceDE w:val="0"/>
        <w:autoSpaceDN w:val="0"/>
        <w:adjustRightInd w:val="0"/>
        <w:ind w:right="1043"/>
        <w:jc w:val="both"/>
        <w:rPr>
          <w:rFonts w:ascii="Palatino Linotype" w:hAnsi="Palatino Linotype"/>
          <w:i/>
          <w:sz w:val="22"/>
          <w:szCs w:val="22"/>
        </w:rPr>
      </w:pPr>
    </w:p>
    <w:p w14:paraId="6E942FAA" w14:textId="77777777" w:rsidR="005E0CA6" w:rsidRPr="004326A0" w:rsidRDefault="005E0CA6" w:rsidP="005E0CA6">
      <w:pPr>
        <w:spacing w:before="240" w:after="240" w:line="360" w:lineRule="auto"/>
        <w:jc w:val="both"/>
        <w:rPr>
          <w:rFonts w:ascii="Palatino Linotype" w:hAnsi="Palatino Linotype" w:cs="Arial"/>
        </w:rPr>
      </w:pPr>
      <w:r w:rsidRPr="004326A0">
        <w:rPr>
          <w:rFonts w:ascii="Palatino Linotype" w:hAnsi="Palatino Linotype" w:cs="Arial"/>
          <w:b/>
        </w:rPr>
        <w:t xml:space="preserve">Modalidad elegida para la entrega de la información: </w:t>
      </w:r>
      <w:r w:rsidRPr="004326A0">
        <w:rPr>
          <w:rFonts w:ascii="Palatino Linotype" w:hAnsi="Palatino Linotype" w:cs="Arial"/>
        </w:rPr>
        <w:t>a través del SAIMEX.</w:t>
      </w:r>
    </w:p>
    <w:p w14:paraId="45F57DAD" w14:textId="216E3DEC" w:rsidR="005E0CA6" w:rsidRPr="004326A0" w:rsidRDefault="005E0CA6" w:rsidP="005E0CA6">
      <w:pPr>
        <w:spacing w:before="240" w:after="240" w:line="360" w:lineRule="auto"/>
        <w:jc w:val="both"/>
        <w:rPr>
          <w:rFonts w:ascii="Palatino Linotype" w:hAnsi="Palatino Linotype" w:cs="Arial"/>
          <w:bCs/>
        </w:rPr>
      </w:pPr>
      <w:r w:rsidRPr="004326A0">
        <w:rPr>
          <w:rFonts w:ascii="Palatino Linotype" w:hAnsi="Palatino Linotype" w:cs="Arial"/>
          <w:b/>
        </w:rPr>
        <w:t xml:space="preserve">2. Respuesta. </w:t>
      </w:r>
      <w:r w:rsidRPr="004326A0">
        <w:rPr>
          <w:rFonts w:ascii="Palatino Linotype" w:hAnsi="Palatino Linotype" w:cs="Arial"/>
        </w:rPr>
        <w:t xml:space="preserve">De las constancias que obran en </w:t>
      </w:r>
      <w:r w:rsidRPr="004326A0">
        <w:rPr>
          <w:rFonts w:ascii="Palatino Linotype" w:hAnsi="Palatino Linotype" w:cs="Arial"/>
          <w:b/>
        </w:rPr>
        <w:t>SAIMEX</w:t>
      </w:r>
      <w:r w:rsidRPr="004326A0">
        <w:rPr>
          <w:rFonts w:ascii="Palatino Linotype" w:hAnsi="Palatino Linotype" w:cs="Arial"/>
        </w:rPr>
        <w:t xml:space="preserve">, se observa que </w:t>
      </w:r>
      <w:r w:rsidRPr="004326A0">
        <w:rPr>
          <w:rFonts w:ascii="Palatino Linotype" w:hAnsi="Palatino Linotype" w:cs="Arial"/>
          <w:b/>
        </w:rPr>
        <w:t xml:space="preserve">El Sujeto Obligado </w:t>
      </w:r>
      <w:r w:rsidR="00DE3525">
        <w:rPr>
          <w:rFonts w:ascii="Palatino Linotype" w:hAnsi="Palatino Linotype" w:cs="Arial"/>
        </w:rPr>
        <w:t xml:space="preserve">en fecha </w:t>
      </w:r>
      <w:r w:rsidR="00DE3525" w:rsidRPr="00DE3525">
        <w:rPr>
          <w:rFonts w:ascii="Palatino Linotype" w:hAnsi="Palatino Linotype" w:cs="Arial"/>
          <w:b/>
        </w:rPr>
        <w:t xml:space="preserve">seis </w:t>
      </w:r>
      <w:r w:rsidR="00DE3525">
        <w:rPr>
          <w:rFonts w:ascii="Palatino Linotype" w:hAnsi="Palatino Linotype" w:cs="Arial"/>
          <w:b/>
        </w:rPr>
        <w:t>de mayo</w:t>
      </w:r>
      <w:r w:rsidRPr="008921BD">
        <w:rPr>
          <w:rFonts w:ascii="Palatino Linotype" w:hAnsi="Palatino Linotype" w:cs="Arial"/>
          <w:b/>
        </w:rPr>
        <w:t xml:space="preserve"> de d</w:t>
      </w:r>
      <w:r w:rsidR="00DE3525">
        <w:rPr>
          <w:rFonts w:ascii="Palatino Linotype" w:hAnsi="Palatino Linotype" w:cs="Arial"/>
          <w:b/>
        </w:rPr>
        <w:t>os mil veintiuno</w:t>
      </w:r>
      <w:r w:rsidRPr="008921BD">
        <w:rPr>
          <w:rFonts w:ascii="Palatino Linotype" w:hAnsi="Palatino Linotype" w:cs="Arial"/>
          <w:b/>
        </w:rPr>
        <w:t xml:space="preserve"> </w:t>
      </w:r>
      <w:r w:rsidRPr="004326A0">
        <w:rPr>
          <w:rFonts w:ascii="Palatino Linotype" w:hAnsi="Palatino Linotype" w:cs="Arial"/>
        </w:rPr>
        <w:t>emitió respuesta, en los siguientes términos:</w:t>
      </w:r>
    </w:p>
    <w:p w14:paraId="7D1E68E4" w14:textId="36047311" w:rsidR="00467CAE" w:rsidRPr="008A5BDF" w:rsidRDefault="008A5BDF" w:rsidP="00DE3525">
      <w:pPr>
        <w:ind w:left="567" w:right="851"/>
        <w:jc w:val="both"/>
        <w:rPr>
          <w:rFonts w:ascii="Palatino Linotype" w:hAnsi="Palatino Linotype" w:cs="Arial"/>
          <w:i/>
          <w:sz w:val="22"/>
          <w:szCs w:val="22"/>
        </w:rPr>
      </w:pPr>
      <w:r>
        <w:rPr>
          <w:rFonts w:ascii="Palatino Linotype" w:hAnsi="Palatino Linotype" w:cs="Arial"/>
          <w:i/>
          <w:sz w:val="22"/>
          <w:szCs w:val="22"/>
        </w:rPr>
        <w:t>“</w:t>
      </w:r>
      <w:r w:rsidR="00DE3525" w:rsidRPr="00DE3525">
        <w:rPr>
          <w:rFonts w:ascii="Palatino Linotype" w:hAnsi="Palatino Linotype" w:cs="Arial"/>
          <w:i/>
          <w:sz w:val="22"/>
          <w:szCs w:val="22"/>
        </w:rPr>
        <w:t xml:space="preserve">En respuesta a la solicitud de acceso a la información pública con número de folio 00188/UAEM/IP/2021,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solicitada, es menester señalar que la entrega de la información es en formatos abiertos, es decir, dejando visibles los nombres de los Consejeros Alumnos, en virtud de que su nombre aparece en documentos que contienen actos de autoridad y su publicidad permite corroborar la legitimidad de estos y transparenta la gestión de dichos órganos de gobierno, por lo que, al no tratarse de información exclusivamente vinculada a su vida privada, no puede confirmarse la confidencialidad, lo anterior es así en atención a los criterios emitidos por unanimidad por el Pleno del Instituto de Transparencia, Acceso a la Información Pública y Protección de Datos Personales del Estado de México y Municipios. Finalmente se hace de su conocimiento que de conformidad con los artículos 176, 177, 178 y demás relativos y aplicables de la Ley de Transparencia, Acceso a la </w:t>
      </w:r>
      <w:r w:rsidR="00DE3525" w:rsidRPr="00DE3525">
        <w:rPr>
          <w:rFonts w:ascii="Palatino Linotype" w:hAnsi="Palatino Linotype" w:cs="Arial"/>
          <w:i/>
          <w:sz w:val="22"/>
          <w:szCs w:val="22"/>
        </w:rPr>
        <w:lastRenderedPageBreak/>
        <w:t>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Pr>
          <w:rFonts w:ascii="Palatino Linotype" w:hAnsi="Palatino Linotype" w:cs="Arial"/>
          <w:i/>
          <w:sz w:val="22"/>
          <w:szCs w:val="22"/>
        </w:rPr>
        <w:t>”</w:t>
      </w:r>
    </w:p>
    <w:p w14:paraId="12AAE6D2" w14:textId="77777777" w:rsidR="00467CAE" w:rsidRDefault="00467CAE" w:rsidP="005E0CA6">
      <w:pPr>
        <w:ind w:right="851"/>
        <w:jc w:val="both"/>
        <w:rPr>
          <w:rFonts w:ascii="Palatino Linotype" w:hAnsi="Palatino Linotype" w:cs="Arial"/>
          <w:b/>
          <w:sz w:val="22"/>
          <w:szCs w:val="22"/>
        </w:rPr>
      </w:pPr>
    </w:p>
    <w:p w14:paraId="1D78AAEC" w14:textId="5766C938" w:rsidR="008921BD" w:rsidRDefault="008921BD" w:rsidP="005E0CA6">
      <w:pPr>
        <w:ind w:right="851"/>
        <w:jc w:val="both"/>
        <w:rPr>
          <w:rFonts w:ascii="Palatino Linotype" w:hAnsi="Palatino Linotype" w:cs="Arial"/>
          <w:b/>
          <w:sz w:val="22"/>
          <w:szCs w:val="22"/>
        </w:rPr>
      </w:pPr>
      <w:r>
        <w:rPr>
          <w:rFonts w:ascii="Palatino Linotype" w:hAnsi="Palatino Linotype" w:cs="Arial"/>
          <w:b/>
          <w:sz w:val="22"/>
          <w:szCs w:val="22"/>
        </w:rPr>
        <w:t xml:space="preserve">Archivos adjuntos: </w:t>
      </w:r>
    </w:p>
    <w:p w14:paraId="6B6735D3" w14:textId="70DC14C5" w:rsidR="00DE3525" w:rsidRPr="00541CBF" w:rsidRDefault="00DE3525" w:rsidP="00541CBF">
      <w:pPr>
        <w:pStyle w:val="Prrafodelista"/>
        <w:numPr>
          <w:ilvl w:val="0"/>
          <w:numId w:val="18"/>
        </w:numPr>
        <w:spacing w:line="360" w:lineRule="auto"/>
        <w:ind w:left="714" w:right="851" w:hanging="357"/>
        <w:jc w:val="both"/>
        <w:rPr>
          <w:rFonts w:ascii="Palatino Linotype" w:hAnsi="Palatino Linotype" w:cs="Arial"/>
          <w:sz w:val="28"/>
        </w:rPr>
      </w:pPr>
      <w:r w:rsidRPr="00541CBF">
        <w:rPr>
          <w:rFonts w:ascii="Palatino Linotype" w:hAnsi="Palatino Linotype" w:cs="Arial"/>
          <w:b/>
          <w:i/>
        </w:rPr>
        <w:t>“Cédula de evaluación 01882021.docx”</w:t>
      </w:r>
      <w:r w:rsidR="00541CBF" w:rsidRPr="00541CBF">
        <w:rPr>
          <w:rFonts w:ascii="Palatino Linotype" w:hAnsi="Palatino Linotype" w:cs="Arial"/>
          <w:b/>
          <w:i/>
        </w:rPr>
        <w:t xml:space="preserve">: </w:t>
      </w:r>
      <w:r w:rsidR="00541CBF" w:rsidRPr="00541CBF">
        <w:rPr>
          <w:rFonts w:ascii="Palatino Linotype" w:hAnsi="Palatino Linotype" w:cs="Arial"/>
        </w:rPr>
        <w:t>Cédula de Evaluación del Servicio para Usuarios Virtuales con Solicitud de Información Pública.</w:t>
      </w:r>
    </w:p>
    <w:p w14:paraId="7CFD25F7" w14:textId="19748AF3" w:rsidR="00DE3525" w:rsidRPr="00541CBF" w:rsidRDefault="00541CBF" w:rsidP="00541CBF">
      <w:pPr>
        <w:pStyle w:val="Prrafodelista"/>
        <w:numPr>
          <w:ilvl w:val="0"/>
          <w:numId w:val="18"/>
        </w:numPr>
        <w:spacing w:line="360" w:lineRule="auto"/>
        <w:ind w:left="714" w:right="851" w:hanging="357"/>
        <w:jc w:val="both"/>
        <w:rPr>
          <w:rFonts w:ascii="Palatino Linotype" w:hAnsi="Palatino Linotype" w:cs="Arial"/>
          <w:b/>
          <w:i/>
        </w:rPr>
      </w:pPr>
      <w:r w:rsidRPr="00541CBF">
        <w:rPr>
          <w:rFonts w:ascii="Palatino Linotype" w:hAnsi="Palatino Linotype" w:cs="Arial"/>
          <w:b/>
          <w:i/>
        </w:rPr>
        <w:t>“</w:t>
      </w:r>
      <w:r w:rsidR="00DE3525" w:rsidRPr="00541CBF">
        <w:rPr>
          <w:rFonts w:ascii="Palatino Linotype" w:hAnsi="Palatino Linotype" w:cs="Arial"/>
          <w:b/>
          <w:i/>
        </w:rPr>
        <w:t>consejeros alumnos.pdf</w:t>
      </w:r>
      <w:r w:rsidRPr="00541CBF">
        <w:rPr>
          <w:rFonts w:ascii="Palatino Linotype" w:hAnsi="Palatino Linotype" w:cs="Arial"/>
          <w:b/>
          <w:i/>
        </w:rPr>
        <w:t>”</w:t>
      </w:r>
      <w:r>
        <w:rPr>
          <w:rFonts w:ascii="Palatino Linotype" w:hAnsi="Palatino Linotype" w:cs="Arial"/>
          <w:b/>
          <w:i/>
        </w:rPr>
        <w:t xml:space="preserve"> y </w:t>
      </w:r>
      <w:r w:rsidRPr="00541CBF">
        <w:rPr>
          <w:rFonts w:ascii="Palatino Linotype" w:hAnsi="Palatino Linotype" w:cs="Arial"/>
          <w:b/>
          <w:i/>
        </w:rPr>
        <w:t>“</w:t>
      </w:r>
      <w:r w:rsidR="00DE3525" w:rsidRPr="00541CBF">
        <w:rPr>
          <w:rFonts w:ascii="Palatino Linotype" w:hAnsi="Palatino Linotype" w:cs="Arial"/>
          <w:b/>
          <w:i/>
        </w:rPr>
        <w:t>consejeros docentes.pdf</w:t>
      </w:r>
      <w:r w:rsidRPr="00541CBF">
        <w:rPr>
          <w:rFonts w:ascii="Palatino Linotype" w:hAnsi="Palatino Linotype" w:cs="Arial"/>
          <w:b/>
          <w:i/>
        </w:rPr>
        <w:t>”:</w:t>
      </w:r>
      <w:r>
        <w:rPr>
          <w:rFonts w:ascii="Palatino Linotype" w:hAnsi="Palatino Linotype" w:cs="Arial"/>
          <w:b/>
          <w:i/>
        </w:rPr>
        <w:t xml:space="preserve"> </w:t>
      </w:r>
      <w:r>
        <w:rPr>
          <w:rFonts w:ascii="Palatino Linotype" w:hAnsi="Palatino Linotype" w:cs="Arial"/>
        </w:rPr>
        <w:t>Documentos los cuales se omite su descripción, no obstante serán motivo de análisis en el cuerpo de la presente resolución.</w:t>
      </w:r>
    </w:p>
    <w:p w14:paraId="0E4C82A7" w14:textId="371A35C7" w:rsidR="0060556D" w:rsidRPr="00541CBF" w:rsidRDefault="005E0CA6" w:rsidP="008A5BDF">
      <w:pPr>
        <w:spacing w:before="240" w:after="240" w:line="360" w:lineRule="auto"/>
        <w:jc w:val="both"/>
        <w:rPr>
          <w:rFonts w:ascii="Palatino Linotype" w:hAnsi="Palatino Linotype" w:cs="Arial"/>
          <w:b/>
        </w:rPr>
      </w:pPr>
      <w:r w:rsidRPr="008A5BDF">
        <w:rPr>
          <w:rFonts w:ascii="Palatino Linotype" w:hAnsi="Palatino Linotype"/>
          <w:b/>
        </w:rPr>
        <w:t>3.</w:t>
      </w:r>
      <w:r w:rsidRPr="008A5BDF">
        <w:rPr>
          <w:rFonts w:ascii="Palatino Linotype" w:hAnsi="Palatino Linotype" w:cs="Arial"/>
          <w:b/>
        </w:rPr>
        <w:t xml:space="preserve"> Interposición del recurso de revisión. </w:t>
      </w:r>
      <w:r w:rsidRPr="008A5BDF">
        <w:rPr>
          <w:rFonts w:ascii="Palatino Linotype" w:hAnsi="Palatino Linotype" w:cs="Arial"/>
        </w:rPr>
        <w:t xml:space="preserve">Inconforme el solicitante con la respuesta del Sujeto Obligado interpuso recurso de revisión a través del SAIMEX con fecha </w:t>
      </w:r>
      <w:r w:rsidR="00B82BF7">
        <w:rPr>
          <w:rFonts w:ascii="Palatino Linotype" w:hAnsi="Palatino Linotype" w:cs="Arial"/>
          <w:b/>
        </w:rPr>
        <w:t>once de mayo de dos mil veintiuno</w:t>
      </w:r>
      <w:r w:rsidRPr="008A5BDF">
        <w:rPr>
          <w:rFonts w:ascii="Palatino Linotype" w:hAnsi="Palatino Linotype" w:cs="Arial"/>
        </w:rPr>
        <w:t>, a través del cual expresó lo siguiente:</w:t>
      </w:r>
    </w:p>
    <w:p w14:paraId="1CBA738D" w14:textId="77777777" w:rsidR="005E0CA6" w:rsidRPr="004326A0" w:rsidRDefault="005E0CA6" w:rsidP="00B82BF7">
      <w:pPr>
        <w:spacing w:line="360" w:lineRule="auto"/>
        <w:ind w:left="567" w:right="900"/>
        <w:rPr>
          <w:rFonts w:ascii="Palatino Linotype" w:hAnsi="Palatino Linotype" w:cs="Arial"/>
          <w:b/>
        </w:rPr>
      </w:pPr>
      <w:r w:rsidRPr="004326A0">
        <w:rPr>
          <w:rFonts w:ascii="Palatino Linotype" w:hAnsi="Palatino Linotype" w:cs="Arial"/>
          <w:b/>
        </w:rPr>
        <w:t>a) Acto impugnado.</w:t>
      </w:r>
    </w:p>
    <w:p w14:paraId="37EFAA76" w14:textId="1A0F2487" w:rsidR="005E0CA6" w:rsidRPr="004326A0" w:rsidRDefault="005E0CA6" w:rsidP="00B82BF7">
      <w:pPr>
        <w:spacing w:before="240" w:after="240"/>
        <w:ind w:left="567" w:right="900"/>
        <w:jc w:val="both"/>
        <w:rPr>
          <w:rFonts w:ascii="Palatino Linotype" w:hAnsi="Palatino Linotype" w:cs="Arial"/>
          <w:i/>
        </w:rPr>
      </w:pPr>
      <w:r w:rsidRPr="004326A0">
        <w:rPr>
          <w:rFonts w:ascii="Palatino Linotype" w:hAnsi="Palatino Linotype" w:cs="Arial"/>
          <w:i/>
          <w:sz w:val="22"/>
          <w:szCs w:val="22"/>
        </w:rPr>
        <w:t xml:space="preserve"> “</w:t>
      </w:r>
      <w:r w:rsidR="00B82BF7" w:rsidRPr="00B82BF7">
        <w:rPr>
          <w:rFonts w:ascii="Palatino Linotype" w:hAnsi="Palatino Linotype" w:cs="Arial"/>
          <w:bCs/>
          <w:i/>
          <w:sz w:val="22"/>
          <w:szCs w:val="22"/>
        </w:rPr>
        <w:t>Entrega de información.</w:t>
      </w:r>
      <w:r w:rsidRPr="00BD5405">
        <w:rPr>
          <w:rFonts w:ascii="Palatino Linotype" w:hAnsi="Palatino Linotype" w:cs="Arial"/>
          <w:i/>
        </w:rPr>
        <w:t>”</w:t>
      </w:r>
      <w:r w:rsidRPr="004326A0">
        <w:rPr>
          <w:rFonts w:ascii="Palatino Linotype" w:hAnsi="Palatino Linotype" w:cs="Arial"/>
          <w:i/>
        </w:rPr>
        <w:t xml:space="preserve"> (sic)</w:t>
      </w:r>
    </w:p>
    <w:p w14:paraId="2CA56FE1" w14:textId="10FE3BD1" w:rsidR="005E0CA6" w:rsidRPr="00B82BF7" w:rsidRDefault="005E0CA6" w:rsidP="00B82BF7">
      <w:pPr>
        <w:spacing w:line="360" w:lineRule="auto"/>
        <w:ind w:left="567" w:right="900"/>
        <w:jc w:val="both"/>
        <w:rPr>
          <w:rFonts w:ascii="Palatino Linotype" w:hAnsi="Palatino Linotype" w:cs="Arial"/>
          <w:b/>
        </w:rPr>
      </w:pPr>
      <w:r w:rsidRPr="004326A0">
        <w:rPr>
          <w:rFonts w:ascii="Palatino Linotype" w:hAnsi="Palatino Linotype" w:cs="Arial"/>
          <w:b/>
        </w:rPr>
        <w:t>b) Motivos de inconformidad.</w:t>
      </w:r>
    </w:p>
    <w:p w14:paraId="61C1D60A" w14:textId="10C98C7D" w:rsidR="005E0CA6" w:rsidRPr="004326A0" w:rsidRDefault="005E0CA6" w:rsidP="00B82BF7">
      <w:pPr>
        <w:ind w:left="567" w:right="900"/>
        <w:jc w:val="both"/>
        <w:rPr>
          <w:rFonts w:ascii="Palatino Linotype" w:hAnsi="Palatino Linotype" w:cs="Arial"/>
          <w:i/>
          <w:sz w:val="22"/>
          <w:szCs w:val="22"/>
        </w:rPr>
      </w:pPr>
      <w:r w:rsidRPr="004326A0">
        <w:rPr>
          <w:rFonts w:ascii="Palatino Linotype" w:hAnsi="Palatino Linotype" w:cs="Arial"/>
          <w:i/>
          <w:sz w:val="22"/>
          <w:szCs w:val="22"/>
        </w:rPr>
        <w:t>“</w:t>
      </w:r>
      <w:r w:rsidR="00B82BF7" w:rsidRPr="00B82BF7">
        <w:rPr>
          <w:rFonts w:ascii="Palatino Linotype" w:hAnsi="Palatino Linotype"/>
          <w:bCs/>
          <w:i/>
          <w:sz w:val="22"/>
          <w:szCs w:val="22"/>
        </w:rPr>
        <w:t>Se solicito el acta de elección de consejeros universitarios de la elección ordinaria de representantes alumnos de la Facultad de Humanidades ante el H. Consejo Universitario de la Universidad Autónoma del Estado de México en 2020. El sujeto obligado entrego el registro de aspirantes y no el acta de elección.</w:t>
      </w:r>
      <w:r w:rsidRPr="00BD5405">
        <w:rPr>
          <w:rFonts w:ascii="Palatino Linotype" w:hAnsi="Palatino Linotype" w:cs="Arial"/>
          <w:i/>
          <w:sz w:val="22"/>
          <w:szCs w:val="22"/>
        </w:rPr>
        <w:t>”</w:t>
      </w:r>
      <w:r w:rsidRPr="004326A0">
        <w:rPr>
          <w:rFonts w:ascii="Palatino Linotype" w:hAnsi="Palatino Linotype" w:cs="Arial"/>
          <w:i/>
          <w:sz w:val="22"/>
          <w:szCs w:val="22"/>
        </w:rPr>
        <w:t xml:space="preserve"> (sic)</w:t>
      </w:r>
    </w:p>
    <w:p w14:paraId="643D3807" w14:textId="77777777" w:rsidR="005E0CA6" w:rsidRPr="004326A0" w:rsidRDefault="005E0CA6" w:rsidP="00B82BF7">
      <w:pPr>
        <w:ind w:left="567" w:right="900"/>
        <w:jc w:val="both"/>
        <w:rPr>
          <w:rFonts w:ascii="Palatino Linotype" w:hAnsi="Palatino Linotype" w:cs="Arial"/>
          <w:i/>
          <w:sz w:val="22"/>
          <w:szCs w:val="22"/>
        </w:rPr>
      </w:pPr>
    </w:p>
    <w:p w14:paraId="2C53241F" w14:textId="7E86D91F" w:rsidR="005E0CA6" w:rsidRPr="004326A0" w:rsidRDefault="005E0CA6" w:rsidP="005E0CA6">
      <w:pPr>
        <w:spacing w:before="240" w:after="240" w:line="360" w:lineRule="auto"/>
        <w:jc w:val="both"/>
        <w:rPr>
          <w:rFonts w:ascii="Palatino Linotype" w:hAnsi="Palatino Linotype"/>
        </w:rPr>
      </w:pPr>
      <w:r w:rsidRPr="004326A0">
        <w:rPr>
          <w:rFonts w:ascii="Palatino Linotype" w:hAnsi="Palatino Linotype" w:cs="Arial"/>
          <w:b/>
        </w:rPr>
        <w:t xml:space="preserve">4. </w:t>
      </w:r>
      <w:r w:rsidRPr="004326A0">
        <w:rPr>
          <w:rFonts w:ascii="Palatino Linotype" w:hAnsi="Palatino Linotype"/>
          <w:b/>
        </w:rPr>
        <w:t xml:space="preserve">Turno. </w:t>
      </w:r>
      <w:r w:rsidRPr="004326A0">
        <w:rPr>
          <w:rFonts w:ascii="Palatino Linotype" w:hAnsi="Palatino Linotype"/>
        </w:rPr>
        <w:t xml:space="preserve">De conformidad con el artículo 185 fracción I </w:t>
      </w:r>
      <w:r w:rsidRPr="004326A0">
        <w:rPr>
          <w:rFonts w:ascii="Palatino Linotype" w:hAnsi="Palatino Linotype"/>
          <w:shd w:val="clear" w:color="auto" w:fill="FFFFFF"/>
        </w:rPr>
        <w:t>de la Ley Transparencia y Acceso a la Información Pública</w:t>
      </w:r>
      <w:r w:rsidRPr="004326A0">
        <w:rPr>
          <w:rFonts w:ascii="Palatino Linotype" w:hAnsi="Palatino Linotype" w:cs="Arial"/>
        </w:rPr>
        <w:t xml:space="preserve">, el recurso de revisión número </w:t>
      </w:r>
      <w:r w:rsidRPr="004326A0">
        <w:rPr>
          <w:rFonts w:ascii="Palatino Linotype" w:hAnsi="Palatino Linotype" w:cs="Arial"/>
          <w:b/>
        </w:rPr>
        <w:t>0</w:t>
      </w:r>
      <w:r w:rsidR="003538A4">
        <w:rPr>
          <w:rFonts w:ascii="Palatino Linotype" w:hAnsi="Palatino Linotype" w:cs="Arial"/>
          <w:b/>
        </w:rPr>
        <w:t>277</w:t>
      </w:r>
      <w:r w:rsidR="002C4AD5" w:rsidRPr="004326A0">
        <w:rPr>
          <w:rFonts w:ascii="Palatino Linotype" w:hAnsi="Palatino Linotype" w:cs="Arial"/>
          <w:b/>
        </w:rPr>
        <w:t>4</w:t>
      </w:r>
      <w:r w:rsidRPr="004326A0">
        <w:rPr>
          <w:rFonts w:ascii="Palatino Linotype" w:hAnsi="Palatino Linotype" w:cs="Arial"/>
          <w:b/>
        </w:rPr>
        <w:t>/INFOEM/IP/RR/20</w:t>
      </w:r>
      <w:r w:rsidR="002C4AD5" w:rsidRPr="004326A0">
        <w:rPr>
          <w:rFonts w:ascii="Palatino Linotype" w:hAnsi="Palatino Linotype" w:cs="Arial"/>
          <w:b/>
        </w:rPr>
        <w:t xml:space="preserve">20 </w:t>
      </w:r>
      <w:r w:rsidRPr="004326A0">
        <w:rPr>
          <w:rFonts w:ascii="Palatino Linotype" w:hAnsi="Palatino Linotype" w:cs="Arial"/>
          <w:bCs/>
          <w:lang w:eastAsia="es-MX"/>
        </w:rPr>
        <w:t xml:space="preserve">fue </w:t>
      </w:r>
      <w:r w:rsidRPr="004326A0">
        <w:rPr>
          <w:rFonts w:ascii="Palatino Linotype" w:hAnsi="Palatino Linotype"/>
        </w:rPr>
        <w:t xml:space="preserve">turnado al </w:t>
      </w:r>
      <w:r w:rsidRPr="00467CAE">
        <w:rPr>
          <w:rFonts w:ascii="Palatino Linotype" w:hAnsi="Palatino Linotype"/>
          <w:b/>
        </w:rPr>
        <w:t>Comisionado Javier Martínez Cruz</w:t>
      </w:r>
      <w:r w:rsidRPr="004326A0">
        <w:rPr>
          <w:rFonts w:ascii="Palatino Linotype" w:hAnsi="Palatino Linotype"/>
        </w:rPr>
        <w:t>; a efecto de presentar al Pleno el proyecto de resolución correspondiente.</w:t>
      </w:r>
    </w:p>
    <w:p w14:paraId="500BF82E" w14:textId="77777777" w:rsidR="00950002" w:rsidRPr="00950002" w:rsidRDefault="00950002" w:rsidP="00950002">
      <w:pPr>
        <w:spacing w:line="360" w:lineRule="auto"/>
        <w:jc w:val="both"/>
        <w:rPr>
          <w:rFonts w:ascii="Palatino Linotype" w:hAnsi="Palatino Linotype" w:cs="Arial"/>
          <w:lang w:val="es-ES_tradnl"/>
        </w:rPr>
      </w:pPr>
      <w:r w:rsidRPr="00950002">
        <w:rPr>
          <w:rFonts w:ascii="Palatino Linotype" w:hAnsi="Palatino Linotype" w:cs="Arial"/>
          <w:lang w:val="es-ES_tradnl"/>
        </w:rPr>
        <w:lastRenderedPageBreak/>
        <w:t xml:space="preserve">El </w:t>
      </w:r>
      <w:r w:rsidRPr="00950002">
        <w:rPr>
          <w:rFonts w:ascii="Palatino Linotype" w:hAnsi="Palatino Linotype" w:cs="Arial"/>
          <w:b/>
          <w:lang w:val="es-ES_tradnl"/>
        </w:rPr>
        <w:t>veintitrés de agosto de dos mil veintiuno, en la Segunda Sesión Extraordinaria</w:t>
      </w:r>
      <w:r w:rsidRPr="00950002">
        <w:rPr>
          <w:rFonts w:ascii="Palatino Linotype" w:hAnsi="Palatino Linotype" w:cs="Arial"/>
          <w:lang w:val="es-ES_tradnl"/>
        </w:rPr>
        <w:t xml:space="preserve">, el Pleno del Instituto aprobó el returno del recurso de revisión indicado al rubro a la Ponencia de la </w:t>
      </w:r>
      <w:r w:rsidRPr="00950002">
        <w:rPr>
          <w:rFonts w:ascii="Palatino Linotype" w:hAnsi="Palatino Linotype" w:cs="Arial"/>
          <w:b/>
          <w:lang w:val="es-ES_tradnl"/>
        </w:rPr>
        <w:t>Comisionada Guadalupe Ramírez Peña</w:t>
      </w:r>
      <w:r w:rsidRPr="00950002">
        <w:rPr>
          <w:rFonts w:ascii="Palatino Linotype" w:hAnsi="Palatino Linotype" w:cs="Arial"/>
          <w:lang w:val="es-ES_tradnl"/>
        </w:rPr>
        <w:t xml:space="preserve"> para su estudio y resolución.</w:t>
      </w:r>
    </w:p>
    <w:p w14:paraId="63DD9C9A" w14:textId="7A863830" w:rsidR="002C4AD5" w:rsidRPr="004326A0" w:rsidRDefault="00467CAE" w:rsidP="002C4AD5">
      <w:pPr>
        <w:spacing w:before="240" w:after="240" w:line="360" w:lineRule="auto"/>
        <w:jc w:val="both"/>
        <w:rPr>
          <w:rFonts w:ascii="Palatino Linotype" w:hAnsi="Palatino Linotype"/>
        </w:rPr>
      </w:pPr>
      <w:r>
        <w:rPr>
          <w:rFonts w:ascii="Palatino Linotype" w:hAnsi="Palatino Linotype"/>
          <w:b/>
        </w:rPr>
        <w:t>5</w:t>
      </w:r>
      <w:r w:rsidR="002C4AD5" w:rsidRPr="004326A0">
        <w:rPr>
          <w:rFonts w:ascii="Palatino Linotype" w:hAnsi="Palatino Linotype"/>
          <w:b/>
        </w:rPr>
        <w:t xml:space="preserve">. Admisión. </w:t>
      </w:r>
      <w:r>
        <w:rPr>
          <w:rFonts w:ascii="Palatino Linotype" w:hAnsi="Palatino Linotype"/>
        </w:rPr>
        <w:t xml:space="preserve">El </w:t>
      </w:r>
      <w:r w:rsidR="00950002">
        <w:rPr>
          <w:rFonts w:ascii="Palatino Linotype" w:hAnsi="Palatino Linotype"/>
          <w:b/>
        </w:rPr>
        <w:t>catorce de mayo de dos mil veintiuno</w:t>
      </w:r>
      <w:r w:rsidR="002C4AD5" w:rsidRPr="004326A0">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47CDADB7" w14:textId="71E16534" w:rsidR="002C4AD5" w:rsidRPr="00467CAE" w:rsidRDefault="00467CAE" w:rsidP="002C4AD5">
      <w:pPr>
        <w:spacing w:before="240" w:after="240" w:line="360" w:lineRule="auto"/>
        <w:jc w:val="both"/>
        <w:rPr>
          <w:rFonts w:ascii="Palatino Linotype" w:hAnsi="Palatino Linotype" w:cs="Arial"/>
        </w:rPr>
      </w:pPr>
      <w:r w:rsidRPr="00467CAE">
        <w:rPr>
          <w:rFonts w:ascii="Palatino Linotype" w:hAnsi="Palatino Linotype" w:cs="Arial"/>
          <w:b/>
        </w:rPr>
        <w:t>6. Manifestaciones</w:t>
      </w:r>
      <w:r w:rsidR="002C4AD5" w:rsidRPr="00467CAE">
        <w:rPr>
          <w:rFonts w:ascii="Palatino Linotype" w:hAnsi="Palatino Linotype" w:cs="Arial"/>
          <w:b/>
        </w:rPr>
        <w:t xml:space="preserve">. </w:t>
      </w:r>
      <w:bookmarkStart w:id="2" w:name="_Hlk51223473"/>
      <w:r w:rsidR="002C4AD5" w:rsidRPr="00467CAE">
        <w:rPr>
          <w:rFonts w:ascii="Palatino Linotype" w:hAnsi="Palatino Linotype" w:cs="Arial"/>
        </w:rPr>
        <w:t xml:space="preserve">De las constancias que obran en el expediente electrónico del SAIMEX se desprende que el </w:t>
      </w:r>
      <w:r w:rsidR="002C4AD5" w:rsidRPr="00467CAE">
        <w:rPr>
          <w:rFonts w:ascii="Palatino Linotype" w:hAnsi="Palatino Linotype" w:cs="Arial"/>
          <w:b/>
        </w:rPr>
        <w:t>Sujeto Obligado</w:t>
      </w:r>
      <w:r w:rsidRPr="00467CAE">
        <w:rPr>
          <w:rFonts w:ascii="Palatino Linotype" w:hAnsi="Palatino Linotype" w:cs="Arial"/>
        </w:rPr>
        <w:t xml:space="preserve"> el </w:t>
      </w:r>
      <w:r w:rsidR="00950002">
        <w:rPr>
          <w:rFonts w:ascii="Palatino Linotype" w:hAnsi="Palatino Linotype" w:cs="Arial"/>
          <w:b/>
        </w:rPr>
        <w:t>veinticinco de mayo</w:t>
      </w:r>
      <w:r w:rsidR="002C4AD5" w:rsidRPr="00467CAE">
        <w:rPr>
          <w:rFonts w:ascii="Palatino Linotype" w:hAnsi="Palatino Linotype" w:cs="Arial"/>
          <w:b/>
        </w:rPr>
        <w:t xml:space="preserve"> del presente</w:t>
      </w:r>
      <w:r w:rsidR="002C4AD5" w:rsidRPr="00467CAE">
        <w:rPr>
          <w:rFonts w:ascii="Palatino Linotype" w:hAnsi="Palatino Linotype" w:cs="Arial"/>
        </w:rPr>
        <w:t xml:space="preserve"> </w:t>
      </w:r>
      <w:r w:rsidR="002C4AD5" w:rsidRPr="00467CAE">
        <w:rPr>
          <w:rFonts w:ascii="Palatino Linotype" w:hAnsi="Palatino Linotype" w:cs="Arial"/>
          <w:b/>
        </w:rPr>
        <w:t xml:space="preserve">año </w:t>
      </w:r>
      <w:r w:rsidR="002C4AD5" w:rsidRPr="00467CAE">
        <w:rPr>
          <w:rFonts w:ascii="Palatino Linotype" w:hAnsi="Palatino Linotype" w:cs="Arial"/>
        </w:rPr>
        <w:t>rindió su informe justificado, adjuntando los archivos electrónicos siguientes:</w:t>
      </w:r>
    </w:p>
    <w:p w14:paraId="32CE8B6A" w14:textId="14366647" w:rsidR="00CE60CE" w:rsidRPr="00CE60CE" w:rsidRDefault="00CE60CE" w:rsidP="00CE60CE">
      <w:pPr>
        <w:pStyle w:val="Prrafodelista"/>
        <w:numPr>
          <w:ilvl w:val="0"/>
          <w:numId w:val="7"/>
        </w:numPr>
        <w:spacing w:before="240" w:after="240" w:line="360" w:lineRule="auto"/>
        <w:ind w:left="567" w:right="900" w:hanging="141"/>
        <w:jc w:val="both"/>
        <w:rPr>
          <w:rFonts w:ascii="Palatino Linotype" w:hAnsi="Palatino Linotype" w:cs="Arial"/>
          <w:sz w:val="24"/>
          <w:szCs w:val="24"/>
        </w:rPr>
      </w:pPr>
      <w:r w:rsidRPr="00CE60CE">
        <w:rPr>
          <w:rFonts w:ascii="Palatino Linotype" w:hAnsi="Palatino Linotype" w:cs="Arial"/>
          <w:b/>
          <w:i/>
          <w:sz w:val="24"/>
          <w:szCs w:val="24"/>
        </w:rPr>
        <w:t xml:space="preserve"> “INFORME RR_2774.pdf”:</w:t>
      </w:r>
      <w:r w:rsidRPr="00CE60CE">
        <w:rPr>
          <w:rFonts w:ascii="Palatino Linotype" w:hAnsi="Palatino Linotype" w:cs="Arial"/>
          <w:sz w:val="24"/>
          <w:szCs w:val="24"/>
        </w:rPr>
        <w:t xml:space="preserve"> Contiene el informe justificado que se analizará en el</w:t>
      </w:r>
      <w:r>
        <w:rPr>
          <w:rFonts w:ascii="Palatino Linotype" w:hAnsi="Palatino Linotype" w:cs="Arial"/>
          <w:sz w:val="24"/>
          <w:szCs w:val="24"/>
        </w:rPr>
        <w:t xml:space="preserve"> </w:t>
      </w:r>
      <w:r w:rsidRPr="00CE60CE">
        <w:rPr>
          <w:rFonts w:ascii="Palatino Linotype" w:hAnsi="Palatino Linotype" w:cs="Arial"/>
          <w:sz w:val="24"/>
          <w:szCs w:val="24"/>
        </w:rPr>
        <w:t>apartado de estudio del asunto.</w:t>
      </w:r>
    </w:p>
    <w:p w14:paraId="321287BD" w14:textId="368D918B" w:rsidR="003E6F6F" w:rsidRPr="009200A4" w:rsidRDefault="002C4AD5" w:rsidP="005903D0">
      <w:pPr>
        <w:spacing w:before="240" w:after="240" w:line="360" w:lineRule="auto"/>
        <w:ind w:right="49"/>
        <w:jc w:val="both"/>
        <w:rPr>
          <w:rFonts w:ascii="Palatino Linotype" w:hAnsi="Palatino Linotype" w:cs="Arial"/>
        </w:rPr>
      </w:pPr>
      <w:r w:rsidRPr="009200A4">
        <w:rPr>
          <w:rFonts w:ascii="Palatino Linotype" w:hAnsi="Palatino Linotype" w:cs="Arial"/>
        </w:rPr>
        <w:t xml:space="preserve">Al respecto, debe mencionarse que </w:t>
      </w:r>
      <w:r w:rsidR="009A6034">
        <w:rPr>
          <w:rFonts w:ascii="Palatino Linotype" w:hAnsi="Palatino Linotype" w:cs="Arial"/>
        </w:rPr>
        <w:t xml:space="preserve">el </w:t>
      </w:r>
      <w:r w:rsidR="009A6034" w:rsidRPr="009A6034">
        <w:rPr>
          <w:rFonts w:ascii="Palatino Linotype" w:hAnsi="Palatino Linotype" w:cs="Arial"/>
          <w:b/>
        </w:rPr>
        <w:t xml:space="preserve">ocho </w:t>
      </w:r>
      <w:r w:rsidR="009A6034">
        <w:rPr>
          <w:rFonts w:ascii="Palatino Linotype" w:hAnsi="Palatino Linotype" w:cs="Arial"/>
          <w:b/>
        </w:rPr>
        <w:t>de sept</w:t>
      </w:r>
      <w:r w:rsidR="005903D0">
        <w:rPr>
          <w:rFonts w:ascii="Palatino Linotype" w:hAnsi="Palatino Linotype" w:cs="Arial"/>
          <w:b/>
        </w:rPr>
        <w:t>iem</w:t>
      </w:r>
      <w:r w:rsidR="00AF537B" w:rsidRPr="009200A4">
        <w:rPr>
          <w:rFonts w:ascii="Palatino Linotype" w:hAnsi="Palatino Linotype" w:cs="Arial"/>
          <w:b/>
        </w:rPr>
        <w:t>bre</w:t>
      </w:r>
      <w:r w:rsidR="009A6034">
        <w:rPr>
          <w:rFonts w:ascii="Palatino Linotype" w:hAnsi="Palatino Linotype" w:cs="Arial"/>
          <w:b/>
        </w:rPr>
        <w:t xml:space="preserve"> de dos mil veintiuno</w:t>
      </w:r>
      <w:r w:rsidR="00AF537B" w:rsidRPr="009200A4">
        <w:rPr>
          <w:rFonts w:ascii="Palatino Linotype" w:hAnsi="Palatino Linotype" w:cs="Arial"/>
        </w:rPr>
        <w:t xml:space="preserve">, </w:t>
      </w:r>
      <w:r w:rsidRPr="009200A4">
        <w:rPr>
          <w:rFonts w:ascii="Palatino Linotype" w:hAnsi="Palatino Linotype" w:cs="Arial"/>
        </w:rPr>
        <w:t xml:space="preserve">se dio vista del informe justificado </w:t>
      </w:r>
      <w:r w:rsidR="00AF537B" w:rsidRPr="009200A4">
        <w:rPr>
          <w:rFonts w:ascii="Palatino Linotype" w:hAnsi="Palatino Linotype" w:cs="Arial"/>
        </w:rPr>
        <w:t>con la finalidad de que el recurrente realizara las manifestaciones que estimara convenientes</w:t>
      </w:r>
      <w:r w:rsidRPr="009200A4">
        <w:rPr>
          <w:rFonts w:ascii="Palatino Linotype" w:hAnsi="Palatino Linotype" w:cs="Arial"/>
        </w:rPr>
        <w:t xml:space="preserve">. </w:t>
      </w:r>
    </w:p>
    <w:p w14:paraId="7BD642B2" w14:textId="5190D7D3" w:rsidR="007707B4" w:rsidRPr="007707B4" w:rsidRDefault="007707B4" w:rsidP="003E6F6F">
      <w:pPr>
        <w:spacing w:before="240" w:after="240" w:line="360" w:lineRule="auto"/>
        <w:jc w:val="both"/>
        <w:rPr>
          <w:rFonts w:ascii="Palatino Linotype" w:hAnsi="Palatino Linotype" w:cs="Arial"/>
          <w:lang w:val="es-ES"/>
        </w:rPr>
      </w:pPr>
      <w:r w:rsidRPr="007707B4">
        <w:rPr>
          <w:rFonts w:ascii="Palatino Linotype" w:hAnsi="Palatino Linotype" w:cs="Arial"/>
          <w:b/>
          <w:lang w:val="es-ES"/>
        </w:rPr>
        <w:t>7.- Ampliación del plazo para emitir resolución.</w:t>
      </w:r>
      <w:r w:rsidRPr="007707B4">
        <w:rPr>
          <w:rFonts w:ascii="Palatino Linotype" w:hAnsi="Palatino Linotype" w:cs="Arial"/>
          <w:bCs/>
          <w:lang w:val="es-ES"/>
        </w:rPr>
        <w:t xml:space="preserve"> </w:t>
      </w:r>
      <w:r w:rsidRPr="00B65E33">
        <w:rPr>
          <w:rFonts w:ascii="Palatino Linotype" w:hAnsi="Palatino Linotype" w:cs="Arial"/>
          <w:bCs/>
          <w:lang w:val="es-ES"/>
        </w:rPr>
        <w:t xml:space="preserve">El </w:t>
      </w:r>
      <w:r w:rsidR="009A6034">
        <w:rPr>
          <w:rFonts w:ascii="Palatino Linotype" w:hAnsi="Palatino Linotype" w:cs="Arial"/>
          <w:b/>
          <w:bCs/>
          <w:lang w:val="es-ES"/>
        </w:rPr>
        <w:t>uno de sept</w:t>
      </w:r>
      <w:r w:rsidR="005903D0">
        <w:rPr>
          <w:rFonts w:ascii="Palatino Linotype" w:hAnsi="Palatino Linotype" w:cs="Arial"/>
          <w:b/>
          <w:bCs/>
          <w:lang w:val="es-ES"/>
        </w:rPr>
        <w:t>iem</w:t>
      </w:r>
      <w:r w:rsidR="009A6034">
        <w:rPr>
          <w:rFonts w:ascii="Palatino Linotype" w:hAnsi="Palatino Linotype" w:cs="Arial"/>
          <w:b/>
          <w:bCs/>
          <w:lang w:val="es-ES"/>
        </w:rPr>
        <w:t>bre de dos mil veintiuno</w:t>
      </w:r>
      <w:r w:rsidRPr="00B65E33">
        <w:rPr>
          <w:rFonts w:ascii="Palatino Linotype" w:hAnsi="Palatino Linotype" w:cs="Arial"/>
          <w:bCs/>
          <w:lang w:val="es-ES"/>
        </w:rPr>
        <w:t>,</w:t>
      </w:r>
      <w:r w:rsidRPr="007707B4">
        <w:rPr>
          <w:rFonts w:ascii="Palatino Linotype" w:hAnsi="Palatino Linotype" w:cs="Arial"/>
          <w:bCs/>
          <w:lang w:val="es-ES"/>
        </w:rPr>
        <w:t xml:space="preserve"> </w:t>
      </w:r>
      <w:r w:rsidRPr="007707B4">
        <w:rPr>
          <w:rFonts w:ascii="Palatino Linotype" w:hAnsi="Palatino Linotype" w:cs="Arial"/>
          <w:lang w:val="es-ES"/>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w:t>
      </w:r>
      <w:r w:rsidRPr="007707B4">
        <w:rPr>
          <w:rFonts w:ascii="Palatino Linotype" w:hAnsi="Palatino Linotype" w:cs="Arial"/>
          <w:lang w:val="es-ES"/>
        </w:rPr>
        <w:lastRenderedPageBreak/>
        <w:t>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bookmarkEnd w:id="2"/>
    <w:p w14:paraId="57245904" w14:textId="790E3332" w:rsidR="002C4AD5" w:rsidRPr="004326A0" w:rsidRDefault="002C4AD5" w:rsidP="003E6F6F">
      <w:pPr>
        <w:spacing w:before="240" w:after="240" w:line="360" w:lineRule="auto"/>
        <w:jc w:val="both"/>
        <w:rPr>
          <w:rFonts w:ascii="Palatino Linotype" w:hAnsi="Palatino Linotype"/>
          <w:b/>
        </w:rPr>
      </w:pPr>
      <w:r w:rsidRPr="004326A0">
        <w:rPr>
          <w:rFonts w:ascii="Palatino Linotype" w:hAnsi="Palatino Linotype"/>
          <w:b/>
        </w:rPr>
        <w:t xml:space="preserve">8. Cierre de Instrucción. </w:t>
      </w:r>
      <w:r w:rsidRPr="004326A0">
        <w:rPr>
          <w:rFonts w:ascii="Palatino Linotype" w:hAnsi="Palatino Linotype"/>
        </w:rPr>
        <w:t xml:space="preserve">En fecha </w:t>
      </w:r>
      <w:r w:rsidR="009A6034">
        <w:rPr>
          <w:rFonts w:ascii="Palatino Linotype" w:hAnsi="Palatino Linotype"/>
          <w:b/>
        </w:rPr>
        <w:t>catorce de sept</w:t>
      </w:r>
      <w:r w:rsidR="005903D0">
        <w:rPr>
          <w:rFonts w:ascii="Palatino Linotype" w:hAnsi="Palatino Linotype"/>
          <w:b/>
        </w:rPr>
        <w:t xml:space="preserve">iembre </w:t>
      </w:r>
      <w:r w:rsidRPr="00B65E33">
        <w:rPr>
          <w:rFonts w:ascii="Palatino Linotype" w:hAnsi="Palatino Linotype"/>
          <w:b/>
        </w:rPr>
        <w:t xml:space="preserve">de la </w:t>
      </w:r>
      <w:r w:rsidR="005903D0">
        <w:rPr>
          <w:rFonts w:ascii="Palatino Linotype" w:hAnsi="Palatino Linotype"/>
          <w:b/>
        </w:rPr>
        <w:t xml:space="preserve">presente </w:t>
      </w:r>
      <w:r w:rsidRPr="00B65E33">
        <w:rPr>
          <w:rFonts w:ascii="Palatino Linotype" w:hAnsi="Palatino Linotype"/>
          <w:b/>
        </w:rPr>
        <w:t>anualidad</w:t>
      </w:r>
      <w:r w:rsidRPr="004326A0">
        <w:rPr>
          <w:rFonts w:ascii="Palatino Linotype" w:hAnsi="Palatino Linotype"/>
        </w:rPr>
        <w:t xml:space="preserve"> en curso, con fundamento en lo establecido en los artículos 185, fracción VI de la </w:t>
      </w:r>
      <w:r w:rsidRPr="004326A0">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2877E31E" w14:textId="77777777" w:rsidR="002C4AD5" w:rsidRPr="004326A0" w:rsidRDefault="002C4AD5" w:rsidP="007707B4">
      <w:pPr>
        <w:pStyle w:val="Prrafodelista"/>
        <w:numPr>
          <w:ilvl w:val="0"/>
          <w:numId w:val="1"/>
        </w:numPr>
        <w:spacing w:before="240" w:after="240" w:line="360" w:lineRule="auto"/>
        <w:ind w:right="616" w:hanging="513"/>
        <w:jc w:val="center"/>
        <w:rPr>
          <w:rFonts w:ascii="Palatino Linotype" w:hAnsi="Palatino Linotype" w:cs="Arial"/>
          <w:b/>
          <w:sz w:val="24"/>
          <w:szCs w:val="24"/>
        </w:rPr>
      </w:pPr>
      <w:r w:rsidRPr="004326A0">
        <w:rPr>
          <w:rFonts w:ascii="Palatino Linotype" w:hAnsi="Palatino Linotype" w:cs="Arial"/>
          <w:b/>
          <w:sz w:val="24"/>
          <w:szCs w:val="24"/>
        </w:rPr>
        <w:t>C O N S I D E R A N D O:</w:t>
      </w:r>
    </w:p>
    <w:p w14:paraId="1A50C89F" w14:textId="0E1B253B" w:rsidR="002C4AD5" w:rsidRPr="004326A0" w:rsidRDefault="002C4AD5" w:rsidP="002C4AD5">
      <w:pPr>
        <w:spacing w:before="240" w:after="240" w:line="360" w:lineRule="auto"/>
        <w:jc w:val="both"/>
        <w:rPr>
          <w:rFonts w:ascii="Palatino Linotype" w:hAnsi="Palatino Linotype"/>
          <w:shd w:val="clear" w:color="auto" w:fill="FFFFFF"/>
        </w:rPr>
      </w:pPr>
      <w:r w:rsidRPr="004326A0">
        <w:rPr>
          <w:rFonts w:ascii="Palatino Linotype" w:hAnsi="Palatino Linotype" w:cs="Arial"/>
          <w:b/>
        </w:rPr>
        <w:t xml:space="preserve">Primero. Competencia. </w:t>
      </w:r>
      <w:r w:rsidRPr="004326A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200718" w:rsidRPr="00200718">
        <w:rPr>
          <w:rFonts w:ascii="Palatino Linotype" w:hAnsi="Palatino Linotype"/>
          <w:shd w:val="clear" w:color="auto" w:fill="FFFFFF"/>
          <w:lang w:val="es-ES"/>
        </w:rPr>
        <w:t>vigésimo noveno, trigésimo y trigésimo primero, fracciones IV y V</w:t>
      </w:r>
      <w:r w:rsidRPr="004326A0">
        <w:rPr>
          <w:rFonts w:ascii="Palatino Linotype" w:hAnsi="Palatino Linotype"/>
          <w:shd w:val="clear" w:color="auto" w:fill="FFFFFF"/>
        </w:rPr>
        <w:t xml:space="preserve"> de la Constitución Política del Estado Libre y Soberano de México; 1, 2, fracción II; 13,  29, 36, fracciones I y II; 176, 178, 179, 181 párrafo 3 y 185 de la Ley Transparencia y Acceso a la Información Pública;</w:t>
      </w:r>
      <w:r w:rsidRPr="004326A0">
        <w:rPr>
          <w:rStyle w:val="apple-converted-space"/>
          <w:rFonts w:ascii="Palatino Linotype" w:eastAsiaTheme="majorEastAsia" w:hAnsi="Palatino Linotype"/>
          <w:shd w:val="clear" w:color="auto" w:fill="FFFFFF"/>
        </w:rPr>
        <w:t xml:space="preserve"> 7, </w:t>
      </w:r>
      <w:r w:rsidRPr="004326A0">
        <w:rPr>
          <w:rFonts w:ascii="Palatino Linotype" w:hAnsi="Palatino Linotype" w:cs="Arial"/>
        </w:rPr>
        <w:t xml:space="preserve">9, fracciones I y XXIV y 11 </w:t>
      </w:r>
      <w:r w:rsidRPr="004326A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82D439F" w14:textId="77777777" w:rsidR="002C4AD5" w:rsidRPr="004326A0" w:rsidRDefault="002C4AD5" w:rsidP="002C4AD5">
      <w:pPr>
        <w:spacing w:before="240" w:after="240" w:line="360" w:lineRule="auto"/>
        <w:jc w:val="both"/>
        <w:rPr>
          <w:rFonts w:ascii="Palatino Linotype" w:hAnsi="Palatino Linotype" w:cs="Arial"/>
          <w:lang w:eastAsia="es-MX"/>
        </w:rPr>
      </w:pPr>
      <w:r w:rsidRPr="004326A0">
        <w:rPr>
          <w:rFonts w:ascii="Palatino Linotype" w:hAnsi="Palatino Linotype" w:cs="Arial"/>
          <w:b/>
        </w:rPr>
        <w:lastRenderedPageBreak/>
        <w:t xml:space="preserve">Segundo. Oportunidad y Procedibilidad. </w:t>
      </w:r>
      <w:r w:rsidRPr="004326A0">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4326A0">
        <w:rPr>
          <w:rFonts w:ascii="Palatino Linotype" w:hAnsi="Palatino Linotype" w:cs="Arial"/>
          <w:lang w:eastAsia="es-MX"/>
        </w:rPr>
        <w:t>178 y 180 de la Ley de Transparencia y Acceso a la Información Pública del Estado de México y Municipios</w:t>
      </w:r>
      <w:r w:rsidRPr="004326A0">
        <w:rPr>
          <w:rFonts w:ascii="Palatino Linotype" w:hAnsi="Palatino Linotype" w:cs="Arial"/>
        </w:rPr>
        <w:t>.</w:t>
      </w:r>
    </w:p>
    <w:p w14:paraId="6B87E5A7" w14:textId="6B93C4F0" w:rsidR="002C4AD5" w:rsidRDefault="002C4AD5" w:rsidP="002C4AD5">
      <w:pPr>
        <w:spacing w:before="240" w:after="240" w:line="360" w:lineRule="auto"/>
        <w:jc w:val="both"/>
        <w:rPr>
          <w:rFonts w:ascii="Palatino Linotype" w:hAnsi="Palatino Linotype" w:cs="Arial"/>
        </w:rPr>
      </w:pPr>
      <w:r w:rsidRPr="004326A0">
        <w:rPr>
          <w:rFonts w:ascii="Palatino Linotype" w:hAnsi="Palatino Linotype" w:cs="Arial"/>
        </w:rPr>
        <w:t xml:space="preserve">El recurso de revisión fue interpuesto dentro del plazo de quince días hábiles, previsto en el artículo 178 de la </w:t>
      </w:r>
      <w:r w:rsidRPr="004326A0">
        <w:rPr>
          <w:rFonts w:ascii="Palatino Linotype" w:hAnsi="Palatino Linotype" w:cs="Arial"/>
          <w:lang w:eastAsia="es-MX"/>
        </w:rPr>
        <w:t>Ley de Transparencia y Acceso a la Información Pública del Estado de México y Municipios</w:t>
      </w:r>
      <w:r w:rsidRPr="004326A0">
        <w:rPr>
          <w:rFonts w:ascii="Palatino Linotype" w:hAnsi="Palatino Linotype" w:cs="Arial"/>
        </w:rPr>
        <w:t>, ya que el Sujeto Obligado proporcionó respuesta a</w:t>
      </w:r>
      <w:r w:rsidR="005903D0">
        <w:rPr>
          <w:rFonts w:ascii="Palatino Linotype" w:hAnsi="Palatino Linotype" w:cs="Arial"/>
        </w:rPr>
        <w:t xml:space="preserve"> la </w:t>
      </w:r>
      <w:r w:rsidR="009A6034">
        <w:rPr>
          <w:rFonts w:ascii="Palatino Linotype" w:hAnsi="Palatino Linotype" w:cs="Arial"/>
        </w:rPr>
        <w:t xml:space="preserve">solicitud de información el </w:t>
      </w:r>
      <w:r w:rsidR="009A6034" w:rsidRPr="009A6034">
        <w:rPr>
          <w:rFonts w:ascii="Palatino Linotype" w:hAnsi="Palatino Linotype" w:cs="Arial"/>
          <w:b/>
        </w:rPr>
        <w:t>seis de mayo</w:t>
      </w:r>
      <w:r w:rsidR="00AF537B" w:rsidRPr="009A6034">
        <w:rPr>
          <w:rFonts w:ascii="Palatino Linotype" w:hAnsi="Palatino Linotype" w:cs="Arial"/>
          <w:b/>
        </w:rPr>
        <w:t xml:space="preserve"> </w:t>
      </w:r>
      <w:r w:rsidR="009A6034" w:rsidRPr="009A6034">
        <w:rPr>
          <w:rFonts w:ascii="Palatino Linotype" w:hAnsi="Palatino Linotype" w:cs="Arial"/>
          <w:b/>
        </w:rPr>
        <w:t>de dos mil veintiuno</w:t>
      </w:r>
      <w:r w:rsidRPr="004326A0">
        <w:rPr>
          <w:rFonts w:ascii="Palatino Linotype" w:hAnsi="Palatino Linotype" w:cs="Arial"/>
        </w:rPr>
        <w:t xml:space="preserve">, mientras que el recurrente </w:t>
      </w:r>
      <w:r w:rsidRPr="004326A0">
        <w:rPr>
          <w:rFonts w:ascii="Palatino Linotype" w:hAnsi="Palatino Linotype"/>
        </w:rPr>
        <w:t xml:space="preserve">interpuso el recurso de revisión el día </w:t>
      </w:r>
      <w:r w:rsidR="009A6034" w:rsidRPr="009A6034">
        <w:rPr>
          <w:rFonts w:ascii="Palatino Linotype" w:hAnsi="Palatino Linotype"/>
          <w:b/>
        </w:rPr>
        <w:t>once de mayo</w:t>
      </w:r>
      <w:r w:rsidR="00AF537B" w:rsidRPr="009A6034">
        <w:rPr>
          <w:rFonts w:ascii="Palatino Linotype" w:hAnsi="Palatino Linotype"/>
          <w:b/>
        </w:rPr>
        <w:t xml:space="preserve"> </w:t>
      </w:r>
      <w:r w:rsidR="009A6034">
        <w:rPr>
          <w:rFonts w:ascii="Palatino Linotype" w:hAnsi="Palatino Linotype"/>
          <w:b/>
        </w:rPr>
        <w:t>de dos mil veintiuno</w:t>
      </w:r>
      <w:r w:rsidRPr="004326A0">
        <w:rPr>
          <w:rFonts w:ascii="Palatino Linotype" w:hAnsi="Palatino Linotype"/>
        </w:rPr>
        <w:t xml:space="preserve">, </w:t>
      </w:r>
      <w:r w:rsidR="009A6034">
        <w:rPr>
          <w:rFonts w:ascii="Palatino Linotype" w:hAnsi="Palatino Linotype"/>
        </w:rPr>
        <w:t xml:space="preserve">esto es, al </w:t>
      </w:r>
      <w:r w:rsidR="009A6034" w:rsidRPr="009A6034">
        <w:rPr>
          <w:rFonts w:ascii="Palatino Linotype" w:hAnsi="Palatino Linotype"/>
          <w:b/>
        </w:rPr>
        <w:t>tercer día hábil</w:t>
      </w:r>
      <w:r w:rsidR="009A6034">
        <w:rPr>
          <w:rFonts w:ascii="Palatino Linotype" w:hAnsi="Palatino Linotype"/>
        </w:rPr>
        <w:t xml:space="preserve">, por lo tanto, </w:t>
      </w:r>
      <w:r w:rsidR="005903D0">
        <w:rPr>
          <w:rFonts w:ascii="Palatino Linotype" w:hAnsi="Palatino Linotype"/>
        </w:rPr>
        <w:t>se encuentra dentro de los márgenes temporales previstos para interponer el recurso de revisión</w:t>
      </w:r>
      <w:r w:rsidRPr="004326A0">
        <w:rPr>
          <w:rFonts w:ascii="Palatino Linotype" w:hAnsi="Palatino Linotype" w:cs="Arial"/>
        </w:rPr>
        <w:t>.</w:t>
      </w:r>
    </w:p>
    <w:p w14:paraId="08F3D02C" w14:textId="77777777" w:rsidR="001D48D9" w:rsidRPr="001D48D9" w:rsidRDefault="001D48D9" w:rsidP="001D48D9">
      <w:pPr>
        <w:spacing w:before="240" w:after="240" w:line="360" w:lineRule="auto"/>
        <w:jc w:val="both"/>
        <w:rPr>
          <w:rFonts w:ascii="Palatino Linotype" w:hAnsi="Palatino Linotype" w:cs="Segoe UI"/>
          <w:lang w:val="es-ES"/>
        </w:rPr>
      </w:pPr>
      <w:r w:rsidRPr="001D48D9">
        <w:rPr>
          <w:rFonts w:ascii="Palatino Linotype" w:hAnsi="Palatino Linotype" w:cs="Arial"/>
          <w:lang w:val="es-ES"/>
        </w:rPr>
        <w:t>Así también, por cuanto hace a la procedibilidad del recurso de revisión una vez realizado el análisis del formato de interposición</w:t>
      </w:r>
      <w:r w:rsidRPr="001D48D9">
        <w:rPr>
          <w:rFonts w:ascii="Palatino Linotype" w:hAnsi="Palatino Linotype" w:cs="Segoe UI"/>
          <w:lang w:val="es-ES"/>
        </w:rPr>
        <w:t xml:space="preserve"> del recurso, se advierte que el artículo 180 de la</w:t>
      </w:r>
      <w:r w:rsidRPr="001D48D9">
        <w:rPr>
          <w:rFonts w:ascii="Palatino Linotype" w:eastAsia="Cambria" w:hAnsi="Palatino Linotype" w:cs="Segoe UI"/>
          <w:lang w:val="es-ES"/>
        </w:rPr>
        <w:t> </w:t>
      </w:r>
      <w:r w:rsidRPr="001D48D9">
        <w:rPr>
          <w:rFonts w:ascii="Palatino Linotype" w:hAnsi="Palatino Linotype" w:cs="Segoe UI"/>
          <w:lang w:val="es-ES"/>
        </w:rPr>
        <w:t>Ley de Transparencia y Acceso a la Información Pública del Estado de México y Municipios, establece los siguientes elementos formales para la presentación del recurso:</w:t>
      </w:r>
    </w:p>
    <w:p w14:paraId="0C85CD27"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2"/>
          <w:lang w:val="es-ES"/>
        </w:rPr>
      </w:pPr>
      <w:r w:rsidRPr="001D48D9">
        <w:rPr>
          <w:rFonts w:ascii="Palatino Linotype" w:hAnsi="Palatino Linotype" w:cs="Arial"/>
          <w:b/>
          <w:i/>
          <w:sz w:val="22"/>
          <w:lang w:val="es-ES"/>
        </w:rPr>
        <w:t>“Artículo 180.</w:t>
      </w:r>
      <w:r w:rsidRPr="001D48D9">
        <w:rPr>
          <w:rFonts w:ascii="Palatino Linotype" w:hAnsi="Palatino Linotype" w:cs="Arial"/>
          <w:i/>
          <w:sz w:val="22"/>
          <w:lang w:val="es-ES"/>
        </w:rPr>
        <w:t xml:space="preserve"> El recurso de revisión contendrá: </w:t>
      </w:r>
    </w:p>
    <w:p w14:paraId="041C083F" w14:textId="77777777" w:rsidR="001D48D9" w:rsidRPr="001D48D9" w:rsidRDefault="001D48D9" w:rsidP="001D48D9">
      <w:pPr>
        <w:autoSpaceDE w:val="0"/>
        <w:autoSpaceDN w:val="0"/>
        <w:adjustRightInd w:val="0"/>
        <w:spacing w:after="120"/>
        <w:ind w:left="1134" w:right="902"/>
        <w:jc w:val="both"/>
        <w:rPr>
          <w:rFonts w:ascii="Palatino Linotype" w:hAnsi="Palatino Linotype" w:cs="Arial"/>
          <w:i/>
          <w:sz w:val="22"/>
          <w:lang w:val="es-ES"/>
        </w:rPr>
      </w:pPr>
    </w:p>
    <w:p w14:paraId="4274F968" w14:textId="77777777" w:rsidR="001D48D9" w:rsidRPr="001D48D9" w:rsidRDefault="001D48D9" w:rsidP="001D48D9">
      <w:pPr>
        <w:autoSpaceDE w:val="0"/>
        <w:autoSpaceDN w:val="0"/>
        <w:adjustRightInd w:val="0"/>
        <w:spacing w:after="120"/>
        <w:ind w:left="1134" w:right="902"/>
        <w:jc w:val="both"/>
        <w:rPr>
          <w:rFonts w:ascii="Palatino Linotype" w:hAnsi="Palatino Linotype" w:cs="Arial"/>
          <w:i/>
          <w:sz w:val="22"/>
          <w:lang w:val="es-ES"/>
        </w:rPr>
      </w:pPr>
      <w:r w:rsidRPr="001D48D9">
        <w:rPr>
          <w:rFonts w:ascii="Palatino Linotype" w:hAnsi="Palatino Linotype" w:cs="Arial"/>
          <w:i/>
          <w:sz w:val="22"/>
          <w:lang w:val="es-ES"/>
        </w:rPr>
        <w:t>(…)</w:t>
      </w:r>
    </w:p>
    <w:p w14:paraId="1C90DE2E" w14:textId="77777777" w:rsidR="001D48D9" w:rsidRPr="001D48D9" w:rsidRDefault="001D48D9" w:rsidP="001D48D9">
      <w:pPr>
        <w:autoSpaceDE w:val="0"/>
        <w:autoSpaceDN w:val="0"/>
        <w:adjustRightInd w:val="0"/>
        <w:spacing w:after="120"/>
        <w:ind w:left="1134" w:right="902"/>
        <w:jc w:val="both"/>
        <w:rPr>
          <w:rFonts w:ascii="Palatino Linotype" w:hAnsi="Palatino Linotype" w:cs="Arial"/>
          <w:b/>
          <w:i/>
          <w:sz w:val="22"/>
          <w:u w:val="single"/>
          <w:lang w:val="es-ES"/>
        </w:rPr>
      </w:pPr>
      <w:r w:rsidRPr="001D48D9">
        <w:rPr>
          <w:rFonts w:ascii="Palatino Linotype" w:hAnsi="Palatino Linotype" w:cs="Arial"/>
          <w:b/>
          <w:i/>
          <w:sz w:val="22"/>
          <w:u w:val="single"/>
          <w:lang w:val="es-ES"/>
        </w:rPr>
        <w:t xml:space="preserve">II. El nombre del solicitante que recurre o de su representante y, en su caso, del tercero interesado, así como la dirección o medio que señale para recibir notificaciones; </w:t>
      </w:r>
    </w:p>
    <w:p w14:paraId="7CA8448D" w14:textId="1E21256D" w:rsidR="001D48D9" w:rsidRPr="001D48D9" w:rsidRDefault="001D48D9" w:rsidP="001D48D9">
      <w:pPr>
        <w:autoSpaceDE w:val="0"/>
        <w:autoSpaceDN w:val="0"/>
        <w:adjustRightInd w:val="0"/>
        <w:spacing w:after="120"/>
        <w:ind w:left="851" w:right="902"/>
        <w:jc w:val="both"/>
        <w:rPr>
          <w:rFonts w:ascii="Palatino Linotype" w:hAnsi="Palatino Linotype" w:cs="Arial"/>
          <w:i/>
          <w:sz w:val="22"/>
          <w:lang w:val="es-ES"/>
        </w:rPr>
      </w:pPr>
      <w:r>
        <w:rPr>
          <w:rFonts w:ascii="Palatino Linotype" w:hAnsi="Palatino Linotype" w:cs="Arial"/>
          <w:i/>
          <w:sz w:val="22"/>
          <w:lang w:val="es-ES"/>
        </w:rPr>
        <w:t xml:space="preserve">    </w:t>
      </w:r>
      <w:r w:rsidRPr="001D48D9">
        <w:rPr>
          <w:rFonts w:ascii="Palatino Linotype" w:hAnsi="Palatino Linotype" w:cs="Arial"/>
          <w:i/>
          <w:sz w:val="22"/>
          <w:lang w:val="es-ES"/>
        </w:rPr>
        <w:t>(…)</w:t>
      </w:r>
    </w:p>
    <w:p w14:paraId="5E5ADE1D" w14:textId="77777777" w:rsidR="001D48D9" w:rsidRPr="001D48D9" w:rsidRDefault="001D48D9" w:rsidP="001D48D9">
      <w:pPr>
        <w:autoSpaceDE w:val="0"/>
        <w:autoSpaceDN w:val="0"/>
        <w:adjustRightInd w:val="0"/>
        <w:spacing w:after="120"/>
        <w:ind w:left="1134" w:right="902"/>
        <w:jc w:val="both"/>
        <w:rPr>
          <w:rFonts w:ascii="Palatino Linotype" w:hAnsi="Palatino Linotype" w:cs="Arial"/>
          <w:b/>
          <w:i/>
          <w:sz w:val="22"/>
          <w:u w:val="single"/>
          <w:lang w:val="es-ES"/>
        </w:rPr>
      </w:pPr>
      <w:r w:rsidRPr="001D48D9">
        <w:rPr>
          <w:rFonts w:ascii="Palatino Linotype" w:hAnsi="Palatino Linotype" w:cs="Arial"/>
          <w:b/>
          <w:i/>
          <w:sz w:val="22"/>
          <w:u w:val="single"/>
          <w:lang w:val="es-ES"/>
        </w:rPr>
        <w:lastRenderedPageBreak/>
        <w:t>En caso de que el recurso se interponga de manera electrónica no será indispensable que contengan los requisitos establecidos en las fracciones II, IV, VII y VIII.”</w:t>
      </w:r>
    </w:p>
    <w:p w14:paraId="5F07F957" w14:textId="77777777" w:rsidR="001D48D9" w:rsidRPr="001D48D9" w:rsidRDefault="001D48D9" w:rsidP="001D48D9">
      <w:pPr>
        <w:spacing w:before="240" w:after="240" w:line="360" w:lineRule="auto"/>
        <w:jc w:val="both"/>
        <w:rPr>
          <w:rFonts w:ascii="Palatino Linotype" w:hAnsi="Palatino Linotype" w:cs="Segoe UI"/>
          <w:lang w:val="es-ES"/>
        </w:rPr>
      </w:pPr>
      <w:r w:rsidRPr="001D48D9">
        <w:rPr>
          <w:rFonts w:ascii="Palatino Linotype" w:hAnsi="Palatino Linotype" w:cs="Segoe UI"/>
          <w:lang w:val="es-ES"/>
        </w:rPr>
        <w:t>Por su parte, el artículo 181 del citado ordenamiento dispone, que:</w:t>
      </w:r>
    </w:p>
    <w:p w14:paraId="4FF573A5"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szCs w:val="20"/>
          <w:lang w:val="es-ES"/>
        </w:rPr>
      </w:pPr>
      <w:r w:rsidRPr="001D48D9">
        <w:rPr>
          <w:rFonts w:ascii="Palatino Linotype" w:hAnsi="Palatino Linotype" w:cs="Arial"/>
          <w:b/>
          <w:i/>
          <w:sz w:val="20"/>
          <w:szCs w:val="20"/>
          <w:lang w:val="es-ES"/>
        </w:rPr>
        <w:t>“Artículo 181.</w:t>
      </w:r>
      <w:r w:rsidRPr="001D48D9">
        <w:rPr>
          <w:rFonts w:ascii="Palatino Linotype" w:hAnsi="Palatino Linotype" w:cs="Arial"/>
          <w:i/>
          <w:sz w:val="20"/>
          <w:szCs w:val="20"/>
          <w:lang w:val="es-ES"/>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16625025"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szCs w:val="20"/>
          <w:lang w:val="es-ES"/>
        </w:rPr>
      </w:pPr>
      <w:r w:rsidRPr="001D48D9">
        <w:rPr>
          <w:rFonts w:ascii="Palatino Linotype" w:hAnsi="Palatino Linotype" w:cs="Arial"/>
          <w:i/>
          <w:sz w:val="20"/>
          <w:szCs w:val="20"/>
          <w:lang w:val="es-ES"/>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54A94EB1"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szCs w:val="20"/>
          <w:lang w:val="es-ES"/>
        </w:rPr>
      </w:pPr>
      <w:r w:rsidRPr="001D48D9">
        <w:rPr>
          <w:rFonts w:ascii="Palatino Linotype" w:hAnsi="Palatino Linotype" w:cs="Arial"/>
          <w:i/>
          <w:sz w:val="20"/>
          <w:szCs w:val="20"/>
          <w:lang w:val="es-ES"/>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7E3CBF6D"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szCs w:val="20"/>
          <w:lang w:val="es-ES"/>
        </w:rPr>
      </w:pPr>
      <w:r w:rsidRPr="001D48D9">
        <w:rPr>
          <w:rFonts w:ascii="Palatino Linotype" w:hAnsi="Palatino Linotype" w:cs="Arial"/>
          <w:i/>
          <w:sz w:val="20"/>
          <w:szCs w:val="20"/>
          <w:lang w:val="es-ES"/>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7B88C4B6" w14:textId="77777777" w:rsidR="001D48D9" w:rsidRPr="001D48D9" w:rsidRDefault="001D48D9" w:rsidP="001D48D9">
      <w:pPr>
        <w:spacing w:after="120"/>
        <w:ind w:left="851" w:right="902"/>
        <w:jc w:val="both"/>
        <w:rPr>
          <w:rFonts w:ascii="Palatino Linotype" w:hAnsi="Palatino Linotype" w:cs="Segoe UI"/>
          <w:sz w:val="20"/>
          <w:szCs w:val="20"/>
          <w:lang w:val="es-ES"/>
        </w:rPr>
      </w:pPr>
      <w:r w:rsidRPr="001D48D9">
        <w:rPr>
          <w:rFonts w:ascii="Palatino Linotype" w:hAnsi="Palatino Linotype" w:cs="Arial"/>
          <w:i/>
          <w:sz w:val="20"/>
          <w:szCs w:val="20"/>
          <w:lang w:val="es-ES"/>
        </w:rPr>
        <w:t>Para el caso de interposición del recurso de revisión a través de la Plataforma Nacional o la plataforma que para tales efectos habilite el Instituto, éste podrá solicitar al particular subsane las deficiencias por ese medio.”</w:t>
      </w:r>
    </w:p>
    <w:p w14:paraId="48EF6DBB" w14:textId="77777777" w:rsidR="001D48D9" w:rsidRPr="001D48D9" w:rsidRDefault="001D48D9" w:rsidP="001D48D9">
      <w:pPr>
        <w:autoSpaceDE w:val="0"/>
        <w:autoSpaceDN w:val="0"/>
        <w:adjustRightInd w:val="0"/>
        <w:spacing w:before="240" w:after="240" w:line="360" w:lineRule="auto"/>
        <w:ind w:right="49"/>
        <w:jc w:val="both"/>
        <w:rPr>
          <w:rFonts w:ascii="Palatino Linotype" w:hAnsi="Palatino Linotype" w:cs="Arial"/>
          <w:lang w:val="es-ES"/>
        </w:rPr>
      </w:pPr>
      <w:r w:rsidRPr="001D48D9">
        <w:rPr>
          <w:rFonts w:ascii="Palatino Linotype" w:hAnsi="Palatino Linotype" w:cs="Arial"/>
          <w:lang w:val="es-ES"/>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24518344" w14:textId="77777777" w:rsidR="001D48D9" w:rsidRPr="001D48D9" w:rsidRDefault="001D48D9" w:rsidP="001D48D9">
      <w:pPr>
        <w:autoSpaceDE w:val="0"/>
        <w:autoSpaceDN w:val="0"/>
        <w:adjustRightInd w:val="0"/>
        <w:spacing w:before="240" w:after="240" w:line="360" w:lineRule="auto"/>
        <w:ind w:right="49"/>
        <w:jc w:val="both"/>
        <w:rPr>
          <w:rFonts w:ascii="Palatino Linotype" w:hAnsi="Palatino Linotype" w:cs="Arial"/>
          <w:lang w:val="es-ES"/>
        </w:rPr>
      </w:pPr>
      <w:r w:rsidRPr="001D48D9">
        <w:rPr>
          <w:rFonts w:ascii="Palatino Linotype" w:hAnsi="Palatino Linotype" w:cs="Arial"/>
          <w:lang w:val="es-ES"/>
        </w:rPr>
        <w:t xml:space="preserve">Sobre el particular, de la revisión al expediente electrónico del SAIMEX se desprende que la parte solicitante, en ejercicio de su derecho de acceso a la información pública, y ahora recurrente, </w:t>
      </w:r>
      <w:r w:rsidRPr="001D48D9">
        <w:rPr>
          <w:rFonts w:ascii="Palatino Linotype" w:hAnsi="Palatino Linotype" w:cs="Arial"/>
          <w:b/>
          <w:color w:val="002060"/>
          <w:lang w:val="es-ES"/>
        </w:rPr>
        <w:t xml:space="preserve">no proporcionó datos que lo hagan </w:t>
      </w:r>
      <w:r w:rsidRPr="001D48D9">
        <w:rPr>
          <w:rFonts w:ascii="Palatino Linotype" w:hAnsi="Palatino Linotype" w:cs="Arial"/>
          <w:b/>
          <w:color w:val="002060"/>
          <w:lang w:val="es-ES"/>
        </w:rPr>
        <w:lastRenderedPageBreak/>
        <w:t>identificable, por ende no se tiene certeza sobre su identidad</w:t>
      </w:r>
      <w:r w:rsidRPr="001D48D9">
        <w:rPr>
          <w:rFonts w:ascii="Palatino Linotype" w:hAnsi="Palatino Linotype" w:cs="Arial"/>
          <w:b/>
          <w:color w:val="000000"/>
          <w:lang w:val="es-ES"/>
        </w:rPr>
        <w:t>,</w:t>
      </w:r>
      <w:r w:rsidRPr="001D48D9">
        <w:rPr>
          <w:rFonts w:ascii="Palatino Linotype" w:hAnsi="Palatino Linotype" w:cs="Arial"/>
          <w:color w:val="000000"/>
          <w:lang w:val="es-ES"/>
        </w:rPr>
        <w:t xml:space="preserve"> </w:t>
      </w:r>
      <w:r w:rsidRPr="001D48D9">
        <w:rPr>
          <w:rFonts w:ascii="Palatino Linotype" w:hAnsi="Palatino Linotype" w:cs="Arial"/>
          <w:lang w:val="es-ES"/>
        </w:rPr>
        <w:t>lo que en estricto sentido provoca que no se colmen los requisitos establecidos en el citado artículo 180 de la Ley de Transparencia.</w:t>
      </w:r>
    </w:p>
    <w:p w14:paraId="6625837E" w14:textId="77777777" w:rsidR="001D48D9" w:rsidRPr="001D48D9" w:rsidRDefault="001D48D9" w:rsidP="001D48D9">
      <w:pPr>
        <w:autoSpaceDE w:val="0"/>
        <w:autoSpaceDN w:val="0"/>
        <w:adjustRightInd w:val="0"/>
        <w:spacing w:before="240" w:after="240" w:line="360" w:lineRule="auto"/>
        <w:ind w:right="49"/>
        <w:jc w:val="both"/>
        <w:rPr>
          <w:rFonts w:ascii="Palatino Linotype" w:hAnsi="Palatino Linotype" w:cs="Arial"/>
          <w:lang w:val="es-ES"/>
        </w:rPr>
      </w:pPr>
      <w:r w:rsidRPr="001D48D9">
        <w:rPr>
          <w:rFonts w:ascii="Palatino Linotype" w:hAnsi="Palatino Linotype" w:cs="Arial"/>
          <w:lang w:val="es-ES"/>
        </w:rPr>
        <w:t xml:space="preserve">Empero lo anterior, debe destacarse que el artículo 15 de </w:t>
      </w:r>
      <w:r w:rsidRPr="001D48D9">
        <w:rPr>
          <w:rFonts w:ascii="Palatino Linotype" w:hAnsi="Palatino Linotype" w:cs="Arial"/>
        </w:rPr>
        <w:t xml:space="preserve">Ley de Transparencia y Acceso a la Información Pública del Estado de México y Municipios </w:t>
      </w:r>
      <w:r w:rsidRPr="001D48D9">
        <w:rPr>
          <w:rFonts w:ascii="Palatino Linotype" w:hAnsi="Palatino Linotype" w:cs="Arial"/>
          <w:iCs/>
          <w:lang w:val="es-ES"/>
        </w:rPr>
        <w:t xml:space="preserve">prevé que </w:t>
      </w:r>
      <w:r w:rsidRPr="001D48D9">
        <w:rPr>
          <w:rFonts w:ascii="Palatino Linotype" w:hAnsi="Palatino Linotype" w:cs="Arial"/>
          <w:lang w:val="es-ES"/>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D48D9">
        <w:rPr>
          <w:rFonts w:ascii="Palatino Linotype" w:hAnsi="Palatino Linotype" w:cs="Arial"/>
          <w:b/>
          <w:i/>
          <w:lang w:val="es-ES"/>
        </w:rPr>
        <w:t>sine qua non</w:t>
      </w:r>
      <w:r w:rsidRPr="001D48D9">
        <w:rPr>
          <w:rFonts w:ascii="Palatino Linotype" w:hAnsi="Palatino Linotype" w:cs="Arial"/>
          <w:lang w:val="es-ES"/>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48327707"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30D23DB"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A255A02"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w:t>
      </w:r>
    </w:p>
    <w:p w14:paraId="45FAC336"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lastRenderedPageBreak/>
        <w:t xml:space="preserve"> Para efectos de lo dispuesto en el presente artículo se observará lo siguiente: </w:t>
      </w:r>
    </w:p>
    <w:p w14:paraId="401FC935"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 xml:space="preserve">A. Para el ejercicio del derecho de acceso a la información, la Federación, los Estados y el Distrito Federal, en el ámbito de sus respectivas competencias, se regirán por los siguientes principios y bases: </w:t>
      </w:r>
    </w:p>
    <w:p w14:paraId="1E76C0E3"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CD274A5"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 xml:space="preserve">II. La información que se refiere a la vida privada y los datos personales será protegida en los términos y con las excepciones que fijen las leyes. </w:t>
      </w:r>
    </w:p>
    <w:p w14:paraId="40D1AFEA"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b/>
          <w:i/>
          <w:sz w:val="20"/>
          <w:u w:val="single"/>
          <w:lang w:val="es-ES"/>
        </w:rPr>
      </w:pPr>
    </w:p>
    <w:p w14:paraId="475672E8"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b/>
          <w:i/>
          <w:sz w:val="20"/>
          <w:u w:val="single"/>
          <w:lang w:val="es-ES"/>
        </w:rPr>
      </w:pPr>
      <w:r w:rsidRPr="001D48D9">
        <w:rPr>
          <w:rFonts w:ascii="Palatino Linotype" w:hAnsi="Palatino Linotype" w:cs="Arial"/>
          <w:b/>
          <w:i/>
          <w:sz w:val="20"/>
          <w:u w:val="single"/>
          <w:lang w:val="es-ES"/>
        </w:rPr>
        <w:t xml:space="preserve">III. Toda persona, sin necesidad de acreditar interés alguno o justificar su utilización, tendrá acceso gratuito a la información pública, a sus datos personales o a la rectificación de éstos. </w:t>
      </w:r>
    </w:p>
    <w:p w14:paraId="5A831262"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0"/>
          <w:lang w:val="es-ES"/>
        </w:rPr>
      </w:pPr>
      <w:r w:rsidRPr="001D48D9">
        <w:rPr>
          <w:rFonts w:ascii="Palatino Linotype" w:hAnsi="Palatino Linotype" w:cs="Arial"/>
          <w:i/>
          <w:sz w:val="20"/>
          <w:lang w:val="es-ES"/>
        </w:rPr>
        <w:t xml:space="preserve">IV. Se establecerán mecanismos de acceso a la información y procedimientos de revisión expeditos que se sustanciarán ante los organismos autónomos especializados e imparciales que establece esta Constitución.” </w:t>
      </w:r>
    </w:p>
    <w:p w14:paraId="71652D37"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1847B3C"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w:t>
      </w:r>
    </w:p>
    <w:p w14:paraId="62788822"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0B6A4D"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Este derecho se regirá por los principios y bases siguientes:</w:t>
      </w:r>
    </w:p>
    <w:p w14:paraId="61F9DFAA"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1D48D9">
        <w:rPr>
          <w:rFonts w:ascii="Palatino Linotype" w:hAnsi="Palatino Linotype" w:cs="Arial"/>
          <w:i/>
          <w:sz w:val="20"/>
          <w:lang w:val="es-ES"/>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0678D7"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w:t>
      </w:r>
    </w:p>
    <w:p w14:paraId="7556A226"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b/>
          <w:i/>
          <w:sz w:val="20"/>
          <w:u w:val="single"/>
          <w:lang w:val="es-ES"/>
        </w:rPr>
      </w:pPr>
      <w:r w:rsidRPr="001D48D9">
        <w:rPr>
          <w:rFonts w:ascii="Palatino Linotype" w:hAnsi="Palatino Linotype" w:cs="Arial"/>
          <w:b/>
          <w:i/>
          <w:sz w:val="20"/>
          <w:u w:val="single"/>
          <w:lang w:val="es-ES"/>
        </w:rPr>
        <w:t xml:space="preserve"> III. Toda persona, sin necesidad de acreditar interés alguno o justificar su utilización, tendrá acceso gratuito a la información pública, a sus datos personales o a la rectificación de éstos;</w:t>
      </w:r>
    </w:p>
    <w:p w14:paraId="1797880A"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w:t>
      </w:r>
    </w:p>
    <w:p w14:paraId="2B4AA167" w14:textId="77777777" w:rsidR="001D48D9" w:rsidRPr="001D48D9" w:rsidRDefault="001D48D9" w:rsidP="001D48D9">
      <w:pPr>
        <w:autoSpaceDE w:val="0"/>
        <w:autoSpaceDN w:val="0"/>
        <w:adjustRightInd w:val="0"/>
        <w:spacing w:after="120"/>
        <w:ind w:left="851" w:right="900"/>
        <w:jc w:val="both"/>
        <w:rPr>
          <w:rFonts w:ascii="Palatino Linotype" w:hAnsi="Palatino Linotype" w:cs="Arial"/>
          <w:i/>
          <w:sz w:val="20"/>
          <w:lang w:val="es-ES"/>
        </w:rPr>
      </w:pPr>
      <w:r w:rsidRPr="001D48D9">
        <w:rPr>
          <w:rFonts w:ascii="Palatino Linotype" w:hAnsi="Palatino Linotype" w:cs="Arial"/>
          <w:i/>
          <w:sz w:val="20"/>
          <w:lang w:val="es-ES"/>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91EC7FA"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Por otra parte, del contenido del artículo 1 de la Constitución Política de los Estados Unidos Mexicanos, se destaca lo siguiente:</w:t>
      </w:r>
    </w:p>
    <w:p w14:paraId="5CEAC0AC" w14:textId="77777777" w:rsidR="001D48D9" w:rsidRPr="001D48D9" w:rsidRDefault="001D48D9" w:rsidP="001D48D9">
      <w:pPr>
        <w:tabs>
          <w:tab w:val="left" w:pos="7655"/>
        </w:tabs>
        <w:autoSpaceDE w:val="0"/>
        <w:autoSpaceDN w:val="0"/>
        <w:adjustRightInd w:val="0"/>
        <w:spacing w:after="120"/>
        <w:ind w:left="1134" w:right="1325"/>
        <w:jc w:val="both"/>
        <w:rPr>
          <w:rFonts w:ascii="Palatino Linotype" w:hAnsi="Palatino Linotype" w:cs="Arial"/>
          <w:b/>
          <w:i/>
          <w:sz w:val="20"/>
          <w:u w:val="single"/>
          <w:lang w:val="es-ES"/>
        </w:rPr>
      </w:pPr>
      <w:r w:rsidRPr="001D48D9">
        <w:rPr>
          <w:rFonts w:ascii="Palatino Linotype" w:hAnsi="Palatino Linotype" w:cs="Arial"/>
          <w:i/>
          <w:sz w:val="20"/>
          <w:lang w:val="es-ES"/>
        </w:rPr>
        <w:t>“</w:t>
      </w:r>
      <w:r w:rsidRPr="001D48D9">
        <w:rPr>
          <w:rFonts w:ascii="Palatino Linotype" w:hAnsi="Palatino Linotype" w:cs="Arial"/>
          <w:b/>
          <w:i/>
          <w:sz w:val="20"/>
          <w:u w:val="single"/>
          <w:lang w:val="es-E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EE742E" w14:textId="77777777" w:rsidR="001D48D9" w:rsidRPr="001D48D9" w:rsidRDefault="001D48D9" w:rsidP="001D48D9">
      <w:pPr>
        <w:autoSpaceDE w:val="0"/>
        <w:autoSpaceDN w:val="0"/>
        <w:adjustRightInd w:val="0"/>
        <w:spacing w:after="120"/>
        <w:ind w:left="1134" w:right="1325"/>
        <w:jc w:val="both"/>
        <w:rPr>
          <w:rFonts w:ascii="Palatino Linotype" w:hAnsi="Palatino Linotype" w:cs="Arial"/>
          <w:i/>
          <w:sz w:val="20"/>
          <w:lang w:val="es-ES"/>
        </w:rPr>
      </w:pPr>
      <w:r w:rsidRPr="001D48D9">
        <w:rPr>
          <w:rFonts w:ascii="Palatino Linotype" w:hAnsi="Palatino Linotype" w:cs="Arial"/>
          <w:i/>
          <w:sz w:val="20"/>
          <w:lang w:val="es-ES"/>
        </w:rPr>
        <w:t>Las normas relativas a los derechos humanos se interpretarán de conformidad con esta Constitución y con los tratados internacionales de la materia favoreciendo en todo tiempo a las personas la protección más amplia.</w:t>
      </w:r>
    </w:p>
    <w:p w14:paraId="3AEBDF8E" w14:textId="77777777" w:rsidR="001D48D9" w:rsidRPr="001D48D9" w:rsidRDefault="001D48D9" w:rsidP="001D48D9">
      <w:pPr>
        <w:autoSpaceDE w:val="0"/>
        <w:autoSpaceDN w:val="0"/>
        <w:adjustRightInd w:val="0"/>
        <w:spacing w:after="120"/>
        <w:ind w:left="1134" w:right="1325"/>
        <w:jc w:val="both"/>
        <w:rPr>
          <w:rFonts w:ascii="Palatino Linotype" w:hAnsi="Palatino Linotype" w:cs="Arial"/>
          <w:i/>
          <w:sz w:val="20"/>
          <w:lang w:val="es-ES"/>
        </w:rPr>
      </w:pPr>
      <w:r w:rsidRPr="001D48D9">
        <w:rPr>
          <w:rFonts w:ascii="Palatino Linotype" w:hAnsi="Palatino Linotype" w:cs="Arial"/>
          <w:i/>
          <w:sz w:val="20"/>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EC1212"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 xml:space="preserve">En esa virtud, de una interpretación sistemática, armónica y progresiva del derecho humano de acceso a la información pública se reitera que toda persona, sin necesidad </w:t>
      </w:r>
      <w:r w:rsidRPr="001D48D9">
        <w:rPr>
          <w:rFonts w:ascii="Palatino Linotype" w:hAnsi="Palatino Linotype" w:cs="Arial"/>
          <w:lang w:val="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C7DFAF4"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Robustece lo anterior, el Criterio 6/2014 del entonces Instituto Federal de Acceso a la Información y Protección de Datos, el cual se reproduce para una mayor referencia:</w:t>
      </w:r>
    </w:p>
    <w:p w14:paraId="1811483F" w14:textId="77777777" w:rsidR="001D48D9" w:rsidRPr="001D48D9" w:rsidRDefault="001D48D9" w:rsidP="001D48D9">
      <w:pPr>
        <w:autoSpaceDE w:val="0"/>
        <w:autoSpaceDN w:val="0"/>
        <w:adjustRightInd w:val="0"/>
        <w:spacing w:after="120"/>
        <w:ind w:left="851" w:right="902"/>
        <w:jc w:val="both"/>
        <w:rPr>
          <w:rFonts w:ascii="Palatino Linotype" w:hAnsi="Palatino Linotype" w:cs="Arial"/>
          <w:i/>
          <w:sz w:val="22"/>
          <w:lang w:val="es-ES"/>
        </w:rPr>
      </w:pPr>
      <w:r w:rsidRPr="001D48D9">
        <w:rPr>
          <w:rFonts w:ascii="Palatino Linotype" w:hAnsi="Palatino Linotype" w:cs="Arial"/>
          <w:i/>
          <w:sz w:val="22"/>
          <w:lang w:val="es-ES"/>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A0D580D"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1CF7C949" w14:textId="77777777"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91515D9" w14:textId="7246B881" w:rsidR="001D48D9" w:rsidRPr="001D48D9" w:rsidRDefault="001D48D9" w:rsidP="001D48D9">
      <w:pPr>
        <w:autoSpaceDE w:val="0"/>
        <w:autoSpaceDN w:val="0"/>
        <w:adjustRightInd w:val="0"/>
        <w:spacing w:before="240" w:after="240" w:line="360" w:lineRule="auto"/>
        <w:ind w:right="-91"/>
        <w:jc w:val="both"/>
        <w:rPr>
          <w:rFonts w:ascii="Palatino Linotype" w:hAnsi="Palatino Linotype" w:cs="Arial"/>
          <w:lang w:val="es-ES"/>
        </w:rPr>
      </w:pPr>
      <w:r w:rsidRPr="001D48D9">
        <w:rPr>
          <w:rFonts w:ascii="Palatino Linotype" w:hAnsi="Palatino Linotype" w:cs="Arial"/>
          <w:lang w:val="es-E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6C02C181" w14:textId="73B12E33" w:rsidR="00544B0C" w:rsidRPr="009A6034" w:rsidRDefault="00544B0C" w:rsidP="009A6034">
      <w:pPr>
        <w:spacing w:before="240" w:after="240" w:line="360" w:lineRule="auto"/>
        <w:jc w:val="both"/>
        <w:rPr>
          <w:rFonts w:ascii="Palatino Linotype" w:hAnsi="Palatino Linotype"/>
          <w:szCs w:val="28"/>
          <w:lang w:val="es-ES"/>
        </w:rPr>
      </w:pPr>
      <w:r w:rsidRPr="00544B0C">
        <w:rPr>
          <w:rFonts w:ascii="Palatino Linotype" w:hAnsi="Palatino Linotype" w:cs="Arial"/>
          <w:b/>
          <w:lang w:val="es-ES"/>
        </w:rPr>
        <w:t xml:space="preserve">Tercero. </w:t>
      </w:r>
      <w:r w:rsidRPr="00544B0C">
        <w:rPr>
          <w:rFonts w:ascii="Palatino Linotype" w:hAnsi="Palatino Linotype"/>
          <w:b/>
          <w:szCs w:val="28"/>
          <w:lang w:val="es-ES"/>
        </w:rPr>
        <w:t xml:space="preserve">Análisis de las causas de sobreseimiento del recurso de revisión. </w:t>
      </w:r>
      <w:r w:rsidR="009A6034">
        <w:rPr>
          <w:rFonts w:ascii="Palatino Linotype" w:hAnsi="Palatino Linotype"/>
          <w:szCs w:val="28"/>
          <w:lang w:val="es-ES"/>
        </w:rPr>
        <w:t xml:space="preserve">En primera instancia, debe apuntarse que del análisis al </w:t>
      </w:r>
      <w:r w:rsidRPr="00544B0C">
        <w:rPr>
          <w:rFonts w:ascii="Palatino Linotype" w:hAnsi="Palatino Linotype"/>
          <w:szCs w:val="28"/>
          <w:lang w:val="es-ES"/>
        </w:rPr>
        <w:t>recurso de revisión que ahora se resuelve</w:t>
      </w:r>
      <w:r w:rsidR="00CF1CB4">
        <w:rPr>
          <w:rFonts w:ascii="Palatino Linotype" w:hAnsi="Palatino Linotype"/>
          <w:szCs w:val="28"/>
          <w:lang w:val="es-ES"/>
        </w:rPr>
        <w:t>, se tiene que</w:t>
      </w:r>
      <w:r w:rsidRPr="00544B0C">
        <w:rPr>
          <w:rFonts w:ascii="Palatino Linotype" w:hAnsi="Palatino Linotype"/>
          <w:szCs w:val="28"/>
          <w:lang w:val="es-ES"/>
        </w:rPr>
        <w:t xml:space="preserve"> se actualiza la causa</w:t>
      </w:r>
      <w:r w:rsidR="00CF1CB4">
        <w:rPr>
          <w:rFonts w:ascii="Palatino Linotype" w:hAnsi="Palatino Linotype"/>
          <w:szCs w:val="28"/>
          <w:lang w:val="es-ES"/>
        </w:rPr>
        <w:t>l</w:t>
      </w:r>
      <w:r w:rsidRPr="00544B0C">
        <w:rPr>
          <w:rFonts w:ascii="Palatino Linotype" w:hAnsi="Palatino Linotype"/>
          <w:szCs w:val="28"/>
          <w:lang w:val="es-ES"/>
        </w:rPr>
        <w:t xml:space="preserve"> de sobreseimiento del recurso de </w:t>
      </w:r>
      <w:r w:rsidRPr="00544B0C">
        <w:rPr>
          <w:rFonts w:ascii="Palatino Linotype" w:hAnsi="Palatino Linotype"/>
          <w:szCs w:val="28"/>
          <w:lang w:val="es-ES"/>
        </w:rPr>
        <w:lastRenderedPageBreak/>
        <w:t>revisión establecido en la fracción III del artículo 192</w:t>
      </w:r>
      <w:r w:rsidRPr="00544B0C">
        <w:rPr>
          <w:rFonts w:ascii="Palatino Linotype" w:hAnsi="Palatino Linotype"/>
          <w:szCs w:val="28"/>
          <w:vertAlign w:val="superscript"/>
          <w:lang w:val="es-ES"/>
        </w:rPr>
        <w:footnoteReference w:id="1"/>
      </w:r>
      <w:r w:rsidRPr="00544B0C">
        <w:rPr>
          <w:rFonts w:ascii="Palatino Linotype" w:hAnsi="Palatino Linotype"/>
          <w:szCs w:val="28"/>
          <w:lang w:val="es-ES"/>
        </w:rPr>
        <w:t xml:space="preserve"> en relación con el diverso 186 fracción I</w:t>
      </w:r>
      <w:r w:rsidRPr="00544B0C">
        <w:rPr>
          <w:rFonts w:ascii="Palatino Linotype" w:hAnsi="Palatino Linotype"/>
          <w:szCs w:val="28"/>
          <w:vertAlign w:val="superscript"/>
          <w:lang w:val="es-ES"/>
        </w:rPr>
        <w:footnoteReference w:id="2"/>
      </w:r>
      <w:r w:rsidRPr="00544B0C">
        <w:rPr>
          <w:rFonts w:ascii="Palatino Linotype" w:hAnsi="Palatino Linotype"/>
          <w:szCs w:val="28"/>
          <w:lang w:val="es-ES"/>
        </w:rPr>
        <w:t xml:space="preserve">, ambos de la Ley de Transparencia y Acceso a la Información Pública del Estado de México y Municipios, derivado del contenido del informe justificado rendido por el </w:t>
      </w:r>
      <w:r w:rsidRPr="00544B0C">
        <w:rPr>
          <w:rFonts w:ascii="Palatino Linotype" w:hAnsi="Palatino Linotype"/>
          <w:b/>
          <w:szCs w:val="28"/>
          <w:lang w:val="es-ES"/>
        </w:rPr>
        <w:t>Sujeto Obligado.</w:t>
      </w:r>
      <w:r w:rsidRPr="00544B0C">
        <w:rPr>
          <w:rFonts w:ascii="Palatino Linotype" w:hAnsi="Palatino Linotype"/>
          <w:noProof/>
          <w:lang w:val="es-ES" w:eastAsia="es-MX"/>
        </w:rPr>
        <w:t xml:space="preserve"> </w:t>
      </w:r>
    </w:p>
    <w:p w14:paraId="40C663AE" w14:textId="77777777" w:rsidR="00544B0C" w:rsidRPr="00544B0C" w:rsidRDefault="00544B0C" w:rsidP="00544B0C">
      <w:pPr>
        <w:tabs>
          <w:tab w:val="left" w:pos="7513"/>
        </w:tabs>
        <w:adjustRightInd w:val="0"/>
        <w:spacing w:after="240" w:line="360" w:lineRule="auto"/>
        <w:ind w:right="49"/>
        <w:jc w:val="both"/>
        <w:rPr>
          <w:rFonts w:ascii="Palatino Linotype" w:hAnsi="Palatino Linotype"/>
          <w:lang w:val="es-ES"/>
        </w:rPr>
      </w:pPr>
      <w:r w:rsidRPr="00544B0C">
        <w:rPr>
          <w:rFonts w:ascii="Palatino Linotype" w:hAnsi="Palatino Linotype"/>
          <w:lang w:val="es-ES"/>
        </w:rPr>
        <w:t>Para una mejor comprensión del asunto, de las constancias que obran en el expediente electrónico, valoradas anteriormente, destacan por su importancia los antecedentes siguientes:</w:t>
      </w:r>
    </w:p>
    <w:p w14:paraId="15EAE0C2" w14:textId="77777777" w:rsidR="00544B0C" w:rsidRDefault="00544B0C" w:rsidP="00CF1CB4">
      <w:pPr>
        <w:tabs>
          <w:tab w:val="left" w:pos="7513"/>
        </w:tabs>
        <w:adjustRightInd w:val="0"/>
        <w:spacing w:after="240" w:line="360" w:lineRule="auto"/>
        <w:ind w:right="49"/>
        <w:contextualSpacing/>
        <w:jc w:val="both"/>
        <w:rPr>
          <w:rFonts w:ascii="Palatino Linotype" w:hAnsi="Palatino Linotype" w:cs="Arial"/>
          <w:lang w:eastAsia="en-US"/>
        </w:rPr>
      </w:pPr>
      <w:r w:rsidRPr="00544B0C">
        <w:rPr>
          <w:rFonts w:ascii="Palatino Linotype" w:hAnsi="Palatino Linotype"/>
          <w:lang w:eastAsia="en-US"/>
        </w:rPr>
        <w:t>En la solicitud de información materia del presente recurso, la parte solicitante requirió al Sujeto Obligado lo siguiente</w:t>
      </w:r>
      <w:r w:rsidRPr="00544B0C">
        <w:rPr>
          <w:rFonts w:ascii="Palatino Linotype" w:hAnsi="Palatino Linotype" w:cs="Arial"/>
          <w:lang w:eastAsia="en-US"/>
        </w:rPr>
        <w:t>:</w:t>
      </w:r>
    </w:p>
    <w:p w14:paraId="5A714028" w14:textId="77777777" w:rsidR="00CF1CB4" w:rsidRDefault="00CF1CB4" w:rsidP="00CF1CB4">
      <w:pPr>
        <w:tabs>
          <w:tab w:val="left" w:pos="7513"/>
        </w:tabs>
        <w:adjustRightInd w:val="0"/>
        <w:spacing w:after="240" w:line="360" w:lineRule="auto"/>
        <w:ind w:right="49"/>
        <w:contextualSpacing/>
        <w:jc w:val="both"/>
        <w:rPr>
          <w:rFonts w:ascii="Palatino Linotype" w:hAnsi="Palatino Linotype" w:cs="Arial"/>
          <w:lang w:eastAsia="en-US"/>
        </w:rPr>
      </w:pPr>
    </w:p>
    <w:p w14:paraId="4336984A" w14:textId="77777777" w:rsidR="00CF1CB4" w:rsidRDefault="00CF1CB4" w:rsidP="00CF1CB4">
      <w:pPr>
        <w:tabs>
          <w:tab w:val="left" w:pos="7513"/>
        </w:tabs>
        <w:adjustRightInd w:val="0"/>
        <w:spacing w:after="240" w:line="360" w:lineRule="auto"/>
        <w:ind w:left="567" w:right="900"/>
        <w:contextualSpacing/>
        <w:jc w:val="both"/>
        <w:rPr>
          <w:rFonts w:ascii="Palatino Linotype" w:hAnsi="Palatino Linotype"/>
          <w:i/>
          <w:lang w:eastAsia="en-US"/>
        </w:rPr>
      </w:pPr>
      <w:r>
        <w:rPr>
          <w:rFonts w:ascii="Palatino Linotype" w:hAnsi="Palatino Linotype"/>
          <w:i/>
          <w:lang w:eastAsia="en-US"/>
        </w:rPr>
        <w:t>Copia simple del</w:t>
      </w:r>
      <w:r w:rsidRPr="00CF1CB4">
        <w:rPr>
          <w:rFonts w:ascii="Palatino Linotype" w:hAnsi="Palatino Linotype"/>
          <w:i/>
          <w:lang w:eastAsia="en-US"/>
        </w:rPr>
        <w:t xml:space="preserve"> Acta de elección de consejeros universitarios de la Facultad de Humanidades del año 2020 tanto de consejos docentes y de alumnos. </w:t>
      </w:r>
    </w:p>
    <w:p w14:paraId="237C70E3" w14:textId="77777777" w:rsidR="00CF1CB4" w:rsidRDefault="00CF1CB4" w:rsidP="00CF1CB4">
      <w:pPr>
        <w:tabs>
          <w:tab w:val="left" w:pos="7513"/>
        </w:tabs>
        <w:adjustRightInd w:val="0"/>
        <w:spacing w:after="240" w:line="360" w:lineRule="auto"/>
        <w:ind w:right="49"/>
        <w:contextualSpacing/>
        <w:jc w:val="both"/>
        <w:rPr>
          <w:rFonts w:ascii="Palatino Linotype" w:hAnsi="Palatino Linotype" w:cs="Arial"/>
        </w:rPr>
      </w:pPr>
    </w:p>
    <w:p w14:paraId="0BF82B54" w14:textId="3C35EDDA" w:rsidR="00CF1CB4" w:rsidRDefault="00544B0C" w:rsidP="00CF1CB4">
      <w:pPr>
        <w:tabs>
          <w:tab w:val="left" w:pos="7513"/>
        </w:tabs>
        <w:adjustRightInd w:val="0"/>
        <w:spacing w:after="240" w:line="360" w:lineRule="auto"/>
        <w:ind w:right="49"/>
        <w:contextualSpacing/>
        <w:jc w:val="both"/>
        <w:rPr>
          <w:rFonts w:ascii="Palatino Linotype" w:hAnsi="Palatino Linotype"/>
          <w:i/>
          <w:lang w:eastAsia="en-US"/>
        </w:rPr>
      </w:pPr>
      <w:r w:rsidRPr="00CF1CB4">
        <w:rPr>
          <w:rFonts w:ascii="Palatino Linotype" w:hAnsi="Palatino Linotype" w:cs="Arial"/>
        </w:rPr>
        <w:t xml:space="preserve">El Sujeto Obligado </w:t>
      </w:r>
      <w:r w:rsidR="00A1520C" w:rsidRPr="00CF1CB4">
        <w:rPr>
          <w:rFonts w:ascii="Palatino Linotype" w:hAnsi="Palatino Linotype" w:cs="Arial"/>
        </w:rPr>
        <w:t>en respuesta envió</w:t>
      </w:r>
      <w:r w:rsidR="00CF1CB4">
        <w:rPr>
          <w:rFonts w:ascii="Palatino Linotype" w:hAnsi="Palatino Linotype" w:cs="Arial"/>
        </w:rPr>
        <w:t xml:space="preserve"> los archivos electrónicos denominados </w:t>
      </w:r>
      <w:r w:rsidR="00CF1CB4" w:rsidRPr="00541CBF">
        <w:rPr>
          <w:rFonts w:ascii="Palatino Linotype" w:hAnsi="Palatino Linotype" w:cs="Arial"/>
          <w:b/>
          <w:i/>
        </w:rPr>
        <w:t>“consejeros alumnos.pdf”</w:t>
      </w:r>
      <w:r w:rsidR="00CF1CB4">
        <w:rPr>
          <w:rFonts w:ascii="Palatino Linotype" w:hAnsi="Palatino Linotype" w:cs="Arial"/>
          <w:b/>
          <w:i/>
        </w:rPr>
        <w:t xml:space="preserve"> y </w:t>
      </w:r>
      <w:r w:rsidR="00CF1CB4" w:rsidRPr="00541CBF">
        <w:rPr>
          <w:rFonts w:ascii="Palatino Linotype" w:hAnsi="Palatino Linotype" w:cs="Arial"/>
          <w:b/>
          <w:i/>
        </w:rPr>
        <w:t>“consejeros docentes.pdf”</w:t>
      </w:r>
      <w:r w:rsidR="00CF1CB4">
        <w:rPr>
          <w:rFonts w:ascii="Palatino Linotype" w:hAnsi="Palatino Linotype" w:cs="Arial"/>
          <w:b/>
          <w:i/>
        </w:rPr>
        <w:t xml:space="preserve">, </w:t>
      </w:r>
      <w:r w:rsidR="00CF1CB4">
        <w:rPr>
          <w:rFonts w:ascii="Palatino Linotype" w:hAnsi="Palatino Linotype" w:cs="Arial"/>
        </w:rPr>
        <w:t>los cuales medularmente consistente</w:t>
      </w:r>
      <w:r w:rsidR="00A1520C" w:rsidRPr="00CF1CB4">
        <w:rPr>
          <w:rFonts w:ascii="Palatino Linotype" w:hAnsi="Palatino Linotype" w:cs="Arial"/>
        </w:rPr>
        <w:t xml:space="preserve"> </w:t>
      </w:r>
      <w:r w:rsidR="00CF1CB4">
        <w:rPr>
          <w:rFonts w:ascii="Palatino Linotype" w:hAnsi="Palatino Linotype" w:cs="Arial"/>
        </w:rPr>
        <w:t>en los dictámenes por los que se otorga el registro a los alumnos y docentes aspirantes a consejeros universitarios.</w:t>
      </w:r>
    </w:p>
    <w:p w14:paraId="7BF29125" w14:textId="77777777" w:rsidR="00CF1CB4" w:rsidRPr="00CF1CB4" w:rsidRDefault="00CF1CB4" w:rsidP="00CF1CB4">
      <w:pPr>
        <w:tabs>
          <w:tab w:val="left" w:pos="7513"/>
        </w:tabs>
        <w:adjustRightInd w:val="0"/>
        <w:spacing w:after="240" w:line="360" w:lineRule="auto"/>
        <w:ind w:right="49"/>
        <w:contextualSpacing/>
        <w:jc w:val="both"/>
        <w:rPr>
          <w:rFonts w:ascii="Palatino Linotype" w:hAnsi="Palatino Linotype"/>
          <w:i/>
          <w:lang w:eastAsia="en-US"/>
        </w:rPr>
      </w:pPr>
    </w:p>
    <w:p w14:paraId="26EAA4D5" w14:textId="3874A69A" w:rsidR="00BF5198" w:rsidRDefault="00CF1CB4" w:rsidP="00CF1CB4">
      <w:pPr>
        <w:spacing w:line="360" w:lineRule="auto"/>
        <w:ind w:right="49"/>
        <w:contextualSpacing/>
        <w:jc w:val="both"/>
        <w:rPr>
          <w:rFonts w:ascii="Palatino Linotype" w:hAnsi="Palatino Linotype" w:cs="Arial"/>
          <w:szCs w:val="22"/>
          <w:lang w:eastAsia="en-US"/>
        </w:rPr>
      </w:pPr>
      <w:r>
        <w:rPr>
          <w:rFonts w:ascii="Palatino Linotype" w:hAnsi="Palatino Linotype" w:cs="Arial"/>
          <w:szCs w:val="22"/>
          <w:lang w:eastAsia="en-US"/>
        </w:rPr>
        <w:lastRenderedPageBreak/>
        <w:t>Una vez conocida la respuesta, el</w:t>
      </w:r>
      <w:r w:rsidR="00BF5198" w:rsidRPr="00BF5198">
        <w:rPr>
          <w:rFonts w:ascii="Palatino Linotype" w:hAnsi="Palatino Linotype" w:cs="Arial"/>
          <w:szCs w:val="22"/>
          <w:lang w:eastAsia="en-US"/>
        </w:rPr>
        <w:t xml:space="preserve"> recurrente interpuso el medio de impugnación que nos ocupa, expresando que</w:t>
      </w:r>
      <w:r w:rsidR="00A1520C">
        <w:rPr>
          <w:rFonts w:ascii="Palatino Linotype" w:hAnsi="Palatino Linotype" w:cs="Arial"/>
          <w:szCs w:val="22"/>
          <w:lang w:eastAsia="en-US"/>
        </w:rPr>
        <w:t xml:space="preserve"> </w:t>
      </w:r>
      <w:r>
        <w:rPr>
          <w:rFonts w:ascii="Palatino Linotype" w:hAnsi="Palatino Linotype" w:cs="Arial"/>
          <w:szCs w:val="22"/>
          <w:lang w:eastAsia="en-US"/>
        </w:rPr>
        <w:t>el Sujeto Obligado remitió los registros de aspirantes  y no así el acta de elección.</w:t>
      </w:r>
    </w:p>
    <w:p w14:paraId="2C0CABF0" w14:textId="7D19CE1E" w:rsidR="00BF5198" w:rsidRDefault="0046390E" w:rsidP="00CF1CB4">
      <w:pPr>
        <w:spacing w:line="360" w:lineRule="auto"/>
        <w:ind w:right="-93"/>
        <w:contextualSpacing/>
        <w:jc w:val="both"/>
        <w:rPr>
          <w:rFonts w:ascii="Palatino Linotype" w:hAnsi="Palatino Linotype" w:cs="Arial"/>
          <w:szCs w:val="22"/>
          <w:lang w:eastAsia="en-US"/>
        </w:rPr>
      </w:pPr>
      <w:r>
        <w:rPr>
          <w:rFonts w:ascii="Palatino Linotype" w:hAnsi="Palatino Linotype" w:cs="Arial"/>
          <w:noProof/>
          <w:szCs w:val="22"/>
          <w:lang w:eastAsia="es-MX"/>
        </w:rPr>
        <mc:AlternateContent>
          <mc:Choice Requires="wps">
            <w:drawing>
              <wp:anchor distT="0" distB="0" distL="114300" distR="114300" simplePos="0" relativeHeight="251664384" behindDoc="0" locked="0" layoutInCell="1" allowOverlap="1" wp14:anchorId="6205631C" wp14:editId="23D487E4">
                <wp:simplePos x="0" y="0"/>
                <wp:positionH relativeFrom="column">
                  <wp:posOffset>53340</wp:posOffset>
                </wp:positionH>
                <wp:positionV relativeFrom="paragraph">
                  <wp:posOffset>1014730</wp:posOffset>
                </wp:positionV>
                <wp:extent cx="5610225" cy="5286375"/>
                <wp:effectExtent l="0" t="0" r="28575" b="28575"/>
                <wp:wrapNone/>
                <wp:docPr id="7" name="Conector recto 7"/>
                <wp:cNvGraphicFramePr/>
                <a:graphic xmlns:a="http://schemas.openxmlformats.org/drawingml/2006/main">
                  <a:graphicData uri="http://schemas.microsoft.com/office/word/2010/wordprocessingShape">
                    <wps:wsp>
                      <wps:cNvCnPr/>
                      <wps:spPr>
                        <a:xfrm flipH="1">
                          <a:off x="0" y="0"/>
                          <a:ext cx="5610225" cy="528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B641C" id="Conector recto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9.9pt" to="445.95pt,4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" strokecolor="black [3200]" strokeweight=".5pt">
                <v:stroke joinstyle="miter"/>
              </v:line>
            </w:pict>
          </mc:Fallback>
        </mc:AlternateContent>
      </w:r>
      <w:r w:rsidR="00CF1CB4">
        <w:rPr>
          <w:rFonts w:ascii="Palatino Linotype" w:hAnsi="Palatino Linotype" w:cs="Arial"/>
          <w:szCs w:val="22"/>
          <w:lang w:eastAsia="en-US"/>
        </w:rPr>
        <w:t>Al momento de rendir</w:t>
      </w:r>
      <w:r w:rsidR="00BF5198" w:rsidRPr="00BF5198">
        <w:rPr>
          <w:rFonts w:ascii="Palatino Linotype" w:hAnsi="Palatino Linotype" w:cs="Arial"/>
          <w:szCs w:val="22"/>
          <w:lang w:eastAsia="en-US"/>
        </w:rPr>
        <w:t xml:space="preserve"> informe justificado, el Sujeto Obligado manifestó </w:t>
      </w:r>
      <w:r w:rsidR="00CF1CB4">
        <w:rPr>
          <w:rFonts w:ascii="Palatino Linotype" w:hAnsi="Palatino Linotype" w:cs="Arial"/>
          <w:szCs w:val="22"/>
          <w:lang w:eastAsia="en-US"/>
        </w:rPr>
        <w:t>que por motivos del paro estudiantil se habían remitido los registros, sin embargo, en este momento procesal remit</w:t>
      </w:r>
      <w:r w:rsidR="0088388C">
        <w:rPr>
          <w:rFonts w:ascii="Palatino Linotype" w:hAnsi="Palatino Linotype" w:cs="Arial"/>
          <w:szCs w:val="22"/>
          <w:lang w:eastAsia="en-US"/>
        </w:rPr>
        <w:t xml:space="preserve">ían las actas solicitadas, tal como se ilustra a continuación: </w:t>
      </w:r>
    </w:p>
    <w:p w14:paraId="78E4FEDB" w14:textId="6FB87902" w:rsidR="0088388C" w:rsidRDefault="0088388C" w:rsidP="00CF1CB4">
      <w:pPr>
        <w:spacing w:line="360" w:lineRule="auto"/>
        <w:ind w:right="-93"/>
        <w:contextualSpacing/>
        <w:jc w:val="both"/>
        <w:rPr>
          <w:rFonts w:ascii="Palatino Linotype" w:hAnsi="Palatino Linotype" w:cs="Arial"/>
          <w:szCs w:val="22"/>
          <w:lang w:eastAsia="en-US"/>
        </w:rPr>
      </w:pPr>
      <w:r>
        <w:rPr>
          <w:rFonts w:ascii="Palatino Linotype" w:hAnsi="Palatino Linotype" w:cs="Arial"/>
          <w:noProof/>
          <w:szCs w:val="22"/>
          <w:lang w:eastAsia="es-MX"/>
        </w:rPr>
        <w:lastRenderedPageBreak/>
        <mc:AlternateContent>
          <mc:Choice Requires="wps">
            <w:drawing>
              <wp:anchor distT="0" distB="0" distL="114300" distR="114300" simplePos="0" relativeHeight="251662336" behindDoc="0" locked="0" layoutInCell="1" allowOverlap="1" wp14:anchorId="1307380B" wp14:editId="3BC07D6C">
                <wp:simplePos x="0" y="0"/>
                <wp:positionH relativeFrom="column">
                  <wp:posOffset>624840</wp:posOffset>
                </wp:positionH>
                <wp:positionV relativeFrom="paragraph">
                  <wp:posOffset>5291455</wp:posOffset>
                </wp:positionV>
                <wp:extent cx="4371975" cy="4381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4371975" cy="43815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BFCCC" id="Rectángulo 5" o:spid="_x0000_s1026" style="position:absolute;margin-left:49.2pt;margin-top:416.65pt;width:344.25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" filled="f" strokecolor="#002060" strokeweight="2.25pt"/>
            </w:pict>
          </mc:Fallback>
        </mc:AlternateContent>
      </w:r>
      <w:r>
        <w:rPr>
          <w:rFonts w:ascii="Palatino Linotype" w:hAnsi="Palatino Linotype" w:cs="Arial"/>
          <w:noProof/>
          <w:szCs w:val="22"/>
          <w:lang w:eastAsia="es-MX"/>
        </w:rPr>
        <mc:AlternateContent>
          <mc:Choice Requires="wps">
            <w:drawing>
              <wp:anchor distT="0" distB="0" distL="114300" distR="114300" simplePos="0" relativeHeight="251659264" behindDoc="0" locked="0" layoutInCell="1" allowOverlap="1" wp14:anchorId="1F8826C9" wp14:editId="587B6936">
                <wp:simplePos x="0" y="0"/>
                <wp:positionH relativeFrom="column">
                  <wp:posOffset>653415</wp:posOffset>
                </wp:positionH>
                <wp:positionV relativeFrom="paragraph">
                  <wp:posOffset>3624580</wp:posOffset>
                </wp:positionV>
                <wp:extent cx="4400550" cy="5810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4400550" cy="58102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FC45A" id="Rectángulo 2" o:spid="_x0000_s1026" style="position:absolute;margin-left:51.45pt;margin-top:285.4pt;width:346.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" filled="f" strokecolor="#002060" strokeweight="2.25pt"/>
            </w:pict>
          </mc:Fallback>
        </mc:AlternateContent>
      </w:r>
      <w:r>
        <w:rPr>
          <w:rFonts w:ascii="Palatino Linotype" w:hAnsi="Palatino Linotype" w:cs="Arial"/>
          <w:noProof/>
          <w:szCs w:val="22"/>
          <w:lang w:eastAsia="es-MX"/>
        </w:rPr>
        <w:drawing>
          <wp:anchor distT="0" distB="0" distL="114300" distR="114300" simplePos="0" relativeHeight="251658240" behindDoc="0" locked="0" layoutInCell="1" allowOverlap="1" wp14:anchorId="1C6ED252" wp14:editId="34A34C0D">
            <wp:simplePos x="0" y="0"/>
            <wp:positionH relativeFrom="column">
              <wp:posOffset>-184785</wp:posOffset>
            </wp:positionH>
            <wp:positionV relativeFrom="paragraph">
              <wp:posOffset>328930</wp:posOffset>
            </wp:positionV>
            <wp:extent cx="6018785" cy="5753100"/>
            <wp:effectExtent l="0" t="0" r="127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8785" cy="57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202C9" w14:textId="17E43BB0" w:rsidR="0088388C" w:rsidRDefault="0088388C" w:rsidP="00CF1CB4">
      <w:pPr>
        <w:spacing w:line="360" w:lineRule="auto"/>
        <w:ind w:right="-93"/>
        <w:contextualSpacing/>
        <w:jc w:val="both"/>
        <w:rPr>
          <w:rFonts w:ascii="Palatino Linotype" w:hAnsi="Palatino Linotype" w:cs="Arial"/>
          <w:szCs w:val="22"/>
          <w:lang w:eastAsia="en-US"/>
        </w:rPr>
      </w:pPr>
    </w:p>
    <w:p w14:paraId="32728FEA" w14:textId="77777777" w:rsidR="0088388C" w:rsidRPr="00544B0C" w:rsidRDefault="0088388C" w:rsidP="00CF1CB4">
      <w:pPr>
        <w:spacing w:line="360" w:lineRule="auto"/>
        <w:ind w:right="-93"/>
        <w:contextualSpacing/>
        <w:jc w:val="both"/>
        <w:rPr>
          <w:rFonts w:ascii="Palatino Linotype" w:hAnsi="Palatino Linotype"/>
          <w:lang w:val="es-ES"/>
        </w:rPr>
      </w:pPr>
    </w:p>
    <w:p w14:paraId="40836B75" w14:textId="1D528160" w:rsidR="00BF5198" w:rsidRDefault="0088388C" w:rsidP="00806347">
      <w:pPr>
        <w:spacing w:before="240" w:after="240" w:line="360" w:lineRule="auto"/>
        <w:jc w:val="both"/>
        <w:rPr>
          <w:rFonts w:ascii="Palatino Linotype" w:hAnsi="Palatino Linotype"/>
          <w:lang w:val="es-ES"/>
        </w:rPr>
      </w:pPr>
      <w:r>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6A7D6E1D" wp14:editId="0FE25338">
                <wp:simplePos x="0" y="0"/>
                <wp:positionH relativeFrom="column">
                  <wp:posOffset>596265</wp:posOffset>
                </wp:positionH>
                <wp:positionV relativeFrom="paragraph">
                  <wp:posOffset>5178425</wp:posOffset>
                </wp:positionV>
                <wp:extent cx="4343400" cy="58102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4343400" cy="58102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3A894" id="Rectángulo 6" o:spid="_x0000_s1026" style="position:absolute;margin-left:46.95pt;margin-top:407.75pt;width:342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" filled="f" strokecolor="#002060" strokeweight="2.25pt"/>
            </w:pict>
          </mc:Fallback>
        </mc:AlternateContent>
      </w: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7A1C2DD" wp14:editId="0B237B3F">
                <wp:simplePos x="0" y="0"/>
                <wp:positionH relativeFrom="column">
                  <wp:posOffset>577215</wp:posOffset>
                </wp:positionH>
                <wp:positionV relativeFrom="paragraph">
                  <wp:posOffset>3463925</wp:posOffset>
                </wp:positionV>
                <wp:extent cx="4391025" cy="6191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4391025" cy="61912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37D1A" id="Rectángulo 4" o:spid="_x0000_s1026" style="position:absolute;margin-left:45.45pt;margin-top:272.75pt;width:345.7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" filled="f" strokecolor="#002060" strokeweight="2.25pt"/>
            </w:pict>
          </mc:Fallback>
        </mc:AlternateContent>
      </w:r>
      <w:r>
        <w:rPr>
          <w:rFonts w:ascii="Palatino Linotype" w:hAnsi="Palatino Linotype"/>
          <w:noProof/>
          <w:lang w:eastAsia="es-MX"/>
        </w:rPr>
        <w:drawing>
          <wp:anchor distT="0" distB="0" distL="114300" distR="114300" simplePos="0" relativeHeight="251660288" behindDoc="0" locked="0" layoutInCell="1" allowOverlap="1" wp14:anchorId="11372DDC" wp14:editId="53D1F8FB">
            <wp:simplePos x="0" y="0"/>
            <wp:positionH relativeFrom="column">
              <wp:posOffset>-232410</wp:posOffset>
            </wp:positionH>
            <wp:positionV relativeFrom="paragraph">
              <wp:posOffset>0</wp:posOffset>
            </wp:positionV>
            <wp:extent cx="5905500" cy="5715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198">
        <w:rPr>
          <w:rFonts w:ascii="Palatino Linotype" w:hAnsi="Palatino Linotype"/>
          <w:lang w:val="es-ES"/>
        </w:rPr>
        <w:t>En esta tesitura</w:t>
      </w:r>
      <w:r w:rsidR="00544B0C" w:rsidRPr="00544B0C">
        <w:rPr>
          <w:rFonts w:ascii="Palatino Linotype" w:hAnsi="Palatino Linotype"/>
          <w:lang w:val="es-ES"/>
        </w:rPr>
        <w:t>, se destaca que el Sujeto Obligado al rendir su informe ju</w:t>
      </w:r>
      <w:r w:rsidR="00BF5198">
        <w:rPr>
          <w:rFonts w:ascii="Palatino Linotype" w:hAnsi="Palatino Linotype"/>
          <w:lang w:val="es-ES"/>
        </w:rPr>
        <w:t>stificado, amplía la respuesta</w:t>
      </w:r>
      <w:r w:rsidR="00544B0C" w:rsidRPr="00544B0C">
        <w:rPr>
          <w:rFonts w:ascii="Palatino Linotype" w:hAnsi="Palatino Linotype"/>
          <w:lang w:val="es-ES"/>
        </w:rPr>
        <w:t xml:space="preserve"> </w:t>
      </w:r>
      <w:r w:rsidR="00BF5198">
        <w:rPr>
          <w:rFonts w:ascii="Palatino Linotype" w:hAnsi="Palatino Linotype"/>
          <w:lang w:val="es-ES"/>
        </w:rPr>
        <w:t>que había otorgado inicialmente y dio origen a</w:t>
      </w:r>
      <w:r w:rsidR="00544B0C" w:rsidRPr="00544B0C">
        <w:rPr>
          <w:rFonts w:ascii="Palatino Linotype" w:hAnsi="Palatino Linotype"/>
          <w:lang w:val="es-ES"/>
        </w:rPr>
        <w:t xml:space="preserve"> la interposición del recurso de revisión citada al</w:t>
      </w:r>
      <w:r w:rsidR="00806347">
        <w:rPr>
          <w:rFonts w:ascii="Palatino Linotype" w:hAnsi="Palatino Linotype"/>
          <w:lang w:val="es-ES"/>
        </w:rPr>
        <w:t xml:space="preserve"> rubro.</w:t>
      </w:r>
    </w:p>
    <w:p w14:paraId="013A1047" w14:textId="61BE076D" w:rsidR="00806347" w:rsidRDefault="00806347" w:rsidP="00806347">
      <w:pPr>
        <w:spacing w:before="240" w:after="240" w:line="360" w:lineRule="auto"/>
        <w:jc w:val="both"/>
        <w:rPr>
          <w:rFonts w:ascii="Palatino Linotype" w:hAnsi="Palatino Linotype"/>
          <w:lang w:val="es-ES"/>
        </w:rPr>
      </w:pPr>
      <w:r>
        <w:rPr>
          <w:rFonts w:ascii="Palatino Linotype" w:hAnsi="Palatino Linotype"/>
          <w:lang w:val="es-ES"/>
        </w:rPr>
        <w:t>Ahora bien, por cuanto hace a la publicidad de los nombres de los consejeros universitarios alumnos, se colige que revisten interés público, en raz</w:t>
      </w:r>
      <w:r w:rsidR="008E76D7">
        <w:rPr>
          <w:rFonts w:ascii="Palatino Linotype" w:hAnsi="Palatino Linotype"/>
          <w:lang w:val="es-ES"/>
        </w:rPr>
        <w:t xml:space="preserve">ón de las </w:t>
      </w:r>
      <w:r w:rsidR="008E76D7">
        <w:rPr>
          <w:rFonts w:ascii="Palatino Linotype" w:hAnsi="Palatino Linotype"/>
          <w:lang w:val="es-ES"/>
        </w:rPr>
        <w:lastRenderedPageBreak/>
        <w:t>funciones que desempeñan</w:t>
      </w:r>
      <w:r>
        <w:rPr>
          <w:rFonts w:ascii="Palatino Linotype" w:hAnsi="Palatino Linotype"/>
          <w:lang w:val="es-ES"/>
        </w:rPr>
        <w:t>, esto es, actos de autoridad y as</w:t>
      </w:r>
      <w:r w:rsidR="008E76D7">
        <w:rPr>
          <w:rFonts w:ascii="Palatino Linotype" w:hAnsi="Palatino Linotype"/>
          <w:lang w:val="es-ES"/>
        </w:rPr>
        <w:t xml:space="preserve">imismo por considerarse como el </w:t>
      </w:r>
      <w:r>
        <w:rPr>
          <w:rFonts w:ascii="Palatino Linotype" w:hAnsi="Palatino Linotype"/>
          <w:lang w:val="es-ES"/>
        </w:rPr>
        <w:t xml:space="preserve">órgano </w:t>
      </w:r>
      <w:r w:rsidR="008E76D7">
        <w:rPr>
          <w:rFonts w:ascii="Palatino Linotype" w:hAnsi="Palatino Linotype"/>
          <w:lang w:val="es-ES"/>
        </w:rPr>
        <w:t xml:space="preserve">superior </w:t>
      </w:r>
      <w:r>
        <w:rPr>
          <w:rFonts w:ascii="Palatino Linotype" w:hAnsi="Palatino Linotype"/>
          <w:lang w:val="es-ES"/>
        </w:rPr>
        <w:t xml:space="preserve">de gobierno dentro de la Universidad, sirven de sustento los siguientes preceptos legales: </w:t>
      </w:r>
    </w:p>
    <w:p w14:paraId="19965C73" w14:textId="4E1F8E31" w:rsidR="008E76D7" w:rsidRPr="008E76D7" w:rsidRDefault="008E76D7" w:rsidP="008E76D7">
      <w:pPr>
        <w:spacing w:before="240" w:after="240"/>
        <w:ind w:left="709" w:right="900"/>
        <w:jc w:val="both"/>
        <w:rPr>
          <w:rFonts w:ascii="Palatino Linotype" w:hAnsi="Palatino Linotype"/>
          <w:i/>
          <w:sz w:val="22"/>
        </w:rPr>
      </w:pPr>
      <w:r>
        <w:rPr>
          <w:rFonts w:ascii="Palatino Linotype" w:hAnsi="Palatino Linotype"/>
          <w:b/>
          <w:bCs/>
          <w:i/>
          <w:sz w:val="22"/>
        </w:rPr>
        <w:t>“</w:t>
      </w:r>
      <w:r w:rsidRPr="008E76D7">
        <w:rPr>
          <w:rFonts w:ascii="Palatino Linotype" w:hAnsi="Palatino Linotype"/>
          <w:b/>
          <w:bCs/>
          <w:i/>
          <w:sz w:val="22"/>
        </w:rPr>
        <w:t xml:space="preserve">TITULO CUARTO </w:t>
      </w:r>
    </w:p>
    <w:p w14:paraId="38656059"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b/>
          <w:bCs/>
          <w:i/>
          <w:sz w:val="22"/>
        </w:rPr>
        <w:t xml:space="preserve">El Gobierno Universitario </w:t>
      </w:r>
    </w:p>
    <w:p w14:paraId="08E447A5" w14:textId="77777777" w:rsid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b/>
          <w:bCs/>
          <w:i/>
          <w:sz w:val="22"/>
        </w:rPr>
        <w:t xml:space="preserve">CAPITULO I </w:t>
      </w:r>
      <w:r>
        <w:rPr>
          <w:rFonts w:ascii="Palatino Linotype" w:hAnsi="Palatino Linotype"/>
          <w:i/>
          <w:sz w:val="22"/>
        </w:rPr>
        <w:t xml:space="preserve"> </w:t>
      </w:r>
    </w:p>
    <w:p w14:paraId="16FB507A" w14:textId="67107173"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b/>
          <w:bCs/>
          <w:i/>
          <w:sz w:val="22"/>
        </w:rPr>
        <w:t xml:space="preserve">De los Órganos de Gobierno </w:t>
      </w:r>
    </w:p>
    <w:p w14:paraId="424B19A8" w14:textId="503177C3"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b/>
          <w:bCs/>
          <w:i/>
          <w:sz w:val="22"/>
        </w:rPr>
        <w:t xml:space="preserve">ARTÍCULO 19.- </w:t>
      </w:r>
      <w:r w:rsidRPr="008E76D7">
        <w:rPr>
          <w:rFonts w:ascii="Palatino Linotype" w:hAnsi="Palatino Linotype"/>
          <w:i/>
          <w:sz w:val="22"/>
        </w:rPr>
        <w:t xml:space="preserve">El gobierno de la Universidad se deposita en los órganos de autoridad siguientes: </w:t>
      </w:r>
    </w:p>
    <w:p w14:paraId="56242ADB" w14:textId="77777777" w:rsidR="008E76D7" w:rsidRPr="008E76D7" w:rsidRDefault="008E76D7" w:rsidP="008E76D7">
      <w:pPr>
        <w:spacing w:before="240" w:after="240"/>
        <w:ind w:left="709" w:right="900"/>
        <w:jc w:val="both"/>
        <w:rPr>
          <w:rFonts w:ascii="Palatino Linotype" w:hAnsi="Palatino Linotype"/>
          <w:b/>
          <w:i/>
          <w:sz w:val="22"/>
          <w:u w:val="single"/>
        </w:rPr>
      </w:pPr>
      <w:r w:rsidRPr="008E76D7">
        <w:rPr>
          <w:rFonts w:ascii="Palatino Linotype" w:hAnsi="Palatino Linotype"/>
          <w:b/>
          <w:i/>
          <w:sz w:val="22"/>
          <w:u w:val="single"/>
        </w:rPr>
        <w:t xml:space="preserve">I. Consejo Universitario. </w:t>
      </w:r>
    </w:p>
    <w:p w14:paraId="448CF1D2"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i/>
          <w:sz w:val="22"/>
        </w:rPr>
        <w:t xml:space="preserve">II. Rector. </w:t>
      </w:r>
    </w:p>
    <w:p w14:paraId="6E25CC18"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i/>
          <w:sz w:val="22"/>
        </w:rPr>
        <w:t xml:space="preserve">III. Consejo de Gobierno de cada Organismo Académico, de cada Centro Universitario y de cada plantel de la Escuela Preparatoria. </w:t>
      </w:r>
    </w:p>
    <w:p w14:paraId="3B13A782"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i/>
          <w:sz w:val="22"/>
        </w:rPr>
        <w:t xml:space="preserve">IV. Director de cada Organismo Académico, de cada Centro Universitario y de cada plantel de la Escuela Preparatoria. </w:t>
      </w:r>
    </w:p>
    <w:p w14:paraId="7C0E0A8D" w14:textId="77777777" w:rsidR="008E76D7" w:rsidRPr="008E76D7" w:rsidRDefault="008E76D7" w:rsidP="008E76D7">
      <w:pPr>
        <w:spacing w:before="240" w:after="240"/>
        <w:ind w:left="709" w:right="900"/>
        <w:jc w:val="both"/>
        <w:rPr>
          <w:rFonts w:ascii="Palatino Linotype" w:hAnsi="Palatino Linotype"/>
          <w:b/>
          <w:i/>
          <w:sz w:val="22"/>
          <w:u w:val="single"/>
        </w:rPr>
      </w:pPr>
      <w:r w:rsidRPr="008E76D7">
        <w:rPr>
          <w:rFonts w:ascii="Palatino Linotype" w:hAnsi="Palatino Linotype"/>
          <w:b/>
          <w:i/>
          <w:sz w:val="22"/>
          <w:u w:val="single"/>
        </w:rPr>
        <w:t xml:space="preserve">Estos órganos tendrán los ámbitos de competencia, facultades y obligaciones, integración, procesos de renovación de sus miembros, formas de organización y funcionamiento, establecidos en la presente Ley, el Estatuto Universitario y reglamentos derivados. </w:t>
      </w:r>
    </w:p>
    <w:p w14:paraId="41B7CBBE" w14:textId="77777777" w:rsidR="008E76D7" w:rsidRPr="008E76D7" w:rsidRDefault="008E76D7" w:rsidP="008E76D7">
      <w:pPr>
        <w:spacing w:before="240" w:after="240"/>
        <w:ind w:left="709" w:right="900"/>
        <w:jc w:val="both"/>
        <w:rPr>
          <w:rFonts w:ascii="Palatino Linotype" w:hAnsi="Palatino Linotype"/>
          <w:b/>
          <w:i/>
          <w:sz w:val="22"/>
          <w:u w:val="single"/>
        </w:rPr>
      </w:pPr>
      <w:r w:rsidRPr="008E76D7">
        <w:rPr>
          <w:rFonts w:ascii="Palatino Linotype" w:hAnsi="Palatino Linotype"/>
          <w:b/>
          <w:bCs/>
          <w:i/>
          <w:sz w:val="22"/>
        </w:rPr>
        <w:t xml:space="preserve">ARTICULO 20.- </w:t>
      </w:r>
      <w:r w:rsidRPr="008E76D7">
        <w:rPr>
          <w:rFonts w:ascii="Palatino Linotype" w:hAnsi="Palatino Linotype"/>
          <w:b/>
          <w:i/>
          <w:sz w:val="22"/>
          <w:u w:val="single"/>
        </w:rPr>
        <w:t xml:space="preserve">El Consejo Universitario es la Máxima Autoridad de la Universidad, siendo sus resoluciones obligatorias para éste y la comunidad universitaria, y no podrán ser revocadas o modificadas sino por el propio Consejo. </w:t>
      </w:r>
    </w:p>
    <w:p w14:paraId="43101010"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i/>
          <w:sz w:val="22"/>
        </w:rPr>
        <w:t xml:space="preserve">El Consejo Universitario se integra por consejeros ex-oficio y electos. </w:t>
      </w:r>
    </w:p>
    <w:p w14:paraId="5A45200F" w14:textId="77777777" w:rsidR="008E76D7" w:rsidRPr="008E76D7" w:rsidRDefault="008E76D7" w:rsidP="008E76D7">
      <w:pPr>
        <w:spacing w:before="240" w:after="240"/>
        <w:ind w:left="709" w:right="900"/>
        <w:jc w:val="both"/>
        <w:rPr>
          <w:rFonts w:ascii="Palatino Linotype" w:hAnsi="Palatino Linotype"/>
          <w:i/>
          <w:sz w:val="22"/>
        </w:rPr>
      </w:pPr>
      <w:r w:rsidRPr="008E76D7">
        <w:rPr>
          <w:rFonts w:ascii="Palatino Linotype" w:hAnsi="Palatino Linotype"/>
          <w:i/>
          <w:sz w:val="22"/>
        </w:rPr>
        <w:t xml:space="preserve">Son consejeros Ex-oficio: </w:t>
      </w:r>
    </w:p>
    <w:p w14:paraId="28EBCF05" w14:textId="77777777" w:rsidR="008E76D7" w:rsidRPr="008E76D7" w:rsidRDefault="008E76D7" w:rsidP="008E76D7">
      <w:pPr>
        <w:spacing w:before="240" w:after="240"/>
        <w:ind w:left="709"/>
        <w:jc w:val="both"/>
        <w:rPr>
          <w:rFonts w:ascii="Palatino Linotype" w:hAnsi="Palatino Linotype"/>
          <w:i/>
          <w:sz w:val="22"/>
        </w:rPr>
      </w:pPr>
      <w:r w:rsidRPr="008E76D7">
        <w:rPr>
          <w:rFonts w:ascii="Palatino Linotype" w:hAnsi="Palatino Linotype"/>
          <w:i/>
          <w:sz w:val="22"/>
        </w:rPr>
        <w:t xml:space="preserve">I. El Rector. </w:t>
      </w:r>
    </w:p>
    <w:p w14:paraId="7971B80C"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lastRenderedPageBreak/>
        <w:t xml:space="preserve">II. El Director de cada organismo Académico y el de cada plantel de la Escuela Preparatoria. </w:t>
      </w:r>
    </w:p>
    <w:p w14:paraId="1AAE9E45"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III. El representante de la Asociación del Personal Académico titular del Contrato Colectivo de Trabajo. </w:t>
      </w:r>
    </w:p>
    <w:p w14:paraId="37FA84EC"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IV. El representante de la Asociación del Personal Administrativo titular del Contrato Colectivo de Trabajo. </w:t>
      </w:r>
    </w:p>
    <w:p w14:paraId="20CA32FE"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Son Consejeros Electos: </w:t>
      </w:r>
    </w:p>
    <w:p w14:paraId="08130B46" w14:textId="77777777" w:rsidR="008E76D7" w:rsidRPr="008E76D7" w:rsidRDefault="008E76D7" w:rsidP="008E76D7">
      <w:pPr>
        <w:spacing w:before="240" w:after="240"/>
        <w:ind w:left="567" w:right="902"/>
        <w:jc w:val="both"/>
        <w:rPr>
          <w:rFonts w:ascii="Palatino Linotype" w:hAnsi="Palatino Linotype"/>
          <w:b/>
          <w:i/>
          <w:sz w:val="22"/>
          <w:u w:val="single"/>
        </w:rPr>
      </w:pPr>
      <w:r w:rsidRPr="008E76D7">
        <w:rPr>
          <w:rFonts w:ascii="Palatino Linotype" w:hAnsi="Palatino Linotype"/>
          <w:b/>
          <w:i/>
          <w:sz w:val="22"/>
          <w:u w:val="single"/>
        </w:rPr>
        <w:t xml:space="preserve">I. Un representante del personal académico y el de cada plantel de cada Organismo Académico. </w:t>
      </w:r>
    </w:p>
    <w:p w14:paraId="50FD503D" w14:textId="4B880EDD" w:rsidR="008E76D7" w:rsidRPr="008E76D7" w:rsidRDefault="008E76D7" w:rsidP="008E76D7">
      <w:pPr>
        <w:spacing w:before="240" w:after="240"/>
        <w:ind w:left="567" w:right="902"/>
        <w:jc w:val="both"/>
        <w:rPr>
          <w:rFonts w:ascii="Palatino Linotype" w:hAnsi="Palatino Linotype"/>
          <w:b/>
          <w:i/>
          <w:sz w:val="22"/>
          <w:u w:val="single"/>
        </w:rPr>
      </w:pPr>
      <w:r w:rsidRPr="008E76D7">
        <w:rPr>
          <w:rFonts w:ascii="Palatino Linotype" w:hAnsi="Palatino Linotype"/>
          <w:b/>
          <w:i/>
          <w:sz w:val="22"/>
          <w:u w:val="single"/>
        </w:rPr>
        <w:t xml:space="preserve">II. Dos representantes de los alumnos de cada Organismo Académico. </w:t>
      </w:r>
    </w:p>
    <w:p w14:paraId="20FC1FD6"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III. Un representante de los alumnos de cada plantel de la Escuela Preparatoria. </w:t>
      </w:r>
    </w:p>
    <w:p w14:paraId="035E145C"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IV. Dos representantes, uno del personal académico y otro de los alumnos, por todos los planteles de la Escuela Preparatoria. </w:t>
      </w:r>
    </w:p>
    <w:p w14:paraId="4B3FC910" w14:textId="77777777" w:rsidR="008E76D7" w:rsidRPr="008E76D7" w:rsidRDefault="008E76D7" w:rsidP="008E76D7">
      <w:pPr>
        <w:spacing w:before="240" w:after="240"/>
        <w:ind w:left="567" w:right="902"/>
        <w:jc w:val="both"/>
        <w:rPr>
          <w:rFonts w:ascii="Palatino Linotype" w:hAnsi="Palatino Linotype"/>
          <w:b/>
          <w:i/>
          <w:sz w:val="22"/>
          <w:u w:val="single"/>
        </w:rPr>
      </w:pPr>
      <w:r w:rsidRPr="008E76D7">
        <w:rPr>
          <w:rFonts w:ascii="Palatino Linotype" w:hAnsi="Palatino Linotype"/>
          <w:b/>
          <w:i/>
          <w:sz w:val="22"/>
          <w:u w:val="single"/>
        </w:rPr>
        <w:t xml:space="preserve">V. Un Director, un representante del personal académico y dos representantes de los alumnos de los Centros Universitarios, en términos de lo dispuesto por el Estatuto Universitario y reglamentación derivada. </w:t>
      </w:r>
    </w:p>
    <w:p w14:paraId="69115B21"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VI. Derogada. </w:t>
      </w:r>
    </w:p>
    <w:p w14:paraId="59E1E58A" w14:textId="474DA055"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b/>
          <w:bCs/>
          <w:i/>
          <w:sz w:val="22"/>
        </w:rPr>
        <w:t xml:space="preserve">ARTÍCULO 21.- </w:t>
      </w:r>
      <w:r w:rsidRPr="008E76D7">
        <w:rPr>
          <w:rFonts w:ascii="Palatino Linotype" w:hAnsi="Palatino Linotype"/>
          <w:i/>
          <w:sz w:val="22"/>
        </w:rPr>
        <w:t xml:space="preserve">El Consejo Universitario tiene las siguientes facultades: </w:t>
      </w:r>
    </w:p>
    <w:p w14:paraId="4A2FD632"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 Expedir y modificar el Estatuto Universitario, reglamentos, y demás disposiciones necesarias para la organización y funcionamiento de la Universidad, observando el procedimiento previsto en la reglamentación aplicable. </w:t>
      </w:r>
    </w:p>
    <w:p w14:paraId="283907B2"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II. Designar y remover al Rector, a los Directores de Organismos Académicos, Centros Universitarios y de plantel de la Escuela Preparatoria, conforme a las disposiciones conducentes de la legislación de la Universidad. </w:t>
      </w:r>
    </w:p>
    <w:p w14:paraId="2EE8EEBD"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III. Conocer, discutir y, en su caso, aprobar y expedir los instrumentos de planeación que determine el Estatuto Universitario y el Sistema de planeación universitaria. </w:t>
      </w:r>
    </w:p>
    <w:p w14:paraId="391B8F8B" w14:textId="77777777" w:rsidR="008E76D7" w:rsidRPr="008E76D7" w:rsidRDefault="008E76D7" w:rsidP="008E76D7">
      <w:pPr>
        <w:spacing w:before="240" w:after="240"/>
        <w:ind w:left="567" w:right="902"/>
        <w:jc w:val="both"/>
        <w:rPr>
          <w:rFonts w:ascii="Palatino Linotype" w:hAnsi="Palatino Linotype"/>
          <w:i/>
          <w:sz w:val="22"/>
        </w:rPr>
      </w:pPr>
      <w:r w:rsidRPr="008E76D7">
        <w:rPr>
          <w:rFonts w:ascii="Palatino Linotype" w:hAnsi="Palatino Linotype"/>
          <w:i/>
          <w:sz w:val="22"/>
        </w:rPr>
        <w:t xml:space="preserve">IV. Conocer y, en su caso, aprobar, modificar o suprimir, políticas, estrategias, planes y programas académicos, observando las disposiciones y procedimientos de la legislación interna. </w:t>
      </w:r>
    </w:p>
    <w:p w14:paraId="715E9AE3"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lastRenderedPageBreak/>
        <w:t xml:space="preserve">V. Acordar el establecimiento, transformación, fusión o desaparición de Organismos Académicos, Centros Universitarios, planteles de la Escuela Preparatoria y ámbitos similares de organización académica, observando las disposiciones y procedimientos de la Legislación de la Universidad. </w:t>
      </w:r>
    </w:p>
    <w:p w14:paraId="5568FD09"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VI. Establecer los requisitos para el otorgamiento de títulos, grados, reconocimientos y otros documentos probatorios, que acrediten y den validez oficial a una condición académica de la educación que imparte. </w:t>
      </w:r>
    </w:p>
    <w:p w14:paraId="37C024CD"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VII. Conocer, opinar y dictaminar, en su caso, el proyecto del presupuesto de ingresos, así como, recibir, discutir y aprobar, en su caso, el presupuesto de egresos, presentados por el Rector para cada ejercicio anual. </w:t>
      </w:r>
    </w:p>
    <w:p w14:paraId="6150A0D7"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VIII. Conocer y, en su caso, aprobar la auditoría externa anual de la administración patrimonial y presupuestal de la Universidad. </w:t>
      </w:r>
    </w:p>
    <w:p w14:paraId="6D37462C"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IX. Vigilar la preservación y conservación del patrimonio universitario, así como, conocer y resolver sobre actos que asignen, dispongan o graven sus bienes. </w:t>
      </w:r>
    </w:p>
    <w:p w14:paraId="7C8BFFAA"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X. Vigilar la preservación y conservación del patrimonio cultural universitario, conociendo de los bienes que pasan a formar parte de él, y aprobar su aplicación. </w:t>
      </w:r>
    </w:p>
    <w:p w14:paraId="21DC1C5D"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XI. Conocer y resolver las controversias surgidas entre los órganos de gobierno, y académicos. </w:t>
      </w:r>
    </w:p>
    <w:p w14:paraId="30BFE4AD" w14:textId="3468AECC"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XII. Conocer y, en su caso, acordar los asuntos que el Rector someta a su consideración. </w:t>
      </w:r>
    </w:p>
    <w:p w14:paraId="4CB482C9" w14:textId="77777777" w:rsidR="008E76D7" w:rsidRPr="008E76D7" w:rsidRDefault="008E76D7" w:rsidP="008E76D7">
      <w:pPr>
        <w:spacing w:before="240" w:after="240"/>
        <w:ind w:left="567" w:right="900"/>
        <w:jc w:val="both"/>
        <w:rPr>
          <w:rFonts w:ascii="Palatino Linotype" w:hAnsi="Palatino Linotype"/>
          <w:i/>
          <w:sz w:val="22"/>
        </w:rPr>
      </w:pPr>
      <w:r w:rsidRPr="008E76D7">
        <w:rPr>
          <w:rFonts w:ascii="Palatino Linotype" w:hAnsi="Palatino Linotype"/>
          <w:i/>
          <w:sz w:val="22"/>
        </w:rPr>
        <w:t xml:space="preserve">XIII. Conocer y resolver los asuntos que no sean competencia de otro órgano de gobierno. </w:t>
      </w:r>
    </w:p>
    <w:p w14:paraId="6CFFA0FF" w14:textId="76EE1072" w:rsidR="008E76D7" w:rsidRPr="008E76D7" w:rsidRDefault="008E76D7" w:rsidP="008E76D7">
      <w:pPr>
        <w:spacing w:before="240" w:after="240"/>
        <w:ind w:left="567" w:right="900"/>
        <w:jc w:val="both"/>
        <w:rPr>
          <w:rFonts w:ascii="Palatino Linotype" w:hAnsi="Palatino Linotype"/>
          <w:i/>
          <w:sz w:val="22"/>
          <w:lang w:val="es-ES"/>
        </w:rPr>
      </w:pPr>
      <w:r w:rsidRPr="008E76D7">
        <w:rPr>
          <w:rFonts w:ascii="Palatino Linotype" w:hAnsi="Palatino Linotype"/>
          <w:i/>
          <w:sz w:val="22"/>
        </w:rPr>
        <w:t>XIV. Las demás que le otorgue la presente Ley, el Estatuto Universitario y demás disposiciones reglamentarias.</w:t>
      </w:r>
      <w:r>
        <w:rPr>
          <w:rFonts w:ascii="Palatino Linotype" w:hAnsi="Palatino Linotype"/>
          <w:i/>
          <w:sz w:val="22"/>
        </w:rPr>
        <w:t>”</w:t>
      </w:r>
    </w:p>
    <w:p w14:paraId="71D38B0B"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rPr>
        <w:t xml:space="preserve">Precisado lo anterior, </w:t>
      </w:r>
      <w:r w:rsidRPr="00544B0C">
        <w:rPr>
          <w:rFonts w:ascii="Palatino Linotype" w:eastAsia="Calibri" w:hAnsi="Palatino Linotype"/>
          <w:lang w:val="es-ES"/>
        </w:rPr>
        <w:t xml:space="preserve">por lo que hace a las causas de sobreseimiento contenidas en la fracción III del artículo 192 de la </w:t>
      </w:r>
      <w:r w:rsidRPr="00544B0C">
        <w:rPr>
          <w:rFonts w:ascii="Palatino Linotype" w:eastAsia="Calibri" w:hAnsi="Palatino Linotype"/>
          <w:b/>
          <w:lang w:val="es-ES"/>
        </w:rPr>
        <w:t>Ley de Transparencia y Acceso a la Información Pública del Estado de México y Municipios</w:t>
      </w:r>
      <w:r w:rsidRPr="00544B0C">
        <w:rPr>
          <w:rFonts w:ascii="Palatino Linotype" w:eastAsia="Calibri" w:hAnsi="Palatino Linotype"/>
          <w:lang w:val="es-ES"/>
        </w:rPr>
        <w:t xml:space="preserve">, es oportuno señalar que estos requisitos privilegian la existencia de elementos de fondo, tales como el desistimiento o fallecimiento del </w:t>
      </w:r>
      <w:r w:rsidRPr="00544B0C">
        <w:rPr>
          <w:rFonts w:ascii="Palatino Linotype" w:eastAsia="Calibri" w:hAnsi="Palatino Linotype"/>
          <w:b/>
          <w:lang w:val="es-ES"/>
        </w:rPr>
        <w:t>RECURRENTE</w:t>
      </w:r>
      <w:r w:rsidRPr="00544B0C">
        <w:rPr>
          <w:rFonts w:ascii="Palatino Linotype" w:eastAsia="Calibri" w:hAnsi="Palatino Linotype"/>
          <w:lang w:val="es-ES"/>
        </w:rPr>
        <w:t xml:space="preserve"> o que el </w:t>
      </w:r>
      <w:r w:rsidRPr="00544B0C">
        <w:rPr>
          <w:rFonts w:ascii="Palatino Linotype" w:eastAsia="Calibri" w:hAnsi="Palatino Linotype"/>
          <w:b/>
          <w:lang w:val="es-ES"/>
        </w:rPr>
        <w:t>SUJETO OBLIGADO</w:t>
      </w:r>
      <w:r w:rsidRPr="00544B0C">
        <w:rPr>
          <w:rFonts w:ascii="Palatino Linotype" w:eastAsia="Calibri" w:hAnsi="Palatino Linotype"/>
          <w:lang w:val="es-ES"/>
        </w:rPr>
        <w:t xml:space="preserve"> </w:t>
      </w:r>
      <w:r w:rsidRPr="00544B0C">
        <w:rPr>
          <w:rFonts w:ascii="Palatino Linotype" w:eastAsia="Calibri" w:hAnsi="Palatino Linotype"/>
          <w:b/>
          <w:u w:val="single"/>
          <w:lang w:val="es-ES"/>
        </w:rPr>
        <w:lastRenderedPageBreak/>
        <w:t>modifique o revoque el acto</w:t>
      </w:r>
      <w:r w:rsidRPr="00544B0C">
        <w:rPr>
          <w:rFonts w:ascii="Palatino Linotype" w:eastAsia="Calibri" w:hAnsi="Palatino Linotype"/>
          <w:lang w:val="es-ES"/>
        </w:rPr>
        <w:t>; de ahí que la actualización de alguno de éstos trae como consecuencia que el medio de impugnación se concluya sin que se analice el objeto de estudio planteado, es decir se sobresea.</w:t>
      </w:r>
    </w:p>
    <w:p w14:paraId="5B8A26EC"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Para los efectos de esta resolución, es oportuno precisar los alcances jurídicos de la fracción III de la disposición legal transcrita. Así, procede el sobreseimiento del recurso de revisión cuando el </w:t>
      </w:r>
      <w:r w:rsidRPr="00544B0C">
        <w:rPr>
          <w:rFonts w:ascii="Palatino Linotype" w:eastAsia="Calibri" w:hAnsi="Palatino Linotype"/>
          <w:b/>
          <w:lang w:val="es-ES"/>
        </w:rPr>
        <w:t>SUJETO OBLIGADO</w:t>
      </w:r>
      <w:r w:rsidRPr="00544B0C">
        <w:rPr>
          <w:rFonts w:ascii="Palatino Linotype" w:eastAsia="Calibri" w:hAnsi="Palatino Linotype"/>
          <w:lang w:val="es-ES"/>
        </w:rPr>
        <w:t>:</w:t>
      </w:r>
    </w:p>
    <w:p w14:paraId="5E04045F" w14:textId="77777777" w:rsidR="00544B0C" w:rsidRPr="00544B0C" w:rsidRDefault="00544B0C" w:rsidP="00544B0C">
      <w:pPr>
        <w:spacing w:line="360" w:lineRule="auto"/>
        <w:contextualSpacing/>
        <w:jc w:val="both"/>
        <w:rPr>
          <w:rFonts w:ascii="Palatino Linotype" w:eastAsia="Calibri" w:hAnsi="Palatino Linotype"/>
          <w:lang w:val="es-ES"/>
        </w:rPr>
      </w:pPr>
    </w:p>
    <w:p w14:paraId="5B28AC24" w14:textId="77777777" w:rsidR="00544B0C" w:rsidRPr="00544B0C" w:rsidRDefault="00544B0C" w:rsidP="00544B0C">
      <w:pPr>
        <w:numPr>
          <w:ilvl w:val="0"/>
          <w:numId w:val="15"/>
        </w:numPr>
        <w:spacing w:line="360" w:lineRule="auto"/>
        <w:ind w:right="616"/>
        <w:contextualSpacing/>
        <w:jc w:val="both"/>
        <w:rPr>
          <w:rFonts w:ascii="Palatino Linotype" w:hAnsi="Palatino Linotype" w:cs="Arial"/>
          <w:sz w:val="22"/>
          <w:szCs w:val="22"/>
          <w:lang w:eastAsia="en-US"/>
        </w:rPr>
      </w:pPr>
      <w:r w:rsidRPr="00544B0C">
        <w:rPr>
          <w:rFonts w:ascii="Palatino Linotype" w:hAnsi="Palatino Linotype" w:cs="Arial"/>
          <w:b/>
          <w:sz w:val="22"/>
          <w:szCs w:val="22"/>
          <w:lang w:eastAsia="en-US"/>
        </w:rPr>
        <w:t>Modifique el acto impugnado:</w:t>
      </w:r>
      <w:r w:rsidRPr="00544B0C">
        <w:rPr>
          <w:rFonts w:ascii="Palatino Linotype" w:hAnsi="Palatino Linotype" w:cs="Arial"/>
          <w:sz w:val="22"/>
          <w:szCs w:val="22"/>
          <w:lang w:eastAsia="en-US"/>
        </w:rPr>
        <w:t xml:space="preserve"> Se actualiza cuando el </w:t>
      </w:r>
      <w:r w:rsidRPr="00544B0C">
        <w:rPr>
          <w:rFonts w:ascii="Palatino Linotype" w:hAnsi="Palatino Linotype" w:cs="Arial"/>
          <w:b/>
          <w:sz w:val="22"/>
          <w:szCs w:val="22"/>
          <w:lang w:eastAsia="en-US"/>
        </w:rPr>
        <w:t>SUJETO OBLIGADO</w:t>
      </w:r>
      <w:r w:rsidRPr="00544B0C">
        <w:rPr>
          <w:rFonts w:ascii="Palatino Linotype" w:hAnsi="Palatino Linotype" w:cs="Arial"/>
          <w:sz w:val="22"/>
          <w:szCs w:val="22"/>
          <w:lang w:eastAsia="en-US"/>
        </w:rPr>
        <w:t xml:space="preserve"> después de haber otorgado una respuesta y hasta antes de dictada la resolución del recurso de revisión, emite una diversa en la que subsane las deficiencias que hubiera tenido.</w:t>
      </w:r>
    </w:p>
    <w:p w14:paraId="4260D60B" w14:textId="77777777" w:rsidR="00544B0C" w:rsidRPr="00544B0C" w:rsidRDefault="00544B0C" w:rsidP="00544B0C">
      <w:pPr>
        <w:numPr>
          <w:ilvl w:val="0"/>
          <w:numId w:val="15"/>
        </w:numPr>
        <w:spacing w:line="360" w:lineRule="auto"/>
        <w:ind w:right="616"/>
        <w:contextualSpacing/>
        <w:jc w:val="both"/>
        <w:rPr>
          <w:rFonts w:ascii="Palatino Linotype" w:hAnsi="Palatino Linotype" w:cs="Arial"/>
          <w:sz w:val="22"/>
          <w:szCs w:val="22"/>
          <w:lang w:eastAsia="en-US"/>
        </w:rPr>
      </w:pPr>
      <w:r w:rsidRPr="00544B0C">
        <w:rPr>
          <w:rFonts w:ascii="Palatino Linotype" w:hAnsi="Palatino Linotype" w:cs="Arial"/>
          <w:b/>
          <w:sz w:val="22"/>
          <w:szCs w:val="22"/>
          <w:lang w:eastAsia="en-US"/>
        </w:rPr>
        <w:t>Revoque el acto impugnado:</w:t>
      </w:r>
      <w:r w:rsidRPr="00544B0C">
        <w:rPr>
          <w:rFonts w:ascii="Palatino Linotype" w:hAnsi="Palatino Linotype" w:cs="Arial"/>
          <w:sz w:val="22"/>
          <w:szCs w:val="22"/>
          <w:lang w:eastAsia="en-US"/>
        </w:rPr>
        <w:t xml:space="preserve"> En este supuesto, el </w:t>
      </w:r>
      <w:r w:rsidRPr="00544B0C">
        <w:rPr>
          <w:rFonts w:ascii="Palatino Linotype" w:hAnsi="Palatino Linotype" w:cs="Arial"/>
          <w:b/>
          <w:sz w:val="22"/>
          <w:szCs w:val="22"/>
          <w:lang w:eastAsia="en-US"/>
        </w:rPr>
        <w:t>SUJETO OBLIGADO</w:t>
      </w:r>
      <w:r w:rsidRPr="00544B0C">
        <w:rPr>
          <w:rFonts w:ascii="Palatino Linotype" w:hAnsi="Palatino Linotype" w:cs="Arial"/>
          <w:sz w:val="22"/>
          <w:szCs w:val="22"/>
          <w:lang w:eastAsia="en-US"/>
        </w:rPr>
        <w:t xml:space="preserve"> deja sin efectos la primera respuesta y en su lugar emite otra que satisfaga lo solicitado por el particular en un primer momento.</w:t>
      </w:r>
    </w:p>
    <w:p w14:paraId="18002C3B" w14:textId="77777777" w:rsidR="00544B0C" w:rsidRPr="00544B0C" w:rsidRDefault="00544B0C" w:rsidP="00544B0C">
      <w:pPr>
        <w:spacing w:line="360" w:lineRule="auto"/>
        <w:ind w:right="616"/>
        <w:contextualSpacing/>
        <w:jc w:val="both"/>
        <w:rPr>
          <w:rFonts w:ascii="Palatino Linotype" w:hAnsi="Palatino Linotype" w:cs="Arial"/>
          <w:lang w:val="es-ES"/>
        </w:rPr>
      </w:pPr>
    </w:p>
    <w:p w14:paraId="59AD8ACE"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1B2E397"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En el presente asunto, se advierte que el </w:t>
      </w:r>
      <w:r w:rsidRPr="00544B0C">
        <w:rPr>
          <w:rFonts w:ascii="Palatino Linotype" w:eastAsia="Calibri" w:hAnsi="Palatino Linotype"/>
          <w:b/>
          <w:lang w:val="es-ES"/>
        </w:rPr>
        <w:t>SUJETO OBLIGADO</w:t>
      </w:r>
      <w:r w:rsidRPr="00544B0C">
        <w:rPr>
          <w:rFonts w:ascii="Palatino Linotype" w:eastAsia="Calibri" w:hAnsi="Palatino Linotype"/>
          <w:lang w:val="es-ES"/>
        </w:rPr>
        <w:t xml:space="preserve"> con la información enviada a través del informe justificado, </w:t>
      </w:r>
      <w:r w:rsidRPr="00544B0C">
        <w:rPr>
          <w:rFonts w:ascii="Palatino Linotype" w:eastAsia="Calibri" w:hAnsi="Palatino Linotype"/>
          <w:b/>
          <w:lang w:val="es-ES"/>
        </w:rPr>
        <w:t>modifica</w:t>
      </w:r>
      <w:r w:rsidRPr="00544B0C">
        <w:rPr>
          <w:rFonts w:ascii="Palatino Linotype" w:eastAsia="Calibri" w:hAnsi="Palatino Linotype"/>
          <w:lang w:val="es-ES"/>
        </w:rPr>
        <w:t xml:space="preserve"> el acto que le dio origen al recurso de revisión, lo que trae como consecuencia que el mismo quede sin materia, actualizándose de este modo, la hipótesis jurídica contenida en la fracción III del </w:t>
      </w:r>
      <w:r w:rsidRPr="00544B0C">
        <w:rPr>
          <w:rFonts w:ascii="Palatino Linotype" w:eastAsia="Calibri" w:hAnsi="Palatino Linotype"/>
          <w:lang w:val="es-ES"/>
        </w:rPr>
        <w:lastRenderedPageBreak/>
        <w:t>citado artículo; esto es así pues la información remitida por este proporciona la información que le fue solicitada.</w:t>
      </w:r>
    </w:p>
    <w:p w14:paraId="76D20120"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En el particular, el Sujeto Obligado al momento de rendir su informe justificado, proporciono información novedosa, misma que contiene argumentos por más idóneos, pertinentes y suficientes para tener por atendido el derecho de acceso a la información ejercido por el particular.</w:t>
      </w:r>
    </w:p>
    <w:p w14:paraId="718230C4"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Ante la negativa ficta que se configuró al momento de interponer la garantía secundaria, la parte recurrente, refirió en sus motivos de inconformidad que el Sujeto Obligado había sido omiso en otorgar respuesta a su requerimiento en el tiempo que la legislación prevé para ello.</w:t>
      </w:r>
    </w:p>
    <w:p w14:paraId="2A95D10E"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p>
    <w:p w14:paraId="6F972F00" w14:textId="789F464F" w:rsidR="00DF305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No obstante, lo anterior, el Sujeto Obligado al momento de rendir su informe justificado, </w:t>
      </w:r>
      <w:r w:rsidR="00DF305C">
        <w:rPr>
          <w:rFonts w:ascii="Palatino Linotype" w:eastAsia="Calibri" w:hAnsi="Palatino Linotype"/>
          <w:lang w:val="es-ES"/>
        </w:rPr>
        <w:t>amplió los argumentos de su respuesta inicial</w:t>
      </w:r>
      <w:r w:rsidRPr="00544B0C">
        <w:rPr>
          <w:rFonts w:ascii="Palatino Linotype" w:eastAsia="Calibri" w:hAnsi="Palatino Linotype"/>
          <w:lang w:val="es-ES"/>
        </w:rPr>
        <w:t>, consecuentemente se actualiza la causa de sobreseimiento establecida en el artículo 192 fracción III.</w:t>
      </w:r>
    </w:p>
    <w:p w14:paraId="203C26FF"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MS Mincho" w:hAnsi="Palatino Linotype"/>
          <w:lang w:val="es-ES"/>
        </w:rPr>
        <w:t xml:space="preserve">Por </w:t>
      </w:r>
      <w:r w:rsidRPr="00544B0C">
        <w:rPr>
          <w:rFonts w:ascii="Palatino Linotype" w:hAnsi="Palatino Linotype"/>
          <w:lang w:val="es-ES"/>
        </w:rPr>
        <w:t>consiguiente</w:t>
      </w:r>
      <w:r w:rsidRPr="00544B0C">
        <w:rPr>
          <w:rFonts w:ascii="Palatino Linotype" w:eastAsia="MS Mincho" w:hAnsi="Palatino Linotype"/>
          <w:lang w:val="es-ES"/>
        </w:rPr>
        <w:t xml:space="preserve">, con lo remitido por el </w:t>
      </w:r>
      <w:r w:rsidRPr="00544B0C">
        <w:rPr>
          <w:rFonts w:ascii="Palatino Linotype" w:eastAsia="MS Mincho" w:hAnsi="Palatino Linotype"/>
          <w:b/>
          <w:lang w:val="es-ES"/>
        </w:rPr>
        <w:t xml:space="preserve">SUJETO OBLIGADO </w:t>
      </w:r>
      <w:r w:rsidRPr="00544B0C">
        <w:rPr>
          <w:rFonts w:ascii="Palatino Linotype" w:eastAsia="MS Mincho" w:hAnsi="Palatino Linotype"/>
          <w:lang w:val="es-ES"/>
        </w:rPr>
        <w:t xml:space="preserve">se tiene por colmado el presente recurso de </w:t>
      </w:r>
      <w:r w:rsidRPr="00544B0C">
        <w:rPr>
          <w:rFonts w:ascii="Palatino Linotype" w:hAnsi="Palatino Linotype" w:cs="Arial"/>
          <w:lang w:val="es-ES" w:eastAsia="es-MX"/>
        </w:rPr>
        <w:t>revisión</w:t>
      </w:r>
      <w:r w:rsidRPr="00544B0C">
        <w:rPr>
          <w:rFonts w:ascii="Palatino Linotype" w:eastAsia="MS Mincho" w:hAnsi="Palatino Linotype"/>
          <w:lang w:val="es-ES"/>
        </w:rPr>
        <w:t>, al atender lo requerido a</w:t>
      </w:r>
      <w:r w:rsidRPr="00544B0C">
        <w:rPr>
          <w:rFonts w:ascii="Palatino Linotype" w:hAnsi="Palatino Linotype"/>
          <w:lang w:val="es-ES"/>
        </w:rPr>
        <w:t xml:space="preserve">tento a lo anterior, se tiene que, al haber existido un </w:t>
      </w:r>
      <w:r w:rsidRPr="00544B0C">
        <w:rPr>
          <w:rFonts w:ascii="Palatino Linotype" w:hAnsi="Palatino Linotype" w:cs="Arial"/>
          <w:lang w:val="es-ES"/>
        </w:rPr>
        <w:t>pronunciamiento</w:t>
      </w:r>
      <w:r w:rsidRPr="00544B0C">
        <w:rPr>
          <w:rFonts w:ascii="Palatino Linotype" w:hAnsi="Palatino Linotype"/>
          <w:lang w:val="es-ES"/>
        </w:rPr>
        <w:t xml:space="preserve"> por parte del </w:t>
      </w:r>
      <w:r w:rsidRPr="00544B0C">
        <w:rPr>
          <w:rFonts w:ascii="Palatino Linotype" w:eastAsia="MS Mincho" w:hAnsi="Palatino Linotype"/>
          <w:b/>
          <w:lang w:val="es-ES"/>
        </w:rPr>
        <w:t>SUJETO OBLIGADO</w:t>
      </w:r>
      <w:r w:rsidRPr="00544B0C">
        <w:rPr>
          <w:rFonts w:ascii="Palatino Linotype" w:hAnsi="Palatino Linotype"/>
          <w:b/>
          <w:lang w:val="es-ES"/>
        </w:rPr>
        <w:t xml:space="preserve"> </w:t>
      </w:r>
      <w:r w:rsidRPr="00544B0C">
        <w:rPr>
          <w:rFonts w:ascii="Palatino Linotype" w:hAnsi="Palatino Linotype"/>
          <w:lang w:val="es-ES"/>
        </w:rPr>
        <w:t>para dar respuesta a la solicitud de información, este Instituto concluye que se atiende la solicitud de información del Recurrente</w:t>
      </w:r>
    </w:p>
    <w:p w14:paraId="3EB0D6FC"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44B0C">
        <w:rPr>
          <w:rFonts w:ascii="Palatino Linotype" w:eastAsia="Calibri" w:hAnsi="Palatino Linotype"/>
          <w:b/>
          <w:lang w:val="es-ES"/>
        </w:rPr>
        <w:t>SUJETOS OBLIGADOS</w:t>
      </w:r>
      <w:r w:rsidRPr="00544B0C">
        <w:rPr>
          <w:rFonts w:ascii="Palatino Linotype" w:eastAsia="Calibri" w:hAnsi="Palatino Linotype"/>
          <w:lang w:val="es-ES"/>
        </w:rPr>
        <w:t xml:space="preserve"> o la negativa de entrega de la misma, derivada de la solicitud de información pública.</w:t>
      </w:r>
    </w:p>
    <w:p w14:paraId="21344CED"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lastRenderedPageBreak/>
        <w:t xml:space="preserve">De este modo, cuando el </w:t>
      </w:r>
      <w:r w:rsidRPr="00544B0C">
        <w:rPr>
          <w:rFonts w:ascii="Palatino Linotype" w:eastAsia="Calibri" w:hAnsi="Palatino Linotype"/>
          <w:b/>
          <w:lang w:val="es-ES"/>
        </w:rPr>
        <w:t xml:space="preserve">SUJETO OBLIGADO, </w:t>
      </w:r>
      <w:r w:rsidRPr="00544B0C">
        <w:rPr>
          <w:rFonts w:ascii="Palatino Linotype" w:eastAsia="Calibri" w:hAnsi="Palatino Linotype"/>
          <w:lang w:val="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544B0C">
        <w:rPr>
          <w:rFonts w:ascii="Palatino Linotype" w:eastAsia="Calibri" w:hAnsi="Palatino Linotype"/>
          <w:i/>
          <w:lang w:val="es-ES"/>
        </w:rPr>
        <w:t>litis</w:t>
      </w:r>
      <w:r w:rsidRPr="00544B0C">
        <w:rPr>
          <w:rFonts w:ascii="Palatino Linotype" w:eastAsia="Calibri" w:hAnsi="Palatino Linotype"/>
          <w:lang w:val="es-ES"/>
        </w:rPr>
        <w:t xml:space="preserve"> planteada, debido a que la afectación en su esfera de derechos fue restituida por la propia autoridad que emitió el acto motivo de impugnación.</w:t>
      </w:r>
    </w:p>
    <w:p w14:paraId="6E77EF98"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Sirve de sustento a lo anterior la siguiente jurisprudencia por contradicción, cuyo rubro, texto y datos de identificación son los siguientes:</w:t>
      </w:r>
    </w:p>
    <w:p w14:paraId="0A2F8FB6" w14:textId="77777777" w:rsidR="00544B0C" w:rsidRPr="00544B0C" w:rsidRDefault="00544B0C" w:rsidP="00544B0C">
      <w:pPr>
        <w:ind w:left="851" w:right="851"/>
        <w:contextualSpacing/>
        <w:jc w:val="both"/>
        <w:rPr>
          <w:rFonts w:ascii="Palatino Linotype" w:eastAsia="Calibri" w:hAnsi="Palatino Linotype"/>
          <w:lang w:val="es-ES"/>
        </w:rPr>
      </w:pPr>
    </w:p>
    <w:p w14:paraId="5DA8E566" w14:textId="77777777" w:rsidR="00544B0C" w:rsidRPr="00544B0C" w:rsidRDefault="00544B0C" w:rsidP="00544B0C">
      <w:pPr>
        <w:ind w:left="851" w:right="851"/>
        <w:contextualSpacing/>
        <w:jc w:val="both"/>
        <w:rPr>
          <w:rFonts w:ascii="Palatino Linotype" w:eastAsia="Calibri" w:hAnsi="Palatino Linotype"/>
          <w:i/>
          <w:sz w:val="22"/>
          <w:lang w:val="es-ES"/>
        </w:rPr>
      </w:pPr>
      <w:r w:rsidRPr="00544B0C">
        <w:rPr>
          <w:rFonts w:ascii="Palatino Linotype" w:eastAsia="Calibri" w:hAnsi="Palatino Linotype"/>
          <w:b/>
          <w:i/>
          <w:sz w:val="22"/>
          <w:lang w:val="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44B0C">
        <w:rPr>
          <w:rFonts w:ascii="Palatino Linotype" w:eastAsia="Calibri" w:hAnsi="Palatino Linotype"/>
          <w:i/>
          <w:sz w:val="22"/>
          <w:lang w:val="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375614F" w14:textId="77777777" w:rsidR="00544B0C" w:rsidRPr="00544B0C" w:rsidRDefault="00544B0C" w:rsidP="00544B0C">
      <w:pPr>
        <w:spacing w:line="360" w:lineRule="auto"/>
        <w:ind w:left="708"/>
        <w:contextualSpacing/>
        <w:jc w:val="both"/>
        <w:rPr>
          <w:rFonts w:ascii="Palatino Linotype" w:eastAsia="Calibri" w:hAnsi="Palatino Linotype"/>
          <w:i/>
          <w:lang w:val="es-ES"/>
        </w:rPr>
      </w:pPr>
    </w:p>
    <w:p w14:paraId="3922D2B7"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lang w:val="es-ES"/>
        </w:rPr>
        <w:lastRenderedPageBreak/>
        <w:t>La anterior jurisprudencia resulta aplicable al presente asunto, en dos aspectos:</w:t>
      </w:r>
    </w:p>
    <w:p w14:paraId="07FA871B" w14:textId="77777777" w:rsidR="00544B0C" w:rsidRPr="00544B0C" w:rsidRDefault="00544B0C" w:rsidP="00544B0C">
      <w:pPr>
        <w:spacing w:line="360" w:lineRule="auto"/>
        <w:ind w:left="426"/>
        <w:contextualSpacing/>
        <w:jc w:val="both"/>
        <w:rPr>
          <w:rFonts w:ascii="Palatino Linotype" w:eastAsia="Calibri" w:hAnsi="Palatino Linotype"/>
          <w:sz w:val="28"/>
          <w:lang w:val="es-ES"/>
        </w:rPr>
      </w:pPr>
    </w:p>
    <w:p w14:paraId="311DDB5F" w14:textId="77777777" w:rsidR="00544B0C" w:rsidRPr="00544B0C" w:rsidRDefault="00544B0C" w:rsidP="0092322B">
      <w:pPr>
        <w:numPr>
          <w:ilvl w:val="0"/>
          <w:numId w:val="16"/>
        </w:numPr>
        <w:spacing w:line="360" w:lineRule="auto"/>
        <w:ind w:left="567" w:right="900" w:hanging="141"/>
        <w:contextualSpacing/>
        <w:jc w:val="both"/>
        <w:rPr>
          <w:rFonts w:ascii="Palatino Linotype" w:eastAsia="Calibri" w:hAnsi="Palatino Linotype"/>
          <w:sz w:val="22"/>
          <w:szCs w:val="22"/>
          <w:lang w:eastAsia="en-US"/>
        </w:rPr>
      </w:pPr>
      <w:r w:rsidRPr="00544B0C">
        <w:rPr>
          <w:rFonts w:ascii="Palatino Linotype" w:eastAsia="Calibri" w:hAnsi="Palatino Linotype"/>
          <w:b/>
          <w:sz w:val="22"/>
          <w:szCs w:val="22"/>
          <w:lang w:eastAsia="en-US"/>
        </w:rPr>
        <w:t>La cesación de los efectos perniciosos del acto de autoridad:</w:t>
      </w:r>
      <w:r w:rsidRPr="00544B0C">
        <w:rPr>
          <w:rFonts w:ascii="Palatino Linotype" w:eastAsia="Calibri" w:hAnsi="Palatino Linotype"/>
          <w:sz w:val="22"/>
          <w:szCs w:val="22"/>
          <w:lang w:eastAsia="en-US"/>
        </w:rPr>
        <w:t xml:space="preserve"> Al respecto, la Ley de Transparencia contempla la figura jurídica del sobreseimiento cuando el </w:t>
      </w:r>
      <w:r w:rsidRPr="00544B0C">
        <w:rPr>
          <w:rFonts w:ascii="Palatino Linotype" w:eastAsia="Calibri" w:hAnsi="Palatino Linotype"/>
          <w:b/>
          <w:sz w:val="22"/>
          <w:szCs w:val="22"/>
          <w:lang w:eastAsia="en-US"/>
        </w:rPr>
        <w:t>SUJETO OBLIGADO</w:t>
      </w:r>
      <w:r w:rsidRPr="00544B0C">
        <w:rPr>
          <w:rFonts w:ascii="Palatino Linotype" w:eastAsia="Calibri" w:hAnsi="Palatino Linotype"/>
          <w:sz w:val="22"/>
          <w:szCs w:val="22"/>
          <w:lang w:eastAsia="en-US"/>
        </w:rPr>
        <w:t xml:space="preserve"> de </w:t>
      </w:r>
      <w:r w:rsidRPr="00544B0C">
        <w:rPr>
          <w:rFonts w:ascii="Palatino Linotype" w:eastAsia="Calibri" w:hAnsi="Palatino Linotype"/>
          <w:i/>
          <w:sz w:val="22"/>
          <w:szCs w:val="22"/>
          <w:lang w:eastAsia="en-US"/>
        </w:rPr>
        <w:t>motu proprio</w:t>
      </w:r>
      <w:r w:rsidRPr="00544B0C">
        <w:rPr>
          <w:rFonts w:ascii="Palatino Linotype" w:eastAsia="Calibri" w:hAnsi="Palatino Linotype"/>
          <w:sz w:val="22"/>
          <w:szCs w:val="22"/>
          <w:lang w:eastAsia="en-US"/>
        </w:rPr>
        <w:t xml:space="preserve"> modifica o revoca de tal manera el acto motivo de la impugnación que lo deja sin materia; es decir, cesan los efectos de éste y el derecho de acceso a la información pública se encuentra satisfecho.</w:t>
      </w:r>
    </w:p>
    <w:p w14:paraId="617586B4" w14:textId="77777777" w:rsidR="00544B0C" w:rsidRPr="00544B0C" w:rsidRDefault="00544B0C" w:rsidP="0092322B">
      <w:pPr>
        <w:spacing w:line="360" w:lineRule="auto"/>
        <w:ind w:left="567" w:right="900" w:hanging="141"/>
        <w:jc w:val="both"/>
        <w:rPr>
          <w:rFonts w:ascii="Palatino Linotype" w:eastAsia="Calibri" w:hAnsi="Palatino Linotype"/>
          <w:sz w:val="22"/>
          <w:szCs w:val="22"/>
          <w:lang w:eastAsia="en-US"/>
        </w:rPr>
      </w:pPr>
    </w:p>
    <w:p w14:paraId="74BD9442" w14:textId="77777777" w:rsidR="00544B0C" w:rsidRPr="00544B0C" w:rsidRDefault="00544B0C" w:rsidP="0092322B">
      <w:pPr>
        <w:numPr>
          <w:ilvl w:val="0"/>
          <w:numId w:val="16"/>
        </w:numPr>
        <w:spacing w:line="360" w:lineRule="auto"/>
        <w:ind w:left="567" w:right="900" w:hanging="141"/>
        <w:contextualSpacing/>
        <w:jc w:val="both"/>
        <w:rPr>
          <w:rFonts w:ascii="Palatino Linotype" w:eastAsia="Calibri" w:hAnsi="Palatino Linotype"/>
          <w:sz w:val="22"/>
          <w:szCs w:val="22"/>
          <w:lang w:eastAsia="en-US"/>
        </w:rPr>
      </w:pPr>
      <w:r w:rsidRPr="00544B0C">
        <w:rPr>
          <w:rFonts w:ascii="Palatino Linotype" w:eastAsia="Calibri" w:hAnsi="Palatino Linotype"/>
          <w:b/>
          <w:sz w:val="22"/>
          <w:szCs w:val="22"/>
          <w:lang w:eastAsia="en-US"/>
        </w:rPr>
        <w:t>El momento procesal para modificar el acto impugnado:</w:t>
      </w:r>
      <w:r w:rsidRPr="00544B0C">
        <w:rPr>
          <w:rFonts w:ascii="Palatino Linotype" w:eastAsia="Calibri" w:hAnsi="Palatino Linotype"/>
          <w:sz w:val="22"/>
          <w:szCs w:val="22"/>
          <w:lang w:eastAsia="en-US"/>
        </w:rPr>
        <w:t xml:space="preserve"> Para que se actualice el sobreseimiento de un recurso de revisión, el </w:t>
      </w:r>
      <w:r w:rsidRPr="00544B0C">
        <w:rPr>
          <w:rFonts w:ascii="Palatino Linotype" w:eastAsia="Calibri" w:hAnsi="Palatino Linotype"/>
          <w:b/>
          <w:sz w:val="22"/>
          <w:szCs w:val="22"/>
          <w:lang w:eastAsia="en-US"/>
        </w:rPr>
        <w:t>SUJETO OBLIGADO</w:t>
      </w:r>
      <w:r w:rsidRPr="00544B0C">
        <w:rPr>
          <w:rFonts w:ascii="Palatino Linotype" w:eastAsia="Calibri" w:hAnsi="Palatino Linotype"/>
          <w:sz w:val="22"/>
          <w:szCs w:val="22"/>
          <w:lang w:eastAsia="en-US"/>
        </w:rPr>
        <w:t xml:space="preserve"> puede entregar o completar la información al momento de rendir su informe justificado o </w:t>
      </w:r>
      <w:r w:rsidRPr="00544B0C">
        <w:rPr>
          <w:rFonts w:ascii="Palatino Linotype" w:eastAsia="Calibri" w:hAnsi="Palatino Linotype"/>
          <w:b/>
          <w:sz w:val="22"/>
          <w:szCs w:val="22"/>
          <w:u w:val="single"/>
          <w:lang w:eastAsia="en-US"/>
        </w:rPr>
        <w:t>posteriormente</w:t>
      </w:r>
      <w:r w:rsidRPr="00544B0C">
        <w:rPr>
          <w:rFonts w:ascii="Palatino Linotype" w:eastAsia="Calibri" w:hAnsi="Palatino Linotype"/>
          <w:sz w:val="22"/>
          <w:szCs w:val="22"/>
          <w:lang w:eastAsia="en-US"/>
        </w:rPr>
        <w:t xml:space="preserve"> a éste, siempre y cuando el Pleno del Instituto no haya dictado resolución definitiva.</w:t>
      </w:r>
    </w:p>
    <w:p w14:paraId="27EDA542" w14:textId="77777777" w:rsidR="00544B0C" w:rsidRPr="00544B0C" w:rsidRDefault="00544B0C" w:rsidP="00544B0C">
      <w:pPr>
        <w:spacing w:line="360" w:lineRule="auto"/>
        <w:jc w:val="both"/>
        <w:rPr>
          <w:rFonts w:ascii="Palatino Linotype" w:eastAsia="Calibri" w:hAnsi="Palatino Linotype"/>
          <w:lang w:val="es-ES"/>
        </w:rPr>
      </w:pPr>
    </w:p>
    <w:p w14:paraId="62E9A36D"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Además, de acuerdo con el procesalista Niceto Alcalá-Zamora y Castillo en su obra </w:t>
      </w:r>
      <w:r w:rsidRPr="00544B0C">
        <w:rPr>
          <w:rFonts w:ascii="Palatino Linotype" w:eastAsia="Calibri" w:hAnsi="Palatino Linotype"/>
          <w:i/>
          <w:lang w:val="es-ES"/>
        </w:rPr>
        <w:t>“Cuestiones de Terminología Procesal”</w:t>
      </w:r>
      <w:r w:rsidRPr="00544B0C">
        <w:rPr>
          <w:rFonts w:ascii="Palatino Linotype" w:eastAsia="Calibri" w:hAnsi="Palatino Linotype"/>
          <w:lang w:val="es-ES"/>
        </w:rPr>
        <w:t xml:space="preserve">, el sobreseimiento es </w:t>
      </w:r>
      <w:r w:rsidRPr="00544B0C">
        <w:rPr>
          <w:rFonts w:ascii="Palatino Linotype" w:eastAsia="Calibri" w:hAnsi="Palatino Linotype"/>
          <w:i/>
          <w:lang w:val="es-ES"/>
        </w:rPr>
        <w:t>“... una resolución en forma de auto, que produce la suspensión indefinida del procedimiento penal, o que pone fin al proceso, impidiendo en ambos casos, mientras subsista, la apertura del plenario o que en él se pronuncie sentencia...”.</w:t>
      </w:r>
    </w:p>
    <w:p w14:paraId="382F6D42"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Eduardo Pallares, en su artículo </w:t>
      </w:r>
      <w:r w:rsidRPr="00544B0C">
        <w:rPr>
          <w:rFonts w:ascii="Palatino Linotype" w:eastAsia="Calibri" w:hAnsi="Palatino Linotype"/>
          <w:i/>
          <w:lang w:val="es-ES"/>
        </w:rPr>
        <w:t>“La caducidad y el sobreseimiento en el amparo”</w:t>
      </w:r>
      <w:r w:rsidRPr="00544B0C">
        <w:rPr>
          <w:rFonts w:ascii="Palatino Linotype" w:eastAsia="Calibri" w:hAnsi="Palatino Linotype"/>
          <w:lang w:val="es-ES"/>
        </w:rPr>
        <w:t xml:space="preserve">, cita la definición de Aguilera Paz, aduciendo que se </w:t>
      </w:r>
      <w:r w:rsidRPr="00544B0C">
        <w:rPr>
          <w:rFonts w:ascii="Palatino Linotype" w:eastAsia="Calibri" w:hAnsi="Palatino Linotype"/>
          <w:i/>
          <w:lang w:val="es-ES"/>
        </w:rPr>
        <w:t>“...entiende por sobreseimiento en el tecnicismo forense, el hecho de cesar en el procedimiento o curso de la causa, por no existir méritos bastantes para entrar en un juicio o para entablar la contienda judicial que debe ser objeto del mismo...”</w:t>
      </w:r>
      <w:r w:rsidRPr="00544B0C">
        <w:rPr>
          <w:rFonts w:ascii="Palatino Linotype" w:eastAsia="Calibri" w:hAnsi="Palatino Linotype"/>
          <w:lang w:val="es-ES"/>
        </w:rPr>
        <w:t xml:space="preserve">. </w:t>
      </w:r>
    </w:p>
    <w:p w14:paraId="42444EDD" w14:textId="11594308"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lastRenderedPageBreak/>
        <w:t>Asimismo señala que existe el sobreseimiento provisional y el definitivo</w:t>
      </w:r>
      <w:r w:rsidRPr="00544B0C">
        <w:rPr>
          <w:rFonts w:ascii="Palatino Linotype" w:eastAsia="Calibri" w:hAnsi="Palatino Linotype"/>
          <w:i/>
          <w:lang w:val="es-ES"/>
        </w:rPr>
        <w:t>: “...el definitivo es una verdadera sentencia que pone fin al juicio, y que una vez dictada, produce cosa juzgada, mientras que el provisorio tiene por efectos suspender la prosecución de la causa...”</w:t>
      </w:r>
    </w:p>
    <w:p w14:paraId="51923E3D" w14:textId="77777777" w:rsidR="00544B0C" w:rsidRPr="00544B0C" w:rsidRDefault="00544B0C" w:rsidP="00544B0C">
      <w:pPr>
        <w:spacing w:before="240" w:after="240" w:line="360" w:lineRule="auto"/>
        <w:contextualSpacing/>
        <w:jc w:val="both"/>
        <w:rPr>
          <w:rFonts w:ascii="Palatino Linotype" w:eastAsia="Calibri" w:hAnsi="Palatino Linotype"/>
          <w:b/>
          <w:u w:val="single"/>
          <w:lang w:val="es-ES"/>
        </w:rPr>
      </w:pPr>
      <w:r w:rsidRPr="00544B0C">
        <w:rPr>
          <w:rFonts w:ascii="Palatino Linotype" w:eastAsia="Calibri" w:hAnsi="Palatino Linotype"/>
          <w:lang w:val="es-ES"/>
        </w:rPr>
        <w:t xml:space="preserve">Así, para la doctrina el sobreseimiento provoca que un procedimiento se suspenda o se resuelva en definitiva </w:t>
      </w:r>
      <w:r w:rsidRPr="00544B0C">
        <w:rPr>
          <w:rFonts w:ascii="Palatino Linotype" w:eastAsia="Calibri" w:hAnsi="Palatino Linotype"/>
          <w:b/>
          <w:u w:val="single"/>
          <w:lang w:val="es-ES"/>
        </w:rPr>
        <w:t>sin que se entre al estudio de los agravios o motivos de inconformidad.</w:t>
      </w:r>
    </w:p>
    <w:p w14:paraId="726A8EB6" w14:textId="77777777" w:rsidR="00544B0C" w:rsidRPr="00544B0C" w:rsidRDefault="00544B0C" w:rsidP="00544B0C">
      <w:pPr>
        <w:spacing w:before="240" w:after="240" w:line="360" w:lineRule="auto"/>
        <w:contextualSpacing/>
        <w:jc w:val="both"/>
        <w:rPr>
          <w:rFonts w:ascii="Palatino Linotype" w:eastAsia="Calibri" w:hAnsi="Palatino Linotype"/>
          <w:b/>
          <w:u w:val="single"/>
          <w:lang w:val="es-ES"/>
        </w:rPr>
      </w:pPr>
      <w:r w:rsidRPr="00544B0C">
        <w:rPr>
          <w:rFonts w:ascii="Palatino Linotype" w:hAnsi="Palatino Linotype"/>
          <w:szCs w:val="27"/>
          <w:lang w:val="es-ES"/>
        </w:rPr>
        <w:t xml:space="preserve">Las manifestaciones precedentes cobran aplicación en la jurisprudencia VI. 1o. J/23, publicada en la página 252 del Semanario Judicial de la Federación, Tomo 22-24, octubre-diciembre de 1989, Materia Común, Octava Época, emitida por el Primer Tribunal Colegiado del Sexto Circuito, del registro 213609, que establece: </w:t>
      </w:r>
    </w:p>
    <w:p w14:paraId="7CF1D32D" w14:textId="77777777" w:rsidR="00544B0C" w:rsidRPr="00544B0C" w:rsidRDefault="00544B0C" w:rsidP="00544B0C">
      <w:pPr>
        <w:ind w:left="851" w:right="851"/>
        <w:jc w:val="both"/>
        <w:rPr>
          <w:rFonts w:ascii="Palatino Linotype" w:hAnsi="Palatino Linotype" w:cs="Verdana"/>
          <w:i/>
          <w:sz w:val="22"/>
          <w:szCs w:val="22"/>
          <w:lang w:eastAsia="en-US"/>
        </w:rPr>
      </w:pPr>
      <w:r w:rsidRPr="00544B0C">
        <w:rPr>
          <w:rFonts w:ascii="Palatino Linotype" w:hAnsi="Palatino Linotype" w:cs="Verdana"/>
          <w:b/>
          <w:i/>
          <w:sz w:val="22"/>
          <w:szCs w:val="22"/>
          <w:lang w:eastAsia="en-US"/>
        </w:rPr>
        <w:t xml:space="preserve">“SOBRESEIMIENTO. NO PERMITE ENTRAR AL ESTUDIO DE LAS </w:t>
      </w:r>
      <w:r w:rsidRPr="00544B0C">
        <w:rPr>
          <w:rFonts w:ascii="Palatino Linotype" w:hAnsi="Palatino Linotype" w:cs="Verdana"/>
          <w:b/>
          <w:bCs/>
          <w:i/>
          <w:sz w:val="22"/>
          <w:szCs w:val="22"/>
          <w:lang w:eastAsia="en-US"/>
        </w:rPr>
        <w:t xml:space="preserve">CUESTIONES DE FONDO. </w:t>
      </w:r>
      <w:r w:rsidRPr="00544B0C">
        <w:rPr>
          <w:rFonts w:ascii="Palatino Linotype" w:hAnsi="Palatino Linotype" w:cs="Verdana"/>
          <w:i/>
          <w:sz w:val="22"/>
          <w:szCs w:val="22"/>
          <w:lang w:eastAsia="en-US"/>
        </w:rPr>
        <w:t>No causa agravio la sentencia que omite ocuparse de los razonamiento tendientes a demostrar la violación de garantías individuales por los actos reclamados de las autoridades responsables que constituyen el problema de fondo, si se decreta el sobreseimiento del juicio.</w:t>
      </w:r>
      <w:r w:rsidRPr="00544B0C">
        <w:rPr>
          <w:rFonts w:ascii="Palatino Linotype" w:hAnsi="Palatino Linotype" w:cs="Verdana"/>
          <w:b/>
          <w:i/>
          <w:sz w:val="22"/>
          <w:szCs w:val="22"/>
          <w:lang w:eastAsia="en-US"/>
        </w:rPr>
        <w:t>”</w:t>
      </w:r>
    </w:p>
    <w:p w14:paraId="643F5750" w14:textId="77777777" w:rsidR="00544B0C" w:rsidRPr="00544B0C" w:rsidRDefault="00544B0C" w:rsidP="00544B0C">
      <w:pPr>
        <w:spacing w:line="360" w:lineRule="auto"/>
        <w:ind w:left="426"/>
        <w:contextualSpacing/>
        <w:jc w:val="both"/>
        <w:rPr>
          <w:rFonts w:ascii="Palatino Linotype" w:eastAsia="Calibri" w:hAnsi="Palatino Linotype"/>
          <w:i/>
          <w:lang w:val="es-AR"/>
        </w:rPr>
      </w:pPr>
    </w:p>
    <w:p w14:paraId="6D057C8A"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687AA3B"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Sirviendo de apoyo a lo anterior por analogía, el criterio 31-10 emitido por el ahora Instituto Nacional de Transparencia, Acceso a la Información y Protección de Datos Personales, que a la letra dice:</w:t>
      </w:r>
    </w:p>
    <w:p w14:paraId="1D9A42B9" w14:textId="77777777" w:rsidR="00544B0C" w:rsidRPr="00544B0C" w:rsidRDefault="00544B0C" w:rsidP="00544B0C">
      <w:pPr>
        <w:ind w:left="720"/>
        <w:contextualSpacing/>
        <w:rPr>
          <w:rFonts w:ascii="Palatino Linotype" w:eastAsia="Calibri" w:hAnsi="Palatino Linotype"/>
          <w:lang w:val="es-ES"/>
        </w:rPr>
      </w:pPr>
    </w:p>
    <w:p w14:paraId="41FE69E8" w14:textId="77777777" w:rsidR="00544B0C" w:rsidRPr="00544B0C" w:rsidRDefault="00544B0C" w:rsidP="00544B0C">
      <w:pPr>
        <w:ind w:left="851" w:right="851"/>
        <w:contextualSpacing/>
        <w:jc w:val="both"/>
        <w:rPr>
          <w:rFonts w:ascii="Palatino Linotype" w:eastAsia="Calibri" w:hAnsi="Palatino Linotype"/>
          <w:i/>
          <w:sz w:val="22"/>
        </w:rPr>
      </w:pPr>
      <w:r w:rsidRPr="00544B0C">
        <w:rPr>
          <w:rFonts w:ascii="Palatino Linotype" w:eastAsia="Calibri" w:hAnsi="Palatino Linotype"/>
          <w:b/>
          <w:i/>
          <w:sz w:val="22"/>
        </w:rPr>
        <w:t>EL INSTITUTO FEDERAL DE ACCESO A LA INFORMACIÓN Y PROTECCIÓN DE DATOS NO CUENTA CON FACULTADES PARA PRONUNCIARSE RESPECTO DE LA VERACIDAD DE LOS DOCUMENTOS PROPORCIONADOS POR LOS SUJETOS OBLIGADOS.</w:t>
      </w:r>
      <w:r w:rsidRPr="00544B0C">
        <w:rPr>
          <w:rFonts w:ascii="Palatino Linotype" w:eastAsia="Calibri"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31B3AF" w14:textId="77777777" w:rsidR="00544B0C" w:rsidRPr="00544B0C" w:rsidRDefault="00544B0C" w:rsidP="00544B0C">
      <w:pPr>
        <w:spacing w:line="360" w:lineRule="auto"/>
        <w:ind w:left="426"/>
        <w:contextualSpacing/>
        <w:jc w:val="both"/>
        <w:rPr>
          <w:rFonts w:ascii="Palatino Linotype" w:eastAsia="Calibri" w:hAnsi="Palatino Linotype"/>
          <w:lang w:val="es-ES"/>
        </w:rPr>
      </w:pPr>
    </w:p>
    <w:p w14:paraId="05C72894"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Así mismo el artículo 4 de la </w:t>
      </w:r>
      <w:r w:rsidRPr="00544B0C">
        <w:rPr>
          <w:rFonts w:ascii="Palatino Linotype" w:eastAsia="Calibri" w:hAnsi="Palatino Linotype"/>
          <w:b/>
          <w:lang w:val="es-ES"/>
        </w:rPr>
        <w:t>Ley de Transparencia y Acceso a la Información Pública del Estado de México y Municipios</w:t>
      </w:r>
      <w:r w:rsidRPr="00544B0C">
        <w:rPr>
          <w:rFonts w:ascii="Palatino Linotype" w:eastAsia="Calibri" w:hAnsi="Palatino Linotype"/>
          <w:lang w:val="es-ES"/>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14:paraId="446C6DBD" w14:textId="77777777" w:rsidR="00544B0C" w:rsidRPr="00544B0C" w:rsidRDefault="00544B0C" w:rsidP="00544B0C">
      <w:pPr>
        <w:spacing w:line="360" w:lineRule="auto"/>
        <w:ind w:left="426"/>
        <w:contextualSpacing/>
        <w:jc w:val="both"/>
        <w:rPr>
          <w:rFonts w:ascii="Palatino Linotype" w:eastAsia="Calibri" w:hAnsi="Palatino Linotype"/>
          <w:lang w:val="es-ES"/>
        </w:rPr>
      </w:pPr>
    </w:p>
    <w:p w14:paraId="0EBAB970" w14:textId="77777777" w:rsidR="00544B0C" w:rsidRPr="00544B0C" w:rsidRDefault="00544B0C" w:rsidP="00544B0C">
      <w:pPr>
        <w:ind w:left="851" w:right="851"/>
        <w:contextualSpacing/>
        <w:jc w:val="both"/>
        <w:rPr>
          <w:rFonts w:ascii="Palatino Linotype" w:eastAsia="Calibri" w:hAnsi="Palatino Linotype"/>
          <w:sz w:val="22"/>
          <w:lang w:val="es-ES"/>
        </w:rPr>
      </w:pPr>
      <w:r w:rsidRPr="00544B0C">
        <w:rPr>
          <w:rFonts w:ascii="Palatino Linotype" w:eastAsia="Calibri" w:hAnsi="Palatino Linotype"/>
          <w:b/>
          <w:i/>
          <w:sz w:val="22"/>
          <w:lang w:val="es-ES"/>
        </w:rPr>
        <w:t>Artículo 4.</w:t>
      </w:r>
      <w:r w:rsidRPr="00544B0C">
        <w:rPr>
          <w:rFonts w:ascii="Palatino Linotype" w:eastAsia="Calibri" w:hAnsi="Palatino Linotype"/>
          <w:i/>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544B0C">
        <w:rPr>
          <w:rFonts w:ascii="Palatino Linotype" w:eastAsia="Calibri" w:hAnsi="Palatino Linotype"/>
          <w:i/>
          <w:sz w:val="22"/>
          <w:lang w:val="es-ES"/>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2C68C5FF" w14:textId="77777777" w:rsidR="00544B0C" w:rsidRPr="00544B0C" w:rsidRDefault="00544B0C" w:rsidP="00544B0C">
      <w:pPr>
        <w:spacing w:line="360" w:lineRule="auto"/>
        <w:ind w:left="426"/>
        <w:contextualSpacing/>
        <w:jc w:val="both"/>
        <w:rPr>
          <w:rFonts w:ascii="Palatino Linotype" w:eastAsia="Calibri" w:hAnsi="Palatino Linotype"/>
          <w:lang w:val="es-ES"/>
        </w:rPr>
      </w:pPr>
    </w:p>
    <w:p w14:paraId="4A8085FA"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Numerales que compelen al </w:t>
      </w:r>
      <w:r w:rsidRPr="00544B0C">
        <w:rPr>
          <w:rFonts w:ascii="Palatino Linotype" w:eastAsia="Calibri" w:hAnsi="Palatino Linotype"/>
          <w:b/>
          <w:lang w:val="es-ES"/>
        </w:rPr>
        <w:t>SUJETO OBLIGADO</w:t>
      </w:r>
      <w:r w:rsidRPr="00544B0C">
        <w:rPr>
          <w:rFonts w:ascii="Palatino Linotype" w:eastAsia="Calibri" w:hAnsi="Palatino Linotype"/>
          <w:lang w:val="es-ES"/>
        </w:rPr>
        <w:t xml:space="preserve"> a apegarse en todo momento a los criterios ya expuestos, impidiendo a este Órgano Colegiado cuestionar la veracidad de la información.</w:t>
      </w:r>
    </w:p>
    <w:p w14:paraId="3FA0A675"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111E99CB"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Por lo que para que se actualice el sobreseimiento de un recurso de revisión, el </w:t>
      </w:r>
      <w:r w:rsidRPr="00544B0C">
        <w:rPr>
          <w:rFonts w:ascii="Palatino Linotype" w:eastAsia="Calibri" w:hAnsi="Palatino Linotype"/>
          <w:b/>
          <w:lang w:val="es-ES"/>
        </w:rPr>
        <w:t>SUJETO OBLIGADO</w:t>
      </w:r>
      <w:r w:rsidRPr="00544B0C">
        <w:rPr>
          <w:rFonts w:ascii="Palatino Linotype" w:eastAsia="Calibri" w:hAnsi="Palatino Linotype"/>
          <w:lang w:val="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2B71B920" w14:textId="3C717AC5" w:rsidR="007707B4" w:rsidRPr="00544B0C" w:rsidRDefault="00544B0C" w:rsidP="002C4AD5">
      <w:pPr>
        <w:spacing w:before="240" w:after="240" w:line="360" w:lineRule="auto"/>
        <w:contextualSpacing/>
        <w:jc w:val="both"/>
        <w:rPr>
          <w:rFonts w:ascii="Palatino Linotype" w:eastAsia="Calibri" w:hAnsi="Palatino Linotype"/>
          <w:lang w:val="es-CO"/>
        </w:rPr>
      </w:pPr>
      <w:r w:rsidRPr="00544B0C">
        <w:rPr>
          <w:rFonts w:ascii="Palatino Linotype" w:eastAsia="Calibri" w:hAnsi="Palatino Linotype"/>
          <w:lang w:val="es-CO"/>
        </w:rPr>
        <w:t xml:space="preserve">Bajo ese tenor y en términos de los artículos 186 fracción I, y 192, fracción III este Pleno determina el </w:t>
      </w:r>
      <w:r w:rsidRPr="00544B0C">
        <w:rPr>
          <w:rFonts w:ascii="Palatino Linotype" w:eastAsia="Calibri" w:hAnsi="Palatino Linotype"/>
          <w:b/>
          <w:lang w:val="es-CO"/>
        </w:rPr>
        <w:t xml:space="preserve">SOBRESEIMIENTO </w:t>
      </w:r>
      <w:r w:rsidRPr="00544B0C">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2FE58DBC" w14:textId="4626BC65" w:rsidR="0001513C" w:rsidRDefault="005E0CA6" w:rsidP="005E0CA6">
      <w:pPr>
        <w:spacing w:before="240" w:after="240" w:line="360" w:lineRule="auto"/>
        <w:jc w:val="both"/>
        <w:rPr>
          <w:rFonts w:ascii="Palatino Linotype" w:hAnsi="Palatino Linotype" w:cs="Arial"/>
        </w:rPr>
      </w:pPr>
      <w:r w:rsidRPr="004326A0">
        <w:rPr>
          <w:rFonts w:ascii="Palatino Linotype" w:hAnsi="Palatino Linotype" w:cs="Arial"/>
        </w:rPr>
        <w:t xml:space="preserve">Así, con fundamento en lo prescrito en los artículos 5 </w:t>
      </w:r>
      <w:r w:rsidRPr="004326A0">
        <w:rPr>
          <w:rFonts w:ascii="Palatino Linotype" w:hAnsi="Palatino Linotype"/>
          <w:shd w:val="clear" w:color="auto" w:fill="FFFFFF"/>
        </w:rPr>
        <w:t xml:space="preserve">párrafos </w:t>
      </w:r>
      <w:r w:rsidR="00200718" w:rsidRPr="00200718">
        <w:rPr>
          <w:rFonts w:ascii="Palatino Linotype" w:hAnsi="Palatino Linotype"/>
          <w:shd w:val="clear" w:color="auto" w:fill="FFFFFF"/>
          <w:lang w:val="es-ES"/>
        </w:rPr>
        <w:t xml:space="preserve">vigésimo noveno, trigésimo y trigésimo primero, fracciones IV y V </w:t>
      </w:r>
      <w:r w:rsidRPr="004326A0">
        <w:rPr>
          <w:rFonts w:ascii="Palatino Linotype" w:hAnsi="Palatino Linotype" w:cs="Arial"/>
        </w:rPr>
        <w:t xml:space="preserve">de la Constitución Política del Estado Libre y Soberano de México; 2, fracción II; 29, 36 fracciones I y II; 176, 178, </w:t>
      </w:r>
      <w:r w:rsidRPr="004326A0">
        <w:rPr>
          <w:rFonts w:ascii="Palatino Linotype" w:hAnsi="Palatino Linotype" w:cs="Arial"/>
        </w:rPr>
        <w:lastRenderedPageBreak/>
        <w:t>181, 185 de la Ley de Transparencia y Acceso a la Información Pública del Estado de México y Municipios, este Pleno:</w:t>
      </w:r>
    </w:p>
    <w:p w14:paraId="6CCE0B2D" w14:textId="77777777" w:rsidR="007707B4" w:rsidRPr="007707B4" w:rsidRDefault="007707B4" w:rsidP="007707B4">
      <w:pPr>
        <w:numPr>
          <w:ilvl w:val="0"/>
          <w:numId w:val="1"/>
        </w:numPr>
        <w:spacing w:before="100" w:beforeAutospacing="1" w:after="100" w:afterAutospacing="1" w:line="360" w:lineRule="auto"/>
        <w:ind w:left="284" w:hanging="426"/>
        <w:jc w:val="center"/>
        <w:rPr>
          <w:rFonts w:ascii="Palatino Linotype" w:hAnsi="Palatino Linotype" w:cs="Arial"/>
          <w:b/>
          <w:lang w:eastAsia="es-MX"/>
        </w:rPr>
      </w:pPr>
      <w:r w:rsidRPr="007707B4">
        <w:rPr>
          <w:rFonts w:ascii="Palatino Linotype" w:hAnsi="Palatino Linotype" w:cs="Arial"/>
          <w:b/>
          <w:lang w:eastAsia="es-MX"/>
        </w:rPr>
        <w:t>R E S U E L V E:</w:t>
      </w:r>
    </w:p>
    <w:p w14:paraId="0ECDBD5C" w14:textId="6879EA31" w:rsidR="0088388C"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Primero.</w:t>
      </w:r>
      <w:r w:rsidRPr="007707B4">
        <w:rPr>
          <w:rFonts w:ascii="Palatino Linotype" w:eastAsia="Calibri" w:hAnsi="Palatino Linotype"/>
          <w:lang w:val="es-ES"/>
        </w:rPr>
        <w:t xml:space="preserve"> </w:t>
      </w:r>
      <w:r w:rsidRPr="007707B4">
        <w:rPr>
          <w:rFonts w:ascii="Palatino Linotype" w:hAnsi="Palatino Linotype" w:cs="Arial"/>
          <w:lang w:val="es-ES"/>
        </w:rPr>
        <w:t xml:space="preserve">Se </w:t>
      </w:r>
      <w:r w:rsidRPr="007707B4">
        <w:rPr>
          <w:rFonts w:ascii="Palatino Linotype" w:hAnsi="Palatino Linotype" w:cs="Arial"/>
          <w:b/>
          <w:lang w:val="es-ES"/>
        </w:rPr>
        <w:t>SOBRESEE</w:t>
      </w:r>
      <w:r w:rsidRPr="007707B4">
        <w:rPr>
          <w:rFonts w:ascii="Palatino Linotype" w:hAnsi="Palatino Linotype" w:cs="Arial"/>
          <w:lang w:val="es-ES"/>
        </w:rPr>
        <w:t xml:space="preserve"> el recurso de revisión </w:t>
      </w:r>
      <w:r w:rsidR="0088388C">
        <w:rPr>
          <w:rFonts w:ascii="Palatino Linotype" w:hAnsi="Palatino Linotype" w:cs="Arial"/>
          <w:b/>
          <w:lang w:val="es-ES"/>
        </w:rPr>
        <w:t>0277</w:t>
      </w:r>
      <w:r>
        <w:rPr>
          <w:rFonts w:ascii="Palatino Linotype" w:hAnsi="Palatino Linotype" w:cs="Arial"/>
          <w:b/>
          <w:lang w:val="es-ES"/>
        </w:rPr>
        <w:t>4</w:t>
      </w:r>
      <w:r w:rsidR="0088388C">
        <w:rPr>
          <w:rFonts w:ascii="Palatino Linotype" w:hAnsi="Palatino Linotype" w:cs="Arial"/>
          <w:b/>
          <w:lang w:val="es-ES"/>
        </w:rPr>
        <w:t>/INFOEM/IP/RR/2021</w:t>
      </w:r>
      <w:r w:rsidRPr="007707B4">
        <w:rPr>
          <w:rFonts w:ascii="Palatino Linotype" w:hAnsi="Palatino Linotype" w:cs="Arial"/>
          <w:b/>
          <w:lang w:val="es-ES"/>
        </w:rPr>
        <w:t xml:space="preserve">, </w:t>
      </w:r>
      <w:r w:rsidR="0088388C">
        <w:rPr>
          <w:rFonts w:ascii="Palatino Linotype" w:hAnsi="Palatino Linotype" w:cs="Arial"/>
          <w:lang w:val="es-ES"/>
        </w:rPr>
        <w:t xml:space="preserve">porque al modificar la respuesta el recurso de revisión quedó sin materia en términos del </w:t>
      </w:r>
      <w:r w:rsidRPr="007707B4">
        <w:rPr>
          <w:rFonts w:ascii="Palatino Linotype" w:hAnsi="Palatino Linotype" w:cs="Arial"/>
          <w:lang w:val="es-ES"/>
        </w:rPr>
        <w:t xml:space="preserve"> </w:t>
      </w:r>
      <w:r w:rsidRPr="007707B4">
        <w:rPr>
          <w:rFonts w:ascii="Palatino Linotype" w:hAnsi="Palatino Linotype" w:cs="Arial"/>
          <w:b/>
          <w:lang w:val="es-ES"/>
        </w:rPr>
        <w:t xml:space="preserve">Considerando Tercero </w:t>
      </w:r>
      <w:r w:rsidRPr="007707B4">
        <w:rPr>
          <w:rFonts w:ascii="Palatino Linotype" w:hAnsi="Palatino Linotype" w:cs="Arial"/>
          <w:lang w:val="es-ES"/>
        </w:rPr>
        <w:t>de la presente resolución.</w:t>
      </w:r>
    </w:p>
    <w:p w14:paraId="1BB61208" w14:textId="77777777" w:rsidR="007707B4"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 xml:space="preserve">Segundo. </w:t>
      </w:r>
      <w:r w:rsidRPr="007707B4">
        <w:rPr>
          <w:rFonts w:ascii="Palatino Linotype" w:hAnsi="Palatino Linotype" w:cs="Arial"/>
          <w:b/>
          <w:bCs/>
          <w:shd w:val="clear" w:color="auto" w:fill="FFFFFF"/>
          <w:lang w:val="es-ES"/>
        </w:rPr>
        <w:t>Remítase</w:t>
      </w:r>
      <w:r w:rsidRPr="007707B4">
        <w:rPr>
          <w:rFonts w:ascii="Palatino Linotype" w:hAnsi="Palatino Linotype" w:cs="Arial"/>
          <w:b/>
          <w:bCs/>
          <w:i/>
          <w:iCs/>
          <w:shd w:val="clear" w:color="auto" w:fill="FFFFFF"/>
          <w:lang w:val="es-ES"/>
        </w:rPr>
        <w:t> </w:t>
      </w:r>
      <w:r w:rsidRPr="007707B4">
        <w:rPr>
          <w:rFonts w:ascii="Palatino Linotype" w:hAnsi="Palatino Linotype"/>
          <w:shd w:val="clear" w:color="auto" w:fill="FFFFFF"/>
          <w:lang w:val="es-ES"/>
        </w:rPr>
        <w:t>la presente resolución al Responsable de la Unidad de Transparencia del</w:t>
      </w:r>
      <w:r w:rsidRPr="007707B4">
        <w:rPr>
          <w:rFonts w:ascii="Palatino Linotype" w:hAnsi="Palatino Linotype"/>
          <w:bCs/>
          <w:shd w:val="clear" w:color="auto" w:fill="FFFFFF"/>
          <w:lang w:val="es-ES"/>
        </w:rPr>
        <w:t> Sujeto Obligado, para su conocimiento</w:t>
      </w:r>
      <w:r w:rsidRPr="007707B4">
        <w:rPr>
          <w:rFonts w:ascii="Palatino Linotype" w:hAnsi="Palatino Linotype"/>
          <w:shd w:val="clear" w:color="auto" w:fill="FFFFFF"/>
          <w:lang w:val="es-ES"/>
        </w:rPr>
        <w:t>.</w:t>
      </w:r>
    </w:p>
    <w:p w14:paraId="7AA36DD6" w14:textId="36FCFE7A" w:rsidR="007707B4"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 xml:space="preserve">Tercero. Hágase del Conocimiento </w:t>
      </w:r>
      <w:r w:rsidRPr="007707B4">
        <w:rPr>
          <w:rFonts w:ascii="Palatino Linotype" w:hAnsi="Palatino Linotype" w:cs="Arial"/>
          <w:lang w:val="es-ES"/>
        </w:rPr>
        <w:t xml:space="preserve">de la </w:t>
      </w:r>
      <w:r w:rsidR="00A52290">
        <w:rPr>
          <w:rFonts w:ascii="Palatino Linotype" w:hAnsi="Palatino Linotype" w:cs="Arial"/>
          <w:lang w:val="es-ES"/>
        </w:rPr>
        <w:t xml:space="preserve">parte </w:t>
      </w:r>
      <w:r w:rsidRPr="007707B4">
        <w:rPr>
          <w:rFonts w:ascii="Palatino Linotype" w:hAnsi="Palatino Linotype" w:cs="Arial"/>
          <w:b/>
          <w:lang w:val="es-ES"/>
        </w:rPr>
        <w:t>recurrente</w:t>
      </w:r>
      <w:r w:rsidRPr="007707B4">
        <w:rPr>
          <w:rFonts w:ascii="Palatino Linotype" w:hAnsi="Palatino Linotype" w:cs="Arial"/>
          <w:lang w:val="es-ES"/>
        </w:rPr>
        <w:t xml:space="preserve">, la presente resolución, así como, que de conformidad con lo establecido en el artículo 196 de la Ley de Transparencia y Acceso a la Información Pública del Estado de México y Municipios, podrá impugnarla vía </w:t>
      </w:r>
      <w:r w:rsidRPr="007707B4">
        <w:rPr>
          <w:rFonts w:ascii="Palatino Linotype" w:hAnsi="Palatino Linotype" w:cs="Arial"/>
          <w:b/>
          <w:lang w:val="es-ES"/>
        </w:rPr>
        <w:t xml:space="preserve">Juicio de Amparo </w:t>
      </w:r>
      <w:r w:rsidRPr="007707B4">
        <w:rPr>
          <w:rFonts w:ascii="Palatino Linotype" w:hAnsi="Palatino Linotype" w:cs="Arial"/>
          <w:lang w:val="es-ES"/>
        </w:rPr>
        <w:t>en los términos de las leyes aplicables.</w:t>
      </w:r>
    </w:p>
    <w:p w14:paraId="26BF6A47" w14:textId="77777777" w:rsidR="000C3E42" w:rsidRDefault="000C3E42" w:rsidP="005E0CA6">
      <w:pPr>
        <w:spacing w:before="240" w:after="240" w:line="360" w:lineRule="auto"/>
        <w:jc w:val="both"/>
        <w:rPr>
          <w:rFonts w:ascii="Palatino Linotype" w:hAnsi="Palatino Linotype" w:cs="Arial"/>
        </w:rPr>
        <w:sectPr w:rsidR="000C3E42" w:rsidSect="00E46369">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pPr>
      <w:r w:rsidRPr="000C3E42">
        <w:rPr>
          <w:rFonts w:ascii="Palatino Linotype" w:hAnsi="Palatino Linotype"/>
          <w:lang w:val="es-ES"/>
        </w:rPr>
        <w:t>ASÍ LO RESUELVE, POR UNANIMIDAD DE VOTOS, EL PLENO DEL INSTITUTO DE TRANSPARENCIA, ACCESO A LA INFORMACIÓN PÚBLICA Y PROTECCIÓN DE DATOS PERSONALES DEL ESTADO DE MÉXICO Y MUNICIPIOS, CONFORMADO POR LOS COMISIONADOS </w:t>
      </w:r>
      <w:r w:rsidRPr="000C3E42">
        <w:rPr>
          <w:rFonts w:ascii="Palatino Linotype" w:hAnsi="Palatino Linotype"/>
        </w:rPr>
        <w:t>JOSÉ MARTÍNEZ VILCHIS, MARÍA DEL ROSARIO MEJÍA AYALA, SHARON CRISTINA MORALES MARTÍNEZ, LUIS GUSTAVO PARRA NORIEGA Y GUADALUPE RAMÍREZ PEÑA;</w:t>
      </w:r>
      <w:r>
        <w:rPr>
          <w:rFonts w:ascii="Palatino Linotype" w:hAnsi="Palatino Linotype"/>
        </w:rPr>
        <w:t xml:space="preserve"> EN LA TRIGÉSIMA SEGUNDA</w:t>
      </w:r>
      <w:r w:rsidR="005E0CA6" w:rsidRPr="004326A0">
        <w:rPr>
          <w:rFonts w:ascii="Palatino Linotype" w:hAnsi="Palatino Linotype"/>
        </w:rPr>
        <w:t xml:space="preserve"> SESIÓN O</w:t>
      </w:r>
      <w:r w:rsidR="00B65E33">
        <w:rPr>
          <w:rFonts w:ascii="Palatino Linotype" w:hAnsi="Palatino Linotype"/>
        </w:rPr>
        <w:t>RDI</w:t>
      </w:r>
      <w:r>
        <w:rPr>
          <w:rFonts w:ascii="Palatino Linotype" w:hAnsi="Palatino Linotype"/>
        </w:rPr>
        <w:t>NARIA CELEBRADA EL QUINCE DE SEPT</w:t>
      </w:r>
      <w:r w:rsidR="00086D94">
        <w:rPr>
          <w:rFonts w:ascii="Palatino Linotype" w:hAnsi="Palatino Linotype"/>
        </w:rPr>
        <w:t>IEM</w:t>
      </w:r>
      <w:r w:rsidR="005E0CA6" w:rsidRPr="004326A0">
        <w:rPr>
          <w:rFonts w:ascii="Palatino Linotype" w:hAnsi="Palatino Linotype"/>
        </w:rPr>
        <w:t>BRE DE DOS MIL VEINTE, ANTE EL SECRETARIO TÉCNICO DEL PLENO ALEXIS TAPIA RAMÍREZ.</w:t>
      </w:r>
      <w:r w:rsidR="005E0CA6" w:rsidRPr="004326A0">
        <w:rPr>
          <w:rFonts w:ascii="Palatino Linotype" w:hAnsi="Palatino Linotype" w:cs="Arial"/>
        </w:rPr>
        <w:t xml:space="preserve"> </w:t>
      </w:r>
    </w:p>
    <w:p w14:paraId="6FD1A763" w14:textId="4B0555F5" w:rsidR="00DF305C" w:rsidRDefault="00DF305C" w:rsidP="005E0CA6">
      <w:pPr>
        <w:spacing w:before="240" w:after="240" w:line="360" w:lineRule="auto"/>
        <w:jc w:val="both"/>
        <w:rPr>
          <w:rFonts w:ascii="Palatino Linotype" w:hAnsi="Palatino Linotype" w:cs="Arial"/>
        </w:rPr>
      </w:pPr>
    </w:p>
    <w:bookmarkEnd w:id="0"/>
    <w:sectPr w:rsidR="00DF305C" w:rsidSect="00E46369">
      <w:head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C7BC5" w14:textId="77777777" w:rsidR="00C3076A" w:rsidRDefault="00C3076A">
      <w:r>
        <w:separator/>
      </w:r>
    </w:p>
  </w:endnote>
  <w:endnote w:type="continuationSeparator" w:id="0">
    <w:p w14:paraId="21FD80BF" w14:textId="77777777" w:rsidR="00C3076A" w:rsidRDefault="00C3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526C2" w14:textId="77777777" w:rsidR="00E46369" w:rsidRDefault="00E46369" w:rsidP="00E4636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32C8">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32C8">
      <w:rPr>
        <w:rFonts w:ascii="Arial" w:hAnsi="Arial" w:cs="Arial"/>
        <w:b/>
        <w:bCs/>
        <w:noProof/>
        <w:sz w:val="20"/>
        <w:szCs w:val="20"/>
      </w:rPr>
      <w:t>28</w:t>
    </w:r>
    <w:r>
      <w:rPr>
        <w:rFonts w:ascii="Arial" w:hAnsi="Arial" w:cs="Arial"/>
        <w:b/>
        <w:bCs/>
        <w:sz w:val="20"/>
        <w:szCs w:val="20"/>
      </w:rPr>
      <w:fldChar w:fldCharType="end"/>
    </w:r>
  </w:p>
  <w:p w14:paraId="317CC1BC" w14:textId="77777777" w:rsidR="00E46369" w:rsidRDefault="00E46369" w:rsidP="00E46369">
    <w:pPr>
      <w:pStyle w:val="Piedepgina"/>
      <w:rPr>
        <w:rFonts w:ascii="Times New Roman" w:hAnsi="Times New Roman" w:cs="Times New Roman"/>
      </w:rPr>
    </w:pPr>
  </w:p>
  <w:p w14:paraId="1A211A4C" w14:textId="77777777" w:rsidR="00E46369" w:rsidRDefault="00E46369" w:rsidP="00E46369">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69770" w14:textId="77777777" w:rsidR="00E46369" w:rsidRDefault="00E46369" w:rsidP="00E4636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32C8">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32C8">
      <w:rPr>
        <w:rFonts w:ascii="Arial" w:hAnsi="Arial" w:cs="Arial"/>
        <w:b/>
        <w:bCs/>
        <w:noProof/>
        <w:sz w:val="20"/>
        <w:szCs w:val="20"/>
      </w:rPr>
      <w:t>28</w:t>
    </w:r>
    <w:r>
      <w:rPr>
        <w:rFonts w:ascii="Arial" w:hAnsi="Arial" w:cs="Arial"/>
        <w:b/>
        <w:bCs/>
        <w:sz w:val="20"/>
        <w:szCs w:val="20"/>
      </w:rPr>
      <w:fldChar w:fldCharType="end"/>
    </w:r>
  </w:p>
  <w:p w14:paraId="3BACAB3C" w14:textId="77777777" w:rsidR="00E46369" w:rsidRDefault="00E463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510D0" w14:textId="77777777" w:rsidR="00C3076A" w:rsidRDefault="00C3076A">
      <w:r>
        <w:separator/>
      </w:r>
    </w:p>
  </w:footnote>
  <w:footnote w:type="continuationSeparator" w:id="0">
    <w:p w14:paraId="517963E6" w14:textId="77777777" w:rsidR="00C3076A" w:rsidRDefault="00C3076A">
      <w:r>
        <w:continuationSeparator/>
      </w:r>
    </w:p>
  </w:footnote>
  <w:footnote w:id="1">
    <w:p w14:paraId="0FFB78E2" w14:textId="77777777" w:rsidR="00544B0C" w:rsidRPr="006E31CF" w:rsidRDefault="00544B0C" w:rsidP="00544B0C">
      <w:pPr>
        <w:pStyle w:val="Textonotapie"/>
        <w:rPr>
          <w:rFonts w:ascii="Palatino Linotype" w:hAnsi="Palatino Linotype"/>
          <w:sz w:val="18"/>
        </w:rPr>
      </w:pPr>
      <w:r>
        <w:rPr>
          <w:rStyle w:val="Refdenotaalpie"/>
        </w:rPr>
        <w:footnoteRef/>
      </w:r>
      <w:r>
        <w:t xml:space="preserve"> </w:t>
      </w:r>
      <w:r w:rsidRPr="006E31CF">
        <w:rPr>
          <w:rFonts w:ascii="Palatino Linotype" w:hAnsi="Palatino Linotype"/>
          <w:b/>
          <w:sz w:val="18"/>
        </w:rPr>
        <w:t>Artículo 192.</w:t>
      </w:r>
      <w:r w:rsidRPr="006E31CF">
        <w:rPr>
          <w:rFonts w:ascii="Palatino Linotype" w:hAnsi="Palatino Linotype"/>
          <w:sz w:val="18"/>
        </w:rPr>
        <w:t xml:space="preserve"> El recurso será sobreseído, en todo o en parte, cuando una vez admitido, se actualicen alguno de los siguientes supuestos:</w:t>
      </w:r>
    </w:p>
    <w:p w14:paraId="3D592049" w14:textId="77777777" w:rsidR="00544B0C" w:rsidRPr="006E31CF" w:rsidRDefault="00544B0C" w:rsidP="00544B0C">
      <w:pPr>
        <w:pStyle w:val="Textonotapie"/>
        <w:rPr>
          <w:rFonts w:ascii="Palatino Linotype" w:hAnsi="Palatino Linotype"/>
          <w:sz w:val="18"/>
        </w:rPr>
      </w:pPr>
      <w:r w:rsidRPr="006E31CF">
        <w:rPr>
          <w:rFonts w:ascii="Palatino Linotype" w:hAnsi="Palatino Linotype"/>
          <w:sz w:val="18"/>
        </w:rPr>
        <w:t>…</w:t>
      </w:r>
    </w:p>
    <w:p w14:paraId="1F38747A" w14:textId="77777777" w:rsidR="00544B0C" w:rsidRPr="006E31CF" w:rsidRDefault="00544B0C" w:rsidP="00544B0C">
      <w:pPr>
        <w:pStyle w:val="Textonotapie"/>
        <w:rPr>
          <w:rFonts w:ascii="Palatino Linotype" w:hAnsi="Palatino Linotype"/>
          <w:sz w:val="18"/>
        </w:rPr>
      </w:pPr>
      <w:r w:rsidRPr="006E31CF">
        <w:rPr>
          <w:rFonts w:ascii="Palatino Linotype" w:hAnsi="Palatino Linotype"/>
          <w:sz w:val="18"/>
        </w:rPr>
        <w:t>III. El sujeto obligado responsable del acto lo modifique o revoque de tal manera que el recurso de revisión quede sin materia;</w:t>
      </w:r>
    </w:p>
  </w:footnote>
  <w:footnote w:id="2">
    <w:p w14:paraId="53D92BA2" w14:textId="77777777" w:rsidR="00544B0C" w:rsidRPr="006E31CF" w:rsidRDefault="00544B0C" w:rsidP="00544B0C">
      <w:pPr>
        <w:pStyle w:val="Textonotapie"/>
        <w:rPr>
          <w:rFonts w:ascii="Palatino Linotype" w:hAnsi="Palatino Linotype"/>
          <w:sz w:val="18"/>
        </w:rPr>
      </w:pPr>
      <w:r w:rsidRPr="006E31CF">
        <w:rPr>
          <w:rStyle w:val="Refdenotaalpie"/>
          <w:rFonts w:ascii="Palatino Linotype" w:hAnsi="Palatino Linotype"/>
          <w:sz w:val="18"/>
        </w:rPr>
        <w:footnoteRef/>
      </w:r>
      <w:r w:rsidRPr="006E31CF">
        <w:rPr>
          <w:rFonts w:ascii="Palatino Linotype" w:hAnsi="Palatino Linotype"/>
          <w:sz w:val="18"/>
        </w:rPr>
        <w:t xml:space="preserve"> </w:t>
      </w:r>
      <w:r w:rsidRPr="006E31CF">
        <w:rPr>
          <w:rFonts w:ascii="Palatino Linotype" w:hAnsi="Palatino Linotype"/>
          <w:b/>
          <w:sz w:val="18"/>
        </w:rPr>
        <w:t>Artículo 186</w:t>
      </w:r>
      <w:r w:rsidRPr="006E31CF">
        <w:rPr>
          <w:rFonts w:ascii="Palatino Linotype" w:hAnsi="Palatino Linotype"/>
          <w:sz w:val="18"/>
        </w:rPr>
        <w:t>. Las resoluciones del Instituto podrán:</w:t>
      </w:r>
    </w:p>
    <w:p w14:paraId="4D6BD259" w14:textId="77777777" w:rsidR="00544B0C" w:rsidRDefault="00544B0C" w:rsidP="00544B0C">
      <w:pPr>
        <w:pStyle w:val="Textonotapie"/>
      </w:pPr>
      <w:r w:rsidRPr="006E31CF">
        <w:rPr>
          <w:rFonts w:ascii="Palatino Linotype" w:hAnsi="Palatino Linotype"/>
          <w:sz w:val="18"/>
        </w:rP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E46369" w:rsidRPr="00E51193" w14:paraId="17A96649" w14:textId="77777777" w:rsidTr="00E46369">
      <w:tc>
        <w:tcPr>
          <w:tcW w:w="2552" w:type="dxa"/>
          <w:vAlign w:val="center"/>
          <w:hideMark/>
        </w:tcPr>
        <w:p w14:paraId="1B5C749B" w14:textId="77777777" w:rsidR="00E46369" w:rsidRPr="00E51193" w:rsidRDefault="00E46369" w:rsidP="00E46369">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14:paraId="44F21F59" w14:textId="0B48DEAD" w:rsidR="00E46369" w:rsidRPr="00E51193" w:rsidRDefault="00E46369" w:rsidP="00E46369">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sidR="00056AE1">
            <w:rPr>
              <w:rFonts w:ascii="Palatino Linotype" w:hAnsi="Palatino Linotype"/>
              <w:b/>
              <w:sz w:val="21"/>
              <w:szCs w:val="21"/>
              <w:lang w:val="es-ES_tradnl"/>
            </w:rPr>
            <w:t>2774/INFOEM/IP/RR/2021</w:t>
          </w:r>
        </w:p>
      </w:tc>
    </w:tr>
    <w:tr w:rsidR="00E46369" w:rsidRPr="00E51193" w14:paraId="7474F895" w14:textId="77777777" w:rsidTr="00E46369">
      <w:trPr>
        <w:trHeight w:val="228"/>
      </w:trPr>
      <w:tc>
        <w:tcPr>
          <w:tcW w:w="2552" w:type="dxa"/>
          <w:vAlign w:val="center"/>
          <w:hideMark/>
        </w:tcPr>
        <w:p w14:paraId="58C5C6E6" w14:textId="77777777" w:rsidR="00E46369" w:rsidRPr="00E51193" w:rsidRDefault="00E46369" w:rsidP="00E46369">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14:paraId="366C513A" w14:textId="6F1E379A" w:rsidR="00E46369" w:rsidRPr="00E51193" w:rsidRDefault="00056AE1" w:rsidP="00E46369">
          <w:pPr>
            <w:jc w:val="both"/>
            <w:rPr>
              <w:rFonts w:ascii="Palatino Linotype" w:hAnsi="Palatino Linotype"/>
              <w:b/>
              <w:sz w:val="21"/>
              <w:szCs w:val="21"/>
              <w:lang w:val="es-ES_tradnl"/>
            </w:rPr>
          </w:pPr>
          <w:r>
            <w:rPr>
              <w:rFonts w:ascii="Palatino Linotype" w:hAnsi="Palatino Linotype"/>
              <w:b/>
              <w:bCs/>
              <w:sz w:val="21"/>
              <w:szCs w:val="21"/>
            </w:rPr>
            <w:t>Universidad Autónoma del Estado de México</w:t>
          </w:r>
        </w:p>
      </w:tc>
    </w:tr>
    <w:tr w:rsidR="00E46369" w:rsidRPr="00E51193" w14:paraId="5CE0CCD8" w14:textId="77777777" w:rsidTr="00E46369">
      <w:tc>
        <w:tcPr>
          <w:tcW w:w="2552" w:type="dxa"/>
          <w:vAlign w:val="center"/>
          <w:hideMark/>
        </w:tcPr>
        <w:p w14:paraId="46715627" w14:textId="35BB95B1" w:rsidR="00E46369" w:rsidRPr="00E51193" w:rsidRDefault="00056AE1" w:rsidP="00E46369">
          <w:pPr>
            <w:rPr>
              <w:rFonts w:ascii="Palatino Linotype" w:hAnsi="Palatino Linotype"/>
              <w:b/>
              <w:sz w:val="21"/>
              <w:szCs w:val="21"/>
              <w:lang w:val="es-ES_tradnl"/>
            </w:rPr>
          </w:pPr>
          <w:r>
            <w:rPr>
              <w:rFonts w:ascii="Palatino Linotype" w:hAnsi="Palatino Linotype"/>
              <w:b/>
              <w:sz w:val="21"/>
              <w:szCs w:val="21"/>
              <w:lang w:val="es-ES_tradnl"/>
            </w:rPr>
            <w:t>Comisionada</w:t>
          </w:r>
          <w:r w:rsidR="00E46369" w:rsidRPr="00E51193">
            <w:rPr>
              <w:rFonts w:ascii="Palatino Linotype" w:hAnsi="Palatino Linotype"/>
              <w:b/>
              <w:sz w:val="21"/>
              <w:szCs w:val="21"/>
              <w:lang w:val="es-ES_tradnl"/>
            </w:rPr>
            <w:t xml:space="preserve"> ponente:</w:t>
          </w:r>
        </w:p>
      </w:tc>
      <w:tc>
        <w:tcPr>
          <w:tcW w:w="2976" w:type="dxa"/>
          <w:vAlign w:val="center"/>
          <w:hideMark/>
        </w:tcPr>
        <w:p w14:paraId="0502F0E9" w14:textId="1E1DA795" w:rsidR="00E46369" w:rsidRPr="00E51193" w:rsidRDefault="00056AE1" w:rsidP="00E4636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371F6F22" w14:textId="77777777" w:rsidR="00E46369" w:rsidRDefault="00E46369" w:rsidP="00E46369">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773F80C" wp14:editId="56FFACD0">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2B41" w14:textId="5D439887" w:rsidR="00E46369" w:rsidRDefault="00E46369" w:rsidP="00E46369">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E46369" w:rsidRPr="00294C56" w14:paraId="4CF0D1BE" w14:textId="77777777" w:rsidTr="00E46369">
      <w:tc>
        <w:tcPr>
          <w:tcW w:w="2551" w:type="dxa"/>
          <w:vAlign w:val="center"/>
          <w:hideMark/>
        </w:tcPr>
        <w:p w14:paraId="50F24B5C" w14:textId="77777777" w:rsidR="00E46369" w:rsidRPr="00541CBF" w:rsidRDefault="00E46369" w:rsidP="00E46369">
          <w:pPr>
            <w:rPr>
              <w:rFonts w:ascii="Palatino Linotype" w:hAnsi="Palatino Linotype"/>
              <w:b/>
              <w:sz w:val="22"/>
              <w:szCs w:val="21"/>
              <w:lang w:val="es-ES_tradnl"/>
            </w:rPr>
          </w:pPr>
          <w:r w:rsidRPr="00541CBF">
            <w:rPr>
              <w:rFonts w:ascii="Palatino Linotype" w:hAnsi="Palatino Linotype"/>
              <w:b/>
              <w:sz w:val="22"/>
              <w:szCs w:val="21"/>
              <w:lang w:val="es-ES_tradnl"/>
            </w:rPr>
            <w:t>Recurso de Revisión:</w:t>
          </w:r>
        </w:p>
      </w:tc>
      <w:tc>
        <w:tcPr>
          <w:tcW w:w="3687" w:type="dxa"/>
          <w:vAlign w:val="center"/>
          <w:hideMark/>
        </w:tcPr>
        <w:p w14:paraId="7A41E4BB" w14:textId="6311B8E4" w:rsidR="00E46369" w:rsidRPr="00541CBF" w:rsidRDefault="00E46369" w:rsidP="00E46369">
          <w:pPr>
            <w:jc w:val="both"/>
            <w:rPr>
              <w:rFonts w:ascii="Palatino Linotype" w:hAnsi="Palatino Linotype"/>
              <w:b/>
              <w:sz w:val="22"/>
              <w:szCs w:val="21"/>
              <w:lang w:val="es-ES_tradnl"/>
            </w:rPr>
          </w:pPr>
          <w:r w:rsidRPr="00541CBF">
            <w:rPr>
              <w:rFonts w:ascii="Palatino Linotype" w:hAnsi="Palatino Linotype"/>
              <w:b/>
              <w:sz w:val="22"/>
              <w:szCs w:val="21"/>
              <w:lang w:val="es-ES_tradnl"/>
            </w:rPr>
            <w:t>0</w:t>
          </w:r>
          <w:r w:rsidR="00056AE1" w:rsidRPr="00541CBF">
            <w:rPr>
              <w:rFonts w:ascii="Palatino Linotype" w:hAnsi="Palatino Linotype"/>
              <w:b/>
              <w:sz w:val="22"/>
              <w:szCs w:val="21"/>
              <w:lang w:val="es-ES_tradnl"/>
            </w:rPr>
            <w:t>2774/INFOEM/IP/RR/2021</w:t>
          </w:r>
        </w:p>
      </w:tc>
    </w:tr>
    <w:tr w:rsidR="00E46369" w:rsidRPr="00294C56" w14:paraId="6D092976" w14:textId="77777777" w:rsidTr="008A5BDF">
      <w:trPr>
        <w:trHeight w:val="431"/>
      </w:trPr>
      <w:tc>
        <w:tcPr>
          <w:tcW w:w="2551" w:type="dxa"/>
          <w:vAlign w:val="center"/>
          <w:hideMark/>
        </w:tcPr>
        <w:p w14:paraId="4DAB50F2" w14:textId="77777777" w:rsidR="00E46369" w:rsidRPr="00541CBF" w:rsidRDefault="00E46369" w:rsidP="00E46369">
          <w:pPr>
            <w:ind w:left="35" w:hanging="35"/>
            <w:rPr>
              <w:rFonts w:ascii="Palatino Linotype" w:hAnsi="Palatino Linotype"/>
              <w:b/>
              <w:sz w:val="22"/>
              <w:szCs w:val="21"/>
              <w:lang w:val="es-ES_tradnl"/>
            </w:rPr>
          </w:pPr>
          <w:r w:rsidRPr="00541CBF">
            <w:rPr>
              <w:rFonts w:ascii="Palatino Linotype" w:hAnsi="Palatino Linotype"/>
              <w:b/>
              <w:sz w:val="22"/>
              <w:szCs w:val="21"/>
              <w:lang w:val="es-ES_tradnl"/>
            </w:rPr>
            <w:t>Recurrente:</w:t>
          </w:r>
        </w:p>
      </w:tc>
      <w:tc>
        <w:tcPr>
          <w:tcW w:w="3687" w:type="dxa"/>
          <w:vAlign w:val="center"/>
          <w:hideMark/>
        </w:tcPr>
        <w:p w14:paraId="404D3579" w14:textId="7C334454" w:rsidR="00E46369" w:rsidRPr="00541CBF" w:rsidRDefault="00E46369" w:rsidP="00E46369">
          <w:pPr>
            <w:jc w:val="both"/>
            <w:rPr>
              <w:rFonts w:ascii="Palatino Linotype" w:hAnsi="Palatino Linotype"/>
              <w:b/>
              <w:sz w:val="22"/>
              <w:szCs w:val="21"/>
              <w:lang w:val="es-ES_tradnl"/>
            </w:rPr>
          </w:pPr>
        </w:p>
      </w:tc>
    </w:tr>
    <w:tr w:rsidR="00E46369" w:rsidRPr="00294C56" w14:paraId="0815F746" w14:textId="77777777" w:rsidTr="00E46369">
      <w:trPr>
        <w:trHeight w:val="228"/>
      </w:trPr>
      <w:tc>
        <w:tcPr>
          <w:tcW w:w="2551" w:type="dxa"/>
          <w:vAlign w:val="center"/>
          <w:hideMark/>
        </w:tcPr>
        <w:p w14:paraId="13889126" w14:textId="77777777" w:rsidR="00E46369" w:rsidRPr="00541CBF" w:rsidRDefault="00E46369" w:rsidP="00E46369">
          <w:pPr>
            <w:rPr>
              <w:rFonts w:ascii="Palatino Linotype" w:hAnsi="Palatino Linotype"/>
              <w:b/>
              <w:sz w:val="22"/>
              <w:szCs w:val="21"/>
              <w:lang w:val="es-ES_tradnl"/>
            </w:rPr>
          </w:pPr>
          <w:r w:rsidRPr="00541CBF">
            <w:rPr>
              <w:rFonts w:ascii="Palatino Linotype" w:hAnsi="Palatino Linotype"/>
              <w:b/>
              <w:sz w:val="22"/>
              <w:szCs w:val="21"/>
              <w:lang w:val="es-ES_tradnl"/>
            </w:rPr>
            <w:t>Sujeto obligado:</w:t>
          </w:r>
        </w:p>
      </w:tc>
      <w:tc>
        <w:tcPr>
          <w:tcW w:w="3687" w:type="dxa"/>
          <w:vAlign w:val="center"/>
          <w:hideMark/>
        </w:tcPr>
        <w:p w14:paraId="78506476" w14:textId="77777777" w:rsidR="00056AE1" w:rsidRPr="00541CBF" w:rsidRDefault="008A5BDF" w:rsidP="00E46369">
          <w:pPr>
            <w:jc w:val="both"/>
            <w:rPr>
              <w:rFonts w:ascii="Palatino Linotype" w:hAnsi="Palatino Linotype"/>
              <w:b/>
              <w:bCs/>
              <w:sz w:val="22"/>
              <w:szCs w:val="21"/>
            </w:rPr>
          </w:pPr>
          <w:r w:rsidRPr="00541CBF">
            <w:rPr>
              <w:noProof/>
              <w:sz w:val="22"/>
              <w:lang w:eastAsia="es-MX"/>
            </w:rPr>
            <w:drawing>
              <wp:anchor distT="0" distB="0" distL="114300" distR="114300" simplePos="0" relativeHeight="251660288" behindDoc="1" locked="0" layoutInCell="1" allowOverlap="1" wp14:anchorId="29959A34" wp14:editId="063F9801">
                <wp:simplePos x="0" y="0"/>
                <wp:positionH relativeFrom="page">
                  <wp:posOffset>-4543425</wp:posOffset>
                </wp:positionH>
                <wp:positionV relativeFrom="paragraph">
                  <wp:posOffset>-1029335</wp:posOffset>
                </wp:positionV>
                <wp:extent cx="7635240" cy="994283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sidR="00056AE1" w:rsidRPr="00541CBF">
            <w:rPr>
              <w:rFonts w:ascii="Palatino Linotype" w:hAnsi="Palatino Linotype"/>
              <w:b/>
              <w:bCs/>
              <w:sz w:val="22"/>
              <w:szCs w:val="21"/>
            </w:rPr>
            <w:t xml:space="preserve">Universidad Autónoma del </w:t>
          </w:r>
        </w:p>
        <w:p w14:paraId="79352D40" w14:textId="3F2AE865" w:rsidR="00E46369" w:rsidRPr="00541CBF" w:rsidRDefault="00056AE1" w:rsidP="00E46369">
          <w:pPr>
            <w:jc w:val="both"/>
            <w:rPr>
              <w:rFonts w:ascii="Palatino Linotype" w:hAnsi="Palatino Linotype"/>
              <w:b/>
              <w:sz w:val="22"/>
              <w:szCs w:val="21"/>
              <w:lang w:val="es-ES_tradnl"/>
            </w:rPr>
          </w:pPr>
          <w:r w:rsidRPr="00541CBF">
            <w:rPr>
              <w:rFonts w:ascii="Palatino Linotype" w:hAnsi="Palatino Linotype"/>
              <w:b/>
              <w:bCs/>
              <w:sz w:val="22"/>
              <w:szCs w:val="21"/>
            </w:rPr>
            <w:t>Estado de México</w:t>
          </w:r>
        </w:p>
      </w:tc>
    </w:tr>
    <w:tr w:rsidR="00E46369" w:rsidRPr="00294C56" w14:paraId="4ABEE419" w14:textId="77777777" w:rsidTr="00E46369">
      <w:tc>
        <w:tcPr>
          <w:tcW w:w="2551" w:type="dxa"/>
          <w:vAlign w:val="center"/>
          <w:hideMark/>
        </w:tcPr>
        <w:p w14:paraId="4DBBF831" w14:textId="20264929" w:rsidR="00E46369" w:rsidRPr="00541CBF" w:rsidRDefault="00056AE1" w:rsidP="00E46369">
          <w:pPr>
            <w:rPr>
              <w:rFonts w:ascii="Palatino Linotype" w:hAnsi="Palatino Linotype"/>
              <w:b/>
              <w:sz w:val="22"/>
              <w:szCs w:val="21"/>
              <w:lang w:val="es-ES_tradnl"/>
            </w:rPr>
          </w:pPr>
          <w:r w:rsidRPr="00541CBF">
            <w:rPr>
              <w:rFonts w:ascii="Palatino Linotype" w:hAnsi="Palatino Linotype"/>
              <w:b/>
              <w:sz w:val="22"/>
              <w:szCs w:val="21"/>
              <w:lang w:val="es-ES_tradnl"/>
            </w:rPr>
            <w:t>Comisionada</w:t>
          </w:r>
          <w:r w:rsidR="00E46369" w:rsidRPr="00541CBF">
            <w:rPr>
              <w:rFonts w:ascii="Palatino Linotype" w:hAnsi="Palatino Linotype"/>
              <w:b/>
              <w:sz w:val="22"/>
              <w:szCs w:val="21"/>
              <w:lang w:val="es-ES_tradnl"/>
            </w:rPr>
            <w:t xml:space="preserve"> ponente:</w:t>
          </w:r>
        </w:p>
      </w:tc>
      <w:tc>
        <w:tcPr>
          <w:tcW w:w="3687" w:type="dxa"/>
          <w:vAlign w:val="center"/>
          <w:hideMark/>
        </w:tcPr>
        <w:p w14:paraId="3F2D5FBE" w14:textId="12803E56" w:rsidR="00E46369" w:rsidRPr="00541CBF" w:rsidRDefault="00056AE1" w:rsidP="00E46369">
          <w:pPr>
            <w:ind w:right="-533"/>
            <w:jc w:val="both"/>
            <w:rPr>
              <w:rFonts w:ascii="Palatino Linotype" w:hAnsi="Palatino Linotype"/>
              <w:b/>
              <w:sz w:val="22"/>
              <w:szCs w:val="21"/>
              <w:lang w:val="es-ES_tradnl"/>
            </w:rPr>
          </w:pPr>
          <w:r w:rsidRPr="00541CBF">
            <w:rPr>
              <w:rFonts w:ascii="Palatino Linotype" w:hAnsi="Palatino Linotype"/>
              <w:b/>
              <w:sz w:val="22"/>
              <w:szCs w:val="21"/>
              <w:lang w:val="es-ES_tradnl"/>
            </w:rPr>
            <w:t>Guadalupe Ramírez Peña</w:t>
          </w:r>
        </w:p>
      </w:tc>
    </w:tr>
  </w:tbl>
  <w:p w14:paraId="18417863" w14:textId="77777777" w:rsidR="00E46369" w:rsidRDefault="00E46369" w:rsidP="00E463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B5BCB" w14:textId="77777777" w:rsidR="000C3E42" w:rsidRDefault="000C3E42" w:rsidP="00E46369">
    <w:pPr>
      <w:pStyle w:val="Encabezado"/>
      <w:jc w:val="both"/>
    </w:pPr>
    <w:r>
      <w:t xml:space="preserve">                                  </w:t>
    </w:r>
  </w:p>
  <w:p w14:paraId="44F1B73B" w14:textId="77777777" w:rsidR="000C3E42" w:rsidRDefault="000C3E42" w:rsidP="00E46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496D"/>
    <w:multiLevelType w:val="hybridMultilevel"/>
    <w:tmpl w:val="539AB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7153F5"/>
    <w:multiLevelType w:val="hybridMultilevel"/>
    <w:tmpl w:val="DE0E4724"/>
    <w:lvl w:ilvl="0" w:tplc="B1A6C1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086371"/>
    <w:multiLevelType w:val="hybridMultilevel"/>
    <w:tmpl w:val="CB980382"/>
    <w:lvl w:ilvl="0" w:tplc="FFC4CF8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876D16"/>
    <w:multiLevelType w:val="hybridMultilevel"/>
    <w:tmpl w:val="7FD6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43CC396C"/>
    <w:multiLevelType w:val="hybridMultilevel"/>
    <w:tmpl w:val="237CA58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48E1227B"/>
    <w:multiLevelType w:val="hybridMultilevel"/>
    <w:tmpl w:val="F7F063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4AAA132E"/>
    <w:multiLevelType w:val="hybridMultilevel"/>
    <w:tmpl w:val="E6669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1C377F"/>
    <w:multiLevelType w:val="hybridMultilevel"/>
    <w:tmpl w:val="9912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8C00647"/>
    <w:multiLevelType w:val="hybridMultilevel"/>
    <w:tmpl w:val="8C2A97DE"/>
    <w:lvl w:ilvl="0" w:tplc="B7E4495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AED1191"/>
    <w:multiLevelType w:val="hybridMultilevel"/>
    <w:tmpl w:val="C9D805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129220C"/>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62FA5499"/>
    <w:multiLevelType w:val="multilevel"/>
    <w:tmpl w:val="70D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C0DF4"/>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6B0B93"/>
    <w:multiLevelType w:val="hybridMultilevel"/>
    <w:tmpl w:val="95C4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817371"/>
    <w:multiLevelType w:val="hybridMultilevel"/>
    <w:tmpl w:val="9474D1C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5"/>
  </w:num>
  <w:num w:numId="2">
    <w:abstractNumId w:val="1"/>
  </w:num>
  <w:num w:numId="3">
    <w:abstractNumId w:val="9"/>
  </w:num>
  <w:num w:numId="4">
    <w:abstractNumId w:val="11"/>
  </w:num>
  <w:num w:numId="5">
    <w:abstractNumId w:val="3"/>
  </w:num>
  <w:num w:numId="6">
    <w:abstractNumId w:val="2"/>
  </w:num>
  <w:num w:numId="7">
    <w:abstractNumId w:val="0"/>
  </w:num>
  <w:num w:numId="8">
    <w:abstractNumId w:val="13"/>
  </w:num>
  <w:num w:numId="9">
    <w:abstractNumId w:val="16"/>
  </w:num>
  <w:num w:numId="10">
    <w:abstractNumId w:val="17"/>
  </w:num>
  <w:num w:numId="11">
    <w:abstractNumId w:val="5"/>
  </w:num>
  <w:num w:numId="12">
    <w:abstractNumId w:val="8"/>
  </w:num>
  <w:num w:numId="13">
    <w:abstractNumId w:val="7"/>
  </w:num>
  <w:num w:numId="14">
    <w:abstractNumId w:val="12"/>
  </w:num>
  <w:num w:numId="15">
    <w:abstractNumId w:val="6"/>
  </w:num>
  <w:num w:numId="16">
    <w:abstractNumId w:val="4"/>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98"/>
    <w:rsid w:val="0001513C"/>
    <w:rsid w:val="000509AF"/>
    <w:rsid w:val="00050CEC"/>
    <w:rsid w:val="000514B2"/>
    <w:rsid w:val="00056AE1"/>
    <w:rsid w:val="0007583A"/>
    <w:rsid w:val="00085930"/>
    <w:rsid w:val="00086D94"/>
    <w:rsid w:val="00096ABA"/>
    <w:rsid w:val="000C3E42"/>
    <w:rsid w:val="00100BA4"/>
    <w:rsid w:val="00101E7C"/>
    <w:rsid w:val="00102CB8"/>
    <w:rsid w:val="00167B6A"/>
    <w:rsid w:val="001C29A2"/>
    <w:rsid w:val="001D48D9"/>
    <w:rsid w:val="00200718"/>
    <w:rsid w:val="00211620"/>
    <w:rsid w:val="00255C71"/>
    <w:rsid w:val="00271FE2"/>
    <w:rsid w:val="00294440"/>
    <w:rsid w:val="002C4AD5"/>
    <w:rsid w:val="002D3B50"/>
    <w:rsid w:val="00342E40"/>
    <w:rsid w:val="003538A4"/>
    <w:rsid w:val="00393492"/>
    <w:rsid w:val="003E0A3E"/>
    <w:rsid w:val="003E6F6F"/>
    <w:rsid w:val="004326A0"/>
    <w:rsid w:val="0046390E"/>
    <w:rsid w:val="00467A91"/>
    <w:rsid w:val="00467CAE"/>
    <w:rsid w:val="00485BC7"/>
    <w:rsid w:val="004C760D"/>
    <w:rsid w:val="00505347"/>
    <w:rsid w:val="005176D6"/>
    <w:rsid w:val="00541CBF"/>
    <w:rsid w:val="00544B0C"/>
    <w:rsid w:val="005903D0"/>
    <w:rsid w:val="00590FC4"/>
    <w:rsid w:val="005E0CA6"/>
    <w:rsid w:val="005E2DAD"/>
    <w:rsid w:val="0060556D"/>
    <w:rsid w:val="00622BE6"/>
    <w:rsid w:val="00651F1D"/>
    <w:rsid w:val="00692CD3"/>
    <w:rsid w:val="00696CAB"/>
    <w:rsid w:val="007644BD"/>
    <w:rsid w:val="007707B4"/>
    <w:rsid w:val="007E328A"/>
    <w:rsid w:val="007F4D71"/>
    <w:rsid w:val="00802FA0"/>
    <w:rsid w:val="00806347"/>
    <w:rsid w:val="00841824"/>
    <w:rsid w:val="00876963"/>
    <w:rsid w:val="0088388C"/>
    <w:rsid w:val="008921BD"/>
    <w:rsid w:val="008A5BDF"/>
    <w:rsid w:val="008D79C0"/>
    <w:rsid w:val="008E76D7"/>
    <w:rsid w:val="00905A92"/>
    <w:rsid w:val="009200A4"/>
    <w:rsid w:val="0092322B"/>
    <w:rsid w:val="00950002"/>
    <w:rsid w:val="00961F13"/>
    <w:rsid w:val="00963DFA"/>
    <w:rsid w:val="009678AF"/>
    <w:rsid w:val="009860A3"/>
    <w:rsid w:val="00986132"/>
    <w:rsid w:val="00995216"/>
    <w:rsid w:val="009A6034"/>
    <w:rsid w:val="009B1168"/>
    <w:rsid w:val="00A1520C"/>
    <w:rsid w:val="00A52290"/>
    <w:rsid w:val="00A6266F"/>
    <w:rsid w:val="00AC0D7B"/>
    <w:rsid w:val="00AC2D98"/>
    <w:rsid w:val="00AF537B"/>
    <w:rsid w:val="00B07F66"/>
    <w:rsid w:val="00B21A6F"/>
    <w:rsid w:val="00B344BA"/>
    <w:rsid w:val="00B619C4"/>
    <w:rsid w:val="00B65E33"/>
    <w:rsid w:val="00B82BF7"/>
    <w:rsid w:val="00BA2118"/>
    <w:rsid w:val="00BA3957"/>
    <w:rsid w:val="00BC2CA8"/>
    <w:rsid w:val="00BD5405"/>
    <w:rsid w:val="00BE32C8"/>
    <w:rsid w:val="00BF1A00"/>
    <w:rsid w:val="00BF5198"/>
    <w:rsid w:val="00C3076A"/>
    <w:rsid w:val="00C93F5E"/>
    <w:rsid w:val="00CA54AC"/>
    <w:rsid w:val="00CE60CE"/>
    <w:rsid w:val="00CF1CB4"/>
    <w:rsid w:val="00D7548B"/>
    <w:rsid w:val="00DE3525"/>
    <w:rsid w:val="00DF305C"/>
    <w:rsid w:val="00E26C63"/>
    <w:rsid w:val="00E34919"/>
    <w:rsid w:val="00E46369"/>
    <w:rsid w:val="00E72A3F"/>
    <w:rsid w:val="00E85C7B"/>
    <w:rsid w:val="00F37C60"/>
    <w:rsid w:val="00F5321F"/>
    <w:rsid w:val="00F558CD"/>
    <w:rsid w:val="00F65DC4"/>
    <w:rsid w:val="00FA0BE1"/>
    <w:rsid w:val="00FA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E53"/>
  <w15:chartTrackingRefBased/>
  <w15:docId w15:val="{B33DD8E6-A4B5-4065-8F09-11EA481B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2D9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2D98"/>
    <w:rPr>
      <w:rFonts w:eastAsiaTheme="minorEastAsia"/>
      <w:sz w:val="24"/>
      <w:szCs w:val="24"/>
      <w:lang w:val="es-ES_tradnl" w:eastAsia="es-ES"/>
    </w:rPr>
  </w:style>
  <w:style w:type="paragraph" w:styleId="Piedepgina">
    <w:name w:val="footer"/>
    <w:basedOn w:val="Normal"/>
    <w:link w:val="PiedepginaCar"/>
    <w:uiPriority w:val="99"/>
    <w:unhideWhenUsed/>
    <w:rsid w:val="00AC2D9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2D9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2D9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2D98"/>
    <w:pPr>
      <w:ind w:left="708"/>
    </w:pPr>
    <w:rPr>
      <w:sz w:val="22"/>
      <w:szCs w:val="22"/>
      <w:lang w:eastAsia="en-US"/>
    </w:rPr>
  </w:style>
  <w:style w:type="table" w:styleId="Tablaconcuadrcula">
    <w:name w:val="Table Grid"/>
    <w:basedOn w:val="Tablanormal"/>
    <w:uiPriority w:val="39"/>
    <w:rsid w:val="00AC2D9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2D98"/>
  </w:style>
  <w:style w:type="character" w:customStyle="1" w:styleId="apple-converted-space">
    <w:name w:val="apple-converted-space"/>
    <w:basedOn w:val="Fuentedeprrafopredeter"/>
    <w:rsid w:val="00AC2D98"/>
  </w:style>
  <w:style w:type="character" w:styleId="Hipervnculo">
    <w:name w:val="Hyperlink"/>
    <w:basedOn w:val="Fuentedeprrafopredeter"/>
    <w:uiPriority w:val="99"/>
    <w:unhideWhenUsed/>
    <w:rsid w:val="00AC2D98"/>
    <w:rPr>
      <w:color w:val="0000FF"/>
      <w:u w:val="single"/>
    </w:rPr>
  </w:style>
  <w:style w:type="paragraph" w:styleId="NormalWeb">
    <w:name w:val="Normal (Web)"/>
    <w:basedOn w:val="Normal"/>
    <w:uiPriority w:val="99"/>
    <w:unhideWhenUsed/>
    <w:rsid w:val="00AC2D98"/>
    <w:pPr>
      <w:spacing w:before="100" w:beforeAutospacing="1" w:after="100" w:afterAutospacing="1"/>
    </w:pPr>
    <w:rPr>
      <w:lang w:eastAsia="es-MX"/>
    </w:rPr>
  </w:style>
  <w:style w:type="paragraph" w:customStyle="1" w:styleId="Default">
    <w:name w:val="Default"/>
    <w:rsid w:val="00AC2D9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D7548B"/>
    <w:pPr>
      <w:spacing w:after="0" w:line="240" w:lineRule="auto"/>
    </w:pPr>
  </w:style>
  <w:style w:type="character" w:customStyle="1" w:styleId="SinespaciadoCar">
    <w:name w:val="Sin espaciado Car"/>
    <w:aliases w:val="Francesa Car"/>
    <w:link w:val="Sinespaciado"/>
    <w:uiPriority w:val="1"/>
    <w:locked/>
    <w:rsid w:val="00D754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707B4"/>
    <w:rPr>
      <w:vertAlign w:val="superscript"/>
    </w:rPr>
  </w:style>
  <w:style w:type="paragraph" w:customStyle="1" w:styleId="ADB1">
    <w:name w:val="ADB1"/>
    <w:basedOn w:val="Normal"/>
    <w:next w:val="Textonotapie"/>
    <w:link w:val="TextonotapieCar"/>
    <w:uiPriority w:val="99"/>
    <w:unhideWhenUsed/>
    <w:qFormat/>
    <w:rsid w:val="007707B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7707B4"/>
    <w:rPr>
      <w:sz w:val="20"/>
      <w:szCs w:val="20"/>
      <w:lang w:val="es-MX"/>
    </w:rPr>
  </w:style>
  <w:style w:type="paragraph" w:styleId="Textonotapie">
    <w:name w:val="footnote text"/>
    <w:basedOn w:val="Normal"/>
    <w:link w:val="TextonotapieCar1"/>
    <w:uiPriority w:val="99"/>
    <w:semiHidden/>
    <w:unhideWhenUsed/>
    <w:rsid w:val="007707B4"/>
    <w:rPr>
      <w:sz w:val="20"/>
      <w:szCs w:val="20"/>
    </w:rPr>
  </w:style>
  <w:style w:type="character" w:customStyle="1" w:styleId="TextonotapieCar1">
    <w:name w:val="Texto nota pie Car1"/>
    <w:basedOn w:val="Fuentedeprrafopredeter"/>
    <w:link w:val="Textonotapie"/>
    <w:uiPriority w:val="99"/>
    <w:semiHidden/>
    <w:rsid w:val="007707B4"/>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88388C"/>
    <w:rPr>
      <w:sz w:val="16"/>
      <w:szCs w:val="16"/>
    </w:rPr>
  </w:style>
  <w:style w:type="paragraph" w:styleId="Textocomentario">
    <w:name w:val="annotation text"/>
    <w:basedOn w:val="Normal"/>
    <w:link w:val="TextocomentarioCar"/>
    <w:uiPriority w:val="99"/>
    <w:semiHidden/>
    <w:unhideWhenUsed/>
    <w:rsid w:val="0088388C"/>
    <w:rPr>
      <w:sz w:val="20"/>
      <w:szCs w:val="20"/>
      <w:lang w:val="es-ES"/>
    </w:rPr>
  </w:style>
  <w:style w:type="character" w:customStyle="1" w:styleId="TextocomentarioCar">
    <w:name w:val="Texto comentario Car"/>
    <w:basedOn w:val="Fuentedeprrafopredeter"/>
    <w:link w:val="Textocomentario"/>
    <w:uiPriority w:val="99"/>
    <w:semiHidden/>
    <w:rsid w:val="0088388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709">
      <w:bodyDiv w:val="1"/>
      <w:marLeft w:val="0"/>
      <w:marRight w:val="0"/>
      <w:marTop w:val="0"/>
      <w:marBottom w:val="0"/>
      <w:divBdr>
        <w:top w:val="none" w:sz="0" w:space="0" w:color="auto"/>
        <w:left w:val="none" w:sz="0" w:space="0" w:color="auto"/>
        <w:bottom w:val="none" w:sz="0" w:space="0" w:color="auto"/>
        <w:right w:val="none" w:sz="0" w:space="0" w:color="auto"/>
      </w:divBdr>
    </w:div>
    <w:div w:id="375588863">
      <w:bodyDiv w:val="1"/>
      <w:marLeft w:val="0"/>
      <w:marRight w:val="0"/>
      <w:marTop w:val="0"/>
      <w:marBottom w:val="0"/>
      <w:divBdr>
        <w:top w:val="none" w:sz="0" w:space="0" w:color="auto"/>
        <w:left w:val="none" w:sz="0" w:space="0" w:color="auto"/>
        <w:bottom w:val="none" w:sz="0" w:space="0" w:color="auto"/>
        <w:right w:val="none" w:sz="0" w:space="0" w:color="auto"/>
      </w:divBdr>
    </w:div>
    <w:div w:id="1146818342">
      <w:bodyDiv w:val="1"/>
      <w:marLeft w:val="0"/>
      <w:marRight w:val="0"/>
      <w:marTop w:val="0"/>
      <w:marBottom w:val="0"/>
      <w:divBdr>
        <w:top w:val="none" w:sz="0" w:space="0" w:color="auto"/>
        <w:left w:val="none" w:sz="0" w:space="0" w:color="auto"/>
        <w:bottom w:val="none" w:sz="0" w:space="0" w:color="auto"/>
        <w:right w:val="none" w:sz="0" w:space="0" w:color="auto"/>
      </w:divBdr>
    </w:div>
    <w:div w:id="1147284913">
      <w:bodyDiv w:val="1"/>
      <w:marLeft w:val="0"/>
      <w:marRight w:val="0"/>
      <w:marTop w:val="0"/>
      <w:marBottom w:val="0"/>
      <w:divBdr>
        <w:top w:val="none" w:sz="0" w:space="0" w:color="auto"/>
        <w:left w:val="none" w:sz="0" w:space="0" w:color="auto"/>
        <w:bottom w:val="none" w:sz="0" w:space="0" w:color="auto"/>
        <w:right w:val="none" w:sz="0" w:space="0" w:color="auto"/>
      </w:divBdr>
    </w:div>
    <w:div w:id="1320111227">
      <w:bodyDiv w:val="1"/>
      <w:marLeft w:val="0"/>
      <w:marRight w:val="0"/>
      <w:marTop w:val="0"/>
      <w:marBottom w:val="0"/>
      <w:divBdr>
        <w:top w:val="none" w:sz="0" w:space="0" w:color="auto"/>
        <w:left w:val="none" w:sz="0" w:space="0" w:color="auto"/>
        <w:bottom w:val="none" w:sz="0" w:space="0" w:color="auto"/>
        <w:right w:val="none" w:sz="0" w:space="0" w:color="auto"/>
      </w:divBdr>
    </w:div>
    <w:div w:id="14583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6988</Words>
  <Characters>38434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USUARIO</cp:lastModifiedBy>
  <cp:revision>2</cp:revision>
  <dcterms:created xsi:type="dcterms:W3CDTF">2021-10-01T14:36:00Z</dcterms:created>
  <dcterms:modified xsi:type="dcterms:W3CDTF">2021-10-01T14:36:00Z</dcterms:modified>
</cp:coreProperties>
</file>