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Índice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ANTECEDENTES</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CONSIDERANDO</w:t>
              <w:tab/>
              <w:t xml:space="preserve">6</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De la competencia</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la oportunidad y procedencia.</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Planteamiento de la Litis.</w:t>
              <w:tab/>
              <w:t xml:space="preserve">8</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Estudio y resolución del asunto</w:t>
              <w:tab/>
              <w:t xml:space="preserve">9</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Dictamen Único de Factibilidad.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 Plus petitio.</w:t>
            </w:r>
          </w:hyperlink>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 DECISIÓN.</w:t>
              <w:tab/>
              <w:t xml:space="preserve">20</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48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O L U T I V O S</w:t>
              <w:tab/>
              <w:t xml:space="preserve">21</w:t>
            </w:r>
          </w:hyperlink>
          <w:r w:rsidDel="00000000" w:rsidR="00000000" w:rsidRPr="00000000">
            <w:rPr>
              <w:rtl w:val="0"/>
            </w:rPr>
          </w:r>
        </w:p>
        <w:p w:rsidR="00000000" w:rsidDel="00000000" w:rsidP="00000000" w:rsidRDefault="00000000" w:rsidRPr="00000000" w14:paraId="0000000E">
          <w:pPr>
            <w:spacing w:line="48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uno</w:t>
      </w:r>
      <w:r w:rsidDel="00000000" w:rsidR="00000000" w:rsidRPr="00000000">
        <w:rPr>
          <w:rFonts w:ascii="Palatino Linotype" w:cs="Palatino Linotype" w:eastAsia="Palatino Linotype" w:hAnsi="Palatino Linotype"/>
          <w:sz w:val="24"/>
          <w:szCs w:val="24"/>
          <w:highlight w:val="yellow"/>
          <w:rtl w:val="0"/>
        </w:rPr>
        <w:t xml:space="preserve"> (1) de septiembre de dos mil veintiuno.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VISTO 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expediente electrónico formado con motivo del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03613/INFOEM/IP/RR/2021,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promovido por </w:t>
      </w:r>
      <w:r w:rsidDel="00000000" w:rsidR="00000000" w:rsidRPr="00000000">
        <w:rPr>
          <w:rFonts w:ascii="Palatino Linotype" w:cs="Palatino Linotype" w:eastAsia="Palatino Linotype" w:hAnsi="Palatino Linotype"/>
          <w:b w:val="1"/>
          <w:sz w:val="24"/>
          <w:szCs w:val="24"/>
          <w:rtl w:val="0"/>
        </w:rPr>
        <w:t xml:space="preserve">XXXXXXXXXXXXXXXXXXXX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su calidad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contra de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Secretaría de Obra Pública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 sucesivo 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procede a dictar la presente resolución, con base en los siguientes:</w:t>
      </w:r>
    </w:p>
    <w:p w:rsidR="00000000" w:rsidDel="00000000" w:rsidP="00000000" w:rsidRDefault="00000000" w:rsidRPr="00000000" w14:paraId="00000014">
      <w:pPr>
        <w:pStyle w:val="Heading1"/>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ANTECEDENTES</w:t>
      </w:r>
    </w:p>
    <w:p w:rsidR="00000000" w:rsidDel="00000000" w:rsidP="00000000" w:rsidRDefault="00000000" w:rsidRPr="00000000" w14:paraId="00000015">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dieciséis (16) de junio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presentó</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Sistema de Acceso a la Información Mexiquense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solicitud de información pública registrada con el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00199/SOPEM/IP/2021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mediante la cual solicitó lo siguiente: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el dictamen único de factibilidad del proyecto ejecutivo presentado por la empresa denominada Corporativo Tembo S.A de C.V. del conjunto residencial urbano el Fenix IV (Fenix Cuatro) ubicado en San Mateo Atenco - Estado de México, Colonia Barrio de San Francisco, código postal 52104” (Sic)</w:t>
      </w:r>
    </w:p>
    <w:p w:rsidR="00000000" w:rsidDel="00000000" w:rsidP="00000000" w:rsidRDefault="00000000" w:rsidRPr="00000000" w14:paraId="00000019">
      <w:pPr>
        <w:ind w:right="567"/>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modalidad de entrega de la información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veintitrés (23) de junio de dos mil veintiuno,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dio respuesta a la solicitud de información, en los siguientes términos: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“Metepec, México a 23 de Junio de 2021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Nombre del solicitante: </w:t>
      </w:r>
      <w:r w:rsidDel="00000000" w:rsidR="00000000" w:rsidRPr="00000000">
        <w:rPr>
          <w:rFonts w:ascii="Palatino Linotype" w:cs="Palatino Linotype" w:eastAsia="Palatino Linotype" w:hAnsi="Palatino Linotype"/>
          <w:i w:val="1"/>
          <w:sz w:val="22"/>
          <w:szCs w:val="22"/>
          <w:rtl w:val="0"/>
        </w:rPr>
        <w:t xml:space="preserve">XXXXXXXXXXXXXXXXXXXX</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Folio de la solicitud: 00199/SOPEM/IP/2021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Sobre el particular, sírvase encontrar en archivo adjunto copia del oficio número SEDUO-CI-0689/2021, de fecha 23 de junio de 2021, mediante el cual se detalla lo referente a su solicitud.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ATENTAMENTE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Lic. Nandllely Karen Torres Torres” (sic)</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567"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UT 199-21.pdf: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Contiene el oficio número SEDUO-CI-0689/2021, suscrito por el Titular de la Unidad de la Unidad de Transparencia mediante el cual refiere que, se realizó una búsqueda exhaustiva y razonable en los Archivos de la Comisión de Impacto Estatal, encontrándose, hasta la fecha, no se ha emitido ningún Dictamen Único de Factibilidad que contenga los datos precisados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tres (3) de julio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interpuso el recurso de revisión, en contra de la respuesta y, señaló como:</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es posible qué un proyecto de construcción tan grande y con tantas viviendas no cuente con el dictamen único de factibilidad y si así es el caso solicito sea informado y documentado para solicitar la verificación, supervisión e inspección del conjunto residencial urbano el Fenix IV (cuatro) ubicado en San Mateo Atenco - Estado de México, Colonia Barrio de San Francisco, código postal 52104.</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 y,</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r w:rsidDel="00000000" w:rsidR="00000000" w:rsidRPr="00000000">
        <w:rPr>
          <w:rFonts w:ascii="Palatino Linotype" w:cs="Palatino Linotype" w:eastAsia="Palatino Linotype" w:hAnsi="Palatino Linotype"/>
          <w:b w:val="1"/>
          <w:i w:val="1"/>
          <w:smallCaps w:val="0"/>
          <w:strike w:val="0"/>
          <w:color w:val="2f549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el propósito de dar certeza jurídica y orden a las inversiones en el Estado de México es necesario e importante la evaluación de los proyectos y que sean avalados los dictamenes de impacto en materia de desarrollo urbano, protección civil, medio ambiente, comunicaciones, movilidad, agua, drenaje, alcantarilado y tratamiento de aguas residuales, previo análisis normativo multidisciplinario, según corresponda, cuya finalidad es determinar la factibilidad de proyectos nuevos, ampliaciones o actualizaciones, qué por uso o aprovechamiento de suelo generen efectos en la infraestructura, el equipamiento urbano, servicios públicos, en el entorno ambiental o protección civil, en los términos de las disposiciones jurídicas aplicables. No es posible qué un proyecto de construcción tan grande y con tantas viviendas no cuente con el dictamen único de factibilidad y si así es el caso solicito sea informado y documentado para solicitar la verificación, supervisión e inspección del conjunto residencial urbano el Fenix IV (cuatro) ubicado en San Mateo Atenco - Estado de México, Colonia Barrio de San Francisco, código postal 52104. Se solicita el proyecto ejecutivo presentado y autorizado a la empresa Corporativo Tembo S.A de C.V. del conjunto residencial urbano el Fenix IV (cuatro) ubicado en San Mateo Atenco - Estado de México, Colonia Barrio de San Francisco, código postal 52104 en donde se incluya los planos de relotificación y los permisos correspondientes.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(Sic)</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asimismo con fundamento en lo dispuesto por el artículo 185 fracción I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turnó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Eva Abaid Yapur,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el objeto de su análisis.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Comisionado Ponente con fundamento en lo dispuesto por el artículo 185 fracción II de la ley de la materia, a través del acuerdo de admisión de fecha ocho (8) de julio de dos mil veintiuno, puso a disposición de las partes el expediente electrónico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efecto de que en un plazo máximo de siete días manifestaran lo que a derecho convinieran,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presentara el informe justificado procedente.</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obran en el expediente electrónico del SAIMEX se aprecia que el Sujeto Obligado en fecha dos (2) de agosto de dos mil veintiuno, remitió los documentos denominados ANEXO II OF. 3091.pdf; ANEXO I OF. 2708.pdf; I. J. SOL. 199.pdf, los cuales , se pusieron a la vista del Recurrente; sin embargo su contenido medular es el siguiente: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I.J. SOL. 199.pdf:</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Documento suscrito por la Titular de la Unidad de Transparencia, mediante el cual refiere que la Comisión de Impacto Estatal tiene la facultad de emitir la Evaluación de Impacto Estatal; sin embargo, se emite a petición del interesado previa solicitud.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Palatino Linotype" w:cs="Palatino Linotype" w:eastAsia="Palatino Linotype" w:hAnsi="Palatino Linotype"/>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ANEXO II OF.3091.pdf:</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Oficio 224B02010-003091/2021 mediante el cual refieren que los motivos o razones de inconformidad son inoperantes porque no se ha emitido ningún dictamen de factibilidad que contenga los datos precisados, si bien, se tiene la obligación de emitirlos, también lo es que es a petición de parte, cumpliendo los requisitos para tal efecto.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ANEXO I OF.2708.pdf:</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Oficio 224B02010-002708/2021 suscrito por la Directora General de la Comisión de Impacto Estatal mediante el cual refiere que a la fecha no se ha emitido ningún dictamen de factibilidad que contenga los datos precisados.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diez (10) de agosto de dos mil veintiuno, el Comisionado Ponente decretó el cierre de instrucción.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veintiséis (26) de agosto de dos mil veintiuno, se amplió el plazo para resolver el recurso de revisión, por un periodo de 15 días hábiles.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 y - - - - - - - - - - - - - - - - - - - - - - - - - - - - - - - - - - - -- - - - - -- - - - -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pStyle w:val="Heading1"/>
        <w:jc w:val="center"/>
        <w:rPr>
          <w:rFonts w:ascii="Palatino Linotype" w:cs="Palatino Linotype" w:eastAsia="Palatino Linotype" w:hAnsi="Palatino Linotype"/>
          <w:b w:val="1"/>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color w:val="000000"/>
          <w:sz w:val="24"/>
          <w:szCs w:val="24"/>
          <w:rtl w:val="0"/>
        </w:rPr>
        <w:t xml:space="preserve">CONSIDERANDO </w:t>
      </w:r>
      <w:r w:rsidDel="00000000" w:rsidR="00000000" w:rsidRPr="00000000">
        <w:rPr>
          <w:rtl w:val="0"/>
        </w:rPr>
      </w:r>
    </w:p>
    <w:p w:rsidR="00000000" w:rsidDel="00000000" w:rsidP="00000000" w:rsidRDefault="00000000" w:rsidRPr="00000000" w14:paraId="00000042">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pStyle w:val="Heading2"/>
        <w:rPr>
          <w:rFonts w:ascii="Palatino Linotype" w:cs="Palatino Linotype" w:eastAsia="Palatino Linotype" w:hAnsi="Palatino Linotype"/>
          <w:b w:val="1"/>
          <w:color w:val="000000"/>
          <w:sz w:val="24"/>
          <w:szCs w:val="24"/>
        </w:rPr>
      </w:pPr>
      <w:bookmarkStart w:colFirst="0" w:colLast="0" w:name="_heading=h.3znysh7" w:id="3"/>
      <w:bookmarkEnd w:id="3"/>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5, párrafos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vigésimo noveno, trigésimo y trigésimo primero fracciones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IV y V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del Estado Libre y Soberano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artículos 1, 2 fracción II, 13, 29, 36 fracciones I y II, 176, 178, 179, 181 párrafo tercero y 185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7, 9 fracciones I y XXIV, y 11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Reglamento Interior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00000" w:rsidDel="00000000" w:rsidP="00000000" w:rsidRDefault="00000000" w:rsidRPr="00000000" w14:paraId="00000047">
      <w:pPr>
        <w:pStyle w:val="Heading2"/>
        <w:rPr>
          <w:rFonts w:ascii="Palatino Linotype" w:cs="Palatino Linotype" w:eastAsia="Palatino Linotype" w:hAnsi="Palatino Linotype"/>
          <w:b w:val="1"/>
          <w:color w:val="000000"/>
          <w:sz w:val="24"/>
          <w:szCs w:val="24"/>
        </w:rPr>
      </w:pPr>
      <w:bookmarkStart w:colFirst="0" w:colLast="0" w:name="_heading=h.2et92p0" w:id="4"/>
      <w:bookmarkEnd w:id="4"/>
      <w:r w:rsidDel="00000000" w:rsidR="00000000" w:rsidRPr="00000000">
        <w:rPr>
          <w:rFonts w:ascii="Palatino Linotype" w:cs="Palatino Linotype" w:eastAsia="Palatino Linotype" w:hAnsi="Palatino Linotype"/>
          <w:b w:val="1"/>
          <w:color w:val="000000"/>
          <w:sz w:val="24"/>
          <w:szCs w:val="24"/>
          <w:rtl w:val="0"/>
        </w:rPr>
        <w:t xml:space="preserve">SEGUNDO. De la oportunidad y procedencia.</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siendo así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respuesta a la solicitud el veintitrés (23) de junio de dos mil veintiuno, de tal forma que el plazo para interponer el recurso de revisión transcurrió del veinticuatro (24) de junio al catorce (14) de julio de dos mil veintiuno; en consecuencia, presentó su inconformidad el día tres (3) de julio de dos mil veintiuno, por lo que se encuentra dentro de los márgenes temporales previstos en el artículo 178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vigente.</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4B">
      <w:pPr>
        <w:pStyle w:val="Heading1"/>
        <w:rPr>
          <w:rFonts w:ascii="Palatino Linotype" w:cs="Palatino Linotype" w:eastAsia="Palatino Linotype" w:hAnsi="Palatino Linotype"/>
          <w:b w:val="1"/>
          <w:color w:val="000000"/>
          <w:sz w:val="24"/>
          <w:szCs w:val="24"/>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sz w:val="24"/>
          <w:szCs w:val="24"/>
          <w:rtl w:val="0"/>
        </w:rPr>
        <w:t xml:space="preserve">TERCERO. Planteamiento de la Litis. </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solicitó lo siguiente: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Dictamen único de factibilidad del proyecto ejecutivo presentado por la empresa denominada Corporativo Tembo S.A de C.V del Conjunto Residencial Urbano el Fenix IV, ubicado en San Mateo Atenco.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manifestó que no se ha emitido ningún dictamen único de factibilidad con los datos proporcionados.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se inconformó por la inexistencia de la información.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en este recurso de revisión se analizará si se actualiza la causal de procedencia de las fracciones I y III del artículo 179 de la Ley de Transparencia y Acceso a la Información Pública del Estado de México y Municipios, relativos a la negativa y la inexistencia de la información.</w:t>
      </w:r>
    </w:p>
    <w:p w:rsidR="00000000" w:rsidDel="00000000" w:rsidP="00000000" w:rsidRDefault="00000000" w:rsidRPr="00000000" w14:paraId="00000055">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pStyle w:val="Heading1"/>
        <w:spacing w:before="0" w:line="360" w:lineRule="auto"/>
        <w:rPr>
          <w:rFonts w:ascii="Palatino Linotype" w:cs="Palatino Linotype" w:eastAsia="Palatino Linotype" w:hAnsi="Palatino Linotype"/>
          <w:b w:val="1"/>
          <w:sz w:val="24"/>
          <w:szCs w:val="24"/>
        </w:rPr>
      </w:pPr>
      <w:bookmarkStart w:colFirst="0" w:colLast="0" w:name="_heading=h.1t3h5sf" w:id="7"/>
      <w:bookmarkEnd w:id="7"/>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w:t>
      </w:r>
      <w:r w:rsidDel="00000000" w:rsidR="00000000" w:rsidRPr="00000000">
        <w:rPr>
          <w:rtl w:val="0"/>
        </w:rPr>
      </w:r>
    </w:p>
    <w:p w:rsidR="00000000" w:rsidDel="00000000" w:rsidP="00000000" w:rsidRDefault="00000000" w:rsidRPr="00000000" w14:paraId="0000005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pStyle w:val="Heading2"/>
        <w:numPr>
          <w:ilvl w:val="0"/>
          <w:numId w:val="2"/>
        </w:numPr>
        <w:ind w:left="0" w:firstLine="0"/>
        <w:rPr>
          <w:rFonts w:ascii="Palatino Linotype" w:cs="Palatino Linotype" w:eastAsia="Palatino Linotype" w:hAnsi="Palatino Linotype"/>
          <w:b w:val="1"/>
          <w:color w:val="000000"/>
          <w:sz w:val="24"/>
          <w:szCs w:val="24"/>
        </w:rPr>
      </w:pPr>
      <w:bookmarkStart w:colFirst="0" w:colLast="0" w:name="_heading=h.4d34og8" w:id="8"/>
      <w:bookmarkEnd w:id="8"/>
      <w:r w:rsidDel="00000000" w:rsidR="00000000" w:rsidRPr="00000000">
        <w:rPr>
          <w:rFonts w:ascii="Palatino Linotype" w:cs="Palatino Linotype" w:eastAsia="Palatino Linotype" w:hAnsi="Palatino Linotype"/>
          <w:b w:val="1"/>
          <w:color w:val="000000"/>
          <w:sz w:val="24"/>
          <w:szCs w:val="24"/>
          <w:rtl w:val="0"/>
        </w:rPr>
        <w:t xml:space="preserve">Del Dictamen Único de Factibilidad.</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mediante su respuesta manifestó que no ha emitido ningún dictamen único de factibilidad con los datos proporcionados por el Recurrente.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Inconforme con dicha determinación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presentó el medio de impugnación en estudio doliéndose por lo siguiente:</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caso de que no se cuente con el Dictamen único de Factibilidad, solicito sea informado y documentado para solicitar la verificación, supervisión e inspección del conjunto;</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solicita el proyecto ejecutivo presentado y autorizado a la empresa, donde se incluya los planos de relotificación y los permisos correspondientes.</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mediante su informe justificado refirió que no ha emitido ningún dictamen único de factibilidad con los datos proporcionados en la solicitud, asimismo, refirió que lo plasmado en los motivos o razones de inconformidad configuran una petición adicional.</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principio de cuentas, debemos precisar lo que la Comisión de Impacto Estatal establece en la página oficial respecto del Dictamen Único de Factibilidad, siendo lo siguiente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“Con el propósito de seguir dando certeza jurídica y orden a las inversiones en el Estado de México, así como facilitar los trámites para su instalación,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el DUF desaparece para dar paso a la Evaluación de Impacto Estatal emitida por la Comisión de Impacto Estatal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y al Dictamen de Giro, emitido por los Gobiernos municipales. Así se determinó en el Decreto número 230, publicado en Periódico Oficial “Gaceta del Gobierno” en fecha 05 de enero de 2021, el cual entró en vigor el 07 de enero de 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el dictamen único de factibilidad a partir del siete de enero de dos mil veintiuno, pasó a ver la Evaluación de Impacto Estatal.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Ley de la Comisión de Impacto Estatal establece, en el artículo 2, fracción III, que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Evaluación de Impacto estatal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es el documento de carácter permanente emitido por la Comisión de Impacto Estatal, sustentado en una o más evaluaciones técnicas de impacto en materias de desarrollo urbano protección civil, medio ambiente, comunicaciones, movilidad, agua, drenaje, alcantarillado y tratamiento de aguas residuales, previo análisis normativo multidisciplinario, según corresponda, cuya finalidad es determinar la factibilidad de proyectos nuevos, ampliaciones o actualizaciones, que por el uso o aprovechamiento del suelo generen efectos en la infraestructura, el equipamiento urbano, servicios públicos, en el entorno ambiental o protección civil, en términos de las disposiciones jurídicas aplicables.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el Capítulo II establece lo siguiente:</w:t>
      </w:r>
    </w:p>
    <w:p w:rsidR="00000000" w:rsidDel="00000000" w:rsidP="00000000" w:rsidRDefault="00000000" w:rsidRPr="00000000" w14:paraId="00000065">
      <w:pPr>
        <w:spacing w:line="360" w:lineRule="auto"/>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Capítulo II</w:t>
      </w:r>
    </w:p>
    <w:p w:rsidR="00000000" w:rsidDel="00000000" w:rsidP="00000000" w:rsidRDefault="00000000" w:rsidRPr="00000000" w14:paraId="00000066">
      <w:pPr>
        <w:spacing w:line="360" w:lineRule="auto"/>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De las Atribuciones de la</w:t>
      </w:r>
    </w:p>
    <w:p w:rsidR="00000000" w:rsidDel="00000000" w:rsidP="00000000" w:rsidRDefault="00000000" w:rsidRPr="00000000" w14:paraId="00000067">
      <w:pPr>
        <w:spacing w:line="360" w:lineRule="auto"/>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Comisión de Impacto Estatal</w:t>
      </w:r>
    </w:p>
    <w:p w:rsidR="00000000" w:rsidDel="00000000" w:rsidP="00000000" w:rsidRDefault="00000000" w:rsidRPr="00000000" w14:paraId="00000068">
      <w:pPr>
        <w:spacing w:line="360" w:lineRule="auto"/>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9">
      <w:pPr>
        <w:spacing w:line="360" w:lineRule="auto"/>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La Comisión tendrá las atribuciones siguientes:</w:t>
      </w:r>
    </w:p>
    <w:p w:rsidR="00000000" w:rsidDel="00000000" w:rsidP="00000000" w:rsidRDefault="00000000" w:rsidRPr="00000000" w14:paraId="0000006A">
      <w:pPr>
        <w:spacing w:line="360" w:lineRule="auto"/>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B">
      <w:pPr>
        <w:spacing w:line="360" w:lineRule="auto"/>
        <w:ind w:left="567" w:right="899" w:firstLine="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2"/>
          <w:szCs w:val="22"/>
          <w:rtl w:val="0"/>
        </w:rPr>
        <w:t xml:space="preserve">I.</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Atender y resolver</w:t>
      </w:r>
      <w:r w:rsidDel="00000000" w:rsidR="00000000" w:rsidRPr="00000000">
        <w:rPr>
          <w:rFonts w:ascii="Palatino Linotype" w:cs="Palatino Linotype" w:eastAsia="Palatino Linotype" w:hAnsi="Palatino Linotype"/>
          <w:i w:val="1"/>
          <w:color w:val="000000"/>
          <w:sz w:val="22"/>
          <w:szCs w:val="22"/>
          <w:rtl w:val="0"/>
        </w:rPr>
        <w:t xml:space="preserve"> de manera permanente e integral y en los tiempos establecidos en las disposiciones jurídicas aplicables, </w:t>
      </w:r>
      <w:r w:rsidDel="00000000" w:rsidR="00000000" w:rsidRPr="00000000">
        <w:rPr>
          <w:rFonts w:ascii="Palatino Linotype" w:cs="Palatino Linotype" w:eastAsia="Palatino Linotype" w:hAnsi="Palatino Linotype"/>
          <w:b w:val="1"/>
          <w:i w:val="1"/>
          <w:color w:val="000000"/>
          <w:sz w:val="22"/>
          <w:szCs w:val="22"/>
          <w:rtl w:val="0"/>
        </w:rPr>
        <w:t xml:space="preserve">las solicitudes de Evaluación de Impacto Estata</w:t>
      </w:r>
      <w:r w:rsidDel="00000000" w:rsidR="00000000" w:rsidRPr="00000000">
        <w:rPr>
          <w:rFonts w:ascii="Palatino Linotype" w:cs="Palatino Linotype" w:eastAsia="Palatino Linotype" w:hAnsi="Palatino Linotype"/>
          <w:i w:val="1"/>
          <w:color w:val="000000"/>
          <w:sz w:val="22"/>
          <w:szCs w:val="22"/>
          <w:rtl w:val="0"/>
        </w:rPr>
        <w:t xml:space="preserve">l y demás trámites de su competencia, incluidos los realizados mediante el uso de plataformas tecnológicas, </w:t>
      </w:r>
      <w:r w:rsidDel="00000000" w:rsidR="00000000" w:rsidRPr="00000000">
        <w:rPr>
          <w:rFonts w:ascii="Palatino Linotype" w:cs="Palatino Linotype" w:eastAsia="Palatino Linotype" w:hAnsi="Palatino Linotype"/>
          <w:b w:val="1"/>
          <w:i w:val="1"/>
          <w:color w:val="000000"/>
          <w:sz w:val="22"/>
          <w:szCs w:val="22"/>
          <w:rtl w:val="0"/>
        </w:rPr>
        <w:t xml:space="preserve">presentadas por las personas físicas o jurídicas colectivas, dictaminando sobre su procedencia o improcedencia, a través de la resolución correspondiente;</w:t>
      </w:r>
      <w:r w:rsidDel="00000000" w:rsidR="00000000" w:rsidRPr="00000000">
        <w:rPr>
          <w:rtl w:val="0"/>
        </w:rPr>
      </w:r>
    </w:p>
    <w:p w:rsidR="00000000" w:rsidDel="00000000" w:rsidP="00000000" w:rsidRDefault="00000000" w:rsidRPr="00000000" w14:paraId="0000006C">
      <w:pPr>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6D">
      <w:pPr>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corresponde a la Comisión de Impacto Estatal atender y resolver las solicitudes de Evaluación de Impacto Estatal presentadas por las personas físicas o jurídicas colectivas.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Título III del mismo ordenamiento legal, establece lo siguiente:</w:t>
      </w:r>
    </w:p>
    <w:p w:rsidR="00000000" w:rsidDel="00000000" w:rsidP="00000000" w:rsidRDefault="00000000" w:rsidRPr="00000000" w14:paraId="00000071">
      <w:pPr>
        <w:spacing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72">
      <w:pPr>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Título III</w:t>
      </w:r>
    </w:p>
    <w:p w:rsidR="00000000" w:rsidDel="00000000" w:rsidP="00000000" w:rsidRDefault="00000000" w:rsidRPr="00000000" w14:paraId="00000073">
      <w:pPr>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Del Trámite de</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la Evaluación de Impacto Estatal</w:t>
      </w:r>
    </w:p>
    <w:p w:rsidR="00000000" w:rsidDel="00000000" w:rsidP="00000000" w:rsidRDefault="00000000" w:rsidRPr="00000000" w14:paraId="00000074">
      <w:pPr>
        <w:ind w:left="567" w:right="899" w:firstLine="0"/>
        <w:jc w:val="center"/>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75">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13.</w:t>
      </w:r>
      <w:r w:rsidDel="00000000" w:rsidR="00000000" w:rsidRPr="00000000">
        <w:rPr>
          <w:rFonts w:ascii="Palatino Linotype" w:cs="Palatino Linotype" w:eastAsia="Palatino Linotype" w:hAnsi="Palatino Linotype"/>
          <w:i w:val="1"/>
          <w:color w:val="000000"/>
          <w:sz w:val="22"/>
          <w:szCs w:val="22"/>
          <w:rtl w:val="0"/>
        </w:rPr>
        <w:t xml:space="preserve"> Las y los interesados en obtener la Evaluación de Impacto Estatal deberán presentar su solicitud firmada autógrafa o electrónicamente ante las oficinas de la Comisión o en las ventanillas de gestión, con la exhibición de los requisitos generales y específicos previstos en las disposiciones jurídicas aplicables y previo cotejo de los mismos, se colocará el sello de acuse respectivo.</w:t>
      </w:r>
    </w:p>
    <w:p w:rsidR="00000000" w:rsidDel="00000000" w:rsidP="00000000" w:rsidRDefault="00000000" w:rsidRPr="00000000" w14:paraId="00000076">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7">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14.</w:t>
      </w:r>
      <w:r w:rsidDel="00000000" w:rsidR="00000000" w:rsidRPr="00000000">
        <w:rPr>
          <w:rFonts w:ascii="Palatino Linotype" w:cs="Palatino Linotype" w:eastAsia="Palatino Linotype" w:hAnsi="Palatino Linotype"/>
          <w:i w:val="1"/>
          <w:color w:val="000000"/>
          <w:sz w:val="22"/>
          <w:szCs w:val="22"/>
          <w:rtl w:val="0"/>
        </w:rPr>
        <w:t xml:space="preserve"> La solicitud de</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la Evaluación de Impacto Estatal deberá contener cuando menos:</w:t>
      </w:r>
    </w:p>
    <w:p w:rsidR="00000000" w:rsidDel="00000000" w:rsidP="00000000" w:rsidRDefault="00000000" w:rsidRPr="00000000" w14:paraId="00000078">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9">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i w:val="1"/>
          <w:color w:val="000000"/>
          <w:sz w:val="22"/>
          <w:szCs w:val="22"/>
          <w:rtl w:val="0"/>
        </w:rPr>
        <w:t xml:space="preserve">Nombre, denominación o razón social de la o el solicitante, o de quien promueva en su nombre, quien en su caso, deberá acreditar dicha representación;</w:t>
      </w:r>
    </w:p>
    <w:p w:rsidR="00000000" w:rsidDel="00000000" w:rsidP="00000000" w:rsidRDefault="00000000" w:rsidRPr="00000000" w14:paraId="0000007A">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7B">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w:t>
      </w:r>
      <w:r w:rsidDel="00000000" w:rsidR="00000000" w:rsidRPr="00000000">
        <w:rPr>
          <w:rFonts w:ascii="Palatino Linotype" w:cs="Palatino Linotype" w:eastAsia="Palatino Linotype" w:hAnsi="Palatino Linotype"/>
          <w:i w:val="1"/>
          <w:color w:val="000000"/>
          <w:sz w:val="22"/>
          <w:szCs w:val="22"/>
          <w:rtl w:val="0"/>
        </w:rPr>
        <w:t xml:space="preserve">Firma autógrafa o electrónica en su caso, de la o el solicitante o de su representante;</w:t>
      </w:r>
    </w:p>
    <w:p w:rsidR="00000000" w:rsidDel="00000000" w:rsidP="00000000" w:rsidRDefault="00000000" w:rsidRPr="00000000" w14:paraId="0000007C">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D">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i w:val="1"/>
          <w:color w:val="000000"/>
          <w:sz w:val="22"/>
          <w:szCs w:val="22"/>
          <w:rtl w:val="0"/>
        </w:rPr>
        <w:t xml:space="preserve">Domicilio para oír y recibir notificaciones en territorio del Estado de México;</w:t>
      </w:r>
    </w:p>
    <w:p w:rsidR="00000000" w:rsidDel="00000000" w:rsidP="00000000" w:rsidRDefault="00000000" w:rsidRPr="00000000" w14:paraId="0000007E">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F">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IV. </w:t>
      </w:r>
      <w:r w:rsidDel="00000000" w:rsidR="00000000" w:rsidRPr="00000000">
        <w:rPr>
          <w:rFonts w:ascii="Palatino Linotype" w:cs="Palatino Linotype" w:eastAsia="Palatino Linotype" w:hAnsi="Palatino Linotype"/>
          <w:i w:val="1"/>
          <w:color w:val="000000"/>
          <w:sz w:val="22"/>
          <w:szCs w:val="22"/>
          <w:rtl w:val="0"/>
        </w:rPr>
        <w:t xml:space="preserve">Número telefónico y dirección de correo electrónico de la o el solicitante o de quien promueva en su nombre;</w:t>
      </w:r>
    </w:p>
    <w:p w:rsidR="00000000" w:rsidDel="00000000" w:rsidP="00000000" w:rsidRDefault="00000000" w:rsidRPr="00000000" w14:paraId="00000080">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1">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Ubicación del predio o inmueble donde se pretende realizar el proyecto nuevo, ampliación o actualización;</w:t>
      </w:r>
    </w:p>
    <w:p w:rsidR="00000000" w:rsidDel="00000000" w:rsidP="00000000" w:rsidRDefault="00000000" w:rsidRPr="00000000" w14:paraId="00000082">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83">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w:t>
      </w:r>
      <w:r w:rsidDel="00000000" w:rsidR="00000000" w:rsidRPr="00000000">
        <w:rPr>
          <w:rFonts w:ascii="Palatino Linotype" w:cs="Palatino Linotype" w:eastAsia="Palatino Linotype" w:hAnsi="Palatino Linotype"/>
          <w:i w:val="1"/>
          <w:color w:val="000000"/>
          <w:sz w:val="22"/>
          <w:szCs w:val="22"/>
          <w:rtl w:val="0"/>
        </w:rPr>
        <w:t xml:space="preserve"> Descripción general del proyecto nuevo, ampliación o actualización, y</w:t>
      </w:r>
    </w:p>
    <w:p w:rsidR="00000000" w:rsidDel="00000000" w:rsidP="00000000" w:rsidRDefault="00000000" w:rsidRPr="00000000" w14:paraId="00000084">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85">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Las demás establecidas en el Reglamento que al efecto se expida.</w:t>
      </w:r>
    </w:p>
    <w:p w:rsidR="00000000" w:rsidDel="00000000" w:rsidP="00000000" w:rsidRDefault="00000000" w:rsidRPr="00000000" w14:paraId="00000086">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7">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8">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15.</w:t>
      </w:r>
      <w:r w:rsidDel="00000000" w:rsidR="00000000" w:rsidRPr="00000000">
        <w:rPr>
          <w:rFonts w:ascii="Palatino Linotype" w:cs="Palatino Linotype" w:eastAsia="Palatino Linotype" w:hAnsi="Palatino Linotype"/>
          <w:i w:val="1"/>
          <w:color w:val="000000"/>
          <w:sz w:val="22"/>
          <w:szCs w:val="22"/>
          <w:rtl w:val="0"/>
        </w:rPr>
        <w:t xml:space="preserve"> A la solicitud de</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la Evaluación de Impacto Estatal se deberá acompañar en copia, medio magnético o electrónico y en original para cotejo, la documentación siguiente:</w:t>
      </w:r>
    </w:p>
    <w:p w:rsidR="00000000" w:rsidDel="00000000" w:rsidP="00000000" w:rsidRDefault="00000000" w:rsidRPr="00000000" w14:paraId="00000089">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A">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w:t>
      </w:r>
      <w:r w:rsidDel="00000000" w:rsidR="00000000" w:rsidRPr="00000000">
        <w:rPr>
          <w:rFonts w:ascii="Palatino Linotype" w:cs="Palatino Linotype" w:eastAsia="Palatino Linotype" w:hAnsi="Palatino Linotype"/>
          <w:i w:val="1"/>
          <w:color w:val="000000"/>
          <w:sz w:val="22"/>
          <w:szCs w:val="22"/>
          <w:rtl w:val="0"/>
        </w:rPr>
        <w:t xml:space="preserve"> Identificación oficial de la o el interesado y, en su caso, de su representante legal;</w:t>
      </w:r>
    </w:p>
    <w:p w:rsidR="00000000" w:rsidDel="00000000" w:rsidP="00000000" w:rsidRDefault="00000000" w:rsidRPr="00000000" w14:paraId="0000008B">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8C">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w:t>
      </w:r>
      <w:r w:rsidDel="00000000" w:rsidR="00000000" w:rsidRPr="00000000">
        <w:rPr>
          <w:rFonts w:ascii="Palatino Linotype" w:cs="Palatino Linotype" w:eastAsia="Palatino Linotype" w:hAnsi="Palatino Linotype"/>
          <w:i w:val="1"/>
          <w:color w:val="000000"/>
          <w:sz w:val="22"/>
          <w:szCs w:val="22"/>
          <w:rtl w:val="0"/>
        </w:rPr>
        <w:t xml:space="preserve">Documento con el que acredite la personalidad, en su caso;</w:t>
      </w:r>
    </w:p>
    <w:p w:rsidR="00000000" w:rsidDel="00000000" w:rsidP="00000000" w:rsidRDefault="00000000" w:rsidRPr="00000000" w14:paraId="0000008D">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E">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i w:val="1"/>
          <w:color w:val="000000"/>
          <w:sz w:val="22"/>
          <w:szCs w:val="22"/>
          <w:rtl w:val="0"/>
        </w:rPr>
        <w:t xml:space="preserve">Acta constitutiva en el caso de personas jurídicas colectivas o del contrato respectivo, tratándose de fideicomisos, documentos que deberán estar inscritos en el Instituto de la Función Registral del Estado de México o en la instancia respectiva;</w:t>
      </w:r>
    </w:p>
    <w:p w:rsidR="00000000" w:rsidDel="00000000" w:rsidP="00000000" w:rsidRDefault="00000000" w:rsidRPr="00000000" w14:paraId="0000008F">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0">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IV.</w:t>
      </w:r>
      <w:r w:rsidDel="00000000" w:rsidR="00000000" w:rsidRPr="00000000">
        <w:rPr>
          <w:rFonts w:ascii="Palatino Linotype" w:cs="Palatino Linotype" w:eastAsia="Palatino Linotype" w:hAnsi="Palatino Linotype"/>
          <w:i w:val="1"/>
          <w:color w:val="000000"/>
          <w:sz w:val="22"/>
          <w:szCs w:val="22"/>
          <w:rtl w:val="0"/>
        </w:rPr>
        <w:t xml:space="preserve"> Documento que acredite la propiedad inscrita en el Instituto de la Función Registral del Estado de México. En el caso de propiedad social, se acreditará con los documentos previstos por la legislación agraria. En caso de posesión, con el contrato respectivo;</w:t>
      </w:r>
    </w:p>
    <w:p w:rsidR="00000000" w:rsidDel="00000000" w:rsidP="00000000" w:rsidRDefault="00000000" w:rsidRPr="00000000" w14:paraId="00000091">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2">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Registro Federal de Contribuyentes;</w:t>
      </w:r>
    </w:p>
    <w:p w:rsidR="00000000" w:rsidDel="00000000" w:rsidP="00000000" w:rsidRDefault="00000000" w:rsidRPr="00000000" w14:paraId="00000093">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4">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Croquis de localización con medidas y colindancias, y</w:t>
      </w:r>
    </w:p>
    <w:p w:rsidR="00000000" w:rsidDel="00000000" w:rsidP="00000000" w:rsidRDefault="00000000" w:rsidRPr="00000000" w14:paraId="00000095">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6">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Las demás establecidas en el Reglamento que al efecto se expida.</w:t>
      </w:r>
    </w:p>
    <w:p w:rsidR="00000000" w:rsidDel="00000000" w:rsidP="00000000" w:rsidRDefault="00000000" w:rsidRPr="00000000" w14:paraId="00000097">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8">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9">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16. </w:t>
      </w:r>
      <w:r w:rsidDel="00000000" w:rsidR="00000000" w:rsidRPr="00000000">
        <w:rPr>
          <w:rFonts w:ascii="Palatino Linotype" w:cs="Palatino Linotype" w:eastAsia="Palatino Linotype" w:hAnsi="Palatino Linotype"/>
          <w:i w:val="1"/>
          <w:color w:val="000000"/>
          <w:sz w:val="22"/>
          <w:szCs w:val="22"/>
          <w:rtl w:val="0"/>
        </w:rPr>
        <w:t xml:space="preserve">La Comisión llevará a cabo el análisis de la solicitud y documentación presentada a que se refiere el artículo anterior, dentro del término de tres días hábiles.</w:t>
      </w:r>
    </w:p>
    <w:p w:rsidR="00000000" w:rsidDel="00000000" w:rsidP="00000000" w:rsidRDefault="00000000" w:rsidRPr="00000000" w14:paraId="0000009A">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B">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 del análisis respectivo la Comisión determina que no cumple con la presentación de los requisitos establecidos en la Ley y su Reglamento, dentro del término de tres días prevendrá por única ocasión al solicitante y lo notificará para que subsane en los siguientes tres días hábiles contados a partir de que haya surtido efectos la notificación. </w:t>
      </w:r>
    </w:p>
    <w:p w:rsidR="00000000" w:rsidDel="00000000" w:rsidP="00000000" w:rsidRDefault="00000000" w:rsidRPr="00000000" w14:paraId="0000009C">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D">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 transcurrido el plazo no se ha dado cumplimiento, la Comisión tendrá por desechada la solicitud.</w:t>
      </w:r>
    </w:p>
    <w:p w:rsidR="00000000" w:rsidDel="00000000" w:rsidP="00000000" w:rsidRDefault="00000000" w:rsidRPr="00000000" w14:paraId="0000009E">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F">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 no realizarse la prevención mencionada en el párrafo anterior dentro del plazo aplicable, no se podrá desechar el trámite argumentando que está incompleto.</w:t>
      </w:r>
    </w:p>
    <w:p w:rsidR="00000000" w:rsidDel="00000000" w:rsidP="00000000" w:rsidRDefault="00000000" w:rsidRPr="00000000" w14:paraId="000000A0">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A1">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supuesto de que el requerimiento de información se haga en tiempo, los plazos se suspenderán y se reanudarán a partir del día hábil inmediato siguiente a aquél en el que el Solicitante subsane la prevención. </w:t>
      </w:r>
    </w:p>
    <w:p w:rsidR="00000000" w:rsidDel="00000000" w:rsidP="00000000" w:rsidRDefault="00000000" w:rsidRPr="00000000" w14:paraId="000000A2">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A3">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w:t>
      </w:r>
      <w:r w:rsidDel="00000000" w:rsidR="00000000" w:rsidRPr="00000000">
        <w:rPr>
          <w:rFonts w:ascii="Palatino Linotype" w:cs="Palatino Linotype" w:eastAsia="Palatino Linotype" w:hAnsi="Palatino Linotype"/>
          <w:i w:val="1"/>
          <w:color w:val="000000"/>
          <w:sz w:val="22"/>
          <w:szCs w:val="22"/>
          <w:rtl w:val="0"/>
        </w:rPr>
        <w:t xml:space="preserve"> Para efectos del trámite y emisión de</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la Evaluación de Impacto Estatal, únicamente serán aceptadas las solicitudes que cumplan con los requisitos previstos en esta Ley y su Reglamento.</w:t>
      </w:r>
    </w:p>
    <w:p w:rsidR="00000000" w:rsidDel="00000000" w:rsidP="00000000" w:rsidRDefault="00000000" w:rsidRPr="00000000" w14:paraId="000000A4">
      <w:pPr>
        <w:ind w:left="567"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A5">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Los requisitos específicos para el análisis y, en su caso, la emisión de la Evaluación Técnica de Impacto correspondiente, por parte de la instancia competente, se establecerán en las disposiciones reglamentarias aplicables y mediante el uso, en su caso, de las plataformas digitales correspondientes.</w:t>
      </w:r>
    </w:p>
    <w:p w:rsidR="00000000" w:rsidDel="00000000" w:rsidP="00000000" w:rsidRDefault="00000000" w:rsidRPr="00000000" w14:paraId="000000A6">
      <w:pPr>
        <w:ind w:left="567"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A7">
      <w:pPr>
        <w:ind w:left="567" w:right="899"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2"/>
          <w:szCs w:val="22"/>
          <w:rtl w:val="0"/>
        </w:rPr>
        <w:t xml:space="preserve">Artículo 18.</w:t>
      </w:r>
      <w:r w:rsidDel="00000000" w:rsidR="00000000" w:rsidRPr="00000000">
        <w:rPr>
          <w:rFonts w:ascii="Palatino Linotype" w:cs="Palatino Linotype" w:eastAsia="Palatino Linotype" w:hAnsi="Palatino Linotype"/>
          <w:i w:val="1"/>
          <w:color w:val="000000"/>
          <w:sz w:val="22"/>
          <w:szCs w:val="22"/>
          <w:rtl w:val="0"/>
        </w:rPr>
        <w:t xml:space="preserve"> Recibida y aceptada la solicitud con el sello respectivo ante la Comisión, la o el solicitante puede iniciar la gestión de autorizaciones, licencias y permisos ante las autoridades municipales y hasta que, en su caso, obtenga la Evaluación de Impacto Estatal podrá obtener la autorización, licencia o permiso correspondiente.</w:t>
      </w:r>
      <w:r w:rsidDel="00000000" w:rsidR="00000000" w:rsidRPr="00000000">
        <w:rPr>
          <w:rtl w:val="0"/>
        </w:rPr>
      </w:r>
    </w:p>
    <w:p w:rsidR="00000000" w:rsidDel="00000000" w:rsidP="00000000" w:rsidRDefault="00000000" w:rsidRPr="00000000" w14:paraId="000000A8">
      <w:pPr>
        <w:ind w:left="567" w:right="899" w:firstLine="0"/>
        <w:jc w:val="both"/>
        <w:rPr>
          <w:rFonts w:ascii="Palatino Linotype" w:cs="Palatino Linotype" w:eastAsia="Palatino Linotype" w:hAnsi="Palatino Linotype"/>
          <w:i w:val="1"/>
          <w:color w:val="000000"/>
          <w:sz w:val="24"/>
          <w:szCs w:val="24"/>
        </w:rPr>
      </w:pPr>
      <w:r w:rsidDel="00000000" w:rsidR="00000000" w:rsidRPr="00000000">
        <w:rPr>
          <w:rtl w:val="0"/>
        </w:rPr>
      </w:r>
    </w:p>
    <w:p w:rsidR="00000000" w:rsidDel="00000000" w:rsidP="00000000" w:rsidRDefault="00000000" w:rsidRPr="00000000" w14:paraId="000000A9">
      <w:pPr>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se aprecia que, para la emisión de la Evaluación de Impacto Estatal, debe existir una solicitud por parte del interesado, asimismo, se deben cumplir los requisitos que para tal efecto se establecen. Entonces, si bien es cierto, se cuenta con la obligación de emitir la Evaluación de Impacto Estatal, pero también lo es que, para que el Sujeto Obligado emita el documento, previamente debe existir un interesado que la solicite y que cumpla con los requisitos tal y como lo hizo valer el Sujeto Obligado.</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Dicho lo anterior, es necesario mencionar que el Sujeto Obligado en respuesta manifestó que no ha emitido ninguna Evaluación de Impacto Estatal con la información que refirió el Recurrente. Por dicha manifestación es necesario hacer referencia a la presunción de veracidad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supone una declaración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iurus tantum</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ya que admite prueba en contra, por lo que este Órgano no está facultado para pronunciarse sobre la veracidad de la información entregada, aun y cuando el particular haya señalado que se encuentra incompleto.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spacing w:line="360" w:lineRule="auto"/>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tl w:val="0"/>
        </w:rPr>
      </w:r>
    </w:p>
    <w:p w:rsidR="00000000" w:rsidDel="00000000" w:rsidP="00000000" w:rsidRDefault="00000000" w:rsidRPr="00000000" w14:paraId="000000B1">
      <w:pPr>
        <w:spacing w:line="360" w:lineRule="auto"/>
        <w:ind w:left="567" w:right="567"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B2">
      <w:pPr>
        <w:pStyle w:val="Heading2"/>
        <w:tabs>
          <w:tab w:val="left" w:pos="2830"/>
        </w:tabs>
        <w:ind w:left="426" w:firstLine="0"/>
        <w:rPr>
          <w:rFonts w:ascii="Palatino Linotype" w:cs="Palatino Linotype" w:eastAsia="Palatino Linotype" w:hAnsi="Palatino Linotype"/>
          <w:b w:val="1"/>
          <w:color w:val="000000"/>
          <w:sz w:val="24"/>
          <w:szCs w:val="24"/>
        </w:rPr>
      </w:pPr>
      <w:bookmarkStart w:colFirst="0" w:colLast="0" w:name="_heading=h.17dp8vu" w:id="10"/>
      <w:bookmarkEnd w:id="10"/>
      <w:r w:rsidDel="00000000" w:rsidR="00000000" w:rsidRPr="00000000">
        <w:rPr>
          <w:rFonts w:ascii="Palatino Linotype" w:cs="Palatino Linotype" w:eastAsia="Palatino Linotype" w:hAnsi="Palatino Linotype"/>
          <w:b w:val="1"/>
          <w:color w:val="000000"/>
          <w:sz w:val="24"/>
          <w:szCs w:val="24"/>
          <w:rtl w:val="0"/>
        </w:rPr>
        <w:t xml:space="preserve">B. Plus petitio.</w:t>
        <w:tab/>
      </w:r>
    </w:p>
    <w:p w:rsidR="00000000" w:rsidDel="00000000" w:rsidP="00000000" w:rsidRDefault="00000000" w:rsidRPr="00000000" w14:paraId="000000B3">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desapercibido para este Órgano Garante que el recurrente en el apartado de acto impugnado o razones o motivos de inconformidad manifestó:</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el propósito de dar certeza jurídica y orden a las inversiones en el Estado de México es necesario e importante la evaluación de los proyectos y que sean avalados los dictamenes de impacto en materia de desarrollo urbano, protección civil, medio ambiente, comunicaciones, movilidad, agua, drenaje, alcantarilado y tratamiento de aguas residuales, previo análisis normativo multidisciplinario, según corresponda, cuya finalidad es determinar la factibilidad de proyectos nuevos, ampliaciones o actualizaciones, qué por uso o aprovechamiento de suelo generen efectos en la infraestructura, el equipamiento urbano, servicios públicos, en el entorno ambiental o protección civil, en los términos de las disposiciones jurídicas aplicables. No es posible qué un proyecto de construcción tan grande y con tantas viviendas no cuente con el dictamen único de factibilidad y si así es el caso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solicito sea informado y documentado para solicitar la verificación, supervisión e inspección del conjunto residencial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urbano el Fenix IV (cuatro) ubicado en San Mateo Atenco - Estado de México, Colonia Barrio de San Francisco, código postal 52104.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solicita el proyecto ejecutivo presentado y autorizado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 la empresa Corporativo Tembo S.A de C.V. del conjunto residencial urbano el Fenix IV (cuatro) ubicado en San Mateo Atenco - Estado de México, Colonia Barrio de San Francisco, código postal 52104 en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donde se incluya los planos de relotificación y los permisos correspondientes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simple lectura, se tiene que el recurrente ahora está solicitando, adicional a lo principal, lo siguiente:</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caso de que no se cuente con el Dictamen único de Factibilidad, solicito sea informado y documentado para solicitar la verificación, supervisión e inspección del conjunto;</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solicita el proyecto ejecutivo presentado y autorizado a la empresa, donde se incluya los planos de relotificación y los permisos correspondientes.</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 dicha situación, es necesario señalar que </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el sistema de medios de impugnación en nuestro país se centra en el análisis de </w:t>
      </w:r>
      <w:r w:rsidDel="00000000" w:rsidR="00000000" w:rsidRPr="00000000">
        <w:rPr>
          <w:rFonts w:ascii="Palatino Linotype" w:cs="Palatino Linotype" w:eastAsia="Palatino Linotype" w:hAnsi="Palatino Linotype"/>
          <w:b w:val="0"/>
          <w:i w:val="0"/>
          <w:smallCaps w:val="0"/>
          <w:strike w:val="0"/>
          <w:color w:val="222222"/>
          <w:sz w:val="24"/>
          <w:szCs w:val="24"/>
          <w:u w:val="single"/>
          <w:shd w:fill="auto" w:val="clear"/>
          <w:vertAlign w:val="baseline"/>
          <w:rtl w:val="0"/>
        </w:rPr>
        <w:t xml:space="preserve">los agravios o motivos de inconformidad</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los que </w:t>
      </w:r>
      <w:r w:rsidDel="00000000" w:rsidR="00000000" w:rsidRPr="00000000">
        <w:rPr>
          <w:rFonts w:ascii="Palatino Linotype" w:cs="Palatino Linotype" w:eastAsia="Palatino Linotype" w:hAnsi="Palatino Linotype"/>
          <w:b w:val="0"/>
          <w:i w:val="0"/>
          <w:smallCaps w:val="0"/>
          <w:strike w:val="0"/>
          <w:color w:val="222222"/>
          <w:sz w:val="24"/>
          <w:szCs w:val="24"/>
          <w:u w:val="single"/>
          <w:shd w:fill="auto" w:val="clear"/>
          <w:vertAlign w:val="baseline"/>
          <w:rtl w:val="0"/>
        </w:rPr>
        <w:t xml:space="preserve">deben tener relación directa con el acto de autoridad que lo motiva</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En materia de transparencia, los motivos de la inconformidad deben versar sobre la respuesta de información proporcionada por los sujetos obligados o 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191.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recurso será desechado por improcedente cuando: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2">
      <w:pPr>
        <w:ind w:left="567" w:right="567" w:firstLine="0"/>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El recurrente amplíe su solicitud en el recurso de revisión, únicamente respecto de los nuevos contenidos.</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Por lo anterior, resulta improcedente el referido acto impugnado, toda vez que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ahora recurrente se excede dentro de su inconformidad respecto a lo requerido originalmente en la solicitud de información, siendo el caso que pretende ampliar lo solicitado de origen. Lo que hace que se surta lo que en la teoría jurídica se le denomina como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plus petitio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Sirve de sustento el </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criterio 01/17</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emitido por el Instituto Nacional de Transparencia, Acceso a la Información y Protección de Datos Personales que establece lo siguiente:</w:t>
      </w:r>
      <w:r w:rsidDel="00000000" w:rsidR="00000000" w:rsidRPr="00000000">
        <w:rPr>
          <w:rtl w:val="0"/>
        </w:rPr>
      </w:r>
    </w:p>
    <w:p w:rsidR="00000000" w:rsidDel="00000000" w:rsidP="00000000" w:rsidRDefault="00000000" w:rsidRPr="00000000" w14:paraId="000000C7">
      <w:pPr>
        <w:shd w:fill="ffffff" w:val="clear"/>
        <w:spacing w:after="240" w:before="240" w:lineRule="auto"/>
        <w:ind w:left="567" w:right="567" w:firstLine="0"/>
        <w:jc w:val="both"/>
        <w:rPr>
          <w:rFonts w:ascii="Palatino Linotype" w:cs="Palatino Linotype" w:eastAsia="Palatino Linotype" w:hAnsi="Palatino Linotype"/>
          <w:color w:val="222222"/>
          <w:sz w:val="22"/>
          <w:szCs w:val="22"/>
        </w:rPr>
      </w:pPr>
      <w:r w:rsidDel="00000000" w:rsidR="00000000" w:rsidRPr="00000000">
        <w:rPr>
          <w:rFonts w:ascii="Palatino Linotype" w:cs="Palatino Linotype" w:eastAsia="Palatino Linotype" w:hAnsi="Palatino Linotype"/>
          <w:color w:val="222222"/>
          <w:sz w:val="22"/>
          <w:szCs w:val="22"/>
          <w:rtl w:val="0"/>
        </w:rPr>
        <w:t xml:space="preserve"> </w:t>
      </w:r>
      <w:r w:rsidDel="00000000" w:rsidR="00000000" w:rsidRPr="00000000">
        <w:rPr>
          <w:rFonts w:ascii="Palatino Linotype" w:cs="Palatino Linotype" w:eastAsia="Palatino Linotype" w:hAnsi="Palatino Linotype"/>
          <w:b w:val="1"/>
          <w:i w:val="1"/>
          <w:color w:val="222222"/>
          <w:sz w:val="22"/>
          <w:szCs w:val="22"/>
          <w:rtl w:val="0"/>
        </w:rPr>
        <w:t xml:space="preserve">Es improcedente ampliar las solicitudes de acceso a información, a través de la interposición del recurso de revisión.</w:t>
      </w:r>
      <w:r w:rsidDel="00000000" w:rsidR="00000000" w:rsidRPr="00000000">
        <w:rPr>
          <w:rFonts w:ascii="Palatino Linotype" w:cs="Palatino Linotype" w:eastAsia="Palatino Linotype" w:hAnsi="Palatino Linotype"/>
          <w:i w:val="1"/>
          <w:color w:val="222222"/>
          <w:sz w:val="22"/>
          <w:szCs w:val="22"/>
          <w:rtl w:val="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tl w:val="0"/>
        </w:rPr>
      </w:r>
    </w:p>
    <w:p w:rsidR="00000000" w:rsidDel="00000000" w:rsidP="00000000" w:rsidRDefault="00000000" w:rsidRPr="00000000" w14:paraId="000000C8">
      <w:pPr>
        <w:shd w:fill="ffffff" w:val="clear"/>
        <w:spacing w:after="240" w:before="240" w:lineRule="auto"/>
        <w:ind w:left="567" w:right="567" w:firstLine="0"/>
        <w:jc w:val="both"/>
        <w:rPr>
          <w:rFonts w:ascii="Palatino Linotype" w:cs="Palatino Linotype" w:eastAsia="Palatino Linotype" w:hAnsi="Palatino Linotype"/>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 Resoluciones:</w:t>
      </w:r>
      <w:r w:rsidDel="00000000" w:rsidR="00000000" w:rsidRPr="00000000">
        <w:rPr>
          <w:rtl w:val="0"/>
        </w:rPr>
      </w:r>
    </w:p>
    <w:p w:rsidR="00000000" w:rsidDel="00000000" w:rsidP="00000000" w:rsidRDefault="00000000" w:rsidRPr="00000000" w14:paraId="000000C9">
      <w:pPr>
        <w:shd w:fill="ffffff" w:val="clear"/>
        <w:spacing w:after="240" w:before="240" w:lineRule="auto"/>
        <w:ind w:left="567" w:right="567" w:firstLine="0"/>
        <w:rPr>
          <w:rFonts w:ascii="Palatino Linotype" w:cs="Palatino Linotype" w:eastAsia="Palatino Linotype" w:hAnsi="Palatino Linotype"/>
          <w:color w:val="222222"/>
          <w:sz w:val="22"/>
          <w:szCs w:val="22"/>
        </w:rPr>
      </w:pPr>
      <w:r w:rsidDel="00000000" w:rsidR="00000000" w:rsidRPr="00000000">
        <w:rPr>
          <w:rFonts w:ascii="Symbol" w:cs="Symbol" w:eastAsia="Symbol" w:hAnsi="Symbol"/>
          <w:i w:val="1"/>
          <w:color w:val="222222"/>
          <w:sz w:val="22"/>
          <w:szCs w:val="22"/>
          <w:rtl w:val="0"/>
        </w:rPr>
        <w:t xml:space="preserve">∙</w:t>
      </w:r>
      <w:r w:rsidDel="00000000" w:rsidR="00000000" w:rsidRPr="00000000">
        <w:rPr>
          <w:rFonts w:ascii="Palatino Linotype" w:cs="Palatino Linotype" w:eastAsia="Palatino Linotype" w:hAnsi="Palatino Linotype"/>
          <w:i w:val="1"/>
          <w:color w:val="222222"/>
          <w:sz w:val="22"/>
          <w:szCs w:val="22"/>
          <w:rtl w:val="0"/>
        </w:rPr>
        <w:t xml:space="preserve"> RRA 0196/16. Secretaría de Agricultura, Ganadería, Desarrollo Rural, Pesca y</w:t>
      </w:r>
      <w:r w:rsidDel="00000000" w:rsidR="00000000" w:rsidRPr="00000000">
        <w:rPr>
          <w:rtl w:val="0"/>
        </w:rPr>
      </w:r>
    </w:p>
    <w:p w:rsidR="00000000" w:rsidDel="00000000" w:rsidP="00000000" w:rsidRDefault="00000000" w:rsidRPr="00000000" w14:paraId="000000CA">
      <w:pPr>
        <w:shd w:fill="ffffff" w:val="clear"/>
        <w:spacing w:after="240" w:before="240" w:lineRule="auto"/>
        <w:ind w:left="567" w:right="567" w:firstLine="0"/>
        <w:rPr>
          <w:rFonts w:ascii="Palatino Linotype" w:cs="Palatino Linotype" w:eastAsia="Palatino Linotype" w:hAnsi="Palatino Linotype"/>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Alimentación. 13 de julio de 2016. Por unanimidad. Comisionado Ponente Joel</w:t>
      </w:r>
      <w:r w:rsidDel="00000000" w:rsidR="00000000" w:rsidRPr="00000000">
        <w:rPr>
          <w:rtl w:val="0"/>
        </w:rPr>
      </w:r>
    </w:p>
    <w:p w:rsidR="00000000" w:rsidDel="00000000" w:rsidP="00000000" w:rsidRDefault="00000000" w:rsidRPr="00000000" w14:paraId="000000CB">
      <w:pPr>
        <w:shd w:fill="ffffff" w:val="clear"/>
        <w:spacing w:after="240" w:before="240" w:lineRule="auto"/>
        <w:ind w:left="567" w:right="567" w:firstLine="0"/>
        <w:rPr>
          <w:rFonts w:ascii="Palatino Linotype" w:cs="Palatino Linotype" w:eastAsia="Palatino Linotype" w:hAnsi="Palatino Linotype"/>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Salas Suárez.</w:t>
      </w:r>
      <w:r w:rsidDel="00000000" w:rsidR="00000000" w:rsidRPr="00000000">
        <w:rPr>
          <w:rtl w:val="0"/>
        </w:rPr>
      </w:r>
    </w:p>
    <w:p w:rsidR="00000000" w:rsidDel="00000000" w:rsidP="00000000" w:rsidRDefault="00000000" w:rsidRPr="00000000" w14:paraId="000000CC">
      <w:pPr>
        <w:shd w:fill="ffffff" w:val="clear"/>
        <w:spacing w:after="240" w:before="240" w:lineRule="auto"/>
        <w:ind w:left="567" w:right="567" w:firstLine="0"/>
        <w:rPr>
          <w:rFonts w:ascii="Palatino Linotype" w:cs="Palatino Linotype" w:eastAsia="Palatino Linotype" w:hAnsi="Palatino Linotype"/>
          <w:color w:val="222222"/>
          <w:sz w:val="22"/>
          <w:szCs w:val="22"/>
        </w:rPr>
      </w:pPr>
      <w:r w:rsidDel="00000000" w:rsidR="00000000" w:rsidRPr="00000000">
        <w:rPr>
          <w:rFonts w:ascii="Symbol" w:cs="Symbol" w:eastAsia="Symbol" w:hAnsi="Symbol"/>
          <w:i w:val="1"/>
          <w:color w:val="222222"/>
          <w:sz w:val="22"/>
          <w:szCs w:val="22"/>
          <w:rtl w:val="0"/>
        </w:rPr>
        <w:t xml:space="preserve">∙</w:t>
      </w:r>
      <w:r w:rsidDel="00000000" w:rsidR="00000000" w:rsidRPr="00000000">
        <w:rPr>
          <w:rFonts w:ascii="Palatino Linotype" w:cs="Palatino Linotype" w:eastAsia="Palatino Linotype" w:hAnsi="Palatino Linotype"/>
          <w:i w:val="1"/>
          <w:color w:val="222222"/>
          <w:sz w:val="22"/>
          <w:szCs w:val="22"/>
          <w:rtl w:val="0"/>
        </w:rPr>
        <w:t xml:space="preserve"> RRA 0130/16. Comisión Nacional del Agua. 09 de agosto de 2016. Por unanimidad. Comisionado Ponente María Patricia Kurczyn Villalobos.</w:t>
      </w:r>
      <w:r w:rsidDel="00000000" w:rsidR="00000000" w:rsidRPr="00000000">
        <w:rPr>
          <w:rtl w:val="0"/>
        </w:rPr>
      </w:r>
    </w:p>
    <w:p w:rsidR="00000000" w:rsidDel="00000000" w:rsidP="00000000" w:rsidRDefault="00000000" w:rsidRPr="00000000" w14:paraId="000000CD">
      <w:pPr>
        <w:shd w:fill="ffffff" w:val="clear"/>
        <w:spacing w:after="240" w:before="240" w:lineRule="auto"/>
        <w:ind w:left="567" w:right="567" w:firstLine="0"/>
        <w:rPr>
          <w:rFonts w:ascii="Palatino Linotype" w:cs="Palatino Linotype" w:eastAsia="Palatino Linotype" w:hAnsi="Palatino Linotype"/>
          <w:color w:val="222222"/>
          <w:sz w:val="22"/>
          <w:szCs w:val="22"/>
        </w:rPr>
      </w:pPr>
      <w:r w:rsidDel="00000000" w:rsidR="00000000" w:rsidRPr="00000000">
        <w:rPr>
          <w:rFonts w:ascii="Symbol" w:cs="Symbol" w:eastAsia="Symbol" w:hAnsi="Symbol"/>
          <w:i w:val="1"/>
          <w:color w:val="222222"/>
          <w:sz w:val="22"/>
          <w:szCs w:val="22"/>
          <w:rtl w:val="0"/>
        </w:rPr>
        <w:t xml:space="preserve">∙</w:t>
      </w:r>
      <w:r w:rsidDel="00000000" w:rsidR="00000000" w:rsidRPr="00000000">
        <w:rPr>
          <w:rFonts w:ascii="Palatino Linotype" w:cs="Palatino Linotype" w:eastAsia="Palatino Linotype" w:hAnsi="Palatino Linotype"/>
          <w:i w:val="1"/>
          <w:color w:val="222222"/>
          <w:sz w:val="22"/>
          <w:szCs w:val="22"/>
          <w:rtl w:val="0"/>
        </w:rPr>
        <w:t xml:space="preserve"> RRA 0342/16. Colegio de Bachilleres. 24 de agosto de 2016. Por unanimidad.</w:t>
      </w:r>
      <w:r w:rsidDel="00000000" w:rsidR="00000000" w:rsidRPr="00000000">
        <w:rPr>
          <w:rtl w:val="0"/>
        </w:rPr>
      </w:r>
    </w:p>
    <w:p w:rsidR="00000000" w:rsidDel="00000000" w:rsidP="00000000" w:rsidRDefault="00000000" w:rsidRPr="00000000" w14:paraId="000000CE">
      <w:pPr>
        <w:shd w:fill="ffffff" w:val="clear"/>
        <w:spacing w:after="240" w:before="240" w:lineRule="auto"/>
        <w:ind w:left="567" w:right="567" w:firstLine="0"/>
        <w:rPr>
          <w:rFonts w:ascii="Palatino Linotype" w:cs="Palatino Linotype" w:eastAsia="Palatino Linotype" w:hAnsi="Palatino Linotype"/>
          <w:i w:val="1"/>
          <w:color w:val="222222"/>
          <w:sz w:val="24"/>
          <w:szCs w:val="24"/>
        </w:rPr>
      </w:pPr>
      <w:r w:rsidDel="00000000" w:rsidR="00000000" w:rsidRPr="00000000">
        <w:rPr>
          <w:rFonts w:ascii="Palatino Linotype" w:cs="Palatino Linotype" w:eastAsia="Palatino Linotype" w:hAnsi="Palatino Linotype"/>
          <w:i w:val="1"/>
          <w:color w:val="222222"/>
          <w:sz w:val="22"/>
          <w:szCs w:val="22"/>
          <w:rtl w:val="0"/>
        </w:rPr>
        <w:t xml:space="preserve">Comisionada Ponente Ximena Puente de la Mora.</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40" w:before="240" w:line="360" w:lineRule="auto"/>
        <w:ind w:left="0" w:right="0" w:firstLine="0"/>
        <w:jc w:val="both"/>
        <w:rPr>
          <w:rFonts w:ascii="Palatino Linotype" w:cs="Palatino Linotype" w:eastAsia="Palatino Linotype" w:hAnsi="Palatino Linotype"/>
          <w:b w:val="0"/>
          <w:i w:val="0"/>
          <w:smallCaps w:val="0"/>
          <w:strike w:val="0"/>
          <w:color w:val="222222"/>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Robustece lo anterior,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analogía, la Jurisprudencia No. 29 visible a foja 19 del Apéndice al Semanario Judicial de la Federación 1917-1995, Torno VI, Materia Común, Primera Parte, Tesis de la Suprema Corte de Justicia, que contiene:</w:t>
      </w:r>
      <w:r w:rsidDel="00000000" w:rsidR="00000000" w:rsidRPr="00000000">
        <w:rPr>
          <w:rtl w:val="0"/>
        </w:rPr>
      </w:r>
    </w:p>
    <w:p w:rsidR="00000000" w:rsidDel="00000000" w:rsidP="00000000" w:rsidRDefault="00000000" w:rsidRPr="00000000" w14:paraId="000000D0">
      <w:pPr>
        <w:shd w:fill="ffffff" w:val="clear"/>
        <w:spacing w:after="240" w:before="240" w:lineRule="auto"/>
        <w:ind w:left="567" w:right="567"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2"/>
          <w:szCs w:val="22"/>
          <w:rtl w:val="0"/>
        </w:rPr>
        <w:t xml:space="preserve">AGRAVIOS EN LA REVISION. DEBEN ESTAR EN RELACION DIRECTA CON LOS FUNDAMENTOS Y CONSIDERACIONES DE LA SENTENCIA</w:t>
      </w:r>
      <w:r w:rsidDel="00000000" w:rsidR="00000000" w:rsidRPr="00000000">
        <w:rPr>
          <w:rFonts w:ascii="Palatino Linotype" w:cs="Palatino Linotype" w:eastAsia="Palatino Linotype" w:hAnsi="Palatino Linotype"/>
          <w:i w:val="1"/>
          <w:color w:val="000000"/>
          <w:sz w:val="22"/>
          <w:szCs w:val="22"/>
          <w:rtl w:val="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Derivado de lo anteriormente expuesto, es que se considera que resultan infundadas las razones o motivos de inconformidad hechos valer por el Recurrente y lo procedente es CONFIRMAR la respuesta emitida por el Sujeto Obligado.</w:t>
      </w:r>
    </w:p>
    <w:p w:rsidR="00000000" w:rsidDel="00000000" w:rsidP="00000000" w:rsidRDefault="00000000" w:rsidRPr="00000000" w14:paraId="000000D2">
      <w:pPr>
        <w:pStyle w:val="Heading1"/>
        <w:rPr>
          <w:rFonts w:ascii="Palatino Linotype" w:cs="Palatino Linotype" w:eastAsia="Palatino Linotype" w:hAnsi="Palatino Linotype"/>
          <w:b w:val="1"/>
          <w:color w:val="000000"/>
          <w:sz w:val="24"/>
          <w:szCs w:val="24"/>
        </w:rPr>
      </w:pPr>
      <w:bookmarkStart w:colFirst="0" w:colLast="0" w:name="_heading=h.3rdcrjn" w:id="11"/>
      <w:bookmarkEnd w:id="11"/>
      <w:r w:rsidDel="00000000" w:rsidR="00000000" w:rsidRPr="00000000">
        <w:rPr>
          <w:rFonts w:ascii="Palatino Linotype" w:cs="Palatino Linotype" w:eastAsia="Palatino Linotype" w:hAnsi="Palatino Linotype"/>
          <w:b w:val="1"/>
          <w:color w:val="000000"/>
          <w:sz w:val="24"/>
          <w:szCs w:val="24"/>
          <w:rtl w:val="0"/>
        </w:rPr>
        <w:t xml:space="preserve">QUINTO. DECISIÓN.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que emitió el Sujeto Obligado es suficiente para satisfacer el derecho accionado por el recurrente, en el sentido de que, para la emisión de algún dictamen único de factibilidad o Evaluación de Impacto Estatal es necesario que previamente exista un interesado que la solicite y cumpla con los requisitos; a falta de este último, la información no puede existir en los archivos.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no existir en los archivos del Sujeto Obligado es materialmente imposible la entrega de la información. En consecuencia, se determinó que resultan infundados los motivos o razones de inconformidad y lo conducente es CONFIRMAR la respuesta del Sujeto Obligado.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Por lo anteriormente expuesto y fundado, este </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emite los siguientes:</w:t>
      </w:r>
      <w:r w:rsidDel="00000000" w:rsidR="00000000" w:rsidRPr="00000000">
        <w:rPr>
          <w:rtl w:val="0"/>
        </w:rPr>
      </w:r>
    </w:p>
    <w:p w:rsidR="00000000" w:rsidDel="00000000" w:rsidP="00000000" w:rsidRDefault="00000000" w:rsidRPr="00000000" w14:paraId="000000D9">
      <w:pPr>
        <w:tabs>
          <w:tab w:val="left" w:pos="567"/>
        </w:tabs>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A">
      <w:pPr>
        <w:keepNext w:val="1"/>
        <w:keepLines w:val="1"/>
        <w:spacing w:line="360" w:lineRule="auto"/>
        <w:jc w:val="center"/>
        <w:rPr>
          <w:rFonts w:ascii="Palatino Linotype" w:cs="Palatino Linotype" w:eastAsia="Palatino Linotype" w:hAnsi="Palatino Linotype"/>
          <w:b w:val="1"/>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sz w:val="24"/>
          <w:szCs w:val="24"/>
          <w:rtl w:val="0"/>
        </w:rPr>
        <w:t xml:space="preserve">R E S O L U T I V O S</w:t>
      </w:r>
    </w:p>
    <w:p w:rsidR="00000000" w:rsidDel="00000000" w:rsidP="00000000" w:rsidRDefault="00000000" w:rsidRPr="00000000" w14:paraId="000000DB">
      <w:pPr>
        <w:keepNext w:val="1"/>
        <w:keepLines w:val="1"/>
        <w:spacing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infundadas las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o motivos de inconformidad hechos valer en el recurso de revisión </w:t>
      </w:r>
      <w:r w:rsidDel="00000000" w:rsidR="00000000" w:rsidRPr="00000000">
        <w:rPr>
          <w:rFonts w:ascii="Palatino Linotype" w:cs="Palatino Linotype" w:eastAsia="Palatino Linotype" w:hAnsi="Palatino Linotype"/>
          <w:b w:val="1"/>
          <w:sz w:val="24"/>
          <w:szCs w:val="24"/>
          <w:rtl w:val="0"/>
        </w:rPr>
        <w:t xml:space="preserve">03613/INFOEM/IP/RR/2021 </w:t>
      </w:r>
      <w:r w:rsidDel="00000000" w:rsidR="00000000" w:rsidRPr="00000000">
        <w:rPr>
          <w:rFonts w:ascii="Palatino Linotype" w:cs="Palatino Linotype" w:eastAsia="Palatino Linotype" w:hAnsi="Palatino Linotype"/>
          <w:sz w:val="24"/>
          <w:szCs w:val="24"/>
          <w:rtl w:val="0"/>
        </w:rPr>
        <w:t xml:space="preserve">en términos del considerando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la presente resolución. </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CONFIRMA </w:t>
      </w:r>
      <w:r w:rsidDel="00000000" w:rsidR="00000000" w:rsidRPr="00000000">
        <w:rPr>
          <w:rFonts w:ascii="Palatino Linotype" w:cs="Palatino Linotype" w:eastAsia="Palatino Linotype" w:hAnsi="Palatino Linotype"/>
          <w:sz w:val="24"/>
          <w:szCs w:val="24"/>
          <w:rtl w:val="0"/>
        </w:rPr>
        <w:t xml:space="preserve">la respuesta emitida por la </w:t>
      </w:r>
      <w:r w:rsidDel="00000000" w:rsidR="00000000" w:rsidRPr="00000000">
        <w:rPr>
          <w:rFonts w:ascii="Palatino Linotype" w:cs="Palatino Linotype" w:eastAsia="Palatino Linotype" w:hAnsi="Palatino Linotype"/>
          <w:b w:val="1"/>
          <w:sz w:val="24"/>
          <w:szCs w:val="24"/>
          <w:rtl w:val="0"/>
        </w:rPr>
        <w:t xml:space="preserve">Secretaría de Obra Pública</w:t>
      </w:r>
      <w:r w:rsidDel="00000000" w:rsidR="00000000" w:rsidRPr="00000000">
        <w:rPr>
          <w:rFonts w:ascii="Palatino Linotype" w:cs="Palatino Linotype" w:eastAsia="Palatino Linotype" w:hAnsi="Palatino Linotype"/>
          <w:sz w:val="24"/>
          <w:szCs w:val="24"/>
          <w:rtl w:val="0"/>
        </w:rPr>
        <w:t xml:space="preserve"> a la solicitud </w:t>
      </w:r>
      <w:r w:rsidDel="00000000" w:rsidR="00000000" w:rsidRPr="00000000">
        <w:rPr>
          <w:rFonts w:ascii="Palatino Linotype" w:cs="Palatino Linotype" w:eastAsia="Palatino Linotype" w:hAnsi="Palatino Linotype"/>
          <w:b w:val="1"/>
          <w:sz w:val="24"/>
          <w:szCs w:val="24"/>
          <w:rtl w:val="0"/>
        </w:rPr>
        <w:t xml:space="preserve">00199/SOPEM/IP/2021.   </w:t>
      </w:r>
      <w:r w:rsidDel="00000000" w:rsidR="00000000" w:rsidRPr="00000000">
        <w:rPr>
          <w:rtl w:val="0"/>
        </w:rPr>
      </w:r>
    </w:p>
    <w:p w:rsidR="00000000" w:rsidDel="00000000" w:rsidP="00000000" w:rsidRDefault="00000000" w:rsidRPr="00000000" w14:paraId="000000DE">
      <w:pPr>
        <w:tabs>
          <w:tab w:val="left" w:pos="8080"/>
        </w:tabs>
        <w:spacing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REMÍTASE, </w:t>
      </w:r>
      <w:r w:rsidDel="00000000" w:rsidR="00000000" w:rsidRPr="00000000">
        <w:rPr>
          <w:rFonts w:ascii="Palatino Linotype" w:cs="Palatino Linotype" w:eastAsia="Palatino Linotype" w:hAnsi="Palatino Linotype"/>
          <w:sz w:val="24"/>
          <w:szCs w:val="24"/>
          <w:rtl w:val="0"/>
        </w:rPr>
        <w:t xml:space="preserve">vía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la presente resolución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p>
    <w:p w:rsidR="00000000" w:rsidDel="00000000" w:rsidP="00000000" w:rsidRDefault="00000000" w:rsidRPr="00000000" w14:paraId="000000DF">
      <w:pPr>
        <w:tabs>
          <w:tab w:val="left" w:pos="8080"/>
        </w:tabs>
        <w:spacing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0">
      <w:pPr>
        <w:shd w:fill="ffffff" w:val="clear"/>
        <w:spacing w:line="360" w:lineRule="auto"/>
        <w:jc w:val="both"/>
        <w:rPr>
          <w:rFonts w:ascii="Palatino Linotype" w:cs="Palatino Linotype" w:eastAsia="Palatino Linotype" w:hAnsi="Palatino Linotype"/>
          <w:color w:val="222222"/>
          <w:sz w:val="24"/>
          <w:szCs w:val="24"/>
        </w:rPr>
      </w:pPr>
      <w:bookmarkStart w:colFirst="0" w:colLast="0" w:name="_heading=h.35nkun2" w:id="14"/>
      <w:bookmarkEnd w:id="14"/>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w:t>
      </w:r>
      <w:r w:rsidDel="00000000" w:rsidR="00000000" w:rsidRPr="00000000">
        <w:rPr>
          <w:rFonts w:ascii="Palatino Linotype" w:cs="Palatino Linotype" w:eastAsia="Palatino Linotype" w:hAnsi="Palatino Linotype"/>
          <w:color w:val="2f549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XXXXXXXXXXXXXXXXXXXXX,</w:t>
      </w:r>
      <w:r w:rsidDel="00000000" w:rsidR="00000000" w:rsidRPr="00000000">
        <w:rPr>
          <w:rFonts w:ascii="Palatino Linotype" w:cs="Palatino Linotype" w:eastAsia="Palatino Linotype" w:hAnsi="Palatino Linotype"/>
          <w:sz w:val="24"/>
          <w:szCs w:val="24"/>
          <w:rtl w:val="0"/>
        </w:rPr>
        <w:t xml:space="preserve"> la presente</w:t>
      </w:r>
      <w:r w:rsidDel="00000000" w:rsidR="00000000" w:rsidRPr="00000000">
        <w:rPr>
          <w:rFonts w:ascii="Palatino Linotype" w:cs="Palatino Linotype" w:eastAsia="Palatino Linotype" w:hAnsi="Palatino Linotype"/>
          <w:color w:val="222222"/>
          <w:sz w:val="24"/>
          <w:szCs w:val="24"/>
          <w:rtl w:val="0"/>
        </w:rPr>
        <w:t xml:space="preserve"> resolución.</w:t>
      </w:r>
    </w:p>
    <w:p w:rsidR="00000000" w:rsidDel="00000000" w:rsidP="00000000" w:rsidRDefault="00000000" w:rsidRPr="00000000" w14:paraId="000000E1">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22222"/>
          <w:sz w:val="24"/>
          <w:szCs w:val="24"/>
          <w:rtl w:val="0"/>
        </w:rPr>
        <w:t xml:space="preserve">QUINTO. </w:t>
      </w:r>
      <w:r w:rsidDel="00000000" w:rsidR="00000000" w:rsidRPr="00000000">
        <w:rPr>
          <w:rFonts w:ascii="Palatino Linotype" w:cs="Palatino Linotype" w:eastAsia="Palatino Linotype" w:hAnsi="Palatino Linotype"/>
          <w:color w:val="222222"/>
          <w:sz w:val="24"/>
          <w:szCs w:val="24"/>
          <w:rtl w:val="0"/>
        </w:rPr>
        <w:t xml:space="preserve">Se hace del conocimiento del </w:t>
      </w:r>
      <w:r w:rsidDel="00000000" w:rsidR="00000000" w:rsidRPr="00000000">
        <w:rPr>
          <w:rFonts w:ascii="Palatino Linotype" w:cs="Palatino Linotype" w:eastAsia="Palatino Linotype" w:hAnsi="Palatino Linotype"/>
          <w:b w:val="1"/>
          <w:sz w:val="24"/>
          <w:szCs w:val="24"/>
          <w:rtl w:val="0"/>
        </w:rPr>
        <w:t xml:space="preserve">XXXXXXXXXXXXXXXXXXXXX </w:t>
      </w:r>
      <w:r w:rsidDel="00000000" w:rsidR="00000000" w:rsidRPr="00000000">
        <w:rPr>
          <w:rFonts w:ascii="Palatino Linotype" w:cs="Palatino Linotype" w:eastAsia="Palatino Linotype" w:hAnsi="Palatino Linotype"/>
          <w:color w:val="222222"/>
          <w:sz w:val="24"/>
          <w:szCs w:val="24"/>
          <w:rtl w:val="0"/>
        </w:rPr>
        <w:t xml:space="preserve">que, de conformidad con lo establecido en el artículo 196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sz w:val="24"/>
          <w:szCs w:val="24"/>
          <w:highlight w:val="white"/>
          <w:rtl w:val="0"/>
        </w:rPr>
        <w:t xml:space="preserve"> en caso de que considere que la resolución le cause algún perjuicio podrá impugnarla vía </w:t>
      </w:r>
      <w:r w:rsidDel="00000000" w:rsidR="00000000" w:rsidRPr="00000000">
        <w:rPr>
          <w:rFonts w:ascii="Palatino Linotype" w:cs="Palatino Linotype" w:eastAsia="Palatino Linotype" w:hAnsi="Palatino Linotype"/>
          <w:color w:val="222222"/>
          <w:sz w:val="24"/>
          <w:szCs w:val="24"/>
          <w:highlight w:val="white"/>
          <w:rtl w:val="0"/>
        </w:rPr>
        <w:t xml:space="preserve">juicio de amparo en los términos de las leyes aplicables.</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E2">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VEINTICINCO DE AGOSTO DE DOS MIL VEINTIUNO, ANTE EL SECRETARIO TÉCNICO DEL PLENO ALEXIS TAPIA RAMÍREZ </w:t>
      </w:r>
    </w:p>
    <w:p w:rsidR="00000000" w:rsidDel="00000000" w:rsidP="00000000" w:rsidRDefault="00000000" w:rsidRPr="00000000" w14:paraId="000000E3">
      <w:pPr>
        <w:spacing w:after="360" w:before="240" w:line="360" w:lineRule="auto"/>
        <w:jc w:val="both"/>
        <w:rPr>
          <w:rFonts w:ascii="Palatino Linotype" w:cs="Palatino Linotype" w:eastAsia="Palatino Linotype" w:hAnsi="Palatino Linotype"/>
          <w:color w:val="222222"/>
          <w:sz w:val="24"/>
          <w:szCs w:val="24"/>
        </w:rPr>
      </w:pPr>
      <w:r w:rsidDel="00000000" w:rsidR="00000000" w:rsidRPr="00000000">
        <w:rPr>
          <w:rtl w:val="0"/>
        </w:rPr>
      </w:r>
    </w:p>
    <w:p w:rsidR="00000000" w:rsidDel="00000000" w:rsidP="00000000" w:rsidRDefault="00000000" w:rsidRPr="00000000" w14:paraId="000000E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5">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9">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B">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D">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F">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1">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7">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A">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B">
      <w:pPr>
        <w:rPr>
          <w:rFonts w:ascii="Palatino Linotype" w:cs="Palatino Linotype" w:eastAsia="Palatino Linotype" w:hAnsi="Palatino Linotype"/>
          <w:sz w:val="24"/>
          <w:szCs w:val="24"/>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pgSz w:h="15840" w:w="12240" w:orient="portrait"/>
      <w:pgMar w:bottom="1418" w:top="80" w:left="1588" w:right="1608"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C">
      <w:pPr>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356.0" w:type="dxa"/>
      <w:jc w:val="left"/>
      <w:tblInd w:w="0.0" w:type="dxa"/>
      <w:tblLayout w:type="fixed"/>
      <w:tblLook w:val="0400"/>
    </w:tblPr>
    <w:tblGrid>
      <w:gridCol w:w="1843"/>
      <w:gridCol w:w="7513"/>
      <w:tblGridChange w:id="0">
        <w:tblGrid>
          <w:gridCol w:w="1843"/>
          <w:gridCol w:w="7513"/>
        </w:tblGrid>
      </w:tblGridChange>
    </w:tblGrid>
    <w:tr>
      <w:trPr>
        <w:cantSplit w:val="0"/>
        <w:trHeight w:val="1435" w:hRule="atLeast"/>
        <w:tblHeader w:val="0"/>
      </w:trPr>
      <w:tc>
        <w:tcPr>
          <w:shd w:fill="auto" w:val="clear"/>
        </w:tcPr>
        <w:p w:rsidR="00000000" w:rsidDel="00000000" w:rsidP="00000000" w:rsidRDefault="00000000" w:rsidRPr="00000000" w14:paraId="000000FF">
          <w:pPr>
            <w:tabs>
              <w:tab w:val="right" w:pos="4273"/>
            </w:tabs>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 </w:t>
          </w:r>
        </w:p>
      </w:tc>
      <w:tc>
        <w:tcPr>
          <w:shd w:fill="auto" w:val="clear"/>
        </w:tcPr>
        <w:p w:rsidR="00000000" w:rsidDel="00000000" w:rsidP="00000000" w:rsidRDefault="00000000" w:rsidRPr="00000000" w14:paraId="00000100">
          <w:pPr>
            <w:rPr/>
          </w:pPr>
          <w:r w:rsidDel="00000000" w:rsidR="00000000" w:rsidRPr="00000000">
            <w:rPr>
              <w:rtl w:val="0"/>
            </w:rPr>
          </w:r>
        </w:p>
        <w:tbl>
          <w:tblPr>
            <w:tblStyle w:val="Table2"/>
            <w:tblW w:w="7095.0" w:type="dxa"/>
            <w:jc w:val="left"/>
            <w:tblInd w:w="159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4544"/>
            <w:tblGridChange w:id="0">
              <w:tblGrid>
                <w:gridCol w:w="2551"/>
                <w:gridCol w:w="4544"/>
              </w:tblGrid>
            </w:tblGridChange>
          </w:tblGrid>
          <w:tr>
            <w:trPr>
              <w:cantSplit w:val="0"/>
              <w:trHeight w:val="338" w:hRule="atLeast"/>
              <w:tblHeader w:val="0"/>
            </w:trPr>
            <w:tc>
              <w:tcPr/>
              <w:p w:rsidR="00000000" w:rsidDel="00000000" w:rsidP="00000000" w:rsidRDefault="00000000" w:rsidRPr="00000000" w14:paraId="00000101">
                <w:pPr>
                  <w:tabs>
                    <w:tab w:val="right" w:pos="8838"/>
                  </w:tabs>
                  <w:ind w:right="-105"/>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2">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03">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03613/INFOEM/IP/RR/2021 </w:t>
                </w:r>
              </w:p>
            </w:tc>
          </w:tr>
          <w:tr>
            <w:trPr>
              <w:cantSplit w:val="0"/>
              <w:trHeight w:val="283" w:hRule="atLeast"/>
              <w:tblHeader w:val="0"/>
            </w:trPr>
            <w:tc>
              <w:tcPr/>
              <w:p w:rsidR="00000000" w:rsidDel="00000000" w:rsidP="00000000" w:rsidRDefault="00000000" w:rsidRPr="00000000" w14:paraId="00000105">
                <w:pPr>
                  <w:tabs>
                    <w:tab w:val="right" w:pos="8838"/>
                  </w:tabs>
                  <w:ind w:right="-105"/>
                  <w:rPr>
                    <w:rFonts w:ascii="Palatino Linotype" w:cs="Palatino Linotype" w:eastAsia="Palatino Linotype" w:hAnsi="Palatino Linotype"/>
                    <w:b w:val="1"/>
                    <w:sz w:val="22"/>
                    <w:szCs w:val="22"/>
                  </w:rPr>
                </w:pPr>
                <w:bookmarkStart w:colFirst="0" w:colLast="0" w:name="_heading=h.1ksv4uv" w:id="15"/>
                <w:bookmarkEnd w:id="15"/>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06">
                <w:pPr>
                  <w:tabs>
                    <w:tab w:val="left" w:pos="2834"/>
                    <w:tab w:val="right" w:pos="8838"/>
                  </w:tabs>
                  <w:ind w:left="-11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Secretaría de Obra Pública</w:t>
                </w:r>
              </w:p>
            </w:tc>
          </w:tr>
          <w:tr>
            <w:trPr>
              <w:cantSplit w:val="0"/>
              <w:trHeight w:val="283" w:hRule="atLeast"/>
              <w:tblHeader w:val="0"/>
            </w:trPr>
            <w:tc>
              <w:tcPr/>
              <w:p w:rsidR="00000000" w:rsidDel="00000000" w:rsidP="00000000" w:rsidRDefault="00000000" w:rsidRPr="00000000" w14:paraId="00000107">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08">
                <w:pPr>
                  <w:tabs>
                    <w:tab w:val="right" w:pos="8838"/>
                  </w:tabs>
                  <w:ind w:left="-113" w:right="-10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r w:rsidDel="00000000" w:rsidR="00000000" w:rsidRPr="00000000">
                  <w:rPr>
                    <w:rtl w:val="0"/>
                  </w:rPr>
                </w:r>
              </w:p>
            </w:tc>
          </w:tr>
        </w:tbl>
        <w:p w:rsidR="00000000" w:rsidDel="00000000" w:rsidP="00000000" w:rsidRDefault="00000000" w:rsidRPr="00000000" w14:paraId="00000109">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11" style="position:absolute;margin-left:-104.3pt;margin-top:-133.1pt;width:663.5pt;height:12in;z-index:-251656192;mso-position-horizontal-relative:margin;mso-position-vertical-relative:margin;mso-position-horizontal:absolute;mso-position-vertical:absolute;" o:spid="_x0000_s2051" o:allowincell="f" type="#_x0000_t75">
          <v:imagedata r:id="rId1" o:title="marcaaguaINFOEM"/>
          <w10:wrap/>
        </v:shape>
      </w:pic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527053610" style="position:absolute;width:663.5pt;height:12in;z-index:-251657216;mso-position-horizontal:center;mso-position-horizontal-relative:margin;mso-position-vertical:center;mso-position-vertical-relative:margin" o:spid="_x0000_s2050" o:allowincell="f" type="#_x0000_t75">
          <v:imagedata r:id="rId2" o:title="marcaaguaINFOEM"/>
          <w10:wrap/>
        </v:shape>
      </w:pic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9498.0" w:type="dxa"/>
      <w:jc w:val="left"/>
      <w:tblInd w:w="0.0" w:type="dxa"/>
      <w:tblLayout w:type="fixed"/>
      <w:tblLook w:val="0400"/>
    </w:tblPr>
    <w:tblGrid>
      <w:gridCol w:w="1560"/>
      <w:gridCol w:w="7938"/>
      <w:tblGridChange w:id="0">
        <w:tblGrid>
          <w:gridCol w:w="1560"/>
          <w:gridCol w:w="7938"/>
        </w:tblGrid>
      </w:tblGridChange>
    </w:tblGrid>
    <w:tr>
      <w:trPr>
        <w:cantSplit w:val="0"/>
        <w:trHeight w:val="1435" w:hRule="atLeast"/>
        <w:tblHeader w:val="0"/>
      </w:trPr>
      <w:tc>
        <w:tcPr>
          <w:shd w:fill="auto" w:val="clear"/>
        </w:tcPr>
        <w:p w:rsidR="00000000" w:rsidDel="00000000" w:rsidP="00000000" w:rsidRDefault="00000000" w:rsidRPr="00000000" w14:paraId="0000010F">
          <w:pPr>
            <w:tabs>
              <w:tab w:val="right" w:pos="4273"/>
            </w:tabs>
            <w:rPr>
              <w:rFonts w:ascii="Garamond" w:cs="Garamond" w:eastAsia="Garamond" w:hAnsi="Garamond"/>
              <w:sz w:val="22"/>
              <w:szCs w:val="22"/>
            </w:rPr>
          </w:pPr>
          <w:r w:rsidDel="00000000" w:rsidR="00000000" w:rsidRPr="00000000">
            <w:rPr>
              <w:rtl w:val="0"/>
            </w:rPr>
          </w:r>
        </w:p>
      </w:tc>
      <w:tc>
        <w:tcPr>
          <w:shd w:fill="auto"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2"/>
              <w:szCs w:val="22"/>
            </w:rPr>
          </w:pPr>
          <w:r w:rsidDel="00000000" w:rsidR="00000000" w:rsidRPr="00000000">
            <w:rPr>
              <w:rtl w:val="0"/>
            </w:rPr>
          </w:r>
        </w:p>
        <w:tbl>
          <w:tblPr>
            <w:tblStyle w:val="Table4"/>
            <w:tblW w:w="10492.0" w:type="dxa"/>
            <w:jc w:val="left"/>
            <w:tblInd w:w="18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4"/>
            <w:gridCol w:w="4646"/>
            <w:gridCol w:w="3402"/>
            <w:tblGridChange w:id="0">
              <w:tblGrid>
                <w:gridCol w:w="2444"/>
                <w:gridCol w:w="4646"/>
                <w:gridCol w:w="3402"/>
              </w:tblGrid>
            </w:tblGridChange>
          </w:tblGrid>
          <w:tr>
            <w:trPr>
              <w:cantSplit w:val="0"/>
              <w:trHeight w:val="144" w:hRule="atLeast"/>
              <w:tblHeader w:val="0"/>
            </w:trPr>
            <w:tc>
              <w:tcPr/>
              <w:p w:rsidR="00000000" w:rsidDel="00000000" w:rsidP="00000000" w:rsidRDefault="00000000" w:rsidRPr="00000000" w14:paraId="00000111">
                <w:pPr>
                  <w:tabs>
                    <w:tab w:val="right" w:pos="8838"/>
                  </w:tabs>
                  <w:ind w:left="-74" w:right="-105" w:firstLine="0"/>
                  <w:rPr>
                    <w:rFonts w:ascii="Palatino Linotype" w:cs="Palatino Linotype" w:eastAsia="Palatino Linotype" w:hAnsi="Palatino Linotype"/>
                    <w:b w:val="1"/>
                    <w:sz w:val="22"/>
                    <w:szCs w:val="22"/>
                  </w:rPr>
                </w:pPr>
                <w:bookmarkStart w:colFirst="0" w:colLast="0" w:name="_heading=h.44sinio" w:id="16"/>
                <w:bookmarkEnd w:id="16"/>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112">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03613/INFOEM/IP/RR/2021</w:t>
                </w:r>
              </w:p>
            </w:tc>
            <w:tc>
              <w:tcPr/>
              <w:p w:rsidR="00000000" w:rsidDel="00000000" w:rsidP="00000000" w:rsidRDefault="00000000" w:rsidRPr="00000000" w14:paraId="00000113">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14">
                <w:pPr>
                  <w:tabs>
                    <w:tab w:val="right" w:pos="8838"/>
                  </w:tabs>
                  <w:ind w:left="-74" w:right="-105" w:firstLine="0"/>
                  <w:rPr>
                    <w:rFonts w:ascii="Palatino Linotype" w:cs="Palatino Linotype" w:eastAsia="Palatino Linotype" w:hAnsi="Palatino Linotype"/>
                    <w:b w:val="1"/>
                    <w:sz w:val="22"/>
                    <w:szCs w:val="22"/>
                  </w:rPr>
                </w:pPr>
                <w:bookmarkStart w:colFirst="0" w:colLast="0" w:name="_heading=h.2jxsxqh" w:id="17"/>
                <w:bookmarkEnd w:id="17"/>
                <w:r w:rsidDel="00000000" w:rsidR="00000000" w:rsidRPr="00000000">
                  <w:rPr>
                    <w:rFonts w:ascii="Palatino Linotype" w:cs="Palatino Linotype" w:eastAsia="Palatino Linotype" w:hAnsi="Palatino Linotype"/>
                    <w:b w:val="1"/>
                    <w:sz w:val="22"/>
                    <w:szCs w:val="22"/>
                    <w:rtl w:val="0"/>
                  </w:rPr>
                  <w:t xml:space="preserve">Recurrente:</w:t>
                </w:r>
              </w:p>
            </w:tc>
            <w:tc>
              <w:tcPr/>
              <w:p w:rsidR="00000000" w:rsidDel="00000000" w:rsidP="00000000" w:rsidRDefault="00000000" w:rsidRPr="00000000" w14:paraId="00000115">
                <w:pPr>
                  <w:tabs>
                    <w:tab w:val="left" w:pos="3122"/>
                    <w:tab w:val="right" w:pos="8838"/>
                  </w:tabs>
                  <w:ind w:right="145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XXXXXXXXXXXXXXXXXXX</w:t>
                </w:r>
              </w:p>
            </w:tc>
            <w:tc>
              <w:tcPr/>
              <w:p w:rsidR="00000000" w:rsidDel="00000000" w:rsidP="00000000" w:rsidRDefault="00000000" w:rsidRPr="00000000" w14:paraId="00000116">
                <w:pPr>
                  <w:tabs>
                    <w:tab w:val="left" w:pos="3122"/>
                    <w:tab w:val="right" w:pos="8838"/>
                  </w:tabs>
                  <w:ind w:right="-105"/>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17">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118">
                <w:pPr>
                  <w:tabs>
                    <w:tab w:val="left" w:pos="2834"/>
                    <w:tab w:val="right" w:pos="8838"/>
                  </w:tabs>
                  <w:ind w:left="-3" w:right="13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Secretaría de Obra Pública</w:t>
                </w:r>
                <w:r w:rsidDel="00000000" w:rsidR="00000000" w:rsidRPr="00000000">
                  <w:rPr>
                    <w:rtl w:val="0"/>
                  </w:rPr>
                </w:r>
              </w:p>
            </w:tc>
            <w:tc>
              <w:tcPr/>
              <w:p w:rsidR="00000000" w:rsidDel="00000000" w:rsidP="00000000" w:rsidRDefault="00000000" w:rsidRPr="00000000" w14:paraId="00000119">
                <w:pPr>
                  <w:tabs>
                    <w:tab w:val="left" w:pos="2834"/>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1A">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11B">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p>
            </w:tc>
            <w:tc>
              <w:tcPr/>
              <w:p w:rsidR="00000000" w:rsidDel="00000000" w:rsidP="00000000" w:rsidRDefault="00000000" w:rsidRPr="00000000" w14:paraId="0000011C">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11D">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center" w:pos="452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09" style="position:absolute;margin-left:-105.8pt;margin-top:-134.3pt;width:663.5pt;height:12in;z-index:-251658240;mso-position-horizontal-relative:margin;mso-position-vertical-relative:margin;mso-position-horizontal:absolute;mso-position-vertical:absolute;" o:spid="_x0000_s2049" o:allowincell="f" type="#_x0000_t75">
          <v:imagedata r:id="rId3" o:title="marcaaguaINFOEM"/>
          <w10:wrap/>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4330" w:hanging="360"/>
      </w:pPr>
      <w:rPr>
        <w:rFonts w:ascii="Palatino Linotype" w:cs="Palatino Linotype" w:eastAsia="Palatino Linotype" w:hAnsi="Palatino Linotype"/>
        <w:b w:val="1"/>
        <w:i w:val="0"/>
        <w:color w:val="000000"/>
        <w:sz w:val="24"/>
        <w:szCs w:val="24"/>
      </w:rPr>
    </w:lvl>
    <w:lvl w:ilvl="1">
      <w:start w:val="1"/>
      <w:numFmt w:val="upperRoman"/>
      <w:lvlText w:val="%2."/>
      <w:lvlJc w:val="left"/>
      <w:pPr>
        <w:ind w:left="1800" w:hanging="720"/>
      </w:pPr>
      <w:rPr>
        <w:rFonts w:ascii="Palatino Linotype" w:cs="Palatino Linotype" w:eastAsia="Palatino Linotype" w:hAnsi="Palatino Linotype"/>
        <w:b w:val="1"/>
        <w:color w:val="000000"/>
      </w:rPr>
    </w:lvl>
    <w:lvl w:ilvl="2">
      <w:start w:val="4"/>
      <w:numFmt w:val="lowerRoman"/>
      <w:lvlText w:val="%3."/>
      <w:lvlJc w:val="right"/>
      <w:pPr>
        <w:ind w:left="2160" w:hanging="180"/>
      </w:pPr>
      <w:rPr/>
    </w:lvl>
    <w:lvl w:ilvl="3">
      <w:start w:val="1"/>
      <w:numFmt w:val="lowerLetter"/>
      <w:lvlText w:val="%4)"/>
      <w:lvlJc w:val="left"/>
      <w:pPr>
        <w:ind w:left="2880" w:hanging="360"/>
      </w:pPr>
      <w:rPr/>
    </w:lvl>
    <w:lvl w:ilvl="4">
      <w:start w:val="104"/>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pPr>
      <w:spacing w:after="0" w:line="240" w:lineRule="auto"/>
    </w:pPr>
    <w:rPr>
      <w:rFonts w:eastAsia="Times New Roman"/>
      <w:lang w:eastAsia="es-ES"/>
    </w:rPr>
  </w:style>
  <w:style w:type="paragraph" w:styleId="Ttulo1">
    <w:name w:val="heading 1"/>
    <w:basedOn w:val="Normal"/>
    <w:next w:val="Normal"/>
    <w:link w:val="Ttulo1Car"/>
    <w:uiPriority w:val="9"/>
    <w:qFormat w:val="1"/>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8E643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8E6432"/>
    <w:pPr>
      <w:keepNext w:val="1"/>
      <w:keepLines w:val="1"/>
      <w:spacing w:before="40"/>
      <w:outlineLvl w:val="2"/>
    </w:pPr>
    <w:rPr>
      <w:rFonts w:asciiTheme="majorHAnsi" w:cstheme="majorBidi" w:eastAsiaTheme="majorEastAsia" w:hAnsiTheme="majorHAnsi"/>
      <w:color w:val="1f3763" w:themeColor="accent1" w:themeShade="00007F"/>
      <w:sz w:val="24"/>
      <w:szCs w:val="24"/>
      <w:lang w:val="es-ES_tradnl"/>
    </w:rPr>
  </w:style>
  <w:style w:type="paragraph" w:styleId="Ttulo4">
    <w:name w:val="heading 4"/>
    <w:basedOn w:val="Normal"/>
    <w:next w:val="Normal"/>
    <w:link w:val="Ttulo4Car"/>
    <w:uiPriority w:val="9"/>
    <w:unhideWhenUsed w:val="1"/>
    <w:qFormat w:val="1"/>
    <w:rsid w:val="008E6432"/>
    <w:pPr>
      <w:keepNext w:val="1"/>
      <w:keepLines w:val="1"/>
      <w:spacing w:before="40"/>
      <w:outlineLvl w:val="3"/>
    </w:pPr>
    <w:rPr>
      <w:rFonts w:asciiTheme="majorHAnsi" w:cstheme="majorBidi" w:eastAsiaTheme="majorEastAsia" w:hAnsiTheme="majorHAnsi"/>
      <w:i w:val="1"/>
      <w:iCs w:val="1"/>
      <w:color w:val="2f5496" w:themeColor="accent1" w:themeShade="0000BF"/>
      <w:sz w:val="24"/>
      <w:szCs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
    <w:uiPriority w:val="99"/>
    <w:semiHidden w:val="1"/>
    <w:unhideWhenUsed w:val="1"/>
  </w:style>
  <w:style w:type="paragraph" w:styleId="Textodeglobo">
    <w:name w:val="Balloon Text"/>
    <w:basedOn w:val="Normal"/>
    <w:link w:val="TextodegloboCar"/>
    <w:uiPriority w:val="99"/>
    <w:semiHidden w:val="1"/>
    <w:unhideWhenUsed w:val="1"/>
    <w:qFormat w:val="1"/>
    <w:rPr>
      <w:rFonts w:ascii="Segoe UI" w:cs="Segoe UI" w:hAnsi="Segoe UI"/>
      <w:sz w:val="18"/>
      <w:szCs w:val="18"/>
    </w:rPr>
  </w:style>
  <w:style w:type="paragraph" w:styleId="Lista3">
    <w:name w:val="List 3"/>
    <w:basedOn w:val="Normal"/>
    <w:uiPriority w:val="99"/>
    <w:unhideWhenUsed w:val="1"/>
    <w:qFormat w:val="1"/>
    <w:pPr>
      <w:ind w:left="849" w:hanging="283"/>
      <w:contextualSpacing w:val="1"/>
    </w:pPr>
  </w:style>
  <w:style w:type="paragraph" w:styleId="Encabezado">
    <w:name w:val="header"/>
    <w:basedOn w:val="Normal"/>
    <w:link w:val="EncabezadoCar"/>
    <w:uiPriority w:val="99"/>
    <w:unhideWhenUsed w:val="1"/>
    <w:qFormat w:val="1"/>
    <w:pPr>
      <w:tabs>
        <w:tab w:val="center" w:pos="4419"/>
        <w:tab w:val="right" w:pos="8838"/>
      </w:tabs>
    </w:pPr>
  </w:style>
  <w:style w:type="paragraph" w:styleId="HTMLconformatoprevio">
    <w:name w:val="HTML Preformatted"/>
    <w:basedOn w:val="Normal"/>
    <w:link w:val="HTMLconformatoprevioC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lang w:eastAsia="es-MX"/>
    </w:rPr>
  </w:style>
  <w:style w:type="paragraph" w:styleId="Sangradetextonormal">
    <w:name w:val="Body Text Indent"/>
    <w:basedOn w:val="Normal"/>
    <w:link w:val="SangradetextonormalCar"/>
    <w:uiPriority w:val="99"/>
    <w:unhideWhenUsed w:val="1"/>
    <w:qFormat w:val="1"/>
    <w:pPr>
      <w:spacing w:after="120"/>
      <w:ind w:left="283"/>
    </w:pPr>
  </w:style>
  <w:style w:type="paragraph" w:styleId="Lista2">
    <w:name w:val="List 2"/>
    <w:basedOn w:val="Normal"/>
    <w:uiPriority w:val="99"/>
    <w:unhideWhenUsed w:val="1"/>
    <w:qFormat w:val="1"/>
    <w:pPr>
      <w:ind w:left="566" w:hanging="283"/>
      <w:contextualSpacing w:val="1"/>
    </w:pPr>
  </w:style>
  <w:style w:type="paragraph" w:styleId="Lista">
    <w:name w:val="List"/>
    <w:basedOn w:val="Normal"/>
    <w:uiPriority w:val="99"/>
    <w:unhideWhenUsed w:val="1"/>
    <w:qFormat w:val="1"/>
    <w:pPr>
      <w:ind w:left="283" w:hanging="283"/>
      <w:contextualSpacing w:val="1"/>
    </w:pPr>
  </w:style>
  <w:style w:type="paragraph" w:styleId="Lista4">
    <w:name w:val="List 4"/>
    <w:basedOn w:val="Normal"/>
    <w:uiPriority w:val="99"/>
    <w:unhideWhenUsed w:val="1"/>
    <w:qFormat w:val="1"/>
    <w:pPr>
      <w:ind w:left="1132" w:hanging="283"/>
      <w:contextualSpacing w:val="1"/>
    </w:pPr>
  </w:style>
  <w:style w:type="paragraph" w:styleId="Listaconvietas2">
    <w:name w:val="List Bullet 2"/>
    <w:basedOn w:val="Normal"/>
    <w:uiPriority w:val="99"/>
    <w:unhideWhenUsed w:val="1"/>
    <w:qFormat w:val="1"/>
    <w:pPr>
      <w:numPr>
        <w:numId w:val="1"/>
      </w:numPr>
      <w:contextualSpacing w:val="1"/>
    </w:pPr>
  </w:style>
  <w:style w:type="paragraph" w:styleId="Piedepgina">
    <w:name w:val="footer"/>
    <w:basedOn w:val="Normal"/>
    <w:link w:val="PiedepginaCar"/>
    <w:uiPriority w:val="99"/>
    <w:unhideWhenUsed w:val="1"/>
    <w:qFormat w:val="1"/>
    <w:pPr>
      <w:tabs>
        <w:tab w:val="center" w:pos="4419"/>
        <w:tab w:val="right" w:pos="8838"/>
      </w:tabs>
    </w:pPr>
  </w:style>
  <w:style w:type="paragraph" w:styleId="Saludo">
    <w:name w:val="Salutation"/>
    <w:basedOn w:val="Normal"/>
    <w:next w:val="Normal"/>
    <w:link w:val="SaludoCar"/>
    <w:uiPriority w:val="99"/>
    <w:unhideWhenUsed w:val="1"/>
    <w:qFormat w:val="1"/>
  </w:style>
  <w:style w:type="paragraph" w:styleId="Textoindependiente">
    <w:name w:val="Body Text"/>
    <w:basedOn w:val="Normal"/>
    <w:link w:val="TextoindependienteCar"/>
    <w:uiPriority w:val="99"/>
    <w:unhideWhenUsed w:val="1"/>
    <w:qFormat w:val="1"/>
    <w:pPr>
      <w:spacing w:after="120"/>
    </w:pPr>
  </w:style>
  <w:style w:type="paragraph" w:styleId="Textoindependienteprimerasangra2">
    <w:name w:val="Body Text First Indent 2"/>
    <w:basedOn w:val="Sangradetextonormal"/>
    <w:link w:val="Textoindependienteprimerasangra2Car"/>
    <w:uiPriority w:val="99"/>
    <w:unhideWhenUsed w:val="1"/>
    <w:qFormat w:val="1"/>
    <w:pPr>
      <w:spacing w:after="0"/>
      <w:ind w:left="360" w:firstLine="360"/>
    </w:pPr>
  </w:style>
  <w:style w:type="paragraph" w:styleId="Puesto">
    <w:name w:val="Title"/>
    <w:basedOn w:val="Normal"/>
    <w:next w:val="Normal"/>
    <w:link w:val="PuestoCar"/>
    <w:uiPriority w:val="10"/>
    <w:qFormat w:val="1"/>
    <w:pPr>
      <w:contextualSpacing w:val="1"/>
    </w:pPr>
    <w:rPr>
      <w:rFonts w:asciiTheme="majorHAnsi" w:cstheme="majorBidi" w:eastAsiaTheme="majorEastAsia" w:hAnsiTheme="majorHAnsi"/>
      <w:spacing w:val="-10"/>
      <w:kern w:val="28"/>
      <w:sz w:val="56"/>
      <w:szCs w:val="56"/>
    </w:rPr>
  </w:style>
  <w:style w:type="character" w:styleId="Refdecomentario">
    <w:name w:val="annotation reference"/>
    <w:basedOn w:val="Fuentedeprrafopredeter"/>
    <w:uiPriority w:val="99"/>
    <w:semiHidden w:val="1"/>
    <w:unhideWhenUsed w:val="1"/>
    <w:qFormat w:val="1"/>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Pr>
      <w:color w:val="0563c1" w:themeColor="hyperlink"/>
      <w:u w:val="single"/>
    </w:rPr>
  </w:style>
  <w:style w:type="character" w:styleId="Hipervnculovisitado">
    <w:name w:val="FollowedHyperlink"/>
    <w:basedOn w:val="Fuentedeprrafopredeter"/>
    <w:uiPriority w:val="99"/>
    <w:semiHidden w:val="1"/>
    <w:unhideWhenUsed w:val="1"/>
    <w:qFormat w:val="1"/>
    <w:rPr>
      <w:color w:val="954f72" w:themeColor="followedHyperlink"/>
      <w:u w:val="single"/>
    </w:rPr>
  </w:style>
  <w:style w:type="character" w:styleId="Textoennegrita">
    <w:name w:val="Strong"/>
    <w:qFormat w:val="1"/>
    <w:rPr>
      <w:b w:val="1"/>
      <w:bCs w:val="1"/>
    </w:rPr>
  </w:style>
  <w:style w:type="table" w:styleId="Tablaconcuadrcula">
    <w:name w:val="Table Grid"/>
    <w:basedOn w:val="Tablanormal"/>
    <w:uiPriority w:val="3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ar" w:customStyle="1">
    <w:name w:val="Título 1 Car"/>
    <w:basedOn w:val="Fuentedeprrafopredeter"/>
    <w:link w:val="Ttulo1"/>
    <w:uiPriority w:val="9"/>
    <w:rPr>
      <w:rFonts w:asciiTheme="majorHAnsi" w:cstheme="majorBidi" w:eastAsiaTheme="majorEastAsia" w:hAnsiTheme="majorHAnsi"/>
      <w:color w:val="2f5496" w:themeColor="accent1" w:themeShade="0000BF"/>
      <w:sz w:val="32"/>
      <w:szCs w:val="32"/>
      <w:lang w:eastAsia="es-ES" w:val="es-ES"/>
    </w:rPr>
  </w:style>
  <w:style w:type="character" w:styleId="EncabezadoCar" w:customStyle="1">
    <w:name w:val="Encabezado Car"/>
    <w:basedOn w:val="Fuentedeprrafopredeter"/>
    <w:link w:val="Encabezado"/>
    <w:uiPriority w:val="99"/>
    <w:qFormat w:val="1"/>
    <w:rPr>
      <w:rFonts w:ascii="Times New Roman" w:cs="Times New Roman" w:eastAsia="Times New Roman" w:hAnsi="Times New Roman"/>
      <w:sz w:val="20"/>
      <w:szCs w:val="20"/>
      <w:lang w:eastAsia="es-ES" w:val="es-ES"/>
    </w:rPr>
  </w:style>
  <w:style w:type="character" w:styleId="PiedepginaCar" w:customStyle="1">
    <w:name w:val="Pie de página Car"/>
    <w:basedOn w:val="Fuentedeprrafopredeter"/>
    <w:link w:val="Piedepgina"/>
    <w:uiPriority w:val="99"/>
    <w:qFormat w:val="1"/>
    <w:rPr>
      <w:rFonts w:ascii="Times New Roman" w:cs="Times New Roman" w:eastAsia="Times New Roman" w:hAnsi="Times New Roman"/>
      <w:sz w:val="20"/>
      <w:szCs w:val="20"/>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pPr>
      <w:ind w:left="720"/>
      <w:contextualSpacing w:val="1"/>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Pr>
      <w:rFonts w:ascii="Century Gothic" w:cs="Times New Roman" w:eastAsia="Times New Roman" w:hAnsi="Century Gothic"/>
      <w:szCs w:val="24"/>
      <w:lang w:eastAsia="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cs="Times New Roman" w:eastAsia="Calibri" w:hAnsi="Calibri"/>
      <w:sz w:val="20"/>
      <w:szCs w:val="20"/>
    </w:rPr>
  </w:style>
  <w:style w:type="character" w:styleId="TextodegloboCar" w:customStyle="1">
    <w:name w:val="Texto de globo Car"/>
    <w:basedOn w:val="Fuentedeprrafopredeter"/>
    <w:link w:val="Textodeglobo"/>
    <w:uiPriority w:val="99"/>
    <w:semiHidden w:val="1"/>
    <w:qFormat w:val="1"/>
    <w:rPr>
      <w:rFonts w:ascii="Segoe UI" w:cs="Segoe UI" w:eastAsia="Times New Roman" w:hAnsi="Segoe UI"/>
      <w:sz w:val="18"/>
      <w:szCs w:val="18"/>
      <w:lang w:eastAsia="es-ES" w:val="es-ES"/>
    </w:rPr>
  </w:style>
  <w:style w:type="character" w:styleId="TextocomentarioCar" w:customStyle="1">
    <w:name w:val="Texto comentario Car"/>
    <w:basedOn w:val="Fuentedeprrafopredeter"/>
    <w:link w:val="Textocomentario"/>
    <w:uiPriority w:val="99"/>
    <w:semiHidden w:val="1"/>
    <w:qFormat w:val="1"/>
    <w:rPr>
      <w:rFonts w:ascii="Times New Roman" w:cs="Times New Roman" w:eastAsia="Times New Roman" w:hAnsi="Times New Roman"/>
      <w:sz w:val="20"/>
      <w:szCs w:val="20"/>
      <w:lang w:eastAsia="es-ES" w:val="es-ES"/>
    </w:rPr>
  </w:style>
  <w:style w:type="character" w:styleId="AsuntodelcomentarioCar" w:customStyle="1">
    <w:name w:val="Asunto del comentario Car"/>
    <w:basedOn w:val="TextocomentarioCar"/>
    <w:link w:val="Asuntodelcomentario"/>
    <w:uiPriority w:val="99"/>
    <w:semiHidden w:val="1"/>
    <w:qFormat w:val="1"/>
    <w:rPr>
      <w:rFonts w:ascii="Times New Roman" w:cs="Times New Roman" w:eastAsia="Times New Roman" w:hAnsi="Times New Roman"/>
      <w:b w:val="1"/>
      <w:bCs w:val="1"/>
      <w:sz w:val="20"/>
      <w:szCs w:val="20"/>
      <w:lang w:eastAsia="es-ES" w:val="es-ES"/>
    </w:rPr>
  </w:style>
  <w:style w:type="character" w:styleId="Mencionar1" w:customStyle="1">
    <w:name w:val="Mencionar1"/>
    <w:basedOn w:val="Fuentedeprrafopredeter"/>
    <w:uiPriority w:val="99"/>
    <w:semiHidden w:val="1"/>
    <w:unhideWhenUsed w:val="1"/>
    <w:qFormat w:val="1"/>
    <w:rPr>
      <w:color w:val="2b579a"/>
      <w:shd w:color="auto" w:fill="e6e6e6" w:val="clear"/>
    </w:rPr>
  </w:style>
  <w:style w:type="character" w:styleId="Mencionar2" w:customStyle="1">
    <w:name w:val="Mencionar2"/>
    <w:basedOn w:val="Fuentedeprrafopredeter"/>
    <w:uiPriority w:val="99"/>
    <w:semiHidden w:val="1"/>
    <w:unhideWhenUsed w:val="1"/>
    <w:qFormat w:val="1"/>
    <w:rPr>
      <w:color w:val="2b579a"/>
      <w:shd w:color="auto" w:fill="e6e6e6" w:val="clear"/>
    </w:rPr>
  </w:style>
  <w:style w:type="character" w:styleId="maestrofonttexto" w:customStyle="1">
    <w:name w:val="maestro_fonttexto"/>
    <w:basedOn w:val="Fuentedeprrafopredeter"/>
    <w:qFormat w:val="1"/>
  </w:style>
  <w:style w:type="character" w:styleId="HTMLconformatoprevioCar" w:customStyle="1">
    <w:name w:val="HTML con formato previo Car"/>
    <w:basedOn w:val="Fuentedeprrafopredeter"/>
    <w:link w:val="HTMLconformatoprevio"/>
    <w:uiPriority w:val="99"/>
    <w:semiHidden w:val="1"/>
    <w:qFormat w:val="1"/>
    <w:rPr>
      <w:rFonts w:ascii="Courier New" w:cs="Courier New" w:eastAsia="Times New Roman" w:hAnsi="Courier New"/>
      <w:sz w:val="20"/>
      <w:szCs w:val="20"/>
      <w:lang w:eastAsia="es-MX"/>
    </w:rPr>
  </w:style>
  <w:style w:type="paragraph" w:styleId="Default" w:customStyle="1">
    <w:name w:val="Default"/>
    <w:qFormat w:val="1"/>
    <w:pPr>
      <w:autoSpaceDE w:val="0"/>
      <w:autoSpaceDN w:val="0"/>
      <w:adjustRightInd w:val="0"/>
      <w:spacing w:after="0" w:line="240" w:lineRule="auto"/>
    </w:pPr>
    <w:rPr>
      <w:rFonts w:ascii="Arial" w:cs="Arial" w:hAnsi="Arial" w:eastAsiaTheme="minorHAnsi"/>
      <w:color w:val="000000"/>
      <w:sz w:val="24"/>
      <w:szCs w:val="24"/>
      <w:lang w:eastAsia="en-US"/>
    </w:rPr>
  </w:style>
  <w:style w:type="character" w:styleId="CharacterStyle1" w:customStyle="1">
    <w:name w:val="Character Style 1"/>
    <w:uiPriority w:val="99"/>
    <w:qFormat w:val="1"/>
    <w:rPr>
      <w:sz w:val="20"/>
      <w:szCs w:val="20"/>
    </w:rPr>
  </w:style>
  <w:style w:type="paragraph" w:styleId="Estilo1" w:customStyle="1">
    <w:name w:val="Estilo1"/>
    <w:basedOn w:val="Textoindependiente"/>
    <w:qFormat w:val="1"/>
  </w:style>
  <w:style w:type="character" w:styleId="TextoindependienteCar" w:customStyle="1">
    <w:name w:val="Texto independiente Car"/>
    <w:basedOn w:val="Fuentedeprrafopredeter"/>
    <w:link w:val="Textoindependiente"/>
    <w:uiPriority w:val="99"/>
    <w:qFormat w:val="1"/>
    <w:rPr>
      <w:rFonts w:ascii="Times New Roman" w:cs="Times New Roman" w:eastAsia="Times New Roman" w:hAnsi="Times New Roman"/>
      <w:sz w:val="20"/>
      <w:szCs w:val="20"/>
      <w:lang w:eastAsia="es-ES" w:val="es-ES"/>
    </w:rPr>
  </w:style>
  <w:style w:type="paragraph" w:styleId="Sinespaciado">
    <w:name w:val="No Spacing"/>
    <w:aliases w:val="Francesa,INAI"/>
    <w:link w:val="SinespaciadoCar"/>
    <w:qFormat w:val="1"/>
    <w:pPr>
      <w:spacing w:after="0" w:line="240" w:lineRule="auto"/>
      <w:ind w:left="567" w:right="567"/>
      <w:jc w:val="both"/>
    </w:pPr>
    <w:rPr>
      <w:rFonts w:ascii="Arial" w:eastAsia="Batang" w:hAnsi="Arial"/>
      <w:szCs w:val="24"/>
      <w:lang w:eastAsia="es-ES"/>
    </w:rPr>
  </w:style>
  <w:style w:type="character" w:styleId="SinespaciadoCar" w:customStyle="1">
    <w:name w:val="Sin espaciado Car"/>
    <w:aliases w:val="Francesa Car,INAI Car"/>
    <w:basedOn w:val="Fuentedeprrafopredeter"/>
    <w:link w:val="Sinespaciado"/>
    <w:uiPriority w:val="1"/>
    <w:qFormat w:val="1"/>
    <w:rPr>
      <w:rFonts w:ascii="Arial" w:cs="Times New Roman" w:eastAsia="Batang" w:hAnsi="Arial"/>
      <w:sz w:val="20"/>
      <w:szCs w:val="24"/>
      <w:lang w:eastAsia="es-ES"/>
    </w:rPr>
  </w:style>
  <w:style w:type="character" w:styleId="SaludoCar" w:customStyle="1">
    <w:name w:val="Saludo Car"/>
    <w:basedOn w:val="Fuentedeprrafopredeter"/>
    <w:link w:val="Saludo"/>
    <w:uiPriority w:val="99"/>
    <w:qFormat w:val="1"/>
    <w:rPr>
      <w:rFonts w:ascii="Times New Roman" w:cs="Times New Roman" w:eastAsia="Times New Roman" w:hAnsi="Times New Roman"/>
      <w:sz w:val="20"/>
      <w:szCs w:val="20"/>
      <w:lang w:eastAsia="es-ES" w:val="es-ES"/>
    </w:rPr>
  </w:style>
  <w:style w:type="character" w:styleId="PuestoCar" w:customStyle="1">
    <w:name w:val="Puesto Car"/>
    <w:basedOn w:val="Fuentedeprrafopredeter"/>
    <w:link w:val="Puesto"/>
    <w:uiPriority w:val="10"/>
    <w:qFormat w:val="1"/>
    <w:rPr>
      <w:rFonts w:asciiTheme="majorHAnsi" w:cstheme="majorBidi" w:eastAsiaTheme="majorEastAsia" w:hAnsiTheme="majorHAnsi"/>
      <w:spacing w:val="-10"/>
      <w:kern w:val="28"/>
      <w:sz w:val="56"/>
      <w:szCs w:val="56"/>
      <w:lang w:eastAsia="es-ES" w:val="es-ES"/>
    </w:rPr>
  </w:style>
  <w:style w:type="character" w:styleId="SangradetextonormalCar" w:customStyle="1">
    <w:name w:val="Sangría de texto normal Car"/>
    <w:basedOn w:val="Fuentedeprrafopredeter"/>
    <w:link w:val="Sangradetextonormal"/>
    <w:uiPriority w:val="99"/>
    <w:qFormat w:val="1"/>
    <w:rPr>
      <w:rFonts w:ascii="Times New Roman" w:cs="Times New Roman" w:eastAsia="Times New Roman" w:hAnsi="Times New Roman"/>
      <w:sz w:val="20"/>
      <w:szCs w:val="20"/>
      <w:lang w:eastAsia="es-ES" w:val="es-ES"/>
    </w:rPr>
  </w:style>
  <w:style w:type="character" w:styleId="Textoindependienteprimerasangra2Car" w:customStyle="1">
    <w:name w:val="Texto independiente primera sangría 2 Car"/>
    <w:basedOn w:val="SangradetextonormalCar"/>
    <w:link w:val="Textoindependienteprimerasangra2"/>
    <w:uiPriority w:val="99"/>
    <w:qFormat w:val="1"/>
    <w:rPr>
      <w:rFonts w:ascii="Times New Roman" w:cs="Times New Roman" w:eastAsia="Times New Roman" w:hAnsi="Times New Roman"/>
      <w:sz w:val="20"/>
      <w:szCs w:val="20"/>
      <w:lang w:eastAsia="es-ES" w:val="es-ES"/>
    </w:rPr>
  </w:style>
  <w:style w:type="character" w:styleId="Mencionar3" w:customStyle="1">
    <w:name w:val="Mencionar3"/>
    <w:basedOn w:val="Fuentedeprrafopredeter"/>
    <w:uiPriority w:val="99"/>
    <w:semiHidden w:val="1"/>
    <w:unhideWhenUsed w:val="1"/>
    <w:qFormat w:val="1"/>
    <w:rPr>
      <w:color w:val="2b579a"/>
      <w:shd w:color="auto" w:fill="e6e6e6" w:val="clear"/>
    </w:rPr>
  </w:style>
  <w:style w:type="character" w:styleId="Mencionar4" w:customStyle="1">
    <w:name w:val="Mencionar4"/>
    <w:basedOn w:val="Fuentedeprrafopredeter"/>
    <w:uiPriority w:val="99"/>
    <w:semiHidden w:val="1"/>
    <w:unhideWhenUsed w:val="1"/>
    <w:qFormat w:val="1"/>
    <w:rPr>
      <w:color w:val="2b579a"/>
      <w:shd w:color="auto" w:fill="e6e6e6" w:val="clear"/>
    </w:rPr>
  </w:style>
  <w:style w:type="character" w:styleId="maestrofonttexto1" w:customStyle="1">
    <w:name w:val="maestro_fonttexto1"/>
    <w:basedOn w:val="Fuentedeprrafopredeter"/>
    <w:qFormat w:val="1"/>
    <w:rPr>
      <w:rFonts w:ascii="Arial" w:cs="Arial" w:hAnsi="Arial" w:hint="default"/>
      <w:sz w:val="15"/>
      <w:szCs w:val="15"/>
    </w:rPr>
  </w:style>
  <w:style w:type="character" w:styleId="apple-converted-space" w:customStyle="1">
    <w:name w:val="apple-converted-space"/>
    <w:basedOn w:val="Fuentedeprrafopredeter"/>
    <w:qFormat w:val="1"/>
  </w:style>
  <w:style w:type="table" w:styleId="Tablaconcuadrcula1" w:customStyle="1">
    <w:name w:val="Tabla con cuadrícula1"/>
    <w:basedOn w:val="Tablanormal"/>
    <w:uiPriority w:val="5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2Car" w:customStyle="1">
    <w:name w:val="Título 2 Car"/>
    <w:basedOn w:val="Fuentedeprrafopredeter"/>
    <w:link w:val="Ttulo2"/>
    <w:uiPriority w:val="9"/>
    <w:rsid w:val="008E6432"/>
    <w:rPr>
      <w:rFonts w:asciiTheme="majorHAnsi" w:cstheme="majorBidi" w:eastAsiaTheme="majorEastAsia" w:hAnsiTheme="majorHAnsi"/>
      <w:color w:val="2f5496" w:themeColor="accent1" w:themeShade="0000BF"/>
      <w:sz w:val="26"/>
      <w:szCs w:val="26"/>
      <w:lang w:eastAsia="es-ES"/>
    </w:rPr>
  </w:style>
  <w:style w:type="character" w:styleId="Ttulo3Car" w:customStyle="1">
    <w:name w:val="Título 3 Car"/>
    <w:basedOn w:val="Fuentedeprrafopredeter"/>
    <w:link w:val="Ttulo3"/>
    <w:uiPriority w:val="9"/>
    <w:rsid w:val="008E6432"/>
    <w:rPr>
      <w:rFonts w:asciiTheme="majorHAnsi" w:cstheme="majorBidi" w:eastAsiaTheme="majorEastAsia" w:hAnsiTheme="majorHAnsi"/>
      <w:color w:val="1f3763" w:themeColor="accent1" w:themeShade="00007F"/>
      <w:sz w:val="24"/>
      <w:szCs w:val="24"/>
      <w:lang w:eastAsia="es-ES" w:val="es-ES_tradnl"/>
    </w:rPr>
  </w:style>
  <w:style w:type="character" w:styleId="Ttulo4Car" w:customStyle="1">
    <w:name w:val="Título 4 Car"/>
    <w:basedOn w:val="Fuentedeprrafopredeter"/>
    <w:link w:val="Ttulo4"/>
    <w:uiPriority w:val="9"/>
    <w:rsid w:val="008E6432"/>
    <w:rPr>
      <w:rFonts w:asciiTheme="majorHAnsi" w:cstheme="majorBidi" w:eastAsiaTheme="majorEastAsia" w:hAnsiTheme="majorHAnsi"/>
      <w:i w:val="1"/>
      <w:iCs w:val="1"/>
      <w:color w:val="2f5496" w:themeColor="accent1" w:themeShade="0000BF"/>
      <w:sz w:val="24"/>
      <w:szCs w:val="24"/>
      <w:lang w:eastAsia="es-ES" w:val="es-ES_tradnl"/>
    </w:rPr>
  </w:style>
  <w:style w:type="paragraph" w:styleId="TDC1">
    <w:name w:val="toc 1"/>
    <w:basedOn w:val="Normal"/>
    <w:next w:val="Normal"/>
    <w:autoRedefine w:val="1"/>
    <w:uiPriority w:val="39"/>
    <w:unhideWhenUsed w:val="1"/>
    <w:rsid w:val="008E6432"/>
    <w:pPr>
      <w:tabs>
        <w:tab w:val="right" w:leader="dot" w:pos="8779"/>
      </w:tabs>
      <w:spacing w:after="100"/>
      <w:ind w:left="142"/>
    </w:pPr>
    <w:rPr>
      <w:rFonts w:ascii="Palatino Linotype" w:hAnsi="Palatino Linotype" w:cstheme="minorBidi" w:eastAsiaTheme="minorEastAsia"/>
      <w:b w:val="1"/>
      <w:bCs w:val="1"/>
      <w:noProof w:val="1"/>
      <w:sz w:val="24"/>
      <w:szCs w:val="24"/>
      <w:lang w:val="es-ES_tradnl"/>
    </w:rPr>
  </w:style>
  <w:style w:type="paragraph" w:styleId="TDC2">
    <w:name w:val="toc 2"/>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TtulodeTDC">
    <w:name w:val="TOC Heading"/>
    <w:basedOn w:val="Ttulo1"/>
    <w:next w:val="Normal"/>
    <w:uiPriority w:val="39"/>
    <w:unhideWhenUsed w:val="1"/>
    <w:qFormat w:val="1"/>
    <w:rsid w:val="008E6432"/>
    <w:pPr>
      <w:spacing w:line="259" w:lineRule="auto"/>
      <w:outlineLvl w:val="9"/>
    </w:pPr>
    <w:rPr>
      <w:rFonts w:ascii="Palatino Linotype" w:hAnsi="Palatino Linotype"/>
      <w:b w:val="1"/>
      <w:color w:val="auto"/>
      <w:sz w:val="24"/>
      <w:lang w:eastAsia="es-MX"/>
    </w:rPr>
  </w:style>
  <w:style w:type="paragraph" w:styleId="Textoindependiente2">
    <w:name w:val="Body Text 2"/>
    <w:basedOn w:val="Normal"/>
    <w:link w:val="Textoindependiente2Car"/>
    <w:uiPriority w:val="99"/>
    <w:semiHidden w:val="1"/>
    <w:unhideWhenUsed w:val="1"/>
    <w:rsid w:val="008E6432"/>
    <w:pPr>
      <w:spacing w:after="120" w:line="480" w:lineRule="auto"/>
    </w:pPr>
    <w:rPr>
      <w:rFonts w:asciiTheme="minorHAnsi" w:cstheme="minorBidi" w:eastAsiaTheme="minorEastAsia" w:hAnsiTheme="minorHAnsi"/>
      <w:sz w:val="24"/>
      <w:szCs w:val="24"/>
      <w:lang w:val="es-ES_tradnl"/>
    </w:rPr>
  </w:style>
  <w:style w:type="character" w:styleId="Textoindependiente2Car" w:customStyle="1">
    <w:name w:val="Texto independiente 2 Car"/>
    <w:basedOn w:val="Fuentedeprrafopredeter"/>
    <w:link w:val="Textoindependiente2"/>
    <w:uiPriority w:val="99"/>
    <w:semiHidden w:val="1"/>
    <w:rsid w:val="008E6432"/>
    <w:rPr>
      <w:rFonts w:asciiTheme="minorHAnsi" w:cstheme="minorBidi" w:eastAsiaTheme="minorEastAsia" w:hAnsiTheme="minorHAnsi"/>
      <w:sz w:val="24"/>
      <w:szCs w:val="24"/>
      <w:lang w:eastAsia="es-ES" w:val="es-ES_tradnl"/>
    </w:rPr>
  </w:style>
  <w:style w:type="paragraph" w:styleId="Textonotapie1" w:customStyle="1">
    <w:name w:val="Texto nota pie1"/>
    <w:basedOn w:val="Normal"/>
    <w:next w:val="Textonotapie"/>
    <w:unhideWhenUsed w:val="1"/>
    <w:rsid w:val="008E6432"/>
    <w:rPr>
      <w:rFonts w:eastAsia="Cambria" w:asciiTheme="minorHAnsi" w:cstheme="minorBidi" w:hAnsiTheme="minorHAnsi"/>
      <w:lang w:eastAsia="en-US"/>
    </w:rPr>
  </w:style>
  <w:style w:type="paragraph" w:styleId="TDC3">
    <w:name w:val="toc 3"/>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m1609377113336227858gmail-msonormal" w:customStyle="1">
    <w:name w:val="m_1609377113336227858gmail-msonormal"/>
    <w:basedOn w:val="Normal"/>
    <w:rsid w:val="008E6432"/>
    <w:pPr>
      <w:spacing w:after="100" w:afterAutospacing="1" w:before="100" w:beforeAutospacing="1"/>
    </w:pPr>
    <w:rPr>
      <w:sz w:val="24"/>
      <w:szCs w:val="24"/>
      <w:lang w:val="es-ES"/>
    </w:rPr>
  </w:style>
  <w:style w:type="paragraph" w:styleId="m3527742037047551335gmail-msolistparagraph" w:customStyle="1">
    <w:name w:val="m_3527742037047551335gmail-msolistparagraph"/>
    <w:basedOn w:val="Normal"/>
    <w:rsid w:val="008E6432"/>
    <w:pPr>
      <w:spacing w:after="100" w:afterAutospacing="1" w:before="100" w:beforeAutospacing="1"/>
    </w:pPr>
    <w:rPr>
      <w:sz w:val="24"/>
      <w:szCs w:val="24"/>
      <w:lang w:eastAsia="es-MX"/>
    </w:rPr>
  </w:style>
  <w:style w:type="paragraph" w:styleId="m-698976158124685028gmail-msolistparagraph" w:customStyle="1">
    <w:name w:val="m_-698976158124685028gmail-msolistparagraph"/>
    <w:basedOn w:val="Normal"/>
    <w:rsid w:val="008E6432"/>
    <w:pPr>
      <w:spacing w:after="100" w:afterAutospacing="1" w:before="100" w:beforeAutospacing="1"/>
    </w:pPr>
    <w:rPr>
      <w:sz w:val="24"/>
      <w:szCs w:val="24"/>
      <w:lang w:eastAsia="es-MX"/>
    </w:rPr>
  </w:style>
  <w:style w:type="paragraph" w:styleId="m-698976158124685028gmail-default" w:customStyle="1">
    <w:name w:val="m_-698976158124685028gmail-default"/>
    <w:basedOn w:val="Normal"/>
    <w:rsid w:val="008E6432"/>
    <w:pPr>
      <w:spacing w:after="100" w:afterAutospacing="1" w:before="100" w:beforeAutospacing="1"/>
    </w:pPr>
    <w:rPr>
      <w:sz w:val="24"/>
      <w:szCs w:val="24"/>
      <w:lang w:eastAsia="es-MX"/>
    </w:rPr>
  </w:style>
  <w:style w:type="paragraph" w:styleId="m-698976158124685028gmail-m483811427706604298gmail-msolistparagraph" w:customStyle="1">
    <w:name w:val="m_-698976158124685028gmail-m483811427706604298gmail-msolistparagraph"/>
    <w:basedOn w:val="Normal"/>
    <w:rsid w:val="008E6432"/>
    <w:pPr>
      <w:spacing w:after="100" w:afterAutospacing="1" w:before="100" w:beforeAutospacing="1"/>
    </w:pPr>
    <w:rPr>
      <w:sz w:val="24"/>
      <w:szCs w:val="24"/>
      <w:lang w:eastAsia="es-MX"/>
    </w:rPr>
  </w:style>
  <w:style w:type="paragraph" w:styleId="m-698976158124685028gmail-msonormal" w:customStyle="1">
    <w:name w:val="m_-698976158124685028gmail-msonormal"/>
    <w:basedOn w:val="Normal"/>
    <w:rsid w:val="008E6432"/>
    <w:pPr>
      <w:spacing w:after="100" w:afterAutospacing="1" w:before="100" w:beforeAutospacing="1"/>
    </w:pPr>
    <w:rPr>
      <w:sz w:val="24"/>
      <w:szCs w:val="24"/>
      <w:lang w:eastAsia="es-MX"/>
    </w:rPr>
  </w:style>
  <w:style w:type="character" w:styleId="m-698976158124685028gmail-apple-converted-space" w:customStyle="1">
    <w:name w:val="m_-698976158124685028gmail-apple-converted-space"/>
    <w:basedOn w:val="Fuentedeprrafopredeter"/>
    <w:rsid w:val="008E6432"/>
  </w:style>
  <w:style w:type="character" w:styleId="apple-style-span" w:customStyle="1">
    <w:name w:val="apple-style-span"/>
    <w:rsid w:val="008E6432"/>
  </w:style>
  <w:style w:type="table" w:styleId="Tablaconcuadrcula2" w:customStyle="1">
    <w:name w:val="Tabla con cuadrícula2"/>
    <w:basedOn w:val="Tablanormal"/>
    <w:next w:val="Tablaconcuadrcula"/>
    <w:uiPriority w:val="39"/>
    <w:rsid w:val="008E6432"/>
    <w:pPr>
      <w:spacing w:after="0" w:line="240" w:lineRule="auto"/>
    </w:pPr>
    <w:rPr>
      <w:rFonts w:asciiTheme="minorHAnsi" w:cstheme="minorBidi" w:eastAsiaTheme="minorEastAsia"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normal11" w:customStyle="1">
    <w:name w:val="Tabla normal 11"/>
    <w:basedOn w:val="Tablanormal"/>
    <w:next w:val="Tablanormal1"/>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anormal1">
    <w:name w:val="Plain Table 1"/>
    <w:basedOn w:val="Tablanormal"/>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8E6432"/>
    <w:pPr>
      <w:spacing w:after="100" w:afterAutospacing="1" w:before="100" w:before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cstheme="minorBidi" w:eastAsiaTheme="minorEastAsia" w:hAnsiTheme="minorHAnsi"/>
      <w:color w:val="000000" w:themeColor="text1"/>
      <w:sz w:val="24"/>
      <w:szCs w:val="24"/>
      <w:lang w:eastAsia="es-ES" w:val="es-ES_tradnl"/>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ADB1" w:customStyle="1">
    <w:name w:val="ADB1"/>
    <w:basedOn w:val="Normal"/>
    <w:next w:val="Textonotapie"/>
    <w:uiPriority w:val="99"/>
    <w:unhideWhenUsed w:val="1"/>
    <w:qFormat w:val="1"/>
    <w:rsid w:val="008E6432"/>
    <w:rPr>
      <w:rFonts w:eastAsia="Cambria" w:asciiTheme="minorHAnsi" w:cstheme="minorBidi" w:hAnsiTheme="minorHAnsi"/>
      <w:lang w:eastAsia="en-US"/>
    </w:rPr>
  </w:style>
  <w:style w:type="character" w:styleId="Mencinsinresolver1" w:customStyle="1">
    <w:name w:val="Mención sin resolver1"/>
    <w:basedOn w:val="Fuentedeprrafopredeter"/>
    <w:uiPriority w:val="99"/>
    <w:semiHidden w:val="1"/>
    <w:unhideWhenUsed w:val="1"/>
    <w:rsid w:val="008E6432"/>
    <w:rPr>
      <w:color w:val="605e5c"/>
      <w:shd w:color="auto" w:fill="e1dfdd" w:val="clear"/>
    </w:rPr>
  </w:style>
  <w:style w:type="table" w:styleId="Tablaconcuadrcula11" w:customStyle="1">
    <w:name w:val="Tabla con cuadrícula11"/>
    <w:basedOn w:val="Tablanormal"/>
    <w:next w:val="Tablaconcuadrcula"/>
    <w:uiPriority w:val="59"/>
    <w:rsid w:val="008E6432"/>
    <w:pPr>
      <w:spacing w:after="0" w:line="240" w:lineRule="auto"/>
    </w:pPr>
    <w:rPr>
      <w:rFonts w:eastAsia="Times New Roman" w:asciiTheme="minorHAnsi" w:cstheme="minorBidi"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 w:customStyle="1">
    <w:name w:val="Texto"/>
    <w:basedOn w:val="Normal"/>
    <w:link w:val="TextoCar"/>
    <w:rsid w:val="008E6432"/>
    <w:pPr>
      <w:spacing w:after="101" w:line="216" w:lineRule="exact"/>
      <w:ind w:firstLine="288"/>
      <w:jc w:val="both"/>
    </w:pPr>
    <w:rPr>
      <w:rFonts w:ascii="Arial" w:cs="Arial" w:hAnsi="Arial"/>
      <w:sz w:val="18"/>
      <w:lang w:val="es-ES"/>
    </w:rPr>
  </w:style>
  <w:style w:type="character" w:styleId="TextoCar" w:customStyle="1">
    <w:name w:val="Texto Car"/>
    <w:link w:val="Texto"/>
    <w:locked w:val="1"/>
    <w:rsid w:val="008E6432"/>
    <w:rPr>
      <w:rFonts w:ascii="Arial" w:cs="Arial" w:eastAsia="Times New Roman" w:hAnsi="Arial"/>
      <w:sz w:val="18"/>
      <w:lang w:eastAsia="es-ES" w:val="es-ES"/>
    </w:rPr>
  </w:style>
  <w:style w:type="paragraph" w:styleId="m5907675151158779931gmail-msolistparagraph" w:customStyle="1">
    <w:name w:val="m_5907675151158779931gmail-msolistparagraph"/>
    <w:basedOn w:val="Normal"/>
    <w:rsid w:val="00427B9F"/>
    <w:pPr>
      <w:spacing w:after="100" w:afterAutospacing="1" w:before="100" w:beforeAutospacing="1"/>
    </w:pPr>
    <w:rPr>
      <w:sz w:val="24"/>
      <w:szCs w:val="24"/>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 Type="http://schemas.openxmlformats.org/officeDocument/2006/relationships/theme" Target="theme/theme1.xml"/><Relationship Id="rId11" Type="http://schemas.openxmlformats.org/officeDocument/2006/relationships/header" Target="header1.xml"/><Relationship Id="rId10" Type="http://schemas.openxmlformats.org/officeDocument/2006/relationships/customXml" Target="../customXML/item1.xml"/><Relationship Id="rId13" Type="http://schemas.openxmlformats.org/officeDocument/2006/relationships/header" Target="header2.xml"/><Relationship Id="rId12" Type="http://schemas.openxmlformats.org/officeDocument/2006/relationships/header" Target="header3.xml"/><Relationship Id="rId9" Type="http://schemas.openxmlformats.org/officeDocument/2006/relationships/styles" Target="styles.xm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footnotes" Target="footnotes.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4" Type="http://schemas.openxmlformats.org/officeDocument/2006/relationships/font" Target="fonts/Garamond-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Byhybjim4KiuZ9iuiW+t4yI9xg==">AMUW2mXHj63XI5QKnmuLRejIPtArY6IckchygaLQZdlOC029HreoMXdp4nt7fK4koy2zncZwqGYx0w0u8uikApu5vXkUYBxmKAoOqrZ6uAd7T1mK90eT7kugEAS2/9qtVttyd15yVWvmQKm6LW9n58cfkD6uBgEPM9bRd6xYTZQCGuxvumZpt6l5s5zSerDfpopS5OPa1gzVpW+SenN7VsKSpT+DvWpCx5kQKTM9OMpkQg9HPmzIlhcx/mxuSHeo4cyiKfD5Vgh4cDa90TSbsiY7fHvvKEW4DmP2hzK42VPl1FQZn6FTbq1DotyM1pJEbVOP52toXBcd0LajOULYqWXhaAU8omWLef61svcuPio8EflIh3D4Q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2021-08-27T17:15:00Z</dcterms:created>
  <dc:creator>José Fernado Lobato Rodríguez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