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7C82E093" w:rsidR="00E15E85" w:rsidRPr="00661E22"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661E22">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661E22">
        <w:rPr>
          <w:rFonts w:ascii="Palatino Linotype" w:eastAsia="Times New Roman" w:hAnsi="Palatino Linotype" w:cs="Arial"/>
          <w:color w:val="000000"/>
          <w:sz w:val="24"/>
          <w:szCs w:val="24"/>
          <w:lang w:val="es-ES" w:eastAsia="es-MX"/>
        </w:rPr>
        <w:t xml:space="preserve"> </w:t>
      </w:r>
      <w:r w:rsidR="000672A8">
        <w:rPr>
          <w:rFonts w:ascii="Palatino Linotype" w:eastAsia="Times New Roman" w:hAnsi="Palatino Linotype" w:cs="Arial"/>
          <w:color w:val="000000"/>
          <w:sz w:val="24"/>
          <w:szCs w:val="24"/>
          <w:lang w:val="es-ES" w:eastAsia="es-MX"/>
        </w:rPr>
        <w:t>veintisiete</w:t>
      </w:r>
      <w:r w:rsidR="00A34817" w:rsidRPr="00661E22">
        <w:rPr>
          <w:rFonts w:ascii="Palatino Linotype" w:eastAsia="Times New Roman" w:hAnsi="Palatino Linotype" w:cs="Arial"/>
          <w:color w:val="000000"/>
          <w:sz w:val="24"/>
          <w:szCs w:val="24"/>
          <w:lang w:val="es-ES" w:eastAsia="es-MX"/>
        </w:rPr>
        <w:t xml:space="preserve"> de </w:t>
      </w:r>
      <w:r w:rsidR="000672A8">
        <w:rPr>
          <w:rFonts w:ascii="Palatino Linotype" w:eastAsia="Times New Roman" w:hAnsi="Palatino Linotype" w:cs="Arial"/>
          <w:color w:val="000000"/>
          <w:sz w:val="24"/>
          <w:szCs w:val="24"/>
          <w:lang w:val="es-ES" w:eastAsia="es-MX"/>
        </w:rPr>
        <w:t>octubre</w:t>
      </w:r>
      <w:r w:rsidR="00876A3F" w:rsidRPr="00661E22">
        <w:rPr>
          <w:rFonts w:ascii="Palatino Linotype" w:eastAsia="Times New Roman" w:hAnsi="Palatino Linotype" w:cs="Arial"/>
          <w:color w:val="000000"/>
          <w:sz w:val="24"/>
          <w:szCs w:val="24"/>
          <w:lang w:val="es-ES" w:eastAsia="es-MX"/>
        </w:rPr>
        <w:t xml:space="preserve"> </w:t>
      </w:r>
      <w:r w:rsidR="001708B9" w:rsidRPr="00661E22">
        <w:rPr>
          <w:rFonts w:ascii="Palatino Linotype" w:eastAsia="Times New Roman" w:hAnsi="Palatino Linotype" w:cs="Arial"/>
          <w:color w:val="000000"/>
          <w:sz w:val="24"/>
          <w:szCs w:val="24"/>
          <w:lang w:val="es-ES" w:eastAsia="es-MX"/>
        </w:rPr>
        <w:t>de dos mil veintiuno</w:t>
      </w:r>
      <w:r w:rsidRPr="00661E22">
        <w:rPr>
          <w:rFonts w:ascii="Palatino Linotype" w:eastAsia="Times New Roman" w:hAnsi="Palatino Linotype" w:cs="Arial"/>
          <w:color w:val="000000"/>
          <w:sz w:val="24"/>
          <w:szCs w:val="24"/>
          <w:lang w:val="es-ES" w:eastAsia="es-MX"/>
        </w:rPr>
        <w:t>.</w:t>
      </w:r>
    </w:p>
    <w:p w14:paraId="5CC92DBC" w14:textId="77777777" w:rsidR="00E15E85" w:rsidRPr="00661E22"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071B2493" w14:textId="4A2FCDBC" w:rsidR="00E15E85" w:rsidRPr="00661E22" w:rsidRDefault="00E15E85" w:rsidP="007444C8">
      <w:pPr>
        <w:tabs>
          <w:tab w:val="left" w:pos="1701"/>
        </w:tabs>
        <w:spacing w:before="240" w:line="360" w:lineRule="auto"/>
        <w:jc w:val="both"/>
        <w:rPr>
          <w:rFonts w:ascii="Palatino Linotype" w:hAnsi="Palatino Linotype" w:cs="Arial"/>
          <w:b/>
          <w:bCs/>
          <w:sz w:val="24"/>
          <w:lang w:val="es-ES" w:eastAsia="es-MX"/>
        </w:rPr>
      </w:pPr>
      <w:r w:rsidRPr="00661E22">
        <w:rPr>
          <w:rFonts w:ascii="Palatino Linotype" w:hAnsi="Palatino Linotype" w:cs="Arial"/>
          <w:b/>
          <w:sz w:val="24"/>
          <w:lang w:val="es-ES"/>
        </w:rPr>
        <w:t>VISTO</w:t>
      </w:r>
      <w:r w:rsidRPr="00661E22">
        <w:rPr>
          <w:rFonts w:ascii="Palatino Linotype" w:hAnsi="Palatino Linotype" w:cs="Arial"/>
          <w:sz w:val="24"/>
          <w:lang w:val="es-ES"/>
        </w:rPr>
        <w:t xml:space="preserve"> el expediente electrónico formado con motivo del recurso de revisión número </w:t>
      </w:r>
      <w:bookmarkStart w:id="0" w:name="_GoBack"/>
      <w:bookmarkEnd w:id="0"/>
      <w:r w:rsidR="007B7A2B" w:rsidRPr="00661E22">
        <w:rPr>
          <w:rFonts w:ascii="Palatino Linotype" w:hAnsi="Palatino Linotype" w:cs="Arial"/>
          <w:b/>
          <w:bCs/>
          <w:sz w:val="24"/>
          <w:lang w:val="es-ES" w:eastAsia="es-MX"/>
        </w:rPr>
        <w:t>0</w:t>
      </w:r>
      <w:r w:rsidR="009A0CD7" w:rsidRPr="00661E22">
        <w:rPr>
          <w:rFonts w:ascii="Palatino Linotype" w:hAnsi="Palatino Linotype" w:cs="Arial"/>
          <w:b/>
          <w:bCs/>
          <w:sz w:val="24"/>
          <w:lang w:val="es-ES" w:eastAsia="es-MX"/>
        </w:rPr>
        <w:t>456</w:t>
      </w:r>
      <w:r w:rsidR="00D27FCB" w:rsidRPr="00661E22">
        <w:rPr>
          <w:rFonts w:ascii="Palatino Linotype" w:hAnsi="Palatino Linotype" w:cs="Arial"/>
          <w:b/>
          <w:bCs/>
          <w:sz w:val="24"/>
          <w:lang w:val="es-ES" w:eastAsia="es-MX"/>
        </w:rPr>
        <w:t>0</w:t>
      </w:r>
      <w:r w:rsidR="007E2959" w:rsidRPr="00661E22">
        <w:rPr>
          <w:rFonts w:ascii="Palatino Linotype" w:hAnsi="Palatino Linotype" w:cs="Arial"/>
          <w:b/>
          <w:bCs/>
          <w:sz w:val="24"/>
          <w:lang w:val="es-ES" w:eastAsia="es-MX"/>
        </w:rPr>
        <w:t>/INFOEM/IP/RR/20</w:t>
      </w:r>
      <w:r w:rsidR="00487F76" w:rsidRPr="00661E22">
        <w:rPr>
          <w:rFonts w:ascii="Palatino Linotype" w:hAnsi="Palatino Linotype" w:cs="Arial"/>
          <w:b/>
          <w:bCs/>
          <w:sz w:val="24"/>
          <w:lang w:val="es-ES" w:eastAsia="es-MX"/>
        </w:rPr>
        <w:t>2</w:t>
      </w:r>
      <w:r w:rsidR="002A7397" w:rsidRPr="00661E22">
        <w:rPr>
          <w:rFonts w:ascii="Palatino Linotype" w:hAnsi="Palatino Linotype" w:cs="Arial"/>
          <w:b/>
          <w:bCs/>
          <w:sz w:val="24"/>
          <w:lang w:val="es-ES" w:eastAsia="es-MX"/>
        </w:rPr>
        <w:t>1</w:t>
      </w:r>
      <w:r w:rsidRPr="00661E22">
        <w:rPr>
          <w:rFonts w:ascii="Palatino Linotype" w:hAnsi="Palatino Linotype" w:cs="Arial"/>
          <w:sz w:val="24"/>
          <w:lang w:val="es-ES"/>
        </w:rPr>
        <w:t xml:space="preserve">, </w:t>
      </w:r>
      <w:r w:rsidR="009152B5" w:rsidRPr="00661E22">
        <w:rPr>
          <w:rFonts w:ascii="Palatino Linotype" w:hAnsi="Palatino Linotype" w:cs="Arial"/>
          <w:sz w:val="24"/>
          <w:lang w:val="es-ES"/>
        </w:rPr>
        <w:t xml:space="preserve">interpuesto </w:t>
      </w:r>
      <w:r w:rsidR="00FE6A4F" w:rsidRPr="00661E22">
        <w:rPr>
          <w:rFonts w:ascii="Palatino Linotype" w:hAnsi="Palatino Linotype" w:cs="Arial"/>
          <w:sz w:val="24"/>
          <w:lang w:val="es-ES"/>
        </w:rPr>
        <w:t xml:space="preserve">por </w:t>
      </w:r>
      <w:r w:rsidR="00F8256D" w:rsidRPr="00661E22">
        <w:rPr>
          <w:rFonts w:ascii="Palatino Linotype" w:hAnsi="Palatino Linotype" w:cs="Arial"/>
          <w:sz w:val="24"/>
          <w:lang w:val="es-ES"/>
        </w:rPr>
        <w:t>una persona que no proporciono datos para ser identificada</w:t>
      </w:r>
      <w:r w:rsidR="00555FF1" w:rsidRPr="00661E22">
        <w:rPr>
          <w:rFonts w:ascii="Palatino Linotype" w:hAnsi="Palatino Linotype" w:cs="Arial"/>
          <w:b/>
          <w:sz w:val="24"/>
          <w:lang w:val="es-ES"/>
        </w:rPr>
        <w:t>,</w:t>
      </w:r>
      <w:r w:rsidR="002A7397" w:rsidRPr="00661E22">
        <w:rPr>
          <w:rFonts w:ascii="Palatino Linotype" w:hAnsi="Palatino Linotype" w:cs="Arial"/>
          <w:b/>
          <w:sz w:val="24"/>
          <w:lang w:val="es-ES"/>
        </w:rPr>
        <w:t xml:space="preserve"> </w:t>
      </w:r>
      <w:r w:rsidR="00FE6A4F" w:rsidRPr="00661E22">
        <w:rPr>
          <w:rFonts w:ascii="Palatino Linotype" w:hAnsi="Palatino Linotype" w:cs="Arial"/>
          <w:sz w:val="24"/>
          <w:lang w:val="es-ES"/>
        </w:rPr>
        <w:t>a quien en lo sucesivo</w:t>
      </w:r>
      <w:r w:rsidR="009152B5" w:rsidRPr="00661E22">
        <w:rPr>
          <w:rFonts w:ascii="Palatino Linotype" w:hAnsi="Palatino Linotype" w:cs="Arial"/>
          <w:sz w:val="24"/>
          <w:lang w:val="es-ES"/>
        </w:rPr>
        <w:t xml:space="preserve"> se le denominara</w:t>
      </w:r>
      <w:r w:rsidR="00487F76" w:rsidRPr="00661E22">
        <w:rPr>
          <w:rFonts w:ascii="Palatino Linotype" w:hAnsi="Palatino Linotype" w:cs="Arial"/>
          <w:sz w:val="24"/>
          <w:lang w:val="es-ES"/>
        </w:rPr>
        <w:t xml:space="preserve"> la parte</w:t>
      </w:r>
      <w:r w:rsidRPr="00661E22">
        <w:rPr>
          <w:rFonts w:ascii="Palatino Linotype" w:hAnsi="Palatino Linotype" w:cs="Arial"/>
          <w:b/>
          <w:sz w:val="24"/>
          <w:lang w:val="es-ES"/>
        </w:rPr>
        <w:t xml:space="preserve"> </w:t>
      </w:r>
      <w:r w:rsidR="00487F76" w:rsidRPr="00661E22">
        <w:rPr>
          <w:rFonts w:ascii="Palatino Linotype" w:hAnsi="Palatino Linotype" w:cs="Arial"/>
          <w:b/>
          <w:sz w:val="24"/>
          <w:lang w:val="es-ES"/>
        </w:rPr>
        <w:t>r</w:t>
      </w:r>
      <w:r w:rsidRPr="00661E22">
        <w:rPr>
          <w:rFonts w:ascii="Palatino Linotype" w:hAnsi="Palatino Linotype" w:cs="Arial"/>
          <w:b/>
          <w:sz w:val="24"/>
          <w:lang w:val="es-ES"/>
        </w:rPr>
        <w:t>ecurrente</w:t>
      </w:r>
      <w:r w:rsidR="00E221C1" w:rsidRPr="00661E22">
        <w:rPr>
          <w:rFonts w:ascii="Palatino Linotype" w:hAnsi="Palatino Linotype" w:cs="Arial"/>
          <w:sz w:val="24"/>
          <w:lang w:val="es-ES"/>
        </w:rPr>
        <w:t xml:space="preserve">, en contra </w:t>
      </w:r>
      <w:r w:rsidR="00E372DA" w:rsidRPr="00661E22">
        <w:rPr>
          <w:rFonts w:ascii="Palatino Linotype" w:hAnsi="Palatino Linotype" w:cs="Arial"/>
          <w:sz w:val="24"/>
          <w:lang w:val="es-ES"/>
        </w:rPr>
        <w:t>de</w:t>
      </w:r>
      <w:r w:rsidR="00E221C1" w:rsidRPr="00661E22">
        <w:rPr>
          <w:rFonts w:ascii="Palatino Linotype" w:hAnsi="Palatino Linotype" w:cs="Arial"/>
          <w:sz w:val="24"/>
          <w:lang w:val="es-ES"/>
        </w:rPr>
        <w:t xml:space="preserve"> </w:t>
      </w:r>
      <w:r w:rsidR="00654533" w:rsidRPr="00661E22">
        <w:rPr>
          <w:rFonts w:ascii="Palatino Linotype" w:hAnsi="Palatino Linotype" w:cs="Arial"/>
          <w:sz w:val="24"/>
          <w:lang w:val="es-ES"/>
        </w:rPr>
        <w:t xml:space="preserve">la </w:t>
      </w:r>
      <w:r w:rsidRPr="00661E22">
        <w:rPr>
          <w:rFonts w:ascii="Palatino Linotype" w:hAnsi="Palatino Linotype" w:cs="Arial"/>
          <w:sz w:val="24"/>
          <w:lang w:val="es-ES"/>
        </w:rPr>
        <w:t xml:space="preserve">respuesta </w:t>
      </w:r>
      <w:r w:rsidR="003470B1" w:rsidRPr="00661E22">
        <w:rPr>
          <w:rFonts w:ascii="Palatino Linotype" w:hAnsi="Palatino Linotype" w:cs="Arial"/>
          <w:sz w:val="24"/>
          <w:lang w:val="es-ES"/>
        </w:rPr>
        <w:t>d</w:t>
      </w:r>
      <w:r w:rsidR="00E372DA" w:rsidRPr="00661E22">
        <w:rPr>
          <w:rFonts w:ascii="Palatino Linotype" w:hAnsi="Palatino Linotype" w:cs="Arial"/>
          <w:sz w:val="24"/>
          <w:szCs w:val="24"/>
          <w:lang w:val="es-ES"/>
        </w:rPr>
        <w:t>e</w:t>
      </w:r>
      <w:r w:rsidR="007444C8" w:rsidRPr="00661E22">
        <w:rPr>
          <w:rFonts w:ascii="Palatino Linotype" w:hAnsi="Palatino Linotype" w:cs="Arial"/>
          <w:sz w:val="24"/>
          <w:szCs w:val="24"/>
          <w:lang w:val="es-ES"/>
        </w:rPr>
        <w:t xml:space="preserve"> la</w:t>
      </w:r>
      <w:r w:rsidRPr="00661E22">
        <w:rPr>
          <w:rFonts w:ascii="Palatino Linotype" w:hAnsi="Palatino Linotype" w:cs="Arial"/>
          <w:sz w:val="24"/>
          <w:szCs w:val="24"/>
          <w:lang w:val="es-ES"/>
        </w:rPr>
        <w:t xml:space="preserve"> </w:t>
      </w:r>
      <w:r w:rsidR="009A0CD7" w:rsidRPr="00661E22">
        <w:rPr>
          <w:rFonts w:ascii="Palatino Linotype" w:hAnsi="Palatino Linotype" w:cs="Arial"/>
          <w:b/>
          <w:sz w:val="24"/>
          <w:szCs w:val="24"/>
          <w:lang w:val="es-ES"/>
        </w:rPr>
        <w:t>Ayuntamiento de Teoloyucan</w:t>
      </w:r>
      <w:r w:rsidRPr="00661E22">
        <w:rPr>
          <w:rFonts w:ascii="Palatino Linotype" w:hAnsi="Palatino Linotype" w:cs="Arial"/>
          <w:sz w:val="28"/>
          <w:szCs w:val="24"/>
          <w:lang w:val="es-ES"/>
        </w:rPr>
        <w:t xml:space="preserve">, </w:t>
      </w:r>
      <w:r w:rsidRPr="00661E22">
        <w:rPr>
          <w:rFonts w:ascii="Palatino Linotype" w:hAnsi="Palatino Linotype" w:cs="Arial"/>
          <w:sz w:val="24"/>
          <w:szCs w:val="24"/>
          <w:lang w:val="es-ES"/>
        </w:rPr>
        <w:t>en lo subsecuente</w:t>
      </w:r>
      <w:r w:rsidRPr="00661E22">
        <w:rPr>
          <w:rFonts w:ascii="Palatino Linotype" w:hAnsi="Palatino Linotype" w:cs="Arial"/>
          <w:b/>
          <w:sz w:val="24"/>
          <w:szCs w:val="24"/>
          <w:lang w:val="es-ES"/>
        </w:rPr>
        <w:t xml:space="preserve"> </w:t>
      </w:r>
      <w:r w:rsidR="00487F76" w:rsidRPr="00661E22">
        <w:rPr>
          <w:rFonts w:ascii="Palatino Linotype" w:hAnsi="Palatino Linotype" w:cs="Arial"/>
          <w:b/>
          <w:sz w:val="24"/>
          <w:szCs w:val="24"/>
          <w:lang w:val="es-ES"/>
        </w:rPr>
        <w:t>e</w:t>
      </w:r>
      <w:r w:rsidRPr="00661E22">
        <w:rPr>
          <w:rFonts w:ascii="Palatino Linotype" w:hAnsi="Palatino Linotype" w:cs="Arial"/>
          <w:b/>
          <w:sz w:val="24"/>
          <w:szCs w:val="24"/>
          <w:lang w:val="es-ES"/>
        </w:rPr>
        <w:t xml:space="preserve">l </w:t>
      </w:r>
      <w:r w:rsidR="00487F76" w:rsidRPr="00661E22">
        <w:rPr>
          <w:rFonts w:ascii="Palatino Linotype" w:hAnsi="Palatino Linotype" w:cs="Arial"/>
          <w:b/>
          <w:sz w:val="24"/>
          <w:szCs w:val="24"/>
          <w:lang w:val="es-ES"/>
        </w:rPr>
        <w:t>s</w:t>
      </w:r>
      <w:r w:rsidRPr="00661E22">
        <w:rPr>
          <w:rFonts w:ascii="Palatino Linotype" w:hAnsi="Palatino Linotype" w:cs="Arial"/>
          <w:b/>
          <w:sz w:val="24"/>
          <w:szCs w:val="24"/>
          <w:lang w:val="es-ES"/>
        </w:rPr>
        <w:t xml:space="preserve">ujeto </w:t>
      </w:r>
      <w:r w:rsidR="00487F76" w:rsidRPr="00661E22">
        <w:rPr>
          <w:rFonts w:ascii="Palatino Linotype" w:hAnsi="Palatino Linotype" w:cs="Arial"/>
          <w:b/>
          <w:sz w:val="24"/>
          <w:szCs w:val="24"/>
          <w:lang w:val="es-ES"/>
        </w:rPr>
        <w:t>o</w:t>
      </w:r>
      <w:r w:rsidRPr="00661E22">
        <w:rPr>
          <w:rFonts w:ascii="Palatino Linotype" w:hAnsi="Palatino Linotype" w:cs="Arial"/>
          <w:b/>
          <w:sz w:val="24"/>
          <w:szCs w:val="24"/>
          <w:lang w:val="es-ES"/>
        </w:rPr>
        <w:t xml:space="preserve">bligado, </w:t>
      </w:r>
      <w:r w:rsidRPr="00661E22">
        <w:rPr>
          <w:rFonts w:ascii="Palatino Linotype" w:hAnsi="Palatino Linotype" w:cs="Arial"/>
          <w:sz w:val="24"/>
          <w:szCs w:val="24"/>
          <w:lang w:val="es-ES"/>
        </w:rPr>
        <w:t>se procede a</w:t>
      </w:r>
      <w:r w:rsidRPr="00661E22">
        <w:rPr>
          <w:rFonts w:ascii="Palatino Linotype" w:hAnsi="Palatino Linotype" w:cs="Arial"/>
          <w:sz w:val="24"/>
          <w:lang w:val="es-ES"/>
        </w:rPr>
        <w:t xml:space="preserve"> dictar la presente resolución.</w:t>
      </w:r>
    </w:p>
    <w:p w14:paraId="3756D2C6" w14:textId="77777777" w:rsidR="006200A2" w:rsidRPr="00661E22" w:rsidRDefault="00E15E85" w:rsidP="006200A2">
      <w:pPr>
        <w:spacing w:before="240" w:after="240" w:line="360" w:lineRule="auto"/>
        <w:jc w:val="center"/>
        <w:rPr>
          <w:rFonts w:ascii="Palatino Linotype" w:hAnsi="Palatino Linotype"/>
          <w:b/>
          <w:sz w:val="28"/>
          <w:lang w:val="es-ES"/>
        </w:rPr>
      </w:pPr>
      <w:r w:rsidRPr="00661E22">
        <w:rPr>
          <w:rFonts w:ascii="Palatino Linotype" w:hAnsi="Palatino Linotype"/>
          <w:b/>
          <w:sz w:val="28"/>
          <w:lang w:val="es-ES"/>
        </w:rPr>
        <w:t>A N T E C E D E N T E S   D E L   A S U N T O</w:t>
      </w:r>
    </w:p>
    <w:p w14:paraId="58D597B2" w14:textId="77777777" w:rsidR="00497466" w:rsidRPr="00661E22" w:rsidRDefault="00497466" w:rsidP="00497466">
      <w:pPr>
        <w:spacing w:before="240" w:after="240" w:line="360" w:lineRule="auto"/>
        <w:jc w:val="both"/>
        <w:rPr>
          <w:rFonts w:ascii="Palatino Linotype" w:hAnsi="Palatino Linotype"/>
          <w:lang w:val="es-ES"/>
        </w:rPr>
      </w:pPr>
      <w:r w:rsidRPr="00661E22">
        <w:rPr>
          <w:rFonts w:ascii="Palatino Linotype" w:hAnsi="Palatino Linotype" w:cs="Arial"/>
          <w:b/>
          <w:sz w:val="28"/>
          <w:lang w:val="es-ES"/>
        </w:rPr>
        <w:t>PRIMERO.</w:t>
      </w:r>
      <w:r w:rsidRPr="00661E22">
        <w:rPr>
          <w:rFonts w:ascii="Palatino Linotype" w:hAnsi="Palatino Linotype" w:cs="Arial"/>
          <w:lang w:val="es-ES"/>
        </w:rPr>
        <w:t xml:space="preserve"> </w:t>
      </w:r>
      <w:r w:rsidRPr="00661E22">
        <w:rPr>
          <w:rFonts w:ascii="Palatino Linotype" w:hAnsi="Palatino Linotype"/>
          <w:b/>
          <w:sz w:val="28"/>
          <w:szCs w:val="28"/>
          <w:lang w:val="es-ES"/>
        </w:rPr>
        <w:t>De la Solicitud de Información.</w:t>
      </w:r>
    </w:p>
    <w:p w14:paraId="15297BBB" w14:textId="79E00220" w:rsidR="00497466" w:rsidRPr="00661E22" w:rsidRDefault="00497466" w:rsidP="00497466">
      <w:pPr>
        <w:spacing w:before="240" w:line="360" w:lineRule="auto"/>
        <w:jc w:val="both"/>
        <w:rPr>
          <w:rFonts w:ascii="Palatino Linotype" w:hAnsi="Palatino Linotype" w:cs="Arial"/>
          <w:sz w:val="24"/>
          <w:szCs w:val="24"/>
          <w:lang w:val="es-ES"/>
        </w:rPr>
      </w:pPr>
      <w:r w:rsidRPr="00661E22">
        <w:rPr>
          <w:rFonts w:ascii="Palatino Linotype" w:hAnsi="Palatino Linotype" w:cs="Arial"/>
          <w:sz w:val="24"/>
          <w:szCs w:val="24"/>
          <w:lang w:val="es-ES"/>
        </w:rPr>
        <w:t>Con fecha</w:t>
      </w:r>
      <w:r w:rsidR="00D81E54" w:rsidRPr="00661E22">
        <w:rPr>
          <w:rFonts w:ascii="Palatino Linotype" w:hAnsi="Palatino Linotype" w:cs="Arial"/>
          <w:sz w:val="24"/>
          <w:szCs w:val="24"/>
          <w:lang w:val="es-ES"/>
        </w:rPr>
        <w:t xml:space="preserve"> </w:t>
      </w:r>
      <w:r w:rsidR="009A0CD7" w:rsidRPr="00661E22">
        <w:rPr>
          <w:rFonts w:ascii="Palatino Linotype" w:hAnsi="Palatino Linotype" w:cs="Arial"/>
          <w:sz w:val="24"/>
          <w:szCs w:val="24"/>
          <w:lang w:val="es-ES"/>
        </w:rPr>
        <w:t>once de agosto</w:t>
      </w:r>
      <w:r w:rsidR="007444C8" w:rsidRPr="00661E22">
        <w:rPr>
          <w:rFonts w:ascii="Palatino Linotype" w:hAnsi="Palatino Linotype" w:cs="Arial"/>
          <w:sz w:val="24"/>
          <w:szCs w:val="24"/>
          <w:lang w:val="es-ES"/>
        </w:rPr>
        <w:t xml:space="preserve"> </w:t>
      </w:r>
      <w:r w:rsidR="002A7397" w:rsidRPr="00661E22">
        <w:rPr>
          <w:rFonts w:ascii="Palatino Linotype" w:hAnsi="Palatino Linotype" w:cs="Arial"/>
          <w:sz w:val="24"/>
          <w:szCs w:val="24"/>
          <w:lang w:val="es-ES"/>
        </w:rPr>
        <w:t>de dos mil veintiuno</w:t>
      </w:r>
      <w:r w:rsidRPr="00661E22">
        <w:rPr>
          <w:rFonts w:ascii="Palatino Linotype" w:hAnsi="Palatino Linotype" w:cs="Arial"/>
          <w:sz w:val="24"/>
          <w:szCs w:val="24"/>
          <w:lang w:val="es-ES"/>
        </w:rPr>
        <w:t xml:space="preserve">, </w:t>
      </w:r>
      <w:r w:rsidR="007135C5" w:rsidRPr="00661E22">
        <w:rPr>
          <w:rFonts w:ascii="Palatino Linotype" w:hAnsi="Palatino Linotype" w:cs="Arial"/>
          <w:b/>
          <w:sz w:val="24"/>
          <w:szCs w:val="24"/>
          <w:lang w:val="es-ES"/>
        </w:rPr>
        <w:t>la parte solicitante</w:t>
      </w:r>
      <w:r w:rsidRPr="00661E22">
        <w:rPr>
          <w:rFonts w:ascii="Palatino Linotype" w:hAnsi="Palatino Linotype" w:cs="Arial"/>
          <w:sz w:val="24"/>
          <w:szCs w:val="24"/>
          <w:lang w:val="es-ES"/>
        </w:rPr>
        <w:t xml:space="preserve">, </w:t>
      </w:r>
      <w:r w:rsidR="007444C8" w:rsidRPr="00661E22">
        <w:rPr>
          <w:rFonts w:ascii="Palatino Linotype" w:hAnsi="Palatino Linotype"/>
          <w:sz w:val="24"/>
          <w:szCs w:val="24"/>
          <w:lang w:val="es-ES"/>
        </w:rPr>
        <w:t xml:space="preserve">presentó a </w:t>
      </w:r>
      <w:r w:rsidR="00F8256D" w:rsidRPr="00661E22">
        <w:rPr>
          <w:rFonts w:ascii="Palatino Linotype" w:hAnsi="Palatino Linotype"/>
          <w:sz w:val="24"/>
          <w:szCs w:val="24"/>
          <w:lang w:val="es-ES"/>
        </w:rPr>
        <w:t>través del</w:t>
      </w:r>
      <w:r w:rsidR="007444C8" w:rsidRPr="00661E22">
        <w:rPr>
          <w:rFonts w:ascii="Palatino Linotype" w:hAnsi="Palatino Linotype"/>
          <w:sz w:val="24"/>
          <w:szCs w:val="24"/>
          <w:lang w:val="es-ES"/>
        </w:rPr>
        <w:t xml:space="preserve"> Sistema de </w:t>
      </w:r>
      <w:r w:rsidR="007444C8" w:rsidRPr="00661E22">
        <w:rPr>
          <w:rFonts w:ascii="Palatino Linotype" w:hAnsi="Palatino Linotype" w:cs="Arial"/>
          <w:sz w:val="24"/>
          <w:szCs w:val="24"/>
          <w:lang w:val="es-ES"/>
        </w:rPr>
        <w:t>Acceso</w:t>
      </w:r>
      <w:r w:rsidR="007444C8" w:rsidRPr="00661E22">
        <w:rPr>
          <w:rFonts w:ascii="Palatino Linotype" w:hAnsi="Palatino Linotype"/>
          <w:sz w:val="24"/>
          <w:szCs w:val="24"/>
          <w:lang w:val="es-ES"/>
        </w:rPr>
        <w:t xml:space="preserve"> a la Información Mexiquense, en lo subsecuente </w:t>
      </w:r>
      <w:r w:rsidR="007444C8" w:rsidRPr="00661E22">
        <w:rPr>
          <w:rFonts w:ascii="Palatino Linotype" w:hAnsi="Palatino Linotype"/>
          <w:b/>
          <w:sz w:val="24"/>
          <w:szCs w:val="24"/>
          <w:lang w:val="es-ES"/>
        </w:rPr>
        <w:t>EL SAIMEX</w:t>
      </w:r>
      <w:r w:rsidR="007444C8" w:rsidRPr="00661E22">
        <w:rPr>
          <w:rFonts w:ascii="Palatino Linotype" w:hAnsi="Palatino Linotype"/>
          <w:sz w:val="24"/>
          <w:szCs w:val="24"/>
          <w:lang w:val="es-ES"/>
        </w:rPr>
        <w:t xml:space="preserve">, ante </w:t>
      </w:r>
      <w:r w:rsidR="007444C8" w:rsidRPr="00661E22">
        <w:rPr>
          <w:rFonts w:ascii="Palatino Linotype" w:hAnsi="Palatino Linotype"/>
          <w:b/>
          <w:sz w:val="24"/>
          <w:szCs w:val="24"/>
          <w:lang w:val="es-ES"/>
        </w:rPr>
        <w:t>EL SUJETO OBLIGADO</w:t>
      </w:r>
      <w:r w:rsidR="007444C8" w:rsidRPr="00661E22">
        <w:rPr>
          <w:rFonts w:ascii="Palatino Linotype" w:hAnsi="Palatino Linotype"/>
          <w:sz w:val="24"/>
          <w:szCs w:val="24"/>
          <w:lang w:val="es-ES"/>
        </w:rPr>
        <w:t>, la solicitud de acceso a información pública</w:t>
      </w:r>
      <w:r w:rsidRPr="00661E22">
        <w:rPr>
          <w:rFonts w:ascii="Palatino Linotype" w:hAnsi="Palatino Linotype" w:cs="Arial"/>
          <w:sz w:val="24"/>
          <w:szCs w:val="24"/>
          <w:lang w:val="es-ES"/>
        </w:rPr>
        <w:t>, registrada bajo el número de expediente</w:t>
      </w:r>
      <w:r w:rsidRPr="00661E22">
        <w:rPr>
          <w:rFonts w:ascii="Palatino Linotype" w:hAnsi="Palatino Linotype" w:cs="Arial"/>
          <w:b/>
          <w:sz w:val="24"/>
          <w:szCs w:val="24"/>
          <w:lang w:val="es-ES"/>
        </w:rPr>
        <w:t xml:space="preserve"> </w:t>
      </w:r>
      <w:r w:rsidR="009A0CD7" w:rsidRPr="00661E22">
        <w:rPr>
          <w:rFonts w:ascii="Palatino Linotype" w:hAnsi="Palatino Linotype" w:cs="Arial"/>
          <w:b/>
          <w:sz w:val="24"/>
          <w:lang w:val="es-ES"/>
        </w:rPr>
        <w:t>00401/TEOLOYU/IP/2021</w:t>
      </w:r>
      <w:r w:rsidRPr="00661E22">
        <w:rPr>
          <w:rFonts w:ascii="Palatino Linotype" w:hAnsi="Palatino Linotype" w:cs="Arial"/>
          <w:b/>
          <w:sz w:val="24"/>
          <w:szCs w:val="24"/>
          <w:lang w:val="es-ES" w:eastAsia="es-MX"/>
        </w:rPr>
        <w:t xml:space="preserve">, </w:t>
      </w:r>
      <w:r w:rsidRPr="00661E22">
        <w:rPr>
          <w:rFonts w:ascii="Palatino Linotype" w:hAnsi="Palatino Linotype" w:cs="Arial"/>
          <w:sz w:val="24"/>
          <w:szCs w:val="24"/>
          <w:lang w:val="es-ES"/>
        </w:rPr>
        <w:t>mediante la cual solicitó información en el tenor siguiente:</w:t>
      </w:r>
    </w:p>
    <w:p w14:paraId="737C7645" w14:textId="163B9F0D" w:rsidR="00497466" w:rsidRPr="00661E22" w:rsidRDefault="00497466" w:rsidP="00497466">
      <w:pPr>
        <w:ind w:left="851" w:right="850"/>
        <w:jc w:val="both"/>
        <w:rPr>
          <w:rFonts w:ascii="Palatino Linotype" w:eastAsia="Times New Roman" w:hAnsi="Palatino Linotype" w:cs="Times New Roman"/>
          <w:i/>
          <w:lang w:val="es-ES" w:eastAsia="es-ES"/>
        </w:rPr>
      </w:pPr>
      <w:r w:rsidRPr="00661E22">
        <w:rPr>
          <w:rFonts w:ascii="Palatino Linotype" w:eastAsia="Times New Roman" w:hAnsi="Palatino Linotype" w:cs="Times New Roman"/>
          <w:i/>
          <w:lang w:val="es-ES" w:eastAsia="es-ES"/>
        </w:rPr>
        <w:t>“</w:t>
      </w:r>
      <w:r w:rsidR="009A0CD7" w:rsidRPr="00661E22">
        <w:rPr>
          <w:rFonts w:ascii="Palatino Linotype" w:hAnsi="Palatino Linotype"/>
          <w:i/>
          <w:color w:val="000000"/>
          <w:lang w:val="es-ES"/>
        </w:rPr>
        <w:t xml:space="preserve">solicito en </w:t>
      </w:r>
      <w:proofErr w:type="spellStart"/>
      <w:r w:rsidR="009A0CD7" w:rsidRPr="00661E22">
        <w:rPr>
          <w:rFonts w:ascii="Palatino Linotype" w:hAnsi="Palatino Linotype"/>
          <w:i/>
          <w:color w:val="000000"/>
          <w:lang w:val="es-ES"/>
        </w:rPr>
        <w:t>version</w:t>
      </w:r>
      <w:proofErr w:type="spellEnd"/>
      <w:r w:rsidR="009A0CD7" w:rsidRPr="00661E22">
        <w:rPr>
          <w:rFonts w:ascii="Palatino Linotype" w:hAnsi="Palatino Linotype"/>
          <w:i/>
          <w:color w:val="000000"/>
          <w:lang w:val="es-ES"/>
        </w:rPr>
        <w:t xml:space="preserve"> publica todas y cada una de las solicitudes de </w:t>
      </w:r>
      <w:proofErr w:type="spellStart"/>
      <w:r w:rsidR="009A0CD7" w:rsidRPr="00661E22">
        <w:rPr>
          <w:rFonts w:ascii="Palatino Linotype" w:hAnsi="Palatino Linotype"/>
          <w:i/>
          <w:color w:val="000000"/>
          <w:lang w:val="es-ES"/>
        </w:rPr>
        <w:t>informacion</w:t>
      </w:r>
      <w:proofErr w:type="spellEnd"/>
      <w:r w:rsidR="009A0CD7" w:rsidRPr="00661E22">
        <w:rPr>
          <w:rFonts w:ascii="Palatino Linotype" w:hAnsi="Palatino Linotype"/>
          <w:i/>
          <w:color w:val="000000"/>
          <w:lang w:val="es-ES"/>
        </w:rPr>
        <w:t xml:space="preserve"> publica del 2019 y sus respuestas</w:t>
      </w:r>
      <w:r w:rsidR="007444C8" w:rsidRPr="00661E22">
        <w:rPr>
          <w:rFonts w:ascii="Palatino Linotype" w:hAnsi="Palatino Linotype"/>
          <w:i/>
          <w:color w:val="000000"/>
          <w:lang w:val="es-ES"/>
        </w:rPr>
        <w:t>.</w:t>
      </w:r>
      <w:r w:rsidRPr="00661E22">
        <w:rPr>
          <w:rFonts w:ascii="Palatino Linotype" w:eastAsia="Times New Roman" w:hAnsi="Palatino Linotype" w:cs="Times New Roman"/>
          <w:i/>
          <w:lang w:val="es-ES" w:eastAsia="es-ES"/>
        </w:rPr>
        <w:t>” [Sic]</w:t>
      </w:r>
    </w:p>
    <w:p w14:paraId="2E9CB282" w14:textId="0851842D" w:rsidR="00CB4F7F" w:rsidRPr="00661E22"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661E22">
        <w:rPr>
          <w:rFonts w:ascii="Palatino Linotype" w:eastAsia="Times New Roman" w:hAnsi="Palatino Linotype" w:cs="Times New Roman"/>
          <w:sz w:val="24"/>
          <w:szCs w:val="24"/>
          <w:lang w:val="es-ES" w:eastAsia="es-ES"/>
        </w:rPr>
        <w:t>Modalidad de entrega: a través del SAIMEX.</w:t>
      </w:r>
    </w:p>
    <w:p w14:paraId="3A486CA4" w14:textId="77777777" w:rsidR="009A0CD7" w:rsidRPr="00661E22" w:rsidRDefault="009A0CD7" w:rsidP="00497466">
      <w:pPr>
        <w:spacing w:before="240" w:line="240" w:lineRule="auto"/>
        <w:ind w:right="850"/>
        <w:jc w:val="both"/>
        <w:rPr>
          <w:rFonts w:ascii="Palatino Linotype" w:eastAsia="Times New Roman" w:hAnsi="Palatino Linotype" w:cs="Times New Roman"/>
          <w:sz w:val="24"/>
          <w:szCs w:val="24"/>
          <w:lang w:val="es-ES" w:eastAsia="es-ES"/>
        </w:rPr>
      </w:pPr>
    </w:p>
    <w:p w14:paraId="7FD19229" w14:textId="77777777" w:rsidR="00497466" w:rsidRPr="00661E22" w:rsidRDefault="00497466" w:rsidP="00497466">
      <w:pPr>
        <w:spacing w:before="240" w:line="360" w:lineRule="auto"/>
        <w:jc w:val="both"/>
        <w:rPr>
          <w:rFonts w:ascii="Palatino Linotype" w:hAnsi="Palatino Linotype" w:cs="Arial"/>
          <w:b/>
          <w:sz w:val="28"/>
          <w:lang w:val="es-ES"/>
        </w:rPr>
      </w:pPr>
      <w:r w:rsidRPr="00661E22">
        <w:rPr>
          <w:rFonts w:ascii="Palatino Linotype" w:hAnsi="Palatino Linotype" w:cs="Arial"/>
          <w:b/>
          <w:sz w:val="28"/>
          <w:lang w:val="es-ES"/>
        </w:rPr>
        <w:lastRenderedPageBreak/>
        <w:t xml:space="preserve">SEGUNDO. </w:t>
      </w:r>
      <w:r w:rsidRPr="00661E22">
        <w:rPr>
          <w:rFonts w:ascii="Palatino Linotype" w:hAnsi="Palatino Linotype" w:cs="Arial"/>
          <w:b/>
          <w:sz w:val="28"/>
          <w:szCs w:val="20"/>
          <w:lang w:val="es-ES"/>
        </w:rPr>
        <w:t>De la respuesta del Sujeto Obligado.</w:t>
      </w:r>
    </w:p>
    <w:p w14:paraId="04A90D90" w14:textId="65547A2A" w:rsidR="00D81E54" w:rsidRPr="00661E22" w:rsidRDefault="00497466" w:rsidP="00A34817">
      <w:pPr>
        <w:spacing w:before="240" w:line="360" w:lineRule="auto"/>
        <w:jc w:val="both"/>
        <w:rPr>
          <w:rFonts w:ascii="Palatino Linotype" w:hAnsi="Palatino Linotype" w:cs="Arial"/>
          <w:i/>
          <w:sz w:val="24"/>
          <w:lang w:val="es-ES"/>
        </w:rPr>
      </w:pPr>
      <w:r w:rsidRPr="00661E22">
        <w:rPr>
          <w:rFonts w:ascii="Palatino Linotype" w:hAnsi="Palatino Linotype" w:cs="Arial"/>
          <w:sz w:val="24"/>
          <w:lang w:val="es-ES"/>
        </w:rPr>
        <w:t xml:space="preserve">En el expediente electrónico </w:t>
      </w:r>
      <w:r w:rsidRPr="00661E22">
        <w:rPr>
          <w:rFonts w:ascii="Palatino Linotype" w:hAnsi="Palatino Linotype" w:cs="Arial"/>
          <w:b/>
          <w:sz w:val="24"/>
          <w:lang w:val="es-ES"/>
        </w:rPr>
        <w:t>SAIMEX</w:t>
      </w:r>
      <w:r w:rsidRPr="00661E22">
        <w:rPr>
          <w:rFonts w:ascii="Palatino Linotype" w:hAnsi="Palatino Linotype" w:cs="Arial"/>
          <w:sz w:val="24"/>
          <w:lang w:val="es-ES"/>
        </w:rPr>
        <w:t xml:space="preserve">, se aprecia que </w:t>
      </w:r>
      <w:r w:rsidRPr="00661E22">
        <w:rPr>
          <w:rFonts w:ascii="Palatino Linotype" w:hAnsi="Palatino Linotype" w:cs="Arial"/>
          <w:b/>
          <w:sz w:val="24"/>
          <w:lang w:val="es-ES"/>
        </w:rPr>
        <w:t>El Sujeto Obligado</w:t>
      </w:r>
      <w:r w:rsidRPr="00661E22">
        <w:rPr>
          <w:rFonts w:ascii="Palatino Linotype" w:hAnsi="Palatino Linotype" w:cs="Arial"/>
          <w:sz w:val="24"/>
          <w:lang w:val="es-ES"/>
        </w:rPr>
        <w:t xml:space="preserve"> </w:t>
      </w:r>
      <w:r w:rsidR="00A34817" w:rsidRPr="00661E22">
        <w:rPr>
          <w:rFonts w:ascii="Palatino Linotype" w:hAnsi="Palatino Linotype" w:cs="Arial"/>
          <w:sz w:val="24"/>
          <w:lang w:val="es-ES"/>
        </w:rPr>
        <w:t>fue omiso en dar respuesta a la solicitud de información.</w:t>
      </w:r>
    </w:p>
    <w:p w14:paraId="4909D8BA" w14:textId="62DD79DE" w:rsidR="00497466" w:rsidRPr="00661E22" w:rsidRDefault="00497466" w:rsidP="00784FE7">
      <w:pPr>
        <w:spacing w:before="240" w:line="360" w:lineRule="auto"/>
        <w:jc w:val="both"/>
        <w:rPr>
          <w:rFonts w:ascii="Palatino Linotype" w:hAnsi="Palatino Linotype" w:cs="Arial"/>
          <w:b/>
          <w:sz w:val="28"/>
          <w:lang w:val="es-ES"/>
        </w:rPr>
      </w:pPr>
      <w:r w:rsidRPr="00661E22">
        <w:rPr>
          <w:rFonts w:ascii="Palatino Linotype" w:hAnsi="Palatino Linotype" w:cs="Arial"/>
          <w:b/>
          <w:sz w:val="28"/>
          <w:lang w:val="es-ES"/>
        </w:rPr>
        <w:t xml:space="preserve">TERCERO. </w:t>
      </w:r>
      <w:r w:rsidRPr="00661E22">
        <w:rPr>
          <w:rFonts w:ascii="Palatino Linotype" w:hAnsi="Palatino Linotype"/>
          <w:b/>
          <w:sz w:val="28"/>
          <w:lang w:val="es-ES"/>
        </w:rPr>
        <w:t>Del recurso de revisión.</w:t>
      </w:r>
    </w:p>
    <w:p w14:paraId="19CC23DA" w14:textId="71265F60" w:rsidR="00497466" w:rsidRPr="00661E22" w:rsidRDefault="00497466" w:rsidP="00497466">
      <w:pPr>
        <w:spacing w:before="240" w:line="360" w:lineRule="auto"/>
        <w:jc w:val="both"/>
        <w:rPr>
          <w:rFonts w:ascii="Palatino Linotype" w:hAnsi="Palatino Linotype" w:cs="Arial"/>
          <w:sz w:val="24"/>
          <w:lang w:val="es-ES"/>
        </w:rPr>
      </w:pPr>
      <w:r w:rsidRPr="00661E22">
        <w:rPr>
          <w:rFonts w:ascii="Palatino Linotype" w:hAnsi="Palatino Linotype" w:cs="Arial"/>
          <w:sz w:val="24"/>
          <w:szCs w:val="24"/>
          <w:lang w:val="es-ES"/>
        </w:rPr>
        <w:t xml:space="preserve">Inconforme con la respuesta del sujeto obligado, </w:t>
      </w:r>
      <w:r w:rsidR="00A070F4" w:rsidRPr="00661E22">
        <w:rPr>
          <w:rFonts w:ascii="Palatino Linotype" w:hAnsi="Palatino Linotype" w:cs="Arial"/>
          <w:sz w:val="24"/>
          <w:szCs w:val="24"/>
          <w:lang w:val="es-ES"/>
        </w:rPr>
        <w:t xml:space="preserve">la parte </w:t>
      </w:r>
      <w:r w:rsidR="00A070F4" w:rsidRPr="00661E22">
        <w:rPr>
          <w:rFonts w:ascii="Palatino Linotype" w:hAnsi="Palatino Linotype" w:cs="Arial"/>
          <w:b/>
          <w:sz w:val="24"/>
          <w:szCs w:val="24"/>
          <w:lang w:val="es-ES"/>
        </w:rPr>
        <w:t>r</w:t>
      </w:r>
      <w:r w:rsidRPr="00661E22">
        <w:rPr>
          <w:rFonts w:ascii="Palatino Linotype" w:hAnsi="Palatino Linotype" w:cs="Arial"/>
          <w:b/>
          <w:sz w:val="24"/>
          <w:szCs w:val="24"/>
          <w:lang w:val="es-ES"/>
        </w:rPr>
        <w:t xml:space="preserve">ecurrente </w:t>
      </w:r>
      <w:r w:rsidRPr="00661E22">
        <w:rPr>
          <w:rFonts w:ascii="Palatino Linotype" w:hAnsi="Palatino Linotype" w:cs="Arial"/>
          <w:sz w:val="24"/>
          <w:szCs w:val="24"/>
          <w:lang w:val="es-ES"/>
        </w:rPr>
        <w:t xml:space="preserve">interpuso el recurso de revisión, en fecha </w:t>
      </w:r>
      <w:r w:rsidR="009A0CD7" w:rsidRPr="00661E22">
        <w:rPr>
          <w:rFonts w:ascii="Palatino Linotype" w:hAnsi="Palatino Linotype" w:cs="Arial"/>
          <w:sz w:val="24"/>
          <w:szCs w:val="24"/>
          <w:lang w:val="es-ES"/>
        </w:rPr>
        <w:t>seis de septiembre</w:t>
      </w:r>
      <w:r w:rsidR="004E3DD9" w:rsidRPr="00661E22">
        <w:rPr>
          <w:rFonts w:ascii="Palatino Linotype" w:hAnsi="Palatino Linotype" w:cs="Arial"/>
          <w:sz w:val="24"/>
          <w:szCs w:val="24"/>
          <w:lang w:val="es-ES"/>
        </w:rPr>
        <w:t xml:space="preserve"> d</w:t>
      </w:r>
      <w:r w:rsidR="00F05674" w:rsidRPr="00661E22">
        <w:rPr>
          <w:rFonts w:ascii="Palatino Linotype" w:hAnsi="Palatino Linotype" w:cs="Arial"/>
          <w:sz w:val="24"/>
          <w:szCs w:val="24"/>
          <w:lang w:val="es-ES"/>
        </w:rPr>
        <w:t>e dos mil veintiuno</w:t>
      </w:r>
      <w:r w:rsidRPr="00661E22">
        <w:rPr>
          <w:rFonts w:ascii="Palatino Linotype" w:hAnsi="Palatino Linotype" w:cs="Arial"/>
          <w:sz w:val="24"/>
          <w:szCs w:val="24"/>
          <w:lang w:val="es-ES"/>
        </w:rPr>
        <w:t>, el cual fue registrado</w:t>
      </w:r>
      <w:r w:rsidRPr="00661E22">
        <w:rPr>
          <w:rFonts w:ascii="Palatino Linotype" w:hAnsi="Palatino Linotype" w:cs="Arial"/>
          <w:b/>
          <w:sz w:val="24"/>
          <w:szCs w:val="24"/>
          <w:lang w:val="es-ES"/>
        </w:rPr>
        <w:t xml:space="preserve"> </w:t>
      </w:r>
      <w:r w:rsidRPr="00661E22">
        <w:rPr>
          <w:rFonts w:ascii="Palatino Linotype" w:hAnsi="Palatino Linotype" w:cs="Arial"/>
          <w:sz w:val="24"/>
          <w:szCs w:val="24"/>
          <w:lang w:val="es-ES"/>
        </w:rPr>
        <w:t xml:space="preserve">en el sistema electrónico con el expediente número </w:t>
      </w:r>
      <w:r w:rsidRPr="00661E22">
        <w:rPr>
          <w:rFonts w:ascii="Palatino Linotype" w:hAnsi="Palatino Linotype" w:cs="Arial"/>
          <w:b/>
          <w:bCs/>
          <w:sz w:val="24"/>
          <w:szCs w:val="24"/>
          <w:lang w:val="es-ES" w:eastAsia="es-MX"/>
        </w:rPr>
        <w:t>0</w:t>
      </w:r>
      <w:r w:rsidR="009A0CD7" w:rsidRPr="00661E22">
        <w:rPr>
          <w:rFonts w:ascii="Palatino Linotype" w:hAnsi="Palatino Linotype" w:cs="Arial"/>
          <w:b/>
          <w:bCs/>
          <w:sz w:val="24"/>
          <w:szCs w:val="24"/>
          <w:lang w:val="es-ES" w:eastAsia="es-MX"/>
        </w:rPr>
        <w:t>456</w:t>
      </w:r>
      <w:r w:rsidR="00D27FCB" w:rsidRPr="00661E22">
        <w:rPr>
          <w:rFonts w:ascii="Palatino Linotype" w:hAnsi="Palatino Linotype" w:cs="Arial"/>
          <w:b/>
          <w:bCs/>
          <w:sz w:val="24"/>
          <w:szCs w:val="24"/>
          <w:lang w:val="es-ES" w:eastAsia="es-MX"/>
        </w:rPr>
        <w:t>0</w:t>
      </w:r>
      <w:r w:rsidRPr="00661E22">
        <w:rPr>
          <w:rFonts w:ascii="Palatino Linotype" w:hAnsi="Palatino Linotype" w:cs="Arial"/>
          <w:b/>
          <w:bCs/>
          <w:sz w:val="24"/>
          <w:szCs w:val="24"/>
          <w:lang w:val="es-ES" w:eastAsia="es-MX"/>
        </w:rPr>
        <w:t>/INFOEM/IP/RR/202</w:t>
      </w:r>
      <w:r w:rsidR="00F05674" w:rsidRPr="00661E22">
        <w:rPr>
          <w:rFonts w:ascii="Palatino Linotype" w:hAnsi="Palatino Linotype" w:cs="Arial"/>
          <w:b/>
          <w:bCs/>
          <w:sz w:val="24"/>
          <w:szCs w:val="24"/>
          <w:lang w:val="es-ES" w:eastAsia="es-MX"/>
        </w:rPr>
        <w:t>1</w:t>
      </w:r>
      <w:r w:rsidRPr="00661E22">
        <w:rPr>
          <w:rFonts w:ascii="Palatino Linotype" w:hAnsi="Palatino Linotype" w:cs="Arial"/>
          <w:sz w:val="24"/>
          <w:szCs w:val="24"/>
          <w:lang w:val="es-ES"/>
        </w:rPr>
        <w:t xml:space="preserve">, en el cual </w:t>
      </w:r>
      <w:r w:rsidRPr="00661E22">
        <w:rPr>
          <w:rFonts w:ascii="Palatino Linotype" w:hAnsi="Palatino Linotype" w:cs="Arial"/>
          <w:sz w:val="24"/>
          <w:lang w:val="es-ES"/>
        </w:rPr>
        <w:t>arguye, las siguientes manifestaciones:</w:t>
      </w:r>
    </w:p>
    <w:p w14:paraId="47881239" w14:textId="77777777" w:rsidR="00497466" w:rsidRPr="00661E22" w:rsidRDefault="00497466" w:rsidP="00497466">
      <w:pPr>
        <w:spacing w:before="240"/>
        <w:jc w:val="both"/>
        <w:rPr>
          <w:rFonts w:ascii="Palatino Linotype" w:hAnsi="Palatino Linotype" w:cs="Arial"/>
          <w:b/>
          <w:sz w:val="24"/>
          <w:lang w:val="es-ES"/>
        </w:rPr>
      </w:pPr>
      <w:r w:rsidRPr="00661E22">
        <w:rPr>
          <w:rFonts w:ascii="Palatino Linotype" w:hAnsi="Palatino Linotype" w:cs="Arial"/>
          <w:b/>
          <w:sz w:val="24"/>
          <w:lang w:val="es-ES"/>
        </w:rPr>
        <w:t>Acto Impugnado:</w:t>
      </w:r>
    </w:p>
    <w:p w14:paraId="36113DAD" w14:textId="269650F0" w:rsidR="00441A50" w:rsidRPr="00661E22" w:rsidRDefault="00497466" w:rsidP="00C2624D">
      <w:pPr>
        <w:ind w:left="851" w:right="850"/>
        <w:jc w:val="both"/>
        <w:rPr>
          <w:rFonts w:ascii="Palatino Linotype" w:hAnsi="Palatino Linotype"/>
          <w:i/>
          <w:color w:val="000000"/>
          <w:lang w:val="es-ES"/>
        </w:rPr>
      </w:pPr>
      <w:r w:rsidRPr="00661E22">
        <w:rPr>
          <w:rFonts w:ascii="Palatino Linotype" w:hAnsi="Palatino Linotype"/>
          <w:i/>
          <w:color w:val="000000"/>
          <w:lang w:val="es-ES"/>
        </w:rPr>
        <w:t>“</w:t>
      </w:r>
      <w:r w:rsidR="00CF74A1" w:rsidRPr="00661E22">
        <w:rPr>
          <w:rFonts w:ascii="Palatino Linotype" w:hAnsi="Palatino Linotype"/>
          <w:i/>
          <w:color w:val="000000"/>
          <w:lang w:val="es-ES"/>
        </w:rPr>
        <w:t xml:space="preserve">no da </w:t>
      </w:r>
      <w:proofErr w:type="spellStart"/>
      <w:r w:rsidR="00CF74A1" w:rsidRPr="00661E22">
        <w:rPr>
          <w:rFonts w:ascii="Palatino Linotype" w:hAnsi="Palatino Linotype"/>
          <w:i/>
          <w:color w:val="000000"/>
          <w:lang w:val="es-ES"/>
        </w:rPr>
        <w:t>contestacion</w:t>
      </w:r>
      <w:proofErr w:type="spellEnd"/>
      <w:r w:rsidR="00CF74A1" w:rsidRPr="00661E22">
        <w:rPr>
          <w:rFonts w:ascii="Palatino Linotype" w:hAnsi="Palatino Linotype"/>
          <w:i/>
          <w:color w:val="000000"/>
          <w:lang w:val="es-ES"/>
        </w:rPr>
        <w:t xml:space="preserve"> la señora de </w:t>
      </w:r>
      <w:proofErr w:type="spellStart"/>
      <w:r w:rsidR="00CF74A1" w:rsidRPr="00661E22">
        <w:rPr>
          <w:rFonts w:ascii="Palatino Linotype" w:hAnsi="Palatino Linotype"/>
          <w:i/>
          <w:color w:val="000000"/>
          <w:lang w:val="es-ES"/>
        </w:rPr>
        <w:t>trandsaprencia</w:t>
      </w:r>
      <w:proofErr w:type="spellEnd"/>
      <w:r w:rsidR="00CF74A1" w:rsidRPr="00661E22">
        <w:rPr>
          <w:rFonts w:ascii="Palatino Linotype" w:hAnsi="Palatino Linotype"/>
          <w:i/>
          <w:color w:val="000000"/>
          <w:lang w:val="es-ES"/>
        </w:rPr>
        <w:t xml:space="preserve"> </w:t>
      </w:r>
      <w:proofErr w:type="spellStart"/>
      <w:r w:rsidR="00CF74A1" w:rsidRPr="00661E22">
        <w:rPr>
          <w:rFonts w:ascii="Palatino Linotype" w:hAnsi="Palatino Linotype"/>
          <w:i/>
          <w:color w:val="000000"/>
          <w:lang w:val="es-ES"/>
        </w:rPr>
        <w:t>brenda</w:t>
      </w:r>
      <w:proofErr w:type="spellEnd"/>
      <w:r w:rsidR="00CF74A1" w:rsidRPr="00661E22">
        <w:rPr>
          <w:rFonts w:ascii="Palatino Linotype" w:hAnsi="Palatino Linotype"/>
          <w:i/>
          <w:color w:val="000000"/>
          <w:lang w:val="es-ES"/>
        </w:rPr>
        <w:t xml:space="preserve"> </w:t>
      </w:r>
      <w:proofErr w:type="spellStart"/>
      <w:r w:rsidR="00CF74A1" w:rsidRPr="00661E22">
        <w:rPr>
          <w:rFonts w:ascii="Palatino Linotype" w:hAnsi="Palatino Linotype"/>
          <w:i/>
          <w:color w:val="000000"/>
          <w:lang w:val="es-ES"/>
        </w:rPr>
        <w:t>anaya</w:t>
      </w:r>
      <w:proofErr w:type="spellEnd"/>
      <w:r w:rsidRPr="00661E22">
        <w:rPr>
          <w:rFonts w:ascii="Palatino Linotype" w:hAnsi="Palatino Linotype"/>
          <w:i/>
          <w:color w:val="000000"/>
          <w:lang w:val="es-ES"/>
        </w:rPr>
        <w:t>."[Sic]</w:t>
      </w:r>
    </w:p>
    <w:p w14:paraId="2E5A85F4" w14:textId="77777777" w:rsidR="00497466" w:rsidRPr="00661E22" w:rsidRDefault="00497466" w:rsidP="00497466">
      <w:pPr>
        <w:spacing w:before="240"/>
        <w:jc w:val="both"/>
        <w:rPr>
          <w:rFonts w:ascii="Palatino Linotype" w:hAnsi="Palatino Linotype" w:cs="Arial"/>
          <w:sz w:val="24"/>
          <w:lang w:val="es-ES"/>
        </w:rPr>
      </w:pPr>
      <w:r w:rsidRPr="00661E22">
        <w:rPr>
          <w:rFonts w:ascii="Palatino Linotype" w:hAnsi="Palatino Linotype" w:cs="Arial"/>
          <w:b/>
          <w:sz w:val="24"/>
          <w:lang w:val="es-ES"/>
        </w:rPr>
        <w:t>Razones o Motivos de Inconformidad</w:t>
      </w:r>
      <w:r w:rsidRPr="00661E22">
        <w:rPr>
          <w:rFonts w:ascii="Palatino Linotype" w:hAnsi="Palatino Linotype" w:cs="Arial"/>
          <w:sz w:val="24"/>
          <w:lang w:val="es-ES"/>
        </w:rPr>
        <w:t xml:space="preserve">: </w:t>
      </w:r>
    </w:p>
    <w:p w14:paraId="6E7AB831" w14:textId="14318208" w:rsidR="00F9478E" w:rsidRPr="00661E22" w:rsidRDefault="00497466" w:rsidP="00F84072">
      <w:pPr>
        <w:ind w:left="851" w:right="850"/>
        <w:jc w:val="both"/>
        <w:rPr>
          <w:rFonts w:ascii="Palatino Linotype" w:hAnsi="Palatino Linotype" w:cs="Arial"/>
          <w:i/>
          <w:lang w:val="es-ES"/>
        </w:rPr>
      </w:pPr>
      <w:r w:rsidRPr="00661E22">
        <w:rPr>
          <w:rFonts w:ascii="Palatino Linotype" w:hAnsi="Palatino Linotype" w:cs="Arial"/>
          <w:i/>
          <w:lang w:val="es-ES"/>
        </w:rPr>
        <w:t>“</w:t>
      </w:r>
      <w:r w:rsidR="00CF74A1" w:rsidRPr="00661E22">
        <w:rPr>
          <w:rFonts w:ascii="Palatino Linotype" w:hAnsi="Palatino Linotype" w:cs="Arial"/>
          <w:i/>
          <w:lang w:val="es-ES"/>
        </w:rPr>
        <w:t xml:space="preserve">no da </w:t>
      </w:r>
      <w:proofErr w:type="spellStart"/>
      <w:r w:rsidR="00CF74A1" w:rsidRPr="00661E22">
        <w:rPr>
          <w:rFonts w:ascii="Palatino Linotype" w:hAnsi="Palatino Linotype" w:cs="Arial"/>
          <w:i/>
          <w:lang w:val="es-ES"/>
        </w:rPr>
        <w:t>contestacion</w:t>
      </w:r>
      <w:proofErr w:type="spellEnd"/>
      <w:r w:rsidR="00CF74A1" w:rsidRPr="00661E22">
        <w:rPr>
          <w:rFonts w:ascii="Palatino Linotype" w:hAnsi="Palatino Linotype" w:cs="Arial"/>
          <w:i/>
          <w:lang w:val="es-ES"/>
        </w:rPr>
        <w:t xml:space="preserve"> la señora de transparencia </w:t>
      </w:r>
      <w:proofErr w:type="spellStart"/>
      <w:r w:rsidR="00CF74A1" w:rsidRPr="00661E22">
        <w:rPr>
          <w:rFonts w:ascii="Palatino Linotype" w:hAnsi="Palatino Linotype" w:cs="Arial"/>
          <w:i/>
          <w:lang w:val="es-ES"/>
        </w:rPr>
        <w:t>brenda</w:t>
      </w:r>
      <w:proofErr w:type="spellEnd"/>
      <w:r w:rsidR="00CF74A1" w:rsidRPr="00661E22">
        <w:rPr>
          <w:rFonts w:ascii="Palatino Linotype" w:hAnsi="Palatino Linotype" w:cs="Arial"/>
          <w:i/>
          <w:lang w:val="es-ES"/>
        </w:rPr>
        <w:t xml:space="preserve"> </w:t>
      </w:r>
      <w:proofErr w:type="spellStart"/>
      <w:r w:rsidR="00CF74A1" w:rsidRPr="00661E22">
        <w:rPr>
          <w:rFonts w:ascii="Palatino Linotype" w:hAnsi="Palatino Linotype" w:cs="Arial"/>
          <w:i/>
          <w:lang w:val="es-ES"/>
        </w:rPr>
        <w:t>anaya</w:t>
      </w:r>
      <w:proofErr w:type="spellEnd"/>
      <w:r w:rsidR="00F9478E" w:rsidRPr="00661E22">
        <w:rPr>
          <w:rFonts w:ascii="Palatino Linotype" w:hAnsi="Palatino Linotype" w:cs="Arial"/>
          <w:i/>
          <w:lang w:val="es-ES"/>
        </w:rPr>
        <w:t>.</w:t>
      </w:r>
      <w:r w:rsidRPr="00661E22">
        <w:rPr>
          <w:rFonts w:ascii="Palatino Linotype" w:hAnsi="Palatino Linotype" w:cs="Arial"/>
          <w:i/>
          <w:lang w:val="es-ES"/>
        </w:rPr>
        <w:t>” [Sic]</w:t>
      </w:r>
      <w:r w:rsidR="00982CDE" w:rsidRPr="00661E22">
        <w:rPr>
          <w:rFonts w:ascii="Palatino Linotype" w:hAnsi="Palatino Linotype" w:cs="Arial"/>
          <w:iCs/>
          <w:lang w:val="es-ES"/>
        </w:rPr>
        <w:t xml:space="preserve"> </w:t>
      </w:r>
    </w:p>
    <w:p w14:paraId="18584AAC" w14:textId="77777777" w:rsidR="008A3EAB" w:rsidRPr="00661E22" w:rsidRDefault="008A3EAB" w:rsidP="008A3EAB">
      <w:pPr>
        <w:spacing w:before="240" w:line="360" w:lineRule="auto"/>
        <w:jc w:val="both"/>
        <w:rPr>
          <w:rFonts w:ascii="Palatino Linotype" w:hAnsi="Palatino Linotype" w:cs="Arial"/>
          <w:b/>
          <w:sz w:val="28"/>
          <w:szCs w:val="28"/>
          <w:lang w:val="es-ES"/>
        </w:rPr>
      </w:pPr>
      <w:r w:rsidRPr="00661E22">
        <w:rPr>
          <w:rFonts w:ascii="Palatino Linotype" w:hAnsi="Palatino Linotype" w:cs="Arial"/>
          <w:b/>
          <w:sz w:val="28"/>
          <w:lang w:val="es-ES"/>
        </w:rPr>
        <w:t>CUARTO</w:t>
      </w:r>
      <w:r w:rsidRPr="00661E22">
        <w:rPr>
          <w:rFonts w:ascii="Palatino Linotype" w:hAnsi="Palatino Linotype" w:cs="Arial"/>
          <w:b/>
          <w:sz w:val="24"/>
          <w:szCs w:val="24"/>
          <w:lang w:val="es-ES"/>
        </w:rPr>
        <w:t xml:space="preserve">. </w:t>
      </w:r>
      <w:r w:rsidRPr="00661E22">
        <w:rPr>
          <w:rFonts w:ascii="Palatino Linotype" w:hAnsi="Palatino Linotype" w:cs="Arial"/>
          <w:b/>
          <w:sz w:val="28"/>
          <w:szCs w:val="28"/>
          <w:lang w:val="es-ES"/>
        </w:rPr>
        <w:t>Del turno del recurso de revisión.</w:t>
      </w:r>
    </w:p>
    <w:p w14:paraId="0E356A80" w14:textId="0E950A80" w:rsidR="008A3EAB" w:rsidRPr="00661E22" w:rsidRDefault="008A3EAB" w:rsidP="008A3EAB">
      <w:pPr>
        <w:spacing w:before="240" w:line="360" w:lineRule="auto"/>
        <w:jc w:val="both"/>
        <w:rPr>
          <w:rFonts w:ascii="Palatino Linotype" w:hAnsi="Palatino Linotype" w:cs="Arial"/>
          <w:sz w:val="24"/>
          <w:szCs w:val="24"/>
          <w:lang w:val="es-ES"/>
        </w:rPr>
      </w:pPr>
      <w:r w:rsidRPr="00661E22">
        <w:rPr>
          <w:rFonts w:ascii="Palatino Linotype" w:hAnsi="Palatino Linotype" w:cs="Arial"/>
          <w:sz w:val="24"/>
          <w:szCs w:val="24"/>
          <w:lang w:val="es-ES"/>
        </w:rPr>
        <w:t>Medio de impugnación que le fue turnado a</w:t>
      </w:r>
      <w:r w:rsidR="00CF74A1" w:rsidRPr="00661E22">
        <w:rPr>
          <w:rFonts w:ascii="Palatino Linotype" w:hAnsi="Palatino Linotype" w:cs="Arial"/>
          <w:sz w:val="24"/>
          <w:szCs w:val="24"/>
          <w:lang w:val="es-ES"/>
        </w:rPr>
        <w:t>l</w:t>
      </w:r>
      <w:r w:rsidRPr="00661E22">
        <w:rPr>
          <w:rFonts w:ascii="Palatino Linotype" w:hAnsi="Palatino Linotype" w:cs="Arial"/>
          <w:sz w:val="24"/>
          <w:szCs w:val="24"/>
          <w:lang w:val="es-ES"/>
        </w:rPr>
        <w:t xml:space="preserve"> Comisionad</w:t>
      </w:r>
      <w:r w:rsidR="00CF74A1" w:rsidRPr="00661E22">
        <w:rPr>
          <w:rFonts w:ascii="Palatino Linotype" w:hAnsi="Palatino Linotype" w:cs="Arial"/>
          <w:sz w:val="24"/>
          <w:szCs w:val="24"/>
          <w:lang w:val="es-ES"/>
        </w:rPr>
        <w:t>o</w:t>
      </w:r>
      <w:r w:rsidRPr="00661E22">
        <w:rPr>
          <w:rFonts w:ascii="Palatino Linotype" w:hAnsi="Palatino Linotype" w:cs="Arial"/>
          <w:sz w:val="24"/>
          <w:szCs w:val="24"/>
          <w:lang w:val="es-ES"/>
        </w:rPr>
        <w:t xml:space="preserve"> </w:t>
      </w:r>
      <w:r w:rsidR="00CF74A1" w:rsidRPr="00661E22">
        <w:rPr>
          <w:rFonts w:ascii="Palatino Linotype" w:hAnsi="Palatino Linotype" w:cs="Arial"/>
          <w:b/>
          <w:sz w:val="24"/>
          <w:szCs w:val="24"/>
          <w:lang w:val="es-ES"/>
        </w:rPr>
        <w:t>José Martínez Vilchis</w:t>
      </w:r>
      <w:r w:rsidRPr="00661E22">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CF74A1" w:rsidRPr="00661E22">
        <w:rPr>
          <w:rFonts w:ascii="Palatino Linotype" w:hAnsi="Palatino Linotype" w:cs="Arial"/>
          <w:sz w:val="24"/>
          <w:szCs w:val="24"/>
          <w:lang w:val="es-ES"/>
        </w:rPr>
        <w:t>diez de septiembre</w:t>
      </w:r>
      <w:r w:rsidRPr="00661E22">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06C07C56" w14:textId="77777777" w:rsidR="00CF74A1" w:rsidRPr="00661E22" w:rsidRDefault="00CF74A1" w:rsidP="008A3EAB">
      <w:pPr>
        <w:spacing w:before="240" w:line="360" w:lineRule="auto"/>
        <w:jc w:val="both"/>
        <w:rPr>
          <w:rFonts w:ascii="Palatino Linotype" w:hAnsi="Palatino Linotype" w:cs="Arial"/>
          <w:sz w:val="24"/>
          <w:szCs w:val="24"/>
          <w:lang w:val="es-ES"/>
        </w:rPr>
      </w:pPr>
    </w:p>
    <w:p w14:paraId="324364F3" w14:textId="77777777" w:rsidR="008A3EAB" w:rsidRPr="00661E22" w:rsidRDefault="008A3EAB" w:rsidP="008A3EAB">
      <w:pPr>
        <w:spacing w:before="240" w:line="360" w:lineRule="auto"/>
        <w:jc w:val="both"/>
        <w:rPr>
          <w:rFonts w:ascii="Palatino Linotype" w:hAnsi="Palatino Linotype" w:cs="Arial"/>
          <w:b/>
          <w:sz w:val="24"/>
          <w:szCs w:val="24"/>
          <w:lang w:val="es-ES"/>
        </w:rPr>
      </w:pPr>
      <w:r w:rsidRPr="00661E22">
        <w:rPr>
          <w:rFonts w:ascii="Palatino Linotype" w:hAnsi="Palatino Linotype" w:cs="Arial"/>
          <w:b/>
          <w:sz w:val="28"/>
          <w:lang w:val="es-ES"/>
        </w:rPr>
        <w:lastRenderedPageBreak/>
        <w:t>QUINTO</w:t>
      </w:r>
      <w:r w:rsidRPr="00661E22">
        <w:rPr>
          <w:rFonts w:ascii="Palatino Linotype" w:hAnsi="Palatino Linotype" w:cs="Arial"/>
          <w:b/>
          <w:sz w:val="24"/>
          <w:szCs w:val="24"/>
          <w:lang w:val="es-ES"/>
        </w:rPr>
        <w:t xml:space="preserve">. </w:t>
      </w:r>
      <w:r w:rsidRPr="00661E22">
        <w:rPr>
          <w:rFonts w:ascii="Palatino Linotype" w:hAnsi="Palatino Linotype" w:cs="Arial"/>
          <w:b/>
          <w:sz w:val="28"/>
          <w:szCs w:val="28"/>
          <w:lang w:val="es-ES"/>
        </w:rPr>
        <w:t>De la etapa de instrucción.</w:t>
      </w:r>
    </w:p>
    <w:p w14:paraId="11DCD39D" w14:textId="61192FCB" w:rsidR="008A3EAB" w:rsidRDefault="008A3EAB" w:rsidP="008A3EAB">
      <w:pPr>
        <w:spacing w:before="240" w:line="360" w:lineRule="auto"/>
        <w:jc w:val="both"/>
        <w:rPr>
          <w:rFonts w:ascii="Palatino Linotype" w:hAnsi="Palatino Linotype" w:cs="Arial"/>
          <w:sz w:val="24"/>
          <w:szCs w:val="24"/>
          <w:lang w:val="es-ES"/>
        </w:rPr>
      </w:pPr>
      <w:r w:rsidRPr="00661E22">
        <w:rPr>
          <w:rFonts w:ascii="Palatino Linotype" w:hAnsi="Palatino Linotype" w:cs="Arial"/>
          <w:sz w:val="24"/>
          <w:szCs w:val="24"/>
          <w:lang w:val="es-ES"/>
        </w:rPr>
        <w:t xml:space="preserve">Así, una vez abierta la etapa de instrucción, en el sumario se observa que el Sujeto Obligado en fecha veinte de </w:t>
      </w:r>
      <w:r w:rsidR="00CF74A1" w:rsidRPr="00661E22">
        <w:rPr>
          <w:rFonts w:ascii="Palatino Linotype" w:hAnsi="Palatino Linotype" w:cs="Arial"/>
          <w:sz w:val="24"/>
          <w:szCs w:val="24"/>
          <w:lang w:val="es-ES"/>
        </w:rPr>
        <w:t>septiembre</w:t>
      </w:r>
      <w:r w:rsidRPr="00661E22">
        <w:rPr>
          <w:rFonts w:ascii="Palatino Linotype" w:hAnsi="Palatino Linotype" w:cs="Arial"/>
          <w:sz w:val="24"/>
          <w:szCs w:val="24"/>
          <w:lang w:val="es-ES"/>
        </w:rPr>
        <w:t xml:space="preserve"> de los corrientes presentó su informe justificado, asimismo, la parte recurrente no realizo manifestación alguna, por lo que habiendo transcurrido el plazo establecido en fecha </w:t>
      </w:r>
      <w:r w:rsidR="00CF74A1" w:rsidRPr="00661E22">
        <w:rPr>
          <w:rFonts w:ascii="Palatino Linotype" w:hAnsi="Palatino Linotype" w:cs="Arial"/>
          <w:sz w:val="24"/>
          <w:szCs w:val="24"/>
          <w:lang w:val="es-ES"/>
        </w:rPr>
        <w:t>veintinueve</w:t>
      </w:r>
      <w:r w:rsidRPr="00661E22">
        <w:rPr>
          <w:rFonts w:ascii="Palatino Linotype" w:hAnsi="Palatino Linotype" w:cs="Arial"/>
          <w:sz w:val="24"/>
          <w:szCs w:val="24"/>
          <w:lang w:val="es-ES"/>
        </w:rPr>
        <w:t xml:space="preserve"> de septiembre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1E4B7AC1" w14:textId="1681CDB6" w:rsidR="006E4132" w:rsidRPr="00661E22" w:rsidRDefault="006E4132" w:rsidP="006E4132">
      <w:pPr>
        <w:spacing w:before="240" w:after="24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 xml:space="preserve">Así también, en fecha </w:t>
      </w:r>
      <w:r>
        <w:rPr>
          <w:rFonts w:ascii="Palatino Linotype" w:hAnsi="Palatino Linotype" w:cs="Arial"/>
          <w:sz w:val="24"/>
          <w:szCs w:val="24"/>
          <w:lang w:val="es-ES"/>
        </w:rPr>
        <w:t>veinticinco de octubre</w:t>
      </w:r>
      <w:r w:rsidRPr="00A91755">
        <w:rPr>
          <w:rFonts w:ascii="Palatino Linotype" w:hAnsi="Palatino Linotype" w:cs="Arial"/>
          <w:sz w:val="24"/>
          <w:szCs w:val="24"/>
          <w:lang w:val="es-ES"/>
        </w:rPr>
        <w:t xml:space="preserve"> de los corrientes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661E22" w:rsidRDefault="00E15E85" w:rsidP="00E15E85">
      <w:pPr>
        <w:spacing w:before="240" w:line="360" w:lineRule="auto"/>
        <w:jc w:val="center"/>
        <w:rPr>
          <w:rFonts w:ascii="Palatino Linotype" w:hAnsi="Palatino Linotype" w:cs="Arial"/>
          <w:b/>
          <w:sz w:val="24"/>
          <w:lang w:val="es-ES"/>
        </w:rPr>
      </w:pPr>
      <w:r w:rsidRPr="00661E22">
        <w:rPr>
          <w:rFonts w:ascii="Palatino Linotype" w:hAnsi="Palatino Linotype" w:cs="Arial"/>
          <w:b/>
          <w:sz w:val="24"/>
          <w:lang w:val="es-ES"/>
        </w:rPr>
        <w:t xml:space="preserve">C O N S I D E R A N D O </w:t>
      </w:r>
    </w:p>
    <w:p w14:paraId="4E7D557F" w14:textId="77777777" w:rsidR="00E15E85" w:rsidRPr="00661E22" w:rsidRDefault="00E15E85" w:rsidP="00E15E85">
      <w:pPr>
        <w:spacing w:before="240" w:line="360" w:lineRule="auto"/>
        <w:jc w:val="both"/>
        <w:rPr>
          <w:rFonts w:ascii="Palatino Linotype" w:hAnsi="Palatino Linotype" w:cs="Arial"/>
          <w:sz w:val="24"/>
          <w:lang w:val="es-ES"/>
        </w:rPr>
      </w:pPr>
      <w:r w:rsidRPr="00661E22">
        <w:rPr>
          <w:rFonts w:ascii="Palatino Linotype" w:hAnsi="Palatino Linotype" w:cs="Arial"/>
          <w:b/>
          <w:sz w:val="28"/>
          <w:lang w:val="es-ES"/>
        </w:rPr>
        <w:t>PRIMERO.</w:t>
      </w:r>
      <w:r w:rsidRPr="00661E22">
        <w:rPr>
          <w:rFonts w:ascii="Palatino Linotype" w:hAnsi="Palatino Linotype" w:cs="Arial"/>
          <w:b/>
          <w:lang w:val="es-ES"/>
        </w:rPr>
        <w:t xml:space="preserve"> </w:t>
      </w:r>
      <w:r w:rsidRPr="00661E22">
        <w:rPr>
          <w:rFonts w:ascii="Palatino Linotype" w:hAnsi="Palatino Linotype" w:cs="Arial"/>
          <w:b/>
          <w:sz w:val="28"/>
          <w:szCs w:val="28"/>
          <w:lang w:val="es-ES"/>
        </w:rPr>
        <w:t>De la competencia</w:t>
      </w:r>
      <w:r w:rsidRPr="00661E22">
        <w:rPr>
          <w:rFonts w:ascii="Palatino Linotype" w:hAnsi="Palatino Linotype" w:cs="Arial"/>
          <w:sz w:val="28"/>
          <w:szCs w:val="28"/>
          <w:lang w:val="es-ES"/>
        </w:rPr>
        <w:t>.</w:t>
      </w:r>
    </w:p>
    <w:p w14:paraId="60A58B95" w14:textId="0CBD8B53" w:rsidR="00F46B5E" w:rsidRPr="006E4132" w:rsidRDefault="00E02B4C" w:rsidP="006E4132">
      <w:pPr>
        <w:spacing w:before="240" w:line="360" w:lineRule="auto"/>
        <w:jc w:val="both"/>
        <w:rPr>
          <w:rFonts w:ascii="Palatino Linotype" w:hAnsi="Palatino Linotype" w:cs="Arial"/>
          <w:sz w:val="24"/>
          <w:lang w:val="es-ES"/>
        </w:rPr>
      </w:pPr>
      <w:r w:rsidRPr="00661E22">
        <w:rPr>
          <w:rFonts w:ascii="Palatino Linotype" w:hAnsi="Palatino Linotype" w:cs="Arial"/>
          <w:sz w:val="24"/>
          <w:lang w:val="es-E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w:t>
      </w:r>
      <w:r w:rsidRPr="00661E22">
        <w:rPr>
          <w:rFonts w:ascii="Palatino Linotype" w:hAnsi="Palatino Linotype" w:cs="Arial"/>
          <w:sz w:val="24"/>
          <w:lang w:val="es-ES"/>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4272D838" w14:textId="3030F14B" w:rsidR="00E15E85" w:rsidRPr="00661E22"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661E22">
        <w:rPr>
          <w:rFonts w:ascii="Palatino Linotype" w:hAnsi="Palatino Linotype" w:cs="Arial"/>
          <w:b/>
          <w:sz w:val="28"/>
        </w:rPr>
        <w:t>SEGUNDO</w:t>
      </w:r>
      <w:r w:rsidRPr="00661E22">
        <w:rPr>
          <w:rFonts w:ascii="Palatino Linotype" w:hAnsi="Palatino Linotype" w:cs="Arial"/>
          <w:b/>
        </w:rPr>
        <w:t xml:space="preserve">. </w:t>
      </w:r>
      <w:r w:rsidRPr="00661E22">
        <w:rPr>
          <w:rFonts w:ascii="Palatino Linotype" w:hAnsi="Palatino Linotype" w:cs="Arial"/>
          <w:b/>
          <w:sz w:val="28"/>
          <w:szCs w:val="28"/>
        </w:rPr>
        <w:t>Sobre los alcances del recurso de revisión.</w:t>
      </w:r>
      <w:r w:rsidRPr="00661E22">
        <w:rPr>
          <w:rFonts w:ascii="Palatino Linotype" w:hAnsi="Palatino Linotype" w:cs="Arial"/>
          <w:b/>
        </w:rPr>
        <w:t xml:space="preserve"> </w:t>
      </w:r>
    </w:p>
    <w:p w14:paraId="4ADDB788" w14:textId="31A9A74A"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661E22">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15A08E7" w14:textId="3AD92E8F"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3614660D"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w:t>
      </w:r>
      <w:r w:rsidRPr="007B44DF">
        <w:rPr>
          <w:rFonts w:ascii="Palatino Linotype" w:hAnsi="Palatino Linotype" w:cs="Arial"/>
          <w:b/>
          <w:i/>
          <w:sz w:val="24"/>
          <w:szCs w:val="24"/>
        </w:rPr>
        <w:t>Artículo 180</w:t>
      </w:r>
      <w:r w:rsidRPr="007B44DF">
        <w:rPr>
          <w:rFonts w:ascii="Palatino Linotype" w:hAnsi="Palatino Linotype" w:cs="Arial"/>
          <w:i/>
          <w:sz w:val="24"/>
          <w:szCs w:val="24"/>
        </w:rPr>
        <w:t xml:space="preserve">. El recurso de revisión contendrá: </w:t>
      </w:r>
    </w:p>
    <w:p w14:paraId="479BDC49"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I</w:t>
      </w:r>
      <w:r w:rsidRPr="007B44DF">
        <w:rPr>
          <w:rFonts w:ascii="Palatino Linotype" w:hAnsi="Palatino Linotype" w:cs="Arial"/>
          <w:i/>
          <w:sz w:val="24"/>
          <w:szCs w:val="24"/>
        </w:rPr>
        <w:t xml:space="preserve">. El Sujeto Obligado ante la cual se presentó la solicitud; </w:t>
      </w:r>
    </w:p>
    <w:p w14:paraId="415EB503"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II</w:t>
      </w:r>
      <w:r w:rsidRPr="007B44DF">
        <w:rPr>
          <w:rFonts w:ascii="Palatino Linotype" w:hAnsi="Palatino Linotype" w:cs="Arial"/>
          <w:i/>
          <w:sz w:val="24"/>
          <w:szCs w:val="24"/>
        </w:rPr>
        <w:t xml:space="preserve">. </w:t>
      </w:r>
      <w:r w:rsidRPr="007B44DF">
        <w:rPr>
          <w:rFonts w:ascii="Palatino Linotype" w:hAnsi="Palatino Linotype" w:cs="Arial"/>
          <w:i/>
          <w:sz w:val="24"/>
          <w:szCs w:val="24"/>
          <w:u w:val="single"/>
        </w:rPr>
        <w:t>El nombre del solicitante</w:t>
      </w:r>
      <w:r w:rsidRPr="007B44DF">
        <w:rPr>
          <w:rFonts w:ascii="Palatino Linotype" w:hAnsi="Palatino Linotype" w:cs="Arial"/>
          <w:i/>
          <w:sz w:val="24"/>
          <w:szCs w:val="24"/>
        </w:rPr>
        <w:t xml:space="preserve"> que recurre o de su representante y, en su caso, del tercero interesado, así como la dirección o medio que señale para recibir notificaciones; </w:t>
      </w:r>
    </w:p>
    <w:p w14:paraId="6952FB6B"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lastRenderedPageBreak/>
        <w:t>III</w:t>
      </w:r>
      <w:r w:rsidRPr="007B44DF">
        <w:rPr>
          <w:rFonts w:ascii="Palatino Linotype" w:hAnsi="Palatino Linotype" w:cs="Arial"/>
          <w:i/>
          <w:sz w:val="24"/>
          <w:szCs w:val="24"/>
        </w:rPr>
        <w:t xml:space="preserve">. El número de folio de respuesta de la solicitud de acceso; </w:t>
      </w:r>
    </w:p>
    <w:p w14:paraId="2F843514"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IV</w:t>
      </w:r>
      <w:r w:rsidRPr="007B44DF">
        <w:rPr>
          <w:rFonts w:ascii="Palatino Linotype" w:hAnsi="Palatino Linotype" w:cs="Arial"/>
          <w:i/>
          <w:sz w:val="24"/>
          <w:szCs w:val="24"/>
        </w:rPr>
        <w:t xml:space="preserve">. La fecha en que fue notificada la respuesta al solicitante o tuvo conocimiento del acto reclamado, o de presentación de la solicitud, en caso de falta de respuesta; </w:t>
      </w:r>
    </w:p>
    <w:p w14:paraId="7DF507BE"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V</w:t>
      </w:r>
      <w:r w:rsidRPr="007B44DF">
        <w:rPr>
          <w:rFonts w:ascii="Palatino Linotype" w:hAnsi="Palatino Linotype" w:cs="Arial"/>
          <w:i/>
          <w:sz w:val="24"/>
          <w:szCs w:val="24"/>
        </w:rPr>
        <w:t xml:space="preserve">. El acto que se recurre; </w:t>
      </w:r>
    </w:p>
    <w:p w14:paraId="3C370F2A"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VI</w:t>
      </w:r>
      <w:r w:rsidRPr="007B44DF">
        <w:rPr>
          <w:rFonts w:ascii="Palatino Linotype" w:hAnsi="Palatino Linotype" w:cs="Arial"/>
          <w:i/>
          <w:sz w:val="24"/>
          <w:szCs w:val="24"/>
        </w:rPr>
        <w:t xml:space="preserve">. Las razones o motivos de inconformidad; </w:t>
      </w:r>
    </w:p>
    <w:p w14:paraId="274DA3F0"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VII</w:t>
      </w:r>
      <w:r w:rsidRPr="007B44DF">
        <w:rPr>
          <w:rFonts w:ascii="Palatino Linotype" w:hAnsi="Palatino Linotype" w:cs="Arial"/>
          <w:i/>
          <w:sz w:val="24"/>
          <w:szCs w:val="24"/>
        </w:rPr>
        <w:t xml:space="preserve">. La copia de la respuesta que se impugna y, en su caso, de la notificación correspondiente, en el caso de respuesta de la solicitud; y </w:t>
      </w:r>
    </w:p>
    <w:p w14:paraId="6896F451"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VIII</w:t>
      </w:r>
      <w:r w:rsidRPr="007B44DF">
        <w:rPr>
          <w:rFonts w:ascii="Palatino Linotype" w:hAnsi="Palatino Linotype" w:cs="Arial"/>
          <w:i/>
          <w:sz w:val="24"/>
          <w:szCs w:val="24"/>
        </w:rPr>
        <w:t xml:space="preserve">. Firma del Recurrente, en su caso, cuando se presente por escrito, requisito sin el cual se dará trámite al recurso. </w:t>
      </w:r>
    </w:p>
    <w:p w14:paraId="0227C83B"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 xml:space="preserve">Adicionalmente, se podrán anexar las pruebas y demás elementos que considere procedentes someter a juicio del Instituto. </w:t>
      </w:r>
    </w:p>
    <w:p w14:paraId="4B393C20"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 xml:space="preserve">En ningún caso será necesario que el particular ratifique el recurso de revisión interpuesto. </w:t>
      </w:r>
    </w:p>
    <w:p w14:paraId="24FF825F" w14:textId="3ED31E88"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u w:val="single"/>
        </w:rPr>
      </w:pPr>
      <w:r w:rsidRPr="007B44DF">
        <w:rPr>
          <w:rFonts w:ascii="Palatino Linotype" w:hAnsi="Palatino Linotype" w:cs="Arial"/>
          <w:i/>
          <w:sz w:val="24"/>
          <w:szCs w:val="24"/>
          <w:u w:val="single"/>
        </w:rPr>
        <w:t>En caso de que el recurso se interponga de manera electrónica no será indispensable que contengan los requisitos establecidos en las fracciones II, IV, VII y VIII.”</w:t>
      </w:r>
    </w:p>
    <w:p w14:paraId="24DDF49D" w14:textId="38DBFA58" w:rsidR="007B44DF" w:rsidRPr="007B44DF" w:rsidRDefault="007B44DF" w:rsidP="007B44DF">
      <w:pPr>
        <w:autoSpaceDE w:val="0"/>
        <w:autoSpaceDN w:val="0"/>
        <w:adjustRightInd w:val="0"/>
        <w:spacing w:before="240" w:after="240" w:line="360" w:lineRule="auto"/>
        <w:ind w:left="567" w:right="567"/>
        <w:jc w:val="right"/>
        <w:rPr>
          <w:rFonts w:ascii="Palatino Linotype" w:hAnsi="Palatino Linotype" w:cs="Arial"/>
          <w:sz w:val="24"/>
          <w:szCs w:val="24"/>
        </w:rPr>
      </w:pPr>
      <w:r w:rsidRPr="007B44DF">
        <w:rPr>
          <w:rFonts w:ascii="Palatino Linotype" w:hAnsi="Palatino Linotype" w:cs="Arial"/>
          <w:sz w:val="24"/>
          <w:szCs w:val="24"/>
        </w:rPr>
        <w:t>(Énfasis añadido)</w:t>
      </w:r>
    </w:p>
    <w:p w14:paraId="35FFFA39" w14:textId="6A1FC600"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w:t>
      </w:r>
      <w:r w:rsidRPr="007B44DF">
        <w:rPr>
          <w:rFonts w:ascii="Palatino Linotype" w:hAnsi="Palatino Linotype" w:cs="Arial"/>
          <w:sz w:val="24"/>
          <w:szCs w:val="24"/>
        </w:rPr>
        <w:lastRenderedPageBreak/>
        <w:t>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0782DC91" w14:textId="5FFBEB81"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7B44DF">
        <w:rPr>
          <w:rFonts w:ascii="Palatino Linotype" w:hAnsi="Palatino Linotype" w:cs="Arial"/>
          <w:i/>
          <w:sz w:val="24"/>
          <w:szCs w:val="24"/>
        </w:rPr>
        <w:t>sine qua non</w:t>
      </w:r>
      <w:r w:rsidRPr="007B44DF">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B4C823C" w14:textId="6C6413A3"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76C7E83" w14:textId="5E869737" w:rsidR="007B44DF" w:rsidRPr="007B44DF" w:rsidRDefault="007B44DF" w:rsidP="007B44DF">
      <w:pPr>
        <w:autoSpaceDE w:val="0"/>
        <w:autoSpaceDN w:val="0"/>
        <w:adjustRightInd w:val="0"/>
        <w:spacing w:before="240" w:after="240" w:line="360" w:lineRule="auto"/>
        <w:jc w:val="center"/>
        <w:rPr>
          <w:rFonts w:ascii="Palatino Linotype" w:hAnsi="Palatino Linotype" w:cs="Arial"/>
          <w:b/>
          <w:i/>
          <w:sz w:val="24"/>
          <w:szCs w:val="24"/>
        </w:rPr>
      </w:pPr>
      <w:r w:rsidRPr="007B44DF">
        <w:rPr>
          <w:rFonts w:ascii="Palatino Linotype" w:hAnsi="Palatino Linotype" w:cs="Arial"/>
          <w:b/>
          <w:i/>
          <w:sz w:val="24"/>
          <w:szCs w:val="24"/>
        </w:rPr>
        <w:t>Constitución Política de los Estados Unidos Mexicanos</w:t>
      </w:r>
    </w:p>
    <w:p w14:paraId="583E2C99"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lastRenderedPageBreak/>
        <w:t>“</w:t>
      </w:r>
      <w:r w:rsidRPr="007B44DF">
        <w:rPr>
          <w:rFonts w:ascii="Palatino Linotype" w:hAnsi="Palatino Linotype" w:cs="Arial"/>
          <w:b/>
          <w:i/>
          <w:sz w:val="24"/>
          <w:szCs w:val="24"/>
        </w:rPr>
        <w:t>Artículo 6o</w:t>
      </w:r>
      <w:r w:rsidRPr="007B44DF">
        <w:rPr>
          <w:rFonts w:ascii="Palatino Linotype" w:hAnsi="Palatino Linotype"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441DA0C"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Toda persona tiene derecho al libre acceso a información plural y oportuna, así como a buscar, recibir y difundir información e ideas de toda índole por cualquier medio de expresión.</w:t>
      </w:r>
    </w:p>
    <w:p w14:paraId="4D56F0D9"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Para efectos de lo dispuesto en el presente artículo se observará lo siguiente:</w:t>
      </w:r>
    </w:p>
    <w:p w14:paraId="1B62A3A7"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A</w:t>
      </w:r>
      <w:r w:rsidRPr="007B44DF">
        <w:rPr>
          <w:rFonts w:ascii="Palatino Linotype" w:hAnsi="Palatino Linotype" w:cs="Arial"/>
          <w:i/>
          <w:sz w:val="24"/>
          <w:szCs w:val="24"/>
        </w:rPr>
        <w:t>. Para el ejercicio del derecho de acceso a la información, la Federación, los Estados y el Distrito Federal, en el ámbito de sus respectivas competencias, se regirán por los siguientes principios y bases:</w:t>
      </w:r>
    </w:p>
    <w:p w14:paraId="322D09F2"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I</w:t>
      </w:r>
      <w:r w:rsidRPr="007B44DF">
        <w:rPr>
          <w:rFonts w:ascii="Palatino Linotype" w:hAnsi="Palatino Linotype" w:cs="Arial"/>
          <w:i/>
          <w:sz w:val="24"/>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7B44DF">
        <w:rPr>
          <w:rFonts w:ascii="Palatino Linotype" w:hAnsi="Palatino Linotype" w:cs="Arial"/>
          <w:i/>
          <w:sz w:val="24"/>
          <w:szCs w:val="24"/>
        </w:rPr>
        <w:lastRenderedPageBreak/>
        <w:t>funciones, la ley determinará los supuestos específicos bajo los cuales procederá la declaración de inexistencia de la información.</w:t>
      </w:r>
    </w:p>
    <w:p w14:paraId="04E35F4F"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w:t>
      </w:r>
    </w:p>
    <w:p w14:paraId="21CC1DBC"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III.</w:t>
      </w:r>
      <w:r w:rsidRPr="007B44DF">
        <w:rPr>
          <w:rFonts w:ascii="Palatino Linotype" w:hAnsi="Palatino Linotype" w:cs="Arial"/>
          <w:i/>
          <w:sz w:val="24"/>
          <w:szCs w:val="24"/>
        </w:rPr>
        <w:t xml:space="preserve"> Toda persona, sin necesidad de acreditar interés alguno o justificar su utilización, tendrá acceso gratuito a la información pública, a sus datos personales o a la rectificación de éstos.</w:t>
      </w:r>
    </w:p>
    <w:p w14:paraId="2E9D8C71"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w:t>
      </w:r>
    </w:p>
    <w:p w14:paraId="6D21880A"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V</w:t>
      </w:r>
      <w:r w:rsidRPr="007B44DF">
        <w:rPr>
          <w:rFonts w:ascii="Palatino Linotype" w:hAnsi="Palatino Linotype" w:cs="Arial"/>
          <w:i/>
          <w:sz w:val="24"/>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6CE24B"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VI.</w:t>
      </w:r>
      <w:r w:rsidRPr="007B44DF">
        <w:rPr>
          <w:rFonts w:ascii="Palatino Linotype" w:hAnsi="Palatino Linotype" w:cs="Arial"/>
          <w:i/>
          <w:sz w:val="24"/>
          <w:szCs w:val="24"/>
        </w:rPr>
        <w:t xml:space="preserve"> Las leyes determinarán la manera en que los sujetos obligados deberán hacer pública la información relativa a los recursos públicos que entreguen a personas físicas o morales.”</w:t>
      </w:r>
    </w:p>
    <w:p w14:paraId="7E32180E"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w:t>
      </w:r>
    </w:p>
    <w:p w14:paraId="3312BD4F" w14:textId="56523B51"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La ley establecerá aquella información que se considere reservada o confidencial.</w:t>
      </w:r>
    </w:p>
    <w:p w14:paraId="0B6843A0" w14:textId="2BBA69DE" w:rsidR="007B44DF" w:rsidRPr="007B44DF" w:rsidRDefault="007B44DF" w:rsidP="007B44DF">
      <w:pPr>
        <w:autoSpaceDE w:val="0"/>
        <w:autoSpaceDN w:val="0"/>
        <w:adjustRightInd w:val="0"/>
        <w:spacing w:before="240" w:after="240" w:line="360" w:lineRule="auto"/>
        <w:ind w:left="567" w:right="567"/>
        <w:jc w:val="center"/>
        <w:rPr>
          <w:rFonts w:ascii="Palatino Linotype" w:hAnsi="Palatino Linotype" w:cs="Arial"/>
          <w:b/>
          <w:i/>
          <w:sz w:val="24"/>
          <w:szCs w:val="24"/>
        </w:rPr>
      </w:pPr>
      <w:r w:rsidRPr="007B44DF">
        <w:rPr>
          <w:rFonts w:ascii="Palatino Linotype" w:hAnsi="Palatino Linotype" w:cs="Arial"/>
          <w:b/>
          <w:i/>
          <w:sz w:val="24"/>
          <w:szCs w:val="24"/>
        </w:rPr>
        <w:t>Constitución Política del Estado Libre y Soberano de México</w:t>
      </w:r>
    </w:p>
    <w:p w14:paraId="39F6FFCE"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w:t>
      </w:r>
      <w:r w:rsidRPr="007B44DF">
        <w:rPr>
          <w:rFonts w:ascii="Palatino Linotype" w:hAnsi="Palatino Linotype" w:cs="Arial"/>
          <w:b/>
          <w:i/>
          <w:sz w:val="24"/>
          <w:szCs w:val="24"/>
        </w:rPr>
        <w:t>Artículo 5</w:t>
      </w:r>
      <w:r w:rsidRPr="007B44DF">
        <w:rPr>
          <w:rFonts w:ascii="Palatino Linotype" w:hAnsi="Palatino Linotype" w:cs="Arial"/>
          <w:i/>
          <w:sz w:val="24"/>
          <w:szCs w:val="24"/>
        </w:rPr>
        <w:t xml:space="preserve">. … </w:t>
      </w:r>
    </w:p>
    <w:p w14:paraId="53C061E5"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lastRenderedPageBreak/>
        <w:t>…</w:t>
      </w:r>
    </w:p>
    <w:p w14:paraId="167862CA"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El derecho a la información será garantizado por el Estado. La ley establecerá las previsiones que permitan asegurar la protección, el respeto y la difusión de este derecho.</w:t>
      </w:r>
    </w:p>
    <w:p w14:paraId="237295A2"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DE32ECE"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Este derecho se regirá por los principios y bases siguientes:</w:t>
      </w:r>
    </w:p>
    <w:p w14:paraId="0F879591"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I</w:t>
      </w:r>
      <w:r w:rsidRPr="007B44DF">
        <w:rPr>
          <w:rFonts w:ascii="Palatino Linotype" w:hAnsi="Palatino Linotype" w:cs="Arial"/>
          <w:i/>
          <w:sz w:val="24"/>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81918C"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lastRenderedPageBreak/>
        <w:t>…</w:t>
      </w:r>
    </w:p>
    <w:p w14:paraId="08B998B5"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b/>
          <w:i/>
          <w:sz w:val="24"/>
          <w:szCs w:val="24"/>
        </w:rPr>
        <w:t>III</w:t>
      </w:r>
      <w:r w:rsidRPr="007B44DF">
        <w:rPr>
          <w:rFonts w:ascii="Palatino Linotype" w:hAnsi="Palatino Linotype" w:cs="Arial"/>
          <w:i/>
          <w:sz w:val="24"/>
          <w:szCs w:val="24"/>
        </w:rPr>
        <w:t>. Toda persona, sin necesidad de acreditar interés alguno o justificar su utilización, tendrá acceso gratuito a la información pública, a sus datos personales o a la rectificación de éstos.”</w:t>
      </w:r>
    </w:p>
    <w:p w14:paraId="263A85DA" w14:textId="297C4284" w:rsidR="007B44DF" w:rsidRPr="007B44DF" w:rsidRDefault="007B44DF" w:rsidP="007B44DF">
      <w:pPr>
        <w:autoSpaceDE w:val="0"/>
        <w:autoSpaceDN w:val="0"/>
        <w:adjustRightInd w:val="0"/>
        <w:spacing w:before="240" w:after="240" w:line="360" w:lineRule="auto"/>
        <w:ind w:left="567" w:right="567"/>
        <w:jc w:val="right"/>
        <w:rPr>
          <w:rFonts w:ascii="Palatino Linotype" w:hAnsi="Palatino Linotype" w:cs="Arial"/>
          <w:i/>
          <w:sz w:val="24"/>
          <w:szCs w:val="24"/>
        </w:rPr>
      </w:pPr>
      <w:r w:rsidRPr="007B44DF">
        <w:rPr>
          <w:rFonts w:ascii="Palatino Linotype" w:hAnsi="Palatino Linotype" w:cs="Arial"/>
          <w:i/>
          <w:sz w:val="24"/>
          <w:szCs w:val="24"/>
        </w:rPr>
        <w:t>(Énfasis añadido)</w:t>
      </w:r>
    </w:p>
    <w:p w14:paraId="2DB87D1E" w14:textId="1F1085C4"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Por otra parte, del contenido del artículo 1 de la Constitución Política de los Estados Unidos Mexicanos, se destaca lo siguiente:</w:t>
      </w:r>
    </w:p>
    <w:p w14:paraId="19A4B800"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w:t>
      </w:r>
      <w:r w:rsidRPr="007B44DF">
        <w:rPr>
          <w:rFonts w:ascii="Palatino Linotype" w:hAnsi="Palatino Linotype" w:cs="Arial"/>
          <w:b/>
          <w:i/>
          <w:sz w:val="24"/>
          <w:szCs w:val="24"/>
        </w:rPr>
        <w:t>Artículo 1o.</w:t>
      </w:r>
      <w:r w:rsidRPr="007B44DF">
        <w:rPr>
          <w:rFonts w:ascii="Palatino Linotype" w:hAnsi="Palatino Linotype" w:cs="Arial"/>
          <w:i/>
          <w:sz w:val="24"/>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F339225"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Las normas relativas a los derechos humanos se interpretarán de conformidad con esta Constitución y con los tratados internacionales de la materia favoreciendo en todo tiempo a las personas la protección más amplia.</w:t>
      </w:r>
    </w:p>
    <w:p w14:paraId="6BC6F1EE" w14:textId="57E87270"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B22338" w14:textId="0B7B2269"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00DFECC" w14:textId="0DE3C2F4"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73F4BE3C"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w:t>
      </w:r>
      <w:r w:rsidRPr="007B44DF">
        <w:rPr>
          <w:rFonts w:ascii="Palatino Linotype" w:hAnsi="Palatino Linotype" w:cs="Arial"/>
          <w:b/>
          <w:i/>
          <w:sz w:val="24"/>
          <w:szCs w:val="24"/>
        </w:rPr>
        <w:t>Acceso a información gubernamental. No debe condicionarse a que el solicitante acredite su personalidad, demuestre interés alguno o justifique su utilización.</w:t>
      </w:r>
      <w:r w:rsidRPr="007B44DF">
        <w:rPr>
          <w:rFonts w:ascii="Palatino Linotype" w:hAnsi="Palatino Linotype" w:cs="Arial"/>
          <w:i/>
          <w:sz w:val="24"/>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w:t>
      </w:r>
      <w:r w:rsidRPr="007B44DF">
        <w:rPr>
          <w:rFonts w:ascii="Palatino Linotype" w:hAnsi="Palatino Linotype" w:cs="Arial"/>
          <w:i/>
          <w:sz w:val="24"/>
          <w:szCs w:val="24"/>
        </w:rPr>
        <w:lastRenderedPageBreak/>
        <w:t>que, en su caso, se haya cubierto el pago de reproducción y envío de la información, mediante la exhibición del recibo correspondiente.</w:t>
      </w:r>
    </w:p>
    <w:p w14:paraId="0F32F3BE"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Resoluciones</w:t>
      </w:r>
    </w:p>
    <w:p w14:paraId="30BD81E3"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 RDA 5275/13. Interpuesto en contra de la Secretaría de la Defensa Nacional. Comisionado Ponente Ángel Trinidad Zaldívar.</w:t>
      </w:r>
    </w:p>
    <w:p w14:paraId="712CAE57"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 RDA 2937/13. Interpuesto en contra de LICONSA, S.A. de C.V. Comisionado. Ponente Gerardo Laveaga Rendón.</w:t>
      </w:r>
    </w:p>
    <w:p w14:paraId="5A292761"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 RDA 3609/12. Interpuesto en contra de la Secretaría de Educación Pública. Comisionada Ponente Sigrid Arzt Colunga.</w:t>
      </w:r>
    </w:p>
    <w:p w14:paraId="77D8A41A" w14:textId="77777777"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 RDA 3361/12. Interpuesto en contra del Servicio de Administración Tributaria. Comisionada Ponente María Elena Pérez-Jaén Zermeño.</w:t>
      </w:r>
    </w:p>
    <w:p w14:paraId="598A7A6E" w14:textId="0DA981AA" w:rsidR="007B44DF" w:rsidRPr="007B44DF" w:rsidRDefault="007B44DF" w:rsidP="007B44DF">
      <w:pPr>
        <w:autoSpaceDE w:val="0"/>
        <w:autoSpaceDN w:val="0"/>
        <w:adjustRightInd w:val="0"/>
        <w:spacing w:before="240" w:after="240" w:line="360" w:lineRule="auto"/>
        <w:ind w:left="567" w:right="567"/>
        <w:jc w:val="both"/>
        <w:rPr>
          <w:rFonts w:ascii="Palatino Linotype" w:hAnsi="Palatino Linotype" w:cs="Arial"/>
          <w:i/>
          <w:sz w:val="24"/>
          <w:szCs w:val="24"/>
        </w:rPr>
      </w:pPr>
      <w:r w:rsidRPr="007B44DF">
        <w:rPr>
          <w:rFonts w:ascii="Palatino Linotype" w:hAnsi="Palatino Linotype" w:cs="Arial"/>
          <w:i/>
          <w:sz w:val="24"/>
          <w:szCs w:val="24"/>
        </w:rPr>
        <w:t>• RDA 0563/12. Interpuesto en contra de la Secretaría de la Función Pública. Comisionada Ponente Jacqueline Peschard Mariscal.”</w:t>
      </w:r>
    </w:p>
    <w:p w14:paraId="6281AF82" w14:textId="1BAE6D72"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B44DF">
        <w:rPr>
          <w:rFonts w:ascii="Palatino Linotype" w:hAnsi="Palatino Linotype" w:cs="Arial"/>
          <w:b/>
          <w:sz w:val="24"/>
          <w:szCs w:val="24"/>
        </w:rPr>
        <w:t>Recurrente</w:t>
      </w:r>
      <w:r w:rsidRPr="007B44DF">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6DA1D59B" w14:textId="75BAD5F1"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0C0E7B7" w14:textId="44471B07"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54839EDE" w14:textId="3AE002AB" w:rsidR="007B44DF" w:rsidRPr="007B44DF" w:rsidRDefault="007B44DF" w:rsidP="007B44DF">
      <w:pPr>
        <w:autoSpaceDE w:val="0"/>
        <w:autoSpaceDN w:val="0"/>
        <w:adjustRightInd w:val="0"/>
        <w:spacing w:before="240" w:after="240" w:line="360" w:lineRule="auto"/>
        <w:jc w:val="both"/>
        <w:rPr>
          <w:rFonts w:ascii="Palatino Linotype" w:hAnsi="Palatino Linotype" w:cs="Arial"/>
          <w:sz w:val="24"/>
          <w:szCs w:val="24"/>
        </w:rPr>
      </w:pPr>
      <w:r w:rsidRPr="007B44DF">
        <w:rPr>
          <w:rFonts w:ascii="Palatino Linotype" w:hAnsi="Palatino Linotype" w:cs="Arial"/>
          <w:sz w:val="24"/>
          <w:szCs w:val="24"/>
        </w:rPr>
        <w:t xml:space="preserve">De igual manera, el propio artículo 180 de la Ley de Transparencia local, en su último párrafo establece que cuando el recurso se interponga de manera electrónica, no será indispensable que contenga determinados requisitos, entre ellos, el nombre del </w:t>
      </w:r>
      <w:r w:rsidRPr="007B44DF">
        <w:rPr>
          <w:rFonts w:ascii="Palatino Linotype" w:hAnsi="Palatino Linotype" w:cs="Arial"/>
          <w:sz w:val="24"/>
          <w:szCs w:val="24"/>
        </w:rPr>
        <w:lastRenderedPageBreak/>
        <w:t>Recurrente, por lo que en el presente caso, al haber sido presentado el recurso de revisión vía SAIMEX, dicho requisito resulta innecesario.</w:t>
      </w:r>
    </w:p>
    <w:p w14:paraId="0C5BDE6A" w14:textId="77777777" w:rsidR="00342A4E" w:rsidRPr="00661E22" w:rsidRDefault="00342A4E" w:rsidP="00342A4E">
      <w:pPr>
        <w:pStyle w:val="Sinespaciado"/>
        <w:spacing w:line="360" w:lineRule="auto"/>
        <w:jc w:val="both"/>
        <w:rPr>
          <w:rFonts w:ascii="Palatino Linotype" w:hAnsi="Palatino Linotype"/>
          <w:b/>
          <w:sz w:val="28"/>
          <w:szCs w:val="28"/>
          <w:lang w:val="es-ES"/>
        </w:rPr>
      </w:pPr>
      <w:r w:rsidRPr="00661E22">
        <w:rPr>
          <w:rFonts w:ascii="Palatino Linotype" w:hAnsi="Palatino Linotype"/>
          <w:b/>
          <w:sz w:val="28"/>
          <w:szCs w:val="28"/>
          <w:lang w:val="es-ES"/>
        </w:rPr>
        <w:t>TERCERO. De las causas de improcedencia.</w:t>
      </w:r>
    </w:p>
    <w:p w14:paraId="3B703DC8" w14:textId="77777777" w:rsidR="00342A4E" w:rsidRPr="00661E22" w:rsidRDefault="00342A4E" w:rsidP="00342A4E">
      <w:pPr>
        <w:pStyle w:val="Sinespaciado"/>
        <w:spacing w:before="240" w:after="240" w:line="360" w:lineRule="auto"/>
        <w:jc w:val="both"/>
        <w:rPr>
          <w:rFonts w:ascii="Palatino Linotype" w:hAnsi="Palatino Linotype"/>
          <w:lang w:val="es-ES"/>
        </w:rPr>
      </w:pPr>
      <w:r w:rsidRPr="00661E22">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FF011D" w14:textId="77777777" w:rsidR="00342A4E" w:rsidRPr="00661E22" w:rsidRDefault="00342A4E" w:rsidP="00342A4E">
      <w:pPr>
        <w:pStyle w:val="Sinespaciado"/>
        <w:spacing w:before="240" w:after="240" w:line="360" w:lineRule="auto"/>
        <w:jc w:val="both"/>
        <w:rPr>
          <w:rFonts w:ascii="Palatino Linotype" w:hAnsi="Palatino Linotype"/>
          <w:lang w:val="es-ES"/>
        </w:rPr>
      </w:pPr>
      <w:r w:rsidRPr="00661E22">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61E22">
        <w:rPr>
          <w:rStyle w:val="Refdenotaalpie"/>
          <w:rFonts w:ascii="Palatino Linotype" w:hAnsi="Palatino Linotype" w:cs="Arial"/>
          <w:lang w:val="es-ES"/>
        </w:rPr>
        <w:footnoteReference w:id="1"/>
      </w:r>
      <w:r w:rsidRPr="00661E22">
        <w:rPr>
          <w:rFonts w:ascii="Palatino Linotype" w:hAnsi="Palatino Linotype"/>
          <w:lang w:val="es-ES"/>
        </w:rPr>
        <w:t xml:space="preserve">, la cual permite </w:t>
      </w:r>
      <w:r w:rsidRPr="00661E22">
        <w:rPr>
          <w:rFonts w:ascii="Palatino Linotype" w:hAnsi="Palatino Linotype"/>
          <w:lang w:val="es-ES"/>
        </w:rPr>
        <w:lastRenderedPageBreak/>
        <w:t>dilucidar alguna causal que impida el estudio y resolución, cuando una vez admitido el recurso de revisión se advierta una causa de improcedencia que permita sobreseerlo, sin estudiar el fondo del asunto.</w:t>
      </w:r>
    </w:p>
    <w:p w14:paraId="60DA9F1C" w14:textId="77777777" w:rsidR="00342A4E" w:rsidRPr="00661E22" w:rsidRDefault="00342A4E" w:rsidP="00342A4E">
      <w:pPr>
        <w:pStyle w:val="Sinespaciado"/>
        <w:spacing w:before="240" w:after="240" w:line="360" w:lineRule="auto"/>
        <w:jc w:val="both"/>
        <w:rPr>
          <w:rFonts w:ascii="Palatino Linotype" w:hAnsi="Palatino Linotype"/>
          <w:lang w:val="es-ES"/>
        </w:rPr>
      </w:pPr>
      <w:r w:rsidRPr="00661E22">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E16CC64" w14:textId="77777777" w:rsidR="00342A4E" w:rsidRPr="00661E22" w:rsidRDefault="00342A4E" w:rsidP="00342A4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661E22">
        <w:rPr>
          <w:rFonts w:ascii="Palatino Linotype" w:hAnsi="Palatino Linotype" w:cs="Arial"/>
          <w:b/>
          <w:sz w:val="28"/>
        </w:rPr>
        <w:t>CUART</w:t>
      </w:r>
      <w:r w:rsidRPr="00661E22">
        <w:rPr>
          <w:rFonts w:ascii="Palatino Linotype" w:hAnsi="Palatino Linotype" w:cs="Arial"/>
          <w:b/>
          <w:sz w:val="28"/>
          <w:szCs w:val="28"/>
        </w:rPr>
        <w:t>O.</w:t>
      </w:r>
      <w:r w:rsidRPr="00661E22">
        <w:rPr>
          <w:rFonts w:ascii="Palatino Linotype" w:hAnsi="Palatino Linotype" w:cs="Arial"/>
          <w:sz w:val="28"/>
          <w:szCs w:val="28"/>
        </w:rPr>
        <w:t xml:space="preserve"> </w:t>
      </w:r>
      <w:r w:rsidRPr="00661E22">
        <w:rPr>
          <w:rFonts w:ascii="Palatino Linotype" w:hAnsi="Palatino Linotype" w:cs="Arial"/>
          <w:b/>
          <w:sz w:val="28"/>
          <w:szCs w:val="28"/>
        </w:rPr>
        <w:t>Estudio y resolución del asunto.</w:t>
      </w:r>
    </w:p>
    <w:p w14:paraId="0BABDC4B" w14:textId="77777777" w:rsidR="00342A4E" w:rsidRPr="00661E22" w:rsidRDefault="00342A4E" w:rsidP="00342A4E">
      <w:pPr>
        <w:pStyle w:val="Prrafodelista"/>
        <w:autoSpaceDE w:val="0"/>
        <w:autoSpaceDN w:val="0"/>
        <w:adjustRightInd w:val="0"/>
        <w:spacing w:before="240" w:after="160" w:line="360" w:lineRule="auto"/>
        <w:ind w:left="0"/>
        <w:jc w:val="both"/>
        <w:rPr>
          <w:rFonts w:ascii="Palatino Linotype" w:hAnsi="Palatino Linotype" w:cs="Arial"/>
        </w:rPr>
      </w:pPr>
      <w:r w:rsidRPr="00661E22">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661E22">
        <w:rPr>
          <w:rFonts w:ascii="Palatino Linotype" w:hAnsi="Palatino Linotype" w:cs="Arial"/>
        </w:rPr>
        <w:lastRenderedPageBreak/>
        <w:t>que el Estado Mexicano sea parte, en concordancia con el párrafo tercero del artículo 1 de la Constitución Federal y el diverso 8 de la Ley de Transparencia local.</w:t>
      </w:r>
    </w:p>
    <w:p w14:paraId="4107D3DB" w14:textId="77777777" w:rsidR="00B62D69" w:rsidRPr="00661E22" w:rsidRDefault="00B62D69" w:rsidP="00B62D69">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Ahora bien, en primer término es menester señalar que el hoy recurrente se inconforma derivado de la falta de respuesta del sujeto obligado, sin embargo este órgano garante considera pertinente aplicar la suplencia de la queja de conformidad con el artículo 181 párrafo tercero  a favor de la parte recurrente ya que no existió respuesta por parte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14:paraId="645757F1" w14:textId="4ACBC202" w:rsidR="00B62D69" w:rsidRPr="00661E22" w:rsidRDefault="00B62D69" w:rsidP="00B62D69">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De tal manera, que la negativa ficta, es la figura jurídica que consiste en otorgar un efecto negativo al silencio de la autoridad administrativa </w:t>
      </w:r>
      <w:r w:rsidR="00A34817" w:rsidRPr="00661E22">
        <w:rPr>
          <w:rFonts w:ascii="Palatino Linotype" w:hAnsi="Palatino Linotype"/>
          <w:sz w:val="24"/>
          <w:szCs w:val="24"/>
          <w:lang w:val="es-ES"/>
        </w:rPr>
        <w:t>con relación a</w:t>
      </w:r>
      <w:r w:rsidRPr="00661E22">
        <w:rPr>
          <w:rFonts w:ascii="Palatino Linotype" w:hAnsi="Palatino Linotype"/>
          <w:sz w:val="24"/>
          <w:szCs w:val="24"/>
          <w:lang w:val="es-ES"/>
        </w:rPr>
        <w:t xml:space="preserve">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sidRPr="00661E22">
        <w:rPr>
          <w:rStyle w:val="Refdenotaalpie"/>
          <w:rFonts w:ascii="Palatino Linotype" w:hAnsi="Palatino Linotype"/>
          <w:sz w:val="24"/>
          <w:szCs w:val="24"/>
          <w:lang w:val="es-ES"/>
        </w:rPr>
        <w:footnoteReference w:id="2"/>
      </w:r>
    </w:p>
    <w:p w14:paraId="05D59B29" w14:textId="77777777" w:rsidR="00B62D69" w:rsidRPr="00661E22" w:rsidRDefault="00B62D69" w:rsidP="00B62D69">
      <w:pPr>
        <w:spacing w:before="100" w:beforeAutospacing="1" w:after="100" w:afterAutospacing="1" w:line="360" w:lineRule="auto"/>
        <w:jc w:val="both"/>
        <w:rPr>
          <w:rFonts w:ascii="Palatino Linotype" w:hAnsi="Palatino Linotype" w:cs="Arial"/>
          <w:sz w:val="24"/>
          <w:lang w:val="es-ES"/>
        </w:rPr>
      </w:pPr>
      <w:r w:rsidRPr="00661E22">
        <w:rPr>
          <w:rFonts w:ascii="Palatino Linotype" w:hAnsi="Palatino Linotype" w:cs="Arial"/>
          <w:sz w:val="24"/>
          <w:lang w:val="es-ES"/>
        </w:rPr>
        <w:lastRenderedPageBreak/>
        <w:t xml:space="preserve">Sin necesidad de determinar una debida oportunidad respecto del momento de presentación del medio de impugnación, pues al no existir una determinación por parte del </w:t>
      </w:r>
      <w:r w:rsidRPr="00661E22">
        <w:rPr>
          <w:rFonts w:ascii="Palatino Linotype" w:hAnsi="Palatino Linotype" w:cs="Arial"/>
          <w:b/>
          <w:sz w:val="24"/>
          <w:lang w:val="es-ES"/>
        </w:rPr>
        <w:t>Sujeto Obligado</w:t>
      </w:r>
      <w:r w:rsidRPr="00661E22">
        <w:rPr>
          <w:rFonts w:ascii="Palatino Linotype" w:hAnsi="Palatino Linotype" w:cs="Arial"/>
          <w:sz w:val="24"/>
          <w:lang w:val="es-ES"/>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6EAE28DE" w14:textId="77777777" w:rsidR="00B62D69" w:rsidRPr="00661E22" w:rsidRDefault="00B62D69" w:rsidP="00B62D69">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14:paraId="2A62B699" w14:textId="77777777" w:rsidR="00B62D69" w:rsidRPr="00661E22" w:rsidRDefault="00B62D69" w:rsidP="00B62D69">
      <w:pPr>
        <w:spacing w:before="100" w:beforeAutospacing="1" w:after="100" w:afterAutospacing="1"/>
        <w:ind w:left="851" w:right="902"/>
        <w:jc w:val="both"/>
        <w:rPr>
          <w:rFonts w:ascii="Palatino Linotype" w:hAnsi="Palatino Linotype" w:cs="Arial"/>
          <w:lang w:val="es-ES"/>
        </w:rPr>
      </w:pPr>
      <w:r w:rsidRPr="00661E22">
        <w:rPr>
          <w:rFonts w:ascii="Palatino Linotype" w:hAnsi="Palatino Linotype" w:cs="Arial"/>
          <w:i/>
          <w:iCs/>
          <w:lang w:val="es-ES"/>
        </w:rPr>
        <w:t>“</w:t>
      </w:r>
      <w:r w:rsidRPr="00661E22">
        <w:rPr>
          <w:rFonts w:ascii="Palatino Linotype" w:hAnsi="Palatino Linotype" w:cs="Arial"/>
          <w:b/>
          <w:bCs/>
          <w:i/>
          <w:iCs/>
          <w:lang w:val="es-ES"/>
        </w:rPr>
        <w:t>Artículo 178</w:t>
      </w:r>
      <w:r w:rsidRPr="00661E22">
        <w:rPr>
          <w:rFonts w:ascii="Palatino Linotype" w:hAnsi="Palatino Linotype" w:cs="Arial"/>
          <w:i/>
          <w:iCs/>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03DF6E" w14:textId="77777777" w:rsidR="00B62D69" w:rsidRPr="00661E22" w:rsidRDefault="00B62D69" w:rsidP="00B62D69">
      <w:pPr>
        <w:spacing w:before="100" w:beforeAutospacing="1" w:after="100" w:afterAutospacing="1"/>
        <w:ind w:left="851" w:right="902"/>
        <w:jc w:val="both"/>
        <w:rPr>
          <w:rFonts w:ascii="Palatino Linotype" w:hAnsi="Palatino Linotype" w:cs="Arial"/>
          <w:lang w:val="es-ES"/>
        </w:rPr>
      </w:pPr>
      <w:r w:rsidRPr="00661E22">
        <w:rPr>
          <w:rFonts w:ascii="Palatino Linotype" w:hAnsi="Palatino Linotype" w:cs="Arial"/>
          <w:b/>
          <w:bCs/>
          <w:i/>
          <w:iCs/>
          <w:lang w:val="es-ES"/>
        </w:rPr>
        <w:t>A falta de respuesta del sujeto obligado, dentro de los plazos establecidos en esta Ley, a una solicitud de acceso a la información pública, el recurso podrá ser interpuesto en cualquier momento,</w:t>
      </w:r>
      <w:r w:rsidRPr="00661E22">
        <w:rPr>
          <w:rFonts w:ascii="Palatino Linotype" w:hAnsi="Palatino Linotype" w:cs="Arial"/>
          <w:i/>
          <w:iCs/>
          <w:lang w:val="es-ES"/>
        </w:rPr>
        <w:t> acompañado con el documento que pruebe la fecha en que presentó la solicitud…”</w:t>
      </w:r>
    </w:p>
    <w:p w14:paraId="379F3C41" w14:textId="77777777" w:rsidR="00B62D69" w:rsidRPr="00661E22" w:rsidRDefault="00B62D69" w:rsidP="00B62D69">
      <w:pPr>
        <w:spacing w:before="100" w:beforeAutospacing="1" w:after="100" w:afterAutospacing="1" w:line="360" w:lineRule="auto"/>
        <w:jc w:val="both"/>
        <w:rPr>
          <w:rFonts w:ascii="Palatino Linotype" w:hAnsi="Palatino Linotype" w:cs="Arial"/>
          <w:sz w:val="24"/>
          <w:lang w:val="es-ES"/>
        </w:rPr>
      </w:pPr>
      <w:r w:rsidRPr="00661E22">
        <w:rPr>
          <w:rFonts w:ascii="Palatino Linotype" w:hAnsi="Palatino Linotype" w:cs="Arial"/>
          <w:sz w:val="24"/>
          <w:lang w:val="es-ES"/>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2D7536A" w14:textId="77777777" w:rsidR="00B62D69" w:rsidRPr="00661E22" w:rsidRDefault="00B62D69" w:rsidP="00B62D69">
      <w:pPr>
        <w:spacing w:before="240" w:line="360" w:lineRule="auto"/>
        <w:ind w:left="708" w:right="51" w:firstLine="1"/>
        <w:jc w:val="both"/>
        <w:rPr>
          <w:rFonts w:ascii="Palatino Linotype" w:hAnsi="Palatino Linotype" w:cs="Arial"/>
          <w:i/>
          <w:iCs/>
          <w:lang w:val="es-ES"/>
        </w:rPr>
      </w:pPr>
      <w:r w:rsidRPr="00661E22">
        <w:rPr>
          <w:rFonts w:ascii="Palatino Linotype" w:hAnsi="Palatino Linotype" w:cs="Arial"/>
          <w:b/>
          <w:bCs/>
          <w:i/>
          <w:iCs/>
          <w:lang w:val="es-ES"/>
        </w:rPr>
        <w:lastRenderedPageBreak/>
        <w:t>“CRITERIO 0001-15 NEGATIVA FICTA. PLAZO PARA INTERPONER EL RECURSO DE REVISIÓN TRATÁNDOSE DE</w:t>
      </w:r>
      <w:r w:rsidRPr="00661E22">
        <w:rPr>
          <w:rFonts w:ascii="Palatino Linotype" w:hAnsi="Palatino Linotype" w:cs="Arial"/>
          <w:i/>
          <w:iCs/>
          <w:lang w:val="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9A8067D" w14:textId="6F4A14D7" w:rsidR="00B62D69" w:rsidRPr="00661E22" w:rsidRDefault="00B62D69" w:rsidP="00B62D69">
      <w:pPr>
        <w:spacing w:before="240" w:line="360" w:lineRule="auto"/>
        <w:ind w:right="51" w:firstLine="1"/>
        <w:jc w:val="both"/>
        <w:rPr>
          <w:rFonts w:ascii="Palatino Linotype" w:hAnsi="Palatino Linotype"/>
          <w:sz w:val="24"/>
          <w:szCs w:val="24"/>
          <w:lang w:val="es-ES"/>
        </w:rPr>
      </w:pPr>
      <w:r w:rsidRPr="00661E22">
        <w:rPr>
          <w:rFonts w:ascii="Palatino Linotype" w:hAnsi="Palatino Linotype"/>
          <w:sz w:val="24"/>
          <w:szCs w:val="24"/>
          <w:lang w:val="es-ES"/>
        </w:rPr>
        <w:t xml:space="preserve">Así entonces, resulta a todas luces que el medio de impugnación interpuesto por </w:t>
      </w:r>
      <w:r w:rsidR="00342A4E" w:rsidRPr="00661E22">
        <w:rPr>
          <w:rFonts w:ascii="Palatino Linotype" w:hAnsi="Palatino Linotype"/>
          <w:sz w:val="24"/>
          <w:szCs w:val="24"/>
          <w:lang w:val="es-ES"/>
        </w:rPr>
        <w:t xml:space="preserve">la </w:t>
      </w:r>
      <w:r w:rsidRPr="00661E22">
        <w:rPr>
          <w:rFonts w:ascii="Palatino Linotype" w:hAnsi="Palatino Linotype"/>
          <w:sz w:val="24"/>
          <w:szCs w:val="24"/>
          <w:lang w:val="es-ES"/>
        </w:rPr>
        <w:t>hoy</w:t>
      </w:r>
      <w:r w:rsidR="00342A4E" w:rsidRPr="00661E22">
        <w:rPr>
          <w:rFonts w:ascii="Palatino Linotype" w:hAnsi="Palatino Linotype"/>
          <w:sz w:val="24"/>
          <w:szCs w:val="24"/>
          <w:lang w:val="es-ES"/>
        </w:rPr>
        <w:t xml:space="preserve"> parte</w:t>
      </w:r>
      <w:r w:rsidRPr="00661E22">
        <w:rPr>
          <w:rFonts w:ascii="Palatino Linotype" w:hAnsi="Palatino Linotype"/>
          <w:sz w:val="24"/>
          <w:szCs w:val="24"/>
          <w:lang w:val="es-ES"/>
        </w:rPr>
        <w:t xml:space="preserve"> </w:t>
      </w:r>
      <w:r w:rsidR="00342A4E" w:rsidRPr="00661E22">
        <w:rPr>
          <w:rFonts w:ascii="Palatino Linotype" w:hAnsi="Palatino Linotype"/>
          <w:sz w:val="24"/>
          <w:szCs w:val="24"/>
          <w:lang w:val="es-ES"/>
        </w:rPr>
        <w:t>recurrente</w:t>
      </w:r>
      <w:r w:rsidRPr="00661E22">
        <w:rPr>
          <w:rFonts w:ascii="Palatino Linotype" w:hAnsi="Palatino Linotype"/>
          <w:sz w:val="24"/>
          <w:szCs w:val="24"/>
          <w:lang w:val="es-ES"/>
        </w:rPr>
        <w:t xml:space="preserv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14:paraId="4E0DC259" w14:textId="77777777" w:rsidR="00B62D69" w:rsidRPr="00661E22" w:rsidRDefault="00B62D69" w:rsidP="00B62D69">
      <w:pPr>
        <w:spacing w:before="240" w:after="240" w:line="360" w:lineRule="auto"/>
        <w:jc w:val="both"/>
        <w:rPr>
          <w:rFonts w:ascii="Palatino Linotype" w:hAnsi="Palatino Linotype" w:cs="Arial"/>
          <w:sz w:val="24"/>
          <w:szCs w:val="24"/>
          <w:lang w:val="es-ES"/>
        </w:rPr>
      </w:pPr>
      <w:r w:rsidRPr="00661E22">
        <w:rPr>
          <w:rFonts w:ascii="Palatino Linotype" w:hAnsi="Palatino Linotype"/>
          <w:sz w:val="24"/>
          <w:szCs w:val="24"/>
          <w:lang w:val="es-ES"/>
        </w:rPr>
        <w:t xml:space="preserve">Luego entonces, es importante resalta que </w:t>
      </w:r>
      <w:r w:rsidRPr="00661E22">
        <w:rPr>
          <w:rFonts w:ascii="Palatino Linotype" w:hAnsi="Palatino Linotype" w:cs="Arial"/>
          <w:sz w:val="24"/>
          <w:szCs w:val="24"/>
          <w:lang w:val="es-ES"/>
        </w:rPr>
        <w:t xml:space="preserve">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w:t>
      </w:r>
      <w:r w:rsidRPr="00661E22">
        <w:rPr>
          <w:rFonts w:ascii="Palatino Linotype" w:hAnsi="Palatino Linotype" w:cs="Arial"/>
          <w:sz w:val="24"/>
          <w:szCs w:val="24"/>
          <w:lang w:val="es-ES"/>
        </w:rPr>
        <w:lastRenderedPageBreak/>
        <w:t xml:space="preserve">en cuestión, incluso se prevé que se deberán interpretar las normas favoreciendo en todo tiempo a las personas con la protección más amplia. </w:t>
      </w:r>
    </w:p>
    <w:p w14:paraId="00E5C17A" w14:textId="77777777" w:rsidR="00B62D69" w:rsidRPr="00661E22" w:rsidRDefault="00B62D69" w:rsidP="00B62D69">
      <w:pPr>
        <w:spacing w:before="240" w:after="240" w:line="360" w:lineRule="auto"/>
        <w:jc w:val="both"/>
        <w:rPr>
          <w:rFonts w:ascii="Palatino Linotype" w:hAnsi="Palatino Linotype" w:cs="Arial"/>
          <w:sz w:val="24"/>
          <w:szCs w:val="24"/>
          <w:lang w:val="es-ES"/>
        </w:rPr>
      </w:pPr>
      <w:r w:rsidRPr="00661E22">
        <w:rPr>
          <w:rFonts w:ascii="Palatino Linotype" w:hAnsi="Palatino Linotype" w:cs="Arial"/>
          <w:sz w:val="24"/>
          <w:szCs w:val="24"/>
          <w:lang w:val="es-ES"/>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093C2371" w14:textId="77777777" w:rsidR="00B62D69" w:rsidRPr="00661E22" w:rsidRDefault="00B62D69" w:rsidP="00B62D69">
      <w:pPr>
        <w:tabs>
          <w:tab w:val="left" w:pos="709"/>
        </w:tabs>
        <w:spacing w:before="240" w:line="360" w:lineRule="auto"/>
        <w:ind w:right="51"/>
        <w:jc w:val="both"/>
        <w:rPr>
          <w:rFonts w:ascii="Palatino Linotype" w:hAnsi="Palatino Linotype"/>
          <w:sz w:val="24"/>
          <w:lang w:val="es-ES"/>
        </w:rPr>
      </w:pPr>
      <w:r w:rsidRPr="00661E22">
        <w:rPr>
          <w:rFonts w:ascii="Palatino Linotype" w:hAnsi="Palatino Linotype"/>
          <w:sz w:val="24"/>
          <w:lang w:val="es-ES"/>
        </w:rPr>
        <w:t>Así, es importante hacer mención que este Órgano Garante considera pertinente analizar si el sujeto obligado, es la autoridad competente para conocer de dicha solicitud, es decir, si se trata de información que deba generar, administrar o poseer por virtud del ámbito de sus atribuciones.</w:t>
      </w:r>
    </w:p>
    <w:p w14:paraId="6328496B" w14:textId="77777777" w:rsidR="00B62D69" w:rsidRPr="00661E22" w:rsidRDefault="00B62D69" w:rsidP="00B62D69">
      <w:pPr>
        <w:spacing w:before="240" w:line="360" w:lineRule="auto"/>
        <w:jc w:val="both"/>
        <w:rPr>
          <w:rFonts w:ascii="Palatino Linotype" w:hAnsi="Palatino Linotype" w:cs="Arial"/>
          <w:color w:val="000000" w:themeColor="text1"/>
          <w:sz w:val="24"/>
          <w:szCs w:val="24"/>
          <w:lang w:val="es-ES"/>
        </w:rPr>
      </w:pPr>
      <w:r w:rsidRPr="00661E22">
        <w:rPr>
          <w:rFonts w:ascii="Palatino Linotype" w:hAnsi="Palatino Linotype"/>
          <w:sz w:val="24"/>
          <w:szCs w:val="24"/>
          <w:lang w:val="es-ES" w:eastAsia="es-MX"/>
        </w:rPr>
        <w:t xml:space="preserve">En tal sentido primeramente debemos mencionar que </w:t>
      </w:r>
      <w:r w:rsidRPr="00661E22">
        <w:rPr>
          <w:rFonts w:ascii="Palatino Linotype" w:hAnsi="Palatino Linotype"/>
          <w:sz w:val="24"/>
          <w:szCs w:val="24"/>
          <w:lang w:val="es-ES"/>
        </w:rPr>
        <w:t xml:space="preserve">para tener por satisfecho </w:t>
      </w:r>
      <w:r w:rsidRPr="00661E22">
        <w:rPr>
          <w:rFonts w:ascii="Palatino Linotype" w:hAnsi="Palatino Linotype" w:cs="Arial"/>
          <w:color w:val="000000" w:themeColor="text1"/>
          <w:sz w:val="24"/>
          <w:szCs w:val="24"/>
          <w:lang w:val="es-ES"/>
        </w:rPr>
        <w:t>el derecho de acceso a la información pública implica que cualquier persona conozca la información contenida en los documentos que se encuentren en los archivos de los Sujetos Obligados.</w:t>
      </w:r>
    </w:p>
    <w:p w14:paraId="1B956906" w14:textId="77777777" w:rsidR="00B62D69" w:rsidRPr="00661E22" w:rsidRDefault="00B62D69" w:rsidP="00B62D69">
      <w:pPr>
        <w:spacing w:before="240" w:line="360" w:lineRule="auto"/>
        <w:jc w:val="both"/>
        <w:rPr>
          <w:rFonts w:ascii="Palatino Linotype" w:hAnsi="Palatino Linotype" w:cs="Arial"/>
          <w:color w:val="000000" w:themeColor="text1"/>
          <w:sz w:val="24"/>
          <w:szCs w:val="24"/>
          <w:lang w:val="es-ES"/>
        </w:rPr>
      </w:pPr>
      <w:r w:rsidRPr="00661E22">
        <w:rPr>
          <w:rFonts w:ascii="Palatino Linotype" w:hAnsi="Palatino Linotype" w:cs="Arial"/>
          <w:color w:val="000000" w:themeColor="text1"/>
          <w:sz w:val="24"/>
          <w:szCs w:val="24"/>
          <w:lang w:val="es-E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661E22">
        <w:rPr>
          <w:rFonts w:ascii="Palatino Linotype" w:hAnsi="Palatino Linotype" w:cs="Arial"/>
          <w:bCs/>
          <w:color w:val="000000" w:themeColor="text1"/>
          <w:sz w:val="24"/>
          <w:szCs w:val="24"/>
          <w:lang w:val="es-ES"/>
        </w:rPr>
        <w:t>de la Ley de Transparencia y Acceso a la Información Pública del Estado de México y Municipios</w:t>
      </w:r>
      <w:r w:rsidRPr="00661E22">
        <w:rPr>
          <w:rFonts w:ascii="Palatino Linotype" w:hAnsi="Palatino Linotype" w:cs="Arial"/>
          <w:color w:val="000000" w:themeColor="text1"/>
          <w:sz w:val="24"/>
          <w:szCs w:val="24"/>
          <w:lang w:val="es-ES"/>
        </w:rPr>
        <w:t>:</w:t>
      </w:r>
    </w:p>
    <w:p w14:paraId="4DEAD090"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b/>
          <w:bCs/>
          <w:i/>
          <w:color w:val="000000" w:themeColor="text1"/>
          <w:sz w:val="24"/>
          <w:szCs w:val="24"/>
          <w:lang w:val="es-ES"/>
        </w:rPr>
        <w:t xml:space="preserve">“Artículo 3. </w:t>
      </w:r>
      <w:r w:rsidRPr="00661E22">
        <w:rPr>
          <w:rFonts w:ascii="Palatino Linotype" w:hAnsi="Palatino Linotype" w:cs="Arial"/>
          <w:bCs/>
          <w:i/>
          <w:color w:val="000000" w:themeColor="text1"/>
          <w:sz w:val="24"/>
          <w:szCs w:val="24"/>
          <w:u w:val="single"/>
          <w:lang w:val="es-ES"/>
        </w:rPr>
        <w:t>Para los efectos de la presente Ley se entenderá por</w:t>
      </w:r>
      <w:r w:rsidRPr="00661E22">
        <w:rPr>
          <w:rFonts w:ascii="Palatino Linotype" w:hAnsi="Palatino Linotype" w:cs="Arial"/>
          <w:bCs/>
          <w:i/>
          <w:color w:val="000000" w:themeColor="text1"/>
          <w:sz w:val="24"/>
          <w:szCs w:val="24"/>
          <w:lang w:val="es-ES"/>
        </w:rPr>
        <w:t>:</w:t>
      </w:r>
    </w:p>
    <w:p w14:paraId="445005CB" w14:textId="77777777" w:rsidR="00B62D69" w:rsidRPr="00661E22" w:rsidRDefault="00B62D69" w:rsidP="00B62D69">
      <w:pPr>
        <w:spacing w:before="240" w:line="360" w:lineRule="auto"/>
        <w:ind w:left="851" w:right="850"/>
        <w:jc w:val="both"/>
        <w:rPr>
          <w:rFonts w:ascii="Palatino Linotype" w:hAnsi="Palatino Linotype" w:cs="Arial"/>
          <w:i/>
          <w:sz w:val="24"/>
          <w:szCs w:val="24"/>
          <w:lang w:val="es-ES"/>
        </w:rPr>
      </w:pPr>
      <w:r w:rsidRPr="00661E22">
        <w:rPr>
          <w:rFonts w:ascii="Palatino Linotype" w:hAnsi="Palatino Linotype" w:cs="Arial"/>
          <w:i/>
          <w:sz w:val="24"/>
          <w:szCs w:val="24"/>
          <w:lang w:val="es-ES"/>
        </w:rPr>
        <w:t>…</w:t>
      </w:r>
    </w:p>
    <w:p w14:paraId="4CFB22A6"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b/>
          <w:bCs/>
          <w:i/>
          <w:color w:val="000000" w:themeColor="text1"/>
          <w:sz w:val="24"/>
          <w:szCs w:val="24"/>
          <w:lang w:val="es-ES"/>
        </w:rPr>
        <w:lastRenderedPageBreak/>
        <w:t xml:space="preserve">XI. </w:t>
      </w:r>
      <w:r w:rsidRPr="00661E22">
        <w:rPr>
          <w:rFonts w:ascii="Palatino Linotype" w:hAnsi="Palatino Linotype" w:cs="Arial"/>
          <w:b/>
          <w:bCs/>
          <w:i/>
          <w:color w:val="000000" w:themeColor="text1"/>
          <w:sz w:val="24"/>
          <w:szCs w:val="24"/>
          <w:u w:val="single"/>
          <w:lang w:val="es-ES"/>
        </w:rPr>
        <w:t>Documento</w:t>
      </w:r>
      <w:r w:rsidRPr="00661E22">
        <w:rPr>
          <w:rFonts w:ascii="Palatino Linotype" w:hAnsi="Palatino Linotype" w:cs="Arial"/>
          <w:b/>
          <w:bCs/>
          <w:i/>
          <w:color w:val="000000" w:themeColor="text1"/>
          <w:sz w:val="24"/>
          <w:szCs w:val="24"/>
          <w:lang w:val="es-ES"/>
        </w:rPr>
        <w:t xml:space="preserve">: </w:t>
      </w:r>
      <w:r w:rsidRPr="00661E22">
        <w:rPr>
          <w:rFonts w:ascii="Palatino Linotype" w:hAnsi="Palatino Linotype" w:cs="Arial"/>
          <w:i/>
          <w:color w:val="000000" w:themeColor="text1"/>
          <w:sz w:val="24"/>
          <w:szCs w:val="24"/>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6D1557" w14:textId="77777777" w:rsidR="00B62D69" w:rsidRPr="00661E22"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661E22">
        <w:rPr>
          <w:rFonts w:ascii="Palatino Linotype" w:hAnsi="Palatino Linotype" w:cs="Arial"/>
          <w:b/>
          <w:bCs/>
          <w:i/>
          <w:color w:val="000000" w:themeColor="text1"/>
          <w:sz w:val="24"/>
          <w:szCs w:val="24"/>
          <w:lang w:val="es-ES"/>
        </w:rPr>
        <w:t>XII. Documento electrónico:</w:t>
      </w:r>
      <w:r w:rsidRPr="00661E22">
        <w:rPr>
          <w:rFonts w:ascii="Palatino Linotype" w:hAnsi="Palatino Linotype" w:cs="Arial"/>
          <w:bCs/>
          <w:i/>
          <w:color w:val="000000" w:themeColor="text1"/>
          <w:sz w:val="24"/>
          <w:szCs w:val="24"/>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8D89F0B"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i/>
          <w:color w:val="000000" w:themeColor="text1"/>
          <w:sz w:val="24"/>
          <w:szCs w:val="24"/>
          <w:lang w:val="es-ES"/>
        </w:rPr>
        <w:t>…</w:t>
      </w:r>
    </w:p>
    <w:p w14:paraId="395A4D2D" w14:textId="77777777" w:rsidR="00B62D69" w:rsidRPr="00661E22"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661E22">
        <w:rPr>
          <w:rFonts w:ascii="Palatino Linotype" w:hAnsi="Palatino Linotype" w:cs="Arial"/>
          <w:b/>
          <w:bCs/>
          <w:i/>
          <w:color w:val="000000" w:themeColor="text1"/>
          <w:sz w:val="24"/>
          <w:szCs w:val="24"/>
          <w:lang w:val="es-ES"/>
        </w:rPr>
        <w:t xml:space="preserve">Artículo 4. </w:t>
      </w:r>
      <w:r w:rsidRPr="00661E22">
        <w:rPr>
          <w:rFonts w:ascii="Palatino Linotype" w:hAnsi="Palatino Linotype" w:cs="Arial"/>
          <w:bCs/>
          <w:i/>
          <w:color w:val="000000" w:themeColor="text1"/>
          <w:sz w:val="24"/>
          <w:szCs w:val="24"/>
          <w:u w:val="single"/>
          <w:lang w:val="es-ES"/>
        </w:rPr>
        <w:t>El derecho humano de acceso a la información pública es la prerrogativa de las personas para buscar, difundir, investigar, recabar, recibir y solicitar información pública</w:t>
      </w:r>
      <w:r w:rsidRPr="00661E22">
        <w:rPr>
          <w:rFonts w:ascii="Palatino Linotype" w:hAnsi="Palatino Linotype" w:cs="Arial"/>
          <w:bCs/>
          <w:i/>
          <w:color w:val="000000" w:themeColor="text1"/>
          <w:sz w:val="24"/>
          <w:szCs w:val="24"/>
          <w:lang w:val="es-ES"/>
        </w:rPr>
        <w:t>, sin necesidad de acreditar personalidad ni interés jurídico.</w:t>
      </w:r>
    </w:p>
    <w:p w14:paraId="584F8B91"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i/>
          <w:color w:val="000000" w:themeColor="text1"/>
          <w:sz w:val="24"/>
          <w:szCs w:val="24"/>
          <w:u w:val="single"/>
          <w:lang w:val="es-ES"/>
        </w:rPr>
        <w:t xml:space="preserve">Toda la información generada, obtenida, adquirida, transformada, administrada o en posesión de los sujetos obligados es pública y accesible de manera permanente a cualquier persona, en los términos y condiciones que se </w:t>
      </w:r>
      <w:r w:rsidRPr="00661E22">
        <w:rPr>
          <w:rFonts w:ascii="Palatino Linotype" w:hAnsi="Palatino Linotype" w:cs="Arial"/>
          <w:i/>
          <w:color w:val="000000" w:themeColor="text1"/>
          <w:sz w:val="24"/>
          <w:szCs w:val="24"/>
          <w:u w:val="single"/>
          <w:lang w:val="es-ES"/>
        </w:rPr>
        <w:lastRenderedPageBreak/>
        <w:t>establezcan en los tratados internacionales de los que el Estado mexicano sea parte, en la Ley General, la presente Ley y demás disposiciones de la materia, privilegiando el principio de máxima publicidad de la información.</w:t>
      </w:r>
      <w:r w:rsidRPr="00661E22">
        <w:rPr>
          <w:rFonts w:ascii="Palatino Linotype" w:hAnsi="Palatino Linotype" w:cs="Arial"/>
          <w:i/>
          <w:color w:val="000000" w:themeColor="text1"/>
          <w:sz w:val="24"/>
          <w:szCs w:val="24"/>
          <w:lang w:val="es-ES"/>
        </w:rPr>
        <w:t xml:space="preserve"> Solo podrá ser clasificada excepcionalmente como reservada temporalmente por razones de interés público, en los términos de las causas legítimas y estrictamente necesarias previstas por esta Ley.</w:t>
      </w:r>
    </w:p>
    <w:p w14:paraId="7EAA19CE"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i/>
          <w:color w:val="000000" w:themeColor="text1"/>
          <w:sz w:val="24"/>
          <w:szCs w:val="24"/>
          <w:lang w:val="es-ES"/>
        </w:rPr>
        <w:t>Los sujetos obligados deben poner en práctica, políticas y programas de acceso a la información que se apeguen a criterios de publicidad, veracidad, oportunidad, precisión y suficiencia en beneficio de los solicitantes.</w:t>
      </w:r>
    </w:p>
    <w:p w14:paraId="5EACF5C3"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b/>
          <w:bCs/>
          <w:i/>
          <w:color w:val="000000" w:themeColor="text1"/>
          <w:sz w:val="24"/>
          <w:szCs w:val="24"/>
          <w:lang w:val="es-ES"/>
        </w:rPr>
        <w:t xml:space="preserve">Artículo 12. </w:t>
      </w:r>
      <w:r w:rsidRPr="00661E22">
        <w:rPr>
          <w:rFonts w:ascii="Palatino Linotype" w:hAnsi="Palatino Linotype" w:cs="Arial"/>
          <w:i/>
          <w:color w:val="000000" w:themeColor="text1"/>
          <w:sz w:val="24"/>
          <w:szCs w:val="24"/>
          <w:lang w:val="es-ES"/>
        </w:rPr>
        <w:t>Quienes generen, recopilen, administren, manejen, procesen, archiven o conserven información pública serán responsables de la misma en los términos de las disposiciones jurídicas aplicables.</w:t>
      </w:r>
    </w:p>
    <w:p w14:paraId="2C5D127B"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i/>
          <w:color w:val="000000" w:themeColor="text1"/>
          <w:sz w:val="24"/>
          <w:szCs w:val="24"/>
          <w:u w:val="single"/>
          <w:lang w:val="es-ES"/>
        </w:rPr>
        <w:t>Los sujetos obligados sólo proporcionarán la información pública que se les requiera y que obre en sus archivos y en el estado en que ésta se encuentre.</w:t>
      </w:r>
      <w:r w:rsidRPr="00661E22">
        <w:rPr>
          <w:rFonts w:ascii="Palatino Linotype" w:hAnsi="Palatino Linotype" w:cs="Arial"/>
          <w:i/>
          <w:color w:val="000000" w:themeColor="text1"/>
          <w:sz w:val="24"/>
          <w:szCs w:val="24"/>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99ACDF5"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i/>
          <w:color w:val="000000" w:themeColor="text1"/>
          <w:sz w:val="24"/>
          <w:szCs w:val="24"/>
          <w:lang w:val="es-ES"/>
        </w:rPr>
        <w:t>…</w:t>
      </w:r>
    </w:p>
    <w:p w14:paraId="12DBD83E"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b/>
          <w:bCs/>
          <w:i/>
          <w:color w:val="000000" w:themeColor="text1"/>
          <w:sz w:val="24"/>
          <w:szCs w:val="24"/>
          <w:lang w:val="es-ES"/>
        </w:rPr>
        <w:t xml:space="preserve">Artículo 24. </w:t>
      </w:r>
      <w:r w:rsidRPr="00661E22">
        <w:rPr>
          <w:rFonts w:ascii="Palatino Linotype" w:hAnsi="Palatino Linotype" w:cs="Arial"/>
          <w:i/>
          <w:color w:val="000000" w:themeColor="text1"/>
          <w:sz w:val="24"/>
          <w:szCs w:val="24"/>
          <w:u w:val="single"/>
          <w:lang w:val="es-ES"/>
        </w:rPr>
        <w:t>Para el cumplimiento de los objetivos de esta Ley, los sujetos obligados deberán cumplir con las siguientes obligaciones, según corresponda, de acuerdo a su naturaleza:</w:t>
      </w:r>
    </w:p>
    <w:p w14:paraId="17038AC2"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bCs/>
          <w:i/>
          <w:color w:val="000000" w:themeColor="text1"/>
          <w:sz w:val="24"/>
          <w:szCs w:val="24"/>
          <w:lang w:val="es-ES"/>
        </w:rPr>
        <w:lastRenderedPageBreak/>
        <w:t>..</w:t>
      </w:r>
      <w:r w:rsidRPr="00661E22">
        <w:rPr>
          <w:rFonts w:ascii="Palatino Linotype" w:hAnsi="Palatino Linotype" w:cs="Arial"/>
          <w:i/>
          <w:color w:val="000000" w:themeColor="text1"/>
          <w:sz w:val="24"/>
          <w:szCs w:val="24"/>
          <w:lang w:val="es-ES"/>
        </w:rPr>
        <w:t>.</w:t>
      </w:r>
    </w:p>
    <w:p w14:paraId="7DEEEBD8" w14:textId="77777777" w:rsidR="00B62D69" w:rsidRPr="00661E22"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661E22">
        <w:rPr>
          <w:rFonts w:ascii="Palatino Linotype" w:hAnsi="Palatino Linotype" w:cs="Arial"/>
          <w:b/>
          <w:bCs/>
          <w:i/>
          <w:color w:val="000000" w:themeColor="text1"/>
          <w:sz w:val="24"/>
          <w:szCs w:val="24"/>
          <w:lang w:val="es-ES"/>
        </w:rPr>
        <w:t>IX.</w:t>
      </w:r>
      <w:r w:rsidRPr="00661E22">
        <w:rPr>
          <w:rFonts w:ascii="Palatino Linotype" w:hAnsi="Palatino Linotype" w:cs="Arial"/>
          <w:bCs/>
          <w:i/>
          <w:color w:val="000000" w:themeColor="text1"/>
          <w:sz w:val="24"/>
          <w:szCs w:val="24"/>
          <w:lang w:val="es-ES"/>
        </w:rPr>
        <w:t xml:space="preserve"> Fomentar el uso de tecnologías de la información para garantizar la transparencia, el derecho de acceso a la información y la accesibilidad a éstos;</w:t>
      </w:r>
    </w:p>
    <w:p w14:paraId="51DAC696" w14:textId="77777777" w:rsidR="00B62D69" w:rsidRPr="00661E22"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661E22">
        <w:rPr>
          <w:rFonts w:ascii="Palatino Linotype" w:hAnsi="Palatino Linotype" w:cs="Arial"/>
          <w:b/>
          <w:bCs/>
          <w:i/>
          <w:color w:val="000000" w:themeColor="text1"/>
          <w:sz w:val="24"/>
          <w:szCs w:val="24"/>
          <w:lang w:val="es-ES"/>
        </w:rPr>
        <w:t>…</w:t>
      </w:r>
    </w:p>
    <w:p w14:paraId="510151EA" w14:textId="77777777" w:rsidR="00B62D69" w:rsidRPr="00661E22"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661E22">
        <w:rPr>
          <w:rFonts w:ascii="Palatino Linotype" w:hAnsi="Palatino Linotype" w:cs="Arial"/>
          <w:b/>
          <w:bCs/>
          <w:i/>
          <w:color w:val="000000" w:themeColor="text1"/>
          <w:sz w:val="24"/>
          <w:szCs w:val="24"/>
          <w:lang w:val="es-ES"/>
        </w:rPr>
        <w:t>XI.</w:t>
      </w:r>
      <w:r w:rsidRPr="00661E22">
        <w:rPr>
          <w:rFonts w:ascii="Palatino Linotype" w:hAnsi="Palatino Linotype" w:cs="Arial"/>
          <w:bCs/>
          <w:i/>
          <w:color w:val="000000" w:themeColor="text1"/>
          <w:sz w:val="24"/>
          <w:szCs w:val="24"/>
          <w:lang w:val="es-ES"/>
        </w:rPr>
        <w:t xml:space="preserve"> Dar acceso a la información pública que le sea requerida, en los términos de la Ley General, esta Ley y demás disposiciones jurídicas aplicables;</w:t>
      </w:r>
    </w:p>
    <w:p w14:paraId="3AB06DA7"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bCs/>
          <w:i/>
          <w:color w:val="000000" w:themeColor="text1"/>
          <w:sz w:val="24"/>
          <w:szCs w:val="24"/>
          <w:lang w:val="es-ES"/>
        </w:rPr>
        <w:t>…</w:t>
      </w:r>
    </w:p>
    <w:p w14:paraId="1D6B6BDF" w14:textId="77777777" w:rsidR="00B62D69" w:rsidRPr="00661E22"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661E22">
        <w:rPr>
          <w:rFonts w:ascii="Palatino Linotype" w:hAnsi="Palatino Linotype" w:cs="Arial"/>
          <w:i/>
          <w:color w:val="000000" w:themeColor="text1"/>
          <w:sz w:val="24"/>
          <w:szCs w:val="24"/>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3D161970" w14:textId="77777777" w:rsidR="00B62D69" w:rsidRPr="00661E22" w:rsidRDefault="00B62D69" w:rsidP="00B62D69">
      <w:pPr>
        <w:spacing w:before="240" w:line="360" w:lineRule="auto"/>
        <w:ind w:left="851" w:right="851"/>
        <w:jc w:val="both"/>
        <w:rPr>
          <w:rFonts w:ascii="Palatino Linotype" w:hAnsi="Palatino Linotype" w:cs="Arial"/>
          <w:i/>
          <w:color w:val="000000" w:themeColor="text1"/>
          <w:sz w:val="24"/>
          <w:szCs w:val="24"/>
          <w:lang w:val="es-ES"/>
        </w:rPr>
      </w:pPr>
      <w:r w:rsidRPr="00661E22">
        <w:rPr>
          <w:rFonts w:ascii="Palatino Linotype" w:hAnsi="Palatino Linotype" w:cs="Arial"/>
          <w:i/>
          <w:color w:val="000000" w:themeColor="text1"/>
          <w:sz w:val="24"/>
          <w:szCs w:val="24"/>
          <w:lang w:val="es-ES"/>
        </w:rPr>
        <w:t>Los sujetos obligados solo proporcionarán la información pública que generen, administren o posean en el ejercicio de sus atribuciones.</w:t>
      </w:r>
    </w:p>
    <w:p w14:paraId="13DAA5D9" w14:textId="77777777" w:rsidR="00B62D69" w:rsidRPr="00661E22" w:rsidRDefault="00B62D69" w:rsidP="00B62D69">
      <w:pPr>
        <w:spacing w:before="240" w:line="360" w:lineRule="auto"/>
        <w:jc w:val="both"/>
        <w:rPr>
          <w:rFonts w:ascii="Palatino Linotype" w:hAnsi="Palatino Linotype" w:cs="Arial"/>
          <w:color w:val="000000" w:themeColor="text1"/>
          <w:sz w:val="24"/>
          <w:szCs w:val="24"/>
          <w:lang w:val="es-ES"/>
        </w:rPr>
      </w:pPr>
      <w:r w:rsidRPr="00661E22">
        <w:rPr>
          <w:rFonts w:ascii="Palatino Linotype" w:hAnsi="Palatino Linotype" w:cs="Arial"/>
          <w:color w:val="000000" w:themeColor="text1"/>
          <w:sz w:val="24"/>
          <w:szCs w:val="24"/>
          <w:lang w:val="es-E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619263C" w14:textId="77777777" w:rsidR="00B62D69" w:rsidRPr="00661E22" w:rsidRDefault="00B62D69" w:rsidP="00B62D69">
      <w:pPr>
        <w:spacing w:before="240" w:line="360" w:lineRule="auto"/>
        <w:jc w:val="both"/>
        <w:rPr>
          <w:rFonts w:ascii="Palatino Linotype" w:hAnsi="Palatino Linotype" w:cs="Arial"/>
          <w:color w:val="000000" w:themeColor="text1"/>
          <w:sz w:val="24"/>
          <w:szCs w:val="24"/>
          <w:lang w:val="es-ES"/>
        </w:rPr>
      </w:pPr>
      <w:r w:rsidRPr="00661E22">
        <w:rPr>
          <w:rFonts w:ascii="Palatino Linotype" w:hAnsi="Palatino Linotype" w:cs="Arial"/>
          <w:color w:val="000000" w:themeColor="text1"/>
          <w:sz w:val="24"/>
          <w:szCs w:val="24"/>
          <w:lang w:val="es-E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8CE7184" w14:textId="6FFBEF52" w:rsidR="00A34817" w:rsidRPr="00661E22" w:rsidRDefault="00A34817" w:rsidP="00A34817">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lastRenderedPageBreak/>
        <w:t>Dicho lo anterior, considerando la información requerida por El Recurrente en su solicitud de información, y ante la falta de respuesta, se establece que la materia de estudio se centrará en las atribuciones del Sujeto Obligado, a efecto de determinar si éste genera, posee o administra dicha información.</w:t>
      </w:r>
    </w:p>
    <w:p w14:paraId="00A3C282" w14:textId="4E496030" w:rsidR="00A34817" w:rsidRPr="00661E22" w:rsidRDefault="00A34817" w:rsidP="00A34817">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Una vez establecida y delimitada la materia del presente recurso de revisión, y atentos a la falta de respuesta del Sujeto Obligado a la solicitud de información, la cual se traduce en el hecho de ser omiso en dar atención a la petición en términos de la Ley de la materia, es decir, incumplir con las obligaciones que dicho cuerpo legal le impone como Sujeto Obligado de la misma, tal y como lo constituyen 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5E5AB704" w14:textId="78AADF67" w:rsidR="00A34817" w:rsidRPr="00661E22"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661E22">
        <w:rPr>
          <w:rFonts w:ascii="Palatino Linotype" w:hAnsi="Palatino Linotype"/>
          <w:i/>
          <w:iCs/>
          <w:sz w:val="24"/>
          <w:szCs w:val="24"/>
          <w:lang w:val="es-ES"/>
        </w:rPr>
        <w:t xml:space="preserve">“Artículo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w:t>
      </w:r>
    </w:p>
    <w:p w14:paraId="592BF419" w14:textId="77777777" w:rsidR="00A34817" w:rsidRPr="00661E22"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661E22">
        <w:rPr>
          <w:rFonts w:ascii="Palatino Linotype" w:hAnsi="Palatino Linotype"/>
          <w:i/>
          <w:iCs/>
          <w:sz w:val="24"/>
          <w:szCs w:val="24"/>
          <w:lang w:val="es-ES"/>
        </w:rPr>
        <w:t xml:space="preserve">Artículo 23. Son sujetos obligados a transparentar y permitir el acceso a su información y proteger los datos personales que obren en su poder: </w:t>
      </w:r>
    </w:p>
    <w:p w14:paraId="06404AF0" w14:textId="77777777" w:rsidR="00A34817" w:rsidRPr="00661E22"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661E22">
        <w:rPr>
          <w:rFonts w:ascii="Palatino Linotype" w:hAnsi="Palatino Linotype"/>
          <w:i/>
          <w:iCs/>
          <w:sz w:val="24"/>
          <w:szCs w:val="24"/>
          <w:lang w:val="es-ES"/>
        </w:rPr>
        <w:t>(…)</w:t>
      </w:r>
    </w:p>
    <w:p w14:paraId="54496220" w14:textId="75DE9FF1" w:rsidR="00A34817" w:rsidRPr="00661E22"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661E22">
        <w:rPr>
          <w:rFonts w:ascii="Palatino Linotype" w:hAnsi="Palatino Linotype"/>
          <w:i/>
          <w:iCs/>
          <w:sz w:val="24"/>
          <w:szCs w:val="24"/>
          <w:lang w:val="es-ES"/>
        </w:rPr>
        <w:lastRenderedPageBreak/>
        <w:t>IV. Los ayuntamientos y las dependencias, organismos, órganos y entidades de la administración municipal;</w:t>
      </w:r>
    </w:p>
    <w:p w14:paraId="0AAC8AFF" w14:textId="616B8BCA" w:rsidR="00A34817" w:rsidRPr="00661E22" w:rsidRDefault="00A34817" w:rsidP="00A34817">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46755163" w14:textId="43DD0806" w:rsidR="00A34817" w:rsidRPr="00661E22" w:rsidRDefault="00A34817" w:rsidP="00A34817">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El acceso a la información pública es el derecho humano a través del cual se puede solicitar aquellos documentos que generen, administren o posean las autoridades en ejercicio de sus respectivas atribuciones y competencia.</w:t>
      </w:r>
    </w:p>
    <w:p w14:paraId="02F662BE" w14:textId="4136C66D" w:rsidR="00A34817" w:rsidRPr="00661E22" w:rsidRDefault="00A34817" w:rsidP="00A34817">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D9E84E4" w14:textId="69724FC8" w:rsidR="00B62D69" w:rsidRPr="00661E22" w:rsidRDefault="00A34817" w:rsidP="00A34817">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lastRenderedPageBreak/>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12D4D7E8" w14:textId="1189A759" w:rsidR="00AD2790" w:rsidRPr="00661E22" w:rsidRDefault="00AD2790" w:rsidP="00AD2790">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Por lo que en cumplimiento a las obligaciones que establece nuestra Carta Magna, la Constitución Estatal y la Ley de la materia le imponen, el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5D7C5C0B" w14:textId="54F88A87" w:rsidR="00AD2790" w:rsidRPr="00661E22" w:rsidRDefault="00AD2790" w:rsidP="00AD2790">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709085C6" w14:textId="2749CADF" w:rsidR="00AD2790" w:rsidRPr="00661E22" w:rsidRDefault="00AD2790" w:rsidP="00AD2790">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No sobra decir que, al actuar de esta forma, el Sujeto Obligado incumple con el primer mandato contenido en el párrafo tercero del artículo primero de la Constitución Política de los Estados Unidos Mexicanos que establece el deber de todas las </w:t>
      </w:r>
      <w:r w:rsidRPr="00661E22">
        <w:rPr>
          <w:rFonts w:ascii="Palatino Linotype" w:hAnsi="Palatino Linotype"/>
          <w:sz w:val="24"/>
          <w:szCs w:val="24"/>
          <w:lang w:val="es-ES"/>
        </w:rPr>
        <w:lastRenderedPageBreak/>
        <w:t xml:space="preserve">autoridades, en el ámbito de sus atribuciones, de promover, respetar, proteger y garantizar los derechos humanos. </w:t>
      </w:r>
    </w:p>
    <w:p w14:paraId="1C81E196" w14:textId="33C2A07E" w:rsidR="00AD2790" w:rsidRPr="00661E22" w:rsidRDefault="00AD2790" w:rsidP="00AD2790">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En este contexto, debe considerarse que según lo dispuesto por el artículo 150 de la Ley de Transparencia y Acceso a la Información Pública del Estado de México y Municipios, el procedimiento de acceso a la información es la garantía primaria del derecho en cuestión.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investigar, sancionar y reparar las violaciones a los derechos humanos.</w:t>
      </w:r>
    </w:p>
    <w:p w14:paraId="3DB7F2C3" w14:textId="2AFCE424" w:rsidR="00AD2790" w:rsidRPr="00661E22" w:rsidRDefault="00AD2790" w:rsidP="00AD2790">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Por lo </w:t>
      </w:r>
      <w:r w:rsidR="00CF74A1" w:rsidRPr="00661E22">
        <w:rPr>
          <w:rFonts w:ascii="Palatino Linotype" w:hAnsi="Palatino Linotype"/>
          <w:sz w:val="24"/>
          <w:szCs w:val="24"/>
          <w:lang w:val="es-ES"/>
        </w:rPr>
        <w:t>que,</w:t>
      </w:r>
      <w:r w:rsidRPr="00661E22">
        <w:rPr>
          <w:rFonts w:ascii="Palatino Linotype" w:hAnsi="Palatino Linotype"/>
          <w:sz w:val="24"/>
          <w:szCs w:val="24"/>
          <w:lang w:val="es-ES"/>
        </w:rPr>
        <w:t xml:space="preserve"> en cumplimiento a esta resolución, el Sujeto Obligado 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0758263A" w14:textId="4F5C698B" w:rsidR="00AD2790" w:rsidRPr="00661E22" w:rsidRDefault="00AD2790" w:rsidP="00AD2790">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w:t>
      </w:r>
      <w:r w:rsidRPr="00661E22">
        <w:rPr>
          <w:rFonts w:ascii="Palatino Linotype" w:hAnsi="Palatino Linotype"/>
          <w:sz w:val="24"/>
          <w:szCs w:val="24"/>
          <w:lang w:val="es-ES"/>
        </w:rPr>
        <w:lastRenderedPageBreak/>
        <w:t>información, con objeto de que realicen una búsqueda exhaustiva y razonable de la información solicitada.</w:t>
      </w:r>
    </w:p>
    <w:p w14:paraId="7EB8FBE1" w14:textId="5BBF2788" w:rsidR="00B62D69" w:rsidRPr="00661E22" w:rsidRDefault="00AD2790" w:rsidP="00AD2790">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7ACF61CF" w14:textId="4C93C881" w:rsidR="0026693E" w:rsidRPr="00661E22" w:rsidRDefault="0026693E" w:rsidP="00FD4DB9">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Así</w:t>
      </w:r>
      <w:r w:rsidR="008626ED" w:rsidRPr="00661E22">
        <w:rPr>
          <w:rFonts w:ascii="Palatino Linotype" w:hAnsi="Palatino Linotype"/>
          <w:sz w:val="24"/>
          <w:szCs w:val="24"/>
          <w:lang w:val="es-ES"/>
        </w:rPr>
        <w:t xml:space="preserve"> entonces, es de mencionar que el sujeto obligado remitió su informe justificado a fin de subsanar su negativa, sin </w:t>
      </w:r>
      <w:r w:rsidRPr="00661E22">
        <w:rPr>
          <w:rFonts w:ascii="Palatino Linotype" w:hAnsi="Palatino Linotype"/>
          <w:sz w:val="24"/>
          <w:szCs w:val="24"/>
          <w:lang w:val="es-ES"/>
        </w:rPr>
        <w:t>embargo,</w:t>
      </w:r>
      <w:r w:rsidR="008626ED" w:rsidRPr="00661E22">
        <w:rPr>
          <w:rFonts w:ascii="Palatino Linotype" w:hAnsi="Palatino Linotype"/>
          <w:sz w:val="24"/>
          <w:szCs w:val="24"/>
          <w:lang w:val="es-ES"/>
        </w:rPr>
        <w:t xml:space="preserve"> es oportuno señalar que con dicho informe se colman las pretensiones de la parte solicitante, </w:t>
      </w:r>
      <w:r w:rsidRPr="00661E22">
        <w:rPr>
          <w:rFonts w:ascii="Palatino Linotype" w:hAnsi="Palatino Linotype"/>
          <w:sz w:val="24"/>
          <w:szCs w:val="24"/>
          <w:lang w:val="es-ES"/>
        </w:rPr>
        <w:t xml:space="preserve">en el cual se aludieron las siguientes manifestaciones. </w:t>
      </w:r>
    </w:p>
    <w:p w14:paraId="259C947D" w14:textId="73724FF7" w:rsidR="00A34817" w:rsidRPr="00661E22" w:rsidRDefault="00DB729F" w:rsidP="00FD4DB9">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noProof/>
          <w:sz w:val="24"/>
          <w:szCs w:val="24"/>
          <w:lang w:eastAsia="es-MX"/>
        </w:rPr>
        <w:drawing>
          <wp:inline distT="0" distB="0" distL="0" distR="0" wp14:anchorId="0372A40E" wp14:editId="33FD47A1">
            <wp:extent cx="5759698" cy="2397211"/>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8828" cy="2430145"/>
                    </a:xfrm>
                    <a:prstGeom prst="rect">
                      <a:avLst/>
                    </a:prstGeom>
                  </pic:spPr>
                </pic:pic>
              </a:graphicData>
            </a:graphic>
          </wp:inline>
        </w:drawing>
      </w:r>
    </w:p>
    <w:p w14:paraId="776FC2AF" w14:textId="056FD19C" w:rsidR="00765406" w:rsidRPr="00661E22" w:rsidRDefault="00DB729F" w:rsidP="00FD4DB9">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lastRenderedPageBreak/>
        <w:t xml:space="preserve">De tal suerte, mediante informe justificado se puede apreciar que el </w:t>
      </w:r>
      <w:r w:rsidR="00765406" w:rsidRPr="00661E22">
        <w:rPr>
          <w:rFonts w:ascii="Palatino Linotype" w:hAnsi="Palatino Linotype"/>
          <w:sz w:val="24"/>
          <w:szCs w:val="24"/>
          <w:lang w:val="es-ES"/>
        </w:rPr>
        <w:t>sujeto obligado remitió una liga electrónica, la cual es del tenor siguiente:</w:t>
      </w:r>
    </w:p>
    <w:p w14:paraId="77289E3D" w14:textId="5DA14BA1" w:rsidR="00765406" w:rsidRPr="00661E22" w:rsidRDefault="00BC6450" w:rsidP="00FD4DB9">
      <w:pPr>
        <w:tabs>
          <w:tab w:val="left" w:pos="709"/>
        </w:tabs>
        <w:spacing w:before="240" w:line="360" w:lineRule="auto"/>
        <w:ind w:right="51"/>
        <w:jc w:val="both"/>
        <w:rPr>
          <w:rFonts w:ascii="Palatino Linotype" w:hAnsi="Palatino Linotype"/>
          <w:sz w:val="24"/>
          <w:szCs w:val="24"/>
          <w:lang w:val="es-ES"/>
        </w:rPr>
      </w:pPr>
      <w:hyperlink r:id="rId9" w:history="1">
        <w:r w:rsidR="00765406" w:rsidRPr="00661E22">
          <w:rPr>
            <w:rStyle w:val="Hipervnculo"/>
            <w:rFonts w:ascii="Palatino Linotype" w:hAnsi="Palatino Linotype"/>
            <w:sz w:val="24"/>
            <w:szCs w:val="24"/>
            <w:lang w:val="es-ES"/>
          </w:rPr>
          <w:t>https://www.ipomex.org.mx/ipo3/lgt/indice/TEOLOYUCAN/art_92_xvii/1.web</w:t>
        </w:r>
      </w:hyperlink>
    </w:p>
    <w:p w14:paraId="55886A36" w14:textId="16D3CB3E" w:rsidR="00765406" w:rsidRPr="00661E22" w:rsidRDefault="00765406" w:rsidP="00FD4DB9">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noProof/>
          <w:sz w:val="24"/>
          <w:szCs w:val="24"/>
          <w:lang w:eastAsia="es-MX"/>
        </w:rPr>
        <w:drawing>
          <wp:inline distT="0" distB="0" distL="0" distR="0" wp14:anchorId="5628D580" wp14:editId="30AFB415">
            <wp:extent cx="5759946" cy="35087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a:extLst>
                        <a:ext uri="{28A0092B-C50C-407E-A947-70E740481C1C}">
                          <a14:useLocalDpi xmlns:a14="http://schemas.microsoft.com/office/drawing/2010/main" val="0"/>
                        </a:ext>
                      </a:extLst>
                    </a:blip>
                    <a:srcRect b="16130"/>
                    <a:stretch/>
                  </pic:blipFill>
                  <pic:spPr bwMode="auto">
                    <a:xfrm>
                      <a:off x="0" y="0"/>
                      <a:ext cx="5772798" cy="3516573"/>
                    </a:xfrm>
                    <a:prstGeom prst="rect">
                      <a:avLst/>
                    </a:prstGeom>
                    <a:ln>
                      <a:noFill/>
                    </a:ln>
                    <a:extLst>
                      <a:ext uri="{53640926-AAD7-44D8-BBD7-CCE9431645EC}">
                        <a14:shadowObscured xmlns:a14="http://schemas.microsoft.com/office/drawing/2010/main"/>
                      </a:ext>
                    </a:extLst>
                  </pic:spPr>
                </pic:pic>
              </a:graphicData>
            </a:graphic>
          </wp:inline>
        </w:drawing>
      </w:r>
    </w:p>
    <w:p w14:paraId="1EC20334" w14:textId="66A32608" w:rsidR="00DB729F" w:rsidRPr="00661E22" w:rsidRDefault="00765406" w:rsidP="00E168CB">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De tal suerte, podemos observar que en la liga proporcionada por el sujeto obligado se encuentra la información solicitada por la parte recurrente, esto es, el registro de las solicitudes de información recibidas y atendidas durante el ejercicio fiscal 2019. </w:t>
      </w:r>
    </w:p>
    <w:p w14:paraId="1E418C80" w14:textId="7216115D" w:rsidR="00DB729F" w:rsidRPr="00661E22" w:rsidRDefault="00765406" w:rsidP="00E168CB">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No pasando desapercibido este órgano resolutor que la Ley de Transparencia y Acceso a la Información Pública del Estado de México y Municipios establece como obligación común de transparencia dentro de su fracción XVII articulo 92, </w:t>
      </w:r>
    </w:p>
    <w:p w14:paraId="3D2ACD56" w14:textId="53A5151E" w:rsidR="00765406" w:rsidRPr="00661E22" w:rsidRDefault="00765406" w:rsidP="00765406">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28154F" w14:textId="559B7266" w:rsidR="00765406" w:rsidRPr="00661E22" w:rsidRDefault="00765406" w:rsidP="00765406">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w:t>
      </w:r>
    </w:p>
    <w:p w14:paraId="47809E21" w14:textId="1BABFA48" w:rsidR="00765406" w:rsidRPr="00661E22" w:rsidRDefault="00765406" w:rsidP="00765406">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XVII. Dirección electrónica donde podrán recibirse las solicitudes para obtener la información, así como el registro de las solicitudes recibidas y atendidas;</w:t>
      </w:r>
    </w:p>
    <w:p w14:paraId="2FAD4F42" w14:textId="3435AE4B" w:rsidR="00765406" w:rsidRPr="00661E22" w:rsidRDefault="00765406" w:rsidP="00765406">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w:t>
      </w:r>
    </w:p>
    <w:p w14:paraId="0A6C5315" w14:textId="66BC35F6" w:rsidR="00765406" w:rsidRPr="00661E22" w:rsidRDefault="00490BAC" w:rsidP="00765406">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D6EFA4D" wp14:editId="6081D34C">
                <wp:simplePos x="0" y="0"/>
                <wp:positionH relativeFrom="column">
                  <wp:posOffset>19616</wp:posOffset>
                </wp:positionH>
                <wp:positionV relativeFrom="paragraph">
                  <wp:posOffset>2883501</wp:posOffset>
                </wp:positionV>
                <wp:extent cx="5671752" cy="1482810"/>
                <wp:effectExtent l="0" t="0" r="18415" b="15875"/>
                <wp:wrapNone/>
                <wp:docPr id="3" name="Conector recto 3"/>
                <wp:cNvGraphicFramePr/>
                <a:graphic xmlns:a="http://schemas.openxmlformats.org/drawingml/2006/main">
                  <a:graphicData uri="http://schemas.microsoft.com/office/word/2010/wordprocessingShape">
                    <wps:wsp>
                      <wps:cNvCnPr/>
                      <wps:spPr>
                        <a:xfrm>
                          <a:off x="0" y="0"/>
                          <a:ext cx="5671752" cy="1482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28E0C"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5pt,227.05pt" to="448.15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" strokecolor="#5b9bd5 [3204]" strokeweight=".5pt">
                <v:stroke joinstyle="miter"/>
              </v:line>
            </w:pict>
          </mc:Fallback>
        </mc:AlternateContent>
      </w:r>
      <w:r w:rsidR="00A50B67" w:rsidRPr="00661E22">
        <w:rPr>
          <w:rFonts w:ascii="Palatino Linotype" w:hAnsi="Palatino Linotype"/>
          <w:sz w:val="24"/>
          <w:szCs w:val="24"/>
          <w:lang w:val="es-ES"/>
        </w:rPr>
        <w:t xml:space="preserve">Luego entonces, como se puede apreciar del numeral en cita, el registro de las solicitudes de </w:t>
      </w:r>
      <w:r w:rsidR="007B44DF" w:rsidRPr="00661E22">
        <w:rPr>
          <w:rFonts w:ascii="Palatino Linotype" w:hAnsi="Palatino Linotype"/>
          <w:sz w:val="24"/>
          <w:szCs w:val="24"/>
          <w:lang w:val="es-ES"/>
        </w:rPr>
        <w:t>información</w:t>
      </w:r>
      <w:r w:rsidR="00A50B67" w:rsidRPr="00661E22">
        <w:rPr>
          <w:rFonts w:ascii="Palatino Linotype" w:hAnsi="Palatino Linotype"/>
          <w:sz w:val="24"/>
          <w:szCs w:val="24"/>
          <w:lang w:val="es-ES"/>
        </w:rPr>
        <w:t xml:space="preserve"> recibidas y atendidas, </w:t>
      </w:r>
      <w:r w:rsidR="007B44DF" w:rsidRPr="00661E22">
        <w:rPr>
          <w:rFonts w:ascii="Palatino Linotype" w:hAnsi="Palatino Linotype"/>
          <w:sz w:val="24"/>
          <w:szCs w:val="24"/>
          <w:lang w:val="es-ES"/>
        </w:rPr>
        <w:t>deberán</w:t>
      </w:r>
      <w:r w:rsidR="00A50B67" w:rsidRPr="00661E22">
        <w:rPr>
          <w:rFonts w:ascii="Palatino Linotype" w:hAnsi="Palatino Linotype"/>
          <w:sz w:val="24"/>
          <w:szCs w:val="24"/>
          <w:lang w:val="es-ES"/>
        </w:rPr>
        <w:t xml:space="preserve"> estar publicadas en el portal electrónico de Información Pública de Oficio Mexiquense, por lo que, como se aprecia de la captura de pantalla plasmada, el sujeto obligado cuenta con un registro de 126 solicitudes de acceso a la </w:t>
      </w:r>
      <w:r w:rsidR="007B44DF" w:rsidRPr="00661E22">
        <w:rPr>
          <w:rFonts w:ascii="Palatino Linotype" w:hAnsi="Palatino Linotype"/>
          <w:sz w:val="24"/>
          <w:szCs w:val="24"/>
          <w:lang w:val="es-ES"/>
        </w:rPr>
        <w:t>información</w:t>
      </w:r>
      <w:r w:rsidR="00A50B67" w:rsidRPr="00661E22">
        <w:rPr>
          <w:rFonts w:ascii="Palatino Linotype" w:hAnsi="Palatino Linotype"/>
          <w:sz w:val="24"/>
          <w:szCs w:val="24"/>
          <w:lang w:val="es-ES"/>
        </w:rPr>
        <w:t xml:space="preserve">, 135 de acceso a datos personales y 5 de otras, por lo que se </w:t>
      </w:r>
      <w:r w:rsidR="007B44DF" w:rsidRPr="00661E22">
        <w:rPr>
          <w:rFonts w:ascii="Palatino Linotype" w:hAnsi="Palatino Linotype"/>
          <w:sz w:val="24"/>
          <w:szCs w:val="24"/>
          <w:lang w:val="es-ES"/>
        </w:rPr>
        <w:t>podría</w:t>
      </w:r>
      <w:r w:rsidR="00274558" w:rsidRPr="00661E22">
        <w:rPr>
          <w:rFonts w:ascii="Palatino Linotype" w:hAnsi="Palatino Linotype"/>
          <w:sz w:val="24"/>
          <w:szCs w:val="24"/>
          <w:lang w:val="es-ES"/>
        </w:rPr>
        <w:t xml:space="preserve"> entender</w:t>
      </w:r>
      <w:r w:rsidR="00A50B67" w:rsidRPr="00661E22">
        <w:rPr>
          <w:rFonts w:ascii="Palatino Linotype" w:hAnsi="Palatino Linotype"/>
          <w:sz w:val="24"/>
          <w:szCs w:val="24"/>
          <w:lang w:val="es-ES"/>
        </w:rPr>
        <w:t xml:space="preserve"> que ya satisfizo las pretensiones de la parte solicitante</w:t>
      </w:r>
      <w:r w:rsidR="00274558" w:rsidRPr="00661E22">
        <w:rPr>
          <w:rFonts w:ascii="Palatino Linotype" w:hAnsi="Palatino Linotype"/>
          <w:sz w:val="24"/>
          <w:szCs w:val="24"/>
          <w:lang w:val="es-ES"/>
        </w:rPr>
        <w:t xml:space="preserve">, empero, es de mencionar que la parte solicitante </w:t>
      </w:r>
      <w:r w:rsidR="007B44DF" w:rsidRPr="00661E22">
        <w:rPr>
          <w:rFonts w:ascii="Palatino Linotype" w:hAnsi="Palatino Linotype"/>
          <w:sz w:val="24"/>
          <w:szCs w:val="24"/>
          <w:lang w:val="es-ES"/>
        </w:rPr>
        <w:t>requirió</w:t>
      </w:r>
      <w:r w:rsidR="00274558" w:rsidRPr="00661E22">
        <w:rPr>
          <w:rFonts w:ascii="Palatino Linotype" w:hAnsi="Palatino Linotype"/>
          <w:sz w:val="24"/>
          <w:szCs w:val="24"/>
          <w:lang w:val="es-ES"/>
        </w:rPr>
        <w:t xml:space="preserve"> las solicitudes de información junto con sus respuestas y al realizar una </w:t>
      </w:r>
      <w:r w:rsidR="007B44DF" w:rsidRPr="00661E22">
        <w:rPr>
          <w:rFonts w:ascii="Palatino Linotype" w:hAnsi="Palatino Linotype"/>
          <w:sz w:val="24"/>
          <w:szCs w:val="24"/>
          <w:lang w:val="es-ES"/>
        </w:rPr>
        <w:t>búsqueda</w:t>
      </w:r>
      <w:r w:rsidR="00274558" w:rsidRPr="00661E22">
        <w:rPr>
          <w:rFonts w:ascii="Palatino Linotype" w:hAnsi="Palatino Linotype"/>
          <w:sz w:val="24"/>
          <w:szCs w:val="24"/>
          <w:lang w:val="es-ES"/>
        </w:rPr>
        <w:t xml:space="preserve"> en sus registros arrojo lo siguiente:</w:t>
      </w:r>
    </w:p>
    <w:p w14:paraId="2814CB95" w14:textId="77777777" w:rsidR="00274558" w:rsidRPr="00661E22" w:rsidRDefault="00274558" w:rsidP="00765406">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noProof/>
          <w:sz w:val="24"/>
          <w:szCs w:val="24"/>
          <w:lang w:eastAsia="es-MX"/>
        </w:rPr>
        <w:lastRenderedPageBreak/>
        <w:drawing>
          <wp:inline distT="0" distB="0" distL="0" distR="0" wp14:anchorId="09D818A1" wp14:editId="42C552EB">
            <wp:extent cx="5760199" cy="7302844"/>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771651" cy="7317363"/>
                    </a:xfrm>
                    <a:prstGeom prst="rect">
                      <a:avLst/>
                    </a:prstGeom>
                  </pic:spPr>
                </pic:pic>
              </a:graphicData>
            </a:graphic>
          </wp:inline>
        </w:drawing>
      </w:r>
    </w:p>
    <w:p w14:paraId="62D8423D" w14:textId="0EBA38DD" w:rsidR="00274558" w:rsidRPr="00661E22" w:rsidRDefault="00274558" w:rsidP="00765406">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noProof/>
          <w:sz w:val="24"/>
          <w:szCs w:val="24"/>
          <w:lang w:eastAsia="es-MX"/>
        </w:rPr>
        <w:lastRenderedPageBreak/>
        <w:drawing>
          <wp:inline distT="0" distB="0" distL="0" distR="0" wp14:anchorId="112500DA" wp14:editId="0974D976">
            <wp:extent cx="5760720" cy="3600450"/>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14:paraId="192429D7" w14:textId="43EE61C3" w:rsidR="00274558" w:rsidRDefault="00274558" w:rsidP="00765406">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Como se puede apreciar de las capturas de pantalla, si bien es cierto, el sujeto obligado cuenta con las solicitudes de información y sus respuestas, no menos cierto es que al momento de querer acceder a los archivos anexos a las mismas solicita acceso para poder visualizarlos, por lo que el derecho de recurrente no puede darse totalmente por colmado, por lo que resulta procedente ordenar la entrega de las respuestas otorgadas a las solicitudes de información pública. </w:t>
      </w:r>
    </w:p>
    <w:p w14:paraId="2FB6189C" w14:textId="6DDE93AB" w:rsidR="000672A8" w:rsidRDefault="000672A8" w:rsidP="000672A8">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t>Al respecto, debemos referir que los documentos anexos al principal son considerados como parte integral de éste; lo cual ha sido establecido por el propio Instituto Nacional de Transparencia, Acceso a la Información y Protección de Datos Personales a través del Criterio de Interpretación 17/17, el cual establece lo siguiente:</w:t>
      </w:r>
    </w:p>
    <w:p w14:paraId="77DAD270" w14:textId="77777777" w:rsidR="000672A8" w:rsidRDefault="000672A8" w:rsidP="000672A8">
      <w:pPr>
        <w:pStyle w:val="Prrafodelista"/>
        <w:tabs>
          <w:tab w:val="left" w:pos="426"/>
        </w:tabs>
        <w:spacing w:before="240" w:after="240" w:line="360" w:lineRule="auto"/>
        <w:ind w:left="0" w:right="51"/>
        <w:jc w:val="both"/>
        <w:rPr>
          <w:rFonts w:ascii="Palatino Linotype" w:hAnsi="Palatino Linotype"/>
          <w:color w:val="000000" w:themeColor="text1"/>
        </w:rPr>
      </w:pPr>
    </w:p>
    <w:p w14:paraId="2B294125" w14:textId="72C01FCC" w:rsidR="000672A8" w:rsidRPr="000672A8" w:rsidRDefault="000672A8" w:rsidP="000672A8">
      <w:pPr>
        <w:pStyle w:val="Prrafodelista"/>
        <w:tabs>
          <w:tab w:val="left" w:pos="426"/>
        </w:tabs>
        <w:spacing w:before="240" w:after="240" w:line="360" w:lineRule="auto"/>
        <w:ind w:left="567" w:right="567"/>
        <w:jc w:val="both"/>
        <w:rPr>
          <w:rFonts w:ascii="Palatino Linotype" w:hAnsi="Palatino Linotype"/>
          <w:i/>
          <w:color w:val="000000" w:themeColor="text1"/>
          <w:sz w:val="22"/>
        </w:rPr>
      </w:pPr>
      <w:r w:rsidRPr="000770CE">
        <w:rPr>
          <w:rFonts w:ascii="Palatino Linotype" w:hAnsi="Palatino Linotype"/>
          <w:b/>
          <w:i/>
          <w:color w:val="000000" w:themeColor="text1"/>
          <w:sz w:val="22"/>
        </w:rPr>
        <w:lastRenderedPageBreak/>
        <w:t>ANEXOS DE LOS DOCUMENTOS SOLICITADOS</w:t>
      </w:r>
      <w:r w:rsidRPr="000770CE">
        <w:rPr>
          <w:rFonts w:ascii="Palatino Linotype" w:hAnsi="Palatino Linotype"/>
          <w:i/>
          <w:color w:val="000000" w:themeColor="text1"/>
          <w:sz w:val="22"/>
        </w:rPr>
        <w:t>.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4CB753EB" w14:textId="0ED3E9E1" w:rsidR="00274558" w:rsidRPr="00661E22" w:rsidRDefault="00274558" w:rsidP="00274558">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De tal lid, tenemos que la Ley de Transparencia y Acceso a la Información del Estado de México y Municipios, establece lo siguiente: </w:t>
      </w:r>
    </w:p>
    <w:p w14:paraId="1FD23B15" w14:textId="02F3A7AF" w:rsidR="00274558" w:rsidRPr="00661E22" w:rsidRDefault="00274558" w:rsidP="000022FA">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Artículo 50. Los sujetos obligados contarán con un área responsable para la atención de las solicitudes de información, a la que se le denominará Unidad de Transparencia. </w:t>
      </w:r>
    </w:p>
    <w:p w14:paraId="5F316806" w14:textId="77777777" w:rsidR="00274558" w:rsidRPr="00661E22" w:rsidRDefault="00274558" w:rsidP="000022FA">
      <w:pPr>
        <w:tabs>
          <w:tab w:val="left" w:pos="709"/>
        </w:tabs>
        <w:spacing w:before="240" w:line="360" w:lineRule="auto"/>
        <w:ind w:left="708" w:right="51"/>
        <w:jc w:val="both"/>
        <w:rPr>
          <w:rFonts w:ascii="Palatino Linotype" w:hAnsi="Palatino Linotype"/>
          <w:i/>
          <w:iCs/>
          <w:sz w:val="24"/>
          <w:szCs w:val="24"/>
          <w:lang w:val="es-ES"/>
        </w:rPr>
      </w:pPr>
      <w:r w:rsidRPr="00661E22">
        <w:rPr>
          <w:rFonts w:ascii="Palatino Linotype" w:hAnsi="Palatino Linotype"/>
          <w:i/>
          <w:iCs/>
          <w:lang w:val="es-ES"/>
        </w:rPr>
        <w:t xml:space="preserve">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w:t>
      </w:r>
    </w:p>
    <w:p w14:paraId="4A134E7F" w14:textId="35BD0DA6" w:rsidR="00274558" w:rsidRPr="00661E22" w:rsidRDefault="00274558" w:rsidP="000022FA">
      <w:pPr>
        <w:tabs>
          <w:tab w:val="left" w:pos="709"/>
        </w:tabs>
        <w:spacing w:before="240" w:line="360" w:lineRule="auto"/>
        <w:ind w:left="708" w:right="51"/>
        <w:jc w:val="both"/>
        <w:rPr>
          <w:rFonts w:ascii="Palatino Linotype" w:hAnsi="Palatino Linotype"/>
          <w:i/>
          <w:iCs/>
          <w:sz w:val="24"/>
          <w:szCs w:val="24"/>
          <w:lang w:val="es-ES"/>
        </w:rPr>
      </w:pPr>
      <w:r w:rsidRPr="00661E22">
        <w:rPr>
          <w:rFonts w:ascii="Palatino Linotype" w:hAnsi="Palatino Linotype"/>
          <w:i/>
          <w:iCs/>
          <w:lang w:val="es-ES"/>
        </w:rPr>
        <w:t xml:space="preserve">Dicha Unidad contará con las facultades internas necesarias para gestionar la atención a las solicitudes de información en los términos de la Ley General y la presente Ley. </w:t>
      </w:r>
    </w:p>
    <w:p w14:paraId="61B73281"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Artículo 52.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p>
    <w:p w14:paraId="4C196CEF"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Artículo 53. Las Unidades de Transparencia tendrán las siguientes funciones: </w:t>
      </w:r>
    </w:p>
    <w:p w14:paraId="0674E026"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CC7C4AE"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II. Recibir, tramitar y dar respuesta a las solicitudes de acceso a la información; </w:t>
      </w:r>
    </w:p>
    <w:p w14:paraId="26D12DDD"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III. Auxiliar a los particulares en la elaboración de solicitudes de acceso a la información y, en su caso, orientarlos sobre los sujetos obligados competentes conforme a la normatividad aplicable; </w:t>
      </w:r>
    </w:p>
    <w:p w14:paraId="41D94B48"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IV. Realizar, con efectividad, los trámites internos necesarios para la atención de las solicitudes de acceso a la información; </w:t>
      </w:r>
    </w:p>
    <w:p w14:paraId="4829D462"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V. Entregar, en su caso, a los particulares la información solicitada; </w:t>
      </w:r>
    </w:p>
    <w:p w14:paraId="07C59B88"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VI. Efectuar las notificaciones a los solicitantes; </w:t>
      </w:r>
    </w:p>
    <w:p w14:paraId="42EC6169"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VII. Proponer al Comité de Transparencia, los procedimientos internos que aseguren la mayor eficiencia en la gestión de las solicitudes de acceso a la información, conforme a la normatividad aplicable; </w:t>
      </w:r>
    </w:p>
    <w:p w14:paraId="0161CB0C"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VIII. Proponer a quien preside el Comité de Transparencia, personal habilitado que sea necesario para recibir y dar trámite a las solicitudes de acceso a la información; </w:t>
      </w:r>
    </w:p>
    <w:p w14:paraId="1FB72CEE"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1436853"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X. Presentar ante el Comité, el proyecto de clasificación de información; </w:t>
      </w:r>
    </w:p>
    <w:p w14:paraId="22061088"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lastRenderedPageBreak/>
        <w:t xml:space="preserve">XI. Promover e implementar políticas de transparencia proactiva procurando su accesibilidad; </w:t>
      </w:r>
    </w:p>
    <w:p w14:paraId="5DB5016E"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XII. Fomentar la transparencia y accesibilidad al interior del sujeto obligado; </w:t>
      </w:r>
    </w:p>
    <w:p w14:paraId="0404B281"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XIII. Hacer del conocimiento de la instancia competente la probable responsabilidad por el incumplimiento de las obligaciones previstas en la presente Ley; y </w:t>
      </w:r>
    </w:p>
    <w:p w14:paraId="4340B4A9"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XIV. Las demás que resulten necesarias para facilitar el acceso a la información y aquellas que se desprenden de la presente Ley y demás disposiciones jurídicas aplicables. </w:t>
      </w:r>
    </w:p>
    <w:p w14:paraId="245FA145" w14:textId="77777777" w:rsidR="00274558" w:rsidRPr="00661E22" w:rsidRDefault="00274558" w:rsidP="00274558">
      <w:pPr>
        <w:tabs>
          <w:tab w:val="left" w:pos="709"/>
        </w:tabs>
        <w:spacing w:before="240" w:line="360" w:lineRule="auto"/>
        <w:ind w:left="708" w:right="51"/>
        <w:jc w:val="both"/>
        <w:rPr>
          <w:rFonts w:ascii="Palatino Linotype" w:hAnsi="Palatino Linotype"/>
          <w:i/>
          <w:iCs/>
          <w:lang w:val="es-ES"/>
        </w:rPr>
      </w:pPr>
      <w:r w:rsidRPr="00661E22">
        <w:rPr>
          <w:rFonts w:ascii="Palatino Linotype" w:hAnsi="Palatino Linotype"/>
          <w:i/>
          <w:iCs/>
          <w:lang w:val="es-ES"/>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14:paraId="60E2EE66" w14:textId="7BC0FD29" w:rsidR="00274558" w:rsidRPr="00661E22" w:rsidRDefault="00274558" w:rsidP="00274558">
      <w:pPr>
        <w:tabs>
          <w:tab w:val="left" w:pos="709"/>
        </w:tabs>
        <w:spacing w:before="240" w:line="360" w:lineRule="auto"/>
        <w:ind w:left="708" w:right="51"/>
        <w:jc w:val="both"/>
        <w:rPr>
          <w:rFonts w:ascii="Palatino Linotype" w:hAnsi="Palatino Linotype"/>
          <w:sz w:val="24"/>
          <w:szCs w:val="24"/>
          <w:lang w:val="es-ES"/>
        </w:rPr>
      </w:pPr>
      <w:r w:rsidRPr="00661E22">
        <w:rPr>
          <w:rFonts w:ascii="Palatino Linotype" w:hAnsi="Palatino Linotype"/>
          <w:i/>
          <w:iCs/>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959377D" w14:textId="5B9A21CC" w:rsidR="00274558" w:rsidRDefault="000022FA" w:rsidP="00765406">
      <w:pPr>
        <w:tabs>
          <w:tab w:val="left" w:pos="709"/>
        </w:tabs>
        <w:spacing w:before="240" w:line="360" w:lineRule="auto"/>
        <w:ind w:right="51"/>
        <w:jc w:val="both"/>
        <w:rPr>
          <w:rFonts w:ascii="Palatino Linotype" w:hAnsi="Palatino Linotype"/>
          <w:sz w:val="24"/>
          <w:szCs w:val="24"/>
          <w:lang w:val="es-ES"/>
        </w:rPr>
      </w:pPr>
      <w:r w:rsidRPr="00661E22">
        <w:rPr>
          <w:rFonts w:ascii="Palatino Linotype" w:hAnsi="Palatino Linotype"/>
          <w:sz w:val="24"/>
          <w:szCs w:val="24"/>
          <w:lang w:val="es-ES"/>
        </w:rPr>
        <w:t xml:space="preserve">Como se desprende de la normatividad plasmada, los sujetos obligados contaran </w:t>
      </w:r>
      <w:r w:rsidR="00661E22" w:rsidRPr="00661E22">
        <w:rPr>
          <w:rFonts w:ascii="Palatino Linotype" w:hAnsi="Palatino Linotype"/>
          <w:sz w:val="24"/>
          <w:szCs w:val="24"/>
          <w:lang w:val="es-ES"/>
        </w:rPr>
        <w:t xml:space="preserve">con un área </w:t>
      </w:r>
      <w:r w:rsidR="00661E22">
        <w:rPr>
          <w:rFonts w:ascii="Palatino Linotype" w:hAnsi="Palatino Linotype"/>
          <w:sz w:val="24"/>
          <w:szCs w:val="24"/>
          <w:lang w:val="es-ES"/>
        </w:rPr>
        <w:t xml:space="preserve">responsable para la atención de las solicitudes de información, a quien se le denominara Unidad de Transparencia, </w:t>
      </w:r>
      <w:r w:rsidR="00401712">
        <w:rPr>
          <w:rFonts w:ascii="Palatino Linotype" w:hAnsi="Palatino Linotype"/>
          <w:sz w:val="24"/>
          <w:szCs w:val="24"/>
          <w:lang w:val="es-ES"/>
        </w:rPr>
        <w:t xml:space="preserve">esta, contara con un titular, el cual será el responsable de atender la Unidad, dando tramite internamente a las solicitudes de información. </w:t>
      </w:r>
    </w:p>
    <w:p w14:paraId="0285C23D" w14:textId="6A2B4137" w:rsidR="00274558" w:rsidRDefault="002B5767" w:rsidP="00765406">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lastRenderedPageBreak/>
        <w:t>De igual manera, las solicitudes de información y las respuestas que se les de, así como las resoluciones de los recursos de revisión que sean promovidas serán públicas, en su caso en versión pública, las cuales deberán de ser publicadas en el portal electrónico de los sujetos obligados.</w:t>
      </w:r>
    </w:p>
    <w:p w14:paraId="1871D531" w14:textId="1CF8BE5C" w:rsidR="002B5767" w:rsidRDefault="002B5767" w:rsidP="00765406">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 xml:space="preserve">Atento a lo anterior, tenemos </w:t>
      </w:r>
      <w:r w:rsidR="00B40C6F">
        <w:rPr>
          <w:rFonts w:ascii="Palatino Linotype" w:hAnsi="Palatino Linotype"/>
          <w:sz w:val="24"/>
          <w:szCs w:val="24"/>
          <w:lang w:val="es-ES"/>
        </w:rPr>
        <w:t xml:space="preserve">que no pueden darse por colmadas las pretensiones de la parte solicitante ya que como se hizo mención en párrafos que anteceden, es cierto que el sujeto obligado cuenta con información publicada en su portal electrónico, sin embargo, no menos cierto es que dentro de los anexos a las respuestas de la solicitudes de información no se puede apreciar ningún documento ya que se debe contar con permisos para acceder a los mismos, por lo que </w:t>
      </w:r>
      <w:r w:rsidR="00E264B7">
        <w:rPr>
          <w:rFonts w:ascii="Palatino Linotype" w:hAnsi="Palatino Linotype"/>
          <w:sz w:val="24"/>
          <w:szCs w:val="24"/>
          <w:lang w:val="es-ES"/>
        </w:rPr>
        <w:t xml:space="preserve">no queda satisfecho el derecho de acceso a la información de la parte solicitante. </w:t>
      </w:r>
    </w:p>
    <w:p w14:paraId="6DCE8209" w14:textId="77777777" w:rsidR="00E264B7" w:rsidRPr="0003267C" w:rsidRDefault="00E264B7" w:rsidP="00E264B7">
      <w:pPr>
        <w:pStyle w:val="Prrafodelista"/>
        <w:numPr>
          <w:ilvl w:val="0"/>
          <w:numId w:val="30"/>
        </w:numPr>
        <w:spacing w:after="240" w:line="360" w:lineRule="auto"/>
        <w:jc w:val="both"/>
        <w:rPr>
          <w:rFonts w:ascii="Palatino Linotype" w:eastAsia="Calibri" w:hAnsi="Palatino Linotype"/>
          <w:b/>
          <w:i/>
          <w:sz w:val="26"/>
          <w:szCs w:val="26"/>
        </w:rPr>
      </w:pPr>
      <w:r w:rsidRPr="0003267C">
        <w:rPr>
          <w:rFonts w:ascii="Palatino Linotype" w:eastAsia="Calibri" w:hAnsi="Palatino Linotype"/>
          <w:b/>
          <w:i/>
          <w:sz w:val="26"/>
          <w:szCs w:val="26"/>
        </w:rPr>
        <w:t>D</w:t>
      </w:r>
      <w:r>
        <w:rPr>
          <w:rFonts w:ascii="Palatino Linotype" w:eastAsia="Calibri" w:hAnsi="Palatino Linotype"/>
          <w:b/>
          <w:i/>
          <w:sz w:val="26"/>
          <w:szCs w:val="26"/>
        </w:rPr>
        <w:t>e la versión pública</w:t>
      </w:r>
    </w:p>
    <w:p w14:paraId="265F87A3" w14:textId="77777777" w:rsidR="00E264B7" w:rsidRPr="00BC23C2" w:rsidRDefault="00E264B7" w:rsidP="00E264B7">
      <w:pPr>
        <w:spacing w:before="240" w:after="240" w:line="360" w:lineRule="auto"/>
        <w:jc w:val="both"/>
        <w:rPr>
          <w:rFonts w:ascii="Palatino Linotype" w:eastAsia="Calibri" w:hAnsi="Palatino Linotype" w:cs="Times New Roman"/>
          <w:sz w:val="24"/>
          <w:szCs w:val="24"/>
          <w:lang w:val="es-ES" w:eastAsia="es-ES"/>
        </w:rPr>
      </w:pPr>
      <w:r w:rsidRPr="00BC23C2">
        <w:rPr>
          <w:rFonts w:ascii="Palatino Linotype" w:eastAsia="Calibri" w:hAnsi="Palatino Linotype" w:cs="Times New Roman"/>
          <w:sz w:val="24"/>
          <w:szCs w:val="24"/>
          <w:lang w:val="es-ES" w:eastAsia="es-ES"/>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39E32F23" w14:textId="77777777" w:rsidR="00E264B7" w:rsidRPr="00BC23C2" w:rsidRDefault="00E264B7" w:rsidP="00E264B7">
      <w:pPr>
        <w:spacing w:before="240" w:after="240" w:line="360" w:lineRule="auto"/>
        <w:jc w:val="both"/>
        <w:rPr>
          <w:rFonts w:ascii="Palatino Linotype" w:eastAsia="Calibri" w:hAnsi="Palatino Linotype" w:cs="Times New Roman"/>
          <w:sz w:val="24"/>
          <w:szCs w:val="24"/>
          <w:lang w:val="es-ES" w:eastAsia="es-ES"/>
        </w:rPr>
      </w:pPr>
      <w:r w:rsidRPr="00BC23C2">
        <w:rPr>
          <w:rFonts w:ascii="Palatino Linotype" w:eastAsia="Calibri" w:hAnsi="Palatino Linotype" w:cs="Times New Roman"/>
          <w:sz w:val="24"/>
          <w:szCs w:val="24"/>
          <w:lang w:val="es-ES" w:eastAsia="es-ES"/>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5B943106"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Artículo 3.</w:t>
      </w:r>
      <w:r w:rsidRPr="00BC23C2">
        <w:rPr>
          <w:rFonts w:ascii="Palatino Linotype" w:eastAsia="Calibri" w:hAnsi="Palatino Linotype" w:cs="Times New Roman"/>
          <w:i/>
          <w:sz w:val="24"/>
          <w:szCs w:val="24"/>
          <w:lang w:val="es-ES" w:eastAsia="es-ES"/>
        </w:rPr>
        <w:t xml:space="preserve"> Para los efectos de la presente Ley se entenderá por:</w:t>
      </w:r>
    </w:p>
    <w:p w14:paraId="5F298ED1"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i/>
          <w:sz w:val="24"/>
          <w:szCs w:val="24"/>
          <w:lang w:val="es-ES" w:eastAsia="es-ES"/>
        </w:rPr>
        <w:t>[…]</w:t>
      </w:r>
    </w:p>
    <w:p w14:paraId="5858C762"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lastRenderedPageBreak/>
        <w:t>IX. Datos personales:</w:t>
      </w:r>
      <w:r w:rsidRPr="00BC23C2">
        <w:rPr>
          <w:rFonts w:ascii="Palatino Linotype" w:eastAsia="Calibri" w:hAnsi="Palatino Linotype" w:cs="Times New Roman"/>
          <w:i/>
          <w:sz w:val="24"/>
          <w:szCs w:val="24"/>
          <w:lang w:val="es-ES" w:eastAsia="es-ES"/>
        </w:rPr>
        <w:t xml:space="preserve"> La información concerniente a una persona, identificada o identificable según lo dispuesto por la Ley de Protección de Datos Personales del Estado de México; </w:t>
      </w:r>
    </w:p>
    <w:p w14:paraId="60E5E42D"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XX. Información clasificada:</w:t>
      </w:r>
      <w:r w:rsidRPr="00BC23C2">
        <w:rPr>
          <w:rFonts w:ascii="Palatino Linotype" w:eastAsia="Calibri" w:hAnsi="Palatino Linotype" w:cs="Times New Roman"/>
          <w:i/>
          <w:sz w:val="24"/>
          <w:szCs w:val="24"/>
          <w:lang w:val="es-ES" w:eastAsia="es-ES"/>
        </w:rPr>
        <w:t xml:space="preserve"> Aquella considerada por la presente Ley como reservada o confidencial;</w:t>
      </w:r>
    </w:p>
    <w:p w14:paraId="6E6F6990"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XXI. Información confidencial:</w:t>
      </w:r>
      <w:r w:rsidRPr="00BC23C2">
        <w:rPr>
          <w:rFonts w:ascii="Palatino Linotype" w:eastAsia="Calibri" w:hAnsi="Palatino Linotype" w:cs="Times New Roman"/>
          <w:i/>
          <w:sz w:val="24"/>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331A3A3"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XLV. Versión pública:</w:t>
      </w:r>
      <w:r w:rsidRPr="00BC23C2">
        <w:rPr>
          <w:rFonts w:ascii="Palatino Linotype" w:eastAsia="Calibri" w:hAnsi="Palatino Linotype" w:cs="Times New Roman"/>
          <w:i/>
          <w:sz w:val="24"/>
          <w:szCs w:val="24"/>
          <w:lang w:val="es-ES" w:eastAsia="es-ES"/>
        </w:rPr>
        <w:t xml:space="preserve"> Documento en el que se elimine, suprime o borra la información clasificada como reservada o confidencial para permitir su acceso.</w:t>
      </w:r>
    </w:p>
    <w:p w14:paraId="625F7476"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i/>
          <w:sz w:val="24"/>
          <w:szCs w:val="24"/>
          <w:lang w:val="es-ES" w:eastAsia="es-ES"/>
        </w:rPr>
        <w:t>[…]</w:t>
      </w:r>
    </w:p>
    <w:p w14:paraId="0303C151"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Artículo 91.</w:t>
      </w:r>
      <w:r w:rsidRPr="00BC23C2">
        <w:rPr>
          <w:rFonts w:ascii="Palatino Linotype" w:eastAsia="Calibri" w:hAnsi="Palatino Linotype" w:cs="Times New Roman"/>
          <w:i/>
          <w:sz w:val="24"/>
          <w:szCs w:val="24"/>
          <w:lang w:val="es-ES" w:eastAsia="es-ES"/>
        </w:rPr>
        <w:t xml:space="preserve"> El acceso a la información pública será restringido excepcionalmente, cuando ésta sea clasificada como reservada o confidencial.</w:t>
      </w:r>
    </w:p>
    <w:p w14:paraId="421BE9DD"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Artículo 132.</w:t>
      </w:r>
      <w:r w:rsidRPr="00BC23C2">
        <w:rPr>
          <w:rFonts w:ascii="Palatino Linotype" w:eastAsia="Calibri" w:hAnsi="Palatino Linotype" w:cs="Times New Roman"/>
          <w:i/>
          <w:sz w:val="24"/>
          <w:szCs w:val="24"/>
          <w:lang w:val="es-ES" w:eastAsia="es-ES"/>
        </w:rPr>
        <w:t xml:space="preserve"> La clasificación de la información se llevará a cabo en el momento en que:</w:t>
      </w:r>
    </w:p>
    <w:p w14:paraId="43E787EC"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I</w:t>
      </w:r>
      <w:r w:rsidRPr="00BC23C2">
        <w:rPr>
          <w:rFonts w:ascii="Palatino Linotype" w:eastAsia="Calibri" w:hAnsi="Palatino Linotype" w:cs="Times New Roman"/>
          <w:i/>
          <w:sz w:val="24"/>
          <w:szCs w:val="24"/>
          <w:lang w:val="es-ES" w:eastAsia="es-ES"/>
        </w:rPr>
        <w:t>. Se reciba una solicitud de acceso a la información;</w:t>
      </w:r>
    </w:p>
    <w:p w14:paraId="245641E7"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II.</w:t>
      </w:r>
      <w:r w:rsidRPr="00BC23C2">
        <w:rPr>
          <w:rFonts w:ascii="Palatino Linotype" w:eastAsia="Calibri" w:hAnsi="Palatino Linotype" w:cs="Times New Roman"/>
          <w:i/>
          <w:sz w:val="24"/>
          <w:szCs w:val="24"/>
          <w:lang w:val="es-ES" w:eastAsia="es-ES"/>
        </w:rPr>
        <w:t xml:space="preserve"> Se determine mediante resolución de autoridad competente; o</w:t>
      </w:r>
    </w:p>
    <w:p w14:paraId="1C2AF43E"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lastRenderedPageBreak/>
        <w:t>III.</w:t>
      </w:r>
      <w:r w:rsidRPr="00BC23C2">
        <w:rPr>
          <w:rFonts w:ascii="Palatino Linotype" w:eastAsia="Calibri" w:hAnsi="Palatino Linotype" w:cs="Times New Roman"/>
          <w:i/>
          <w:sz w:val="24"/>
          <w:szCs w:val="24"/>
          <w:lang w:val="es-ES" w:eastAsia="es-ES"/>
        </w:rPr>
        <w:t xml:space="preserve"> Se generen versiones públicas para dar cumplimiento a las obligaciones de transparencia previstas en esta Ley.</w:t>
      </w:r>
    </w:p>
    <w:p w14:paraId="36E8A047"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i/>
          <w:sz w:val="24"/>
          <w:szCs w:val="24"/>
          <w:lang w:val="es-ES" w:eastAsia="es-ES"/>
        </w:rPr>
        <w:t>[…]</w:t>
      </w:r>
    </w:p>
    <w:p w14:paraId="15598EA6"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Artículo 143.</w:t>
      </w:r>
      <w:r w:rsidRPr="00BC23C2">
        <w:rPr>
          <w:rFonts w:ascii="Palatino Linotype" w:eastAsia="Calibri" w:hAnsi="Palatino Linotype" w:cs="Times New Roman"/>
          <w:i/>
          <w:sz w:val="24"/>
          <w:szCs w:val="24"/>
          <w:lang w:val="es-ES" w:eastAsia="es-ES"/>
        </w:rPr>
        <w:t xml:space="preserve"> Para los efectos de esta Ley se considera información confidencial, la clasificada como tal, de manera permanente, por su naturaleza, cuando:</w:t>
      </w:r>
    </w:p>
    <w:p w14:paraId="27C23B64"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I.</w:t>
      </w:r>
      <w:r w:rsidRPr="00BC23C2">
        <w:rPr>
          <w:rFonts w:ascii="Palatino Linotype" w:eastAsia="Calibri" w:hAnsi="Palatino Linotype" w:cs="Times New Roman"/>
          <w:i/>
          <w:sz w:val="24"/>
          <w:szCs w:val="24"/>
          <w:lang w:val="es-ES" w:eastAsia="es-ES"/>
        </w:rPr>
        <w:t xml:space="preserve"> Se refiera a la información privada y los datos personales concernientes a una persona física o jurídico colectiva identificada o identificable;</w:t>
      </w:r>
    </w:p>
    <w:p w14:paraId="616D30EF"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II.</w:t>
      </w:r>
      <w:r w:rsidRPr="00BC23C2">
        <w:rPr>
          <w:rFonts w:ascii="Palatino Linotype" w:eastAsia="Calibri" w:hAnsi="Palatino Linotype" w:cs="Times New Roman"/>
          <w:i/>
          <w:sz w:val="24"/>
          <w:szCs w:val="24"/>
          <w:lang w:val="es-ES" w:eastAsia="es-E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4FB3736"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b/>
          <w:i/>
          <w:sz w:val="24"/>
          <w:szCs w:val="24"/>
          <w:lang w:val="es-ES" w:eastAsia="es-ES"/>
        </w:rPr>
        <w:t>III.</w:t>
      </w:r>
      <w:r w:rsidRPr="00BC23C2">
        <w:rPr>
          <w:rFonts w:ascii="Palatino Linotype" w:eastAsia="Calibri" w:hAnsi="Palatino Linotype" w:cs="Times New Roman"/>
          <w:i/>
          <w:sz w:val="24"/>
          <w:szCs w:val="24"/>
          <w:lang w:val="es-ES" w:eastAsia="es-ES"/>
        </w:rPr>
        <w:t xml:space="preserve"> La que presenten los particulares a los sujetos obligados, de conformidad con lo dispuesto por las leyes o los tratados internacionales.</w:t>
      </w:r>
    </w:p>
    <w:p w14:paraId="2481EC29"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i/>
          <w:sz w:val="24"/>
          <w:szCs w:val="24"/>
          <w:lang w:val="es-ES" w:eastAsia="es-ES"/>
        </w:rPr>
      </w:pPr>
      <w:r w:rsidRPr="00BC23C2">
        <w:rPr>
          <w:rFonts w:ascii="Palatino Linotype" w:eastAsia="Calibri" w:hAnsi="Palatino Linotype" w:cs="Times New Roman"/>
          <w:i/>
          <w:sz w:val="24"/>
          <w:szCs w:val="24"/>
          <w:lang w:val="es-ES" w:eastAsia="es-ES"/>
        </w:rPr>
        <w:t>La información confidencial no estará sujeta a temporalidad alguna y sólo podrán tener acceso a ella los titulares de la misma, sus representantes y los servidores públicos facultados para ello.</w:t>
      </w:r>
    </w:p>
    <w:p w14:paraId="274D96B2" w14:textId="77777777" w:rsidR="00E264B7" w:rsidRPr="00BC23C2" w:rsidRDefault="00E264B7" w:rsidP="00E264B7">
      <w:pPr>
        <w:spacing w:before="240" w:after="240" w:line="360" w:lineRule="auto"/>
        <w:ind w:left="794" w:right="851"/>
        <w:jc w:val="both"/>
        <w:rPr>
          <w:rFonts w:ascii="Palatino Linotype" w:eastAsia="Calibri" w:hAnsi="Palatino Linotype" w:cs="Times New Roman"/>
          <w:sz w:val="24"/>
          <w:szCs w:val="24"/>
          <w:lang w:val="es-ES" w:eastAsia="es-ES"/>
        </w:rPr>
      </w:pPr>
      <w:r w:rsidRPr="00BC23C2">
        <w:rPr>
          <w:rFonts w:ascii="Palatino Linotype" w:eastAsia="Calibri" w:hAnsi="Palatino Linotype" w:cs="Times New Roman"/>
          <w:i/>
          <w:sz w:val="24"/>
          <w:szCs w:val="24"/>
          <w:lang w:val="es-ES" w:eastAsia="es-ES"/>
        </w:rPr>
        <w:t>No se considerará confidencial la información que se encuentre en los registros públicos o en fuentes de acceso público, ni tampoco la que sea considerada por la presente ley como información pública. [Sic]</w:t>
      </w:r>
    </w:p>
    <w:p w14:paraId="669AEE2C" w14:textId="77777777" w:rsidR="00E264B7" w:rsidRPr="00BC23C2" w:rsidRDefault="00E264B7" w:rsidP="00E264B7">
      <w:pPr>
        <w:spacing w:before="240" w:after="240" w:line="360" w:lineRule="auto"/>
        <w:jc w:val="both"/>
        <w:rPr>
          <w:rFonts w:ascii="Palatino Linotype" w:eastAsia="Calibri" w:hAnsi="Palatino Linotype" w:cs="Times New Roman"/>
          <w:sz w:val="24"/>
          <w:szCs w:val="24"/>
          <w:lang w:val="es-ES" w:eastAsia="es-ES"/>
        </w:rPr>
      </w:pPr>
      <w:r w:rsidRPr="00BC23C2">
        <w:rPr>
          <w:rFonts w:ascii="Palatino Linotype" w:eastAsia="Calibri" w:hAnsi="Palatino Linotype" w:cs="Times New Roman"/>
          <w:sz w:val="24"/>
          <w:szCs w:val="24"/>
          <w:lang w:val="es-ES" w:eastAsia="es-ES"/>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0B00113" w14:textId="77777777" w:rsidR="00E264B7" w:rsidRPr="0003267C" w:rsidRDefault="00E264B7" w:rsidP="00E264B7">
      <w:pPr>
        <w:spacing w:before="240" w:after="240" w:line="360" w:lineRule="auto"/>
        <w:jc w:val="both"/>
        <w:rPr>
          <w:rFonts w:ascii="Palatino Linotype" w:eastAsia="Calibri" w:hAnsi="Palatino Linotype" w:cs="Times New Roman"/>
          <w:sz w:val="24"/>
          <w:szCs w:val="24"/>
          <w:lang w:val="es-ES" w:eastAsia="es-ES"/>
        </w:rPr>
      </w:pPr>
      <w:r w:rsidRPr="00BC23C2">
        <w:rPr>
          <w:rFonts w:ascii="Palatino Linotype" w:eastAsia="Calibri" w:hAnsi="Palatino Linotype" w:cs="Times New Roman"/>
          <w:sz w:val="24"/>
          <w:szCs w:val="24"/>
          <w:lang w:val="es-ES" w:eastAsia="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1B4087" w14:textId="3BD1FA50" w:rsidR="002B5767" w:rsidRPr="00E264B7" w:rsidRDefault="00E264B7" w:rsidP="00E264B7">
      <w:pPr>
        <w:spacing w:before="240" w:after="240" w:line="360" w:lineRule="auto"/>
        <w:jc w:val="both"/>
        <w:rPr>
          <w:rFonts w:ascii="Palatino Linotype" w:hAnsi="Palatino Linotype" w:cs="Arial"/>
          <w:bCs/>
          <w:sz w:val="24"/>
          <w:szCs w:val="24"/>
        </w:rPr>
      </w:pPr>
      <w:r w:rsidRPr="00A87CAD">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A87CAD">
        <w:rPr>
          <w:rFonts w:ascii="Palatino Linotype" w:hAnsi="Palatino Linotype" w:cs="Arial"/>
          <w:sz w:val="24"/>
          <w:szCs w:val="24"/>
        </w:rPr>
        <w:t xml:space="preserve">de la Ley de Transparencia y Acceso a la Información Pública del Estado de </w:t>
      </w:r>
      <w:r w:rsidRPr="00A87CAD">
        <w:rPr>
          <w:rFonts w:ascii="Palatino Linotype" w:hAnsi="Palatino Linotype" w:cs="Arial"/>
          <w:sz w:val="24"/>
          <w:szCs w:val="24"/>
        </w:rPr>
        <w:lastRenderedPageBreak/>
        <w:t xml:space="preserve">México y Municipios, </w:t>
      </w:r>
      <w:r w:rsidRPr="00A87CAD">
        <w:rPr>
          <w:rFonts w:ascii="Palatino Linotype" w:hAnsi="Palatino Linotype" w:cs="Arial"/>
          <w:bCs/>
          <w:sz w:val="24"/>
          <w:szCs w:val="24"/>
        </w:rPr>
        <w:t>a efecto de salvaguardar el derecho de acceso a la información pública consignado a favor de</w:t>
      </w:r>
      <w:r>
        <w:rPr>
          <w:rFonts w:ascii="Palatino Linotype" w:hAnsi="Palatino Linotype" w:cs="Arial"/>
          <w:bCs/>
          <w:sz w:val="24"/>
          <w:szCs w:val="24"/>
        </w:rPr>
        <w:t xml:space="preserve"> la parte </w:t>
      </w:r>
      <w:r>
        <w:rPr>
          <w:rFonts w:ascii="Palatino Linotype" w:hAnsi="Palatino Linotype" w:cs="Arial"/>
          <w:b/>
          <w:sz w:val="24"/>
          <w:szCs w:val="24"/>
        </w:rPr>
        <w:t>r</w:t>
      </w:r>
      <w:r w:rsidRPr="00A87CAD">
        <w:rPr>
          <w:rFonts w:ascii="Palatino Linotype" w:hAnsi="Palatino Linotype" w:cs="Arial"/>
          <w:b/>
          <w:bCs/>
          <w:sz w:val="24"/>
          <w:szCs w:val="24"/>
        </w:rPr>
        <w:t>ecurrente</w:t>
      </w:r>
      <w:r w:rsidRPr="00A87CAD">
        <w:rPr>
          <w:rFonts w:ascii="Palatino Linotype" w:hAnsi="Palatino Linotype" w:cs="Arial"/>
          <w:bCs/>
          <w:sz w:val="24"/>
          <w:szCs w:val="24"/>
        </w:rPr>
        <w:t>.</w:t>
      </w:r>
    </w:p>
    <w:p w14:paraId="5DBEAA62" w14:textId="05CEDD27" w:rsidR="00B62D69" w:rsidRPr="00661E22" w:rsidRDefault="00B62D69" w:rsidP="00B62D69">
      <w:pPr>
        <w:numPr>
          <w:ilvl w:val="0"/>
          <w:numId w:val="29"/>
        </w:numPr>
        <w:tabs>
          <w:tab w:val="left" w:pos="709"/>
        </w:tabs>
        <w:spacing w:before="240" w:after="240" w:line="360" w:lineRule="auto"/>
        <w:jc w:val="both"/>
        <w:divId w:val="689375240"/>
        <w:rPr>
          <w:rFonts w:ascii="Palatino Linotype" w:eastAsia="Times New Roman" w:hAnsi="Palatino Linotype" w:cs="Times New Roman"/>
          <w:i/>
          <w:sz w:val="28"/>
          <w:szCs w:val="24"/>
          <w:lang w:val="es-ES" w:eastAsia="es-ES"/>
        </w:rPr>
      </w:pPr>
      <w:r w:rsidRPr="00661E22">
        <w:rPr>
          <w:rFonts w:ascii="Palatino Linotype" w:eastAsia="Times New Roman" w:hAnsi="Palatino Linotype" w:cs="Times New Roman"/>
          <w:b/>
          <w:i/>
          <w:sz w:val="28"/>
          <w:szCs w:val="24"/>
          <w:lang w:val="es-ES" w:eastAsia="es-ES"/>
        </w:rPr>
        <w:t>Vista al Órgano de Control Interno</w:t>
      </w:r>
    </w:p>
    <w:p w14:paraId="769B5793" w14:textId="77777777" w:rsidR="00B62D69" w:rsidRPr="00661E22" w:rsidRDefault="00B62D69" w:rsidP="00B62D69">
      <w:pPr>
        <w:tabs>
          <w:tab w:val="left" w:pos="709"/>
        </w:tabs>
        <w:spacing w:before="240" w:after="240" w:line="360" w:lineRule="auto"/>
        <w:jc w:val="both"/>
        <w:divId w:val="689375240"/>
        <w:rPr>
          <w:rFonts w:ascii="Palatino Linotype" w:hAnsi="Palatino Linotype"/>
          <w:sz w:val="24"/>
          <w:szCs w:val="24"/>
          <w:lang w:val="es-ES"/>
        </w:rPr>
      </w:pPr>
      <w:r w:rsidRPr="00661E22">
        <w:rPr>
          <w:rFonts w:ascii="Palatino Linotype" w:hAnsi="Palatino Linotype"/>
          <w:sz w:val="24"/>
          <w:szCs w:val="24"/>
          <w:lang w:val="es-ES"/>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07BAAC6" w14:textId="77777777" w:rsidR="00B62D69" w:rsidRPr="00661E22" w:rsidRDefault="00B62D69" w:rsidP="00B62D69">
      <w:pPr>
        <w:tabs>
          <w:tab w:val="left" w:pos="709"/>
        </w:tabs>
        <w:spacing w:before="240" w:after="240" w:line="360" w:lineRule="auto"/>
        <w:jc w:val="both"/>
        <w:divId w:val="689375240"/>
        <w:rPr>
          <w:rFonts w:ascii="Palatino Linotype" w:hAnsi="Palatino Linotype"/>
          <w:sz w:val="24"/>
          <w:szCs w:val="24"/>
          <w:lang w:val="es-ES"/>
        </w:rPr>
      </w:pPr>
      <w:r w:rsidRPr="00661E22">
        <w:rPr>
          <w:rFonts w:ascii="Palatino Linotype" w:hAnsi="Palatino Linotype"/>
          <w:sz w:val="24"/>
          <w:szCs w:val="24"/>
          <w:lang w:val="es-ES"/>
        </w:rPr>
        <w:t>Por ello, es conveniente señalar la fracción X, del artículo 36, de la Ley de Transparencia y Acceso a la Información Pública del Estado de México y Municipios, que establece:</w:t>
      </w:r>
    </w:p>
    <w:p w14:paraId="635337E2"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w:t>
      </w:r>
      <w:r w:rsidRPr="00661E22">
        <w:rPr>
          <w:rFonts w:ascii="Palatino Linotype" w:hAnsi="Palatino Linotype"/>
          <w:b/>
          <w:i/>
          <w:szCs w:val="24"/>
          <w:lang w:val="es-ES"/>
        </w:rPr>
        <w:t>Artículo 36</w:t>
      </w:r>
      <w:r w:rsidRPr="00661E22">
        <w:rPr>
          <w:rFonts w:ascii="Palatino Linotype" w:hAnsi="Palatino Linotype"/>
          <w:i/>
          <w:szCs w:val="24"/>
          <w:lang w:val="es-ES"/>
        </w:rPr>
        <w:t>. El Instituto tendrá, en el ámbito de su competencia, las siguientes atribuciones:</w:t>
      </w:r>
    </w:p>
    <w:p w14:paraId="0A93BDA9"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w:t>
      </w:r>
    </w:p>
    <w:p w14:paraId="60DFA6BA"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b/>
          <w:i/>
          <w:szCs w:val="24"/>
          <w:lang w:val="es-ES"/>
        </w:rPr>
        <w:t>X</w:t>
      </w:r>
      <w:r w:rsidRPr="00661E22">
        <w:rPr>
          <w:rFonts w:ascii="Palatino Linotype" w:hAnsi="Palatino Linotype"/>
          <w:i/>
          <w:szCs w:val="24"/>
          <w:lang w:val="es-ES"/>
        </w:rPr>
        <w:t xml:space="preserve">. Hacer del conocimiento del órgano de control interno o equivalente de cada Sujeto Obligado las infracciones a esta Ley; </w:t>
      </w:r>
    </w:p>
    <w:p w14:paraId="7F0C1F75"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w:t>
      </w:r>
    </w:p>
    <w:p w14:paraId="0F1FCF4E" w14:textId="77777777" w:rsidR="00B62D69" w:rsidRPr="00661E22" w:rsidRDefault="00B62D69" w:rsidP="00B62D69">
      <w:pPr>
        <w:tabs>
          <w:tab w:val="left" w:pos="709"/>
        </w:tabs>
        <w:spacing w:before="240" w:after="240" w:line="360" w:lineRule="auto"/>
        <w:jc w:val="both"/>
        <w:divId w:val="689375240"/>
        <w:rPr>
          <w:rFonts w:ascii="Palatino Linotype" w:hAnsi="Palatino Linotype"/>
          <w:sz w:val="24"/>
          <w:szCs w:val="24"/>
          <w:lang w:val="es-ES"/>
        </w:rPr>
      </w:pPr>
      <w:r w:rsidRPr="00661E22">
        <w:rPr>
          <w:rFonts w:ascii="Palatino Linotype" w:hAnsi="Palatino Linotype"/>
          <w:sz w:val="24"/>
          <w:szCs w:val="24"/>
          <w:lang w:val="es-ES"/>
        </w:rPr>
        <w:t xml:space="preserve">Asimismo, este Pleno hará del conocimiento del órgano de control de este Instituto de las infracciones en que el Sujeto Obligado incurrió, toda vez que la naturaleza de </w:t>
      </w:r>
      <w:r w:rsidRPr="00661E22">
        <w:rPr>
          <w:rFonts w:ascii="Palatino Linotype" w:hAnsi="Palatino Linotype"/>
          <w:sz w:val="24"/>
          <w:szCs w:val="24"/>
          <w:lang w:val="es-ES"/>
        </w:rPr>
        <w:lastRenderedPageBreak/>
        <w:t>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5260AA4B"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w:t>
      </w:r>
      <w:r w:rsidRPr="00661E22">
        <w:rPr>
          <w:rFonts w:ascii="Palatino Linotype" w:hAnsi="Palatino Linotype"/>
          <w:b/>
          <w:i/>
          <w:szCs w:val="24"/>
          <w:lang w:val="es-ES"/>
        </w:rPr>
        <w:t>Artículo 190</w:t>
      </w:r>
      <w:r w:rsidRPr="00661E22">
        <w:rPr>
          <w:rFonts w:ascii="Palatino Linotype" w:hAnsi="Palatino Linotype"/>
          <w:i/>
          <w:szCs w:val="24"/>
          <w:lang w:val="es-ES"/>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171D99C"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b/>
          <w:i/>
          <w:szCs w:val="24"/>
          <w:lang w:val="es-ES"/>
        </w:rPr>
        <w:t>Artículo 222</w:t>
      </w:r>
      <w:r w:rsidRPr="00661E22">
        <w:rPr>
          <w:rFonts w:ascii="Palatino Linotype" w:hAnsi="Palatino Linotype"/>
          <w:i/>
          <w:szCs w:val="24"/>
          <w:lang w:val="es-ES"/>
        </w:rPr>
        <w:t>. Son causas de responsabilidad administrativa de los servidores públicos de los sujetos obligados, por incumplimiento de las obligaciones establecidas en la materia de la presente Ley, las siguientes:</w:t>
      </w:r>
    </w:p>
    <w:p w14:paraId="67B611C2"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w:t>
      </w:r>
    </w:p>
    <w:p w14:paraId="4ED42262"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I. Cualquier acto u omisión que provoque la suspensión o deficiencia en la atención de las solicitudes de información;</w:t>
      </w:r>
    </w:p>
    <w:p w14:paraId="3B37DA73"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II. La falta de respuesta a las solicitudes de información en los plazos señalados en la normatividad aplicable;</w:t>
      </w:r>
    </w:p>
    <w:p w14:paraId="68C4473D"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i/>
          <w:szCs w:val="24"/>
          <w:lang w:val="es-ES"/>
        </w:rPr>
        <w:t>…</w:t>
      </w:r>
    </w:p>
    <w:p w14:paraId="4CEDEAB7" w14:textId="77777777" w:rsidR="00B62D69" w:rsidRPr="00661E22" w:rsidRDefault="00B62D69" w:rsidP="00B62D69">
      <w:pPr>
        <w:tabs>
          <w:tab w:val="left" w:pos="709"/>
        </w:tabs>
        <w:spacing w:before="240" w:after="240" w:line="360" w:lineRule="auto"/>
        <w:ind w:left="567" w:right="567"/>
        <w:jc w:val="both"/>
        <w:divId w:val="689375240"/>
        <w:rPr>
          <w:rFonts w:ascii="Palatino Linotype" w:hAnsi="Palatino Linotype"/>
          <w:i/>
          <w:szCs w:val="24"/>
          <w:lang w:val="es-ES"/>
        </w:rPr>
      </w:pPr>
      <w:r w:rsidRPr="00661E22">
        <w:rPr>
          <w:rFonts w:ascii="Palatino Linotype" w:hAnsi="Palatino Linotype"/>
          <w:b/>
          <w:i/>
          <w:szCs w:val="24"/>
          <w:lang w:val="es-ES"/>
        </w:rPr>
        <w:t>Artículo 223</w:t>
      </w:r>
      <w:r w:rsidRPr="00661E22">
        <w:rPr>
          <w:rFonts w:ascii="Palatino Linotype" w:hAnsi="Palatino Linotype"/>
          <w:i/>
          <w:szCs w:val="24"/>
          <w:lang w:val="es-ES"/>
        </w:rPr>
        <w:t xml:space="preserve">. El Instituto dará vista a la Contraloría Interna y Órgano de Control y Vigilancia en términos de la Ley de Responsabilidades de los Servidores Públicos del Estado </w:t>
      </w:r>
      <w:r w:rsidRPr="00661E22">
        <w:rPr>
          <w:rFonts w:ascii="Palatino Linotype" w:hAnsi="Palatino Linotype"/>
          <w:i/>
          <w:szCs w:val="24"/>
          <w:lang w:val="es-ES"/>
        </w:rPr>
        <w:lastRenderedPageBreak/>
        <w:t>y Municipios, para que determine el grado de responsabilidad de quienes incumplan con las obligaciones de la presente Ley.”</w:t>
      </w:r>
    </w:p>
    <w:p w14:paraId="6669C08B" w14:textId="29339F34" w:rsidR="00202227" w:rsidRPr="00A86379" w:rsidRDefault="00202227" w:rsidP="00202227">
      <w:pPr>
        <w:tabs>
          <w:tab w:val="left" w:pos="709"/>
        </w:tabs>
        <w:spacing w:before="240" w:line="360" w:lineRule="auto"/>
        <w:ind w:right="51"/>
        <w:jc w:val="both"/>
        <w:divId w:val="689375240"/>
        <w:rPr>
          <w:rFonts w:ascii="Palatino Linotype" w:hAnsi="Palatino Linotype"/>
          <w:sz w:val="24"/>
          <w:szCs w:val="24"/>
          <w:lang w:val="es-ES_tradnl"/>
        </w:rPr>
      </w:pPr>
      <w:r w:rsidRPr="00A86379">
        <w:rPr>
          <w:rFonts w:ascii="Palatino Linotype" w:hAnsi="Palatino Linotype"/>
          <w:sz w:val="24"/>
          <w:szCs w:val="24"/>
          <w:lang w:val="es-ES_tradnl"/>
        </w:rPr>
        <w:t xml:space="preserve">Por lo tanto, en mérito de lo expuesto en líneas anteriores, con fundamento en la fracción IV, del artículo 186, de la Ley de Transparencia y Acceso a la Información Pública del Estado de México y Municipios, se </w:t>
      </w:r>
      <w:r w:rsidRPr="00A86379">
        <w:rPr>
          <w:rFonts w:ascii="Palatino Linotype" w:hAnsi="Palatino Linotype"/>
          <w:b/>
          <w:bCs/>
          <w:sz w:val="24"/>
          <w:szCs w:val="24"/>
          <w:lang w:val="es-ES_tradnl"/>
        </w:rPr>
        <w:t>Ordena</w:t>
      </w:r>
      <w:r w:rsidRPr="00A86379">
        <w:rPr>
          <w:rFonts w:ascii="Palatino Linotype" w:hAnsi="Palatino Linotype"/>
          <w:sz w:val="24"/>
          <w:szCs w:val="24"/>
          <w:lang w:val="es-ES_tradnl"/>
        </w:rPr>
        <w:t xml:space="preserve"> al Sujeto Obligado, atienda la solicitud de información </w:t>
      </w:r>
      <w:r w:rsidR="00F46B5E" w:rsidRPr="00661E22">
        <w:rPr>
          <w:rFonts w:ascii="Palatino Linotype" w:hAnsi="Palatino Linotype" w:cs="Arial"/>
          <w:b/>
          <w:sz w:val="24"/>
          <w:lang w:val="es-ES"/>
        </w:rPr>
        <w:t>00401/TEOLOYU/IP/2021</w:t>
      </w:r>
      <w:r w:rsidR="00F46B5E">
        <w:rPr>
          <w:rFonts w:ascii="Palatino Linotype" w:hAnsi="Palatino Linotype" w:cs="Arial"/>
          <w:b/>
          <w:sz w:val="24"/>
          <w:lang w:val="es-ES"/>
        </w:rPr>
        <w:t xml:space="preserve">, </w:t>
      </w:r>
      <w:r w:rsidRPr="00A86379">
        <w:rPr>
          <w:rFonts w:ascii="Palatino Linotype" w:hAnsi="Palatino Linotype"/>
          <w:sz w:val="24"/>
          <w:szCs w:val="24"/>
          <w:lang w:val="es-ES_tradnl"/>
        </w:rPr>
        <w:t>que han sido materia del presente fallo.</w:t>
      </w:r>
    </w:p>
    <w:p w14:paraId="020C7FA6" w14:textId="77777777" w:rsidR="00202227" w:rsidRPr="00A86379" w:rsidRDefault="00202227" w:rsidP="00202227">
      <w:pPr>
        <w:tabs>
          <w:tab w:val="left" w:pos="8931"/>
        </w:tabs>
        <w:spacing w:before="240" w:line="360" w:lineRule="auto"/>
        <w:ind w:right="51"/>
        <w:jc w:val="both"/>
        <w:divId w:val="689375240"/>
        <w:rPr>
          <w:rFonts w:ascii="Palatino Linotype" w:hAnsi="Palatino Linotype"/>
          <w:sz w:val="24"/>
          <w:szCs w:val="24"/>
          <w:lang w:val="es-ES_tradnl"/>
        </w:rPr>
      </w:pPr>
      <w:r w:rsidRPr="00A86379">
        <w:rPr>
          <w:rFonts w:ascii="Palatino Linotype" w:hAnsi="Palatino Linotype"/>
          <w:sz w:val="24"/>
          <w:szCs w:val="24"/>
          <w:lang w:val="es-ES_tradnl"/>
        </w:rPr>
        <w:t>Por lo antes expuesto y fundado es de resolverse y,</w:t>
      </w:r>
    </w:p>
    <w:p w14:paraId="3489AD0A" w14:textId="77777777" w:rsidR="00202227" w:rsidRPr="00A86379" w:rsidRDefault="00202227" w:rsidP="00202227">
      <w:pPr>
        <w:spacing w:before="240" w:line="360" w:lineRule="auto"/>
        <w:jc w:val="center"/>
        <w:divId w:val="689375240"/>
        <w:rPr>
          <w:rFonts w:ascii="Palatino Linotype" w:eastAsia="Times New Roman" w:hAnsi="Palatino Linotype"/>
          <w:b/>
          <w:bCs/>
          <w:spacing w:val="60"/>
          <w:sz w:val="28"/>
          <w:lang w:val="es-ES_tradnl"/>
        </w:rPr>
      </w:pPr>
      <w:r w:rsidRPr="00A86379">
        <w:rPr>
          <w:rFonts w:ascii="Palatino Linotype" w:eastAsia="Times New Roman" w:hAnsi="Palatino Linotype"/>
          <w:b/>
          <w:bCs/>
          <w:spacing w:val="60"/>
          <w:sz w:val="28"/>
          <w:lang w:val="es-ES_tradnl"/>
        </w:rPr>
        <w:t>SE    RESUELVE</w:t>
      </w:r>
    </w:p>
    <w:p w14:paraId="20C03925" w14:textId="597EFE4E" w:rsidR="00202227" w:rsidRPr="00A86379" w:rsidRDefault="00202227" w:rsidP="00202227">
      <w:pPr>
        <w:autoSpaceDE w:val="0"/>
        <w:autoSpaceDN w:val="0"/>
        <w:adjustRightInd w:val="0"/>
        <w:spacing w:before="240" w:after="240" w:line="360" w:lineRule="auto"/>
        <w:ind w:right="49"/>
        <w:jc w:val="both"/>
        <w:divId w:val="689375240"/>
        <w:rPr>
          <w:rFonts w:ascii="Palatino Linotype" w:eastAsia="Times New Roman" w:hAnsi="Palatino Linotype" w:cs="Arial"/>
          <w:sz w:val="24"/>
          <w:szCs w:val="24"/>
          <w:lang w:val="es-ES_tradnl"/>
        </w:rPr>
      </w:pPr>
      <w:r w:rsidRPr="00A86379">
        <w:rPr>
          <w:rFonts w:ascii="Palatino Linotype" w:hAnsi="Palatino Linotype" w:cs="Arial"/>
          <w:b/>
          <w:sz w:val="28"/>
          <w:szCs w:val="28"/>
          <w:lang w:val="es-ES_tradnl"/>
        </w:rPr>
        <w:t>PRIMERO.</w:t>
      </w:r>
      <w:r w:rsidRPr="00A86379">
        <w:rPr>
          <w:rFonts w:ascii="Palatino Linotype" w:hAnsi="Palatino Linotype" w:cs="Arial"/>
          <w:lang w:val="es-ES_tradnl"/>
        </w:rPr>
        <w:t xml:space="preserve"> </w:t>
      </w:r>
      <w:r w:rsidRPr="00A86379">
        <w:rPr>
          <w:rFonts w:ascii="Palatino Linotype" w:eastAsia="Times New Roman" w:hAnsi="Palatino Linotype" w:cs="Arial"/>
          <w:sz w:val="24"/>
          <w:szCs w:val="24"/>
          <w:lang w:val="es-ES_tradnl"/>
        </w:rPr>
        <w:t xml:space="preserve">Resultan fundadas las razones o motivos de inconformidad hechos valer por </w:t>
      </w:r>
      <w:r w:rsidR="007B44DF">
        <w:rPr>
          <w:rFonts w:ascii="Palatino Linotype" w:eastAsia="Times New Roman" w:hAnsi="Palatino Linotype" w:cs="Arial"/>
          <w:sz w:val="24"/>
          <w:szCs w:val="24"/>
          <w:lang w:val="es-ES_tradnl"/>
        </w:rPr>
        <w:t xml:space="preserve">la parte </w:t>
      </w:r>
      <w:r w:rsidR="007B44DF">
        <w:rPr>
          <w:rFonts w:ascii="Palatino Linotype" w:eastAsia="Times New Roman" w:hAnsi="Palatino Linotype" w:cs="Arial"/>
          <w:b/>
          <w:bCs/>
          <w:sz w:val="24"/>
          <w:szCs w:val="24"/>
          <w:lang w:val="es-ES_tradnl"/>
        </w:rPr>
        <w:t>r</w:t>
      </w:r>
      <w:r w:rsidRPr="00A86379">
        <w:rPr>
          <w:rFonts w:ascii="Palatino Linotype" w:eastAsia="Times New Roman" w:hAnsi="Palatino Linotype" w:cs="Arial"/>
          <w:b/>
          <w:sz w:val="24"/>
          <w:szCs w:val="24"/>
          <w:lang w:val="es-ES_tradnl"/>
        </w:rPr>
        <w:t>ecurrente,</w:t>
      </w:r>
      <w:r w:rsidRPr="00A86379">
        <w:rPr>
          <w:rFonts w:ascii="Palatino Linotype" w:eastAsia="Times New Roman" w:hAnsi="Palatino Linotype" w:cs="Arial"/>
          <w:sz w:val="24"/>
          <w:szCs w:val="24"/>
          <w:lang w:val="es-ES_tradnl"/>
        </w:rPr>
        <w:t xml:space="preserve"> en términos del </w:t>
      </w:r>
      <w:r w:rsidR="00F03201">
        <w:rPr>
          <w:rFonts w:ascii="Palatino Linotype" w:eastAsia="Times New Roman" w:hAnsi="Palatino Linotype" w:cs="Arial"/>
          <w:sz w:val="24"/>
          <w:szCs w:val="24"/>
          <w:lang w:val="es-ES_tradnl"/>
        </w:rPr>
        <w:t>c</w:t>
      </w:r>
      <w:r w:rsidRPr="00A86379">
        <w:rPr>
          <w:rFonts w:ascii="Palatino Linotype" w:eastAsia="Times New Roman" w:hAnsi="Palatino Linotype" w:cs="Arial"/>
          <w:sz w:val="24"/>
          <w:szCs w:val="24"/>
          <w:lang w:val="es-ES_tradnl"/>
        </w:rPr>
        <w:t xml:space="preserve">onsiderando </w:t>
      </w:r>
      <w:r w:rsidR="00F03201">
        <w:rPr>
          <w:rFonts w:ascii="Palatino Linotype" w:eastAsia="Times New Roman" w:hAnsi="Palatino Linotype" w:cs="Arial"/>
          <w:b/>
          <w:sz w:val="24"/>
          <w:szCs w:val="24"/>
          <w:lang w:val="es-ES_tradnl"/>
        </w:rPr>
        <w:t>c</w:t>
      </w:r>
      <w:r w:rsidRPr="00A86379">
        <w:rPr>
          <w:rFonts w:ascii="Palatino Linotype" w:eastAsia="Times New Roman" w:hAnsi="Palatino Linotype" w:cs="Arial"/>
          <w:b/>
          <w:sz w:val="24"/>
          <w:szCs w:val="24"/>
          <w:lang w:val="es-ES_tradnl"/>
        </w:rPr>
        <w:t xml:space="preserve">uarto </w:t>
      </w:r>
      <w:r w:rsidRPr="00A86379">
        <w:rPr>
          <w:rFonts w:ascii="Palatino Linotype" w:eastAsia="Times New Roman" w:hAnsi="Palatino Linotype" w:cs="Arial"/>
          <w:sz w:val="24"/>
          <w:szCs w:val="24"/>
          <w:lang w:val="es-ES_tradnl"/>
        </w:rPr>
        <w:t>de la presente resolución.</w:t>
      </w:r>
    </w:p>
    <w:p w14:paraId="41E87ECF" w14:textId="1454D7DA" w:rsidR="00830078" w:rsidRDefault="00202227" w:rsidP="00830078">
      <w:pPr>
        <w:spacing w:before="240" w:after="240" w:line="360" w:lineRule="auto"/>
        <w:jc w:val="both"/>
        <w:divId w:val="689375240"/>
        <w:rPr>
          <w:rFonts w:ascii="Palatino Linotype" w:hAnsi="Palatino Linotype"/>
          <w:i/>
          <w:iCs/>
          <w:color w:val="222222"/>
          <w:sz w:val="24"/>
          <w:szCs w:val="24"/>
          <w:shd w:val="clear" w:color="auto" w:fill="FFFFFF"/>
          <w:lang w:val="es-ES_tradnl"/>
        </w:rPr>
      </w:pPr>
      <w:r w:rsidRPr="00A86379">
        <w:rPr>
          <w:rFonts w:ascii="Palatino Linotype" w:hAnsi="Palatino Linotype" w:cs="Calibri"/>
          <w:b/>
          <w:bCs/>
          <w:color w:val="222222"/>
          <w:sz w:val="28"/>
          <w:szCs w:val="24"/>
          <w:shd w:val="clear" w:color="auto" w:fill="FFFFFF"/>
          <w:lang w:val="es-ES_tradnl"/>
        </w:rPr>
        <w:t>SEGUNDO</w:t>
      </w:r>
      <w:r w:rsidRPr="00A86379">
        <w:rPr>
          <w:rFonts w:ascii="Palatino Linotype" w:hAnsi="Palatino Linotype"/>
          <w:color w:val="222222"/>
          <w:sz w:val="28"/>
          <w:szCs w:val="24"/>
          <w:shd w:val="clear" w:color="auto" w:fill="FFFFFF"/>
          <w:lang w:val="es-ES_tradnl"/>
        </w:rPr>
        <w:t>.</w:t>
      </w:r>
      <w:r w:rsidRPr="00A86379">
        <w:rPr>
          <w:rFonts w:ascii="Palatino Linotype" w:hAnsi="Palatino Linotype"/>
          <w:color w:val="222222"/>
          <w:sz w:val="24"/>
          <w:szCs w:val="24"/>
          <w:shd w:val="clear" w:color="auto" w:fill="FFFFFF"/>
          <w:lang w:val="es-ES_tradnl"/>
        </w:rPr>
        <w:t> Se</w:t>
      </w:r>
      <w:r w:rsidRPr="00A86379">
        <w:rPr>
          <w:rFonts w:ascii="Palatino Linotype" w:hAnsi="Palatino Linotype"/>
          <w:b/>
          <w:bCs/>
          <w:color w:val="222222"/>
          <w:sz w:val="24"/>
          <w:szCs w:val="24"/>
          <w:shd w:val="clear" w:color="auto" w:fill="FFFFFF"/>
          <w:lang w:val="es-ES_tradnl"/>
        </w:rPr>
        <w:t> </w:t>
      </w:r>
      <w:r w:rsidR="00F03201" w:rsidRPr="00A86379">
        <w:rPr>
          <w:rFonts w:ascii="Palatino Linotype" w:hAnsi="Palatino Linotype"/>
          <w:b/>
          <w:bCs/>
          <w:sz w:val="24"/>
          <w:szCs w:val="24"/>
          <w:shd w:val="clear" w:color="auto" w:fill="FFFFFF"/>
          <w:lang w:val="es-ES_tradnl"/>
        </w:rPr>
        <w:t>ordena</w:t>
      </w:r>
      <w:r w:rsidRPr="00A86379">
        <w:rPr>
          <w:rFonts w:ascii="Palatino Linotype" w:hAnsi="Palatino Linotype"/>
          <w:b/>
          <w:bCs/>
          <w:color w:val="222222"/>
          <w:sz w:val="24"/>
          <w:szCs w:val="24"/>
          <w:shd w:val="clear" w:color="auto" w:fill="FFFFFF"/>
          <w:lang w:val="es-ES_tradnl"/>
        </w:rPr>
        <w:t> </w:t>
      </w:r>
      <w:r w:rsidRPr="00A86379">
        <w:rPr>
          <w:rFonts w:ascii="Palatino Linotype" w:hAnsi="Palatino Linotype"/>
          <w:color w:val="222222"/>
          <w:sz w:val="24"/>
          <w:szCs w:val="24"/>
          <w:shd w:val="clear" w:color="auto" w:fill="FFFFFF"/>
          <w:lang w:val="es-ES_tradnl"/>
        </w:rPr>
        <w:t xml:space="preserve">al </w:t>
      </w:r>
      <w:r w:rsidR="00F03201">
        <w:rPr>
          <w:rFonts w:ascii="Palatino Linotype" w:hAnsi="Palatino Linotype"/>
          <w:b/>
          <w:color w:val="222222"/>
          <w:sz w:val="24"/>
          <w:szCs w:val="24"/>
          <w:shd w:val="clear" w:color="auto" w:fill="FFFFFF"/>
          <w:lang w:val="es-ES_tradnl"/>
        </w:rPr>
        <w:t>s</w:t>
      </w:r>
      <w:r w:rsidRPr="00A86379">
        <w:rPr>
          <w:rFonts w:ascii="Palatino Linotype" w:hAnsi="Palatino Linotype"/>
          <w:b/>
          <w:color w:val="222222"/>
          <w:sz w:val="24"/>
          <w:szCs w:val="24"/>
          <w:shd w:val="clear" w:color="auto" w:fill="FFFFFF"/>
          <w:lang w:val="es-ES_tradnl"/>
        </w:rPr>
        <w:t xml:space="preserve">ujeto </w:t>
      </w:r>
      <w:r w:rsidR="00F03201">
        <w:rPr>
          <w:rFonts w:ascii="Palatino Linotype" w:hAnsi="Palatino Linotype"/>
          <w:b/>
          <w:color w:val="222222"/>
          <w:sz w:val="24"/>
          <w:szCs w:val="24"/>
          <w:shd w:val="clear" w:color="auto" w:fill="FFFFFF"/>
          <w:lang w:val="es-ES_tradnl"/>
        </w:rPr>
        <w:t>o</w:t>
      </w:r>
      <w:r w:rsidRPr="00A86379">
        <w:rPr>
          <w:rFonts w:ascii="Palatino Linotype" w:hAnsi="Palatino Linotype"/>
          <w:b/>
          <w:color w:val="222222"/>
          <w:sz w:val="24"/>
          <w:szCs w:val="24"/>
          <w:shd w:val="clear" w:color="auto" w:fill="FFFFFF"/>
          <w:lang w:val="es-ES_tradnl"/>
        </w:rPr>
        <w:t>bligado</w:t>
      </w:r>
      <w:r w:rsidRPr="00A86379">
        <w:rPr>
          <w:rFonts w:ascii="Palatino Linotype" w:hAnsi="Palatino Linotype"/>
          <w:color w:val="222222"/>
          <w:sz w:val="24"/>
          <w:szCs w:val="24"/>
          <w:shd w:val="clear" w:color="auto" w:fill="FFFFFF"/>
          <w:lang w:val="es-ES_tradnl"/>
        </w:rPr>
        <w:t>, atienda la solicitud</w:t>
      </w:r>
      <w:r>
        <w:rPr>
          <w:rFonts w:ascii="Palatino Linotype" w:hAnsi="Palatino Linotype"/>
          <w:color w:val="222222"/>
          <w:sz w:val="24"/>
          <w:szCs w:val="24"/>
          <w:shd w:val="clear" w:color="auto" w:fill="FFFFFF"/>
          <w:lang w:val="es-ES_tradnl"/>
        </w:rPr>
        <w:t xml:space="preserve"> </w:t>
      </w:r>
      <w:r w:rsidRPr="00A86379">
        <w:rPr>
          <w:rFonts w:ascii="Palatino Linotype" w:hAnsi="Palatino Linotype"/>
          <w:color w:val="222222"/>
          <w:sz w:val="24"/>
          <w:szCs w:val="24"/>
          <w:shd w:val="clear" w:color="auto" w:fill="FFFFFF"/>
          <w:lang w:val="es-ES_tradnl"/>
        </w:rPr>
        <w:t>de información número</w:t>
      </w:r>
      <w:r w:rsidRPr="00A86379">
        <w:rPr>
          <w:rFonts w:ascii="Palatino Linotype" w:hAnsi="Palatino Linotype"/>
          <w:b/>
          <w:bCs/>
          <w:color w:val="222222"/>
          <w:sz w:val="24"/>
          <w:szCs w:val="24"/>
          <w:shd w:val="clear" w:color="auto" w:fill="FFFFFF"/>
          <w:lang w:val="es-ES_tradnl"/>
        </w:rPr>
        <w:t xml:space="preserve"> </w:t>
      </w:r>
      <w:r w:rsidRPr="00661E22">
        <w:rPr>
          <w:rFonts w:ascii="Palatino Linotype" w:hAnsi="Palatino Linotype" w:cs="Arial"/>
          <w:b/>
          <w:sz w:val="24"/>
          <w:lang w:val="es-ES"/>
        </w:rPr>
        <w:t>00401/TEOLOYU/IP/2021</w:t>
      </w:r>
      <w:r w:rsidRPr="00A86379">
        <w:rPr>
          <w:rFonts w:ascii="Palatino Linotype" w:hAnsi="Palatino Linotype"/>
          <w:color w:val="222222"/>
          <w:sz w:val="24"/>
          <w:szCs w:val="24"/>
          <w:shd w:val="clear" w:color="auto" w:fill="FFFFFF"/>
          <w:lang w:val="es-ES_tradnl"/>
        </w:rPr>
        <w:t xml:space="preserve">, en términos del </w:t>
      </w:r>
      <w:r w:rsidR="00F03201">
        <w:rPr>
          <w:rFonts w:ascii="Palatino Linotype" w:hAnsi="Palatino Linotype"/>
          <w:color w:val="222222"/>
          <w:sz w:val="24"/>
          <w:szCs w:val="24"/>
          <w:shd w:val="clear" w:color="auto" w:fill="FFFFFF"/>
          <w:lang w:val="es-ES_tradnl"/>
        </w:rPr>
        <w:t>c</w:t>
      </w:r>
      <w:r w:rsidRPr="00A86379">
        <w:rPr>
          <w:rFonts w:ascii="Palatino Linotype" w:hAnsi="Palatino Linotype"/>
          <w:color w:val="222222"/>
          <w:sz w:val="24"/>
          <w:szCs w:val="24"/>
          <w:shd w:val="clear" w:color="auto" w:fill="FFFFFF"/>
          <w:lang w:val="es-ES_tradnl"/>
        </w:rPr>
        <w:t xml:space="preserve">onsiderando </w:t>
      </w:r>
      <w:r w:rsidR="00F03201">
        <w:rPr>
          <w:rFonts w:ascii="Palatino Linotype" w:hAnsi="Palatino Linotype"/>
          <w:b/>
          <w:color w:val="222222"/>
          <w:sz w:val="24"/>
          <w:szCs w:val="24"/>
          <w:shd w:val="clear" w:color="auto" w:fill="FFFFFF"/>
          <w:lang w:val="es-ES_tradnl"/>
        </w:rPr>
        <w:t>c</w:t>
      </w:r>
      <w:r w:rsidRPr="00A86379">
        <w:rPr>
          <w:rFonts w:ascii="Palatino Linotype" w:hAnsi="Palatino Linotype"/>
          <w:b/>
          <w:color w:val="222222"/>
          <w:sz w:val="24"/>
          <w:szCs w:val="24"/>
          <w:shd w:val="clear" w:color="auto" w:fill="FFFFFF"/>
          <w:lang w:val="es-ES_tradnl"/>
        </w:rPr>
        <w:t>uarto</w:t>
      </w:r>
      <w:r w:rsidRPr="00A86379">
        <w:rPr>
          <w:rFonts w:ascii="Palatino Linotype" w:hAnsi="Palatino Linotype"/>
          <w:color w:val="222222"/>
          <w:sz w:val="24"/>
          <w:szCs w:val="24"/>
          <w:shd w:val="clear" w:color="auto" w:fill="FFFFFF"/>
          <w:lang w:val="es-ES_tradnl"/>
        </w:rPr>
        <w:t xml:space="preserve"> de esta resolución </w:t>
      </w:r>
      <w:r w:rsidRPr="00A86379">
        <w:rPr>
          <w:rFonts w:ascii="Palatino Linotype" w:hAnsi="Palatino Linotype" w:cs="Arial"/>
          <w:sz w:val="24"/>
          <w:szCs w:val="24"/>
          <w:lang w:val="es-ES_tradnl"/>
        </w:rPr>
        <w:t xml:space="preserve">y haga entrega a la parte recurrente, en versión pública </w:t>
      </w:r>
      <w:r w:rsidRPr="00A86379">
        <w:rPr>
          <w:rFonts w:ascii="Palatino Linotype" w:hAnsi="Palatino Linotype"/>
          <w:color w:val="222222"/>
          <w:sz w:val="24"/>
          <w:szCs w:val="24"/>
          <w:shd w:val="clear" w:color="auto" w:fill="FFFFFF"/>
          <w:lang w:val="es-ES_tradnl"/>
        </w:rPr>
        <w:t xml:space="preserve">vía Sistema de Acceso a la Información Mexiquense </w:t>
      </w:r>
      <w:r w:rsidRPr="00A86379">
        <w:rPr>
          <w:rFonts w:ascii="Palatino Linotype" w:hAnsi="Palatino Linotype"/>
          <w:b/>
          <w:color w:val="222222"/>
          <w:sz w:val="24"/>
          <w:szCs w:val="24"/>
          <w:shd w:val="clear" w:color="auto" w:fill="FFFFFF"/>
          <w:lang w:val="es-ES_tradnl"/>
        </w:rPr>
        <w:t>(SAIMEX)</w:t>
      </w:r>
      <w:r w:rsidRPr="00A86379">
        <w:rPr>
          <w:rFonts w:ascii="Palatino Linotype" w:hAnsi="Palatino Linotype"/>
          <w:color w:val="222222"/>
          <w:sz w:val="24"/>
          <w:szCs w:val="24"/>
          <w:shd w:val="clear" w:color="auto" w:fill="FFFFFF"/>
          <w:lang w:val="es-ES_tradnl"/>
        </w:rPr>
        <w:t>, lo siguiente:</w:t>
      </w:r>
    </w:p>
    <w:p w14:paraId="3DE4A64B" w14:textId="5E7CB0FD" w:rsidR="00830078" w:rsidRPr="000672A8" w:rsidRDefault="006E4132" w:rsidP="00830078">
      <w:pPr>
        <w:pStyle w:val="Prrafodelista"/>
        <w:numPr>
          <w:ilvl w:val="0"/>
          <w:numId w:val="33"/>
        </w:numPr>
        <w:spacing w:before="240" w:after="240" w:line="360" w:lineRule="auto"/>
        <w:jc w:val="both"/>
        <w:divId w:val="689375240"/>
        <w:rPr>
          <w:rFonts w:ascii="Palatino Linotype" w:hAnsi="Palatino Linotype"/>
          <w:i/>
          <w:iCs/>
          <w:shd w:val="clear" w:color="auto" w:fill="FFFFFF"/>
          <w:lang w:val="es-ES_tradnl"/>
        </w:rPr>
      </w:pPr>
      <w:r>
        <w:rPr>
          <w:rFonts w:ascii="Palatino Linotype" w:hAnsi="Palatino Linotype"/>
          <w:i/>
          <w:iCs/>
          <w:shd w:val="clear" w:color="auto" w:fill="FFFFFF"/>
          <w:lang w:val="es-ES_tradnl"/>
        </w:rPr>
        <w:t>El o los documentos a</w:t>
      </w:r>
      <w:r w:rsidR="00F46B5E" w:rsidRPr="000672A8">
        <w:rPr>
          <w:rFonts w:ascii="Palatino Linotype" w:hAnsi="Palatino Linotype"/>
          <w:i/>
          <w:iCs/>
          <w:shd w:val="clear" w:color="auto" w:fill="FFFFFF"/>
          <w:lang w:val="es-ES_tradnl"/>
        </w:rPr>
        <w:t xml:space="preserve">nexos </w:t>
      </w:r>
      <w:r>
        <w:rPr>
          <w:rFonts w:ascii="Palatino Linotype" w:hAnsi="Palatino Linotype"/>
          <w:i/>
          <w:iCs/>
          <w:shd w:val="clear" w:color="auto" w:fill="FFFFFF"/>
          <w:lang w:val="es-ES_tradnl"/>
        </w:rPr>
        <w:t>a</w:t>
      </w:r>
      <w:r w:rsidR="00F46B5E" w:rsidRPr="000672A8">
        <w:rPr>
          <w:rFonts w:ascii="Palatino Linotype" w:hAnsi="Palatino Linotype"/>
          <w:i/>
          <w:iCs/>
          <w:shd w:val="clear" w:color="auto" w:fill="FFFFFF"/>
          <w:lang w:val="es-ES_tradnl"/>
        </w:rPr>
        <w:t xml:space="preserve"> las respuestas </w:t>
      </w:r>
      <w:r>
        <w:rPr>
          <w:rFonts w:ascii="Palatino Linotype" w:hAnsi="Palatino Linotype"/>
          <w:i/>
          <w:iCs/>
          <w:shd w:val="clear" w:color="auto" w:fill="FFFFFF"/>
          <w:lang w:val="es-ES_tradnl"/>
        </w:rPr>
        <w:t>de</w:t>
      </w:r>
      <w:r w:rsidR="00F46B5E" w:rsidRPr="000672A8">
        <w:rPr>
          <w:rFonts w:ascii="Palatino Linotype" w:hAnsi="Palatino Linotype"/>
          <w:i/>
          <w:iCs/>
          <w:shd w:val="clear" w:color="auto" w:fill="FFFFFF"/>
          <w:lang w:val="es-ES_tradnl"/>
        </w:rPr>
        <w:t xml:space="preserve"> las solicitudes de información correspondientes al ejercicio fiscal 2019.</w:t>
      </w:r>
    </w:p>
    <w:p w14:paraId="72272618" w14:textId="06207D6E" w:rsidR="000672A8" w:rsidRPr="000672A8" w:rsidRDefault="000672A8" w:rsidP="000672A8">
      <w:pPr>
        <w:pStyle w:val="Prrafodelista"/>
        <w:autoSpaceDE w:val="0"/>
        <w:autoSpaceDN w:val="0"/>
        <w:adjustRightInd w:val="0"/>
        <w:spacing w:before="240" w:line="360" w:lineRule="auto"/>
        <w:ind w:left="720" w:right="49"/>
        <w:jc w:val="both"/>
        <w:divId w:val="689375240"/>
        <w:rPr>
          <w:rFonts w:ascii="Palatino Linotype" w:hAnsi="Palatino Linotype" w:cs="Arial"/>
          <w:i/>
          <w:iCs/>
          <w:lang w:val="es-ES_tradnl"/>
        </w:rPr>
      </w:pPr>
      <w:r w:rsidRPr="000672A8">
        <w:rPr>
          <w:rFonts w:ascii="Palatino Linotype" w:hAnsi="Palatino Linotype" w:cs="Arial"/>
          <w:i/>
          <w:iCs/>
          <w:lang w:val="es-ES_tradnl"/>
        </w:rPr>
        <w:t>De ser necesarias las versiones públicas</w:t>
      </w:r>
      <w:r w:rsidR="00F03201">
        <w:rPr>
          <w:rFonts w:ascii="Palatino Linotype" w:hAnsi="Palatino Linotype" w:cs="Arial"/>
          <w:i/>
          <w:iCs/>
          <w:lang w:val="es-ES_tradnl"/>
        </w:rPr>
        <w:t xml:space="preserve">, </w:t>
      </w:r>
      <w:r w:rsidRPr="000672A8">
        <w:rPr>
          <w:rFonts w:ascii="Palatino Linotype" w:hAnsi="Palatino Linotype" w:cs="Arial"/>
          <w:i/>
          <w:iCs/>
          <w:lang w:val="es-ES_tradnl"/>
        </w:rPr>
        <w:t xml:space="preserve">junto con la información se deberá proporcionar el Acuerdo de Clasificación donde el Comité de Transparencia, confirme </w:t>
      </w:r>
      <w:r w:rsidRPr="000672A8">
        <w:rPr>
          <w:rFonts w:ascii="Palatino Linotype" w:hAnsi="Palatino Linotype" w:cs="Arial"/>
          <w:i/>
          <w:iCs/>
          <w:lang w:val="es-ES_tradnl"/>
        </w:rPr>
        <w:lastRenderedPageBreak/>
        <w:t>la eliminación de los datos confidenciales, de acuerdo con los artículos 49, fracciones II y VIII, 143, fracción I y 149 de la Ley de Transparencia y Acceso a la Información Pública del Estado de México y Municipios.</w:t>
      </w:r>
    </w:p>
    <w:p w14:paraId="7A0913FA" w14:textId="3919EF1E" w:rsidR="00202227" w:rsidRPr="00A86379" w:rsidRDefault="00202227" w:rsidP="00202227">
      <w:pPr>
        <w:autoSpaceDE w:val="0"/>
        <w:autoSpaceDN w:val="0"/>
        <w:adjustRightInd w:val="0"/>
        <w:spacing w:before="240" w:after="240" w:line="360" w:lineRule="auto"/>
        <w:jc w:val="both"/>
        <w:divId w:val="689375240"/>
        <w:rPr>
          <w:rFonts w:ascii="Palatino Linotype" w:hAnsi="Palatino Linotype" w:cs="Arial"/>
          <w:sz w:val="24"/>
          <w:szCs w:val="24"/>
          <w:lang w:val="es-ES_tradnl"/>
        </w:rPr>
      </w:pPr>
      <w:r w:rsidRPr="00A86379">
        <w:rPr>
          <w:rFonts w:ascii="Palatino Linotype" w:hAnsi="Palatino Linotype" w:cs="Arial"/>
          <w:b/>
          <w:sz w:val="28"/>
          <w:szCs w:val="24"/>
          <w:lang w:val="es-ES_tradnl"/>
        </w:rPr>
        <w:t xml:space="preserve">TERCERO. </w:t>
      </w:r>
      <w:r w:rsidR="00F03201" w:rsidRPr="00A86379">
        <w:rPr>
          <w:rFonts w:ascii="Palatino Linotype" w:hAnsi="Palatino Linotype" w:cs="Arial"/>
          <w:b/>
          <w:sz w:val="24"/>
          <w:szCs w:val="24"/>
          <w:lang w:val="es-ES_tradnl"/>
        </w:rPr>
        <w:t>Notifíquese</w:t>
      </w:r>
      <w:r w:rsidRPr="00A86379">
        <w:rPr>
          <w:rFonts w:ascii="Palatino Linotype" w:hAnsi="Palatino Linotype" w:cs="Arial"/>
          <w:i/>
          <w:sz w:val="24"/>
          <w:szCs w:val="24"/>
          <w:lang w:val="es-ES_tradnl"/>
        </w:rPr>
        <w:t xml:space="preserve"> </w:t>
      </w:r>
      <w:r w:rsidRPr="00A86379">
        <w:rPr>
          <w:rFonts w:ascii="Palatino Linotype" w:hAnsi="Palatino Linotype" w:cs="Arial"/>
          <w:sz w:val="24"/>
          <w:szCs w:val="24"/>
          <w:lang w:val="es-ES_tradnl"/>
        </w:rPr>
        <w:t>la presente resolución al Titular de la Unidad de Transparencia del</w:t>
      </w:r>
      <w:r w:rsidRPr="00A86379">
        <w:rPr>
          <w:rFonts w:ascii="Palatino Linotype" w:hAnsi="Palatino Linotype" w:cs="Arial"/>
          <w:b/>
          <w:sz w:val="24"/>
          <w:szCs w:val="24"/>
          <w:lang w:val="es-ES_tradnl"/>
        </w:rPr>
        <w:t xml:space="preserve"> </w:t>
      </w:r>
      <w:r w:rsidR="00F03201">
        <w:rPr>
          <w:rFonts w:ascii="Palatino Linotype" w:hAnsi="Palatino Linotype" w:cs="Arial"/>
          <w:b/>
          <w:sz w:val="24"/>
          <w:szCs w:val="24"/>
          <w:lang w:val="es-ES_tradnl"/>
        </w:rPr>
        <w:t>s</w:t>
      </w:r>
      <w:r w:rsidRPr="00A86379">
        <w:rPr>
          <w:rFonts w:ascii="Palatino Linotype" w:hAnsi="Palatino Linotype" w:cs="Arial"/>
          <w:b/>
          <w:sz w:val="24"/>
          <w:szCs w:val="24"/>
          <w:lang w:val="es-ES_tradnl"/>
        </w:rPr>
        <w:t xml:space="preserve">ujeto </w:t>
      </w:r>
      <w:r w:rsidR="00F03201">
        <w:rPr>
          <w:rFonts w:ascii="Palatino Linotype" w:hAnsi="Palatino Linotype" w:cs="Arial"/>
          <w:b/>
          <w:sz w:val="24"/>
          <w:szCs w:val="24"/>
          <w:lang w:val="es-ES_tradnl"/>
        </w:rPr>
        <w:t>o</w:t>
      </w:r>
      <w:r w:rsidRPr="00A86379">
        <w:rPr>
          <w:rFonts w:ascii="Palatino Linotype" w:hAnsi="Palatino Linotype" w:cs="Arial"/>
          <w:b/>
          <w:sz w:val="24"/>
          <w:szCs w:val="24"/>
          <w:lang w:val="es-ES_tradnl"/>
        </w:rPr>
        <w:t>bligado</w:t>
      </w:r>
      <w:r w:rsidRPr="00A86379">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49505016" w14:textId="50473878" w:rsidR="00202227" w:rsidRPr="00A86379" w:rsidRDefault="00202227" w:rsidP="00202227">
      <w:pPr>
        <w:autoSpaceDE w:val="0"/>
        <w:autoSpaceDN w:val="0"/>
        <w:adjustRightInd w:val="0"/>
        <w:spacing w:before="240" w:after="240" w:line="360" w:lineRule="auto"/>
        <w:jc w:val="both"/>
        <w:divId w:val="689375240"/>
        <w:rPr>
          <w:rFonts w:ascii="Palatino Linotype" w:hAnsi="Palatino Linotype" w:cs="Arial"/>
          <w:sz w:val="24"/>
          <w:szCs w:val="24"/>
          <w:lang w:val="es-ES_tradnl"/>
        </w:rPr>
      </w:pPr>
      <w:r w:rsidRPr="00A86379">
        <w:rPr>
          <w:rFonts w:ascii="Palatino Linotype" w:hAnsi="Palatino Linotype" w:cs="Arial"/>
          <w:b/>
          <w:sz w:val="28"/>
          <w:szCs w:val="24"/>
          <w:lang w:val="es-ES_tradnl"/>
        </w:rPr>
        <w:t xml:space="preserve">CUARTO. </w:t>
      </w:r>
      <w:r w:rsidR="00F03201" w:rsidRPr="00A86379">
        <w:rPr>
          <w:rFonts w:ascii="Palatino Linotype" w:hAnsi="Palatino Linotype" w:cs="Arial"/>
          <w:b/>
          <w:sz w:val="24"/>
          <w:szCs w:val="24"/>
          <w:lang w:val="es-ES_tradnl"/>
        </w:rPr>
        <w:t xml:space="preserve">Notifíquese </w:t>
      </w:r>
      <w:r w:rsidRPr="00A86379">
        <w:rPr>
          <w:rFonts w:ascii="Palatino Linotype" w:hAnsi="Palatino Linotype" w:cs="Arial"/>
          <w:sz w:val="24"/>
          <w:szCs w:val="24"/>
          <w:lang w:val="es-ES_tradnl"/>
        </w:rPr>
        <w:t xml:space="preserve">a la parte </w:t>
      </w:r>
      <w:r w:rsidR="00F03201">
        <w:rPr>
          <w:rFonts w:ascii="Palatino Linotype" w:hAnsi="Palatino Linotype" w:cs="Arial"/>
          <w:b/>
          <w:sz w:val="24"/>
          <w:szCs w:val="24"/>
          <w:lang w:val="es-ES_tradnl"/>
        </w:rPr>
        <w:t>r</w:t>
      </w:r>
      <w:r w:rsidRPr="00A86379">
        <w:rPr>
          <w:rFonts w:ascii="Palatino Linotype" w:hAnsi="Palatino Linotype" w:cs="Arial"/>
          <w:b/>
          <w:sz w:val="24"/>
          <w:szCs w:val="24"/>
          <w:lang w:val="es-ES_tradnl"/>
        </w:rPr>
        <w:t xml:space="preserve">ecurrente </w:t>
      </w:r>
      <w:r w:rsidRPr="00A86379">
        <w:rPr>
          <w:rFonts w:ascii="Palatino Linotype" w:hAnsi="Palatino Linotype" w:cs="Arial"/>
          <w:sz w:val="24"/>
          <w:szCs w:val="24"/>
          <w:lang w:val="es-ES_tradnl"/>
        </w:rPr>
        <w:t xml:space="preserve">la presente resolución y hágase de su conocimiento que en caso de considerar que le causa algún perjuicio, podrá promover el Juicio de Amparo en los términos de las leyes aplicables, </w:t>
      </w:r>
      <w:r w:rsidR="00F46B5E" w:rsidRPr="00A86379">
        <w:rPr>
          <w:rFonts w:ascii="Palatino Linotype" w:hAnsi="Palatino Linotype" w:cs="Arial"/>
          <w:sz w:val="24"/>
          <w:szCs w:val="24"/>
          <w:lang w:val="es-ES_tradnl"/>
        </w:rPr>
        <w:t>de acuerdo con</w:t>
      </w:r>
      <w:r w:rsidRPr="00A86379">
        <w:rPr>
          <w:rFonts w:ascii="Palatino Linotype" w:hAnsi="Palatino Linotype" w:cs="Arial"/>
          <w:sz w:val="24"/>
          <w:szCs w:val="24"/>
          <w:lang w:val="es-ES_tradnl"/>
        </w:rPr>
        <w:t xml:space="preserve"> lo estipulado por el artículo 196, de la Ley de Transparencia y Acceso a la Información Pública del Estado de México y Municipios.</w:t>
      </w:r>
    </w:p>
    <w:p w14:paraId="291D35FC" w14:textId="6D6541BC" w:rsidR="00202227" w:rsidRPr="00A86379" w:rsidRDefault="00202227" w:rsidP="00202227">
      <w:pPr>
        <w:autoSpaceDE w:val="0"/>
        <w:autoSpaceDN w:val="0"/>
        <w:adjustRightInd w:val="0"/>
        <w:spacing w:before="240" w:after="240" w:line="360" w:lineRule="auto"/>
        <w:jc w:val="both"/>
        <w:divId w:val="689375240"/>
        <w:rPr>
          <w:rFonts w:ascii="Palatino Linotype" w:eastAsia="MS Mincho" w:hAnsi="Palatino Linotype" w:cs="Times New Roman"/>
          <w:sz w:val="24"/>
          <w:lang w:val="es-ES_tradnl"/>
        </w:rPr>
      </w:pPr>
      <w:r w:rsidRPr="00A86379">
        <w:rPr>
          <w:rFonts w:ascii="Palatino Linotype" w:eastAsia="Times New Roman" w:hAnsi="Palatino Linotype" w:cs="Arial"/>
          <w:b/>
          <w:sz w:val="28"/>
          <w:szCs w:val="24"/>
          <w:lang w:val="es-ES_tradnl" w:eastAsia="es-ES"/>
        </w:rPr>
        <w:t xml:space="preserve">QUINTO. </w:t>
      </w:r>
      <w:r w:rsidR="00F03201" w:rsidRPr="00A86379">
        <w:rPr>
          <w:rFonts w:ascii="Palatino Linotype" w:eastAsia="Times New Roman" w:hAnsi="Palatino Linotype" w:cs="Arial"/>
          <w:b/>
          <w:sz w:val="24"/>
          <w:szCs w:val="24"/>
          <w:lang w:val="es-ES_tradnl" w:eastAsia="es-ES"/>
        </w:rPr>
        <w:t>Gírese</w:t>
      </w:r>
      <w:r w:rsidRPr="00A86379">
        <w:rPr>
          <w:rFonts w:ascii="Palatino Linotype" w:eastAsia="MS Mincho" w:hAnsi="Palatino Linotype" w:cs="Times New Roman"/>
          <w:sz w:val="24"/>
          <w:lang w:val="es-ES_tradnl"/>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00F03201">
        <w:rPr>
          <w:rFonts w:ascii="Palatino Linotype" w:eastAsia="MS Mincho" w:hAnsi="Palatino Linotype" w:cs="Times New Roman"/>
          <w:sz w:val="24"/>
          <w:lang w:val="es-ES_tradnl"/>
        </w:rPr>
        <w:t>c</w:t>
      </w:r>
      <w:r w:rsidRPr="00A86379">
        <w:rPr>
          <w:rFonts w:ascii="Palatino Linotype" w:eastAsia="MS Mincho" w:hAnsi="Palatino Linotype" w:cs="Times New Roman"/>
          <w:sz w:val="24"/>
          <w:lang w:val="es-ES_tradnl"/>
        </w:rPr>
        <w:t xml:space="preserve">onsiderando </w:t>
      </w:r>
      <w:r w:rsidR="00F03201">
        <w:rPr>
          <w:rFonts w:ascii="Palatino Linotype" w:eastAsia="MS Mincho" w:hAnsi="Palatino Linotype" w:cs="Times New Roman"/>
          <w:b/>
          <w:sz w:val="24"/>
          <w:lang w:val="es-ES_tradnl"/>
        </w:rPr>
        <w:t>c</w:t>
      </w:r>
      <w:r w:rsidRPr="00A86379">
        <w:rPr>
          <w:rFonts w:ascii="Palatino Linotype" w:eastAsia="MS Mincho" w:hAnsi="Palatino Linotype" w:cs="Times New Roman"/>
          <w:b/>
          <w:sz w:val="24"/>
          <w:lang w:val="es-ES_tradnl"/>
        </w:rPr>
        <w:t xml:space="preserve">uarto </w:t>
      </w:r>
      <w:r w:rsidRPr="00A86379">
        <w:rPr>
          <w:rFonts w:ascii="Palatino Linotype" w:eastAsia="MS Mincho" w:hAnsi="Palatino Linotype" w:cs="Times New Roman"/>
          <w:sz w:val="24"/>
          <w:lang w:val="es-ES_tradnl"/>
        </w:rPr>
        <w:t xml:space="preserve">de la presente resolución. </w:t>
      </w:r>
    </w:p>
    <w:p w14:paraId="60ACBDCA" w14:textId="09523332" w:rsidR="00202227" w:rsidRPr="00A86379" w:rsidRDefault="00202227" w:rsidP="00202227">
      <w:pPr>
        <w:autoSpaceDE w:val="0"/>
        <w:autoSpaceDN w:val="0"/>
        <w:adjustRightInd w:val="0"/>
        <w:spacing w:before="240" w:after="240" w:line="360" w:lineRule="auto"/>
        <w:jc w:val="both"/>
        <w:divId w:val="689375240"/>
        <w:rPr>
          <w:lang w:val="es-ES_tradnl"/>
        </w:rPr>
      </w:pPr>
      <w:r w:rsidRPr="00A86379">
        <w:rPr>
          <w:rFonts w:ascii="Palatino Linotype" w:eastAsia="Calibri" w:hAnsi="Palatino Linotype" w:cs="Tahoma"/>
          <w:b/>
          <w:bCs/>
          <w:iCs/>
          <w:sz w:val="28"/>
          <w:szCs w:val="24"/>
          <w:lang w:val="es-ES_tradnl" w:eastAsia="es-ES_tradnl"/>
        </w:rPr>
        <w:t>SEXTO.</w:t>
      </w:r>
      <w:r w:rsidRPr="00A86379">
        <w:rPr>
          <w:rFonts w:ascii="Palatino Linotype" w:eastAsia="Calibri" w:hAnsi="Palatino Linotype" w:cs="Tahoma"/>
          <w:bCs/>
          <w:iCs/>
          <w:sz w:val="28"/>
          <w:szCs w:val="24"/>
          <w:lang w:val="es-ES_tradnl" w:eastAsia="es-ES_tradnl"/>
        </w:rPr>
        <w:t xml:space="preserve"> </w:t>
      </w:r>
      <w:r w:rsidRPr="00A86379">
        <w:rPr>
          <w:rFonts w:ascii="Palatino Linotype" w:eastAsia="Calibri" w:hAnsi="Palatino Linotype" w:cs="Tahoma"/>
          <w:bCs/>
          <w:iCs/>
          <w:sz w:val="24"/>
          <w:szCs w:val="24"/>
          <w:lang w:val="es-ES_tradnl" w:eastAsia="es-ES_tradnl"/>
        </w:rPr>
        <w:t xml:space="preserve">Se hace del conocimiento de la parte </w:t>
      </w:r>
      <w:r w:rsidR="00F03201">
        <w:rPr>
          <w:rFonts w:ascii="Palatino Linotype" w:eastAsia="Calibri" w:hAnsi="Palatino Linotype" w:cs="Tahoma"/>
          <w:b/>
          <w:bCs/>
          <w:iCs/>
          <w:sz w:val="24"/>
          <w:szCs w:val="24"/>
          <w:lang w:val="es-ES_tradnl" w:eastAsia="es-ES_tradnl"/>
        </w:rPr>
        <w:t>r</w:t>
      </w:r>
      <w:r w:rsidRPr="00A86379">
        <w:rPr>
          <w:rFonts w:ascii="Palatino Linotype" w:eastAsia="Calibri" w:hAnsi="Palatino Linotype" w:cs="Tahoma"/>
          <w:b/>
          <w:bCs/>
          <w:iCs/>
          <w:sz w:val="24"/>
          <w:szCs w:val="24"/>
          <w:lang w:val="es-ES_tradnl" w:eastAsia="es-ES_tradnl"/>
        </w:rPr>
        <w:t xml:space="preserve">ecurrente </w:t>
      </w:r>
      <w:r w:rsidRPr="00A86379">
        <w:rPr>
          <w:rFonts w:ascii="Palatino Linotype" w:eastAsia="Calibri" w:hAnsi="Palatino Linotype" w:cs="Tahoma"/>
          <w:bCs/>
          <w:iCs/>
          <w:sz w:val="24"/>
          <w:szCs w:val="24"/>
          <w:lang w:val="es-ES_tradnl" w:eastAsia="es-ES_tradnl"/>
        </w:rPr>
        <w:t xml:space="preserve">que, de conformidad con lo establecido en el artículo 179, párrafo segundo, de la Ley de Transparencia y Acceso a </w:t>
      </w:r>
      <w:r w:rsidRPr="00A86379">
        <w:rPr>
          <w:rFonts w:ascii="Palatino Linotype" w:eastAsia="Calibri" w:hAnsi="Palatino Linotype" w:cs="Tahoma"/>
          <w:bCs/>
          <w:iCs/>
          <w:sz w:val="24"/>
          <w:szCs w:val="24"/>
          <w:lang w:val="es-ES_tradnl" w:eastAsia="es-ES_tradnl"/>
        </w:rPr>
        <w:lastRenderedPageBreak/>
        <w:t xml:space="preserve">la Información Pública del Estado de México y Municipios, tiene derecho a interponer nuevamente Recurso de Revisión ante este Instituto, por la respuesta que proporcione el </w:t>
      </w:r>
      <w:r w:rsidRPr="00A86379">
        <w:rPr>
          <w:rFonts w:ascii="Palatino Linotype" w:eastAsia="Calibri" w:hAnsi="Palatino Linotype" w:cs="Tahoma"/>
          <w:b/>
          <w:bCs/>
          <w:iCs/>
          <w:sz w:val="24"/>
          <w:szCs w:val="24"/>
          <w:lang w:val="es-ES_tradnl" w:eastAsia="es-ES_tradnl"/>
        </w:rPr>
        <w:t>Sujeto Obligado</w:t>
      </w:r>
      <w:r w:rsidRPr="00A86379">
        <w:rPr>
          <w:rFonts w:ascii="Palatino Linotype" w:eastAsia="Calibri" w:hAnsi="Palatino Linotype" w:cs="Tahoma"/>
          <w:bCs/>
          <w:iCs/>
          <w:sz w:val="24"/>
          <w:szCs w:val="24"/>
          <w:lang w:val="es-ES_tradnl" w:eastAsia="es-ES_tradnl"/>
        </w:rPr>
        <w:t>, en cumplimiento a esta Resolución.</w:t>
      </w:r>
      <w:r w:rsidRPr="00A86379">
        <w:rPr>
          <w:lang w:val="es-ES_tradnl"/>
        </w:rPr>
        <w:t xml:space="preserve"> </w:t>
      </w:r>
    </w:p>
    <w:p w14:paraId="5DF9E5E4" w14:textId="6165D744" w:rsidR="00202227" w:rsidRPr="00A86379" w:rsidRDefault="00202227" w:rsidP="00202227">
      <w:pPr>
        <w:autoSpaceDE w:val="0"/>
        <w:autoSpaceDN w:val="0"/>
        <w:adjustRightInd w:val="0"/>
        <w:spacing w:before="240" w:after="240" w:line="360" w:lineRule="auto"/>
        <w:jc w:val="both"/>
        <w:divId w:val="689375240"/>
        <w:rPr>
          <w:lang w:val="es-ES_tradnl"/>
        </w:rPr>
      </w:pPr>
      <w:r w:rsidRPr="00A86379">
        <w:rPr>
          <w:rFonts w:ascii="Palatino Linotype" w:eastAsia="Calibri" w:hAnsi="Palatino Linotype" w:cs="Tahoma"/>
          <w:b/>
          <w:bCs/>
          <w:iCs/>
          <w:sz w:val="28"/>
          <w:szCs w:val="24"/>
          <w:lang w:val="es-ES_tradnl" w:eastAsia="es-ES_tradnl"/>
        </w:rPr>
        <w:t>SÉPTIMO.</w:t>
      </w:r>
      <w:r w:rsidRPr="00A86379">
        <w:rPr>
          <w:rFonts w:ascii="Palatino Linotype" w:eastAsia="Calibri" w:hAnsi="Palatino Linotype" w:cs="Tahoma"/>
          <w:bCs/>
          <w:iCs/>
          <w:sz w:val="24"/>
          <w:szCs w:val="24"/>
          <w:lang w:val="es-ES_tradnl" w:eastAsia="es-ES_tradnl"/>
        </w:rPr>
        <w:t xml:space="preserve"> Con fundamento en el artículo 198, de la Ley de Transparencia y Acceso a la Información Pública del Estado de México y Municipios, se apercibe al </w:t>
      </w:r>
      <w:r w:rsidR="00F03201">
        <w:rPr>
          <w:rFonts w:ascii="Palatino Linotype" w:eastAsia="Calibri" w:hAnsi="Palatino Linotype" w:cs="Tahoma"/>
          <w:b/>
          <w:bCs/>
          <w:iCs/>
          <w:sz w:val="24"/>
          <w:szCs w:val="24"/>
          <w:lang w:val="es-ES_tradnl" w:eastAsia="es-ES_tradnl"/>
        </w:rPr>
        <w:t>s</w:t>
      </w:r>
      <w:r w:rsidRPr="00A86379">
        <w:rPr>
          <w:rFonts w:ascii="Palatino Linotype" w:eastAsia="Calibri" w:hAnsi="Palatino Linotype" w:cs="Tahoma"/>
          <w:b/>
          <w:bCs/>
          <w:iCs/>
          <w:sz w:val="24"/>
          <w:szCs w:val="24"/>
          <w:lang w:val="es-ES_tradnl" w:eastAsia="es-ES_tradnl"/>
        </w:rPr>
        <w:t xml:space="preserve">ujeto </w:t>
      </w:r>
      <w:r w:rsidR="00F03201">
        <w:rPr>
          <w:rFonts w:ascii="Palatino Linotype" w:eastAsia="Calibri" w:hAnsi="Palatino Linotype" w:cs="Tahoma"/>
          <w:b/>
          <w:bCs/>
          <w:iCs/>
          <w:sz w:val="24"/>
          <w:szCs w:val="24"/>
          <w:lang w:val="es-ES_tradnl" w:eastAsia="es-ES_tradnl"/>
        </w:rPr>
        <w:t>o</w:t>
      </w:r>
      <w:r w:rsidRPr="00A86379">
        <w:rPr>
          <w:rFonts w:ascii="Palatino Linotype" w:eastAsia="Calibri" w:hAnsi="Palatino Linotype" w:cs="Tahoma"/>
          <w:b/>
          <w:bCs/>
          <w:iCs/>
          <w:sz w:val="24"/>
          <w:szCs w:val="24"/>
          <w:lang w:val="es-ES_tradnl" w:eastAsia="es-ES_tradnl"/>
        </w:rPr>
        <w:t>bligado</w:t>
      </w:r>
      <w:r w:rsidRPr="00A86379">
        <w:rPr>
          <w:rFonts w:ascii="Palatino Linotype" w:eastAsia="Calibri" w:hAnsi="Palatino Linotype" w:cs="Tahoma"/>
          <w:bCs/>
          <w:iCs/>
          <w:sz w:val="24"/>
          <w:szCs w:val="24"/>
          <w:lang w:val="es-ES_tradnl" w:eastAsia="es-ES_tradnl"/>
        </w:rPr>
        <w:t xml:space="preserve"> a que, en caso de negarse a cumplir la presente resolución o hacerlo de manera parcial, se actuará de conformidad con lo previsto en los artículos 213, 214, 216 y 217, de dicha Ley.</w:t>
      </w:r>
    </w:p>
    <w:p w14:paraId="434DD29C" w14:textId="77777777" w:rsidR="00F03201" w:rsidRDefault="008A3EAB" w:rsidP="00F03201">
      <w:pPr>
        <w:spacing w:after="0" w:line="360" w:lineRule="auto"/>
        <w:jc w:val="both"/>
        <w:divId w:val="689375240"/>
        <w:rPr>
          <w:rFonts w:ascii="Palatino Linotype" w:hAnsi="Palatino Linotype" w:cs="Arial"/>
          <w:sz w:val="24"/>
          <w:szCs w:val="24"/>
          <w:lang w:val="es-ES"/>
        </w:rPr>
      </w:pPr>
      <w:r w:rsidRPr="00661E22">
        <w:rPr>
          <w:rFonts w:ascii="Palatino Linotype" w:hAnsi="Palatino Linotype" w:cs="Arial"/>
          <w:sz w:val="24"/>
          <w:szCs w:val="24"/>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F03201">
        <w:rPr>
          <w:rFonts w:ascii="Palatino Linotype" w:hAnsi="Palatino Linotype" w:cs="Arial"/>
          <w:sz w:val="24"/>
          <w:szCs w:val="24"/>
          <w:lang w:val="es-ES"/>
        </w:rPr>
        <w:t>OCTAVA</w:t>
      </w:r>
      <w:r w:rsidRPr="00661E22">
        <w:rPr>
          <w:rFonts w:ascii="Palatino Linotype" w:hAnsi="Palatino Linotype" w:cs="Arial"/>
          <w:sz w:val="24"/>
          <w:szCs w:val="24"/>
          <w:lang w:val="es-ES"/>
        </w:rPr>
        <w:t xml:space="preserve"> SESIÓN ORDINARIA CELEBRADA EL </w:t>
      </w:r>
      <w:r w:rsidR="00F03201">
        <w:rPr>
          <w:rFonts w:ascii="Palatino Linotype" w:hAnsi="Palatino Linotype" w:cs="Arial"/>
          <w:sz w:val="24"/>
          <w:szCs w:val="24"/>
          <w:lang w:val="es-ES"/>
        </w:rPr>
        <w:t>VEINTISIETE</w:t>
      </w:r>
      <w:r w:rsidRPr="00661E22">
        <w:rPr>
          <w:rFonts w:ascii="Palatino Linotype" w:hAnsi="Palatino Linotype" w:cs="Arial"/>
          <w:sz w:val="24"/>
          <w:szCs w:val="24"/>
          <w:lang w:val="es-ES"/>
        </w:rPr>
        <w:t xml:space="preserve"> DE </w:t>
      </w:r>
      <w:r w:rsidR="00F03201">
        <w:rPr>
          <w:rFonts w:ascii="Palatino Linotype" w:hAnsi="Palatino Linotype" w:cs="Arial"/>
          <w:sz w:val="24"/>
          <w:szCs w:val="24"/>
          <w:lang w:val="es-ES"/>
        </w:rPr>
        <w:t>OCTUBRE</w:t>
      </w:r>
      <w:r w:rsidRPr="00661E22">
        <w:rPr>
          <w:rFonts w:ascii="Palatino Linotype" w:hAnsi="Palatino Linotype" w:cs="Arial"/>
          <w:sz w:val="24"/>
          <w:szCs w:val="24"/>
          <w:lang w:val="es-ES"/>
        </w:rPr>
        <w:t xml:space="preserve"> DE DOS MIL VEINTIUNO, ANTE EL SECRETARIO TÉCNICO DEL PLENO, ALEXIS TAPIA RAMÍREZ.----------------------------------------------------------------- ---------------------------------------------------------------------------------------------------------------------------------------------------------------------------------------------------------------------------------------------------------------------------------------------------------------------------------------------------</w:t>
      </w:r>
      <w:r w:rsidR="00F03201" w:rsidRPr="00661E22">
        <w:rPr>
          <w:rFonts w:ascii="Palatino Linotype" w:hAnsi="Palatino Linotype" w:cs="Arial"/>
          <w:sz w:val="24"/>
          <w:szCs w:val="24"/>
          <w:lang w:val="es-ES"/>
        </w:rPr>
        <w:t>-----------------------------------------------------------------------------------------------------------------</w:t>
      </w:r>
    </w:p>
    <w:p w14:paraId="4F716523" w14:textId="77777777" w:rsidR="00F03201" w:rsidRDefault="00F03201" w:rsidP="00F03201">
      <w:pPr>
        <w:spacing w:after="0" w:line="360" w:lineRule="auto"/>
        <w:jc w:val="both"/>
        <w:divId w:val="689375240"/>
        <w:rPr>
          <w:rFonts w:ascii="Palatino Linotype" w:hAnsi="Palatino Linotype" w:cs="Arial"/>
          <w:sz w:val="24"/>
          <w:szCs w:val="24"/>
          <w:lang w:val="es-ES"/>
        </w:rPr>
      </w:pPr>
      <w:r w:rsidRPr="00661E22">
        <w:rPr>
          <w:rFonts w:ascii="Palatino Linotype" w:hAnsi="Palatino Linotype" w:cs="Arial"/>
          <w:sz w:val="24"/>
          <w:szCs w:val="24"/>
          <w:lang w:val="es-ES"/>
        </w:rPr>
        <w:t>-----------------------------------------------------------------------------------------------------------------</w:t>
      </w:r>
    </w:p>
    <w:p w14:paraId="7A6FB38B" w14:textId="086EB161" w:rsidR="00F03201" w:rsidRPr="00F03201" w:rsidRDefault="00F03201" w:rsidP="008A3EAB">
      <w:pPr>
        <w:spacing w:after="0" w:line="360" w:lineRule="auto"/>
        <w:jc w:val="both"/>
        <w:divId w:val="689375240"/>
        <w:rPr>
          <w:rFonts w:ascii="Palatino Linotype" w:hAnsi="Palatino Linotype" w:cs="Arial"/>
          <w:sz w:val="18"/>
          <w:szCs w:val="18"/>
          <w:lang w:val="es-ES"/>
        </w:rPr>
      </w:pPr>
      <w:r w:rsidRPr="00F03201">
        <w:rPr>
          <w:rFonts w:ascii="Palatino Linotype" w:hAnsi="Palatino Linotype" w:cs="Arial"/>
          <w:sz w:val="18"/>
          <w:szCs w:val="18"/>
          <w:lang w:val="es-ES"/>
        </w:rPr>
        <w:t>JMV/CCR/MAEM</w:t>
      </w:r>
    </w:p>
    <w:p w14:paraId="654C2DA0" w14:textId="77777777" w:rsidR="00F03201" w:rsidRPr="00661E22" w:rsidRDefault="00F03201" w:rsidP="008A3EAB">
      <w:pPr>
        <w:spacing w:after="0" w:line="360" w:lineRule="auto"/>
        <w:jc w:val="both"/>
        <w:divId w:val="689375240"/>
        <w:rPr>
          <w:rFonts w:ascii="Palatino Linotype" w:hAnsi="Palatino Linotype" w:cs="Arial"/>
          <w:sz w:val="24"/>
          <w:szCs w:val="24"/>
          <w:lang w:val="es-ES"/>
        </w:rPr>
      </w:pPr>
    </w:p>
    <w:p w14:paraId="5A2C9589" w14:textId="57E95A29" w:rsidR="00DD13E2" w:rsidRPr="00661E22" w:rsidRDefault="00DD13E2" w:rsidP="008A3EAB">
      <w:pPr>
        <w:spacing w:before="240" w:after="240" w:line="360" w:lineRule="auto"/>
        <w:jc w:val="both"/>
        <w:divId w:val="689375240"/>
        <w:rPr>
          <w:lang w:val="es-ES"/>
        </w:rPr>
      </w:pPr>
    </w:p>
    <w:sectPr w:rsidR="00DD13E2" w:rsidRPr="00661E22" w:rsidSect="00E15E8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3EB19" w14:textId="77777777" w:rsidR="00B37FD0" w:rsidRDefault="00B37FD0" w:rsidP="00E15E85">
      <w:pPr>
        <w:spacing w:after="0" w:line="240" w:lineRule="auto"/>
      </w:pPr>
      <w:r>
        <w:separator/>
      </w:r>
    </w:p>
  </w:endnote>
  <w:endnote w:type="continuationSeparator" w:id="0">
    <w:p w14:paraId="3C3F84CA" w14:textId="77777777" w:rsidR="00B37FD0" w:rsidRDefault="00B37FD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6450">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C6450">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645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C6450">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19603" w14:textId="77777777" w:rsidR="00B37FD0" w:rsidRDefault="00B37FD0" w:rsidP="00E15E85">
      <w:pPr>
        <w:spacing w:after="0" w:line="240" w:lineRule="auto"/>
      </w:pPr>
      <w:r>
        <w:separator/>
      </w:r>
    </w:p>
  </w:footnote>
  <w:footnote w:type="continuationSeparator" w:id="0">
    <w:p w14:paraId="352C014F" w14:textId="77777777" w:rsidR="00B37FD0" w:rsidRDefault="00B37FD0" w:rsidP="00E15E85">
      <w:pPr>
        <w:spacing w:after="0" w:line="240" w:lineRule="auto"/>
      </w:pPr>
      <w:r>
        <w:continuationSeparator/>
      </w:r>
    </w:p>
  </w:footnote>
  <w:footnote w:id="1">
    <w:p w14:paraId="5B2ED30E" w14:textId="77777777" w:rsidR="00342A4E" w:rsidRPr="00615B4B" w:rsidRDefault="00342A4E" w:rsidP="00342A4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2E63A790" w14:textId="77777777" w:rsidR="00342A4E" w:rsidRPr="00615B4B" w:rsidRDefault="00342A4E" w:rsidP="00342A4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DDCB2AC" w14:textId="77777777" w:rsidR="00B62D69" w:rsidRPr="00B92BC3" w:rsidRDefault="00B62D69" w:rsidP="00B62D69">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26BF5963" w14:textId="77777777" w:rsidR="00B62D69" w:rsidRDefault="00B62D69" w:rsidP="00B62D69">
      <w:pPr>
        <w:pStyle w:val="Textonotapie"/>
        <w:numPr>
          <w:ilvl w:val="0"/>
          <w:numId w:val="28"/>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0FE969DF" w:rsidR="00E15E85" w:rsidRDefault="0000275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C8BA5C8" wp14:editId="5F4B04B8">
          <wp:simplePos x="0" y="0"/>
          <wp:positionH relativeFrom="page">
            <wp:posOffset>-458745</wp:posOffset>
          </wp:positionH>
          <wp:positionV relativeFrom="page">
            <wp:posOffset>37455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5809021A"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0FC49499"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9A0CD7">
            <w:rPr>
              <w:rFonts w:ascii="Palatino Linotype" w:hAnsi="Palatino Linotype" w:cs="Arial"/>
              <w:bCs/>
              <w:sz w:val="24"/>
              <w:lang w:eastAsia="es-MX"/>
            </w:rPr>
            <w:t>456</w:t>
          </w:r>
          <w:r w:rsidR="00D27FCB">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463C3C7D"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4A9656EB" w:rsidR="00E15E85" w:rsidRDefault="009A0CD7" w:rsidP="007444C8">
          <w:pPr>
            <w:spacing w:after="120" w:line="256" w:lineRule="auto"/>
            <w:ind w:left="-486" w:right="214" w:firstLine="284"/>
            <w:jc w:val="right"/>
            <w:rPr>
              <w:rFonts w:ascii="Palatino Linotype" w:hAnsi="Palatino Linotype" w:cs="Arial"/>
              <w:szCs w:val="20"/>
            </w:rPr>
          </w:pPr>
          <w:r w:rsidRPr="009A0CD7">
            <w:rPr>
              <w:rFonts w:ascii="Palatino Linotype" w:hAnsi="Palatino Linotype" w:cs="Arial"/>
              <w:szCs w:val="20"/>
            </w:rPr>
            <w:t>Ayuntamiento de Teoloyucan</w:t>
          </w:r>
        </w:p>
      </w:tc>
    </w:tr>
    <w:tr w:rsidR="00E15E85" w14:paraId="5435A98B" w14:textId="77777777" w:rsidTr="005F32D2">
      <w:trPr>
        <w:trHeight w:val="342"/>
      </w:trPr>
      <w:tc>
        <w:tcPr>
          <w:tcW w:w="4679" w:type="dxa"/>
          <w:hideMark/>
        </w:tcPr>
        <w:p w14:paraId="5D23721C" w14:textId="57FE5CCB"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13E53A93"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9A0CD7">
            <w:rPr>
              <w:rFonts w:ascii="Palatino Linotype" w:hAnsi="Palatino Linotype" w:cs="Arial"/>
              <w:bCs/>
              <w:sz w:val="24"/>
              <w:lang w:eastAsia="es-MX"/>
            </w:rPr>
            <w:t>456</w:t>
          </w:r>
          <w:r w:rsidR="00D27FCB">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F32D2">
      <w:trPr>
        <w:trHeight w:val="196"/>
      </w:trPr>
      <w:tc>
        <w:tcPr>
          <w:tcW w:w="4679" w:type="dxa"/>
          <w:hideMark/>
        </w:tcPr>
        <w:p w14:paraId="0F207CD9" w14:textId="3CFD8BC2"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6E5A7579" w:rsidR="00E15E85" w:rsidRPr="00F06FED" w:rsidRDefault="00BC6450"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E15E85" w14:paraId="3AA51E97" w14:textId="77777777" w:rsidTr="005F32D2">
      <w:trPr>
        <w:trHeight w:val="242"/>
      </w:trPr>
      <w:tc>
        <w:tcPr>
          <w:tcW w:w="4679" w:type="dxa"/>
          <w:hideMark/>
        </w:tcPr>
        <w:p w14:paraId="78F22850" w14:textId="3018A02F"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587BF3A5" w:rsidR="00E15E85" w:rsidRDefault="009A0CD7" w:rsidP="007444C8">
          <w:pPr>
            <w:spacing w:after="120" w:line="256" w:lineRule="auto"/>
            <w:ind w:left="-495" w:right="214" w:firstLine="567"/>
            <w:jc w:val="right"/>
            <w:rPr>
              <w:rFonts w:ascii="Palatino Linotype" w:hAnsi="Palatino Linotype" w:cs="Arial"/>
              <w:szCs w:val="20"/>
            </w:rPr>
          </w:pPr>
          <w:r w:rsidRPr="009A0CD7">
            <w:rPr>
              <w:rFonts w:ascii="Palatino Linotype" w:hAnsi="Palatino Linotype" w:cs="Arial"/>
              <w:szCs w:val="20"/>
            </w:rPr>
            <w:t>Ayuntamiento de Teoloyucan</w:t>
          </w:r>
        </w:p>
      </w:tc>
    </w:tr>
    <w:tr w:rsidR="00E15E85" w14:paraId="4B575BC9" w14:textId="77777777" w:rsidTr="005F32D2">
      <w:trPr>
        <w:trHeight w:val="342"/>
      </w:trPr>
      <w:tc>
        <w:tcPr>
          <w:tcW w:w="4679" w:type="dxa"/>
          <w:hideMark/>
        </w:tcPr>
        <w:p w14:paraId="6B93657D" w14:textId="1428A6E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3BC5E72B" w:rsidR="00E15E85" w:rsidRDefault="0000275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4CFDA06" wp14:editId="52C8F34E">
          <wp:simplePos x="0" y="0"/>
          <wp:positionH relativeFrom="page">
            <wp:posOffset>-540631</wp:posOffset>
          </wp:positionH>
          <wp:positionV relativeFrom="page">
            <wp:posOffset>67006</wp:posOffset>
          </wp:positionV>
          <wp:extent cx="7705725" cy="10048875"/>
          <wp:effectExtent l="0" t="0" r="9525" b="9525"/>
          <wp:wrapNone/>
          <wp:docPr id="6" name="Imagen 6"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7CC4811"/>
    <w:multiLevelType w:val="hybridMultilevel"/>
    <w:tmpl w:val="001EC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nsid w:val="2B18745C"/>
    <w:multiLevelType w:val="hybridMultilevel"/>
    <w:tmpl w:val="618A8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7">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2">
    <w:nsid w:val="53A8162C"/>
    <w:multiLevelType w:val="hybridMultilevel"/>
    <w:tmpl w:val="93942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D6054C"/>
    <w:multiLevelType w:val="hybridMultilevel"/>
    <w:tmpl w:val="EAB6D5BA"/>
    <w:lvl w:ilvl="0" w:tplc="04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11"/>
  </w:num>
  <w:num w:numId="2">
    <w:abstractNumId w:val="24"/>
  </w:num>
  <w:num w:numId="3">
    <w:abstractNumId w:val="5"/>
  </w:num>
  <w:num w:numId="4">
    <w:abstractNumId w:val="31"/>
  </w:num>
  <w:num w:numId="5">
    <w:abstractNumId w:val="25"/>
  </w:num>
  <w:num w:numId="6">
    <w:abstractNumId w:val="16"/>
  </w:num>
  <w:num w:numId="7">
    <w:abstractNumId w:val="18"/>
  </w:num>
  <w:num w:numId="8">
    <w:abstractNumId w:val="23"/>
  </w:num>
  <w:num w:numId="9">
    <w:abstractNumId w:val="32"/>
  </w:num>
  <w:num w:numId="10">
    <w:abstractNumId w:val="17"/>
  </w:num>
  <w:num w:numId="11">
    <w:abstractNumId w:val="12"/>
    <w:lvlOverride w:ilvl="0">
      <w:startOverride w:val="1"/>
    </w:lvlOverride>
    <w:lvlOverride w:ilvl="1"/>
    <w:lvlOverride w:ilvl="2"/>
    <w:lvlOverride w:ilvl="3"/>
    <w:lvlOverride w:ilvl="4"/>
    <w:lvlOverride w:ilvl="5"/>
    <w:lvlOverride w:ilvl="6"/>
    <w:lvlOverride w:ilvl="7"/>
    <w:lvlOverride w:ilvl="8"/>
  </w:num>
  <w:num w:numId="12">
    <w:abstractNumId w:val="27"/>
  </w:num>
  <w:num w:numId="13">
    <w:abstractNumId w:val="30"/>
  </w:num>
  <w:num w:numId="14">
    <w:abstractNumId w:val="0"/>
  </w:num>
  <w:num w:numId="15">
    <w:abstractNumId w:val="12"/>
  </w:num>
  <w:num w:numId="16">
    <w:abstractNumId w:val="8"/>
  </w:num>
  <w:num w:numId="17">
    <w:abstractNumId w:val="29"/>
  </w:num>
  <w:num w:numId="18">
    <w:abstractNumId w:val="3"/>
  </w:num>
  <w:num w:numId="19">
    <w:abstractNumId w:val="26"/>
  </w:num>
  <w:num w:numId="20">
    <w:abstractNumId w:val="6"/>
  </w:num>
  <w:num w:numId="21">
    <w:abstractNumId w:val="15"/>
  </w:num>
  <w:num w:numId="22">
    <w:abstractNumId w:val="14"/>
  </w:num>
  <w:num w:numId="23">
    <w:abstractNumId w:val="20"/>
  </w:num>
  <w:num w:numId="24">
    <w:abstractNumId w:val="7"/>
  </w:num>
  <w:num w:numId="25">
    <w:abstractNumId w:val="2"/>
  </w:num>
  <w:num w:numId="26">
    <w:abstractNumId w:val="21"/>
  </w:num>
  <w:num w:numId="27">
    <w:abstractNumId w:val="4"/>
  </w:num>
  <w:num w:numId="28">
    <w:abstractNumId w:val="19"/>
  </w:num>
  <w:num w:numId="29">
    <w:abstractNumId w:val="10"/>
  </w:num>
  <w:num w:numId="30">
    <w:abstractNumId w:val="9"/>
  </w:num>
  <w:num w:numId="31">
    <w:abstractNumId w:val="28"/>
  </w:num>
  <w:num w:numId="32">
    <w:abstractNumId w:val="22"/>
  </w:num>
  <w:num w:numId="33">
    <w:abstractNumId w:val="1"/>
  </w:num>
  <w:num w:numId="3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22FA"/>
    <w:rsid w:val="0000275A"/>
    <w:rsid w:val="000052B0"/>
    <w:rsid w:val="00005309"/>
    <w:rsid w:val="00013BCB"/>
    <w:rsid w:val="00020EE0"/>
    <w:rsid w:val="0002192B"/>
    <w:rsid w:val="000222F7"/>
    <w:rsid w:val="0003050E"/>
    <w:rsid w:val="000329FD"/>
    <w:rsid w:val="00032CF7"/>
    <w:rsid w:val="00035EDB"/>
    <w:rsid w:val="00035F8F"/>
    <w:rsid w:val="0003747D"/>
    <w:rsid w:val="00041425"/>
    <w:rsid w:val="0004795A"/>
    <w:rsid w:val="00050DB5"/>
    <w:rsid w:val="00052D4F"/>
    <w:rsid w:val="00053ED1"/>
    <w:rsid w:val="000562C4"/>
    <w:rsid w:val="00062CBD"/>
    <w:rsid w:val="00064960"/>
    <w:rsid w:val="000672A8"/>
    <w:rsid w:val="00073973"/>
    <w:rsid w:val="00074A99"/>
    <w:rsid w:val="000751FB"/>
    <w:rsid w:val="0007599B"/>
    <w:rsid w:val="00076643"/>
    <w:rsid w:val="00080E38"/>
    <w:rsid w:val="00081593"/>
    <w:rsid w:val="000817FC"/>
    <w:rsid w:val="00082B75"/>
    <w:rsid w:val="00082DF3"/>
    <w:rsid w:val="00083664"/>
    <w:rsid w:val="00092AE8"/>
    <w:rsid w:val="0009369C"/>
    <w:rsid w:val="000B00E1"/>
    <w:rsid w:val="000B2E9E"/>
    <w:rsid w:val="000B3319"/>
    <w:rsid w:val="000B44D6"/>
    <w:rsid w:val="000B5CA4"/>
    <w:rsid w:val="000B7A46"/>
    <w:rsid w:val="000B7E7A"/>
    <w:rsid w:val="000C4D36"/>
    <w:rsid w:val="000C56D5"/>
    <w:rsid w:val="000C59EE"/>
    <w:rsid w:val="000D23C7"/>
    <w:rsid w:val="000D2C0D"/>
    <w:rsid w:val="000D5294"/>
    <w:rsid w:val="000D7FDC"/>
    <w:rsid w:val="000E2FED"/>
    <w:rsid w:val="000E64FC"/>
    <w:rsid w:val="000E6761"/>
    <w:rsid w:val="000F019E"/>
    <w:rsid w:val="000F0611"/>
    <w:rsid w:val="000F1C8E"/>
    <w:rsid w:val="000F2A0E"/>
    <w:rsid w:val="000F3869"/>
    <w:rsid w:val="000F51C0"/>
    <w:rsid w:val="00115735"/>
    <w:rsid w:val="0011750A"/>
    <w:rsid w:val="00120F8C"/>
    <w:rsid w:val="0012266D"/>
    <w:rsid w:val="00122B28"/>
    <w:rsid w:val="00125254"/>
    <w:rsid w:val="00126661"/>
    <w:rsid w:val="00130D58"/>
    <w:rsid w:val="00131432"/>
    <w:rsid w:val="00132E81"/>
    <w:rsid w:val="00133526"/>
    <w:rsid w:val="00134741"/>
    <w:rsid w:val="00136083"/>
    <w:rsid w:val="00143758"/>
    <w:rsid w:val="001501D2"/>
    <w:rsid w:val="0015550A"/>
    <w:rsid w:val="00155942"/>
    <w:rsid w:val="00167C84"/>
    <w:rsid w:val="001707E3"/>
    <w:rsid w:val="001708B9"/>
    <w:rsid w:val="00171798"/>
    <w:rsid w:val="00171BD5"/>
    <w:rsid w:val="0017540C"/>
    <w:rsid w:val="0018150F"/>
    <w:rsid w:val="001821FA"/>
    <w:rsid w:val="0018251E"/>
    <w:rsid w:val="00183623"/>
    <w:rsid w:val="001906D7"/>
    <w:rsid w:val="00191B38"/>
    <w:rsid w:val="00195489"/>
    <w:rsid w:val="00195991"/>
    <w:rsid w:val="00197169"/>
    <w:rsid w:val="001A32DE"/>
    <w:rsid w:val="001A4535"/>
    <w:rsid w:val="001A7EFC"/>
    <w:rsid w:val="001B066D"/>
    <w:rsid w:val="001B1AE6"/>
    <w:rsid w:val="001B1D16"/>
    <w:rsid w:val="001B3690"/>
    <w:rsid w:val="001B3E5E"/>
    <w:rsid w:val="001C0F7D"/>
    <w:rsid w:val="001C28D0"/>
    <w:rsid w:val="001C3E01"/>
    <w:rsid w:val="001C3F41"/>
    <w:rsid w:val="001C576C"/>
    <w:rsid w:val="001C7069"/>
    <w:rsid w:val="001E0DD6"/>
    <w:rsid w:val="001E3FC4"/>
    <w:rsid w:val="001E5993"/>
    <w:rsid w:val="001E6DE4"/>
    <w:rsid w:val="001F7CBD"/>
    <w:rsid w:val="002019BD"/>
    <w:rsid w:val="00202227"/>
    <w:rsid w:val="002052F6"/>
    <w:rsid w:val="00207283"/>
    <w:rsid w:val="00207FE7"/>
    <w:rsid w:val="00210DAF"/>
    <w:rsid w:val="00214EF7"/>
    <w:rsid w:val="00217E99"/>
    <w:rsid w:val="00223C2F"/>
    <w:rsid w:val="00224181"/>
    <w:rsid w:val="00233D51"/>
    <w:rsid w:val="0024055C"/>
    <w:rsid w:val="00240AD0"/>
    <w:rsid w:val="00241578"/>
    <w:rsid w:val="0025319F"/>
    <w:rsid w:val="00253A3D"/>
    <w:rsid w:val="00253C58"/>
    <w:rsid w:val="00257B00"/>
    <w:rsid w:val="00257D55"/>
    <w:rsid w:val="00260563"/>
    <w:rsid w:val="002606F0"/>
    <w:rsid w:val="0026534C"/>
    <w:rsid w:val="0026693E"/>
    <w:rsid w:val="002677ED"/>
    <w:rsid w:val="00271A1A"/>
    <w:rsid w:val="00272144"/>
    <w:rsid w:val="00272DDD"/>
    <w:rsid w:val="0027329E"/>
    <w:rsid w:val="00274558"/>
    <w:rsid w:val="00275963"/>
    <w:rsid w:val="00283E9A"/>
    <w:rsid w:val="00287512"/>
    <w:rsid w:val="002902D7"/>
    <w:rsid w:val="00293868"/>
    <w:rsid w:val="00294D34"/>
    <w:rsid w:val="00294E65"/>
    <w:rsid w:val="002A0B8E"/>
    <w:rsid w:val="002A1712"/>
    <w:rsid w:val="002A1820"/>
    <w:rsid w:val="002A30B2"/>
    <w:rsid w:val="002A42E4"/>
    <w:rsid w:val="002A6F17"/>
    <w:rsid w:val="002A7397"/>
    <w:rsid w:val="002B05CE"/>
    <w:rsid w:val="002B144D"/>
    <w:rsid w:val="002B1A4F"/>
    <w:rsid w:val="002B1E5E"/>
    <w:rsid w:val="002B5767"/>
    <w:rsid w:val="002B66B2"/>
    <w:rsid w:val="002B6FB7"/>
    <w:rsid w:val="002B78A2"/>
    <w:rsid w:val="002C184F"/>
    <w:rsid w:val="002C42B8"/>
    <w:rsid w:val="002C5AC2"/>
    <w:rsid w:val="002C6BFF"/>
    <w:rsid w:val="002D3785"/>
    <w:rsid w:val="002D5ABE"/>
    <w:rsid w:val="002E2183"/>
    <w:rsid w:val="002F56EC"/>
    <w:rsid w:val="002F6F2F"/>
    <w:rsid w:val="003011A8"/>
    <w:rsid w:val="0030169E"/>
    <w:rsid w:val="003034F4"/>
    <w:rsid w:val="0030350B"/>
    <w:rsid w:val="0030572C"/>
    <w:rsid w:val="00307CD9"/>
    <w:rsid w:val="0031075F"/>
    <w:rsid w:val="00311958"/>
    <w:rsid w:val="00311C5E"/>
    <w:rsid w:val="00313FE3"/>
    <w:rsid w:val="003160E8"/>
    <w:rsid w:val="00317B8A"/>
    <w:rsid w:val="00320C95"/>
    <w:rsid w:val="003261BD"/>
    <w:rsid w:val="00327444"/>
    <w:rsid w:val="00330A95"/>
    <w:rsid w:val="003341B0"/>
    <w:rsid w:val="00334E11"/>
    <w:rsid w:val="00337B49"/>
    <w:rsid w:val="00342A4E"/>
    <w:rsid w:val="00342A59"/>
    <w:rsid w:val="00343929"/>
    <w:rsid w:val="00345C5E"/>
    <w:rsid w:val="0034696E"/>
    <w:rsid w:val="003470B1"/>
    <w:rsid w:val="003474F2"/>
    <w:rsid w:val="0035101A"/>
    <w:rsid w:val="00356CFE"/>
    <w:rsid w:val="00357BFC"/>
    <w:rsid w:val="003617D2"/>
    <w:rsid w:val="00365A3D"/>
    <w:rsid w:val="003800CC"/>
    <w:rsid w:val="00382794"/>
    <w:rsid w:val="00382E48"/>
    <w:rsid w:val="00385299"/>
    <w:rsid w:val="0039084D"/>
    <w:rsid w:val="00392655"/>
    <w:rsid w:val="00393E8B"/>
    <w:rsid w:val="00394CC7"/>
    <w:rsid w:val="003A5077"/>
    <w:rsid w:val="003B465B"/>
    <w:rsid w:val="003B5697"/>
    <w:rsid w:val="003C33FE"/>
    <w:rsid w:val="003C5897"/>
    <w:rsid w:val="003C6897"/>
    <w:rsid w:val="003D2894"/>
    <w:rsid w:val="003E0B2F"/>
    <w:rsid w:val="003E2AE6"/>
    <w:rsid w:val="003E5264"/>
    <w:rsid w:val="003F1C78"/>
    <w:rsid w:val="003F6C6C"/>
    <w:rsid w:val="00401712"/>
    <w:rsid w:val="00411827"/>
    <w:rsid w:val="00415CBE"/>
    <w:rsid w:val="00415ED7"/>
    <w:rsid w:val="0041722B"/>
    <w:rsid w:val="00417B15"/>
    <w:rsid w:val="0042378C"/>
    <w:rsid w:val="004254FE"/>
    <w:rsid w:val="004275EB"/>
    <w:rsid w:val="00436187"/>
    <w:rsid w:val="00437C82"/>
    <w:rsid w:val="00437E85"/>
    <w:rsid w:val="00441A50"/>
    <w:rsid w:val="00444BCE"/>
    <w:rsid w:val="00454C8E"/>
    <w:rsid w:val="004565CD"/>
    <w:rsid w:val="00470583"/>
    <w:rsid w:val="00473BDE"/>
    <w:rsid w:val="004867DE"/>
    <w:rsid w:val="00486FE1"/>
    <w:rsid w:val="00487F76"/>
    <w:rsid w:val="00490BAC"/>
    <w:rsid w:val="004920D8"/>
    <w:rsid w:val="00492244"/>
    <w:rsid w:val="004931E7"/>
    <w:rsid w:val="00497466"/>
    <w:rsid w:val="004A2BFB"/>
    <w:rsid w:val="004A3A97"/>
    <w:rsid w:val="004A4E4D"/>
    <w:rsid w:val="004B0DD1"/>
    <w:rsid w:val="004B174B"/>
    <w:rsid w:val="004C0C26"/>
    <w:rsid w:val="004C3693"/>
    <w:rsid w:val="004D1468"/>
    <w:rsid w:val="004D2991"/>
    <w:rsid w:val="004D352A"/>
    <w:rsid w:val="004D6125"/>
    <w:rsid w:val="004E271B"/>
    <w:rsid w:val="004E3DD9"/>
    <w:rsid w:val="004E3F30"/>
    <w:rsid w:val="004E649E"/>
    <w:rsid w:val="004E6DB3"/>
    <w:rsid w:val="004F05B2"/>
    <w:rsid w:val="004F3EEE"/>
    <w:rsid w:val="004F652A"/>
    <w:rsid w:val="00503418"/>
    <w:rsid w:val="00506012"/>
    <w:rsid w:val="0050780F"/>
    <w:rsid w:val="00511AC9"/>
    <w:rsid w:val="0051435E"/>
    <w:rsid w:val="00520D69"/>
    <w:rsid w:val="0052126A"/>
    <w:rsid w:val="00522FA9"/>
    <w:rsid w:val="005254F9"/>
    <w:rsid w:val="00525513"/>
    <w:rsid w:val="00527856"/>
    <w:rsid w:val="00527C6A"/>
    <w:rsid w:val="00531D07"/>
    <w:rsid w:val="005329E8"/>
    <w:rsid w:val="005407FF"/>
    <w:rsid w:val="00541FE3"/>
    <w:rsid w:val="00546F0D"/>
    <w:rsid w:val="00555FF1"/>
    <w:rsid w:val="005733EB"/>
    <w:rsid w:val="00574CEC"/>
    <w:rsid w:val="0057576D"/>
    <w:rsid w:val="0058641D"/>
    <w:rsid w:val="005A7D62"/>
    <w:rsid w:val="005B1DF4"/>
    <w:rsid w:val="005B7D33"/>
    <w:rsid w:val="005D0023"/>
    <w:rsid w:val="005D17CF"/>
    <w:rsid w:val="005D2F94"/>
    <w:rsid w:val="005D3545"/>
    <w:rsid w:val="005E4E2F"/>
    <w:rsid w:val="005E601C"/>
    <w:rsid w:val="005E61EA"/>
    <w:rsid w:val="005F014F"/>
    <w:rsid w:val="005F27DF"/>
    <w:rsid w:val="005F32D2"/>
    <w:rsid w:val="005F4C74"/>
    <w:rsid w:val="00605599"/>
    <w:rsid w:val="006061EB"/>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297F"/>
    <w:rsid w:val="006435BE"/>
    <w:rsid w:val="00646213"/>
    <w:rsid w:val="00650FCE"/>
    <w:rsid w:val="006527F3"/>
    <w:rsid w:val="006539D6"/>
    <w:rsid w:val="00653B08"/>
    <w:rsid w:val="00654533"/>
    <w:rsid w:val="00654B56"/>
    <w:rsid w:val="00661E22"/>
    <w:rsid w:val="00664C93"/>
    <w:rsid w:val="00664CA7"/>
    <w:rsid w:val="00664E3A"/>
    <w:rsid w:val="00667DE6"/>
    <w:rsid w:val="00673CFD"/>
    <w:rsid w:val="00680423"/>
    <w:rsid w:val="006866FB"/>
    <w:rsid w:val="00687654"/>
    <w:rsid w:val="00690A52"/>
    <w:rsid w:val="006940E8"/>
    <w:rsid w:val="006A1167"/>
    <w:rsid w:val="006A6A6C"/>
    <w:rsid w:val="006A6F87"/>
    <w:rsid w:val="006B2AF9"/>
    <w:rsid w:val="006B2E10"/>
    <w:rsid w:val="006B5155"/>
    <w:rsid w:val="006C1A4F"/>
    <w:rsid w:val="006C2260"/>
    <w:rsid w:val="006C4A13"/>
    <w:rsid w:val="006C7619"/>
    <w:rsid w:val="006D27AC"/>
    <w:rsid w:val="006D7C07"/>
    <w:rsid w:val="006D7CA8"/>
    <w:rsid w:val="006E09A0"/>
    <w:rsid w:val="006E375A"/>
    <w:rsid w:val="006E4132"/>
    <w:rsid w:val="006F1EF7"/>
    <w:rsid w:val="006F245F"/>
    <w:rsid w:val="006F2EA8"/>
    <w:rsid w:val="006F46D5"/>
    <w:rsid w:val="007003B3"/>
    <w:rsid w:val="00702AB3"/>
    <w:rsid w:val="00703EF7"/>
    <w:rsid w:val="00706F94"/>
    <w:rsid w:val="00707CD8"/>
    <w:rsid w:val="0071132A"/>
    <w:rsid w:val="00712DB8"/>
    <w:rsid w:val="007135C5"/>
    <w:rsid w:val="00713FF9"/>
    <w:rsid w:val="0071577B"/>
    <w:rsid w:val="0071620F"/>
    <w:rsid w:val="007222CB"/>
    <w:rsid w:val="00732C05"/>
    <w:rsid w:val="007366F7"/>
    <w:rsid w:val="00737CA0"/>
    <w:rsid w:val="007444C8"/>
    <w:rsid w:val="00755099"/>
    <w:rsid w:val="00760FAB"/>
    <w:rsid w:val="00762402"/>
    <w:rsid w:val="00763924"/>
    <w:rsid w:val="00765406"/>
    <w:rsid w:val="007660F9"/>
    <w:rsid w:val="007703CB"/>
    <w:rsid w:val="00772FE5"/>
    <w:rsid w:val="0077680C"/>
    <w:rsid w:val="00777AD7"/>
    <w:rsid w:val="00777EDB"/>
    <w:rsid w:val="00784FE7"/>
    <w:rsid w:val="0079194D"/>
    <w:rsid w:val="00793344"/>
    <w:rsid w:val="00793FB4"/>
    <w:rsid w:val="007A0267"/>
    <w:rsid w:val="007A08FB"/>
    <w:rsid w:val="007A1EFA"/>
    <w:rsid w:val="007A31F8"/>
    <w:rsid w:val="007A38E9"/>
    <w:rsid w:val="007A553D"/>
    <w:rsid w:val="007A60F7"/>
    <w:rsid w:val="007B44DF"/>
    <w:rsid w:val="007B5366"/>
    <w:rsid w:val="007B5A19"/>
    <w:rsid w:val="007B7A2B"/>
    <w:rsid w:val="007C1445"/>
    <w:rsid w:val="007C3ED0"/>
    <w:rsid w:val="007C5165"/>
    <w:rsid w:val="007D276C"/>
    <w:rsid w:val="007D297F"/>
    <w:rsid w:val="007D48FA"/>
    <w:rsid w:val="007E2959"/>
    <w:rsid w:val="007E7D01"/>
    <w:rsid w:val="007F5FC9"/>
    <w:rsid w:val="0080557E"/>
    <w:rsid w:val="008265FF"/>
    <w:rsid w:val="00830078"/>
    <w:rsid w:val="008338A8"/>
    <w:rsid w:val="00834F4B"/>
    <w:rsid w:val="0084425F"/>
    <w:rsid w:val="00845C1C"/>
    <w:rsid w:val="00851AC8"/>
    <w:rsid w:val="0085246F"/>
    <w:rsid w:val="00857F9A"/>
    <w:rsid w:val="00860F0A"/>
    <w:rsid w:val="008626ED"/>
    <w:rsid w:val="00871B5D"/>
    <w:rsid w:val="00872278"/>
    <w:rsid w:val="00873D78"/>
    <w:rsid w:val="00873EF8"/>
    <w:rsid w:val="00874446"/>
    <w:rsid w:val="00875499"/>
    <w:rsid w:val="00876A3F"/>
    <w:rsid w:val="008776DA"/>
    <w:rsid w:val="00881D0D"/>
    <w:rsid w:val="008904FC"/>
    <w:rsid w:val="00894CC1"/>
    <w:rsid w:val="00895A18"/>
    <w:rsid w:val="008A0C8F"/>
    <w:rsid w:val="008A12F6"/>
    <w:rsid w:val="008A1EB8"/>
    <w:rsid w:val="008A3EAB"/>
    <w:rsid w:val="008A4CC1"/>
    <w:rsid w:val="008A560C"/>
    <w:rsid w:val="008A630F"/>
    <w:rsid w:val="008A7A86"/>
    <w:rsid w:val="008B0615"/>
    <w:rsid w:val="008B34EC"/>
    <w:rsid w:val="008C2D55"/>
    <w:rsid w:val="008C69FF"/>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152B5"/>
    <w:rsid w:val="0091784E"/>
    <w:rsid w:val="00917901"/>
    <w:rsid w:val="00925375"/>
    <w:rsid w:val="00940804"/>
    <w:rsid w:val="00940EBE"/>
    <w:rsid w:val="00943223"/>
    <w:rsid w:val="00944134"/>
    <w:rsid w:val="0094613F"/>
    <w:rsid w:val="0095157B"/>
    <w:rsid w:val="00951B8D"/>
    <w:rsid w:val="00953FD1"/>
    <w:rsid w:val="00956134"/>
    <w:rsid w:val="00962219"/>
    <w:rsid w:val="00963155"/>
    <w:rsid w:val="00964C9E"/>
    <w:rsid w:val="0097286C"/>
    <w:rsid w:val="00974E91"/>
    <w:rsid w:val="00976A80"/>
    <w:rsid w:val="00980401"/>
    <w:rsid w:val="00982CDE"/>
    <w:rsid w:val="009838CD"/>
    <w:rsid w:val="009845EC"/>
    <w:rsid w:val="00985E6C"/>
    <w:rsid w:val="009877A2"/>
    <w:rsid w:val="00991CC2"/>
    <w:rsid w:val="00992273"/>
    <w:rsid w:val="0099252D"/>
    <w:rsid w:val="00994336"/>
    <w:rsid w:val="00997030"/>
    <w:rsid w:val="009A0459"/>
    <w:rsid w:val="009A0CD7"/>
    <w:rsid w:val="009A423E"/>
    <w:rsid w:val="009A4B31"/>
    <w:rsid w:val="009B4889"/>
    <w:rsid w:val="009B76BF"/>
    <w:rsid w:val="009C2AB7"/>
    <w:rsid w:val="009C75A5"/>
    <w:rsid w:val="009D427C"/>
    <w:rsid w:val="009D4C08"/>
    <w:rsid w:val="009D666C"/>
    <w:rsid w:val="009E3B36"/>
    <w:rsid w:val="009E5649"/>
    <w:rsid w:val="009F0C8C"/>
    <w:rsid w:val="009F286F"/>
    <w:rsid w:val="009F30E4"/>
    <w:rsid w:val="009F4A77"/>
    <w:rsid w:val="009F4D4F"/>
    <w:rsid w:val="009F6268"/>
    <w:rsid w:val="009F7948"/>
    <w:rsid w:val="00A070F4"/>
    <w:rsid w:val="00A11088"/>
    <w:rsid w:val="00A15357"/>
    <w:rsid w:val="00A153E0"/>
    <w:rsid w:val="00A15A43"/>
    <w:rsid w:val="00A15A9C"/>
    <w:rsid w:val="00A21B83"/>
    <w:rsid w:val="00A21DA5"/>
    <w:rsid w:val="00A24793"/>
    <w:rsid w:val="00A253C5"/>
    <w:rsid w:val="00A34786"/>
    <w:rsid w:val="00A34817"/>
    <w:rsid w:val="00A34960"/>
    <w:rsid w:val="00A34A45"/>
    <w:rsid w:val="00A401A6"/>
    <w:rsid w:val="00A41693"/>
    <w:rsid w:val="00A432E8"/>
    <w:rsid w:val="00A447F3"/>
    <w:rsid w:val="00A459D0"/>
    <w:rsid w:val="00A46AA9"/>
    <w:rsid w:val="00A50B67"/>
    <w:rsid w:val="00A70873"/>
    <w:rsid w:val="00A70BE5"/>
    <w:rsid w:val="00A74AE1"/>
    <w:rsid w:val="00A75D74"/>
    <w:rsid w:val="00A77CBE"/>
    <w:rsid w:val="00A80892"/>
    <w:rsid w:val="00A863D6"/>
    <w:rsid w:val="00A92C85"/>
    <w:rsid w:val="00A948EF"/>
    <w:rsid w:val="00AA04B9"/>
    <w:rsid w:val="00AA2733"/>
    <w:rsid w:val="00AA2CB1"/>
    <w:rsid w:val="00AA4163"/>
    <w:rsid w:val="00AA4538"/>
    <w:rsid w:val="00AA5258"/>
    <w:rsid w:val="00AB30EB"/>
    <w:rsid w:val="00AC1215"/>
    <w:rsid w:val="00AC1D50"/>
    <w:rsid w:val="00AC4880"/>
    <w:rsid w:val="00AC5FA1"/>
    <w:rsid w:val="00AD2790"/>
    <w:rsid w:val="00AD52F3"/>
    <w:rsid w:val="00AE063D"/>
    <w:rsid w:val="00AE1180"/>
    <w:rsid w:val="00AE2701"/>
    <w:rsid w:val="00AE6C3B"/>
    <w:rsid w:val="00AE7232"/>
    <w:rsid w:val="00AF2CBB"/>
    <w:rsid w:val="00B020D7"/>
    <w:rsid w:val="00B040DA"/>
    <w:rsid w:val="00B052B4"/>
    <w:rsid w:val="00B10670"/>
    <w:rsid w:val="00B10B28"/>
    <w:rsid w:val="00B10BF8"/>
    <w:rsid w:val="00B11FA7"/>
    <w:rsid w:val="00B12DA8"/>
    <w:rsid w:val="00B13C8E"/>
    <w:rsid w:val="00B165EF"/>
    <w:rsid w:val="00B17A1D"/>
    <w:rsid w:val="00B20422"/>
    <w:rsid w:val="00B221DF"/>
    <w:rsid w:val="00B252F9"/>
    <w:rsid w:val="00B258A2"/>
    <w:rsid w:val="00B2629C"/>
    <w:rsid w:val="00B3134F"/>
    <w:rsid w:val="00B34A6D"/>
    <w:rsid w:val="00B355AB"/>
    <w:rsid w:val="00B36690"/>
    <w:rsid w:val="00B37FD0"/>
    <w:rsid w:val="00B40651"/>
    <w:rsid w:val="00B40C6F"/>
    <w:rsid w:val="00B4167F"/>
    <w:rsid w:val="00B4269D"/>
    <w:rsid w:val="00B43530"/>
    <w:rsid w:val="00B44BB1"/>
    <w:rsid w:val="00B50BD7"/>
    <w:rsid w:val="00B51395"/>
    <w:rsid w:val="00B51AF4"/>
    <w:rsid w:val="00B54578"/>
    <w:rsid w:val="00B553D5"/>
    <w:rsid w:val="00B57A54"/>
    <w:rsid w:val="00B61EAA"/>
    <w:rsid w:val="00B62D69"/>
    <w:rsid w:val="00B66DDA"/>
    <w:rsid w:val="00B67466"/>
    <w:rsid w:val="00B74369"/>
    <w:rsid w:val="00B75085"/>
    <w:rsid w:val="00B75682"/>
    <w:rsid w:val="00B81B30"/>
    <w:rsid w:val="00B828E9"/>
    <w:rsid w:val="00B8412B"/>
    <w:rsid w:val="00B86E3B"/>
    <w:rsid w:val="00B90BC9"/>
    <w:rsid w:val="00B964C6"/>
    <w:rsid w:val="00BA225C"/>
    <w:rsid w:val="00BA2458"/>
    <w:rsid w:val="00BA2908"/>
    <w:rsid w:val="00BA2DC5"/>
    <w:rsid w:val="00BA3098"/>
    <w:rsid w:val="00BA3963"/>
    <w:rsid w:val="00BA3BA6"/>
    <w:rsid w:val="00BA68FA"/>
    <w:rsid w:val="00BB59A5"/>
    <w:rsid w:val="00BC1280"/>
    <w:rsid w:val="00BC1A30"/>
    <w:rsid w:val="00BC1C0A"/>
    <w:rsid w:val="00BC4EF7"/>
    <w:rsid w:val="00BC5F9D"/>
    <w:rsid w:val="00BC6450"/>
    <w:rsid w:val="00BC7291"/>
    <w:rsid w:val="00BD368C"/>
    <w:rsid w:val="00BD3741"/>
    <w:rsid w:val="00BD41F7"/>
    <w:rsid w:val="00BD5907"/>
    <w:rsid w:val="00BD652F"/>
    <w:rsid w:val="00BD6E24"/>
    <w:rsid w:val="00BE35D8"/>
    <w:rsid w:val="00BF1F57"/>
    <w:rsid w:val="00BF25AE"/>
    <w:rsid w:val="00BF2F26"/>
    <w:rsid w:val="00BF6809"/>
    <w:rsid w:val="00C06006"/>
    <w:rsid w:val="00C0684A"/>
    <w:rsid w:val="00C070E4"/>
    <w:rsid w:val="00C079E3"/>
    <w:rsid w:val="00C13508"/>
    <w:rsid w:val="00C13638"/>
    <w:rsid w:val="00C13DE9"/>
    <w:rsid w:val="00C14C33"/>
    <w:rsid w:val="00C16071"/>
    <w:rsid w:val="00C1645F"/>
    <w:rsid w:val="00C203E8"/>
    <w:rsid w:val="00C25BA8"/>
    <w:rsid w:val="00C2624D"/>
    <w:rsid w:val="00C40694"/>
    <w:rsid w:val="00C42AA7"/>
    <w:rsid w:val="00C4357E"/>
    <w:rsid w:val="00C479DF"/>
    <w:rsid w:val="00C546B6"/>
    <w:rsid w:val="00C56A1E"/>
    <w:rsid w:val="00C56C4E"/>
    <w:rsid w:val="00C60690"/>
    <w:rsid w:val="00C63001"/>
    <w:rsid w:val="00C646D6"/>
    <w:rsid w:val="00C6478B"/>
    <w:rsid w:val="00C64C22"/>
    <w:rsid w:val="00C66E70"/>
    <w:rsid w:val="00C74505"/>
    <w:rsid w:val="00C80809"/>
    <w:rsid w:val="00C80AEF"/>
    <w:rsid w:val="00C943CF"/>
    <w:rsid w:val="00CA3C0C"/>
    <w:rsid w:val="00CA5DA8"/>
    <w:rsid w:val="00CA79BC"/>
    <w:rsid w:val="00CA7BDA"/>
    <w:rsid w:val="00CB4F7F"/>
    <w:rsid w:val="00CB6A1B"/>
    <w:rsid w:val="00CD2F09"/>
    <w:rsid w:val="00CD55BD"/>
    <w:rsid w:val="00CD7242"/>
    <w:rsid w:val="00CE0F79"/>
    <w:rsid w:val="00CE424E"/>
    <w:rsid w:val="00CE685B"/>
    <w:rsid w:val="00CE7A1C"/>
    <w:rsid w:val="00CE7C7D"/>
    <w:rsid w:val="00CF077A"/>
    <w:rsid w:val="00CF53DF"/>
    <w:rsid w:val="00CF53F3"/>
    <w:rsid w:val="00CF67D5"/>
    <w:rsid w:val="00CF74A1"/>
    <w:rsid w:val="00D029FC"/>
    <w:rsid w:val="00D10D91"/>
    <w:rsid w:val="00D120B9"/>
    <w:rsid w:val="00D12C09"/>
    <w:rsid w:val="00D12C9D"/>
    <w:rsid w:val="00D15363"/>
    <w:rsid w:val="00D16237"/>
    <w:rsid w:val="00D16778"/>
    <w:rsid w:val="00D22632"/>
    <w:rsid w:val="00D24D84"/>
    <w:rsid w:val="00D25862"/>
    <w:rsid w:val="00D27526"/>
    <w:rsid w:val="00D27FCB"/>
    <w:rsid w:val="00D30D0C"/>
    <w:rsid w:val="00D31874"/>
    <w:rsid w:val="00D31CEA"/>
    <w:rsid w:val="00D352E2"/>
    <w:rsid w:val="00D405E6"/>
    <w:rsid w:val="00D41F41"/>
    <w:rsid w:val="00D46B0B"/>
    <w:rsid w:val="00D55CE4"/>
    <w:rsid w:val="00D56BC3"/>
    <w:rsid w:val="00D62416"/>
    <w:rsid w:val="00D67113"/>
    <w:rsid w:val="00D67629"/>
    <w:rsid w:val="00D70FE3"/>
    <w:rsid w:val="00D74619"/>
    <w:rsid w:val="00D75F50"/>
    <w:rsid w:val="00D81E54"/>
    <w:rsid w:val="00D8485C"/>
    <w:rsid w:val="00D86447"/>
    <w:rsid w:val="00D86881"/>
    <w:rsid w:val="00D874D8"/>
    <w:rsid w:val="00D9010D"/>
    <w:rsid w:val="00D95936"/>
    <w:rsid w:val="00D96638"/>
    <w:rsid w:val="00D97375"/>
    <w:rsid w:val="00DA1E1C"/>
    <w:rsid w:val="00DA598F"/>
    <w:rsid w:val="00DB032D"/>
    <w:rsid w:val="00DB584E"/>
    <w:rsid w:val="00DB6BBE"/>
    <w:rsid w:val="00DB729F"/>
    <w:rsid w:val="00DB731A"/>
    <w:rsid w:val="00DC12D8"/>
    <w:rsid w:val="00DC2682"/>
    <w:rsid w:val="00DC3B85"/>
    <w:rsid w:val="00DC4C5B"/>
    <w:rsid w:val="00DC6685"/>
    <w:rsid w:val="00DD0172"/>
    <w:rsid w:val="00DD06D5"/>
    <w:rsid w:val="00DD0F9F"/>
    <w:rsid w:val="00DD13E2"/>
    <w:rsid w:val="00DD16A6"/>
    <w:rsid w:val="00DD1745"/>
    <w:rsid w:val="00DE0D87"/>
    <w:rsid w:val="00DE34D6"/>
    <w:rsid w:val="00DE404C"/>
    <w:rsid w:val="00DE6EF1"/>
    <w:rsid w:val="00DF5AFA"/>
    <w:rsid w:val="00E001CC"/>
    <w:rsid w:val="00E00AE3"/>
    <w:rsid w:val="00E02B4C"/>
    <w:rsid w:val="00E039B7"/>
    <w:rsid w:val="00E10982"/>
    <w:rsid w:val="00E10DEE"/>
    <w:rsid w:val="00E158AD"/>
    <w:rsid w:val="00E15E85"/>
    <w:rsid w:val="00E168CB"/>
    <w:rsid w:val="00E20DFF"/>
    <w:rsid w:val="00E221C1"/>
    <w:rsid w:val="00E23C7A"/>
    <w:rsid w:val="00E264B7"/>
    <w:rsid w:val="00E30AF5"/>
    <w:rsid w:val="00E30B2C"/>
    <w:rsid w:val="00E34874"/>
    <w:rsid w:val="00E34FA5"/>
    <w:rsid w:val="00E372DA"/>
    <w:rsid w:val="00E44464"/>
    <w:rsid w:val="00E44BBB"/>
    <w:rsid w:val="00E57F62"/>
    <w:rsid w:val="00E623FA"/>
    <w:rsid w:val="00E67313"/>
    <w:rsid w:val="00E70CD8"/>
    <w:rsid w:val="00E738B6"/>
    <w:rsid w:val="00E819A2"/>
    <w:rsid w:val="00E83C46"/>
    <w:rsid w:val="00E8549F"/>
    <w:rsid w:val="00E8593B"/>
    <w:rsid w:val="00E85DB7"/>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551F"/>
    <w:rsid w:val="00EB65D3"/>
    <w:rsid w:val="00EC601F"/>
    <w:rsid w:val="00EC7015"/>
    <w:rsid w:val="00EC7EDE"/>
    <w:rsid w:val="00ED007C"/>
    <w:rsid w:val="00ED3DC4"/>
    <w:rsid w:val="00ED466F"/>
    <w:rsid w:val="00ED5C65"/>
    <w:rsid w:val="00ED6532"/>
    <w:rsid w:val="00ED7C88"/>
    <w:rsid w:val="00EE109E"/>
    <w:rsid w:val="00EE3C39"/>
    <w:rsid w:val="00EE5CB5"/>
    <w:rsid w:val="00EE7CBC"/>
    <w:rsid w:val="00EF2AE9"/>
    <w:rsid w:val="00EF330C"/>
    <w:rsid w:val="00EF5A8D"/>
    <w:rsid w:val="00F03201"/>
    <w:rsid w:val="00F05674"/>
    <w:rsid w:val="00F056AD"/>
    <w:rsid w:val="00F05C9E"/>
    <w:rsid w:val="00F07156"/>
    <w:rsid w:val="00F10E76"/>
    <w:rsid w:val="00F324A3"/>
    <w:rsid w:val="00F3348A"/>
    <w:rsid w:val="00F342A1"/>
    <w:rsid w:val="00F433DC"/>
    <w:rsid w:val="00F46209"/>
    <w:rsid w:val="00F465DC"/>
    <w:rsid w:val="00F46B5E"/>
    <w:rsid w:val="00F65165"/>
    <w:rsid w:val="00F66C2B"/>
    <w:rsid w:val="00F6761B"/>
    <w:rsid w:val="00F72E4A"/>
    <w:rsid w:val="00F73864"/>
    <w:rsid w:val="00F77632"/>
    <w:rsid w:val="00F812A0"/>
    <w:rsid w:val="00F8256D"/>
    <w:rsid w:val="00F84072"/>
    <w:rsid w:val="00F87F64"/>
    <w:rsid w:val="00F9478E"/>
    <w:rsid w:val="00F9756D"/>
    <w:rsid w:val="00FA03E9"/>
    <w:rsid w:val="00FA1E45"/>
    <w:rsid w:val="00FA2877"/>
    <w:rsid w:val="00FA4259"/>
    <w:rsid w:val="00FB12D0"/>
    <w:rsid w:val="00FB16F9"/>
    <w:rsid w:val="00FB42C9"/>
    <w:rsid w:val="00FC2F6B"/>
    <w:rsid w:val="00FD04A9"/>
    <w:rsid w:val="00FD2984"/>
    <w:rsid w:val="00FD2D80"/>
    <w:rsid w:val="00FD3BFD"/>
    <w:rsid w:val="00FD4DB9"/>
    <w:rsid w:val="00FD6335"/>
    <w:rsid w:val="00FE0916"/>
    <w:rsid w:val="00FE2CEA"/>
    <w:rsid w:val="00FE4AEC"/>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5364">
      <w:bodyDiv w:val="1"/>
      <w:marLeft w:val="0"/>
      <w:marRight w:val="0"/>
      <w:marTop w:val="0"/>
      <w:marBottom w:val="0"/>
      <w:divBdr>
        <w:top w:val="none" w:sz="0" w:space="0" w:color="auto"/>
        <w:left w:val="none" w:sz="0" w:space="0" w:color="auto"/>
        <w:bottom w:val="none" w:sz="0" w:space="0" w:color="auto"/>
        <w:right w:val="none" w:sz="0" w:space="0" w:color="auto"/>
      </w:divBdr>
      <w:divsChild>
        <w:div w:id="1396010886">
          <w:marLeft w:val="0"/>
          <w:marRight w:val="0"/>
          <w:marTop w:val="0"/>
          <w:marBottom w:val="0"/>
          <w:divBdr>
            <w:top w:val="none" w:sz="0" w:space="0" w:color="auto"/>
            <w:left w:val="none" w:sz="0" w:space="0" w:color="auto"/>
            <w:bottom w:val="none" w:sz="0" w:space="0" w:color="auto"/>
            <w:right w:val="none" w:sz="0" w:space="0" w:color="auto"/>
          </w:divBdr>
          <w:divsChild>
            <w:div w:id="165630880">
              <w:marLeft w:val="0"/>
              <w:marRight w:val="0"/>
              <w:marTop w:val="0"/>
              <w:marBottom w:val="0"/>
              <w:divBdr>
                <w:top w:val="none" w:sz="0" w:space="0" w:color="auto"/>
                <w:left w:val="none" w:sz="0" w:space="0" w:color="auto"/>
                <w:bottom w:val="none" w:sz="0" w:space="0" w:color="auto"/>
                <w:right w:val="none" w:sz="0" w:space="0" w:color="auto"/>
              </w:divBdr>
              <w:divsChild>
                <w:div w:id="16712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42406811">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182271">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68373426">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10927503">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325">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08320472">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57926077">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 w:id="767238063">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15546353">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287393">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9220365">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72276378">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0125948">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791627489">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4504514">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30526749">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3/lgt/indice/TEOLOYUCAN/art_92_xvii/1.web"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ABA34-9999-47DD-B267-E98AC97EC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1703</TotalTime>
  <Pages>44</Pages>
  <Words>9288</Words>
  <Characters>51087</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117</cp:revision>
  <cp:lastPrinted>2020-02-13T19:37:00Z</cp:lastPrinted>
  <dcterms:created xsi:type="dcterms:W3CDTF">2021-06-12T08:40:00Z</dcterms:created>
  <dcterms:modified xsi:type="dcterms:W3CDTF">2021-11-05T02:51:00Z</dcterms:modified>
</cp:coreProperties>
</file>