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ADA029D"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2409D">
        <w:rPr>
          <w:rFonts w:ascii="Palatino Linotype" w:eastAsia="Times New Roman" w:hAnsi="Palatino Linotype" w:cs="Arial"/>
          <w:color w:val="000000"/>
          <w:sz w:val="24"/>
          <w:szCs w:val="24"/>
          <w:lang w:eastAsia="es-MX"/>
        </w:rPr>
        <w:t>diecinueve</w:t>
      </w:r>
      <w:r w:rsidR="00570AC7">
        <w:rPr>
          <w:rFonts w:ascii="Palatino Linotype" w:eastAsia="Times New Roman" w:hAnsi="Palatino Linotype" w:cs="Arial"/>
          <w:color w:val="000000"/>
          <w:sz w:val="24"/>
          <w:szCs w:val="24"/>
          <w:lang w:eastAsia="es-MX"/>
        </w:rPr>
        <w:t xml:space="preserve"> de mayo de dos mil veintiuno. </w:t>
      </w:r>
      <w:r w:rsidR="002C63C1">
        <w:rPr>
          <w:rFonts w:ascii="Palatino Linotype" w:eastAsia="Times New Roman" w:hAnsi="Palatino Linotype" w:cs="Arial"/>
          <w:color w:val="000000"/>
          <w:sz w:val="24"/>
          <w:szCs w:val="24"/>
          <w:lang w:eastAsia="es-MX"/>
        </w:rPr>
        <w:t xml:space="preserve"> </w:t>
      </w:r>
      <w:r w:rsidR="0016613D">
        <w:rPr>
          <w:rFonts w:ascii="Palatino Linotype" w:eastAsia="Times New Roman" w:hAnsi="Palatino Linotype" w:cs="Arial"/>
          <w:color w:val="000000"/>
          <w:sz w:val="24"/>
          <w:szCs w:val="24"/>
          <w:lang w:eastAsia="es-MX"/>
        </w:rPr>
        <w:t xml:space="preserve"> </w:t>
      </w:r>
    </w:p>
    <w:p w14:paraId="18A34177" w14:textId="61996C8B" w:rsidR="0032409D" w:rsidRPr="0032409D" w:rsidRDefault="0016613D" w:rsidP="0016613D">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32409D">
        <w:rPr>
          <w:rFonts w:ascii="Palatino Linotype" w:hAnsi="Palatino Linotype" w:cs="Arial"/>
          <w:b/>
          <w:sz w:val="24"/>
        </w:rPr>
        <w:t xml:space="preserve">01755/INFOEM/IP/RR/2021, 01763/INFOEM/IP/RR/2021 y 01787/INFOEM/IP/RR/2021, </w:t>
      </w:r>
      <w:r w:rsidR="0032409D">
        <w:rPr>
          <w:rFonts w:ascii="Palatino Linotype" w:hAnsi="Palatino Linotype" w:cs="Arial"/>
          <w:sz w:val="24"/>
        </w:rPr>
        <w:t xml:space="preserve">interpuestos por la </w:t>
      </w:r>
      <w:r w:rsidR="0032409D">
        <w:rPr>
          <w:rFonts w:ascii="Palatino Linotype" w:hAnsi="Palatino Linotype" w:cs="Arial"/>
          <w:b/>
          <w:sz w:val="24"/>
        </w:rPr>
        <w:t xml:space="preserve">C. </w:t>
      </w:r>
      <w:r w:rsidR="00C11468">
        <w:rPr>
          <w:rFonts w:ascii="Palatino Linotype" w:hAnsi="Palatino Linotype" w:cs="Arial"/>
          <w:b/>
          <w:sz w:val="24"/>
        </w:rPr>
        <w:t>xxxxxxxxxxxxxxxxxxx</w:t>
      </w:r>
      <w:bookmarkStart w:id="0" w:name="_GoBack"/>
      <w:bookmarkEnd w:id="0"/>
      <w:r w:rsidR="0032409D">
        <w:rPr>
          <w:rFonts w:ascii="Palatino Linotype" w:hAnsi="Palatino Linotype" w:cs="Arial"/>
          <w:b/>
          <w:sz w:val="24"/>
        </w:rPr>
        <w:t xml:space="preserve">, </w:t>
      </w:r>
      <w:r w:rsidR="0032409D">
        <w:rPr>
          <w:rFonts w:ascii="Palatino Linotype" w:hAnsi="Palatino Linotype" w:cs="Arial"/>
          <w:sz w:val="24"/>
        </w:rPr>
        <w:t xml:space="preserve">en lo subsecuente </w:t>
      </w:r>
      <w:r w:rsidR="0032409D">
        <w:rPr>
          <w:rFonts w:ascii="Palatino Linotype" w:hAnsi="Palatino Linotype" w:cs="Arial"/>
          <w:b/>
          <w:sz w:val="24"/>
        </w:rPr>
        <w:t xml:space="preserve">La Recurrente, </w:t>
      </w:r>
      <w:r w:rsidR="0032409D">
        <w:rPr>
          <w:rFonts w:ascii="Palatino Linotype" w:hAnsi="Palatino Linotype" w:cs="Arial"/>
          <w:sz w:val="24"/>
        </w:rPr>
        <w:t xml:space="preserve">en contra de las respuestas del </w:t>
      </w:r>
      <w:r w:rsidR="0032409D">
        <w:rPr>
          <w:rFonts w:ascii="Palatino Linotype" w:hAnsi="Palatino Linotype" w:cs="Arial"/>
          <w:b/>
          <w:sz w:val="24"/>
        </w:rPr>
        <w:t xml:space="preserve">Ayuntamiento de Santo Tomas, </w:t>
      </w:r>
      <w:r w:rsidR="0032409D">
        <w:rPr>
          <w:rFonts w:ascii="Palatino Linotype" w:hAnsi="Palatino Linotype" w:cs="Arial"/>
          <w:sz w:val="24"/>
        </w:rPr>
        <w:t xml:space="preserve">en lo subsecuente </w:t>
      </w:r>
      <w:r w:rsidR="0032409D">
        <w:rPr>
          <w:rFonts w:ascii="Palatino Linotype" w:hAnsi="Palatino Linotype" w:cs="Arial"/>
          <w:b/>
          <w:sz w:val="24"/>
        </w:rPr>
        <w:t xml:space="preserve">El Sujeto Obligado, </w:t>
      </w:r>
      <w:r w:rsidR="0032409D">
        <w:rPr>
          <w:rFonts w:ascii="Palatino Linotype" w:hAnsi="Palatino Linotype" w:cs="Arial"/>
          <w:sz w:val="24"/>
        </w:rPr>
        <w:t xml:space="preserve">se procede a dictar la presente resolución. </w:t>
      </w:r>
    </w:p>
    <w:p w14:paraId="41ABBC62" w14:textId="77777777" w:rsidR="00570AC7" w:rsidRDefault="00570AC7" w:rsidP="0016613D">
      <w:pPr>
        <w:spacing w:before="240" w:after="240" w:line="360" w:lineRule="auto"/>
        <w:jc w:val="center"/>
        <w:rPr>
          <w:rFonts w:ascii="Palatino Linotype" w:hAnsi="Palatino Linotype"/>
          <w:b/>
          <w:sz w:val="28"/>
        </w:rPr>
      </w:pPr>
    </w:p>
    <w:p w14:paraId="6E6BBFB3" w14:textId="77777777" w:rsidR="0016613D" w:rsidRPr="00D3218F" w:rsidRDefault="0016613D" w:rsidP="0016613D">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6A63B07" w14:textId="77777777" w:rsidR="0016613D" w:rsidRPr="00D3218F" w:rsidRDefault="0016613D" w:rsidP="0016613D">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4B2D54EC" w14:textId="2D5E1A5E" w:rsidR="0032409D" w:rsidRPr="0032409D" w:rsidRDefault="0016613D" w:rsidP="0016613D">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32409D">
        <w:rPr>
          <w:rFonts w:ascii="Palatino Linotype" w:hAnsi="Palatino Linotype" w:cs="Arial"/>
          <w:sz w:val="24"/>
        </w:rPr>
        <w:t xml:space="preserve">dieciséis de marzo de dos mil veintiuno, </w:t>
      </w:r>
      <w:r w:rsidR="0032409D">
        <w:rPr>
          <w:rFonts w:ascii="Palatino Linotype" w:hAnsi="Palatino Linotype" w:cs="Arial"/>
          <w:b/>
          <w:sz w:val="24"/>
        </w:rPr>
        <w:t xml:space="preserve">La Recurrente, </w:t>
      </w:r>
      <w:r w:rsidR="00570AC7" w:rsidRPr="00D3218F">
        <w:rPr>
          <w:rFonts w:ascii="Palatino Linotype" w:hAnsi="Palatino Linotype" w:cs="Arial"/>
          <w:sz w:val="24"/>
        </w:rPr>
        <w:t>presentó a través del Sistema de Acceso a la Información Mexiquense (</w:t>
      </w:r>
      <w:r w:rsidR="00570AC7" w:rsidRPr="00D3218F">
        <w:rPr>
          <w:rFonts w:ascii="Palatino Linotype" w:hAnsi="Palatino Linotype" w:cs="Arial"/>
          <w:b/>
          <w:sz w:val="24"/>
        </w:rPr>
        <w:t>SAIMEX)</w:t>
      </w:r>
      <w:r w:rsidR="00570AC7" w:rsidRPr="00D3218F">
        <w:rPr>
          <w:rFonts w:ascii="Palatino Linotype" w:hAnsi="Palatino Linotype" w:cs="Arial"/>
          <w:sz w:val="24"/>
        </w:rPr>
        <w:t xml:space="preserve"> ante </w:t>
      </w:r>
      <w:r w:rsidR="00570AC7" w:rsidRPr="00D3218F">
        <w:rPr>
          <w:rFonts w:ascii="Palatino Linotype" w:hAnsi="Palatino Linotype" w:cs="Arial"/>
          <w:b/>
          <w:sz w:val="24"/>
        </w:rPr>
        <w:t>El Sujeto Obligado</w:t>
      </w:r>
      <w:r w:rsidR="00570AC7" w:rsidRPr="00D3218F">
        <w:rPr>
          <w:rFonts w:ascii="Palatino Linotype" w:hAnsi="Palatino Linotype" w:cs="Arial"/>
          <w:sz w:val="24"/>
        </w:rPr>
        <w:t>, las solicitudes de acceso a la información pública, registradas bajo los números de expediente</w:t>
      </w:r>
      <w:r w:rsidR="00570AC7">
        <w:rPr>
          <w:rFonts w:ascii="Palatino Linotype" w:hAnsi="Palatino Linotype" w:cs="Arial"/>
          <w:sz w:val="24"/>
        </w:rPr>
        <w:t xml:space="preserve"> </w:t>
      </w:r>
      <w:r w:rsidR="0032409D">
        <w:rPr>
          <w:rFonts w:ascii="Palatino Linotype" w:hAnsi="Palatino Linotype" w:cs="Arial"/>
          <w:b/>
          <w:sz w:val="24"/>
        </w:rPr>
        <w:t xml:space="preserve">00033/SANTOTOM/IP/2021, 00032/SANTOTOM/IP/2021 y 00029/SANTOTOM/IP/2021, </w:t>
      </w:r>
      <w:r w:rsidR="0032409D">
        <w:rPr>
          <w:rFonts w:ascii="Palatino Linotype" w:hAnsi="Palatino Linotype" w:cs="Arial"/>
          <w:sz w:val="24"/>
        </w:rPr>
        <w:t xml:space="preserve">mediante las cuales solicitó información en el tenor siguiente: </w:t>
      </w:r>
    </w:p>
    <w:p w14:paraId="4F4EB259" w14:textId="77777777" w:rsidR="0032409D" w:rsidRDefault="0032409D" w:rsidP="0016613D">
      <w:pPr>
        <w:spacing w:before="240" w:line="360" w:lineRule="auto"/>
        <w:jc w:val="both"/>
        <w:rPr>
          <w:rFonts w:ascii="Palatino Linotype" w:hAnsi="Palatino Linotype" w:cs="Arial"/>
          <w:sz w:val="24"/>
        </w:rPr>
      </w:pPr>
    </w:p>
    <w:p w14:paraId="2B9D4EB2" w14:textId="77777777" w:rsidR="0032409D" w:rsidRDefault="0032409D" w:rsidP="0016613D">
      <w:pPr>
        <w:spacing w:before="240" w:line="360" w:lineRule="auto"/>
        <w:jc w:val="both"/>
        <w:rPr>
          <w:rFonts w:ascii="Palatino Linotype" w:hAnsi="Palatino Linotype" w:cs="Arial"/>
          <w:b/>
          <w:sz w:val="24"/>
        </w:rPr>
      </w:pPr>
      <w:r>
        <w:rPr>
          <w:rFonts w:ascii="Palatino Linotype" w:hAnsi="Palatino Linotype" w:cs="Arial"/>
          <w:b/>
          <w:sz w:val="24"/>
        </w:rPr>
        <w:lastRenderedPageBreak/>
        <w:t>00033/SANTOTOM/IP/2021</w:t>
      </w:r>
    </w:p>
    <w:p w14:paraId="0F33F43E" w14:textId="72C436F4" w:rsidR="0032409D" w:rsidRDefault="0032409D" w:rsidP="0032409D">
      <w:pPr>
        <w:pStyle w:val="INFOEM"/>
        <w:rPr>
          <w:b/>
        </w:rPr>
      </w:pPr>
      <w:r>
        <w:t xml:space="preserve">“Solicito todos los contratos celebrados por licitación pública celebrados entre el mes de diciembre de 2019 y el mes de febrero de 2021.” </w:t>
      </w:r>
      <w:r>
        <w:rPr>
          <w:b/>
        </w:rPr>
        <w:t>[Sic]</w:t>
      </w:r>
    </w:p>
    <w:p w14:paraId="6C7D1D02" w14:textId="77777777" w:rsidR="0032409D" w:rsidRPr="0032409D" w:rsidRDefault="0032409D" w:rsidP="0032409D">
      <w:pPr>
        <w:pStyle w:val="INFOEM"/>
        <w:rPr>
          <w:b/>
          <w:sz w:val="24"/>
        </w:rPr>
      </w:pPr>
    </w:p>
    <w:p w14:paraId="3952D081" w14:textId="77777777" w:rsidR="0032409D" w:rsidRDefault="0032409D" w:rsidP="0016613D">
      <w:pPr>
        <w:spacing w:before="240" w:line="360" w:lineRule="auto"/>
        <w:jc w:val="both"/>
        <w:rPr>
          <w:rFonts w:ascii="Palatino Linotype" w:hAnsi="Palatino Linotype" w:cs="Arial"/>
          <w:b/>
          <w:sz w:val="24"/>
        </w:rPr>
      </w:pPr>
      <w:r>
        <w:rPr>
          <w:rFonts w:ascii="Palatino Linotype" w:hAnsi="Palatino Linotype" w:cs="Arial"/>
          <w:b/>
          <w:sz w:val="24"/>
        </w:rPr>
        <w:t xml:space="preserve"> 00032/SANTOTOM/IP/2021 </w:t>
      </w:r>
    </w:p>
    <w:p w14:paraId="572DA9F1" w14:textId="322E7C3E" w:rsidR="0032409D" w:rsidRDefault="0032409D" w:rsidP="0032409D">
      <w:pPr>
        <w:pStyle w:val="INFOEM"/>
        <w:rPr>
          <w:b/>
        </w:rPr>
      </w:pPr>
      <w:r>
        <w:t xml:space="preserve">“Solicito todos los contratos por invitación restringida o análogos, celebrados entre el mes de enero de 2019 y el mes de febrero de 2021.” </w:t>
      </w:r>
      <w:r>
        <w:rPr>
          <w:b/>
        </w:rPr>
        <w:t>[Sic]</w:t>
      </w:r>
    </w:p>
    <w:p w14:paraId="3C612C8B" w14:textId="77777777" w:rsidR="0032409D" w:rsidRPr="0032409D" w:rsidRDefault="0032409D" w:rsidP="0032409D">
      <w:pPr>
        <w:pStyle w:val="INFOEM"/>
        <w:rPr>
          <w:b/>
          <w:sz w:val="24"/>
        </w:rPr>
      </w:pPr>
    </w:p>
    <w:p w14:paraId="191CD7ED" w14:textId="3915AA53" w:rsidR="0032409D" w:rsidRDefault="0032409D" w:rsidP="0016613D">
      <w:pPr>
        <w:spacing w:before="240" w:line="360" w:lineRule="auto"/>
        <w:jc w:val="both"/>
        <w:rPr>
          <w:rFonts w:ascii="Palatino Linotype" w:hAnsi="Palatino Linotype" w:cs="Arial"/>
          <w:b/>
          <w:sz w:val="24"/>
        </w:rPr>
      </w:pPr>
      <w:r>
        <w:rPr>
          <w:rFonts w:ascii="Palatino Linotype" w:hAnsi="Palatino Linotype" w:cs="Arial"/>
          <w:b/>
          <w:sz w:val="24"/>
        </w:rPr>
        <w:t>00029/SANTOTOM/IP/2021</w:t>
      </w:r>
    </w:p>
    <w:p w14:paraId="4E112023" w14:textId="4881CCC4" w:rsidR="0032409D" w:rsidRPr="0032409D" w:rsidRDefault="0032409D" w:rsidP="0032409D">
      <w:pPr>
        <w:pStyle w:val="INFOEM"/>
        <w:rPr>
          <w:b/>
          <w:sz w:val="24"/>
        </w:rPr>
      </w:pPr>
      <w:r>
        <w:t xml:space="preserve">“Solicito todas las cédulas de proveedores o prestador de servicios generadas desde el 1 de enero de 2019 al 1 de febrero de 2021.” </w:t>
      </w:r>
      <w:r>
        <w:rPr>
          <w:b/>
        </w:rPr>
        <w:t>[Sic]</w:t>
      </w:r>
    </w:p>
    <w:p w14:paraId="437046AB" w14:textId="17EB1DB4"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32409D">
        <w:rPr>
          <w:rFonts w:ascii="Palatino Linotype" w:eastAsia="Times New Roman" w:hAnsi="Palatino Linotype" w:cs="Times New Roman"/>
          <w:sz w:val="24"/>
          <w:szCs w:val="24"/>
          <w:lang w:val="es-ES_tradnl" w:eastAsia="es-ES"/>
        </w:rPr>
        <w:t>tres</w:t>
      </w:r>
      <w:r>
        <w:rPr>
          <w:rFonts w:ascii="Palatino Linotype" w:eastAsia="Times New Roman" w:hAnsi="Palatino Linotype" w:cs="Times New Roman"/>
          <w:sz w:val="24"/>
          <w:szCs w:val="24"/>
          <w:lang w:val="es-ES_tradnl" w:eastAsia="es-ES"/>
        </w:rPr>
        <w:t xml:space="preserve"> casos.     </w:t>
      </w:r>
    </w:p>
    <w:p w14:paraId="4553D3F4" w14:textId="77777777"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p>
    <w:p w14:paraId="3BF71C92"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D9CF6BC" w14:textId="627848CA" w:rsidR="00570AC7" w:rsidRDefault="0016613D" w:rsidP="0016613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011356">
        <w:rPr>
          <w:rFonts w:ascii="Palatino Linotype" w:hAnsi="Palatino Linotype" w:cs="Arial"/>
        </w:rPr>
        <w:t xml:space="preserve">coincidentes </w:t>
      </w:r>
      <w:r>
        <w:rPr>
          <w:rFonts w:ascii="Palatino Linotype" w:hAnsi="Palatino Linotype" w:cs="Arial"/>
        </w:rPr>
        <w:t xml:space="preserve">a las solicitudes de información, en fecha </w:t>
      </w:r>
      <w:r w:rsidR="00570AC7">
        <w:rPr>
          <w:rFonts w:ascii="Palatino Linotype" w:hAnsi="Palatino Linotype" w:cs="Arial"/>
        </w:rPr>
        <w:t>doce de abril de dos mil veintiuno, resultando de nuestro interés lo siguiente:</w:t>
      </w:r>
    </w:p>
    <w:p w14:paraId="5599A7D1" w14:textId="77777777" w:rsidR="0032409D" w:rsidRDefault="0032409D" w:rsidP="0016613D">
      <w:pPr>
        <w:pStyle w:val="Prrafodelista"/>
        <w:spacing w:after="240" w:line="360" w:lineRule="auto"/>
        <w:ind w:left="0"/>
        <w:jc w:val="both"/>
        <w:rPr>
          <w:rFonts w:ascii="Palatino Linotype" w:hAnsi="Palatino Linotype" w:cs="Arial"/>
        </w:rPr>
      </w:pPr>
    </w:p>
    <w:p w14:paraId="02C7DBA4" w14:textId="23574C2F" w:rsidR="0032409D" w:rsidRDefault="00422168" w:rsidP="0032409D">
      <w:pPr>
        <w:pStyle w:val="INFOEM"/>
        <w:rPr>
          <w:b/>
          <w:sz w:val="24"/>
        </w:rPr>
      </w:pPr>
      <w:r>
        <w:rPr>
          <w:lang w:eastAsia="es-MX"/>
        </w:rPr>
        <w:lastRenderedPageBreak/>
        <w:t xml:space="preserve"> </w:t>
      </w:r>
      <w:r w:rsidR="0032409D">
        <w:rPr>
          <w:lang w:eastAsia="es-MX"/>
        </w:rPr>
        <w:t xml:space="preserve">“En </w:t>
      </w:r>
      <w:r w:rsidR="0032409D" w:rsidRPr="0032409D">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4841C678" w14:textId="41A1C833" w:rsidR="0032409D" w:rsidRPr="0032409D" w:rsidRDefault="0032409D" w:rsidP="0032409D">
      <w:pPr>
        <w:pStyle w:val="INFOEM"/>
        <w:rPr>
          <w:b/>
          <w:sz w:val="24"/>
        </w:rPr>
      </w:pPr>
      <w:r w:rsidRPr="0032409D">
        <w:rPr>
          <w:lang w:eastAsia="es-MX"/>
        </w:rPr>
        <w:t>2021 Año de la Consumación de la Independencia y la Grandeza de México” Santo Tomás, Estado de México 12 de Abril del 2021 NÚM. DE FOLIO DE SOLICITUD: 00033/SANTOTOM/IP/2021 PETICIONARIO: C. SOLICITANTE DE INFORMACIÓN SUJETO OBLIGADO: 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w:t>
      </w:r>
      <w:r>
        <w:rPr>
          <w:lang w:eastAsia="es-MX"/>
        </w:rPr>
        <w:t xml:space="preserve">” </w:t>
      </w:r>
      <w:r>
        <w:rPr>
          <w:b/>
          <w:lang w:eastAsia="es-MX"/>
        </w:rPr>
        <w:t>[Sic]</w:t>
      </w:r>
    </w:p>
    <w:p w14:paraId="5017AE4A" w14:textId="77777777" w:rsidR="00570AC7" w:rsidRDefault="00570AC7" w:rsidP="0016613D">
      <w:pPr>
        <w:pStyle w:val="Prrafodelista"/>
        <w:spacing w:after="240" w:line="360" w:lineRule="auto"/>
        <w:ind w:left="0"/>
        <w:jc w:val="both"/>
        <w:rPr>
          <w:rFonts w:ascii="Palatino Linotype" w:hAnsi="Palatino Linotype" w:cs="Arial"/>
        </w:rPr>
      </w:pPr>
    </w:p>
    <w:p w14:paraId="3A64742B" w14:textId="53BADEA5" w:rsidR="00011356" w:rsidRDefault="00011356" w:rsidP="0016613D">
      <w:pPr>
        <w:pStyle w:val="Prrafodelista"/>
        <w:spacing w:after="240" w:line="360" w:lineRule="auto"/>
        <w:ind w:left="0"/>
        <w:jc w:val="both"/>
        <w:rPr>
          <w:rFonts w:ascii="Palatino Linotype" w:hAnsi="Palatino Linotype" w:cs="Arial"/>
        </w:rPr>
      </w:pPr>
      <w:r>
        <w:rPr>
          <w:rFonts w:ascii="Palatino Linotype" w:hAnsi="Palatino Linotype" w:cs="Arial"/>
        </w:rPr>
        <w:t xml:space="preserve">De forma complementaria, en los expedientes electrónicos de las solicitudes de información </w:t>
      </w:r>
      <w:r>
        <w:rPr>
          <w:rFonts w:ascii="Palatino Linotype" w:hAnsi="Palatino Linotype" w:cs="Arial"/>
          <w:b/>
        </w:rPr>
        <w:t xml:space="preserve">00033/SANTOTOM/IP/2021, 00032/SANTOTOM/IP/2021 y 00029/SANTOTOM/IP/2021, El Sujeto Obligado </w:t>
      </w:r>
      <w:r>
        <w:rPr>
          <w:rFonts w:ascii="Palatino Linotype" w:hAnsi="Palatino Linotype" w:cs="Arial"/>
        </w:rPr>
        <w:t xml:space="preserve">adjuntó los documentos electrónicos </w:t>
      </w:r>
      <w:r>
        <w:rPr>
          <w:rFonts w:ascii="Palatino Linotype" w:hAnsi="Palatino Linotype" w:cs="Arial"/>
          <w:b/>
        </w:rPr>
        <w:t xml:space="preserve">“RESPUESTA 00033.pdf”, “RESPUESTA 00032.pdf” y “RESPUESTA 00029.pdf”, </w:t>
      </w:r>
      <w:r>
        <w:rPr>
          <w:rFonts w:ascii="Palatino Linotype" w:hAnsi="Palatino Linotype" w:cs="Arial"/>
        </w:rPr>
        <w:t xml:space="preserve">respectivamente, cuyo contenido será materia de </w:t>
      </w:r>
      <w:r w:rsidR="00500A07">
        <w:rPr>
          <w:rFonts w:ascii="Palatino Linotype" w:hAnsi="Palatino Linotype" w:cs="Arial"/>
        </w:rPr>
        <w:t>análisis</w:t>
      </w:r>
      <w:r>
        <w:rPr>
          <w:rFonts w:ascii="Palatino Linotype" w:hAnsi="Palatino Linotype" w:cs="Arial"/>
        </w:rPr>
        <w:t xml:space="preserve"> en el considerando respectivo. </w:t>
      </w:r>
    </w:p>
    <w:p w14:paraId="67126171" w14:textId="77777777" w:rsidR="00422168" w:rsidRPr="00011356" w:rsidRDefault="00422168" w:rsidP="0016613D">
      <w:pPr>
        <w:pStyle w:val="Prrafodelista"/>
        <w:spacing w:after="240" w:line="360" w:lineRule="auto"/>
        <w:ind w:left="0"/>
        <w:jc w:val="both"/>
        <w:rPr>
          <w:rFonts w:ascii="Palatino Linotype" w:hAnsi="Palatino Linotype" w:cs="Arial"/>
        </w:rPr>
      </w:pPr>
    </w:p>
    <w:p w14:paraId="46EE93BA"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0A37B2E0" w14:textId="501B0A62" w:rsidR="00011356" w:rsidRPr="00011356" w:rsidRDefault="0016613D" w:rsidP="00166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011356">
        <w:rPr>
          <w:rFonts w:ascii="Palatino Linotype" w:hAnsi="Palatino Linotype" w:cs="Arial"/>
          <w:b/>
          <w:sz w:val="24"/>
          <w:szCs w:val="24"/>
        </w:rPr>
        <w:t>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011356">
        <w:rPr>
          <w:rFonts w:ascii="Palatino Linotype" w:hAnsi="Palatino Linotype" w:cs="Arial"/>
          <w:sz w:val="24"/>
          <w:szCs w:val="24"/>
        </w:rPr>
        <w:t xml:space="preserve">quince de abril de dos mil veintiuno, los cuales fueron registrados en el sistema electrónico con los expedientes números </w:t>
      </w:r>
      <w:r w:rsidR="00011356">
        <w:rPr>
          <w:rFonts w:ascii="Palatino Linotype" w:hAnsi="Palatino Linotype" w:cs="Arial"/>
          <w:b/>
          <w:sz w:val="24"/>
        </w:rPr>
        <w:t xml:space="preserve">01755/INFOEM/IP/RR/2021, 01763/INFOEM/IP/RR/2021 y 01787/INFOEM/IP/RR/2021, </w:t>
      </w:r>
      <w:r w:rsidR="00011356">
        <w:rPr>
          <w:rFonts w:ascii="Palatino Linotype" w:hAnsi="Palatino Linotype" w:cs="Arial"/>
          <w:sz w:val="24"/>
        </w:rPr>
        <w:t xml:space="preserve">en los cuales arguye las siguientes manifestaciones: </w:t>
      </w:r>
    </w:p>
    <w:p w14:paraId="4AAEF913" w14:textId="6F001F7B" w:rsidR="00011356" w:rsidRDefault="00011356" w:rsidP="0016613D">
      <w:pPr>
        <w:spacing w:before="240" w:line="360" w:lineRule="auto"/>
        <w:jc w:val="both"/>
        <w:rPr>
          <w:rFonts w:ascii="Palatino Linotype" w:hAnsi="Palatino Linotype" w:cs="Arial"/>
          <w:sz w:val="24"/>
          <w:szCs w:val="24"/>
        </w:rPr>
      </w:pPr>
      <w:r>
        <w:rPr>
          <w:rFonts w:ascii="Palatino Linotype" w:hAnsi="Palatino Linotype" w:cs="Arial"/>
          <w:b/>
          <w:sz w:val="24"/>
        </w:rPr>
        <w:t>01755/INFOEM/IP/RR/2021</w:t>
      </w:r>
    </w:p>
    <w:p w14:paraId="296634BD" w14:textId="77777777" w:rsidR="00011356" w:rsidRDefault="00011356" w:rsidP="0001135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5962D49" w14:textId="2D9EC47E" w:rsidR="00011356" w:rsidRPr="00011356" w:rsidRDefault="00011356" w:rsidP="00011356">
      <w:pPr>
        <w:pStyle w:val="INFOEM"/>
        <w:rPr>
          <w:rStyle w:val="Refdenotaalpie"/>
          <w:b/>
          <w:vertAlign w:val="baseline"/>
        </w:rPr>
      </w:pPr>
      <w:r>
        <w:t>“</w:t>
      </w:r>
      <w:r w:rsidRPr="00011356">
        <w:rPr>
          <w:rStyle w:val="Refdenotaalpie"/>
          <w:vertAlign w:val="baseline"/>
        </w:rPr>
        <w:t>Negativa de la información requerida</w:t>
      </w:r>
      <w:r>
        <w:t xml:space="preserve">” </w:t>
      </w:r>
      <w:r>
        <w:rPr>
          <w:b/>
        </w:rPr>
        <w:t>[Sic]</w:t>
      </w:r>
    </w:p>
    <w:p w14:paraId="6EC0B79A" w14:textId="77777777" w:rsidR="00011356" w:rsidRDefault="00011356" w:rsidP="0001135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8CBCDB3" w14:textId="7256A592" w:rsidR="00011356" w:rsidRPr="00011356" w:rsidRDefault="00011356" w:rsidP="00011356">
      <w:pPr>
        <w:pStyle w:val="INFOEM"/>
        <w:rPr>
          <w:b/>
          <w:sz w:val="24"/>
          <w:szCs w:val="24"/>
        </w:rPr>
      </w:pPr>
      <w:r>
        <w:t xml:space="preserve">“El sujeto obligado no entrega la información argumentando que contiene datos de carácter confidencial, pero puede y es su deber entregar en versión pública” </w:t>
      </w:r>
      <w:r>
        <w:rPr>
          <w:b/>
        </w:rPr>
        <w:t>[Sic]</w:t>
      </w:r>
    </w:p>
    <w:p w14:paraId="5D542C20" w14:textId="77777777" w:rsidR="00011356" w:rsidRDefault="00011356" w:rsidP="0016613D">
      <w:pPr>
        <w:spacing w:before="240" w:line="360" w:lineRule="auto"/>
        <w:jc w:val="both"/>
        <w:rPr>
          <w:rFonts w:ascii="Palatino Linotype" w:hAnsi="Palatino Linotype" w:cs="Arial"/>
          <w:sz w:val="24"/>
          <w:szCs w:val="24"/>
        </w:rPr>
      </w:pPr>
    </w:p>
    <w:p w14:paraId="012DA2F7" w14:textId="70580A29" w:rsidR="00011356" w:rsidRDefault="00011356" w:rsidP="0016613D">
      <w:pPr>
        <w:spacing w:before="240" w:line="360" w:lineRule="auto"/>
        <w:jc w:val="both"/>
        <w:rPr>
          <w:rFonts w:ascii="Palatino Linotype" w:hAnsi="Palatino Linotype" w:cs="Arial"/>
          <w:b/>
          <w:sz w:val="24"/>
        </w:rPr>
      </w:pPr>
      <w:r>
        <w:rPr>
          <w:rFonts w:ascii="Palatino Linotype" w:hAnsi="Palatino Linotype" w:cs="Arial"/>
          <w:b/>
          <w:sz w:val="24"/>
        </w:rPr>
        <w:t>01763/INFOEM/IP/RR/2021</w:t>
      </w:r>
    </w:p>
    <w:p w14:paraId="28B5CACB" w14:textId="77777777" w:rsidR="00011356" w:rsidRDefault="00011356" w:rsidP="0001135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1EB81FE" w14:textId="43137930" w:rsidR="00011356" w:rsidRPr="00011356" w:rsidRDefault="00011356" w:rsidP="00011356">
      <w:pPr>
        <w:pStyle w:val="INFOEM"/>
        <w:rPr>
          <w:b/>
        </w:rPr>
      </w:pPr>
      <w:r>
        <w:t xml:space="preserve">“Negativa de información” </w:t>
      </w:r>
      <w:r>
        <w:rPr>
          <w:b/>
        </w:rPr>
        <w:t>[Sic]</w:t>
      </w:r>
    </w:p>
    <w:p w14:paraId="3F2178A0" w14:textId="021D6D3E" w:rsidR="00011356" w:rsidRDefault="00011356" w:rsidP="0016613D">
      <w:pPr>
        <w:spacing w:before="240" w:line="360" w:lineRule="auto"/>
        <w:jc w:val="both"/>
        <w:rPr>
          <w:rFonts w:ascii="Verdana" w:hAnsi="Verdana"/>
          <w:color w:val="000000"/>
          <w:sz w:val="14"/>
          <w:szCs w:val="14"/>
        </w:rPr>
      </w:pPr>
      <w:r>
        <w:rPr>
          <w:rFonts w:ascii="Palatino Linotype" w:hAnsi="Palatino Linotype" w:cs="Arial"/>
          <w:b/>
          <w:sz w:val="24"/>
        </w:rPr>
        <w:t>Razones o Motivos de Inconformidad</w:t>
      </w:r>
    </w:p>
    <w:p w14:paraId="33277A0C" w14:textId="59CB7FBE" w:rsidR="00011356" w:rsidRPr="00011356" w:rsidRDefault="00011356" w:rsidP="00011356">
      <w:pPr>
        <w:pStyle w:val="INFOEM"/>
        <w:rPr>
          <w:b/>
          <w:sz w:val="24"/>
          <w:szCs w:val="24"/>
        </w:rPr>
      </w:pPr>
      <w:r>
        <w:lastRenderedPageBreak/>
        <w:t xml:space="preserve">“No me remite lo solicitado porque "considera" que contiene datos confidenciales, pero puede realizar una versión pública o bien su propuesta de clasificación de la información” </w:t>
      </w:r>
      <w:r>
        <w:rPr>
          <w:b/>
        </w:rPr>
        <w:t xml:space="preserve">[Sic] </w:t>
      </w:r>
    </w:p>
    <w:p w14:paraId="62E6A34C" w14:textId="77777777" w:rsidR="00011356" w:rsidRDefault="00011356" w:rsidP="0016613D">
      <w:pPr>
        <w:spacing w:before="240" w:line="360" w:lineRule="auto"/>
        <w:jc w:val="both"/>
        <w:rPr>
          <w:rFonts w:ascii="Palatino Linotype" w:hAnsi="Palatino Linotype" w:cs="Arial"/>
          <w:sz w:val="24"/>
          <w:szCs w:val="24"/>
        </w:rPr>
      </w:pPr>
    </w:p>
    <w:p w14:paraId="690282E2" w14:textId="20640AAB" w:rsidR="00011356" w:rsidRDefault="00011356" w:rsidP="0016613D">
      <w:pPr>
        <w:spacing w:before="240" w:line="360" w:lineRule="auto"/>
        <w:jc w:val="both"/>
        <w:rPr>
          <w:rFonts w:ascii="Palatino Linotype" w:hAnsi="Palatino Linotype" w:cs="Arial"/>
          <w:b/>
          <w:sz w:val="24"/>
        </w:rPr>
      </w:pPr>
      <w:r>
        <w:rPr>
          <w:rFonts w:ascii="Palatino Linotype" w:hAnsi="Palatino Linotype" w:cs="Arial"/>
          <w:b/>
          <w:sz w:val="24"/>
        </w:rPr>
        <w:t>01787/INFOEM/IP/RR/2021</w:t>
      </w:r>
    </w:p>
    <w:p w14:paraId="648E5866" w14:textId="77777777" w:rsidR="00011356" w:rsidRDefault="00011356" w:rsidP="0001135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8FA118C" w14:textId="552A179B" w:rsidR="00011356" w:rsidRDefault="00011356" w:rsidP="00011356">
      <w:pPr>
        <w:pStyle w:val="INFOEM"/>
      </w:pPr>
      <w:r>
        <w:t>“Falta de entrega de la información”</w:t>
      </w:r>
    </w:p>
    <w:p w14:paraId="6D4C498B" w14:textId="77777777" w:rsidR="00011356" w:rsidRDefault="00011356" w:rsidP="00011356">
      <w:pPr>
        <w:spacing w:before="240" w:line="360" w:lineRule="auto"/>
        <w:jc w:val="both"/>
        <w:rPr>
          <w:rFonts w:ascii="Verdana" w:hAnsi="Verdana"/>
          <w:color w:val="000000"/>
          <w:sz w:val="14"/>
          <w:szCs w:val="14"/>
        </w:rPr>
      </w:pPr>
      <w:r>
        <w:rPr>
          <w:rFonts w:ascii="Palatino Linotype" w:hAnsi="Palatino Linotype" w:cs="Arial"/>
          <w:b/>
          <w:sz w:val="24"/>
        </w:rPr>
        <w:t>Razones o Motivos de Inconformidad</w:t>
      </w:r>
    </w:p>
    <w:p w14:paraId="639DCC4D" w14:textId="69B4817F" w:rsidR="00011356" w:rsidRPr="00011356" w:rsidRDefault="00011356" w:rsidP="00011356">
      <w:pPr>
        <w:pStyle w:val="INFOEM"/>
        <w:rPr>
          <w:b/>
          <w:sz w:val="24"/>
          <w:szCs w:val="24"/>
        </w:rPr>
      </w:pPr>
      <w:r>
        <w:t xml:space="preserve">“El sujeto obligado hace mención que me será remitida la información solicitada, sin embargo no se me adjunta nada ni se me proporciona” </w:t>
      </w:r>
      <w:r>
        <w:rPr>
          <w:b/>
        </w:rPr>
        <w:t>[Sic]</w:t>
      </w:r>
    </w:p>
    <w:p w14:paraId="45137306" w14:textId="77777777" w:rsidR="00011356" w:rsidRDefault="00011356" w:rsidP="0016613D">
      <w:pPr>
        <w:spacing w:before="240" w:line="360" w:lineRule="auto"/>
        <w:jc w:val="both"/>
        <w:rPr>
          <w:rFonts w:ascii="Palatino Linotype" w:hAnsi="Palatino Linotype" w:cs="Arial"/>
          <w:sz w:val="24"/>
          <w:szCs w:val="24"/>
        </w:rPr>
      </w:pPr>
    </w:p>
    <w:p w14:paraId="2BA8E641" w14:textId="77777777" w:rsidR="0016613D" w:rsidRPr="00955C54"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955C54">
        <w:rPr>
          <w:rFonts w:ascii="Palatino Linotype" w:hAnsi="Palatino Linotype" w:cs="Arial"/>
          <w:b/>
          <w:sz w:val="28"/>
        </w:rPr>
        <w:t>CUARTO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35E57F12" w14:textId="77E06B8B" w:rsidR="00DD0123" w:rsidRDefault="0016613D" w:rsidP="00DD0123">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Pr>
          <w:rFonts w:ascii="Palatino Linotype" w:hAnsi="Palatino Linotype" w:cs="Arial"/>
        </w:rPr>
        <w:t>onados Zulema Martínez Sánchez</w:t>
      </w:r>
      <w:r w:rsidR="00011356">
        <w:rPr>
          <w:rFonts w:ascii="Palatino Linotype" w:hAnsi="Palatino Linotype" w:cs="Arial"/>
        </w:rPr>
        <w:t xml:space="preserve">, José Guadalupe Luna Hernández y Eva Abaid Yapur, </w:t>
      </w:r>
      <w:r w:rsidR="00264100"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F156AC">
        <w:rPr>
          <w:rFonts w:ascii="Palatino Linotype" w:hAnsi="Palatino Linotype" w:cs="Arial"/>
        </w:rPr>
        <w:t xml:space="preserve">s </w:t>
      </w:r>
      <w:r w:rsidR="00361A70">
        <w:rPr>
          <w:rFonts w:ascii="Palatino Linotype" w:hAnsi="Palatino Linotype" w:cs="Arial"/>
        </w:rPr>
        <w:t xml:space="preserve">veinte y veintiuno de abril de dos mil veintiuno, </w:t>
      </w:r>
      <w:r w:rsidR="00DD0123">
        <w:rPr>
          <w:rFonts w:ascii="Palatino Linotype" w:hAnsi="Palatino Linotype" w:cs="Arial"/>
        </w:rPr>
        <w:t xml:space="preserve">determinándose, un plazo de siete días para que las partes manifestaran lo que a su derecho corresponda en términos de los numerales ya citados. </w:t>
      </w:r>
    </w:p>
    <w:p w14:paraId="08A9FDF2" w14:textId="4048A736" w:rsidR="00DD0123" w:rsidRDefault="00DD0123" w:rsidP="0016613D">
      <w:pPr>
        <w:pStyle w:val="Prrafodelista"/>
        <w:spacing w:line="360" w:lineRule="auto"/>
        <w:ind w:left="0"/>
        <w:jc w:val="both"/>
        <w:rPr>
          <w:rFonts w:ascii="Palatino Linotype" w:hAnsi="Palatino Linotype" w:cs="Arial"/>
        </w:rPr>
      </w:pPr>
    </w:p>
    <w:p w14:paraId="2ACA5053" w14:textId="77777777" w:rsidR="0016613D" w:rsidRPr="00696379" w:rsidRDefault="0016613D" w:rsidP="0016613D">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lastRenderedPageBreak/>
        <w:t>QUINTO</w:t>
      </w:r>
      <w:r w:rsidRPr="00696379">
        <w:rPr>
          <w:rFonts w:ascii="Palatino Linotype" w:hAnsi="Palatino Linotype" w:cs="Arial"/>
          <w:b/>
          <w:sz w:val="28"/>
          <w:szCs w:val="28"/>
        </w:rPr>
        <w:t>. De la acumulación.</w:t>
      </w:r>
    </w:p>
    <w:p w14:paraId="136662A2" w14:textId="7B5AD1E9" w:rsidR="00264100" w:rsidRDefault="0016613D" w:rsidP="00DD0123">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361A70">
        <w:rPr>
          <w:rFonts w:ascii="Palatino Linotype" w:hAnsi="Palatino Linotype" w:cs="Arial"/>
        </w:rPr>
        <w:t xml:space="preserve">Décima Cuarta Sesión Ordinaria, de fecha veintiocho de abril de dos mil veintiuno, </w:t>
      </w:r>
      <w:r w:rsidR="00F156AC">
        <w:rPr>
          <w:rFonts w:ascii="Palatino Linotype" w:hAnsi="Palatino Linotype" w:cs="Arial"/>
        </w:rPr>
        <w:t xml:space="preserve">se determinó acumular </w:t>
      </w:r>
      <w:r w:rsidR="00264100">
        <w:rPr>
          <w:rFonts w:ascii="Palatino Linotype" w:hAnsi="Palatino Linotype" w:cs="Arial"/>
        </w:rPr>
        <w:t xml:space="preserve">los recursos de revisión en estudio, ya que existe identidad del solicitante, del sujeto obligado y similitud de causas y objeto de solicitud. </w:t>
      </w:r>
    </w:p>
    <w:p w14:paraId="64216476" w14:textId="77777777" w:rsidR="00DD0123" w:rsidRDefault="00DD0123" w:rsidP="0016613D">
      <w:pPr>
        <w:spacing w:after="0" w:line="360" w:lineRule="auto"/>
        <w:jc w:val="both"/>
        <w:rPr>
          <w:rFonts w:ascii="Palatino Linotype" w:hAnsi="Palatino Linotype"/>
          <w:sz w:val="24"/>
          <w:szCs w:val="24"/>
        </w:rPr>
      </w:pPr>
    </w:p>
    <w:p w14:paraId="2A610707" w14:textId="5977CDDC" w:rsidR="0016613D" w:rsidRPr="00CA418F" w:rsidRDefault="0016613D" w:rsidP="0016613D">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57579B" w14:textId="77777777" w:rsidR="0016613D" w:rsidRPr="007D54D0" w:rsidRDefault="0016613D" w:rsidP="0016613D">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1CC8BAC4" w14:textId="77777777" w:rsidR="0016613D" w:rsidRPr="00A6274E" w:rsidRDefault="0016613D" w:rsidP="0016613D">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BB1A26E" w14:textId="77777777" w:rsidR="0016613D" w:rsidRDefault="0016613D" w:rsidP="0016613D">
      <w:pPr>
        <w:spacing w:before="240" w:line="360" w:lineRule="auto"/>
        <w:ind w:left="851" w:right="851"/>
        <w:jc w:val="both"/>
        <w:rPr>
          <w:rFonts w:ascii="Palatino Linotype" w:hAnsi="Palatino Linotype"/>
          <w:i/>
        </w:rPr>
      </w:pPr>
    </w:p>
    <w:p w14:paraId="48B13CC3" w14:textId="77777777" w:rsidR="0016613D" w:rsidRPr="001D1D00" w:rsidRDefault="0016613D" w:rsidP="0016613D">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274E6C5" w14:textId="77777777" w:rsidR="0016613D" w:rsidRPr="006F2470" w:rsidRDefault="0016613D" w:rsidP="0016613D">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14:paraId="69C5FCEA" w14:textId="77777777" w:rsidR="0016613D" w:rsidRDefault="0016613D" w:rsidP="0016613D">
      <w:pPr>
        <w:spacing w:before="240" w:line="360" w:lineRule="auto"/>
        <w:jc w:val="both"/>
        <w:rPr>
          <w:rFonts w:ascii="Palatino Linotype" w:hAnsi="Palatino Linotype" w:cs="Arial"/>
          <w:sz w:val="24"/>
          <w:szCs w:val="24"/>
        </w:rPr>
      </w:pPr>
    </w:p>
    <w:p w14:paraId="6B8485AE" w14:textId="77777777" w:rsidR="0016613D"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FA8F501" w14:textId="473118FF" w:rsidR="00361A70" w:rsidRPr="00361A70" w:rsidRDefault="00361A70" w:rsidP="00361A7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w:t>
      </w:r>
      <w:r w:rsidR="00FD61E5">
        <w:rPr>
          <w:rFonts w:ascii="Palatino Linotype" w:hAnsi="Palatino Linotype" w:cs="Arial"/>
          <w:sz w:val="24"/>
          <w:szCs w:val="24"/>
        </w:rPr>
        <w:t>los</w:t>
      </w:r>
      <w:r>
        <w:rPr>
          <w:rFonts w:ascii="Palatino Linotype" w:hAnsi="Palatino Linotype" w:cs="Arial"/>
          <w:sz w:val="24"/>
          <w:szCs w:val="24"/>
        </w:rPr>
        <w:t xml:space="preserve">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sidR="00FD61E5">
        <w:rPr>
          <w:rFonts w:ascii="Palatino Linotype" w:hAnsi="Palatino Linotype" w:cs="Arial"/>
          <w:sz w:val="24"/>
          <w:szCs w:val="24"/>
        </w:rPr>
        <w:t xml:space="preserve">únicamente </w:t>
      </w:r>
      <w:r>
        <w:rPr>
          <w:rFonts w:ascii="Palatino Linotype" w:hAnsi="Palatino Linotype" w:cs="Arial"/>
          <w:sz w:val="24"/>
          <w:szCs w:val="24"/>
        </w:rPr>
        <w:t xml:space="preserve">en los expedientes electrónicos de los recursos de revisión </w:t>
      </w:r>
      <w:r>
        <w:rPr>
          <w:rFonts w:ascii="Palatino Linotype" w:hAnsi="Palatino Linotype" w:cs="Arial"/>
          <w:b/>
          <w:sz w:val="24"/>
          <w:szCs w:val="24"/>
        </w:rPr>
        <w:t xml:space="preserve">01755/INFOEM/IP/RR/2021 y 01763/INFOEM/IP/RR/2021,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sus respectivos informes justificados, en fecha veintiséis de abril, mismos que se pusieron a la vista de </w:t>
      </w:r>
      <w:r>
        <w:rPr>
          <w:rFonts w:ascii="Palatino Linotype" w:hAnsi="Palatino Linotype" w:cs="Arial"/>
          <w:b/>
          <w:sz w:val="24"/>
          <w:szCs w:val="24"/>
        </w:rPr>
        <w:t xml:space="preserve">La Recurrente, </w:t>
      </w:r>
      <w:r>
        <w:rPr>
          <w:rFonts w:ascii="Palatino Linotype" w:hAnsi="Palatino Linotype" w:cs="Arial"/>
          <w:sz w:val="24"/>
          <w:szCs w:val="24"/>
        </w:rPr>
        <w:t xml:space="preserve">el veintiséis de abril y el seis de mayo de dos mil veintiuno. </w:t>
      </w:r>
    </w:p>
    <w:p w14:paraId="0C0D2665" w14:textId="73E5E6EC" w:rsidR="00361A70" w:rsidRDefault="00361A70" w:rsidP="00361A7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Pr>
          <w:rFonts w:ascii="Palatino Linotype" w:hAnsi="Palatino Linotype" w:cs="Arial"/>
          <w:sz w:val="24"/>
          <w:szCs w:val="24"/>
        </w:rPr>
        <w:t>doce de mayo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2F8F038"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F156AC">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F2092C3" w14:textId="77777777" w:rsidR="00264100" w:rsidRDefault="00264100" w:rsidP="002641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A6B322E" w14:textId="77777777" w:rsidR="00D46910" w:rsidRPr="00C07D77" w:rsidRDefault="00D46910" w:rsidP="00D4691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D70FE5A" w14:textId="77777777" w:rsidR="00D46910" w:rsidRDefault="00D46910" w:rsidP="00D4691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DAB543"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09DC981B" w14:textId="77777777" w:rsidR="00D46910" w:rsidRDefault="00D46910"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06E9F2BC"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 xml:space="preserve">de las actuaciones que obran en </w:t>
      </w:r>
      <w:r w:rsidR="00500A07">
        <w:rPr>
          <w:rFonts w:ascii="Palatino Linotype" w:hAnsi="Palatino Linotype" w:cs="Arial"/>
        </w:rPr>
        <w:t>los</w:t>
      </w:r>
      <w:r>
        <w:rPr>
          <w:rFonts w:ascii="Palatino Linotype" w:hAnsi="Palatino Linotype" w:cs="Arial"/>
        </w:rPr>
        <w:t xml:space="preserve"> expediente</w:t>
      </w:r>
      <w:r w:rsidR="00500A07">
        <w:rPr>
          <w:rFonts w:ascii="Palatino Linotype" w:hAnsi="Palatino Linotype" w:cs="Arial"/>
        </w:rPr>
        <w:t>s</w:t>
      </w:r>
      <w:r>
        <w:rPr>
          <w:rFonts w:ascii="Palatino Linotype" w:hAnsi="Palatino Linotype" w:cs="Arial"/>
        </w:rPr>
        <w:t xml:space="preserve"> electrónico</w:t>
      </w:r>
      <w:r w:rsidR="00500A07">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247E99" w14:textId="77777777" w:rsidR="00F156AC" w:rsidRDefault="00F156AC" w:rsidP="00AD1553">
      <w:pPr>
        <w:pStyle w:val="Prrafodelista"/>
        <w:autoSpaceDE w:val="0"/>
        <w:autoSpaceDN w:val="0"/>
        <w:adjustRightInd w:val="0"/>
        <w:spacing w:before="240" w:after="160" w:line="360" w:lineRule="auto"/>
        <w:ind w:left="0"/>
        <w:jc w:val="both"/>
        <w:rPr>
          <w:rFonts w:ascii="Palatino Linotype" w:hAnsi="Palatino Linotype" w:cs="Arial"/>
        </w:rPr>
      </w:pPr>
    </w:p>
    <w:p w14:paraId="568F80FA" w14:textId="77777777" w:rsidR="00FC3E84" w:rsidRDefault="00FC3E84" w:rsidP="00FC3E84">
      <w:pPr>
        <w:pStyle w:val="Prrafodelista"/>
        <w:autoSpaceDE w:val="0"/>
        <w:autoSpaceDN w:val="0"/>
        <w:adjustRightInd w:val="0"/>
        <w:spacing w:before="240" w:after="160" w:line="360" w:lineRule="auto"/>
        <w:ind w:left="0"/>
        <w:jc w:val="both"/>
        <w:rPr>
          <w:rFonts w:ascii="Palatino Linotype" w:hAnsi="Palatino Linotype" w:cs="Arial"/>
          <w:i/>
        </w:rPr>
      </w:pPr>
      <w:r>
        <w:rPr>
          <w:rFonts w:ascii="Palatino Linotype" w:hAnsi="Palatino Linotype"/>
          <w:bCs/>
        </w:rPr>
        <w:t xml:space="preserve">Una vez sentado lo anterior, en una aproximación inicial, es procedente mencionar que las solicitudes de información </w:t>
      </w:r>
      <w:r>
        <w:rPr>
          <w:rFonts w:ascii="Palatino Linotype" w:hAnsi="Palatino Linotype" w:cs="Arial"/>
          <w:b/>
        </w:rPr>
        <w:t xml:space="preserve">00033/SANTOTOM/IP/2021, 00032/SANTOTOM/IP/2021 y 00029/SANTOTOM/IP/2021 </w:t>
      </w:r>
      <w:r>
        <w:rPr>
          <w:rFonts w:ascii="Palatino Linotype" w:hAnsi="Palatino Linotype" w:cs="Arial"/>
        </w:rPr>
        <w:t xml:space="preserve">se nutren de 3 –tres- requerimientos, respecto de los cuales se fijó como elemento temporal respectivamente: </w:t>
      </w:r>
      <w:r>
        <w:rPr>
          <w:rFonts w:ascii="Palatino Linotype" w:hAnsi="Palatino Linotype" w:cs="Arial"/>
          <w:i/>
        </w:rPr>
        <w:t xml:space="preserve">“entre el mes de diciembre de 2019 y el mes de febrero de 2021”; “entre el mes de enero de 2019 y el mes de febrero de 2021”; y “desde el 1 de enero de 2019 al 1 de febrero de 2021”. </w:t>
      </w:r>
    </w:p>
    <w:p w14:paraId="7FEDEF08" w14:textId="219A14A9" w:rsidR="00FC3E84" w:rsidRDefault="00FC3E84" w:rsidP="00FC3E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Luego entonces, de una interpretación gramatical y literal a las solicitudes de información </w:t>
      </w:r>
      <w:r>
        <w:rPr>
          <w:rFonts w:ascii="Palatino Linotype" w:hAnsi="Palatino Linotype" w:cs="Arial"/>
          <w:b/>
        </w:rPr>
        <w:t xml:space="preserve">00033/SANTOTOM/IP/2021, 00032/SANTOTOM/IP/2021 y 00029/SANTOTOM/IP/2021 </w:t>
      </w:r>
      <w:r>
        <w:rPr>
          <w:rFonts w:ascii="Palatino Linotype" w:hAnsi="Palatino Linotype" w:cs="Arial"/>
        </w:rPr>
        <w:t xml:space="preserve">se </w:t>
      </w:r>
      <w:r w:rsidR="00500A07">
        <w:rPr>
          <w:rFonts w:ascii="Palatino Linotype" w:hAnsi="Palatino Linotype" w:cs="Arial"/>
        </w:rPr>
        <w:t>arriba</w:t>
      </w:r>
      <w:r>
        <w:rPr>
          <w:rFonts w:ascii="Palatino Linotype" w:hAnsi="Palatino Linotype" w:cs="Arial"/>
        </w:rPr>
        <w:t xml:space="preserve"> a la conclusión de que la particular alude a las siguientes temporalidades individualmente:</w:t>
      </w:r>
    </w:p>
    <w:p w14:paraId="30AC51AA" w14:textId="373A9CE0" w:rsidR="00FC3E84" w:rsidRDefault="00FC3E84" w:rsidP="00FC3E84">
      <w:pPr>
        <w:pStyle w:val="Prrafodelista"/>
        <w:numPr>
          <w:ilvl w:val="0"/>
          <w:numId w:val="14"/>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lastRenderedPageBreak/>
        <w:t>Periodo comprendido del uno de diciembre de dos mil diecinueve al veintiocho de febrero de dos mil veintiuno.</w:t>
      </w:r>
    </w:p>
    <w:p w14:paraId="5A6030BD" w14:textId="528C2609" w:rsidR="00FC3E84" w:rsidRDefault="00FC3E84" w:rsidP="00FC3E84">
      <w:pPr>
        <w:pStyle w:val="Prrafodelista"/>
        <w:numPr>
          <w:ilvl w:val="0"/>
          <w:numId w:val="14"/>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Periodo comprendido del uno de enero de dos mil diecinueve al veintiocho de febrero de dos mil veintiuno. </w:t>
      </w:r>
    </w:p>
    <w:p w14:paraId="3D49C80B" w14:textId="563BB85E" w:rsidR="00FC3E84" w:rsidRPr="00FC3E84" w:rsidRDefault="00FC3E84" w:rsidP="00FC3E84">
      <w:pPr>
        <w:pStyle w:val="Prrafodelista"/>
        <w:numPr>
          <w:ilvl w:val="0"/>
          <w:numId w:val="14"/>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Periodo comprendido del uno de enero de dos mil diecinueve al uno de febrero de dos mil veintiuno. </w:t>
      </w:r>
    </w:p>
    <w:p w14:paraId="78906096" w14:textId="77777777" w:rsidR="00FC3E84" w:rsidRDefault="00FC3E84" w:rsidP="00FC3E84">
      <w:pPr>
        <w:pStyle w:val="Prrafodelista"/>
        <w:autoSpaceDE w:val="0"/>
        <w:autoSpaceDN w:val="0"/>
        <w:adjustRightInd w:val="0"/>
        <w:spacing w:before="240" w:after="160" w:line="360" w:lineRule="auto"/>
        <w:ind w:left="0"/>
        <w:jc w:val="both"/>
        <w:rPr>
          <w:rFonts w:ascii="Palatino Linotype" w:hAnsi="Palatino Linotype"/>
          <w:bCs/>
        </w:rPr>
      </w:pPr>
    </w:p>
    <w:p w14:paraId="3C3E3430" w14:textId="4C9A98D5" w:rsidR="00FC3E84" w:rsidRDefault="00FC3E84" w:rsidP="00FC3E84">
      <w:pPr>
        <w:spacing w:before="240" w:line="360" w:lineRule="auto"/>
        <w:jc w:val="both"/>
        <w:rPr>
          <w:rFonts w:ascii="Palatino Linotype" w:hAnsi="Palatino Linotype"/>
        </w:rPr>
      </w:pPr>
      <w:r w:rsidRPr="00203001">
        <w:rPr>
          <w:rFonts w:ascii="Palatino Linotype" w:hAnsi="Palatino Linotype"/>
          <w:sz w:val="24"/>
          <w:szCs w:val="24"/>
        </w:rPr>
        <w:t>Dicha</w:t>
      </w:r>
      <w:r>
        <w:rPr>
          <w:rFonts w:ascii="Palatino Linotype" w:hAnsi="Palatino Linotype"/>
          <w:sz w:val="24"/>
          <w:szCs w:val="24"/>
        </w:rPr>
        <w:t>s precisiones</w:t>
      </w:r>
      <w:r w:rsidRPr="00203001">
        <w:rPr>
          <w:rFonts w:ascii="Palatino Linotype" w:hAnsi="Palatino Linotype"/>
          <w:sz w:val="24"/>
          <w:szCs w:val="24"/>
        </w:rPr>
        <w:t xml:space="preserve">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3964F652" w14:textId="77777777" w:rsidR="00FC3E84" w:rsidRPr="00BC704A" w:rsidRDefault="00FC3E84" w:rsidP="00FC3E84">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714A7C4E" w14:textId="77777777" w:rsidR="00FC3E84" w:rsidRPr="00BC704A" w:rsidRDefault="00FC3E84" w:rsidP="00FC3E84">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518FB857" w14:textId="77777777" w:rsidR="00FC3E84" w:rsidRPr="00BC704A" w:rsidRDefault="00FC3E84" w:rsidP="00FC3E84">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46E5C8AB" w14:textId="77777777" w:rsidR="00FC3E84" w:rsidRDefault="00FC3E84" w:rsidP="00A347D8">
      <w:pPr>
        <w:autoSpaceDE w:val="0"/>
        <w:autoSpaceDN w:val="0"/>
        <w:adjustRightInd w:val="0"/>
        <w:spacing w:before="240" w:line="360" w:lineRule="auto"/>
        <w:jc w:val="both"/>
        <w:rPr>
          <w:rFonts w:ascii="Palatino Linotype" w:hAnsi="Palatino Linotype" w:cs="Arial"/>
          <w:sz w:val="24"/>
          <w:szCs w:val="24"/>
        </w:rPr>
      </w:pPr>
    </w:p>
    <w:p w14:paraId="4DF10D5F" w14:textId="2BDAC09F" w:rsidR="00FC3E84" w:rsidRDefault="00FC3E84" w:rsidP="00FC3E84">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Bajo estas líneas argumentativas, al retomar y delimitar </w:t>
      </w:r>
      <w:r w:rsidR="00500A07">
        <w:rPr>
          <w:rFonts w:ascii="Palatino Linotype" w:hAnsi="Palatino Linotype"/>
        </w:rPr>
        <w:t>los</w:t>
      </w:r>
      <w:r>
        <w:rPr>
          <w:rFonts w:ascii="Palatino Linotype" w:hAnsi="Palatino Linotype"/>
        </w:rPr>
        <w:t xml:space="preserve"> requerimiento</w:t>
      </w:r>
      <w:r w:rsidR="00500A07">
        <w:rPr>
          <w:rFonts w:ascii="Palatino Linotype" w:hAnsi="Palatino Linotype"/>
        </w:rPr>
        <w:t xml:space="preserve">s de la </w:t>
      </w:r>
      <w:r>
        <w:rPr>
          <w:rFonts w:ascii="Palatino Linotype" w:hAnsi="Palatino Linotype"/>
        </w:rPr>
        <w:t xml:space="preserve">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78502182" w14:textId="54026730" w:rsidR="00FC3E84" w:rsidRDefault="00AE6169" w:rsidP="00AE6169">
      <w:pPr>
        <w:pStyle w:val="Prrafodelista"/>
        <w:numPr>
          <w:ilvl w:val="0"/>
          <w:numId w:val="1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Contratos celebrados derivados de licitaciones públicas, del periodo comprendido del uno de diciembre de dos mil diecinueve al veintiocho de febrero de dos mil veintiuno. </w:t>
      </w:r>
    </w:p>
    <w:p w14:paraId="684FAF3B" w14:textId="05A821F9" w:rsidR="00AE6169" w:rsidRDefault="00AE6169" w:rsidP="00AE6169">
      <w:pPr>
        <w:pStyle w:val="Prrafodelista"/>
        <w:numPr>
          <w:ilvl w:val="0"/>
          <w:numId w:val="1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Contratos celebrados derivados de invitaciones restringidas o análogas, del periodo comprendido del uno de enero de dos mil diecinueve al veintiocho de febrero de dos mil veintiuno. </w:t>
      </w:r>
    </w:p>
    <w:p w14:paraId="1AB48506" w14:textId="5EEE7695" w:rsidR="00500A07" w:rsidRDefault="00CF5D58" w:rsidP="00AE6169">
      <w:pPr>
        <w:pStyle w:val="Prrafodelista"/>
        <w:numPr>
          <w:ilvl w:val="0"/>
          <w:numId w:val="1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C</w:t>
      </w:r>
      <w:r w:rsidR="00AE6169">
        <w:rPr>
          <w:rFonts w:ascii="Palatino Linotype" w:hAnsi="Palatino Linotype" w:cs="Arial"/>
        </w:rPr>
        <w:t>édulas de proveedores o prestadores de servicios</w:t>
      </w:r>
      <w:r>
        <w:rPr>
          <w:rFonts w:ascii="Palatino Linotype" w:hAnsi="Palatino Linotype" w:cs="Arial"/>
        </w:rPr>
        <w:t xml:space="preserve"> y/o equivalente</w:t>
      </w:r>
      <w:r w:rsidR="00AE6169">
        <w:rPr>
          <w:rFonts w:ascii="Palatino Linotype" w:hAnsi="Palatino Linotype" w:cs="Arial"/>
        </w:rPr>
        <w:t xml:space="preserve">, del periodo comprendido del uno de enero de dos mil diecinueve al uno de febrero de dos mil veintiuno. </w:t>
      </w:r>
    </w:p>
    <w:p w14:paraId="3D2A2AEA" w14:textId="77777777" w:rsidR="00AE6169" w:rsidRDefault="00AE6169" w:rsidP="00AE6169">
      <w:pPr>
        <w:autoSpaceDE w:val="0"/>
        <w:autoSpaceDN w:val="0"/>
        <w:adjustRightInd w:val="0"/>
        <w:spacing w:before="240" w:line="360" w:lineRule="auto"/>
        <w:jc w:val="both"/>
        <w:rPr>
          <w:rFonts w:ascii="Palatino Linotype" w:hAnsi="Palatino Linotype" w:cs="Arial"/>
        </w:rPr>
      </w:pPr>
    </w:p>
    <w:p w14:paraId="5FA1255E" w14:textId="68F985DD" w:rsidR="00AE6169" w:rsidRDefault="00FD61E5" w:rsidP="00A3081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tenor, en alusión a los</w:t>
      </w:r>
      <w:r w:rsidR="00AE6169" w:rsidRPr="001671DD">
        <w:rPr>
          <w:rFonts w:ascii="Palatino Linotype" w:hAnsi="Palatino Linotype" w:cs="Arial"/>
          <w:sz w:val="24"/>
          <w:szCs w:val="24"/>
        </w:rPr>
        <w:t xml:space="preserve"> requerimiento</w:t>
      </w:r>
      <w:r>
        <w:rPr>
          <w:rFonts w:ascii="Palatino Linotype" w:hAnsi="Palatino Linotype" w:cs="Arial"/>
          <w:sz w:val="24"/>
          <w:szCs w:val="24"/>
        </w:rPr>
        <w:t>s</w:t>
      </w:r>
      <w:r w:rsidR="00AE6169" w:rsidRPr="001671DD">
        <w:rPr>
          <w:rFonts w:ascii="Palatino Linotype" w:hAnsi="Palatino Linotype" w:cs="Arial"/>
          <w:sz w:val="24"/>
          <w:szCs w:val="24"/>
        </w:rPr>
        <w:t xml:space="preserve"> formulado</w:t>
      </w:r>
      <w:r>
        <w:rPr>
          <w:rFonts w:ascii="Palatino Linotype" w:hAnsi="Palatino Linotype" w:cs="Arial"/>
          <w:sz w:val="24"/>
          <w:szCs w:val="24"/>
        </w:rPr>
        <w:t>s</w:t>
      </w:r>
      <w:r w:rsidR="00AE6169" w:rsidRPr="001671DD">
        <w:rPr>
          <w:rFonts w:ascii="Palatino Linotype" w:hAnsi="Palatino Linotype" w:cs="Arial"/>
          <w:sz w:val="24"/>
          <w:szCs w:val="24"/>
        </w:rPr>
        <w:t xml:space="preserve"> por el particular, </w:t>
      </w:r>
      <w:r w:rsidR="00A3081D">
        <w:rPr>
          <w:rFonts w:ascii="Palatino Linotype" w:hAnsi="Palatino Linotype" w:cs="Arial"/>
          <w:sz w:val="24"/>
          <w:szCs w:val="24"/>
        </w:rPr>
        <w:t xml:space="preserve">resulta oportuno traer a colación los numerales 32,  y 57, fracciones X, XI, XV, XXII y XXIII del Bando Municipal del </w:t>
      </w:r>
      <w:r w:rsidR="00A3081D">
        <w:rPr>
          <w:rFonts w:ascii="Palatino Linotype" w:hAnsi="Palatino Linotype" w:cs="Arial"/>
          <w:b/>
          <w:sz w:val="24"/>
          <w:szCs w:val="24"/>
        </w:rPr>
        <w:t xml:space="preserve">Sujeto Obligado, </w:t>
      </w:r>
      <w:r w:rsidR="00A3081D">
        <w:rPr>
          <w:rFonts w:ascii="Palatino Linotype" w:hAnsi="Palatino Linotype" w:cs="Arial"/>
          <w:sz w:val="24"/>
          <w:szCs w:val="24"/>
        </w:rPr>
        <w:t xml:space="preserve">los numerales 26 y 27 de la Ley de Contratación Pública del Estado de México; así como los artículos 43 y 44 del Reglamento de la Ley de Contratación Pública del Estado de México; porciones normativas que disponen a la literalidad lo siguiente: </w:t>
      </w:r>
    </w:p>
    <w:p w14:paraId="489B734D" w14:textId="49BAEA5E" w:rsidR="00A3081D" w:rsidRPr="00A3081D" w:rsidRDefault="00A3081D" w:rsidP="00A3081D">
      <w:pPr>
        <w:pStyle w:val="INFOEM"/>
        <w:jc w:val="center"/>
        <w:rPr>
          <w:b/>
        </w:rPr>
      </w:pPr>
      <w:r>
        <w:rPr>
          <w:b/>
        </w:rPr>
        <w:t>Bando Municipal de Santo Tomas</w:t>
      </w:r>
    </w:p>
    <w:p w14:paraId="0C0F52C9" w14:textId="2DFC9C2F" w:rsidR="00A3081D" w:rsidRDefault="00A3081D" w:rsidP="00A3081D">
      <w:pPr>
        <w:pStyle w:val="INFOEM"/>
      </w:pPr>
      <w:r>
        <w:t>“</w:t>
      </w:r>
      <w:r w:rsidRPr="00A3081D">
        <w:t>ARTÍCULO 32. Para el despacho de los asuntos municipales, la Presidenta Municipal</w:t>
      </w:r>
      <w:r>
        <w:t xml:space="preserve"> </w:t>
      </w:r>
      <w:r w:rsidRPr="00A3081D">
        <w:t>como titular del Ejecutivo, se auxiliará con las Dependencias Municipales, Organismos</w:t>
      </w:r>
      <w:r>
        <w:t xml:space="preserve"> </w:t>
      </w:r>
      <w:r w:rsidRPr="00A3081D">
        <w:t>Públicos Descentralizados y Organismos Autónomos Municipales, conforme a la</w:t>
      </w:r>
      <w:r>
        <w:t xml:space="preserve"> </w:t>
      </w:r>
      <w:r w:rsidRPr="00A3081D">
        <w:t>siguiente estructura administrativa:</w:t>
      </w:r>
    </w:p>
    <w:p w14:paraId="3064B14F" w14:textId="2FF0FBB3" w:rsidR="00A3081D" w:rsidRDefault="00A3081D" w:rsidP="00A3081D">
      <w:pPr>
        <w:pStyle w:val="INFOEM"/>
      </w:pPr>
      <w:r>
        <w:lastRenderedPageBreak/>
        <w:t>I. Dependencias Municipales</w:t>
      </w:r>
    </w:p>
    <w:p w14:paraId="17018250" w14:textId="62E84856" w:rsidR="00A3081D" w:rsidRDefault="00A3081D" w:rsidP="00A3081D">
      <w:pPr>
        <w:pStyle w:val="INFOEM"/>
      </w:pPr>
      <w:r>
        <w:t>(…)</w:t>
      </w:r>
    </w:p>
    <w:p w14:paraId="042BF319" w14:textId="09DF25F8" w:rsidR="00A3081D" w:rsidRDefault="00A3081D" w:rsidP="00A3081D">
      <w:pPr>
        <w:pStyle w:val="INFOEM"/>
        <w:rPr>
          <w:b/>
        </w:rPr>
      </w:pPr>
      <w:r>
        <w:t xml:space="preserve">8. </w:t>
      </w:r>
      <w:r>
        <w:rPr>
          <w:b/>
        </w:rPr>
        <w:t>Dirección de Servicios Públicos y Administración</w:t>
      </w:r>
    </w:p>
    <w:p w14:paraId="101ED507" w14:textId="3DF63233" w:rsidR="00A3081D" w:rsidRDefault="00A3081D" w:rsidP="00A3081D">
      <w:pPr>
        <w:pStyle w:val="INFOEM"/>
        <w:rPr>
          <w:b/>
        </w:rPr>
      </w:pPr>
      <w:r>
        <w:rPr>
          <w:b/>
        </w:rPr>
        <w:t>(…)</w:t>
      </w:r>
    </w:p>
    <w:p w14:paraId="28F0AFB6" w14:textId="6253E32D" w:rsidR="00A3081D" w:rsidRPr="00A3081D" w:rsidRDefault="00A3081D" w:rsidP="00A3081D">
      <w:pPr>
        <w:pStyle w:val="INFOEM"/>
      </w:pPr>
      <w:r w:rsidRPr="00A3081D">
        <w:t>ARTÍCULO 57. Son atribuciones de la Dirección de Servicios Públicos y Administración:</w:t>
      </w:r>
    </w:p>
    <w:p w14:paraId="473F2DE8" w14:textId="184B6C16" w:rsidR="00A3081D" w:rsidRPr="00A3081D" w:rsidRDefault="00A3081D" w:rsidP="00A3081D">
      <w:pPr>
        <w:pStyle w:val="INFOEM"/>
      </w:pPr>
      <w:r w:rsidRPr="00A3081D">
        <w:t>(…)</w:t>
      </w:r>
    </w:p>
    <w:p w14:paraId="7A13A5CF" w14:textId="5BD68758" w:rsidR="00A3081D" w:rsidRPr="00A3081D" w:rsidRDefault="00A3081D" w:rsidP="00A3081D">
      <w:pPr>
        <w:pStyle w:val="INFOEM"/>
      </w:pPr>
      <w:r w:rsidRPr="00A3081D">
        <w:t>X. Emitir las políticas, normas y lineamientos en materia de personal, de recursos materiales, financieros y servicios generales de la Administración Pública Municipal;</w:t>
      </w:r>
    </w:p>
    <w:p w14:paraId="207E4343" w14:textId="5833DBF3" w:rsidR="00A3081D" w:rsidRPr="00A3081D" w:rsidRDefault="00A3081D" w:rsidP="00A3081D">
      <w:pPr>
        <w:pStyle w:val="INFOEM"/>
      </w:pPr>
      <w:r w:rsidRPr="00A3081D">
        <w:t>XI. Organizar, coordinar y dirigir los sistemas de reclutamiento, selección, contratación y desarrollo de personal, adquisiciones, guarda y distribución de bienes materiales y servicios generales;</w:t>
      </w:r>
    </w:p>
    <w:p w14:paraId="345F1605" w14:textId="69F503A2" w:rsidR="00A3081D" w:rsidRPr="00A3081D" w:rsidRDefault="00A3081D" w:rsidP="00A3081D">
      <w:pPr>
        <w:pStyle w:val="INFOEM"/>
      </w:pPr>
      <w:r w:rsidRPr="00A3081D">
        <w:t>(…)</w:t>
      </w:r>
    </w:p>
    <w:p w14:paraId="77993EBB" w14:textId="3D72BB9E" w:rsidR="00A3081D" w:rsidRPr="00A3081D" w:rsidRDefault="00A3081D" w:rsidP="00A3081D">
      <w:pPr>
        <w:pStyle w:val="INFOEM"/>
        <w:rPr>
          <w:b/>
          <w:u w:val="single"/>
        </w:rPr>
      </w:pPr>
      <w:r w:rsidRPr="00A3081D">
        <w:rPr>
          <w:b/>
          <w:u w:val="single"/>
        </w:rPr>
        <w:t>XV. Coordinar la elaboración del programa anual de adquisiciones del Ayuntamiento, con base en los lineamientos establecidos para tal efecto;</w:t>
      </w:r>
    </w:p>
    <w:p w14:paraId="039CD70E" w14:textId="6C61BCE3" w:rsidR="00A3081D" w:rsidRPr="00A3081D" w:rsidRDefault="00A3081D" w:rsidP="00A3081D">
      <w:pPr>
        <w:pStyle w:val="INFOEM"/>
      </w:pPr>
      <w:r w:rsidRPr="00A3081D">
        <w:t>(…)</w:t>
      </w:r>
    </w:p>
    <w:p w14:paraId="7355261F" w14:textId="14EDD1DE" w:rsidR="00A3081D" w:rsidRPr="00A3081D" w:rsidRDefault="00A3081D" w:rsidP="00A3081D">
      <w:pPr>
        <w:pStyle w:val="INFOEM"/>
        <w:rPr>
          <w:b/>
          <w:u w:val="single"/>
        </w:rPr>
      </w:pPr>
      <w:r w:rsidRPr="00A3081D">
        <w:rPr>
          <w:b/>
          <w:u w:val="single"/>
        </w:rPr>
        <w:t>XXII. Integrar y actualizar el catálogo general de proveedores para conocer las oportunidades de calidad y precio de los recursos materiales;</w:t>
      </w:r>
    </w:p>
    <w:p w14:paraId="2660A8A1" w14:textId="63C839F4" w:rsidR="00A3081D" w:rsidRDefault="00A3081D" w:rsidP="00A3081D">
      <w:pPr>
        <w:pStyle w:val="INFOEM"/>
      </w:pPr>
      <w:r w:rsidRPr="00A3081D">
        <w:lastRenderedPageBreak/>
        <w:t>XXIII. Vigilar el cumplimiento de las políticas generales establecidas para llevar a cabo las compras y suministro de los artículos y materiales solicitados;</w:t>
      </w:r>
    </w:p>
    <w:p w14:paraId="4F0081C7" w14:textId="3A4132EE" w:rsidR="00A3081D" w:rsidRDefault="00A3081D" w:rsidP="00A3081D">
      <w:pPr>
        <w:pStyle w:val="INFOEM"/>
        <w:rPr>
          <w:b/>
        </w:rPr>
      </w:pPr>
      <w:r>
        <w:t xml:space="preserve">(…)” </w:t>
      </w:r>
      <w:r>
        <w:rPr>
          <w:b/>
        </w:rPr>
        <w:t>[Sic]</w:t>
      </w:r>
    </w:p>
    <w:p w14:paraId="22BDE4E1" w14:textId="77777777" w:rsidR="00A3081D" w:rsidRDefault="00A3081D" w:rsidP="00A3081D">
      <w:pPr>
        <w:pStyle w:val="INFOEM"/>
        <w:rPr>
          <w:b/>
        </w:rPr>
      </w:pPr>
    </w:p>
    <w:p w14:paraId="6525E14D" w14:textId="77777777" w:rsidR="00A3081D" w:rsidRPr="00AA7EDD" w:rsidRDefault="00A3081D" w:rsidP="00A3081D">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7941303E" w14:textId="77777777" w:rsidR="00A3081D" w:rsidRPr="002D0587" w:rsidRDefault="00A3081D" w:rsidP="00A3081D">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54E4C298" w14:textId="77777777" w:rsidR="00A3081D" w:rsidRPr="002D0587" w:rsidRDefault="00A3081D" w:rsidP="00A3081D">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670A15A9" w14:textId="77777777" w:rsidR="00A3081D" w:rsidRPr="002D0587" w:rsidRDefault="00A3081D" w:rsidP="00A3081D">
      <w:pPr>
        <w:pStyle w:val="Prrafodelista"/>
        <w:numPr>
          <w:ilvl w:val="0"/>
          <w:numId w:val="16"/>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08EDE970" w14:textId="77777777" w:rsidR="00A3081D" w:rsidRPr="002D0587" w:rsidRDefault="00A3081D" w:rsidP="00A3081D">
      <w:pPr>
        <w:pStyle w:val="Prrafodelista"/>
        <w:numPr>
          <w:ilvl w:val="0"/>
          <w:numId w:val="16"/>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2A211686" w14:textId="77777777" w:rsidR="00A3081D" w:rsidRDefault="00A3081D" w:rsidP="00A3081D">
      <w:pPr>
        <w:spacing w:after="0" w:line="360" w:lineRule="auto"/>
        <w:jc w:val="both"/>
        <w:rPr>
          <w:rFonts w:ascii="Palatino Linotype" w:hAnsi="Palatino Linotype" w:cs="Arial"/>
          <w:sz w:val="24"/>
          <w:szCs w:val="24"/>
        </w:rPr>
      </w:pPr>
    </w:p>
    <w:p w14:paraId="5269EC4B" w14:textId="77777777" w:rsidR="00A3081D" w:rsidRPr="00AA7EDD" w:rsidRDefault="00A3081D" w:rsidP="00A3081D">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449ADC60" w14:textId="77777777" w:rsidR="00A3081D" w:rsidRDefault="00A3081D" w:rsidP="00A3081D">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040534A2" w14:textId="77777777" w:rsidR="00A3081D" w:rsidRPr="00AA7EDD" w:rsidRDefault="00A3081D" w:rsidP="00A3081D">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56C0D197" w14:textId="77777777" w:rsidR="00A3081D" w:rsidRPr="00E07D1E" w:rsidRDefault="00A3081D" w:rsidP="00A3081D">
      <w:pPr>
        <w:pStyle w:val="Prrafodelista"/>
        <w:numPr>
          <w:ilvl w:val="0"/>
          <w:numId w:val="17"/>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lastRenderedPageBreak/>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3E35642C" w14:textId="77777777" w:rsidR="00A3081D" w:rsidRPr="00AA7EDD" w:rsidRDefault="00A3081D" w:rsidP="00A3081D">
      <w:pPr>
        <w:pStyle w:val="Prrafodelista"/>
        <w:numPr>
          <w:ilvl w:val="0"/>
          <w:numId w:val="1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2150CF6B" w14:textId="77777777" w:rsidR="00A3081D" w:rsidRPr="00AA7EDD" w:rsidRDefault="00A3081D" w:rsidP="00A3081D">
      <w:pPr>
        <w:pStyle w:val="Prrafodelista"/>
        <w:numPr>
          <w:ilvl w:val="0"/>
          <w:numId w:val="1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3431F0C6" w14:textId="77777777" w:rsidR="00A3081D" w:rsidRPr="00AA7EDD" w:rsidRDefault="00A3081D" w:rsidP="00A3081D">
      <w:pPr>
        <w:pStyle w:val="Prrafodelista"/>
        <w:numPr>
          <w:ilvl w:val="0"/>
          <w:numId w:val="1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7AEE988B" w14:textId="77777777" w:rsidR="00A3081D" w:rsidRPr="00AA7EDD" w:rsidRDefault="00A3081D" w:rsidP="00A3081D">
      <w:pPr>
        <w:pStyle w:val="Prrafodelista"/>
        <w:numPr>
          <w:ilvl w:val="0"/>
          <w:numId w:val="1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2E5F0AAD" w14:textId="77777777" w:rsidR="00A3081D" w:rsidRPr="00AA7EDD" w:rsidRDefault="00A3081D" w:rsidP="00A3081D">
      <w:pPr>
        <w:pStyle w:val="Prrafodelista"/>
        <w:numPr>
          <w:ilvl w:val="0"/>
          <w:numId w:val="1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0F296432" w14:textId="77777777" w:rsidR="00A3081D" w:rsidRPr="00AA7EDD" w:rsidRDefault="00A3081D" w:rsidP="00A3081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41F5815E" w14:textId="77777777" w:rsidR="00A3081D" w:rsidRPr="00AA7EDD" w:rsidRDefault="00A3081D" w:rsidP="00A3081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0270DDA0" w14:textId="77777777" w:rsidR="00A3081D" w:rsidRPr="00AA7EDD" w:rsidRDefault="00A3081D" w:rsidP="00A3081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14:paraId="3EF2FADF" w14:textId="77777777" w:rsidR="00A3081D" w:rsidRPr="00AA7EDD" w:rsidRDefault="00A3081D" w:rsidP="00A3081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0A8F1C40" w14:textId="77777777" w:rsidR="00A3081D" w:rsidRPr="00AA7EDD" w:rsidRDefault="00A3081D" w:rsidP="00A3081D">
      <w:pPr>
        <w:pStyle w:val="Prrafodelista"/>
        <w:spacing w:before="240" w:after="160" w:line="360" w:lineRule="auto"/>
        <w:ind w:left="851" w:right="851"/>
        <w:jc w:val="both"/>
        <w:rPr>
          <w:rFonts w:ascii="Palatino Linotype" w:hAnsi="Palatino Linotype" w:cs="Arial"/>
          <w:b/>
          <w:i/>
          <w:sz w:val="22"/>
          <w:szCs w:val="22"/>
        </w:rPr>
      </w:pPr>
      <w:r w:rsidRPr="00AA7EDD">
        <w:rPr>
          <w:rFonts w:ascii="Palatino Linotype" w:hAnsi="Palatino Linotype"/>
          <w:i/>
          <w:sz w:val="22"/>
          <w:szCs w:val="22"/>
        </w:rPr>
        <w:t>Los cargos de los integrantes del comité serán honoríficos.</w:t>
      </w:r>
      <w:r>
        <w:rPr>
          <w:rFonts w:ascii="Palatino Linotype" w:hAnsi="Palatino Linotype"/>
          <w:i/>
          <w:sz w:val="22"/>
          <w:szCs w:val="22"/>
        </w:rPr>
        <w:t xml:space="preserve">” </w:t>
      </w:r>
      <w:r>
        <w:rPr>
          <w:rFonts w:ascii="Palatino Linotype" w:hAnsi="Palatino Linotype"/>
          <w:b/>
          <w:i/>
          <w:sz w:val="22"/>
          <w:szCs w:val="22"/>
        </w:rPr>
        <w:t>[Sic]</w:t>
      </w:r>
    </w:p>
    <w:p w14:paraId="2F3B888F" w14:textId="77777777" w:rsidR="00A3081D" w:rsidRDefault="00A3081D" w:rsidP="00A3081D">
      <w:pPr>
        <w:pStyle w:val="INFOEM"/>
        <w:ind w:left="0"/>
        <w:rPr>
          <w:b/>
        </w:rPr>
      </w:pPr>
    </w:p>
    <w:p w14:paraId="19F2B077" w14:textId="4135C5A5" w:rsidR="00A3081D" w:rsidRDefault="00A3081D" w:rsidP="00A3081D">
      <w:pPr>
        <w:pStyle w:val="INFOEM"/>
        <w:tabs>
          <w:tab w:val="left" w:pos="8080"/>
        </w:tabs>
        <w:ind w:left="0" w:right="0"/>
        <w:rPr>
          <w:i w:val="0"/>
          <w:sz w:val="24"/>
          <w:szCs w:val="24"/>
        </w:rPr>
      </w:pPr>
      <w:r w:rsidRPr="00A3081D">
        <w:rPr>
          <w:i w:val="0"/>
          <w:sz w:val="24"/>
          <w:szCs w:val="24"/>
        </w:rPr>
        <w:t xml:space="preserve">De lo expuesto con anterioridad, se desprende que </w:t>
      </w:r>
      <w:r w:rsidRPr="00A3081D">
        <w:rPr>
          <w:b/>
          <w:i w:val="0"/>
          <w:sz w:val="24"/>
          <w:szCs w:val="24"/>
        </w:rPr>
        <w:t xml:space="preserve">El Sujeto Obligado </w:t>
      </w:r>
      <w:r w:rsidRPr="00A3081D">
        <w:rPr>
          <w:i w:val="0"/>
          <w:sz w:val="24"/>
          <w:szCs w:val="24"/>
        </w:rPr>
        <w:t>se auxilia de diversas Direcciones, Departamentos y Órganos para cumplir con sus fines y objetivos, resultando de nuestro interés la</w:t>
      </w:r>
      <w:r>
        <w:rPr>
          <w:i w:val="0"/>
          <w:sz w:val="24"/>
          <w:szCs w:val="24"/>
        </w:rPr>
        <w:t xml:space="preserve"> Dirección de Servicios Públicos y Administración, al coordinar </w:t>
      </w:r>
      <w:r w:rsidR="00B660C1">
        <w:rPr>
          <w:i w:val="0"/>
          <w:sz w:val="24"/>
          <w:szCs w:val="24"/>
        </w:rPr>
        <w:t xml:space="preserve">y supervisar el programa anual de adquisiciones, así como al integrar y actualizar el catálogo general de proveedores.  </w:t>
      </w:r>
    </w:p>
    <w:p w14:paraId="698B9E03" w14:textId="77777777" w:rsidR="00B660C1" w:rsidRDefault="00B660C1" w:rsidP="00B660C1">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De manera complementaria se precisa que la adjudicación de adquisiciones, arrendamientos o servicios </w:t>
      </w:r>
      <w:r w:rsidRPr="00B660C1">
        <w:rPr>
          <w:rFonts w:ascii="Palatino Linotype" w:hAnsi="Palatino Linotype" w:cs="Arial"/>
          <w:b/>
          <w:color w:val="000000"/>
          <w:u w:val="single"/>
          <w:lang w:val="es-ES_tradnl"/>
        </w:rPr>
        <w:t>se subordina al principio de licitación pública y excepcionalmente a la invitación restringida,</w:t>
      </w:r>
      <w:r>
        <w:rPr>
          <w:rFonts w:ascii="Palatino Linotype" w:hAnsi="Palatino Linotype" w:cs="Arial"/>
          <w:color w:val="000000"/>
          <w:lang w:val="es-ES_tradnl"/>
        </w:rPr>
        <w:t xml:space="preserve"> así como a la adjudicación directa. Asimismo, en dicho proceso, participará un Comité de Adquisiciones y Servicios, el cual se nutre por representantes de múltiples unidades administrativas, en términos del Reglamento de la Ley de Contratación Pública del Estado de México y Municipios. </w:t>
      </w:r>
    </w:p>
    <w:p w14:paraId="2C39BEB2" w14:textId="362E6C29" w:rsidR="00B660C1" w:rsidRPr="00AA7EDD" w:rsidRDefault="00B660C1" w:rsidP="00B660C1">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dentro de las fronteras conceptuales del interés general y el alcance público, robustece lo anterior los artículos </w:t>
      </w:r>
      <w:r>
        <w:rPr>
          <w:rFonts w:ascii="Palatino Linotype" w:hAnsi="Palatino Linotype"/>
        </w:rPr>
        <w:lastRenderedPageBreak/>
        <w:t xml:space="preserve">24, fracción XII y 92, </w:t>
      </w:r>
      <w:r w:rsidR="005E2566">
        <w:rPr>
          <w:rFonts w:ascii="Palatino Linotype" w:hAnsi="Palatino Linotype"/>
        </w:rPr>
        <w:t>fracciones</w:t>
      </w:r>
      <w:r>
        <w:rPr>
          <w:rFonts w:ascii="Palatino Linotype" w:hAnsi="Palatino Linotype"/>
        </w:rPr>
        <w:t xml:space="preserve"> XXIX </w:t>
      </w:r>
      <w:r w:rsidR="005E2566">
        <w:rPr>
          <w:rFonts w:ascii="Palatino Linotype" w:hAnsi="Palatino Linotype"/>
        </w:rPr>
        <w:t xml:space="preserve">y XXXVI </w:t>
      </w:r>
      <w:r>
        <w:rPr>
          <w:rFonts w:ascii="Palatino Linotype" w:hAnsi="Palatino Linotype"/>
        </w:rPr>
        <w:t xml:space="preserve">de la Ley de Transparencia y Acceso a la Información Pública del Estado de México y Municipios, normatividad invocada cuyo contenido literal es el siguiente: </w:t>
      </w:r>
    </w:p>
    <w:p w14:paraId="3E5571D4"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EFCB093" w14:textId="77777777" w:rsidR="00B660C1" w:rsidRPr="00E66BD3" w:rsidRDefault="00B660C1" w:rsidP="00B660C1">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F0EDA15"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D13A03" w14:textId="77777777" w:rsidR="00B660C1" w:rsidRPr="00E66BD3" w:rsidRDefault="00B660C1" w:rsidP="00B660C1">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0AB4B99" w14:textId="77777777" w:rsidR="00B660C1" w:rsidRPr="00E66BD3" w:rsidRDefault="00B660C1" w:rsidP="00B660C1">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6680037F"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581313F3"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2) Los nombres de los participantes o invitados; </w:t>
      </w:r>
    </w:p>
    <w:p w14:paraId="6EF131EF"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361583CD"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726E318D"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086FE583"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47C48CA9" w14:textId="77777777" w:rsidR="00B660C1" w:rsidRPr="00973708" w:rsidRDefault="00B660C1" w:rsidP="00B660C1">
      <w:pPr>
        <w:spacing w:before="240" w:line="360" w:lineRule="auto"/>
        <w:ind w:left="851" w:right="851"/>
        <w:jc w:val="both"/>
        <w:rPr>
          <w:rFonts w:ascii="Palatino Linotype" w:hAnsi="Palatino Linotype"/>
          <w:b/>
          <w:i/>
          <w:u w:val="single"/>
        </w:rPr>
      </w:pPr>
      <w:r w:rsidRPr="00973708">
        <w:rPr>
          <w:rFonts w:ascii="Palatino Linotype" w:hAnsi="Palatino Linotype"/>
          <w:b/>
          <w:i/>
          <w:u w:val="single"/>
        </w:rPr>
        <w:t xml:space="preserve">7) El contrato y, en su caso, sus anexos; </w:t>
      </w:r>
    </w:p>
    <w:p w14:paraId="5A550077"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09FFC39A"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33FFB3C7"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73A0A20C"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74758E82"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5CE8FDA5"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71579CD9" w14:textId="77777777" w:rsidR="00B660C1" w:rsidRPr="00E66BD3" w:rsidRDefault="00B660C1" w:rsidP="00B660C1">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49291EFA"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49963742"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2) Los motivos y fundamentos legales aplicados para llevarla a cabo; </w:t>
      </w:r>
    </w:p>
    <w:p w14:paraId="22D2C209"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0A6A8BB2"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347DD686"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5A9BA89F"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20A0C2B7"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525AAFFC"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C1E37A7"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2E49EB18" w14:textId="77777777" w:rsidR="00B660C1" w:rsidRPr="00E66BD3" w:rsidRDefault="00B660C1" w:rsidP="00B660C1">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64CCC112" w14:textId="692D1EC8" w:rsidR="00B660C1" w:rsidRDefault="00B660C1" w:rsidP="00B660C1">
      <w:pPr>
        <w:spacing w:before="240" w:line="360" w:lineRule="auto"/>
        <w:ind w:left="851" w:right="851"/>
        <w:jc w:val="both"/>
        <w:rPr>
          <w:rFonts w:ascii="Palatino Linotype" w:hAnsi="Palatino Linotype"/>
          <w:i/>
        </w:rPr>
      </w:pPr>
      <w:r>
        <w:rPr>
          <w:rFonts w:ascii="Palatino Linotype" w:hAnsi="Palatino Linotype"/>
          <w:i/>
        </w:rPr>
        <w:t>11) El finiquito.</w:t>
      </w:r>
    </w:p>
    <w:p w14:paraId="1189A935" w14:textId="62FF3435" w:rsidR="00B660C1" w:rsidRDefault="00B660C1" w:rsidP="00B660C1">
      <w:pPr>
        <w:spacing w:before="240" w:line="360" w:lineRule="auto"/>
        <w:ind w:left="851" w:right="851"/>
        <w:jc w:val="both"/>
        <w:rPr>
          <w:rFonts w:ascii="Palatino Linotype" w:hAnsi="Palatino Linotype"/>
          <w:i/>
        </w:rPr>
      </w:pPr>
      <w:r>
        <w:rPr>
          <w:rFonts w:ascii="Palatino Linotype" w:hAnsi="Palatino Linotype"/>
          <w:i/>
        </w:rPr>
        <w:t>(…)</w:t>
      </w:r>
    </w:p>
    <w:p w14:paraId="7382B336" w14:textId="47085E5F" w:rsidR="00B660C1" w:rsidRPr="00B660C1" w:rsidRDefault="00B660C1" w:rsidP="00B660C1">
      <w:pPr>
        <w:pStyle w:val="INFOEM"/>
        <w:rPr>
          <w:sz w:val="24"/>
          <w:u w:val="single"/>
        </w:rPr>
      </w:pPr>
      <w:r w:rsidRPr="00B660C1">
        <w:rPr>
          <w:b/>
          <w:u w:val="single"/>
        </w:rPr>
        <w:t>XXXVI. Padrón de proveedores y contratistas</w:t>
      </w:r>
      <w:r>
        <w:rPr>
          <w:b/>
          <w:u w:val="single"/>
        </w:rPr>
        <w:t xml:space="preserve">” </w:t>
      </w:r>
      <w:r>
        <w:rPr>
          <w:u w:val="single"/>
        </w:rPr>
        <w:t>[Sic]</w:t>
      </w:r>
    </w:p>
    <w:p w14:paraId="47916752" w14:textId="77777777" w:rsidR="00FD61E5" w:rsidRDefault="00FD61E5" w:rsidP="00973708">
      <w:pPr>
        <w:pStyle w:val="infoemcitas"/>
        <w:tabs>
          <w:tab w:val="left" w:pos="7655"/>
        </w:tabs>
        <w:ind w:left="0" w:right="0"/>
        <w:rPr>
          <w:i w:val="0"/>
          <w:sz w:val="24"/>
          <w:szCs w:val="24"/>
        </w:rPr>
      </w:pPr>
    </w:p>
    <w:p w14:paraId="05BE3BD4" w14:textId="77777777" w:rsidR="00973708" w:rsidRDefault="00973708" w:rsidP="00973708">
      <w:pPr>
        <w:pStyle w:val="infoemcitas"/>
        <w:tabs>
          <w:tab w:val="left" w:pos="7655"/>
        </w:tabs>
        <w:ind w:left="0" w:right="0"/>
        <w:rPr>
          <w:i w:val="0"/>
          <w:sz w:val="24"/>
          <w:szCs w:val="24"/>
        </w:rPr>
      </w:pPr>
      <w:r>
        <w:rPr>
          <w:i w:val="0"/>
          <w:sz w:val="24"/>
          <w:szCs w:val="24"/>
        </w:rPr>
        <w:lastRenderedPageBreak/>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46EC126C" w14:textId="6E09E2FE" w:rsidR="00B660C1" w:rsidRDefault="009B1519" w:rsidP="00973708">
      <w:pPr>
        <w:pStyle w:val="INFOEM"/>
        <w:tabs>
          <w:tab w:val="left" w:pos="8080"/>
        </w:tabs>
        <w:ind w:left="0" w:right="0"/>
        <w:rPr>
          <w:rStyle w:val="Hipervnculo"/>
          <w:i w:val="0"/>
          <w:sz w:val="24"/>
          <w:szCs w:val="24"/>
        </w:rPr>
      </w:pPr>
      <w:hyperlink r:id="rId8" w:history="1">
        <w:r w:rsidR="00973708" w:rsidRPr="00B12E7A">
          <w:rPr>
            <w:rStyle w:val="Hipervnculo"/>
            <w:i w:val="0"/>
            <w:sz w:val="24"/>
            <w:szCs w:val="24"/>
          </w:rPr>
          <w:t>https://www.infoem.org.mx/es/contenido/transparencia/directorio-de-sujetos-obligados</w:t>
        </w:r>
      </w:hyperlink>
    </w:p>
    <w:p w14:paraId="015DA5F8" w14:textId="0B14E230" w:rsidR="00973708" w:rsidRDefault="00FD61E5" w:rsidP="00973708">
      <w:pPr>
        <w:pStyle w:val="INFOEM"/>
        <w:tabs>
          <w:tab w:val="left" w:pos="8080"/>
        </w:tabs>
        <w:ind w:left="0" w:right="0"/>
        <w:rPr>
          <w:rStyle w:val="Hipervnculo"/>
          <w:i w:val="0"/>
          <w:sz w:val="24"/>
          <w:szCs w:val="24"/>
        </w:rPr>
      </w:pPr>
      <w:r>
        <w:rPr>
          <w:rStyle w:val="Hipervnculo"/>
          <w:i w:val="0"/>
          <w:noProof/>
          <w:sz w:val="24"/>
          <w:szCs w:val="24"/>
          <w:lang w:eastAsia="es-MX"/>
        </w:rPr>
        <w:drawing>
          <wp:anchor distT="0" distB="0" distL="114300" distR="114300" simplePos="0" relativeHeight="251660288" behindDoc="0" locked="0" layoutInCell="1" allowOverlap="1" wp14:anchorId="158BD4A7" wp14:editId="3B35FE77">
            <wp:simplePos x="0" y="0"/>
            <wp:positionH relativeFrom="column">
              <wp:posOffset>-86360</wp:posOffset>
            </wp:positionH>
            <wp:positionV relativeFrom="paragraph">
              <wp:posOffset>397510</wp:posOffset>
            </wp:positionV>
            <wp:extent cx="5741035" cy="3323590"/>
            <wp:effectExtent l="19050" t="19050" r="12065" b="10160"/>
            <wp:wrapThrough wrapText="bothSides">
              <wp:wrapPolygon edited="0">
                <wp:start x="-72" y="-124"/>
                <wp:lineTo x="-72" y="21542"/>
                <wp:lineTo x="21574" y="21542"/>
                <wp:lineTo x="21574" y="-124"/>
                <wp:lineTo x="-72" y="-124"/>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1035" cy="3323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B4BB04" w14:textId="5D5BF941" w:rsidR="00973708" w:rsidRDefault="00FD61E5" w:rsidP="00973708">
      <w:pPr>
        <w:pStyle w:val="INFOEM"/>
        <w:tabs>
          <w:tab w:val="left" w:pos="8080"/>
        </w:tabs>
        <w:ind w:left="0" w:right="0"/>
        <w:rPr>
          <w:rStyle w:val="Hipervnculo"/>
          <w:i w:val="0"/>
          <w:sz w:val="24"/>
          <w:szCs w:val="24"/>
        </w:rPr>
      </w:pPr>
      <w:r>
        <w:rPr>
          <w:i w:val="0"/>
          <w:noProof/>
          <w:color w:val="0563C1" w:themeColor="hyperlink"/>
          <w:sz w:val="24"/>
          <w:szCs w:val="24"/>
          <w:u w:val="single"/>
          <w:lang w:eastAsia="es-MX"/>
        </w:rPr>
        <mc:AlternateContent>
          <mc:Choice Requires="wps">
            <w:drawing>
              <wp:anchor distT="0" distB="0" distL="114300" distR="114300" simplePos="0" relativeHeight="251661312" behindDoc="0" locked="0" layoutInCell="1" allowOverlap="1" wp14:anchorId="2C7624F5" wp14:editId="0BAA3F11">
                <wp:simplePos x="0" y="0"/>
                <wp:positionH relativeFrom="column">
                  <wp:posOffset>-348615</wp:posOffset>
                </wp:positionH>
                <wp:positionV relativeFrom="paragraph">
                  <wp:posOffset>3554729</wp:posOffset>
                </wp:positionV>
                <wp:extent cx="6337190" cy="1494845"/>
                <wp:effectExtent l="0" t="0" r="26035" b="29210"/>
                <wp:wrapNone/>
                <wp:docPr id="16" name="Conector recto 16"/>
                <wp:cNvGraphicFramePr/>
                <a:graphic xmlns:a="http://schemas.openxmlformats.org/drawingml/2006/main">
                  <a:graphicData uri="http://schemas.microsoft.com/office/word/2010/wordprocessingShape">
                    <wps:wsp>
                      <wps:cNvCnPr/>
                      <wps:spPr>
                        <a:xfrm>
                          <a:off x="0" y="0"/>
                          <a:ext cx="6337190" cy="14948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B7348" id="Conector recto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45pt,279.9pt" to="471.55pt,3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" strokecolor="#5b9bd5 [3204]" strokeweight=".5pt">
                <v:stroke joinstyle="miter"/>
              </v:line>
            </w:pict>
          </mc:Fallback>
        </mc:AlternateContent>
      </w:r>
    </w:p>
    <w:p w14:paraId="30774A78" w14:textId="4ACB1B39" w:rsidR="00973708" w:rsidRDefault="00973708" w:rsidP="00973708">
      <w:pPr>
        <w:pStyle w:val="INFOEM"/>
        <w:tabs>
          <w:tab w:val="left" w:pos="8080"/>
        </w:tabs>
        <w:ind w:left="0" w:right="0"/>
        <w:rPr>
          <w:rStyle w:val="Hipervnculo"/>
          <w:i w:val="0"/>
          <w:sz w:val="24"/>
          <w:szCs w:val="24"/>
        </w:rPr>
      </w:pPr>
    </w:p>
    <w:p w14:paraId="6B709D8A" w14:textId="3296E576" w:rsidR="00973708" w:rsidRDefault="00973708" w:rsidP="00973708">
      <w:pPr>
        <w:pStyle w:val="INFOEM"/>
        <w:tabs>
          <w:tab w:val="left" w:pos="8080"/>
        </w:tabs>
        <w:ind w:left="0" w:right="0"/>
        <w:rPr>
          <w:rStyle w:val="Hipervnculo"/>
          <w:i w:val="0"/>
          <w:sz w:val="24"/>
          <w:szCs w:val="24"/>
        </w:rPr>
      </w:pPr>
    </w:p>
    <w:p w14:paraId="5A58B4AD" w14:textId="77777777" w:rsidR="00973708" w:rsidRPr="00A3081D" w:rsidRDefault="00973708" w:rsidP="00973708">
      <w:pPr>
        <w:pStyle w:val="INFOEM"/>
        <w:tabs>
          <w:tab w:val="left" w:pos="8080"/>
        </w:tabs>
        <w:ind w:left="0" w:right="0"/>
        <w:rPr>
          <w:i w:val="0"/>
          <w:sz w:val="24"/>
          <w:szCs w:val="24"/>
        </w:rPr>
      </w:pPr>
    </w:p>
    <w:p w14:paraId="3EA4B14E" w14:textId="786E5DC0" w:rsidR="00A3081D" w:rsidRDefault="00FD61E5" w:rsidP="00A3081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lang w:eastAsia="es-MX"/>
        </w:rPr>
        <w:lastRenderedPageBreak/>
        <w:drawing>
          <wp:anchor distT="0" distB="0" distL="114300" distR="114300" simplePos="0" relativeHeight="251663360" behindDoc="0" locked="0" layoutInCell="1" allowOverlap="1" wp14:anchorId="07BEE5C5" wp14:editId="3FC5BD5D">
            <wp:simplePos x="0" y="0"/>
            <wp:positionH relativeFrom="column">
              <wp:posOffset>-57897</wp:posOffset>
            </wp:positionH>
            <wp:positionV relativeFrom="paragraph">
              <wp:posOffset>3522532</wp:posOffset>
            </wp:positionV>
            <wp:extent cx="5734685" cy="3323590"/>
            <wp:effectExtent l="19050" t="19050" r="18415" b="10160"/>
            <wp:wrapThrough wrapText="bothSides">
              <wp:wrapPolygon edited="0">
                <wp:start x="-72" y="-124"/>
                <wp:lineTo x="-72" y="21542"/>
                <wp:lineTo x="21598" y="21542"/>
                <wp:lineTo x="21598" y="-124"/>
                <wp:lineTo x="-72" y="-124"/>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685" cy="3323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62336" behindDoc="0" locked="0" layoutInCell="1" allowOverlap="1" wp14:anchorId="1C7CE0C7" wp14:editId="207CE7D6">
            <wp:simplePos x="0" y="0"/>
            <wp:positionH relativeFrom="column">
              <wp:posOffset>-70927</wp:posOffset>
            </wp:positionH>
            <wp:positionV relativeFrom="paragraph">
              <wp:posOffset>19271</wp:posOffset>
            </wp:positionV>
            <wp:extent cx="5748655" cy="3323590"/>
            <wp:effectExtent l="19050" t="19050" r="23495" b="10160"/>
            <wp:wrapThrough wrapText="bothSides">
              <wp:wrapPolygon edited="0">
                <wp:start x="-72" y="-124"/>
                <wp:lineTo x="-72" y="21542"/>
                <wp:lineTo x="21617" y="21542"/>
                <wp:lineTo x="21617" y="-124"/>
                <wp:lineTo x="-72" y="-124"/>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8655" cy="3323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0C844D" w14:textId="1230DB4D" w:rsidR="00973708" w:rsidRPr="00973708" w:rsidRDefault="00973708" w:rsidP="00973708">
      <w:pPr>
        <w:tabs>
          <w:tab w:val="left" w:pos="709"/>
        </w:tabs>
        <w:spacing w:before="240" w:line="360" w:lineRule="auto"/>
        <w:jc w:val="both"/>
        <w:rPr>
          <w:rFonts w:ascii="Palatino Linotype" w:hAnsi="Palatino Linotype" w:cs="Arial"/>
          <w:bCs/>
          <w:sz w:val="24"/>
          <w:szCs w:val="24"/>
          <w:lang w:val="es-ES"/>
        </w:rPr>
      </w:pPr>
      <w:r w:rsidRPr="00ED4B06">
        <w:rPr>
          <w:rFonts w:ascii="Palatino Linotype" w:hAnsi="Palatino Linotype"/>
          <w:bCs/>
          <w:sz w:val="24"/>
          <w:szCs w:val="24"/>
        </w:rPr>
        <w:lastRenderedPageBreak/>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 xml:space="preserve">lo constriñe a generar, poseer y administrar la información requerida. </w:t>
      </w:r>
      <w:r>
        <w:rPr>
          <w:rFonts w:ascii="Palatino Linotype" w:hAnsi="Palatino Linotype" w:cs="Arial"/>
          <w:bCs/>
          <w:sz w:val="24"/>
          <w:szCs w:val="24"/>
          <w:lang w:val="es-ES"/>
        </w:rPr>
        <w:t xml:space="preserve">Una vez sentado lo anterior, como se mencionó en el antecedente segundo, </w:t>
      </w:r>
      <w:r>
        <w:rPr>
          <w:rFonts w:ascii="Palatino Linotype" w:hAnsi="Palatino Linotype" w:cs="Arial"/>
          <w:b/>
          <w:bCs/>
          <w:sz w:val="24"/>
          <w:szCs w:val="24"/>
          <w:lang w:val="es-ES"/>
        </w:rPr>
        <w:t xml:space="preserve">El Sujeto Obligado </w:t>
      </w:r>
      <w:r>
        <w:rPr>
          <w:rFonts w:ascii="Palatino Linotype" w:hAnsi="Palatino Linotype" w:cs="Arial"/>
          <w:bCs/>
          <w:sz w:val="24"/>
          <w:szCs w:val="24"/>
          <w:lang w:val="es-ES"/>
        </w:rPr>
        <w:t xml:space="preserve">en fecha doce de abril del año en curso, rindió su respuesta a las solicitudes de información </w:t>
      </w:r>
      <w:r>
        <w:rPr>
          <w:rFonts w:ascii="Palatino Linotype" w:hAnsi="Palatino Linotype" w:cs="Arial"/>
          <w:b/>
          <w:sz w:val="24"/>
        </w:rPr>
        <w:t>00033/SANTOTOM/IP/2021, 00032/SANTOTOM/IP/2021 y 00029/SANTOTOM/IP/2021</w:t>
      </w:r>
      <w:r>
        <w:rPr>
          <w:rFonts w:ascii="Palatino Linotype" w:hAnsi="Palatino Linotype" w:cs="Arial"/>
          <w:b/>
          <w:bCs/>
          <w:sz w:val="24"/>
          <w:szCs w:val="24"/>
          <w:lang w:val="es-ES"/>
        </w:rPr>
        <w:t xml:space="preserve">, </w:t>
      </w:r>
      <w:r w:rsidRPr="00973708">
        <w:rPr>
          <w:rFonts w:ascii="Palatino Linotype" w:hAnsi="Palatino Linotype" w:cs="Arial"/>
          <w:bCs/>
          <w:sz w:val="24"/>
          <w:szCs w:val="24"/>
          <w:lang w:val="es-ES"/>
        </w:rPr>
        <w:t>adjuntando para tal efecto lo</w:t>
      </w:r>
      <w:r w:rsidR="0048312D">
        <w:rPr>
          <w:rFonts w:ascii="Palatino Linotype" w:hAnsi="Palatino Linotype" w:cs="Arial"/>
          <w:bCs/>
          <w:sz w:val="24"/>
          <w:szCs w:val="24"/>
          <w:lang w:val="es-ES"/>
        </w:rPr>
        <w:t>s</w:t>
      </w:r>
      <w:r w:rsidRPr="00973708">
        <w:rPr>
          <w:rFonts w:ascii="Palatino Linotype" w:hAnsi="Palatino Linotype" w:cs="Arial"/>
          <w:bCs/>
          <w:sz w:val="24"/>
          <w:szCs w:val="24"/>
          <w:lang w:val="es-ES"/>
        </w:rPr>
        <w:t xml:space="preserve"> siguiente</w:t>
      </w:r>
      <w:r w:rsidR="0048312D">
        <w:rPr>
          <w:rFonts w:ascii="Palatino Linotype" w:hAnsi="Palatino Linotype" w:cs="Arial"/>
          <w:bCs/>
          <w:sz w:val="24"/>
          <w:szCs w:val="24"/>
          <w:lang w:val="es-ES"/>
        </w:rPr>
        <w:t>s soportes documentales, respectivamente</w:t>
      </w:r>
      <w:r w:rsidRPr="00973708">
        <w:rPr>
          <w:rFonts w:ascii="Palatino Linotype" w:hAnsi="Palatino Linotype" w:cs="Arial"/>
          <w:bCs/>
          <w:sz w:val="24"/>
          <w:szCs w:val="24"/>
          <w:lang w:val="es-ES"/>
        </w:rPr>
        <w:t>:</w:t>
      </w:r>
    </w:p>
    <w:p w14:paraId="26C8D0E2" w14:textId="1FAD713B" w:rsidR="00973708" w:rsidRPr="00D71F34" w:rsidRDefault="00973708" w:rsidP="00973708">
      <w:pPr>
        <w:pStyle w:val="Prrafodelista"/>
        <w:numPr>
          <w:ilvl w:val="0"/>
          <w:numId w:val="18"/>
        </w:numPr>
        <w:tabs>
          <w:tab w:val="left" w:pos="709"/>
        </w:tabs>
        <w:spacing w:before="240" w:line="360" w:lineRule="auto"/>
        <w:jc w:val="both"/>
        <w:rPr>
          <w:rFonts w:ascii="Palatino Linotype" w:hAnsi="Palatino Linotype" w:cs="Arial"/>
          <w:bCs/>
        </w:rPr>
      </w:pPr>
      <w:r w:rsidRPr="00D71F34">
        <w:rPr>
          <w:rFonts w:ascii="Palatino Linotype" w:hAnsi="Palatino Linotype" w:cs="Arial"/>
          <w:b/>
        </w:rPr>
        <w:t xml:space="preserve">“RESPUESTA 00033.pdf”: </w:t>
      </w:r>
      <w:r w:rsidRPr="00D71F34">
        <w:rPr>
          <w:rFonts w:ascii="Palatino Linotype" w:hAnsi="Palatino Linotype" w:cs="Arial"/>
        </w:rPr>
        <w:t xml:space="preserve">Oficio </w:t>
      </w:r>
      <w:r w:rsidRPr="00D71F34">
        <w:rPr>
          <w:rFonts w:ascii="Palatino Linotype" w:hAnsi="Palatino Linotype"/>
          <w:b/>
        </w:rPr>
        <w:t>ST/PM/ST/UT/0130/2021</w:t>
      </w:r>
      <w:r w:rsidRPr="00D71F34">
        <w:rPr>
          <w:rFonts w:ascii="Palatino Linotype" w:hAnsi="Palatino Linotype"/>
        </w:rPr>
        <w:t xml:space="preserve"> signado por el Titular de la Unidad de Transparencia y dirigido al particular, en lo medular </w:t>
      </w:r>
      <w:r w:rsidR="0048531A" w:rsidRPr="00D71F34">
        <w:rPr>
          <w:rFonts w:ascii="Palatino Linotype" w:hAnsi="Palatino Linotype"/>
        </w:rPr>
        <w:t xml:space="preserve">refiere que </w:t>
      </w:r>
      <w:r w:rsidR="0048531A" w:rsidRPr="00D71F34">
        <w:rPr>
          <w:rFonts w:ascii="Palatino Linotype" w:hAnsi="Palatino Linotype"/>
          <w:b/>
          <w:u w:val="single"/>
        </w:rPr>
        <w:t>la información requerida refleja diversos datos personales</w:t>
      </w:r>
      <w:r w:rsidR="0048531A" w:rsidRPr="00D71F34">
        <w:rPr>
          <w:rFonts w:ascii="Palatino Linotype" w:hAnsi="Palatino Linotype"/>
        </w:rPr>
        <w:t xml:space="preserve">, actualizando las causales de procedencia de la clasificación de información confidencial, por ello, refiere que la información se encuentra disponible para </w:t>
      </w:r>
      <w:r w:rsidR="0048531A" w:rsidRPr="00136503">
        <w:rPr>
          <w:rFonts w:ascii="Palatino Linotype" w:hAnsi="Palatino Linotype"/>
          <w:b/>
          <w:u w:val="single"/>
        </w:rPr>
        <w:t>su consulta directa</w:t>
      </w:r>
      <w:r w:rsidR="0048531A" w:rsidRPr="00D71F34">
        <w:rPr>
          <w:rFonts w:ascii="Palatino Linotype" w:hAnsi="Palatino Linotype"/>
        </w:rPr>
        <w:t xml:space="preserve">; de fecha doce de abril de dos mil veintiuno. </w:t>
      </w:r>
    </w:p>
    <w:p w14:paraId="78F7AA10" w14:textId="77777777" w:rsidR="0048531A" w:rsidRPr="00D71F34" w:rsidRDefault="00973708" w:rsidP="0048531A">
      <w:pPr>
        <w:pStyle w:val="Prrafodelista"/>
        <w:numPr>
          <w:ilvl w:val="0"/>
          <w:numId w:val="18"/>
        </w:numPr>
        <w:tabs>
          <w:tab w:val="left" w:pos="709"/>
        </w:tabs>
        <w:spacing w:before="240" w:line="360" w:lineRule="auto"/>
        <w:jc w:val="both"/>
        <w:rPr>
          <w:rFonts w:ascii="Palatino Linotype" w:hAnsi="Palatino Linotype" w:cs="Arial"/>
          <w:bCs/>
        </w:rPr>
      </w:pPr>
      <w:r w:rsidRPr="00D71F34">
        <w:rPr>
          <w:rFonts w:ascii="Palatino Linotype" w:hAnsi="Palatino Linotype" w:cs="Arial"/>
          <w:b/>
        </w:rPr>
        <w:t>“RESPUESTA 00032.pdf”</w:t>
      </w:r>
      <w:r w:rsidR="0048531A" w:rsidRPr="00D71F34">
        <w:rPr>
          <w:rFonts w:ascii="Palatino Linotype" w:hAnsi="Palatino Linotype" w:cs="Arial"/>
          <w:b/>
        </w:rPr>
        <w:t xml:space="preserve">: </w:t>
      </w:r>
      <w:r w:rsidR="0048531A" w:rsidRPr="00D71F34">
        <w:rPr>
          <w:rFonts w:ascii="Palatino Linotype" w:hAnsi="Palatino Linotype" w:cs="Arial"/>
        </w:rPr>
        <w:t xml:space="preserve">Oficio </w:t>
      </w:r>
      <w:r w:rsidR="0048531A" w:rsidRPr="00D71F34">
        <w:rPr>
          <w:rFonts w:ascii="Palatino Linotype" w:hAnsi="Palatino Linotype"/>
          <w:b/>
        </w:rPr>
        <w:t>ST/PM/ST/UT/0129/2021</w:t>
      </w:r>
      <w:r w:rsidR="0048531A" w:rsidRPr="00D71F34">
        <w:rPr>
          <w:rFonts w:ascii="Palatino Linotype" w:hAnsi="Palatino Linotype"/>
        </w:rPr>
        <w:t xml:space="preserve"> signado por el Titular de la Unidad de Transparencia y dirigido al particular, en lo medular refiere que </w:t>
      </w:r>
      <w:r w:rsidR="0048531A" w:rsidRPr="00D71F34">
        <w:rPr>
          <w:rFonts w:ascii="Palatino Linotype" w:hAnsi="Palatino Linotype"/>
          <w:b/>
          <w:u w:val="single"/>
        </w:rPr>
        <w:t>la información requerida refleja diversos datos personales</w:t>
      </w:r>
      <w:r w:rsidR="0048531A" w:rsidRPr="00D71F34">
        <w:rPr>
          <w:rFonts w:ascii="Palatino Linotype" w:hAnsi="Palatino Linotype"/>
        </w:rPr>
        <w:t xml:space="preserve">, actualizando las causales de procedencia de la clasificación de información confidencial, por ello, refiere que la información se encuentra disponible para </w:t>
      </w:r>
      <w:r w:rsidR="0048531A" w:rsidRPr="00136503">
        <w:rPr>
          <w:rFonts w:ascii="Palatino Linotype" w:hAnsi="Palatino Linotype"/>
          <w:b/>
          <w:u w:val="single"/>
        </w:rPr>
        <w:t>su consulta directa</w:t>
      </w:r>
      <w:r w:rsidR="0048531A" w:rsidRPr="00D71F34">
        <w:rPr>
          <w:rFonts w:ascii="Palatino Linotype" w:hAnsi="Palatino Linotype"/>
        </w:rPr>
        <w:t xml:space="preserve">; de fecha doce de abril de dos mil veintiuno. </w:t>
      </w:r>
    </w:p>
    <w:p w14:paraId="55B20388" w14:textId="06E2C36B" w:rsidR="00973708" w:rsidRPr="00D71F34" w:rsidRDefault="0048531A" w:rsidP="00973708">
      <w:pPr>
        <w:pStyle w:val="Prrafodelista"/>
        <w:numPr>
          <w:ilvl w:val="0"/>
          <w:numId w:val="18"/>
        </w:numPr>
        <w:tabs>
          <w:tab w:val="left" w:pos="709"/>
        </w:tabs>
        <w:spacing w:before="240" w:line="360" w:lineRule="auto"/>
        <w:jc w:val="both"/>
        <w:rPr>
          <w:rFonts w:ascii="Palatino Linotype" w:hAnsi="Palatino Linotype" w:cs="Arial"/>
          <w:bCs/>
        </w:rPr>
      </w:pPr>
      <w:r w:rsidRPr="00D71F34">
        <w:rPr>
          <w:rFonts w:ascii="Palatino Linotype" w:hAnsi="Palatino Linotype" w:cs="Arial"/>
          <w:b/>
        </w:rPr>
        <w:t xml:space="preserve">“RESPUESTA 00029.pdf”: </w:t>
      </w:r>
      <w:r w:rsidRPr="00D71F34">
        <w:rPr>
          <w:rFonts w:ascii="Palatino Linotype" w:hAnsi="Palatino Linotype" w:cs="Arial"/>
        </w:rPr>
        <w:t xml:space="preserve">Oficio </w:t>
      </w:r>
      <w:r w:rsidRPr="00D71F34">
        <w:rPr>
          <w:rFonts w:ascii="Palatino Linotype" w:hAnsi="Palatino Linotype"/>
          <w:b/>
        </w:rPr>
        <w:t>ST/PM/ST/UT/0143/2021</w:t>
      </w:r>
      <w:r w:rsidRPr="00D71F34">
        <w:rPr>
          <w:rFonts w:ascii="Palatino Linotype" w:hAnsi="Palatino Linotype"/>
        </w:rPr>
        <w:t xml:space="preserve"> signado por el Titular de la Unidad de Transparencia y dirigido al particular, en lo medular </w:t>
      </w:r>
      <w:r w:rsidRPr="00D71F34">
        <w:rPr>
          <w:rFonts w:ascii="Palatino Linotype" w:hAnsi="Palatino Linotype"/>
          <w:b/>
          <w:u w:val="single"/>
        </w:rPr>
        <w:lastRenderedPageBreak/>
        <w:t xml:space="preserve">refiere que no se han generado cédulas de proveedores de servicios en los periodos solicitados; </w:t>
      </w:r>
      <w:r w:rsidRPr="00D71F34">
        <w:rPr>
          <w:rFonts w:ascii="Palatino Linotype" w:hAnsi="Palatino Linotype"/>
        </w:rPr>
        <w:t xml:space="preserve">de fecha trece de abril de dos mil veintiuno. </w:t>
      </w:r>
    </w:p>
    <w:p w14:paraId="4E51DC15" w14:textId="2B6EB46D" w:rsidR="00AE6169" w:rsidRDefault="00AE6169" w:rsidP="00AE6169">
      <w:pPr>
        <w:autoSpaceDE w:val="0"/>
        <w:autoSpaceDN w:val="0"/>
        <w:adjustRightInd w:val="0"/>
        <w:spacing w:before="240" w:line="360" w:lineRule="auto"/>
        <w:jc w:val="both"/>
        <w:rPr>
          <w:rFonts w:ascii="Palatino Linotype" w:hAnsi="Palatino Linotype" w:cs="Arial"/>
        </w:rPr>
      </w:pPr>
    </w:p>
    <w:p w14:paraId="5D6C6B91" w14:textId="69ACC204" w:rsidR="0048531A" w:rsidRPr="00D71F34" w:rsidRDefault="0048531A" w:rsidP="00AE6169">
      <w:pPr>
        <w:autoSpaceDE w:val="0"/>
        <w:autoSpaceDN w:val="0"/>
        <w:adjustRightInd w:val="0"/>
        <w:spacing w:before="240" w:line="360" w:lineRule="auto"/>
        <w:jc w:val="both"/>
        <w:rPr>
          <w:rFonts w:ascii="Palatino Linotype" w:hAnsi="Palatino Linotype" w:cs="Arial"/>
          <w:sz w:val="24"/>
          <w:szCs w:val="24"/>
        </w:rPr>
      </w:pPr>
      <w:r w:rsidRPr="00D71F34">
        <w:rPr>
          <w:rFonts w:ascii="Palatino Linotype" w:hAnsi="Palatino Linotype" w:cs="Arial"/>
          <w:sz w:val="24"/>
          <w:szCs w:val="24"/>
        </w:rPr>
        <w:t xml:space="preserve">En virtud de lo anterior, a toda luz es posible advertir que </w:t>
      </w:r>
      <w:r w:rsidRPr="00D71F34">
        <w:rPr>
          <w:rFonts w:ascii="Palatino Linotype" w:hAnsi="Palatino Linotype" w:cs="Arial"/>
          <w:b/>
          <w:sz w:val="24"/>
          <w:szCs w:val="24"/>
        </w:rPr>
        <w:t xml:space="preserve">El Sujeto Obligado </w:t>
      </w:r>
      <w:r w:rsidRPr="00D71F34">
        <w:rPr>
          <w:rFonts w:ascii="Palatino Linotype" w:hAnsi="Palatino Linotype" w:cs="Arial"/>
          <w:sz w:val="24"/>
          <w:szCs w:val="24"/>
        </w:rPr>
        <w:t xml:space="preserve">inobservó la obligación de turnar las solicitudes de información a todas las áreas estimadas competentes, conforme a las atribuciones, facultades y competencias reservadas. Adicionalmente, se tienen por actualizadas las causales de procedencia inmersas en el numeral 179 de la Ley de Transparencia local, fracciones I, II y VIII de la Ley de Transparencia local, porciones normativas que disponen a la literalidad lo siguiente: </w:t>
      </w:r>
    </w:p>
    <w:p w14:paraId="58DAA25C" w14:textId="67FBE5FE" w:rsidR="0048531A" w:rsidRDefault="0048531A" w:rsidP="0048531A">
      <w:pPr>
        <w:pStyle w:val="INFOEM"/>
      </w:pPr>
      <w:r>
        <w:t>“Artículo 179. El recurso de revisión es un medio de protección que la Ley otorga a los particulares, para hacer valer su derecho de acceso a la información pública, y procederá en contra de las siguientes causas:</w:t>
      </w:r>
      <w:r w:rsidRPr="0048531A">
        <w:t xml:space="preserve"> </w:t>
      </w:r>
    </w:p>
    <w:p w14:paraId="764441F6" w14:textId="77777777" w:rsidR="0048531A" w:rsidRDefault="0048531A" w:rsidP="0048531A">
      <w:pPr>
        <w:pStyle w:val="INFOEM"/>
      </w:pPr>
      <w:r>
        <w:t>I. La negativa a la información solicitada;</w:t>
      </w:r>
    </w:p>
    <w:p w14:paraId="3574E759" w14:textId="33A375DA" w:rsidR="00AE6169" w:rsidRPr="00D71F34" w:rsidRDefault="0048531A" w:rsidP="0048531A">
      <w:pPr>
        <w:pStyle w:val="INFOEM"/>
        <w:rPr>
          <w:b/>
          <w:u w:val="single"/>
        </w:rPr>
      </w:pPr>
      <w:r w:rsidRPr="00D71F34">
        <w:rPr>
          <w:b/>
          <w:u w:val="single"/>
        </w:rPr>
        <w:t xml:space="preserve"> II. La clasificación de la información; </w:t>
      </w:r>
    </w:p>
    <w:p w14:paraId="67B3D221" w14:textId="1764FD51" w:rsidR="0048531A" w:rsidRDefault="0048531A" w:rsidP="0048531A">
      <w:pPr>
        <w:pStyle w:val="INFOEM"/>
      </w:pPr>
      <w:r>
        <w:t>(…)</w:t>
      </w:r>
    </w:p>
    <w:p w14:paraId="1856BEDB" w14:textId="57434ACC" w:rsidR="0048531A" w:rsidRPr="00D71F34" w:rsidRDefault="0048531A" w:rsidP="0048531A">
      <w:pPr>
        <w:pStyle w:val="INFOEM"/>
        <w:rPr>
          <w:b/>
          <w:u w:val="single"/>
        </w:rPr>
      </w:pPr>
      <w:r w:rsidRPr="00D71F34">
        <w:rPr>
          <w:b/>
          <w:u w:val="single"/>
        </w:rPr>
        <w:t>VIII. La notificación, entrega o puesta a disposición de información en una modalidad o formato distinto al solicitado;</w:t>
      </w:r>
    </w:p>
    <w:p w14:paraId="4B9959F0" w14:textId="7A4207AC" w:rsidR="0048531A" w:rsidRDefault="0048531A" w:rsidP="0048531A">
      <w:pPr>
        <w:pStyle w:val="INFOEM"/>
        <w:rPr>
          <w:b/>
        </w:rPr>
      </w:pPr>
      <w:r>
        <w:t xml:space="preserve">(…)” </w:t>
      </w:r>
      <w:r>
        <w:rPr>
          <w:b/>
        </w:rPr>
        <w:t xml:space="preserve">[Sic] </w:t>
      </w:r>
    </w:p>
    <w:p w14:paraId="2F646188" w14:textId="77777777" w:rsidR="0048531A" w:rsidRDefault="0048531A" w:rsidP="0048531A">
      <w:pPr>
        <w:pStyle w:val="INFOEM"/>
        <w:ind w:left="0"/>
      </w:pPr>
    </w:p>
    <w:p w14:paraId="039D5829" w14:textId="561B7F3E" w:rsidR="0048312D" w:rsidRDefault="0048312D" w:rsidP="0048312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Inconforme con la respuesta rendida por </w:t>
      </w:r>
      <w:r>
        <w:rPr>
          <w:rFonts w:ascii="Palatino Linotype" w:hAnsi="Palatino Linotype"/>
          <w:b/>
          <w:sz w:val="24"/>
          <w:szCs w:val="24"/>
        </w:rPr>
        <w:t xml:space="preserve">El Sujeto Obligado, La Recurrente </w:t>
      </w:r>
      <w:r>
        <w:rPr>
          <w:rFonts w:ascii="Palatino Linotype" w:hAnsi="Palatino Linotype"/>
          <w:sz w:val="24"/>
          <w:szCs w:val="24"/>
        </w:rPr>
        <w:t>interpuso recursos de revisión en fecha quince de abril, admitiéndose los días veinte y veintiuno de abril, ambos de dos mil veintiuno. Señalando como razones o motivos de inconformidad:</w:t>
      </w:r>
    </w:p>
    <w:p w14:paraId="6692388A" w14:textId="77777777" w:rsidR="0048312D" w:rsidRDefault="0048312D" w:rsidP="0048312D">
      <w:pPr>
        <w:spacing w:before="240" w:line="360" w:lineRule="auto"/>
        <w:jc w:val="both"/>
        <w:rPr>
          <w:rFonts w:ascii="Palatino Linotype" w:hAnsi="Palatino Linotype" w:cs="Arial"/>
          <w:sz w:val="24"/>
          <w:szCs w:val="24"/>
        </w:rPr>
      </w:pPr>
      <w:r>
        <w:rPr>
          <w:rFonts w:ascii="Palatino Linotype" w:hAnsi="Palatino Linotype" w:cs="Arial"/>
          <w:b/>
          <w:sz w:val="24"/>
        </w:rPr>
        <w:t>01755/INFOEM/IP/RR/2021</w:t>
      </w:r>
    </w:p>
    <w:p w14:paraId="502991B2" w14:textId="7F465FAA" w:rsidR="0048312D" w:rsidRDefault="0048312D" w:rsidP="0048312D">
      <w:pPr>
        <w:pStyle w:val="INFOEM"/>
        <w:rPr>
          <w:b/>
        </w:rPr>
      </w:pPr>
      <w:r>
        <w:t xml:space="preserve"> “El sujeto obligado no entrega la información argumentando que contiene datos de carácter confidencial, pero puede y es su deber entregar en versión pública” </w:t>
      </w:r>
      <w:r>
        <w:rPr>
          <w:b/>
        </w:rPr>
        <w:t>[Sic]</w:t>
      </w:r>
    </w:p>
    <w:p w14:paraId="0F5A607A" w14:textId="77777777" w:rsidR="00D71F34" w:rsidRPr="00011356" w:rsidRDefault="00D71F34" w:rsidP="0048312D">
      <w:pPr>
        <w:pStyle w:val="INFOEM"/>
        <w:rPr>
          <w:b/>
          <w:sz w:val="24"/>
          <w:szCs w:val="24"/>
        </w:rPr>
      </w:pPr>
    </w:p>
    <w:p w14:paraId="245AC132" w14:textId="77777777" w:rsidR="0048312D" w:rsidRDefault="0048312D" w:rsidP="0048312D">
      <w:pPr>
        <w:spacing w:before="240" w:line="360" w:lineRule="auto"/>
        <w:jc w:val="both"/>
        <w:rPr>
          <w:rFonts w:ascii="Palatino Linotype" w:hAnsi="Palatino Linotype" w:cs="Arial"/>
          <w:b/>
          <w:sz w:val="24"/>
        </w:rPr>
      </w:pPr>
      <w:r>
        <w:rPr>
          <w:rFonts w:ascii="Palatino Linotype" w:hAnsi="Palatino Linotype" w:cs="Arial"/>
          <w:b/>
          <w:sz w:val="24"/>
        </w:rPr>
        <w:t>01763/INFOEM/IP/RR/2021</w:t>
      </w:r>
    </w:p>
    <w:p w14:paraId="268FA5BA" w14:textId="49D0F265" w:rsidR="0048312D" w:rsidRDefault="0048312D" w:rsidP="0048312D">
      <w:pPr>
        <w:pStyle w:val="INFOEM"/>
        <w:rPr>
          <w:b/>
        </w:rPr>
      </w:pPr>
      <w:r>
        <w:t xml:space="preserve"> “No me remite lo solicitado porque "considera" que contiene datos confidenciales, pero puede realizar una versión pública o bien su propuesta de clasificación de la información” </w:t>
      </w:r>
      <w:r>
        <w:rPr>
          <w:b/>
        </w:rPr>
        <w:t xml:space="preserve">[Sic] </w:t>
      </w:r>
    </w:p>
    <w:p w14:paraId="1933D069" w14:textId="77777777" w:rsidR="00D71F34" w:rsidRPr="00011356" w:rsidRDefault="00D71F34" w:rsidP="0048312D">
      <w:pPr>
        <w:pStyle w:val="INFOEM"/>
        <w:rPr>
          <w:b/>
          <w:sz w:val="24"/>
          <w:szCs w:val="24"/>
        </w:rPr>
      </w:pPr>
    </w:p>
    <w:p w14:paraId="72A3F390" w14:textId="77777777" w:rsidR="0048312D" w:rsidRDefault="0048312D" w:rsidP="0048312D">
      <w:pPr>
        <w:spacing w:before="240" w:line="360" w:lineRule="auto"/>
        <w:jc w:val="both"/>
        <w:rPr>
          <w:rFonts w:ascii="Palatino Linotype" w:hAnsi="Palatino Linotype" w:cs="Arial"/>
          <w:b/>
          <w:sz w:val="24"/>
        </w:rPr>
      </w:pPr>
      <w:r>
        <w:rPr>
          <w:rFonts w:ascii="Palatino Linotype" w:hAnsi="Palatino Linotype" w:cs="Arial"/>
          <w:b/>
          <w:sz w:val="24"/>
        </w:rPr>
        <w:t>01787/INFOEM/IP/RR/2021</w:t>
      </w:r>
    </w:p>
    <w:p w14:paraId="09AAFA06" w14:textId="6FEFED6C" w:rsidR="0048312D" w:rsidRPr="00011356" w:rsidRDefault="0048312D" w:rsidP="0048312D">
      <w:pPr>
        <w:pStyle w:val="INFOEM"/>
        <w:rPr>
          <w:b/>
          <w:sz w:val="24"/>
          <w:szCs w:val="24"/>
        </w:rPr>
      </w:pPr>
      <w:r>
        <w:t xml:space="preserve"> “El sujeto obligado hace mención que me será remitida la información solicitada, sin embargo no se me adjunta nada ni se me proporciona” </w:t>
      </w:r>
      <w:r>
        <w:rPr>
          <w:b/>
        </w:rPr>
        <w:t>[Sic]</w:t>
      </w:r>
    </w:p>
    <w:p w14:paraId="77ED52E6" w14:textId="77777777" w:rsidR="0048312D" w:rsidRDefault="0048312D" w:rsidP="0048312D">
      <w:pPr>
        <w:tabs>
          <w:tab w:val="left" w:pos="709"/>
        </w:tabs>
        <w:spacing w:before="240" w:line="360" w:lineRule="auto"/>
        <w:ind w:right="51"/>
        <w:jc w:val="both"/>
        <w:rPr>
          <w:rFonts w:ascii="Palatino Linotype" w:hAnsi="Palatino Linotype"/>
          <w:sz w:val="24"/>
          <w:szCs w:val="24"/>
        </w:rPr>
      </w:pPr>
    </w:p>
    <w:p w14:paraId="1F2903C0" w14:textId="1344759D" w:rsidR="0048312D" w:rsidRDefault="0048312D" w:rsidP="0048312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como fue mencionado en el antecedente quinto, </w:t>
      </w:r>
      <w:r>
        <w:rPr>
          <w:rFonts w:ascii="Palatino Linotype" w:hAnsi="Palatino Linotype"/>
          <w:b/>
          <w:sz w:val="24"/>
          <w:szCs w:val="24"/>
        </w:rPr>
        <w:t xml:space="preserve">El Sujeto Obligado </w:t>
      </w:r>
      <w:r>
        <w:rPr>
          <w:rFonts w:ascii="Palatino Linotype" w:hAnsi="Palatino Linotype"/>
          <w:sz w:val="24"/>
          <w:szCs w:val="24"/>
        </w:rPr>
        <w:t>rindió sus informes justificados, en los siguientes términos:</w:t>
      </w:r>
    </w:p>
    <w:p w14:paraId="4F5C72DF" w14:textId="77777777" w:rsidR="0048312D" w:rsidRDefault="0048312D" w:rsidP="0048312D">
      <w:pPr>
        <w:spacing w:before="240" w:line="360" w:lineRule="auto"/>
        <w:jc w:val="both"/>
        <w:rPr>
          <w:rFonts w:ascii="Palatino Linotype" w:hAnsi="Palatino Linotype" w:cs="Arial"/>
          <w:b/>
          <w:sz w:val="24"/>
        </w:rPr>
      </w:pPr>
      <w:r>
        <w:rPr>
          <w:rFonts w:ascii="Palatino Linotype" w:hAnsi="Palatino Linotype" w:cs="Arial"/>
          <w:b/>
          <w:sz w:val="24"/>
        </w:rPr>
        <w:lastRenderedPageBreak/>
        <w:t>01755/INFOEM/IP/RR/2021</w:t>
      </w:r>
    </w:p>
    <w:p w14:paraId="777D31D0" w14:textId="29A2388B" w:rsidR="00A12CDE" w:rsidRPr="00A12CDE" w:rsidRDefault="00A12CDE" w:rsidP="00A12CDE">
      <w:pPr>
        <w:pStyle w:val="Prrafodelista"/>
        <w:numPr>
          <w:ilvl w:val="0"/>
          <w:numId w:val="19"/>
        </w:numPr>
        <w:spacing w:before="240" w:line="360" w:lineRule="auto"/>
        <w:jc w:val="both"/>
        <w:rPr>
          <w:rFonts w:ascii="Palatino Linotype" w:hAnsi="Palatino Linotype" w:cs="Arial"/>
        </w:rPr>
      </w:pPr>
      <w:r w:rsidRPr="00D71F34">
        <w:rPr>
          <w:rFonts w:ascii="Palatino Linotype" w:hAnsi="Palatino Linotype" w:cs="Arial"/>
          <w:b/>
        </w:rPr>
        <w:t>“JUSTIFICACION 00033.pdf”:</w:t>
      </w:r>
      <w:r>
        <w:rPr>
          <w:rFonts w:ascii="Palatino Linotype" w:hAnsi="Palatino Linotype" w:cs="Arial"/>
        </w:rPr>
        <w:t xml:space="preserve"> Informe justificado signado por el Titular de la Unidad de Transparencia y dirigido a la Comisionada Ponente, en lo medular confirma la respuesta primigenia; de fecha veintiséis de abril de dos mil veintiuno. </w:t>
      </w:r>
    </w:p>
    <w:p w14:paraId="6F88ECB5" w14:textId="77777777" w:rsidR="0048312D" w:rsidRDefault="0048312D" w:rsidP="0048312D">
      <w:pPr>
        <w:tabs>
          <w:tab w:val="left" w:pos="709"/>
        </w:tabs>
        <w:spacing w:before="240" w:line="360" w:lineRule="auto"/>
        <w:ind w:right="51"/>
        <w:jc w:val="both"/>
        <w:rPr>
          <w:rFonts w:ascii="Palatino Linotype" w:hAnsi="Palatino Linotype"/>
          <w:sz w:val="24"/>
          <w:szCs w:val="24"/>
        </w:rPr>
      </w:pPr>
    </w:p>
    <w:p w14:paraId="78018549" w14:textId="77777777" w:rsidR="0048312D" w:rsidRDefault="0048312D" w:rsidP="0048312D">
      <w:pPr>
        <w:spacing w:before="240" w:line="360" w:lineRule="auto"/>
        <w:jc w:val="both"/>
        <w:rPr>
          <w:rFonts w:ascii="Palatino Linotype" w:hAnsi="Palatino Linotype" w:cs="Arial"/>
          <w:b/>
          <w:sz w:val="24"/>
        </w:rPr>
      </w:pPr>
      <w:r>
        <w:rPr>
          <w:rFonts w:ascii="Palatino Linotype" w:hAnsi="Palatino Linotype" w:cs="Arial"/>
          <w:b/>
          <w:sz w:val="24"/>
        </w:rPr>
        <w:t>01763/INFOEM/IP/RR/2021</w:t>
      </w:r>
    </w:p>
    <w:p w14:paraId="3A5B161E" w14:textId="77777777" w:rsidR="00A12CDE" w:rsidRPr="00D71F34" w:rsidRDefault="00A12CDE" w:rsidP="00A12CDE">
      <w:pPr>
        <w:pStyle w:val="Prrafodelista"/>
        <w:numPr>
          <w:ilvl w:val="0"/>
          <w:numId w:val="21"/>
        </w:numPr>
        <w:spacing w:before="240" w:line="360" w:lineRule="auto"/>
        <w:jc w:val="both"/>
        <w:rPr>
          <w:rFonts w:ascii="Palatino Linotype" w:hAnsi="Palatino Linotype" w:cs="Arial"/>
        </w:rPr>
      </w:pPr>
      <w:r w:rsidRPr="00D71F34">
        <w:rPr>
          <w:rFonts w:ascii="Palatino Linotype" w:hAnsi="Palatino Linotype"/>
          <w:b/>
          <w:i/>
        </w:rPr>
        <w:t>“</w:t>
      </w:r>
      <w:r w:rsidRPr="00D71F34">
        <w:rPr>
          <w:rFonts w:ascii="Palatino Linotype" w:hAnsi="Palatino Linotype" w:cs="Arial"/>
          <w:b/>
        </w:rPr>
        <w:t xml:space="preserve">JUSTIFICACION </w:t>
      </w:r>
      <w:r w:rsidRPr="00D71F34">
        <w:rPr>
          <w:rFonts w:ascii="Palatino Linotype" w:hAnsi="Palatino Linotype"/>
          <w:b/>
        </w:rPr>
        <w:t>00032</w:t>
      </w:r>
      <w:r w:rsidRPr="00D71F34">
        <w:rPr>
          <w:rFonts w:ascii="Palatino Linotype" w:hAnsi="Palatino Linotype" w:cs="Arial"/>
          <w:b/>
        </w:rPr>
        <w:t>.pdf”:</w:t>
      </w:r>
      <w:r w:rsidRPr="00D71F34">
        <w:rPr>
          <w:rFonts w:ascii="Palatino Linotype" w:hAnsi="Palatino Linotype"/>
        </w:rPr>
        <w:t xml:space="preserve"> </w:t>
      </w:r>
      <w:r w:rsidRPr="00D71F34">
        <w:rPr>
          <w:rFonts w:ascii="Palatino Linotype" w:hAnsi="Palatino Linotype" w:cs="Arial"/>
        </w:rPr>
        <w:t xml:space="preserve">Informe justificado signado por el Titular de la Unidad de Transparencia y dirigido a la Comisionada Ponente, en lo medular confirma la respuesta primigenia; de fecha veintiséis de abril de dos mil veintiuno. </w:t>
      </w:r>
    </w:p>
    <w:p w14:paraId="38FE6657" w14:textId="4EB243B3" w:rsidR="0048531A" w:rsidRDefault="0048531A" w:rsidP="00A12CDE">
      <w:pPr>
        <w:pStyle w:val="INFOEM"/>
        <w:ind w:left="0"/>
        <w:rPr>
          <w:b/>
          <w:i w:val="0"/>
          <w:sz w:val="24"/>
          <w:szCs w:val="24"/>
        </w:rPr>
      </w:pPr>
    </w:p>
    <w:p w14:paraId="4FC4A58D" w14:textId="77777777" w:rsidR="00A12CDE" w:rsidRDefault="00A12CDE" w:rsidP="00A12CDE">
      <w:pPr>
        <w:tabs>
          <w:tab w:val="left" w:pos="709"/>
        </w:tabs>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Hasta aquí lo expuesto se desprende las siguientes consideraciones: </w:t>
      </w:r>
    </w:p>
    <w:p w14:paraId="460FFB59" w14:textId="0BFD431A" w:rsidR="00A12CDE" w:rsidRPr="00A12CDE" w:rsidRDefault="00A12CDE" w:rsidP="00A12CDE">
      <w:pPr>
        <w:pStyle w:val="Prrafodelista"/>
        <w:numPr>
          <w:ilvl w:val="0"/>
          <w:numId w:val="22"/>
        </w:numPr>
        <w:tabs>
          <w:tab w:val="left" w:pos="709"/>
        </w:tabs>
        <w:autoSpaceDE w:val="0"/>
        <w:autoSpaceDN w:val="0"/>
        <w:adjustRightInd w:val="0"/>
        <w:spacing w:before="240" w:after="160" w:line="360" w:lineRule="auto"/>
        <w:jc w:val="both"/>
        <w:rPr>
          <w:rFonts w:ascii="Palatino Linotype" w:hAnsi="Palatino Linotype"/>
        </w:rPr>
      </w:pPr>
      <w:r w:rsidRPr="009E5B1A">
        <w:rPr>
          <w:rFonts w:ascii="Palatino Linotype" w:hAnsi="Palatino Linotype" w:cs="Arial"/>
          <w:bCs/>
        </w:rPr>
        <w:t>A través del derecho de acceso a la información pública, fue</w:t>
      </w:r>
      <w:r>
        <w:rPr>
          <w:rFonts w:ascii="Palatino Linotype" w:hAnsi="Palatino Linotype" w:cs="Arial"/>
          <w:bCs/>
        </w:rPr>
        <w:t xml:space="preserve"> requerida la siguiente información:</w:t>
      </w:r>
    </w:p>
    <w:p w14:paraId="23D630BC" w14:textId="77777777" w:rsidR="00A12CDE" w:rsidRPr="00A12CDE" w:rsidRDefault="00A12CDE" w:rsidP="00A12CDE">
      <w:pPr>
        <w:pStyle w:val="Prrafodelista"/>
        <w:numPr>
          <w:ilvl w:val="0"/>
          <w:numId w:val="23"/>
        </w:numPr>
        <w:autoSpaceDE w:val="0"/>
        <w:autoSpaceDN w:val="0"/>
        <w:adjustRightInd w:val="0"/>
        <w:spacing w:before="240" w:line="360" w:lineRule="auto"/>
        <w:jc w:val="both"/>
        <w:rPr>
          <w:rFonts w:ascii="Palatino Linotype" w:hAnsi="Palatino Linotype" w:cs="Arial"/>
          <w:sz w:val="22"/>
          <w:szCs w:val="22"/>
        </w:rPr>
      </w:pPr>
      <w:r w:rsidRPr="00A12CDE">
        <w:rPr>
          <w:rFonts w:ascii="Palatino Linotype" w:hAnsi="Palatino Linotype" w:cs="Arial"/>
          <w:sz w:val="22"/>
          <w:szCs w:val="22"/>
        </w:rPr>
        <w:t xml:space="preserve">Contratos celebrados derivados de licitaciones públicas, del periodo comprendido del uno de diciembre de dos mil diecinueve al veintiocho de febrero de dos mil veintiuno. </w:t>
      </w:r>
    </w:p>
    <w:p w14:paraId="6B185E88" w14:textId="77777777" w:rsidR="00A12CDE" w:rsidRPr="00A12CDE" w:rsidRDefault="00A12CDE" w:rsidP="00A12CDE">
      <w:pPr>
        <w:pStyle w:val="Prrafodelista"/>
        <w:numPr>
          <w:ilvl w:val="0"/>
          <w:numId w:val="23"/>
        </w:numPr>
        <w:autoSpaceDE w:val="0"/>
        <w:autoSpaceDN w:val="0"/>
        <w:adjustRightInd w:val="0"/>
        <w:spacing w:before="240" w:line="360" w:lineRule="auto"/>
        <w:jc w:val="both"/>
        <w:rPr>
          <w:rFonts w:ascii="Palatino Linotype" w:hAnsi="Palatino Linotype" w:cs="Arial"/>
          <w:sz w:val="22"/>
          <w:szCs w:val="22"/>
        </w:rPr>
      </w:pPr>
      <w:r w:rsidRPr="00A12CDE">
        <w:rPr>
          <w:rFonts w:ascii="Palatino Linotype" w:hAnsi="Palatino Linotype" w:cs="Arial"/>
          <w:sz w:val="22"/>
          <w:szCs w:val="22"/>
        </w:rPr>
        <w:lastRenderedPageBreak/>
        <w:t xml:space="preserve">Contratos celebrados derivados de invitaciones restringidas o análogas, del periodo comprendido del uno de enero de dos mil diecinueve al veintiocho de febrero de dos mil veintiuno. </w:t>
      </w:r>
    </w:p>
    <w:p w14:paraId="20EF7720" w14:textId="610F75F9" w:rsidR="00A12CDE" w:rsidRPr="00A12CDE" w:rsidRDefault="00CF5D58" w:rsidP="00A12CDE">
      <w:pPr>
        <w:pStyle w:val="Prrafodelista"/>
        <w:numPr>
          <w:ilvl w:val="0"/>
          <w:numId w:val="23"/>
        </w:numPr>
        <w:autoSpaceDE w:val="0"/>
        <w:autoSpaceDN w:val="0"/>
        <w:adjustRightInd w:val="0"/>
        <w:spacing w:before="240" w:line="360" w:lineRule="auto"/>
        <w:jc w:val="both"/>
        <w:rPr>
          <w:rFonts w:ascii="Palatino Linotype" w:hAnsi="Palatino Linotype" w:cs="Arial"/>
          <w:sz w:val="22"/>
          <w:szCs w:val="22"/>
        </w:rPr>
      </w:pPr>
      <w:r>
        <w:rPr>
          <w:rFonts w:ascii="Palatino Linotype" w:hAnsi="Palatino Linotype" w:cs="Arial"/>
          <w:sz w:val="22"/>
          <w:szCs w:val="22"/>
        </w:rPr>
        <w:t>C</w:t>
      </w:r>
      <w:r w:rsidR="00A12CDE" w:rsidRPr="00A12CDE">
        <w:rPr>
          <w:rFonts w:ascii="Palatino Linotype" w:hAnsi="Palatino Linotype" w:cs="Arial"/>
          <w:sz w:val="22"/>
          <w:szCs w:val="22"/>
        </w:rPr>
        <w:t>édulas de proveedores o prestadores de servicios</w:t>
      </w:r>
      <w:r>
        <w:rPr>
          <w:rFonts w:ascii="Palatino Linotype" w:hAnsi="Palatino Linotype" w:cs="Arial"/>
          <w:sz w:val="22"/>
          <w:szCs w:val="22"/>
        </w:rPr>
        <w:t xml:space="preserve"> y/o equivalente</w:t>
      </w:r>
      <w:r w:rsidR="00A12CDE" w:rsidRPr="00A12CDE">
        <w:rPr>
          <w:rFonts w:ascii="Palatino Linotype" w:hAnsi="Palatino Linotype" w:cs="Arial"/>
          <w:sz w:val="22"/>
          <w:szCs w:val="22"/>
        </w:rPr>
        <w:t xml:space="preserve">, del periodo comprendido del uno de enero de dos mil diecinueve al uno de febrero de dos mil veintiuno. </w:t>
      </w:r>
    </w:p>
    <w:p w14:paraId="6E2A5919" w14:textId="06E5E124" w:rsidR="00A12CDE" w:rsidRPr="00A12CDE" w:rsidRDefault="00A12CDE" w:rsidP="00A12CDE">
      <w:pPr>
        <w:pStyle w:val="Prrafodelista"/>
        <w:numPr>
          <w:ilvl w:val="0"/>
          <w:numId w:val="22"/>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De una interpretación sistemática a los numerales </w:t>
      </w:r>
      <w:r>
        <w:rPr>
          <w:rFonts w:ascii="Palatino Linotype" w:hAnsi="Palatino Linotype" w:cs="Arial"/>
        </w:rPr>
        <w:t xml:space="preserve">32,  y 57, fracciones X, XI, XV, XXII y XXIII del Bando Municipal del </w:t>
      </w:r>
      <w:r>
        <w:rPr>
          <w:rFonts w:ascii="Palatino Linotype" w:hAnsi="Palatino Linotype" w:cs="Arial"/>
          <w:b/>
        </w:rPr>
        <w:t xml:space="preserve">Sujeto Obligado, </w:t>
      </w:r>
      <w:r>
        <w:rPr>
          <w:rFonts w:ascii="Palatino Linotype" w:hAnsi="Palatino Linotype" w:cs="Arial"/>
        </w:rPr>
        <w:t>los numerales 26 y 27 de la Ley de Contratación Pública del Estado de México; así como los artículos 43 y 44 del Reglamento de la Ley de Contratación Pública del Estado de México; es posible advertir que la Dirección de Servicios Públicos y Administración es la unidad administrativa competente para atender las solicitudes de información conforme a las atribuciones, facultades y competencias</w:t>
      </w:r>
      <w:r w:rsidR="009E0A86">
        <w:rPr>
          <w:rFonts w:ascii="Palatino Linotype" w:hAnsi="Palatino Linotype" w:cs="Arial"/>
        </w:rPr>
        <w:t xml:space="preserve"> reservadas, </w:t>
      </w:r>
    </w:p>
    <w:p w14:paraId="038290C5" w14:textId="05B3B83E" w:rsidR="00A12CDE" w:rsidRDefault="009E0A86" w:rsidP="00A12CDE">
      <w:pPr>
        <w:pStyle w:val="Prrafodelista"/>
        <w:numPr>
          <w:ilvl w:val="0"/>
          <w:numId w:val="22"/>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Mediante respuesta primigenia de las solicitudes de </w:t>
      </w:r>
      <w:r w:rsidR="005B7106">
        <w:rPr>
          <w:rFonts w:ascii="Palatino Linotype" w:hAnsi="Palatino Linotype" w:cs="Arial"/>
          <w:bCs/>
        </w:rPr>
        <w:t>información,</w:t>
      </w:r>
      <w:r>
        <w:rPr>
          <w:rFonts w:ascii="Palatino Linotype" w:hAnsi="Palatino Linotype" w:cs="Arial"/>
          <w:bCs/>
        </w:rPr>
        <w:t xml:space="preserve"> </w:t>
      </w:r>
      <w:r>
        <w:rPr>
          <w:rFonts w:ascii="Palatino Linotype" w:hAnsi="Palatino Linotype" w:cs="Arial"/>
          <w:b/>
          <w:bCs/>
        </w:rPr>
        <w:t xml:space="preserve">El Sujeto Obligado </w:t>
      </w:r>
      <w:r>
        <w:rPr>
          <w:rFonts w:ascii="Palatino Linotype" w:hAnsi="Palatino Linotype" w:cs="Arial"/>
          <w:bCs/>
        </w:rPr>
        <w:t xml:space="preserve">asumió contar con los contratos celebrados derivados de licitaciones públicas e invitaciones </w:t>
      </w:r>
      <w:r w:rsidR="005E2566">
        <w:rPr>
          <w:rFonts w:ascii="Palatino Linotype" w:hAnsi="Palatino Linotype" w:cs="Arial"/>
          <w:bCs/>
        </w:rPr>
        <w:t>respecto de las temporalidades fijadas por la particular, misma que no fue remiti</w:t>
      </w:r>
      <w:r w:rsidR="005B7106">
        <w:rPr>
          <w:rFonts w:ascii="Palatino Linotype" w:hAnsi="Palatino Linotype" w:cs="Arial"/>
          <w:bCs/>
        </w:rPr>
        <w:t>da al reflejar datos personales, omitiendo entonces la posibilidad de generar una versión pública.</w:t>
      </w:r>
      <w:r w:rsidR="005E2566">
        <w:rPr>
          <w:rFonts w:ascii="Palatino Linotype" w:hAnsi="Palatino Linotype" w:cs="Arial"/>
          <w:bCs/>
        </w:rPr>
        <w:t xml:space="preserve"> En contraste, en alusión a la solicitud de información </w:t>
      </w:r>
      <w:r w:rsidR="005E2566">
        <w:rPr>
          <w:rFonts w:ascii="Palatino Linotype" w:hAnsi="Palatino Linotype" w:cs="Arial"/>
          <w:b/>
          <w:bCs/>
        </w:rPr>
        <w:t>00029/SANTOTOM/IP/2021</w:t>
      </w:r>
      <w:r w:rsidR="005B7106">
        <w:rPr>
          <w:rFonts w:ascii="Palatino Linotype" w:hAnsi="Palatino Linotype" w:cs="Arial"/>
          <w:b/>
          <w:bCs/>
        </w:rPr>
        <w:t>,</w:t>
      </w:r>
      <w:r w:rsidR="005E2566">
        <w:rPr>
          <w:rFonts w:ascii="Palatino Linotype" w:hAnsi="Palatino Linotype" w:cs="Arial"/>
          <w:b/>
          <w:bCs/>
        </w:rPr>
        <w:t xml:space="preserve"> </w:t>
      </w:r>
      <w:r w:rsidR="005B7106">
        <w:rPr>
          <w:rFonts w:ascii="Palatino Linotype" w:hAnsi="Palatino Linotype" w:cs="Arial"/>
          <w:b/>
          <w:bCs/>
        </w:rPr>
        <w:t xml:space="preserve">El Sujeto Obligado </w:t>
      </w:r>
      <w:r w:rsidR="005E2566">
        <w:rPr>
          <w:rFonts w:ascii="Palatino Linotype" w:hAnsi="Palatino Linotype" w:cs="Arial"/>
          <w:bCs/>
        </w:rPr>
        <w:t>precisó qu</w:t>
      </w:r>
      <w:r w:rsidR="00136503">
        <w:rPr>
          <w:rFonts w:ascii="Palatino Linotype" w:hAnsi="Palatino Linotype" w:cs="Arial"/>
          <w:bCs/>
        </w:rPr>
        <w:t>e no cuenta con la información relativa a proveedores, luego entonces, sus respuestas no observan el principio de certeza, al asumir contar con licitaciones públicas, pero no así de proveedores, resultando incongruente.</w:t>
      </w:r>
    </w:p>
    <w:p w14:paraId="74DC3F92" w14:textId="0DB25B14" w:rsidR="005E2566" w:rsidRPr="005E2566" w:rsidRDefault="005E2566" w:rsidP="00A12CDE">
      <w:pPr>
        <w:pStyle w:val="Prrafodelista"/>
        <w:numPr>
          <w:ilvl w:val="0"/>
          <w:numId w:val="22"/>
        </w:numPr>
        <w:tabs>
          <w:tab w:val="left" w:pos="709"/>
        </w:tabs>
        <w:spacing w:before="240" w:line="360" w:lineRule="auto"/>
        <w:jc w:val="both"/>
        <w:rPr>
          <w:rFonts w:ascii="Palatino Linotype" w:hAnsi="Palatino Linotype" w:cs="Arial"/>
          <w:bCs/>
        </w:rPr>
      </w:pPr>
      <w:r>
        <w:rPr>
          <w:rFonts w:ascii="Palatino Linotype" w:hAnsi="Palatino Linotype" w:cs="Arial"/>
        </w:rPr>
        <w:lastRenderedPageBreak/>
        <w:t xml:space="preserve">Que de las respuestas primigenias rendidas por </w:t>
      </w:r>
      <w:r>
        <w:rPr>
          <w:rFonts w:ascii="Palatino Linotype" w:hAnsi="Palatino Linotype" w:cs="Arial"/>
          <w:b/>
        </w:rPr>
        <w:t xml:space="preserve">El Sujeto Obligado </w:t>
      </w:r>
      <w:r w:rsidRPr="005B7106">
        <w:rPr>
          <w:rFonts w:ascii="Palatino Linotype" w:hAnsi="Palatino Linotype" w:cs="Arial"/>
        </w:rPr>
        <w:t>es posible advertir que</w:t>
      </w:r>
      <w:r>
        <w:rPr>
          <w:rFonts w:ascii="Palatino Linotype" w:hAnsi="Palatino Linotype" w:cs="Arial"/>
          <w:b/>
        </w:rPr>
        <w:t xml:space="preserve"> </w:t>
      </w:r>
      <w:r>
        <w:rPr>
          <w:rFonts w:ascii="Palatino Linotype" w:hAnsi="Palatino Linotype" w:cs="Arial"/>
        </w:rPr>
        <w:t xml:space="preserve">inobservó el numeral 162 de la Ley de Transparencia local </w:t>
      </w:r>
      <w:r w:rsidR="005B7106">
        <w:rPr>
          <w:rFonts w:ascii="Palatino Linotype" w:hAnsi="Palatino Linotype" w:cs="Arial"/>
        </w:rPr>
        <w:t xml:space="preserve">                    </w:t>
      </w:r>
      <w:r>
        <w:rPr>
          <w:rFonts w:ascii="Palatino Linotype" w:hAnsi="Palatino Linotype" w:cs="Arial"/>
          <w:b/>
        </w:rPr>
        <w:t>–obligación de turnar las solicitudes de información a todas las áreas competentes-.</w:t>
      </w:r>
    </w:p>
    <w:p w14:paraId="5C3BFC06" w14:textId="0A0DDEEA" w:rsidR="005E2566" w:rsidRDefault="005E2566" w:rsidP="00A12CDE">
      <w:pPr>
        <w:pStyle w:val="Prrafodelista"/>
        <w:numPr>
          <w:ilvl w:val="0"/>
          <w:numId w:val="22"/>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Aunado a lo anterior, del numeral 92, fracciones XXIX y XXXVI de la Ley de Transparencia local, es posible advertir que la información requerida es susceptible de ser publicada oficiosamente, no obstante, el portal </w:t>
      </w:r>
      <w:r w:rsidRPr="005B7106">
        <w:rPr>
          <w:rFonts w:ascii="Palatino Linotype" w:hAnsi="Palatino Linotype" w:cs="Arial"/>
          <w:b/>
          <w:bCs/>
        </w:rPr>
        <w:t>IPOMEX</w:t>
      </w:r>
      <w:r>
        <w:rPr>
          <w:rFonts w:ascii="Palatino Linotype" w:hAnsi="Palatino Linotype" w:cs="Arial"/>
          <w:bCs/>
        </w:rPr>
        <w:t xml:space="preserve"> del </w:t>
      </w:r>
      <w:r>
        <w:rPr>
          <w:rFonts w:ascii="Palatino Linotype" w:hAnsi="Palatino Linotype" w:cs="Arial"/>
          <w:b/>
          <w:bCs/>
        </w:rPr>
        <w:t>Sujeto Obligado</w:t>
      </w:r>
      <w:r>
        <w:rPr>
          <w:rFonts w:ascii="Palatino Linotype" w:hAnsi="Palatino Linotype" w:cs="Arial"/>
          <w:bCs/>
        </w:rPr>
        <w:t xml:space="preserve"> se encuentra desactualizado. </w:t>
      </w:r>
    </w:p>
    <w:p w14:paraId="2DBAE724" w14:textId="77777777" w:rsidR="005E2566" w:rsidRDefault="005E2566" w:rsidP="00A12CDE">
      <w:pPr>
        <w:pStyle w:val="Prrafodelista"/>
        <w:numPr>
          <w:ilvl w:val="0"/>
          <w:numId w:val="22"/>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Finalmente, mediante los informes justificados de los recursos de revisión </w:t>
      </w:r>
      <w:r w:rsidRPr="005B7106">
        <w:rPr>
          <w:rFonts w:ascii="Palatino Linotype" w:hAnsi="Palatino Linotype" w:cs="Arial"/>
          <w:b/>
          <w:bCs/>
        </w:rPr>
        <w:t>01755/INFOEM/IP/RR/2021</w:t>
      </w:r>
      <w:r>
        <w:rPr>
          <w:rFonts w:ascii="Palatino Linotype" w:hAnsi="Palatino Linotype" w:cs="Arial"/>
          <w:bCs/>
        </w:rPr>
        <w:t xml:space="preserve"> y </w:t>
      </w:r>
      <w:r w:rsidRPr="005B7106">
        <w:rPr>
          <w:rFonts w:ascii="Palatino Linotype" w:hAnsi="Palatino Linotype" w:cs="Arial"/>
          <w:b/>
          <w:bCs/>
        </w:rPr>
        <w:t>01763/INFOEM/IP/RR/2021</w:t>
      </w:r>
      <w:r>
        <w:rPr>
          <w:rFonts w:ascii="Palatino Linotype" w:hAnsi="Palatino Linotype" w:cs="Arial"/>
          <w:bCs/>
        </w:rPr>
        <w:t xml:space="preserve">, </w:t>
      </w:r>
      <w:r>
        <w:rPr>
          <w:rFonts w:ascii="Palatino Linotype" w:hAnsi="Palatino Linotype" w:cs="Arial"/>
          <w:b/>
          <w:bCs/>
        </w:rPr>
        <w:t xml:space="preserve">El Sujeto Obligado </w:t>
      </w:r>
      <w:r>
        <w:rPr>
          <w:rFonts w:ascii="Palatino Linotype" w:hAnsi="Palatino Linotype" w:cs="Arial"/>
          <w:bCs/>
        </w:rPr>
        <w:t>confirmo las respuestas primigenias, luego entonces, no se subsanó la violación al derecho de acceso a la información pública.</w:t>
      </w:r>
    </w:p>
    <w:p w14:paraId="03D253F6" w14:textId="77777777" w:rsidR="005E2566" w:rsidRDefault="005E2566" w:rsidP="005E2566">
      <w:pPr>
        <w:tabs>
          <w:tab w:val="left" w:pos="709"/>
        </w:tabs>
        <w:spacing w:before="240" w:line="360" w:lineRule="auto"/>
        <w:jc w:val="both"/>
        <w:rPr>
          <w:rFonts w:ascii="Palatino Linotype" w:hAnsi="Palatino Linotype" w:cs="Arial"/>
          <w:bCs/>
        </w:rPr>
      </w:pPr>
    </w:p>
    <w:p w14:paraId="6490F398" w14:textId="27D2E01C" w:rsidR="0056686D" w:rsidRDefault="005E2566" w:rsidP="005E2566">
      <w:pPr>
        <w:tabs>
          <w:tab w:val="left" w:pos="709"/>
        </w:tabs>
        <w:spacing w:before="240" w:line="360" w:lineRule="auto"/>
        <w:jc w:val="both"/>
        <w:rPr>
          <w:rFonts w:ascii="Palatino Linotype" w:hAnsi="Palatino Linotype" w:cs="Arial"/>
          <w:bCs/>
          <w:sz w:val="24"/>
          <w:szCs w:val="24"/>
        </w:rPr>
      </w:pPr>
      <w:r w:rsidRPr="005B7106">
        <w:rPr>
          <w:rFonts w:ascii="Palatino Linotype" w:hAnsi="Palatino Linotype" w:cs="Arial"/>
          <w:bCs/>
          <w:sz w:val="24"/>
          <w:szCs w:val="24"/>
        </w:rPr>
        <w:t xml:space="preserve">Con base en lo anteriormente expuesto, resulta procedente ordenar una búsqueda exhaustiva y razonable a efecto de hacer entrega, en versión pública de ser procedente, de la </w:t>
      </w:r>
      <w:r w:rsidR="0056686D" w:rsidRPr="005B7106">
        <w:rPr>
          <w:rFonts w:ascii="Palatino Linotype" w:hAnsi="Palatino Linotype" w:cs="Arial"/>
          <w:bCs/>
          <w:sz w:val="24"/>
          <w:szCs w:val="24"/>
        </w:rPr>
        <w:t xml:space="preserve">información requerida por </w:t>
      </w:r>
      <w:r w:rsidR="005B7106">
        <w:rPr>
          <w:rFonts w:ascii="Palatino Linotype" w:hAnsi="Palatino Linotype" w:cs="Arial"/>
          <w:bCs/>
          <w:sz w:val="24"/>
          <w:szCs w:val="24"/>
        </w:rPr>
        <w:t>la</w:t>
      </w:r>
      <w:r w:rsidR="0056686D" w:rsidRPr="005B7106">
        <w:rPr>
          <w:rFonts w:ascii="Palatino Linotype" w:hAnsi="Palatino Linotype" w:cs="Arial"/>
          <w:bCs/>
          <w:sz w:val="24"/>
          <w:szCs w:val="24"/>
        </w:rPr>
        <w:t xml:space="preserve"> particular. </w:t>
      </w:r>
    </w:p>
    <w:p w14:paraId="5FEC5A54" w14:textId="77777777" w:rsidR="005B7106" w:rsidRPr="005B7106" w:rsidRDefault="005B7106" w:rsidP="005E2566">
      <w:pPr>
        <w:tabs>
          <w:tab w:val="left" w:pos="709"/>
        </w:tabs>
        <w:spacing w:before="240" w:line="360" w:lineRule="auto"/>
        <w:jc w:val="both"/>
        <w:rPr>
          <w:rFonts w:ascii="Palatino Linotype" w:hAnsi="Palatino Linotype" w:cs="Arial"/>
          <w:bCs/>
          <w:sz w:val="24"/>
          <w:szCs w:val="24"/>
        </w:rPr>
      </w:pPr>
    </w:p>
    <w:p w14:paraId="18DC6A00" w14:textId="77777777" w:rsidR="0056686D" w:rsidRDefault="0056686D" w:rsidP="0056686D">
      <w:pPr>
        <w:pStyle w:val="Prrafodelista"/>
        <w:numPr>
          <w:ilvl w:val="0"/>
          <w:numId w:val="25"/>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5ADB51DF" w14:textId="77777777" w:rsidR="0056686D" w:rsidRPr="001571EB" w:rsidRDefault="0056686D" w:rsidP="0056686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AE0C9FB" w14:textId="77777777" w:rsidR="0056686D" w:rsidRPr="00E60DEF" w:rsidRDefault="0056686D" w:rsidP="0056686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CB1603A" w14:textId="77777777" w:rsidR="0056686D" w:rsidRPr="00E60DEF" w:rsidRDefault="0056686D" w:rsidP="0056686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BC553D6" w14:textId="77777777" w:rsidR="0056686D" w:rsidRPr="001571EB" w:rsidRDefault="0056686D" w:rsidP="0056686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C2DE626" w14:textId="77777777" w:rsidR="0056686D" w:rsidRPr="001571EB" w:rsidRDefault="0056686D" w:rsidP="0056686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7E31C7D" w14:textId="77777777" w:rsidR="0056686D" w:rsidRPr="001571EB" w:rsidRDefault="0056686D" w:rsidP="0056686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EC8DBB3" w14:textId="77777777" w:rsidR="0056686D" w:rsidRPr="001571EB" w:rsidRDefault="0056686D" w:rsidP="0056686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AA13845" w14:textId="77777777" w:rsidR="0056686D" w:rsidRPr="001571EB" w:rsidRDefault="0056686D" w:rsidP="0056686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F88B86" w14:textId="77777777" w:rsidR="0056686D" w:rsidRPr="001571EB" w:rsidRDefault="0056686D" w:rsidP="0056686D">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5B0D996D" w14:textId="77777777" w:rsidR="0056686D" w:rsidRPr="001571EB" w:rsidRDefault="0056686D" w:rsidP="0056686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C3CD47" w14:textId="77777777" w:rsidR="0056686D" w:rsidRPr="00E60DEF" w:rsidRDefault="0056686D" w:rsidP="0056686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9A6FF18" w14:textId="77777777" w:rsidR="0056686D" w:rsidRPr="001571EB" w:rsidRDefault="0056686D" w:rsidP="0056686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69547EA" w14:textId="77777777" w:rsidR="0056686D" w:rsidRPr="00E60DEF" w:rsidRDefault="0056686D" w:rsidP="0056686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7F489C9" w14:textId="77777777" w:rsidR="0056686D" w:rsidRPr="001571EB" w:rsidRDefault="0056686D" w:rsidP="0056686D">
      <w:pPr>
        <w:spacing w:line="240" w:lineRule="auto"/>
        <w:ind w:left="851" w:right="851"/>
        <w:jc w:val="both"/>
        <w:rPr>
          <w:rFonts w:ascii="Palatino Linotype" w:hAnsi="Palatino Linotype" w:cs="Arial"/>
          <w:b/>
          <w:i/>
          <w:u w:val="single"/>
        </w:rPr>
      </w:pPr>
    </w:p>
    <w:p w14:paraId="7B56E38B" w14:textId="77777777" w:rsidR="0056686D" w:rsidRPr="001571EB" w:rsidRDefault="0056686D" w:rsidP="0056686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F6451B1" w14:textId="77777777" w:rsidR="0056686D" w:rsidRPr="001571EB" w:rsidRDefault="0056686D" w:rsidP="0056686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69ED96D" w14:textId="77777777" w:rsidR="0056686D" w:rsidRPr="001571EB" w:rsidRDefault="0056686D" w:rsidP="0056686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7081A8B" w14:textId="77777777" w:rsidR="0056686D" w:rsidRDefault="0056686D" w:rsidP="0056686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CEF0834" w14:textId="77777777" w:rsidR="0056686D" w:rsidRDefault="0056686D" w:rsidP="0056686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1ABE8E"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20D3D9B"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1012C11"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50449F6"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0964EA3" w14:textId="77777777" w:rsidR="0056686D" w:rsidRPr="00EE0180"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153AF1D" w14:textId="77777777" w:rsidR="0056686D" w:rsidRPr="001571EB" w:rsidRDefault="0056686D" w:rsidP="0056686D">
      <w:pPr>
        <w:autoSpaceDE w:val="0"/>
        <w:autoSpaceDN w:val="0"/>
        <w:adjustRightInd w:val="0"/>
        <w:spacing w:before="120" w:after="120"/>
        <w:ind w:left="567" w:right="850"/>
        <w:jc w:val="both"/>
        <w:rPr>
          <w:rFonts w:ascii="Palatino Linotype" w:eastAsia="Times New Roman" w:hAnsi="Palatino Linotype" w:cs="Arial"/>
          <w:i/>
        </w:rPr>
      </w:pPr>
    </w:p>
    <w:p w14:paraId="7271B496" w14:textId="77777777" w:rsidR="0056686D" w:rsidRPr="001571EB" w:rsidRDefault="0056686D" w:rsidP="0056686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F29E285" w14:textId="77777777" w:rsidR="0056686D" w:rsidRPr="001571EB" w:rsidRDefault="0056686D" w:rsidP="0056686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4E3BDE4" w14:textId="77777777" w:rsidR="0056686D" w:rsidRDefault="0056686D" w:rsidP="0056686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F8A8CC" w14:textId="77777777" w:rsidR="0056686D" w:rsidRDefault="0056686D" w:rsidP="0056686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707333"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200443F"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F46DAC3"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C433551" w14:textId="77777777" w:rsidR="0056686D" w:rsidRPr="001571EB"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9615365" w14:textId="77777777" w:rsidR="0056686D" w:rsidRPr="00EE0180" w:rsidRDefault="0056686D" w:rsidP="005668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5C923E8" w14:textId="77777777" w:rsidR="0056686D" w:rsidRPr="001571EB" w:rsidRDefault="0056686D" w:rsidP="0056686D">
      <w:pPr>
        <w:spacing w:after="0" w:line="360" w:lineRule="auto"/>
        <w:jc w:val="both"/>
        <w:rPr>
          <w:rFonts w:ascii="Palatino Linotype" w:hAnsi="Palatino Linotype" w:cs="Arial"/>
        </w:rPr>
      </w:pPr>
    </w:p>
    <w:p w14:paraId="00734970" w14:textId="77777777" w:rsidR="0056686D" w:rsidRDefault="0056686D" w:rsidP="0056686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05BBB516" w14:textId="77777777" w:rsidR="0056686D" w:rsidRDefault="0056686D" w:rsidP="0056686D">
      <w:pPr>
        <w:spacing w:after="0" w:line="360" w:lineRule="auto"/>
        <w:ind w:right="51"/>
        <w:jc w:val="both"/>
        <w:rPr>
          <w:rFonts w:ascii="Palatino Linotype" w:hAnsi="Palatino Linotype" w:cs="Arial"/>
          <w:sz w:val="24"/>
          <w:szCs w:val="24"/>
        </w:rPr>
      </w:pPr>
    </w:p>
    <w:p w14:paraId="7B653C11" w14:textId="77054E49" w:rsidR="0056686D" w:rsidRPr="009A7912" w:rsidRDefault="0056686D" w:rsidP="0056686D">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La Recurrente </w:t>
      </w:r>
      <w:r>
        <w:rPr>
          <w:rFonts w:ascii="Palatino Linotype" w:hAnsi="Palatino Linotype"/>
        </w:rPr>
        <w:t xml:space="preserve">en sus medios de impugnación que fueran materia de estudio, por ello con fundamento en la primera hipótesis de la fracción III </w:t>
      </w:r>
      <w:r>
        <w:rPr>
          <w:rFonts w:ascii="Palatino Linotype" w:hAnsi="Palatino Linotype"/>
        </w:rPr>
        <w:lastRenderedPageBreak/>
        <w:t xml:space="preserve">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 xml:space="preserve">las respuestas a las solicitudes de información números </w:t>
      </w:r>
      <w:r>
        <w:rPr>
          <w:rFonts w:ascii="Palatino Linotype" w:hAnsi="Palatino Linotype" w:cs="Arial"/>
          <w:b/>
        </w:rPr>
        <w:t xml:space="preserve">00033/SANTOTOM/IP/2021, 00032/SANTOTOM/IP/2021 y 00029/SANTOTOM/IP/2021 </w:t>
      </w:r>
      <w:r w:rsidRPr="00271298">
        <w:rPr>
          <w:rFonts w:ascii="Palatino Linotype" w:hAnsi="Palatino Linotype"/>
        </w:rPr>
        <w:t>que</w:t>
      </w:r>
      <w:r>
        <w:rPr>
          <w:rFonts w:ascii="Palatino Linotype" w:hAnsi="Palatino Linotype"/>
        </w:rPr>
        <w:t xml:space="preserve"> han sido materia del presente fallo. </w:t>
      </w:r>
    </w:p>
    <w:p w14:paraId="75BE44E5" w14:textId="77777777" w:rsidR="0056686D" w:rsidRDefault="0056686D" w:rsidP="0056686D">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una búsqueda exhaustiva y razonable, a efecto de entregar a</w:t>
      </w:r>
      <w:r>
        <w:rPr>
          <w:rFonts w:ascii="Palatino Linotype" w:hAnsi="Palatino Linotype"/>
          <w:b/>
        </w:rPr>
        <w:t xml:space="preserve"> </w:t>
      </w:r>
      <w:r w:rsidRPr="00C22506">
        <w:rPr>
          <w:rFonts w:ascii="Palatino Linotype" w:hAnsi="Palatino Linotype"/>
          <w:b/>
        </w:rPr>
        <w:t>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1F65F49D" w14:textId="21993EC8" w:rsidR="0056686D" w:rsidRDefault="0056686D" w:rsidP="0056686D">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61217B0B" w14:textId="77777777" w:rsidR="0056686D" w:rsidRDefault="0056686D" w:rsidP="0056686D">
      <w:pPr>
        <w:pStyle w:val="Prrafodelista"/>
        <w:spacing w:before="240" w:after="240" w:line="360" w:lineRule="auto"/>
        <w:ind w:left="0"/>
        <w:jc w:val="both"/>
        <w:rPr>
          <w:rFonts w:ascii="Palatino Linotype" w:hAnsi="Palatino Linotype"/>
        </w:rPr>
      </w:pPr>
    </w:p>
    <w:p w14:paraId="5C7A36B4" w14:textId="77777777" w:rsidR="0056686D" w:rsidRPr="00413327" w:rsidRDefault="0056686D" w:rsidP="0056686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57916BD5" w14:textId="6D224E85" w:rsidR="0056686D" w:rsidRDefault="0056686D" w:rsidP="0056686D">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Pr>
          <w:rFonts w:ascii="Palatino Linotype" w:hAnsi="Palatino Linotype" w:cs="Arial"/>
          <w:b/>
          <w:sz w:val="24"/>
        </w:rPr>
        <w:t xml:space="preserve">00033/SANTOTOM/IP/2021, 00032/SANTOTOM/IP/2021 y 00029/SANTOTOM/IP/2021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0E2BF6C" w14:textId="77777777" w:rsidR="0056686D" w:rsidRDefault="0056686D" w:rsidP="0056686D">
      <w:pPr>
        <w:spacing w:before="240" w:line="360" w:lineRule="auto"/>
        <w:jc w:val="both"/>
        <w:rPr>
          <w:rFonts w:ascii="Palatino Linotype" w:hAnsi="Palatino Linotype" w:cs="Arial"/>
          <w:sz w:val="24"/>
          <w:szCs w:val="24"/>
        </w:rPr>
      </w:pPr>
    </w:p>
    <w:p w14:paraId="15D63B13" w14:textId="77777777" w:rsidR="0056686D" w:rsidRDefault="0056686D" w:rsidP="0056686D">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a</w:t>
      </w:r>
      <w:r>
        <w:rPr>
          <w:rFonts w:ascii="Palatino Linotype" w:hAnsi="Palatino Linotype" w:cs="Arial"/>
        </w:rPr>
        <w:t xml:space="preserve"> </w:t>
      </w:r>
      <w:r w:rsidRPr="00C22506">
        <w:rPr>
          <w:rFonts w:ascii="Palatino Linotype" w:hAnsi="Palatino Linotype" w:cs="Arial"/>
          <w:b/>
        </w:rPr>
        <w:t>LA</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sidRPr="001C7462">
        <w:rPr>
          <w:rFonts w:ascii="Palatino Linotype" w:hAnsi="Palatino Linotype" w:cs="Arial"/>
          <w:b/>
        </w:rPr>
        <w:t>SAIMEX</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627F487B" w14:textId="77777777" w:rsidR="0056686D" w:rsidRDefault="0056686D" w:rsidP="0056686D">
      <w:pPr>
        <w:pStyle w:val="Prrafodelista"/>
        <w:numPr>
          <w:ilvl w:val="0"/>
          <w:numId w:val="1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Contratos celebrados derivados de licitaciones públicas, del periodo comprendido del uno de diciembre de dos mil diecinueve al veintiocho de febrero de dos mil veintiuno. </w:t>
      </w:r>
    </w:p>
    <w:p w14:paraId="480C8A26" w14:textId="77777777" w:rsidR="0056686D" w:rsidRDefault="0056686D" w:rsidP="0056686D">
      <w:pPr>
        <w:pStyle w:val="Prrafodelista"/>
        <w:numPr>
          <w:ilvl w:val="0"/>
          <w:numId w:val="1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Contratos celebrados derivados de invitaciones restringidas o análogas, del periodo comprendido del uno de enero de dos mil diecinueve al veintiocho de febrero de dos mil veintiuno. </w:t>
      </w:r>
    </w:p>
    <w:p w14:paraId="241CAA20" w14:textId="5EC290E4" w:rsidR="0056686D" w:rsidRDefault="00136503" w:rsidP="0056686D">
      <w:pPr>
        <w:pStyle w:val="Prrafodelista"/>
        <w:numPr>
          <w:ilvl w:val="0"/>
          <w:numId w:val="1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C</w:t>
      </w:r>
      <w:r w:rsidR="0056686D">
        <w:rPr>
          <w:rFonts w:ascii="Palatino Linotype" w:hAnsi="Palatino Linotype" w:cs="Arial"/>
        </w:rPr>
        <w:t>édulas de proveedores o prestadores de servicios</w:t>
      </w:r>
      <w:r>
        <w:rPr>
          <w:rFonts w:ascii="Palatino Linotype" w:hAnsi="Palatino Linotype" w:cs="Arial"/>
        </w:rPr>
        <w:t xml:space="preserve"> y/o equivalente</w:t>
      </w:r>
      <w:r w:rsidR="0056686D">
        <w:rPr>
          <w:rFonts w:ascii="Palatino Linotype" w:hAnsi="Palatino Linotype" w:cs="Arial"/>
        </w:rPr>
        <w:t xml:space="preserve">, del periodo comprendido del uno de enero de dos mil diecinueve al uno de febrero de dos mil veintiuno. </w:t>
      </w:r>
    </w:p>
    <w:p w14:paraId="5439878C" w14:textId="77777777" w:rsidR="0056686D" w:rsidRDefault="0056686D" w:rsidP="0056686D">
      <w:pPr>
        <w:pStyle w:val="Prrafodelista"/>
        <w:spacing w:before="240" w:line="360" w:lineRule="auto"/>
        <w:ind w:left="1211" w:right="79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3E11EA0A" w14:textId="77777777" w:rsidR="0056686D" w:rsidRDefault="0056686D" w:rsidP="0056686D">
      <w:pPr>
        <w:pStyle w:val="Prrafodelista"/>
        <w:spacing w:before="240" w:line="360" w:lineRule="auto"/>
        <w:ind w:left="1211" w:right="792"/>
        <w:jc w:val="both"/>
        <w:rPr>
          <w:rFonts w:ascii="Palatino Linotype" w:hAnsi="Palatino Linotype" w:cs="Arial"/>
          <w:i/>
        </w:rPr>
      </w:pPr>
    </w:p>
    <w:p w14:paraId="504C55DA" w14:textId="77777777" w:rsidR="0056686D" w:rsidRDefault="0056686D" w:rsidP="0056686D">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veinte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EF6AE15" w14:textId="77777777" w:rsidR="0056686D" w:rsidRDefault="0056686D" w:rsidP="005668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810DC2" w14:textId="77777777" w:rsidR="0056686D" w:rsidRPr="005751B7" w:rsidRDefault="0056686D" w:rsidP="0056686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9F992CE" w14:textId="77777777" w:rsidR="0056686D" w:rsidRPr="00F77047" w:rsidRDefault="0056686D" w:rsidP="0056686D">
      <w:pPr>
        <w:spacing w:after="0" w:line="360" w:lineRule="auto"/>
        <w:jc w:val="both"/>
        <w:rPr>
          <w:rFonts w:ascii="Palatino Linotype" w:eastAsia="Times New Roman" w:hAnsi="Palatino Linotype" w:cs="Arial"/>
          <w:b/>
          <w:sz w:val="18"/>
          <w:szCs w:val="24"/>
          <w:lang w:eastAsia="es-ES"/>
        </w:rPr>
      </w:pPr>
    </w:p>
    <w:p w14:paraId="7681E60A"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Pr>
          <w:rFonts w:ascii="Palatino Linotype" w:eastAsia="Times New Roman" w:hAnsi="Palatino Linotype" w:cs="Arial"/>
          <w:b/>
          <w:sz w:val="24"/>
          <w:szCs w:val="24"/>
          <w:lang w:eastAsia="es-ES"/>
        </w:rPr>
        <w:t>LA</w:t>
      </w:r>
      <w:r>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7062FB8D" w14:textId="77777777" w:rsidR="0056686D" w:rsidRPr="000F5B7E"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EF690C2" w14:textId="0E540CCC" w:rsidR="00A16083" w:rsidRDefault="00A16083" w:rsidP="00A16083">
      <w:pPr>
        <w:spacing w:after="0" w:line="360" w:lineRule="auto"/>
        <w:jc w:val="both"/>
        <w:rPr>
          <w:rFonts w:ascii="Palatino Linotype" w:hAnsi="Palatino Linotype" w:cs="Arial"/>
          <w:sz w:val="24"/>
          <w:szCs w:val="24"/>
        </w:rPr>
      </w:pPr>
      <w:r w:rsidRPr="006F4E1F">
        <w:rPr>
          <w:rFonts w:ascii="Palatino Linotype" w:eastAsia="Calibri" w:hAnsi="Palatino Linotype" w:cs="Times New Roman"/>
          <w:b/>
          <w:bCs/>
          <w:sz w:val="28"/>
          <w:szCs w:val="28"/>
          <w:lang w:eastAsia="es-ES_tradnl"/>
        </w:rPr>
        <w:t>SEXTO. -</w:t>
      </w:r>
      <w:r w:rsidRPr="006F4E1F">
        <w:rPr>
          <w:rFonts w:ascii="Palatino Linotype" w:eastAsia="Calibri" w:hAnsi="Palatino Linotype" w:cs="Times New Roman"/>
          <w:sz w:val="24"/>
          <w:szCs w:val="24"/>
          <w:lang w:eastAsia="es-ES_tradnl"/>
        </w:rPr>
        <w:t xml:space="preserve"> </w:t>
      </w:r>
      <w:r w:rsidRPr="006F4E1F">
        <w:rPr>
          <w:rFonts w:ascii="Palatino Linotype" w:eastAsia="Calibri" w:hAnsi="Palatino Linotype"/>
          <w:b/>
          <w:sz w:val="24"/>
          <w:lang w:eastAsia="es-ES_tradnl"/>
        </w:rPr>
        <w:t>GÍRESE</w:t>
      </w:r>
      <w:r w:rsidRPr="006F4E1F">
        <w:rPr>
          <w:rFonts w:ascii="Palatino Linotype" w:eastAsia="Calibri" w:hAnsi="Palatino Linotype"/>
          <w:sz w:val="24"/>
          <w:lang w:eastAsia="es-ES_tradnl"/>
        </w:rPr>
        <w:t xml:space="preserve"> oficio al Titular de la </w:t>
      </w:r>
      <w:r w:rsidRPr="006F4E1F">
        <w:rPr>
          <w:rFonts w:ascii="Palatino Linotype" w:eastAsia="Times New Roman" w:hAnsi="Palatino Linotype" w:cs="Arial"/>
          <w:sz w:val="24"/>
          <w:szCs w:val="24"/>
          <w:lang w:val="es-ES" w:eastAsia="es-ES"/>
        </w:rPr>
        <w:t>Dirección General Jurídica y de Verificación</w:t>
      </w:r>
      <w:r w:rsidRPr="006F4E1F">
        <w:rPr>
          <w:rFonts w:ascii="Palatino Linotype" w:eastAsia="Calibri" w:hAnsi="Palatino Linotype"/>
          <w:sz w:val="24"/>
          <w:lang w:eastAsia="es-ES_tradnl"/>
        </w:rPr>
        <w:t xml:space="preserve">, </w:t>
      </w:r>
      <w:r w:rsidRPr="006F4E1F">
        <w:rPr>
          <w:rFonts w:ascii="Palatino Linotype" w:hAnsi="Palatino Linotype" w:cs="Arial"/>
          <w:sz w:val="24"/>
          <w:szCs w:val="24"/>
        </w:rPr>
        <w:t xml:space="preserve">de conformidad con el artículo 23, fracción XIV del Reglamento Interior del Instituto de Transparencia y Acceso a la Información Pública del Estado de México y Municipios a fin de que determine lo conducente, en términos del Considerando </w:t>
      </w:r>
      <w:r w:rsidRPr="006F4E1F">
        <w:rPr>
          <w:rFonts w:ascii="Palatino Linotype" w:hAnsi="Palatino Linotype" w:cs="Arial"/>
          <w:b/>
          <w:bCs/>
          <w:sz w:val="24"/>
          <w:szCs w:val="24"/>
        </w:rPr>
        <w:t>CUARTO</w:t>
      </w:r>
      <w:r w:rsidRPr="006F4E1F">
        <w:rPr>
          <w:rFonts w:ascii="Palatino Linotype" w:hAnsi="Palatino Linotype" w:cs="Arial"/>
          <w:sz w:val="24"/>
          <w:szCs w:val="24"/>
        </w:rPr>
        <w:t xml:space="preserve"> de la presente resolución.</w:t>
      </w:r>
    </w:p>
    <w:p w14:paraId="3C65AE24" w14:textId="77777777" w:rsidR="006F4E1F" w:rsidRDefault="006F4E1F" w:rsidP="0056686D">
      <w:pPr>
        <w:spacing w:line="360" w:lineRule="auto"/>
        <w:jc w:val="both"/>
        <w:rPr>
          <w:rFonts w:ascii="Palatino Linotype" w:hAnsi="Palatino Linotype" w:cs="Arial"/>
          <w:sz w:val="24"/>
          <w:szCs w:val="24"/>
        </w:rPr>
      </w:pPr>
    </w:p>
    <w:p w14:paraId="3F73C8B6" w14:textId="640C5E77" w:rsidR="0056686D" w:rsidRDefault="0056686D" w:rsidP="0056686D">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w:t>
      </w:r>
      <w:r w:rsidR="003D5E32">
        <w:rPr>
          <w:rFonts w:ascii="Palatino Linotype" w:hAnsi="Palatino Linotype" w:cs="Arial"/>
          <w:sz w:val="24"/>
          <w:szCs w:val="24"/>
        </w:rPr>
        <w:t xml:space="preserve">(VOTO PARTICULAR CONCURRENTE) </w:t>
      </w:r>
      <w:r>
        <w:rPr>
          <w:rFonts w:ascii="Palatino Linotype" w:hAnsi="Palatino Linotype" w:cs="Arial"/>
          <w:sz w:val="24"/>
          <w:szCs w:val="24"/>
        </w:rPr>
        <w:t xml:space="preserve">Y LUIS GUSTAVO </w:t>
      </w:r>
      <w:r>
        <w:rPr>
          <w:rFonts w:ascii="Palatino Linotype" w:hAnsi="Palatino Linotype" w:cs="Arial"/>
          <w:sz w:val="24"/>
          <w:szCs w:val="24"/>
        </w:rPr>
        <w:lastRenderedPageBreak/>
        <w:t xml:space="preserve">PARRA NORIEGA </w:t>
      </w:r>
      <w:r w:rsidR="003D5E32">
        <w:rPr>
          <w:rFonts w:ascii="Palatino Linotype" w:hAnsi="Palatino Linotype" w:cs="Arial"/>
          <w:sz w:val="24"/>
          <w:szCs w:val="24"/>
        </w:rPr>
        <w:t>(VOTO PARTICULAR CONCURRENTE)</w:t>
      </w:r>
      <w:r>
        <w:rPr>
          <w:rFonts w:ascii="Palatino Linotype" w:hAnsi="Palatino Linotype" w:cs="Arial"/>
          <w:sz w:val="24"/>
          <w:szCs w:val="24"/>
        </w:rPr>
        <w:t xml:space="preserve"> EN LA DÉCIMA SÉPTIMA SESIÓN ORDINARIA CELEBRADA EL DIECINUEVE DE MAYO DE DOS MIL VEINTIUNO, ANTE EL SECRETARIO TÉCNICO DEL PLENO, ALEXIS TAPIA RAMÍREZ. </w:t>
      </w:r>
    </w:p>
    <w:p w14:paraId="57E7D272" w14:textId="77777777" w:rsidR="0056686D" w:rsidRDefault="0056686D" w:rsidP="0056686D">
      <w:pPr>
        <w:spacing w:after="0" w:line="360" w:lineRule="auto"/>
        <w:jc w:val="both"/>
        <w:rPr>
          <w:rFonts w:ascii="Palatino Linotype" w:hAnsi="Palatino Linotype" w:cs="Arial"/>
          <w:sz w:val="16"/>
          <w:szCs w:val="16"/>
          <w:lang w:val="es-ES"/>
        </w:rPr>
      </w:pPr>
      <w:r>
        <w:rPr>
          <w:rFonts w:ascii="Palatino Linotype" w:hAnsi="Palatino Linotype" w:cs="Arial"/>
          <w:noProof/>
          <w:sz w:val="16"/>
          <w:szCs w:val="16"/>
          <w:lang w:eastAsia="es-MX"/>
        </w:rPr>
        <mc:AlternateContent>
          <mc:Choice Requires="wps">
            <w:drawing>
              <wp:anchor distT="0" distB="0" distL="114300" distR="114300" simplePos="0" relativeHeight="251659264" behindDoc="0" locked="0" layoutInCell="1" allowOverlap="1" wp14:anchorId="7C071A5B" wp14:editId="7B1671CA">
                <wp:simplePos x="0" y="0"/>
                <wp:positionH relativeFrom="column">
                  <wp:posOffset>-158420</wp:posOffset>
                </wp:positionH>
                <wp:positionV relativeFrom="paragraph">
                  <wp:posOffset>95682</wp:posOffset>
                </wp:positionV>
                <wp:extent cx="6452007" cy="6364224"/>
                <wp:effectExtent l="0" t="0" r="25400" b="36830"/>
                <wp:wrapNone/>
                <wp:docPr id="23" name="Conector recto 23"/>
                <wp:cNvGraphicFramePr/>
                <a:graphic xmlns:a="http://schemas.openxmlformats.org/drawingml/2006/main">
                  <a:graphicData uri="http://schemas.microsoft.com/office/word/2010/wordprocessingShape">
                    <wps:wsp>
                      <wps:cNvCnPr/>
                      <wps:spPr>
                        <a:xfrm>
                          <a:off x="0" y="0"/>
                          <a:ext cx="6452007" cy="63642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D2985" id="Conector recto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7.55pt" to="495.6pt,5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" strokecolor="#5b9bd5 [3204]" strokeweight=".5pt">
                <v:stroke joinstyle="miter"/>
              </v:line>
            </w:pict>
          </mc:Fallback>
        </mc:AlternateContent>
      </w:r>
    </w:p>
    <w:p w14:paraId="73814191" w14:textId="77777777" w:rsidR="0056686D" w:rsidRDefault="0056686D" w:rsidP="0056686D">
      <w:pPr>
        <w:spacing w:after="0" w:line="360" w:lineRule="auto"/>
        <w:jc w:val="both"/>
        <w:rPr>
          <w:rFonts w:ascii="Palatino Linotype" w:hAnsi="Palatino Linotype" w:cs="Arial"/>
          <w:sz w:val="16"/>
          <w:szCs w:val="16"/>
          <w:lang w:val="es-ES"/>
        </w:rPr>
      </w:pPr>
    </w:p>
    <w:p w14:paraId="40BD55EE" w14:textId="77777777" w:rsidR="0056686D" w:rsidRDefault="0056686D" w:rsidP="0056686D">
      <w:pPr>
        <w:spacing w:after="0" w:line="360" w:lineRule="auto"/>
        <w:jc w:val="both"/>
        <w:rPr>
          <w:rFonts w:ascii="Palatino Linotype" w:hAnsi="Palatino Linotype" w:cs="Arial"/>
          <w:sz w:val="16"/>
          <w:szCs w:val="16"/>
          <w:lang w:val="es-ES"/>
        </w:rPr>
      </w:pPr>
    </w:p>
    <w:p w14:paraId="3A9667D9"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71AC840"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980FF9E"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4DB0501"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4040BD8"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A47149E"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3EEBF40"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92BC987"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FDEFA43"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833BB59"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3A72B76"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F3B1772"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8FF587C"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6F298B6"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3D96E22" w14:textId="77777777" w:rsidR="00BE209F" w:rsidRDefault="00BE209F"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15B981B"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C940204" w14:textId="77777777" w:rsidR="0056686D" w:rsidRPr="00306678" w:rsidRDefault="0056686D" w:rsidP="0056686D">
      <w:pPr>
        <w:spacing w:after="0" w:line="360" w:lineRule="auto"/>
        <w:jc w:val="both"/>
        <w:rPr>
          <w:rFonts w:ascii="Palatino Linotype" w:eastAsia="Times New Roman" w:hAnsi="Palatino Linotype" w:cs="Times New Roman"/>
          <w:color w:val="222222"/>
          <w:sz w:val="20"/>
          <w:szCs w:val="20"/>
          <w:shd w:val="clear" w:color="auto" w:fill="FFFFFF"/>
          <w:lang w:eastAsia="es-ES"/>
        </w:rPr>
      </w:pPr>
      <w:r w:rsidRPr="00306678">
        <w:rPr>
          <w:rFonts w:ascii="Palatino Linotype" w:eastAsia="Times New Roman" w:hAnsi="Palatino Linotype" w:cs="Times New Roman"/>
          <w:color w:val="222222"/>
          <w:sz w:val="20"/>
          <w:szCs w:val="20"/>
          <w:shd w:val="clear" w:color="auto" w:fill="FFFFFF"/>
          <w:lang w:eastAsia="es-ES"/>
        </w:rPr>
        <w:t>OSAM/JCMA</w:t>
      </w:r>
    </w:p>
    <w:p w14:paraId="051E371D"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334F720"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1F96B2E"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891948E"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3FD0B6A"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DABB6B4"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F8CDF06"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A54B589"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EC4FFC5"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694E87B"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9A78E34" w14:textId="77777777" w:rsidR="0056686D" w:rsidRDefault="0056686D" w:rsidP="0056686D">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072BE46" w14:textId="09587D9B" w:rsidR="0056686D" w:rsidRPr="001C7462" w:rsidRDefault="0056686D" w:rsidP="0056686D">
      <w:pPr>
        <w:spacing w:after="0" w:line="360" w:lineRule="auto"/>
        <w:jc w:val="both"/>
        <w:rPr>
          <w:rFonts w:ascii="Palatino Linotype" w:hAnsi="Palatino Linotype"/>
          <w:sz w:val="24"/>
          <w:szCs w:val="24"/>
        </w:rPr>
      </w:pPr>
    </w:p>
    <w:p w14:paraId="36EBB2AC" w14:textId="27DDFEC3" w:rsidR="005E2566" w:rsidRDefault="005E2566" w:rsidP="005E2566">
      <w:p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 </w:t>
      </w:r>
    </w:p>
    <w:p w14:paraId="6CB22F76" w14:textId="77777777" w:rsidR="009E0A86" w:rsidRPr="009E0A86" w:rsidRDefault="009E0A86" w:rsidP="009E0A86">
      <w:pPr>
        <w:tabs>
          <w:tab w:val="left" w:pos="709"/>
        </w:tabs>
        <w:spacing w:before="240" w:line="360" w:lineRule="auto"/>
        <w:jc w:val="both"/>
        <w:rPr>
          <w:rFonts w:ascii="Palatino Linotype" w:hAnsi="Palatino Linotype" w:cs="Arial"/>
          <w:bCs/>
        </w:rPr>
      </w:pPr>
    </w:p>
    <w:p w14:paraId="0CAD5AC7" w14:textId="77777777" w:rsidR="00A12CDE" w:rsidRPr="0048531A" w:rsidRDefault="00A12CDE" w:rsidP="00A12CDE">
      <w:pPr>
        <w:pStyle w:val="INFOEM"/>
        <w:ind w:left="0"/>
        <w:rPr>
          <w:b/>
          <w:i w:val="0"/>
          <w:sz w:val="24"/>
          <w:szCs w:val="24"/>
        </w:rPr>
      </w:pPr>
    </w:p>
    <w:sectPr w:rsidR="00A12CDE" w:rsidRPr="0048531A"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D4DDD" w14:textId="77777777" w:rsidR="009B1519" w:rsidRDefault="009B1519" w:rsidP="006168E4">
      <w:pPr>
        <w:spacing w:after="0" w:line="240" w:lineRule="auto"/>
      </w:pPr>
      <w:r>
        <w:separator/>
      </w:r>
    </w:p>
  </w:endnote>
  <w:endnote w:type="continuationSeparator" w:id="0">
    <w:p w14:paraId="6DECE1C2" w14:textId="77777777" w:rsidR="009B1519" w:rsidRDefault="009B151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3708" w:rsidRPr="000B69FA" w:rsidRDefault="0097370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1468">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1468">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3708" w:rsidRPr="000B69FA" w:rsidRDefault="0097370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14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1468">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1BFAF" w14:textId="77777777" w:rsidR="009B1519" w:rsidRDefault="009B1519" w:rsidP="006168E4">
      <w:pPr>
        <w:spacing w:after="0" w:line="240" w:lineRule="auto"/>
      </w:pPr>
      <w:r>
        <w:separator/>
      </w:r>
    </w:p>
  </w:footnote>
  <w:footnote w:type="continuationSeparator" w:id="0">
    <w:p w14:paraId="304C0531" w14:textId="77777777" w:rsidR="009B1519" w:rsidRDefault="009B1519" w:rsidP="006168E4">
      <w:pPr>
        <w:spacing w:after="0" w:line="240" w:lineRule="auto"/>
      </w:pPr>
      <w:r>
        <w:continuationSeparator/>
      </w:r>
    </w:p>
  </w:footnote>
  <w:footnote w:id="1">
    <w:p w14:paraId="2B689AC4" w14:textId="77777777" w:rsidR="00973708" w:rsidRPr="005552A8" w:rsidRDefault="00973708" w:rsidP="00D4691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06195B" w14:textId="77777777" w:rsidR="00973708" w:rsidRPr="005552A8" w:rsidRDefault="00973708" w:rsidP="00D4691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973708" w:rsidRDefault="0097370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73708" w14:paraId="17981A04" w14:textId="77777777" w:rsidTr="00FB4AAD">
      <w:trPr>
        <w:trHeight w:val="227"/>
      </w:trPr>
      <w:tc>
        <w:tcPr>
          <w:tcW w:w="5529" w:type="dxa"/>
          <w:hideMark/>
        </w:tcPr>
        <w:p w14:paraId="0E414BC5" w14:textId="6CE57517" w:rsidR="00973708" w:rsidRDefault="0097370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1C7457A" w:rsidR="00973708" w:rsidRPr="00B4142F" w:rsidRDefault="0097370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01755/INFOEM/IP/RR/2021 y acumulados</w:t>
          </w:r>
        </w:p>
      </w:tc>
    </w:tr>
    <w:tr w:rsidR="00973708" w14:paraId="637042F0" w14:textId="77777777" w:rsidTr="00FB4AAD">
      <w:trPr>
        <w:trHeight w:val="242"/>
      </w:trPr>
      <w:tc>
        <w:tcPr>
          <w:tcW w:w="5529" w:type="dxa"/>
          <w:hideMark/>
        </w:tcPr>
        <w:p w14:paraId="412AD568" w14:textId="582E7AD7" w:rsidR="00973708" w:rsidRDefault="0097370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2A1DC31" w:rsidR="00973708" w:rsidRPr="00F06FED" w:rsidRDefault="00973708" w:rsidP="0032409D">
          <w:pPr>
            <w:spacing w:after="120" w:line="256" w:lineRule="auto"/>
            <w:ind w:left="639" w:right="214"/>
            <w:jc w:val="both"/>
            <w:rPr>
              <w:rFonts w:ascii="Palatino Linotype" w:hAnsi="Palatino Linotype" w:cs="Arial"/>
            </w:rPr>
          </w:pPr>
          <w:r>
            <w:rPr>
              <w:rFonts w:ascii="Palatino Linotype" w:hAnsi="Palatino Linotype" w:cs="Arial"/>
              <w:szCs w:val="20"/>
            </w:rPr>
            <w:t>Ayuntamiento de Santo Tomas</w:t>
          </w:r>
        </w:p>
      </w:tc>
    </w:tr>
    <w:tr w:rsidR="00973708" w14:paraId="21BFE746" w14:textId="77777777" w:rsidTr="00FB4AAD">
      <w:trPr>
        <w:trHeight w:val="342"/>
      </w:trPr>
      <w:tc>
        <w:tcPr>
          <w:tcW w:w="5529" w:type="dxa"/>
          <w:hideMark/>
        </w:tcPr>
        <w:p w14:paraId="64C4E314" w14:textId="77777777" w:rsidR="00973708" w:rsidRDefault="0097370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73708" w:rsidRDefault="0097370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73708" w:rsidRDefault="009737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73708" w14:paraId="385FD437" w14:textId="77777777" w:rsidTr="00FB4AAD">
      <w:trPr>
        <w:trHeight w:val="227"/>
      </w:trPr>
      <w:tc>
        <w:tcPr>
          <w:tcW w:w="5529" w:type="dxa"/>
          <w:hideMark/>
        </w:tcPr>
        <w:p w14:paraId="272860E8" w14:textId="3BD16B07" w:rsidR="00973708" w:rsidRDefault="0097370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98ED5D3" w:rsidR="00973708" w:rsidRPr="00B4142F" w:rsidRDefault="0097370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01755/INFOEM/IP/RR/2021 y acumulados</w:t>
          </w:r>
        </w:p>
      </w:tc>
    </w:tr>
    <w:tr w:rsidR="00973708" w14:paraId="33FC5097" w14:textId="77777777" w:rsidTr="00FB4AAD">
      <w:trPr>
        <w:trHeight w:val="196"/>
      </w:trPr>
      <w:tc>
        <w:tcPr>
          <w:tcW w:w="5529" w:type="dxa"/>
          <w:hideMark/>
        </w:tcPr>
        <w:p w14:paraId="4F5D01E5" w14:textId="77777777" w:rsidR="00973708" w:rsidRDefault="0097370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28F6DBC" w:rsidR="00973708" w:rsidRPr="00F06FED" w:rsidRDefault="00C11468" w:rsidP="002C63C1">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w:t>
          </w:r>
          <w:proofErr w:type="spellEnd"/>
          <w:r w:rsidR="00973708">
            <w:rPr>
              <w:rFonts w:ascii="Palatino Linotype" w:hAnsi="Palatino Linotype" w:cs="Arial"/>
            </w:rPr>
            <w:t xml:space="preserve">   </w:t>
          </w:r>
        </w:p>
      </w:tc>
    </w:tr>
    <w:tr w:rsidR="00973708" w14:paraId="178280DE" w14:textId="77777777" w:rsidTr="00FB4AAD">
      <w:trPr>
        <w:trHeight w:val="242"/>
      </w:trPr>
      <w:tc>
        <w:tcPr>
          <w:tcW w:w="5529" w:type="dxa"/>
          <w:hideMark/>
        </w:tcPr>
        <w:p w14:paraId="71AC708B" w14:textId="77777777" w:rsidR="00973708" w:rsidRDefault="0097370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EB9C889" w:rsidR="00973708" w:rsidRDefault="00973708" w:rsidP="0032409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Santo Tomas</w:t>
          </w:r>
        </w:p>
      </w:tc>
    </w:tr>
    <w:tr w:rsidR="00973708" w14:paraId="0518978B" w14:textId="77777777" w:rsidTr="00FB4AAD">
      <w:trPr>
        <w:trHeight w:val="342"/>
      </w:trPr>
      <w:tc>
        <w:tcPr>
          <w:tcW w:w="5529" w:type="dxa"/>
          <w:hideMark/>
        </w:tcPr>
        <w:p w14:paraId="04968A43" w14:textId="77777777" w:rsidR="00973708" w:rsidRDefault="0097370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73708" w:rsidRDefault="0097370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6C03CB13" w:rsidR="00973708" w:rsidRDefault="00973708"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9D0DA4"/>
    <w:multiLevelType w:val="hybridMultilevel"/>
    <w:tmpl w:val="639CBCD6"/>
    <w:lvl w:ilvl="0" w:tplc="8C3670BC">
      <w:start w:val="202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91A1C"/>
    <w:multiLevelType w:val="hybridMultilevel"/>
    <w:tmpl w:val="B3E60BB8"/>
    <w:lvl w:ilvl="0" w:tplc="05CA978A">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C268F7"/>
    <w:multiLevelType w:val="hybridMultilevel"/>
    <w:tmpl w:val="E2A6A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nsid w:val="32064865"/>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B9D3291"/>
    <w:multiLevelType w:val="hybridMultilevel"/>
    <w:tmpl w:val="47666684"/>
    <w:lvl w:ilvl="0" w:tplc="6382EB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536B7C9B"/>
    <w:multiLevelType w:val="hybridMultilevel"/>
    <w:tmpl w:val="47666684"/>
    <w:lvl w:ilvl="0" w:tplc="6382EB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225EAA"/>
    <w:multiLevelType w:val="hybridMultilevel"/>
    <w:tmpl w:val="8B246868"/>
    <w:lvl w:ilvl="0" w:tplc="77128804">
      <w:start w:val="1"/>
      <w:numFmt w:val="lowerLetter"/>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D62808"/>
    <w:multiLevelType w:val="hybridMultilevel"/>
    <w:tmpl w:val="F814CB18"/>
    <w:lvl w:ilvl="0" w:tplc="05CA978A">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E84B09"/>
    <w:multiLevelType w:val="hybridMultilevel"/>
    <w:tmpl w:val="A66C2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3"/>
  </w:num>
  <w:num w:numId="4">
    <w:abstractNumId w:val="1"/>
  </w:num>
  <w:num w:numId="5">
    <w:abstractNumId w:val="22"/>
  </w:num>
  <w:num w:numId="6">
    <w:abstractNumId w:val="2"/>
  </w:num>
  <w:num w:numId="7">
    <w:abstractNumId w:val="24"/>
  </w:num>
  <w:num w:numId="8">
    <w:abstractNumId w:val="5"/>
  </w:num>
  <w:num w:numId="9">
    <w:abstractNumId w:val="6"/>
  </w:num>
  <w:num w:numId="10">
    <w:abstractNumId w:val="20"/>
  </w:num>
  <w:num w:numId="11">
    <w:abstractNumId w:val="10"/>
  </w:num>
  <w:num w:numId="12">
    <w:abstractNumId w:val="3"/>
  </w:num>
  <w:num w:numId="13">
    <w:abstractNumId w:val="13"/>
  </w:num>
  <w:num w:numId="14">
    <w:abstractNumId w:val="4"/>
  </w:num>
  <w:num w:numId="15">
    <w:abstractNumId w:val="21"/>
  </w:num>
  <w:num w:numId="16">
    <w:abstractNumId w:val="9"/>
  </w:num>
  <w:num w:numId="17">
    <w:abstractNumId w:val="15"/>
  </w:num>
  <w:num w:numId="18">
    <w:abstractNumId w:val="18"/>
  </w:num>
  <w:num w:numId="19">
    <w:abstractNumId w:val="12"/>
  </w:num>
  <w:num w:numId="20">
    <w:abstractNumId w:val="8"/>
  </w:num>
  <w:num w:numId="21">
    <w:abstractNumId w:val="17"/>
  </w:num>
  <w:num w:numId="22">
    <w:abstractNumId w:val="11"/>
  </w:num>
  <w:num w:numId="23">
    <w:abstractNumId w:val="19"/>
  </w:num>
  <w:num w:numId="24">
    <w:abstractNumId w:val="7"/>
  </w:num>
  <w:num w:numId="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4C7"/>
    <w:rsid w:val="000026CF"/>
    <w:rsid w:val="00002FA5"/>
    <w:rsid w:val="000056BB"/>
    <w:rsid w:val="00005B85"/>
    <w:rsid w:val="00011356"/>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55D33"/>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27033"/>
    <w:rsid w:val="001350B7"/>
    <w:rsid w:val="0013650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0663"/>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4100"/>
    <w:rsid w:val="002659E9"/>
    <w:rsid w:val="00267074"/>
    <w:rsid w:val="00267244"/>
    <w:rsid w:val="00271282"/>
    <w:rsid w:val="002717B7"/>
    <w:rsid w:val="00273D0E"/>
    <w:rsid w:val="00274159"/>
    <w:rsid w:val="00274BE8"/>
    <w:rsid w:val="002765A6"/>
    <w:rsid w:val="0028588E"/>
    <w:rsid w:val="00286784"/>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57E3"/>
    <w:rsid w:val="002C63C1"/>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409D"/>
    <w:rsid w:val="003272FB"/>
    <w:rsid w:val="003317CD"/>
    <w:rsid w:val="0034179E"/>
    <w:rsid w:val="00341AC3"/>
    <w:rsid w:val="0034299B"/>
    <w:rsid w:val="003430A8"/>
    <w:rsid w:val="003443B2"/>
    <w:rsid w:val="00361A70"/>
    <w:rsid w:val="00361B9C"/>
    <w:rsid w:val="00365C45"/>
    <w:rsid w:val="00371031"/>
    <w:rsid w:val="00374444"/>
    <w:rsid w:val="00376114"/>
    <w:rsid w:val="00376CEC"/>
    <w:rsid w:val="00380758"/>
    <w:rsid w:val="00381C0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066F"/>
    <w:rsid w:val="003D11E5"/>
    <w:rsid w:val="003D153C"/>
    <w:rsid w:val="003D5E32"/>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9EB"/>
    <w:rsid w:val="004111DA"/>
    <w:rsid w:val="0041329B"/>
    <w:rsid w:val="00413327"/>
    <w:rsid w:val="00413F1C"/>
    <w:rsid w:val="0041440A"/>
    <w:rsid w:val="00422168"/>
    <w:rsid w:val="00423213"/>
    <w:rsid w:val="0042416D"/>
    <w:rsid w:val="004276C3"/>
    <w:rsid w:val="004305EC"/>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12D"/>
    <w:rsid w:val="004836B3"/>
    <w:rsid w:val="0048531A"/>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0A07"/>
    <w:rsid w:val="00502F50"/>
    <w:rsid w:val="00503655"/>
    <w:rsid w:val="00504C6A"/>
    <w:rsid w:val="00505759"/>
    <w:rsid w:val="0050578D"/>
    <w:rsid w:val="00505AC4"/>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86D"/>
    <w:rsid w:val="00566E4B"/>
    <w:rsid w:val="00567F9A"/>
    <w:rsid w:val="005705E2"/>
    <w:rsid w:val="00570AC7"/>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37EF"/>
    <w:rsid w:val="005B5B70"/>
    <w:rsid w:val="005B5F05"/>
    <w:rsid w:val="005B7106"/>
    <w:rsid w:val="005B77A6"/>
    <w:rsid w:val="005B79E7"/>
    <w:rsid w:val="005C3E35"/>
    <w:rsid w:val="005C40CB"/>
    <w:rsid w:val="005C6982"/>
    <w:rsid w:val="005D0901"/>
    <w:rsid w:val="005D16DD"/>
    <w:rsid w:val="005D2B59"/>
    <w:rsid w:val="005D362F"/>
    <w:rsid w:val="005D370F"/>
    <w:rsid w:val="005D5217"/>
    <w:rsid w:val="005D5E8C"/>
    <w:rsid w:val="005E2566"/>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5678E"/>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27E1"/>
    <w:rsid w:val="006D3CD7"/>
    <w:rsid w:val="006D5719"/>
    <w:rsid w:val="006E01D1"/>
    <w:rsid w:val="006F1B61"/>
    <w:rsid w:val="006F4E1F"/>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7D1"/>
    <w:rsid w:val="007524CA"/>
    <w:rsid w:val="00753ED3"/>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16F1"/>
    <w:rsid w:val="00801B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4624"/>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C5EC3"/>
    <w:rsid w:val="008D06E0"/>
    <w:rsid w:val="008D1DFF"/>
    <w:rsid w:val="008D29A7"/>
    <w:rsid w:val="008D2F5B"/>
    <w:rsid w:val="008E6375"/>
    <w:rsid w:val="008E7DB4"/>
    <w:rsid w:val="008F10A6"/>
    <w:rsid w:val="008F16D2"/>
    <w:rsid w:val="008F3674"/>
    <w:rsid w:val="008F4C65"/>
    <w:rsid w:val="0090155A"/>
    <w:rsid w:val="009020E0"/>
    <w:rsid w:val="0090233A"/>
    <w:rsid w:val="00903410"/>
    <w:rsid w:val="0090445D"/>
    <w:rsid w:val="00905422"/>
    <w:rsid w:val="00910B4E"/>
    <w:rsid w:val="009130C0"/>
    <w:rsid w:val="00913133"/>
    <w:rsid w:val="00913283"/>
    <w:rsid w:val="009154BA"/>
    <w:rsid w:val="00915791"/>
    <w:rsid w:val="00916B04"/>
    <w:rsid w:val="00917869"/>
    <w:rsid w:val="0092113F"/>
    <w:rsid w:val="00921DB9"/>
    <w:rsid w:val="00922358"/>
    <w:rsid w:val="0092403D"/>
    <w:rsid w:val="00932511"/>
    <w:rsid w:val="00932888"/>
    <w:rsid w:val="009331C2"/>
    <w:rsid w:val="009402DB"/>
    <w:rsid w:val="0094160B"/>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708"/>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519"/>
    <w:rsid w:val="009B1636"/>
    <w:rsid w:val="009B33A8"/>
    <w:rsid w:val="009B3487"/>
    <w:rsid w:val="009B4510"/>
    <w:rsid w:val="009B5F5A"/>
    <w:rsid w:val="009B7C61"/>
    <w:rsid w:val="009C0DC9"/>
    <w:rsid w:val="009C3793"/>
    <w:rsid w:val="009C451F"/>
    <w:rsid w:val="009C5E96"/>
    <w:rsid w:val="009C726D"/>
    <w:rsid w:val="009D3697"/>
    <w:rsid w:val="009D5F9E"/>
    <w:rsid w:val="009E0A86"/>
    <w:rsid w:val="009E1411"/>
    <w:rsid w:val="009E52F2"/>
    <w:rsid w:val="009E5717"/>
    <w:rsid w:val="009F01C0"/>
    <w:rsid w:val="009F1278"/>
    <w:rsid w:val="009F3C1F"/>
    <w:rsid w:val="009F5DB2"/>
    <w:rsid w:val="009F614E"/>
    <w:rsid w:val="009F762B"/>
    <w:rsid w:val="00A012AF"/>
    <w:rsid w:val="00A0172D"/>
    <w:rsid w:val="00A02047"/>
    <w:rsid w:val="00A036BE"/>
    <w:rsid w:val="00A03C4B"/>
    <w:rsid w:val="00A04C52"/>
    <w:rsid w:val="00A07627"/>
    <w:rsid w:val="00A11AE6"/>
    <w:rsid w:val="00A12205"/>
    <w:rsid w:val="00A12CDE"/>
    <w:rsid w:val="00A16083"/>
    <w:rsid w:val="00A21876"/>
    <w:rsid w:val="00A3081D"/>
    <w:rsid w:val="00A30C44"/>
    <w:rsid w:val="00A328AE"/>
    <w:rsid w:val="00A347D8"/>
    <w:rsid w:val="00A4131E"/>
    <w:rsid w:val="00A41694"/>
    <w:rsid w:val="00A43501"/>
    <w:rsid w:val="00A453DC"/>
    <w:rsid w:val="00A46BDA"/>
    <w:rsid w:val="00A535E3"/>
    <w:rsid w:val="00A570A7"/>
    <w:rsid w:val="00A624BA"/>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6169"/>
    <w:rsid w:val="00AE74E9"/>
    <w:rsid w:val="00AE7E7E"/>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41B"/>
    <w:rsid w:val="00B35797"/>
    <w:rsid w:val="00B35A93"/>
    <w:rsid w:val="00B3672D"/>
    <w:rsid w:val="00B40656"/>
    <w:rsid w:val="00B40F8A"/>
    <w:rsid w:val="00B4745C"/>
    <w:rsid w:val="00B50AAA"/>
    <w:rsid w:val="00B544D9"/>
    <w:rsid w:val="00B564E0"/>
    <w:rsid w:val="00B658D4"/>
    <w:rsid w:val="00B660C1"/>
    <w:rsid w:val="00B7195E"/>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09F"/>
    <w:rsid w:val="00BE28ED"/>
    <w:rsid w:val="00BE55D6"/>
    <w:rsid w:val="00BE61B8"/>
    <w:rsid w:val="00BF030A"/>
    <w:rsid w:val="00BF2EA1"/>
    <w:rsid w:val="00BF3B64"/>
    <w:rsid w:val="00BF543F"/>
    <w:rsid w:val="00BF6902"/>
    <w:rsid w:val="00BF7421"/>
    <w:rsid w:val="00C01E2A"/>
    <w:rsid w:val="00C06E2B"/>
    <w:rsid w:val="00C07650"/>
    <w:rsid w:val="00C104DD"/>
    <w:rsid w:val="00C11468"/>
    <w:rsid w:val="00C1331F"/>
    <w:rsid w:val="00C15275"/>
    <w:rsid w:val="00C15E31"/>
    <w:rsid w:val="00C16479"/>
    <w:rsid w:val="00C2058D"/>
    <w:rsid w:val="00C22506"/>
    <w:rsid w:val="00C25084"/>
    <w:rsid w:val="00C250CB"/>
    <w:rsid w:val="00C261C7"/>
    <w:rsid w:val="00C2768B"/>
    <w:rsid w:val="00C316A8"/>
    <w:rsid w:val="00C337F9"/>
    <w:rsid w:val="00C3746F"/>
    <w:rsid w:val="00C3768A"/>
    <w:rsid w:val="00C37D9D"/>
    <w:rsid w:val="00C4139D"/>
    <w:rsid w:val="00C45DE7"/>
    <w:rsid w:val="00C5122B"/>
    <w:rsid w:val="00C52BA0"/>
    <w:rsid w:val="00C538D4"/>
    <w:rsid w:val="00C562FD"/>
    <w:rsid w:val="00C56C17"/>
    <w:rsid w:val="00C7153C"/>
    <w:rsid w:val="00C71CD1"/>
    <w:rsid w:val="00C73143"/>
    <w:rsid w:val="00C7422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3D6"/>
    <w:rsid w:val="00CA491B"/>
    <w:rsid w:val="00CA6D58"/>
    <w:rsid w:val="00CA6FDA"/>
    <w:rsid w:val="00CB3B6F"/>
    <w:rsid w:val="00CB3D57"/>
    <w:rsid w:val="00CC0329"/>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5D58"/>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569AF"/>
    <w:rsid w:val="00D6188C"/>
    <w:rsid w:val="00D61959"/>
    <w:rsid w:val="00D62F3F"/>
    <w:rsid w:val="00D6340F"/>
    <w:rsid w:val="00D6781D"/>
    <w:rsid w:val="00D67D98"/>
    <w:rsid w:val="00D71F34"/>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0123"/>
    <w:rsid w:val="00DD13E2"/>
    <w:rsid w:val="00DD7977"/>
    <w:rsid w:val="00DE23CE"/>
    <w:rsid w:val="00DE34FF"/>
    <w:rsid w:val="00DE44AB"/>
    <w:rsid w:val="00DF003C"/>
    <w:rsid w:val="00DF00D4"/>
    <w:rsid w:val="00DF0A61"/>
    <w:rsid w:val="00DF4501"/>
    <w:rsid w:val="00DF7233"/>
    <w:rsid w:val="00DF78AE"/>
    <w:rsid w:val="00E033F2"/>
    <w:rsid w:val="00E0462A"/>
    <w:rsid w:val="00E07AAA"/>
    <w:rsid w:val="00E07CC2"/>
    <w:rsid w:val="00E11E2E"/>
    <w:rsid w:val="00E125CA"/>
    <w:rsid w:val="00E132EC"/>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91EBF"/>
    <w:rsid w:val="00E97676"/>
    <w:rsid w:val="00EA1CE1"/>
    <w:rsid w:val="00EA1F89"/>
    <w:rsid w:val="00EB08A0"/>
    <w:rsid w:val="00EB117B"/>
    <w:rsid w:val="00EB40D6"/>
    <w:rsid w:val="00EB5CDD"/>
    <w:rsid w:val="00EB5F75"/>
    <w:rsid w:val="00EB6EC6"/>
    <w:rsid w:val="00EB7852"/>
    <w:rsid w:val="00EB79CD"/>
    <w:rsid w:val="00EC060D"/>
    <w:rsid w:val="00EC2525"/>
    <w:rsid w:val="00ED3DE9"/>
    <w:rsid w:val="00EE0713"/>
    <w:rsid w:val="00EE07A6"/>
    <w:rsid w:val="00EE0F2E"/>
    <w:rsid w:val="00EE2A41"/>
    <w:rsid w:val="00EE4E10"/>
    <w:rsid w:val="00EE525B"/>
    <w:rsid w:val="00EE633C"/>
    <w:rsid w:val="00EE74EE"/>
    <w:rsid w:val="00EF09FB"/>
    <w:rsid w:val="00EF0CFD"/>
    <w:rsid w:val="00EF0DE2"/>
    <w:rsid w:val="00EF0FFC"/>
    <w:rsid w:val="00EF4DFA"/>
    <w:rsid w:val="00EF5F08"/>
    <w:rsid w:val="00F02923"/>
    <w:rsid w:val="00F0351B"/>
    <w:rsid w:val="00F04089"/>
    <w:rsid w:val="00F06275"/>
    <w:rsid w:val="00F06472"/>
    <w:rsid w:val="00F123EC"/>
    <w:rsid w:val="00F156AC"/>
    <w:rsid w:val="00F16331"/>
    <w:rsid w:val="00F16803"/>
    <w:rsid w:val="00F22566"/>
    <w:rsid w:val="00F22963"/>
    <w:rsid w:val="00F378B2"/>
    <w:rsid w:val="00F403EA"/>
    <w:rsid w:val="00F40B51"/>
    <w:rsid w:val="00F40E4D"/>
    <w:rsid w:val="00F41DE4"/>
    <w:rsid w:val="00F42499"/>
    <w:rsid w:val="00F42753"/>
    <w:rsid w:val="00F4405F"/>
    <w:rsid w:val="00F46CE7"/>
    <w:rsid w:val="00F510DB"/>
    <w:rsid w:val="00F536D8"/>
    <w:rsid w:val="00F604E0"/>
    <w:rsid w:val="00F6501E"/>
    <w:rsid w:val="00F70615"/>
    <w:rsid w:val="00F715C1"/>
    <w:rsid w:val="00F72722"/>
    <w:rsid w:val="00F727B0"/>
    <w:rsid w:val="00F7598B"/>
    <w:rsid w:val="00F83255"/>
    <w:rsid w:val="00F87ADD"/>
    <w:rsid w:val="00F914FD"/>
    <w:rsid w:val="00F9164E"/>
    <w:rsid w:val="00F952BF"/>
    <w:rsid w:val="00F95515"/>
    <w:rsid w:val="00F9574E"/>
    <w:rsid w:val="00F974AA"/>
    <w:rsid w:val="00FA2545"/>
    <w:rsid w:val="00FA373B"/>
    <w:rsid w:val="00FA7CFC"/>
    <w:rsid w:val="00FB097C"/>
    <w:rsid w:val="00FB21C2"/>
    <w:rsid w:val="00FB2F78"/>
    <w:rsid w:val="00FB4AAD"/>
    <w:rsid w:val="00FB4E3D"/>
    <w:rsid w:val="00FB5A22"/>
    <w:rsid w:val="00FB5B57"/>
    <w:rsid w:val="00FB5F2A"/>
    <w:rsid w:val="00FC1407"/>
    <w:rsid w:val="00FC22E1"/>
    <w:rsid w:val="00FC2C8C"/>
    <w:rsid w:val="00FC3E84"/>
    <w:rsid w:val="00FC4F9B"/>
    <w:rsid w:val="00FC59F0"/>
    <w:rsid w:val="00FD302E"/>
    <w:rsid w:val="00FD4599"/>
    <w:rsid w:val="00FD4784"/>
    <w:rsid w:val="00FD5753"/>
    <w:rsid w:val="00FD61E5"/>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A3081D"/>
    <w:pPr>
      <w:spacing w:before="240" w:line="360" w:lineRule="auto"/>
      <w:ind w:left="851" w:right="851"/>
      <w:jc w:val="both"/>
    </w:pPr>
    <w:rPr>
      <w:rFonts w:ascii="Palatino Linotype" w:hAnsi="Palatino Linotype"/>
      <w:i/>
    </w:rPr>
  </w:style>
  <w:style w:type="character" w:customStyle="1" w:styleId="numberfracccentro">
    <w:name w:val="numberfracccentro"/>
    <w:basedOn w:val="Fuentedeprrafopredeter"/>
    <w:rsid w:val="000024C7"/>
  </w:style>
  <w:style w:type="character" w:customStyle="1" w:styleId="nombrefraccder">
    <w:name w:val="nombrefraccder"/>
    <w:basedOn w:val="Fuentedeprrafopredeter"/>
    <w:rsid w:val="000024C7"/>
  </w:style>
  <w:style w:type="character" w:customStyle="1" w:styleId="numberfraccder">
    <w:name w:val="numberfraccder"/>
    <w:basedOn w:val="Fuentedeprrafopredeter"/>
    <w:rsid w:val="0000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22912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B3A3D-4B55-4A8B-AE6A-EDB9EC7B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40</Pages>
  <Words>6944</Words>
  <Characters>38196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47</cp:revision>
  <cp:lastPrinted>2018-12-04T20:35:00Z</cp:lastPrinted>
  <dcterms:created xsi:type="dcterms:W3CDTF">2021-02-16T16:26:00Z</dcterms:created>
  <dcterms:modified xsi:type="dcterms:W3CDTF">2021-06-17T23:18:00Z</dcterms:modified>
</cp:coreProperties>
</file>