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A0AF7" w14:textId="77777777" w:rsidR="00BE53DD" w:rsidRPr="00D3359C" w:rsidRDefault="00BE53DD" w:rsidP="00BE53DD">
      <w:pPr>
        <w:spacing w:before="100" w:beforeAutospacing="1" w:after="100" w:afterAutospacing="1" w:line="360" w:lineRule="auto"/>
        <w:jc w:val="both"/>
        <w:rPr>
          <w:rFonts w:ascii="Palatino Linotype" w:hAnsi="Palatino Linotype"/>
        </w:rPr>
      </w:pPr>
      <w:r w:rsidRPr="00D3359C">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mayo de dos mil veintiuno.</w:t>
      </w:r>
    </w:p>
    <w:p w14:paraId="4BAA0AF8" w14:textId="3D58D1FD" w:rsidR="00BE53DD" w:rsidRPr="00D3359C" w:rsidRDefault="00BE53DD" w:rsidP="00BE53DD">
      <w:pPr>
        <w:spacing w:before="100" w:beforeAutospacing="1" w:after="100" w:afterAutospacing="1" w:line="360" w:lineRule="auto"/>
        <w:jc w:val="both"/>
        <w:rPr>
          <w:rFonts w:ascii="Palatino Linotype" w:hAnsi="Palatino Linotype"/>
        </w:rPr>
      </w:pPr>
      <w:r w:rsidRPr="00D3359C">
        <w:rPr>
          <w:rFonts w:ascii="Palatino Linotype" w:hAnsi="Palatino Linotype"/>
          <w:b/>
        </w:rPr>
        <w:t>VISTO</w:t>
      </w:r>
      <w:r w:rsidRPr="00D3359C">
        <w:rPr>
          <w:rFonts w:ascii="Palatino Linotype" w:hAnsi="Palatino Linotype"/>
        </w:rPr>
        <w:t xml:space="preserve"> el expediente formado con motivo del recurso de revisión </w:t>
      </w:r>
      <w:r w:rsidR="0036025F" w:rsidRPr="00D3359C">
        <w:rPr>
          <w:rFonts w:ascii="Palatino Linotype" w:hAnsi="Palatino Linotype"/>
          <w:b/>
        </w:rPr>
        <w:t>01447</w:t>
      </w:r>
      <w:r w:rsidRPr="00D3359C">
        <w:rPr>
          <w:rFonts w:ascii="Palatino Linotype" w:hAnsi="Palatino Linotype"/>
          <w:b/>
        </w:rPr>
        <w:t>/INFOEM/IP/RR/2021</w:t>
      </w:r>
      <w:r w:rsidRPr="00D3359C">
        <w:rPr>
          <w:rFonts w:ascii="Palatino Linotype" w:hAnsi="Palatino Linotype"/>
        </w:rPr>
        <w:t>, promovido por</w:t>
      </w:r>
      <w:r w:rsidR="0036025F" w:rsidRPr="00D3359C">
        <w:rPr>
          <w:rFonts w:ascii="Palatino Linotype" w:hAnsi="Palatino Linotype"/>
        </w:rPr>
        <w:t xml:space="preserve"> el C.</w:t>
      </w:r>
      <w:r w:rsidRPr="00D3359C">
        <w:rPr>
          <w:rFonts w:ascii="Palatino Linotype" w:hAnsi="Palatino Linotype"/>
        </w:rPr>
        <w:t xml:space="preserve"> </w:t>
      </w:r>
      <w:r w:rsidR="006427BD">
        <w:rPr>
          <w:rFonts w:ascii="Palatino Linotype" w:hAnsi="Palatino Linotype" w:cs="Arial"/>
          <w:b/>
        </w:rPr>
        <w:t>XXXXXX</w:t>
      </w:r>
      <w:r w:rsidRPr="00D3359C">
        <w:rPr>
          <w:rFonts w:ascii="Palatino Linotype" w:hAnsi="Palatino Linotype"/>
          <w:b/>
        </w:rPr>
        <w:t xml:space="preserve">, </w:t>
      </w:r>
      <w:r w:rsidRPr="00D3359C">
        <w:rPr>
          <w:rFonts w:ascii="Palatino Linotype" w:hAnsi="Palatino Linotype"/>
        </w:rPr>
        <w:t xml:space="preserve">a quien en lo sucesivo se le denominará </w:t>
      </w:r>
      <w:r w:rsidRPr="00D3359C">
        <w:rPr>
          <w:rFonts w:ascii="Palatino Linotype" w:hAnsi="Palatino Linotype" w:cs="Arial"/>
          <w:b/>
        </w:rPr>
        <w:t>EL RECURRENTE</w:t>
      </w:r>
      <w:r w:rsidRPr="00D3359C">
        <w:rPr>
          <w:rFonts w:ascii="Palatino Linotype" w:hAnsi="Palatino Linotype"/>
        </w:rPr>
        <w:t xml:space="preserve">, en contra de la respuesta emitida por el </w:t>
      </w:r>
      <w:r w:rsidR="0036025F" w:rsidRPr="00D3359C">
        <w:rPr>
          <w:rFonts w:ascii="Palatino Linotype" w:hAnsi="Palatino Linotype" w:cs="Arial"/>
          <w:b/>
        </w:rPr>
        <w:t>Sistema Municipal Para el Desarrollo Integral de la Familia de Tultepec</w:t>
      </w:r>
      <w:r w:rsidRPr="00D3359C">
        <w:rPr>
          <w:rFonts w:ascii="Palatino Linotype" w:hAnsi="Palatino Linotype" w:cs="Arial"/>
          <w:b/>
        </w:rPr>
        <w:t>,</w:t>
      </w:r>
      <w:r w:rsidRPr="00D3359C">
        <w:rPr>
          <w:rFonts w:ascii="Palatino Linotype" w:hAnsi="Palatino Linotype"/>
        </w:rPr>
        <w:t xml:space="preserve"> en lo sucesivo </w:t>
      </w:r>
      <w:r w:rsidRPr="00D3359C">
        <w:rPr>
          <w:rFonts w:ascii="Palatino Linotype" w:hAnsi="Palatino Linotype"/>
          <w:b/>
        </w:rPr>
        <w:t>EL SUJETO OBLIGADO</w:t>
      </w:r>
      <w:r w:rsidRPr="00D3359C">
        <w:rPr>
          <w:rFonts w:ascii="Palatino Linotype" w:hAnsi="Palatino Linotype"/>
        </w:rPr>
        <w:t xml:space="preserve">, se procede a dictar la presente resolución con base en lo siguiente: </w:t>
      </w:r>
    </w:p>
    <w:p w14:paraId="4BAA0AF9" w14:textId="77777777" w:rsidR="00BE53DD" w:rsidRPr="00D3359C" w:rsidRDefault="00BE53DD" w:rsidP="00BE53DD">
      <w:pPr>
        <w:spacing w:before="100" w:beforeAutospacing="1" w:after="100" w:afterAutospacing="1" w:line="360" w:lineRule="auto"/>
        <w:jc w:val="center"/>
        <w:rPr>
          <w:rFonts w:ascii="Palatino Linotype" w:hAnsi="Palatino Linotype"/>
          <w:b/>
          <w:bCs/>
          <w:spacing w:val="60"/>
          <w:sz w:val="28"/>
        </w:rPr>
      </w:pPr>
      <w:r w:rsidRPr="00D3359C">
        <w:rPr>
          <w:rFonts w:ascii="Palatino Linotype" w:hAnsi="Palatino Linotype"/>
          <w:b/>
          <w:bCs/>
          <w:spacing w:val="60"/>
          <w:sz w:val="28"/>
        </w:rPr>
        <w:t>RESULTANDO</w:t>
      </w:r>
    </w:p>
    <w:p w14:paraId="4BAA0AFA" w14:textId="77777777" w:rsidR="00BE53DD" w:rsidRPr="00D3359C" w:rsidRDefault="00BE53DD" w:rsidP="00BE53DD">
      <w:pPr>
        <w:pStyle w:val="Prrafodelista"/>
        <w:tabs>
          <w:tab w:val="left" w:pos="709"/>
        </w:tabs>
        <w:spacing w:before="100" w:beforeAutospacing="1" w:after="100" w:afterAutospacing="1" w:line="360" w:lineRule="auto"/>
        <w:ind w:left="0"/>
        <w:jc w:val="both"/>
        <w:rPr>
          <w:rFonts w:ascii="Palatino Linotype" w:hAnsi="Palatino Linotype"/>
          <w:b/>
        </w:rPr>
      </w:pPr>
      <w:r w:rsidRPr="00D3359C">
        <w:rPr>
          <w:rFonts w:ascii="Palatino Linotype" w:hAnsi="Palatino Linotype"/>
          <w:b/>
          <w:sz w:val="28"/>
          <w:szCs w:val="28"/>
        </w:rPr>
        <w:t>I.</w:t>
      </w:r>
      <w:r w:rsidRPr="00D3359C">
        <w:rPr>
          <w:rFonts w:ascii="Palatino Linotype" w:hAnsi="Palatino Linotype"/>
        </w:rPr>
        <w:t xml:space="preserve"> En </w:t>
      </w:r>
      <w:r w:rsidRPr="00D3359C">
        <w:rPr>
          <w:rFonts w:ascii="Palatino Linotype" w:hAnsi="Palatino Linotype" w:cs="Arial"/>
        </w:rPr>
        <w:t>fecha</w:t>
      </w:r>
      <w:r w:rsidRPr="00D3359C">
        <w:rPr>
          <w:rFonts w:ascii="Palatino Linotype" w:hAnsi="Palatino Linotype"/>
        </w:rPr>
        <w:t xml:space="preserve"> </w:t>
      </w:r>
      <w:r w:rsidR="0036025F" w:rsidRPr="00D3359C">
        <w:rPr>
          <w:rFonts w:ascii="Palatino Linotype" w:hAnsi="Palatino Linotype"/>
        </w:rPr>
        <w:t>veinticinco de febrero de d</w:t>
      </w:r>
      <w:r w:rsidRPr="00D3359C">
        <w:rPr>
          <w:rFonts w:ascii="Palatino Linotype" w:hAnsi="Palatino Linotype"/>
        </w:rPr>
        <w:t xml:space="preserve">os mil veintiuno, </w:t>
      </w:r>
      <w:r w:rsidRPr="00D3359C">
        <w:rPr>
          <w:rFonts w:ascii="Palatino Linotype" w:hAnsi="Palatino Linotype" w:cs="Arial"/>
          <w:b/>
        </w:rPr>
        <w:t>EL RECURRENTE</w:t>
      </w:r>
      <w:r w:rsidRPr="00D3359C">
        <w:rPr>
          <w:rFonts w:ascii="Palatino Linotype" w:hAnsi="Palatino Linotype"/>
        </w:rPr>
        <w:t xml:space="preserve"> presentó </w:t>
      </w:r>
      <w:r w:rsidRPr="00D3359C">
        <w:rPr>
          <w:rFonts w:ascii="Palatino Linotype" w:hAnsi="Palatino Linotype" w:cs="Arial"/>
        </w:rPr>
        <w:t xml:space="preserve">a través del Sistema de Acceso a la Información Mexiquense, en lo subsecuente </w:t>
      </w:r>
      <w:r w:rsidRPr="00D3359C">
        <w:rPr>
          <w:rFonts w:ascii="Palatino Linotype" w:hAnsi="Palatino Linotype" w:cs="Arial"/>
          <w:b/>
        </w:rPr>
        <w:t>EL SAIMEX,</w:t>
      </w:r>
      <w:r w:rsidRPr="00D3359C">
        <w:rPr>
          <w:rFonts w:ascii="Palatino Linotype" w:hAnsi="Palatino Linotype"/>
        </w:rPr>
        <w:t xml:space="preserve"> ante </w:t>
      </w:r>
      <w:r w:rsidRPr="00D3359C">
        <w:rPr>
          <w:rFonts w:ascii="Palatino Linotype" w:hAnsi="Palatino Linotype"/>
          <w:b/>
        </w:rPr>
        <w:t>EL SUJETO OBLIGADO</w:t>
      </w:r>
      <w:r w:rsidRPr="00D3359C">
        <w:rPr>
          <w:rFonts w:ascii="Palatino Linotype" w:hAnsi="Palatino Linotype"/>
        </w:rPr>
        <w:t xml:space="preserve">, la solicitud de acceso a la información pública, a la que se le asignó el número </w:t>
      </w:r>
      <w:r w:rsidR="0036025F" w:rsidRPr="00D3359C">
        <w:rPr>
          <w:rFonts w:ascii="Palatino Linotype" w:hAnsi="Palatino Linotype"/>
          <w:b/>
        </w:rPr>
        <w:t>00052/DIFTULTEPE/IP/2021</w:t>
      </w:r>
      <w:r w:rsidRPr="00D3359C">
        <w:rPr>
          <w:rFonts w:ascii="Palatino Linotype" w:hAnsi="Palatino Linotype"/>
          <w:b/>
        </w:rPr>
        <w:t>,</w:t>
      </w:r>
      <w:r w:rsidRPr="00D3359C">
        <w:rPr>
          <w:rFonts w:ascii="Palatino Linotype" w:hAnsi="Palatino Linotype"/>
        </w:rPr>
        <w:t xml:space="preserve"> mediante la cual requirió, lo siguiente:</w:t>
      </w:r>
    </w:p>
    <w:p w14:paraId="4BAA0AFB" w14:textId="77777777" w:rsidR="00BE53DD" w:rsidRPr="00D3359C" w:rsidRDefault="00BE53DD" w:rsidP="00BE53DD">
      <w:pPr>
        <w:spacing w:before="100" w:beforeAutospacing="1" w:after="100" w:afterAutospacing="1"/>
        <w:ind w:left="709" w:right="709"/>
        <w:jc w:val="both"/>
        <w:rPr>
          <w:rFonts w:ascii="Palatino Linotype" w:hAnsi="Palatino Linotype"/>
          <w:i/>
          <w:sz w:val="22"/>
          <w:szCs w:val="22"/>
        </w:rPr>
      </w:pPr>
      <w:r w:rsidRPr="00D3359C">
        <w:rPr>
          <w:rFonts w:ascii="Palatino Linotype" w:hAnsi="Palatino Linotype"/>
          <w:i/>
          <w:sz w:val="22"/>
          <w:szCs w:val="22"/>
        </w:rPr>
        <w:t>“</w:t>
      </w:r>
      <w:r w:rsidR="0036025F" w:rsidRPr="00D3359C">
        <w:rPr>
          <w:rFonts w:ascii="Palatino Linotype" w:hAnsi="Palatino Linotype"/>
          <w:i/>
          <w:sz w:val="22"/>
          <w:szCs w:val="22"/>
        </w:rPr>
        <w:t>Solicito al Sistema DIF Municipal de Tultepec, bajo el principio de máxima publicidad me oriente e informe lo siguiente:1.-Nombre del responsable de fiscalizar el ingreso y ejercicio del gasto público del Sistema DIF municipal y su congruencia con el presupuesto de egresos. 2.- Nombramiento de la persona responsable del órgano o ente de control interno del Sistema DIF Municipal</w:t>
      </w:r>
      <w:r w:rsidRPr="00D3359C">
        <w:rPr>
          <w:rFonts w:ascii="Palatino Linotype" w:hAnsi="Palatino Linotype"/>
          <w:i/>
          <w:sz w:val="22"/>
          <w:szCs w:val="22"/>
        </w:rPr>
        <w:t>.” (Sic)</w:t>
      </w:r>
      <w:bookmarkStart w:id="0" w:name="_Ref516764469"/>
      <w:bookmarkStart w:id="1" w:name="_Ref531692384"/>
    </w:p>
    <w:p w14:paraId="4BAA0AFC" w14:textId="77777777" w:rsidR="00BE53DD" w:rsidRPr="00D3359C" w:rsidRDefault="00BE53DD" w:rsidP="00BE53DD">
      <w:pPr>
        <w:spacing w:before="100" w:beforeAutospacing="1" w:after="100" w:afterAutospacing="1"/>
        <w:ind w:right="709"/>
        <w:jc w:val="both"/>
        <w:rPr>
          <w:rFonts w:ascii="Palatino Linotype" w:hAnsi="Palatino Linotype"/>
          <w:b/>
          <w:sz w:val="22"/>
          <w:szCs w:val="22"/>
        </w:rPr>
      </w:pPr>
      <w:r w:rsidRPr="00D3359C">
        <w:rPr>
          <w:rFonts w:ascii="Palatino Linotype" w:hAnsi="Palatino Linotype"/>
          <w:b/>
          <w:sz w:val="22"/>
          <w:szCs w:val="22"/>
        </w:rPr>
        <w:t xml:space="preserve">Modalidad de entrega: </w:t>
      </w:r>
      <w:r w:rsidRPr="00D3359C">
        <w:rPr>
          <w:rFonts w:ascii="Palatino Linotype" w:hAnsi="Palatino Linotype"/>
          <w:sz w:val="22"/>
          <w:szCs w:val="22"/>
        </w:rPr>
        <w:t xml:space="preserve">vía </w:t>
      </w:r>
      <w:r w:rsidRPr="00D3359C">
        <w:rPr>
          <w:rFonts w:ascii="Palatino Linotype" w:hAnsi="Palatino Linotype"/>
          <w:b/>
          <w:sz w:val="22"/>
          <w:szCs w:val="22"/>
        </w:rPr>
        <w:t>SAIMEX</w:t>
      </w:r>
    </w:p>
    <w:p w14:paraId="4BAA0AFD" w14:textId="77777777" w:rsidR="0036025F" w:rsidRPr="00D3359C" w:rsidRDefault="00BE53DD" w:rsidP="00BE53DD">
      <w:pPr>
        <w:pStyle w:val="Prrafodelista"/>
        <w:tabs>
          <w:tab w:val="left" w:pos="709"/>
        </w:tabs>
        <w:spacing w:before="100" w:beforeAutospacing="1" w:after="100" w:afterAutospacing="1" w:line="360" w:lineRule="auto"/>
        <w:ind w:left="0"/>
        <w:jc w:val="both"/>
        <w:rPr>
          <w:rFonts w:ascii="Palatino Linotype" w:hAnsi="Palatino Linotype" w:cs="Arial"/>
        </w:rPr>
      </w:pPr>
      <w:r w:rsidRPr="00D3359C">
        <w:rPr>
          <w:rFonts w:ascii="Palatino Linotype" w:hAnsi="Palatino Linotype" w:cs="Arial"/>
          <w:b/>
          <w:sz w:val="28"/>
          <w:szCs w:val="28"/>
        </w:rPr>
        <w:lastRenderedPageBreak/>
        <w:t>II.</w:t>
      </w:r>
      <w:r w:rsidRPr="00D3359C">
        <w:rPr>
          <w:rFonts w:ascii="Palatino Linotype" w:hAnsi="Palatino Linotype" w:cs="Arial"/>
        </w:rPr>
        <w:t xml:space="preserve"> Posteriormente, el día </w:t>
      </w:r>
      <w:r w:rsidR="0036025F" w:rsidRPr="00D3359C">
        <w:rPr>
          <w:rFonts w:ascii="Palatino Linotype" w:hAnsi="Palatino Linotype" w:cs="Arial"/>
        </w:rPr>
        <w:t xml:space="preserve">veintidós </w:t>
      </w:r>
      <w:r w:rsidRPr="00D3359C">
        <w:rPr>
          <w:rFonts w:ascii="Palatino Linotype" w:hAnsi="Palatino Linotype" w:cs="Arial"/>
        </w:rPr>
        <w:t xml:space="preserve">de marzo de dos mil veintiuno, </w:t>
      </w:r>
      <w:r w:rsidRPr="00D3359C">
        <w:rPr>
          <w:rFonts w:ascii="Palatino Linotype" w:hAnsi="Palatino Linotype" w:cs="Arial"/>
          <w:b/>
        </w:rPr>
        <w:t>EL SUJETO OBLIGADO</w:t>
      </w:r>
      <w:r w:rsidRPr="00D3359C">
        <w:rPr>
          <w:rFonts w:ascii="Palatino Linotype" w:hAnsi="Palatino Linotype" w:cs="Arial"/>
        </w:rPr>
        <w:t xml:space="preserve"> dio respuesta a la </w:t>
      </w:r>
      <w:r w:rsidRPr="00D3359C">
        <w:rPr>
          <w:rFonts w:ascii="Palatino Linotype" w:hAnsi="Palatino Linotype"/>
        </w:rPr>
        <w:t>solicitud</w:t>
      </w:r>
      <w:r w:rsidRPr="00D3359C">
        <w:rPr>
          <w:rFonts w:ascii="Palatino Linotype" w:hAnsi="Palatino Linotype" w:cs="Arial"/>
        </w:rPr>
        <w:t xml:space="preserve"> de </w:t>
      </w:r>
      <w:r w:rsidRPr="00D3359C">
        <w:rPr>
          <w:rFonts w:ascii="Palatino Linotype" w:hAnsi="Palatino Linotype"/>
        </w:rPr>
        <w:t>acceso</w:t>
      </w:r>
      <w:r w:rsidRPr="00D3359C">
        <w:rPr>
          <w:rFonts w:ascii="Palatino Linotype" w:hAnsi="Palatino Linotype" w:cs="Arial"/>
        </w:rPr>
        <w:t xml:space="preserve"> a la información pública requerida por </w:t>
      </w:r>
      <w:r w:rsidRPr="00D3359C">
        <w:rPr>
          <w:rFonts w:ascii="Palatino Linotype" w:hAnsi="Palatino Linotype" w:cs="Arial"/>
          <w:b/>
        </w:rPr>
        <w:t>EL RECURRENTE</w:t>
      </w:r>
      <w:r w:rsidRPr="00D3359C">
        <w:rPr>
          <w:rFonts w:ascii="Palatino Linotype" w:hAnsi="Palatino Linotype" w:cs="Arial"/>
        </w:rPr>
        <w:t xml:space="preserve">, </w:t>
      </w:r>
      <w:r w:rsidR="0036025F" w:rsidRPr="00D3359C">
        <w:rPr>
          <w:rFonts w:ascii="Palatino Linotype" w:hAnsi="Palatino Linotype" w:cs="Arial"/>
        </w:rPr>
        <w:t>en los términos siguientes:</w:t>
      </w:r>
    </w:p>
    <w:p w14:paraId="4BAA0AFE" w14:textId="77777777" w:rsidR="0036025F" w:rsidRPr="00D3359C" w:rsidRDefault="0036025F" w:rsidP="0036025F">
      <w:pPr>
        <w:spacing w:before="100" w:beforeAutospacing="1" w:after="100" w:afterAutospacing="1"/>
        <w:ind w:left="709" w:right="709"/>
        <w:jc w:val="both"/>
        <w:rPr>
          <w:rFonts w:ascii="Palatino Linotype" w:hAnsi="Palatino Linotype"/>
          <w:i/>
          <w:sz w:val="22"/>
          <w:szCs w:val="22"/>
        </w:rPr>
      </w:pPr>
      <w:r w:rsidRPr="00D3359C">
        <w:rPr>
          <w:rFonts w:ascii="Palatino Linotype" w:hAnsi="Palatino Linotype"/>
          <w:i/>
          <w:sz w:val="22"/>
          <w:szCs w:val="22"/>
        </w:rPr>
        <w:t>“ESTIMADO SOLICITANTE PRESENTE El que suscribe C. Luis Manuel Pérez Rojas, en mi carácter de Encargado de Despacho de la Unidad de Transparencia del Sistema Municipal DIF Tultepec, por este conducto le envío un cordial saludo y así mismo me permito dirigirme a usted con el fin de dar respuesta a su solicitud ingresada por el portal de SAIMEX con número de folio 00052/DIFTULTEPE/IP/2021 en la cual solicita lo siguiente: “Solicito al Sistema DIF Municipal de Tultepec, bajo el principio de máxima publicidad me oriente e informe lo siguiente: 1.-Nombre del responsable de fiscalizar el ingreso y ejercicio del gasto público del Sistema DIF municipal y su congruencia con el presupuesto de egresos. 2.- Nombramiento de la persona responsable del órgano o ente de control interno del Sistema DIF Municipal.” El responsable de fiscalizar el ingreso y ejercicio del gasto público tendría que ser un Contralor interno; desafortunadamente no se cuenta con esa área dentro del Sistema Municipal DIF por cuestiones de austeridad, es por ello que el Contralor Municipal absorbe esa responsabilidad en este caso. De acuerdo a la Ley Orgánica Municipal del Estado de México, Título IV, Capitulo Cuarto de la Contraloría Municipal, Artículo 112: El órgano de contraloría interna municipal, tendrá a su cargo las siguientes funciones: Fracción II: Fiscalizar el ingreso y ejercicio del gasto público municipal y su congruencia con el presupuesto de egreso</w:t>
      </w:r>
      <w:bookmarkStart w:id="2" w:name="_GoBack"/>
      <w:bookmarkEnd w:id="2"/>
      <w:r w:rsidRPr="00D3359C">
        <w:rPr>
          <w:rFonts w:ascii="Palatino Linotype" w:hAnsi="Palatino Linotype"/>
          <w:i/>
          <w:sz w:val="22"/>
          <w:szCs w:val="22"/>
        </w:rPr>
        <w:t xml:space="preserve">s. El Contralor Municipal del H Ayuntamiento de Tultepec es; Lic. Juan Armando Luna Ávila, le proporciono los datos de contacto mismos que puede consultar en la página oficial del Ayuntamiento. http://tultepec.gob.mx/dependencias/ CONTRALORÍA Lic. Juan Armando Luna Ávila 55 58927880 contraloriatultepec@yahoo.com A su vez anexo el nombramiento de la persona responsable del control interno del Sistema Municipal DIF, en este caso es la Directora C. Rosalba Martínez Millán. C. LUIS MANUEL PÉREZ ROJAS Encargado de Despacho de la Unidad de Transparencia y Acceso a la Información Pública y Protección de Datos Personales del Sistema Municipal DIF de Tultepec, Estado de México. Sistema Municipal para el Desarrollo Integral de la Familia de Tultepec. Cerrada Tamaulipas S/N, Barrio San Martín, C.P. 54960 Tultepec, Estado de México, Tel. 58 92 06 22. </w:t>
      </w:r>
      <w:hyperlink r:id="rId7" w:history="1">
        <w:r w:rsidRPr="00D3359C">
          <w:rPr>
            <w:rStyle w:val="Hipervnculo"/>
            <w:rFonts w:ascii="Palatino Linotype" w:hAnsi="Palatino Linotype"/>
            <w:i/>
            <w:sz w:val="22"/>
            <w:szCs w:val="22"/>
          </w:rPr>
          <w:t>transparenciadiftultepec@gmail.com</w:t>
        </w:r>
      </w:hyperlink>
      <w:r w:rsidRPr="00D3359C">
        <w:rPr>
          <w:rFonts w:ascii="Palatino Linotype" w:hAnsi="Palatino Linotype"/>
          <w:i/>
          <w:sz w:val="22"/>
          <w:szCs w:val="22"/>
        </w:rPr>
        <w:t>.” (Sic)</w:t>
      </w:r>
    </w:p>
    <w:p w14:paraId="4BAA0AFF" w14:textId="77777777" w:rsidR="0036025F" w:rsidRPr="00D3359C" w:rsidRDefault="0036025F" w:rsidP="00BE53DD">
      <w:pPr>
        <w:pStyle w:val="Prrafodelista"/>
        <w:tabs>
          <w:tab w:val="left" w:pos="709"/>
        </w:tabs>
        <w:spacing w:before="100" w:beforeAutospacing="1" w:after="100" w:afterAutospacing="1" w:line="360" w:lineRule="auto"/>
        <w:ind w:left="0"/>
        <w:jc w:val="both"/>
        <w:rPr>
          <w:rFonts w:ascii="Palatino Linotype" w:hAnsi="Palatino Linotype" w:cs="Arial"/>
        </w:rPr>
      </w:pPr>
      <w:r w:rsidRPr="00D3359C">
        <w:rPr>
          <w:rFonts w:ascii="Palatino Linotype" w:hAnsi="Palatino Linotype" w:cs="Arial"/>
        </w:rPr>
        <w:lastRenderedPageBreak/>
        <w:t xml:space="preserve">Adjuntando a dicha respuesta el archivo electrónico denominado </w:t>
      </w:r>
      <w:hyperlink r:id="rId8" w:tgtFrame="_blank" w:history="1">
        <w:r w:rsidRPr="00D3359C">
          <w:rPr>
            <w:rFonts w:ascii="Palatino Linotype" w:hAnsi="Palatino Linotype"/>
            <w:b/>
          </w:rPr>
          <w:t>direccion.pdf</w:t>
        </w:r>
      </w:hyperlink>
      <w:r w:rsidRPr="00D3359C">
        <w:rPr>
          <w:rFonts w:ascii="Palatino Linotype" w:hAnsi="Palatino Linotype" w:cs="Arial"/>
          <w:b/>
        </w:rPr>
        <w:t xml:space="preserve">, </w:t>
      </w:r>
      <w:r w:rsidRPr="00D3359C">
        <w:rPr>
          <w:rFonts w:ascii="Palatino Linotype" w:hAnsi="Palatino Linotype" w:cs="Arial"/>
        </w:rPr>
        <w:t xml:space="preserve">mismo que contiene el nombramiento de la Secretaria de la Junta de Gobierno </w:t>
      </w:r>
      <w:r w:rsidR="00F31895" w:rsidRPr="00D3359C">
        <w:rPr>
          <w:rFonts w:ascii="Palatino Linotype" w:hAnsi="Palatino Linotype" w:cs="Arial"/>
        </w:rPr>
        <w:t>del Sistema Municipal DIF de Tultepec, del cual al ser de conocimiento de las partes se omite su inserción en el presente apartado, en obvio de repeticiones innecesarias.</w:t>
      </w:r>
    </w:p>
    <w:p w14:paraId="4BAA0B00" w14:textId="77777777" w:rsidR="00BE53DD" w:rsidRPr="00D3359C" w:rsidRDefault="00BE53DD" w:rsidP="00BE53DD">
      <w:pPr>
        <w:pStyle w:val="Prrafodelista"/>
        <w:tabs>
          <w:tab w:val="left" w:pos="709"/>
        </w:tabs>
        <w:spacing w:before="100" w:beforeAutospacing="1" w:after="100" w:afterAutospacing="1" w:line="360" w:lineRule="auto"/>
        <w:ind w:left="0"/>
        <w:jc w:val="both"/>
        <w:rPr>
          <w:rFonts w:ascii="Palatino Linotype" w:hAnsi="Palatino Linotype" w:cs="Arial"/>
        </w:rPr>
      </w:pPr>
      <w:r w:rsidRPr="00D3359C">
        <w:rPr>
          <w:rFonts w:ascii="Palatino Linotype" w:hAnsi="Palatino Linotype" w:cs="Arial"/>
          <w:b/>
          <w:sz w:val="28"/>
          <w:szCs w:val="28"/>
        </w:rPr>
        <w:t xml:space="preserve">III. </w:t>
      </w:r>
      <w:r w:rsidRPr="00D3359C">
        <w:rPr>
          <w:rFonts w:ascii="Palatino Linotype" w:hAnsi="Palatino Linotype"/>
        </w:rPr>
        <w:t xml:space="preserve">Inconforme con la respuesta del </w:t>
      </w:r>
      <w:r w:rsidRPr="00D3359C">
        <w:rPr>
          <w:rFonts w:ascii="Palatino Linotype" w:hAnsi="Palatino Linotype"/>
          <w:b/>
        </w:rPr>
        <w:t>SUJETO OBLIGADO</w:t>
      </w:r>
      <w:r w:rsidRPr="00D3359C">
        <w:rPr>
          <w:rFonts w:ascii="Palatino Linotype" w:hAnsi="Palatino Linotype"/>
        </w:rPr>
        <w:t>, en fecha veinti</w:t>
      </w:r>
      <w:r w:rsidR="00F31895" w:rsidRPr="00D3359C">
        <w:rPr>
          <w:rFonts w:ascii="Palatino Linotype" w:hAnsi="Palatino Linotype"/>
        </w:rPr>
        <w:t xml:space="preserve">cinco de </w:t>
      </w:r>
      <w:r w:rsidRPr="00D3359C">
        <w:rPr>
          <w:rFonts w:ascii="Palatino Linotype" w:hAnsi="Palatino Linotype"/>
        </w:rPr>
        <w:t xml:space="preserve">marzo de dos mil veintiuno, </w:t>
      </w:r>
      <w:r w:rsidRPr="00D3359C">
        <w:rPr>
          <w:rFonts w:ascii="Palatino Linotype" w:hAnsi="Palatino Linotype" w:cs="Arial"/>
          <w:b/>
        </w:rPr>
        <w:t>EL RECURRENTE</w:t>
      </w:r>
      <w:r w:rsidRPr="00D3359C">
        <w:rPr>
          <w:rFonts w:ascii="Palatino Linotype" w:hAnsi="Palatino Linotype"/>
        </w:rPr>
        <w:t>, a través del</w:t>
      </w:r>
      <w:r w:rsidRPr="00D3359C">
        <w:rPr>
          <w:rFonts w:ascii="Palatino Linotype" w:hAnsi="Palatino Linotype"/>
          <w:b/>
        </w:rPr>
        <w:t xml:space="preserve"> SAIMEX, </w:t>
      </w:r>
      <w:r w:rsidRPr="00D3359C">
        <w:rPr>
          <w:rFonts w:ascii="Palatino Linotype" w:hAnsi="Palatino Linotype"/>
        </w:rPr>
        <w:t xml:space="preserve">interpuso el recurso de revisión objeto del </w:t>
      </w:r>
      <w:r w:rsidRPr="00D3359C">
        <w:rPr>
          <w:rFonts w:ascii="Palatino Linotype" w:hAnsi="Palatino Linotype" w:cs="Arial"/>
        </w:rPr>
        <w:t>presente</w:t>
      </w:r>
      <w:r w:rsidRPr="00D3359C">
        <w:rPr>
          <w:rFonts w:ascii="Palatino Linotype" w:hAnsi="Palatino Linotype"/>
        </w:rPr>
        <w:t xml:space="preserve"> estudio, al que se le asignó el </w:t>
      </w:r>
      <w:r w:rsidRPr="00D3359C">
        <w:rPr>
          <w:rFonts w:ascii="Palatino Linotype" w:hAnsi="Palatino Linotype" w:cs="Arial"/>
        </w:rPr>
        <w:t>número al rubro citado, en el que señaló como acto impugnado:</w:t>
      </w:r>
    </w:p>
    <w:p w14:paraId="4BAA0B01" w14:textId="77777777" w:rsidR="00BE53DD" w:rsidRPr="00D3359C" w:rsidRDefault="00BE53DD" w:rsidP="00BE53DD">
      <w:pPr>
        <w:spacing w:before="100" w:beforeAutospacing="1" w:after="100" w:afterAutospacing="1"/>
        <w:ind w:left="709" w:right="709"/>
        <w:jc w:val="both"/>
        <w:rPr>
          <w:rFonts w:ascii="Palatino Linotype" w:hAnsi="Palatino Linotype" w:cs="Arial"/>
          <w:i/>
          <w:sz w:val="22"/>
          <w:szCs w:val="22"/>
          <w:lang w:eastAsia="es-MX"/>
        </w:rPr>
      </w:pPr>
      <w:r w:rsidRPr="00D3359C">
        <w:rPr>
          <w:rFonts w:ascii="Palatino Linotype" w:hAnsi="Palatino Linotype" w:cs="Arial"/>
          <w:i/>
          <w:sz w:val="22"/>
          <w:szCs w:val="22"/>
          <w:lang w:eastAsia="es-MX"/>
        </w:rPr>
        <w:t>“</w:t>
      </w:r>
      <w:r w:rsidR="00F31895" w:rsidRPr="00D3359C">
        <w:rPr>
          <w:rFonts w:ascii="Palatino Linotype" w:hAnsi="Palatino Linotype" w:cs="Arial"/>
          <w:i/>
          <w:sz w:val="22"/>
          <w:szCs w:val="22"/>
          <w:lang w:eastAsia="es-MX"/>
        </w:rPr>
        <w:t>No obtuve respuesta a mi solicitud marcada con el número 00052/DIFTULTEPE/IP/2021.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D3359C">
        <w:rPr>
          <w:rFonts w:ascii="Palatino Linotype" w:hAnsi="Palatino Linotype" w:cs="Arial"/>
          <w:i/>
          <w:sz w:val="22"/>
          <w:szCs w:val="22"/>
          <w:lang w:eastAsia="es-MX"/>
        </w:rPr>
        <w:t>” (Sic)</w:t>
      </w:r>
    </w:p>
    <w:p w14:paraId="4BAA0B02" w14:textId="77777777" w:rsidR="00BE53DD" w:rsidRPr="00D3359C" w:rsidRDefault="00BE53DD" w:rsidP="00BE53DD">
      <w:pPr>
        <w:pStyle w:val="Prrafodelista"/>
        <w:spacing w:before="100" w:beforeAutospacing="1" w:after="100" w:afterAutospacing="1" w:line="360" w:lineRule="auto"/>
        <w:ind w:left="0"/>
        <w:jc w:val="both"/>
        <w:rPr>
          <w:rFonts w:ascii="Palatino Linotype" w:hAnsi="Palatino Linotype"/>
        </w:rPr>
      </w:pPr>
      <w:r w:rsidRPr="00D3359C">
        <w:rPr>
          <w:rFonts w:ascii="Palatino Linotype" w:hAnsi="Palatino Linotype" w:cs="Arial"/>
        </w:rPr>
        <w:t>Asimismo</w:t>
      </w:r>
      <w:r w:rsidRPr="00D3359C">
        <w:rPr>
          <w:rFonts w:ascii="Palatino Linotype" w:hAnsi="Palatino Linotype"/>
        </w:rPr>
        <w:t>, indicó como razones o motivos de inconformidad:</w:t>
      </w:r>
    </w:p>
    <w:p w14:paraId="4BAA0B03" w14:textId="77777777" w:rsidR="00BE53DD" w:rsidRPr="00D3359C" w:rsidRDefault="00BE53DD" w:rsidP="00BE53DD">
      <w:pPr>
        <w:spacing w:before="100" w:beforeAutospacing="1" w:after="100" w:afterAutospacing="1"/>
        <w:ind w:left="709" w:right="709"/>
        <w:jc w:val="both"/>
        <w:rPr>
          <w:rFonts w:ascii="Palatino Linotype" w:hAnsi="Palatino Linotype" w:cs="Arial"/>
          <w:i/>
          <w:sz w:val="22"/>
          <w:szCs w:val="22"/>
          <w:lang w:eastAsia="es-MX"/>
        </w:rPr>
      </w:pPr>
      <w:r w:rsidRPr="00D3359C">
        <w:rPr>
          <w:rFonts w:ascii="Palatino Linotype" w:hAnsi="Palatino Linotype" w:cs="Arial"/>
          <w:i/>
          <w:sz w:val="22"/>
          <w:szCs w:val="22"/>
          <w:lang w:eastAsia="es-MX"/>
        </w:rPr>
        <w:t>“</w:t>
      </w:r>
      <w:r w:rsidR="00F31895" w:rsidRPr="00D3359C">
        <w:rPr>
          <w:rFonts w:ascii="Palatino Linotype" w:hAnsi="Palatino Linotype" w:cs="Arial"/>
          <w:i/>
          <w:sz w:val="22"/>
          <w:szCs w:val="22"/>
          <w:lang w:eastAsia="es-MX"/>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00052/DIFTULTEPE/IP/2021, que da motivo a este recurso legal y que pido sea revisado y sancionado por el pleno del INFOEM</w:t>
      </w:r>
      <w:r w:rsidRPr="00D3359C">
        <w:rPr>
          <w:rFonts w:ascii="Palatino Linotype" w:hAnsi="Palatino Linotype" w:cs="Arial"/>
          <w:i/>
          <w:sz w:val="22"/>
          <w:szCs w:val="22"/>
          <w:lang w:eastAsia="es-MX"/>
        </w:rPr>
        <w:t>.” (Sic)</w:t>
      </w:r>
    </w:p>
    <w:p w14:paraId="4BAA0B04" w14:textId="77777777" w:rsidR="00BE53DD" w:rsidRPr="00D3359C" w:rsidRDefault="00BE53DD" w:rsidP="00BE53DD">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D3359C">
        <w:rPr>
          <w:rFonts w:ascii="Palatino Linotype" w:hAnsi="Palatino Linotype" w:cs="Arial"/>
          <w:b/>
          <w:sz w:val="28"/>
          <w:szCs w:val="28"/>
        </w:rPr>
        <w:t>IV.</w:t>
      </w:r>
      <w:r w:rsidRPr="00D3359C">
        <w:rPr>
          <w:rFonts w:ascii="Palatino Linotype" w:hAnsi="Palatino Linotype" w:cs="Arial"/>
        </w:rPr>
        <w:t xml:space="preserve"> En fecha </w:t>
      </w:r>
      <w:r w:rsidR="00F31895" w:rsidRPr="00D3359C">
        <w:rPr>
          <w:rFonts w:ascii="Palatino Linotype" w:hAnsi="Palatino Linotype" w:cs="Arial"/>
        </w:rPr>
        <w:t xml:space="preserve">veinticinco de marzo </w:t>
      </w:r>
      <w:r w:rsidRPr="00D3359C">
        <w:rPr>
          <w:rFonts w:ascii="Palatino Linotype" w:hAnsi="Palatino Linotype"/>
        </w:rPr>
        <w:t>de dos mil veintiuno</w:t>
      </w:r>
      <w:r w:rsidRPr="00D3359C">
        <w:rPr>
          <w:rFonts w:ascii="Palatino Linotype" w:hAnsi="Palatino Linotype" w:cs="Arial"/>
        </w:rPr>
        <w:t>, el recurso de que se trata se envió electrónicamente al Instituto de Transparencia, Acceso a la Información Pública</w:t>
      </w:r>
      <w:r w:rsidRPr="00D3359C">
        <w:rPr>
          <w:rFonts w:ascii="Palatino Linotype" w:hAnsi="Palatino Linotype" w:cs="Arial"/>
          <w:lang w:val="es-ES_tradnl"/>
        </w:rPr>
        <w:t xml:space="preserve"> y </w:t>
      </w:r>
      <w:r w:rsidRPr="00D3359C">
        <w:rPr>
          <w:rFonts w:ascii="Palatino Linotype" w:hAnsi="Palatino Linotype" w:cs="Arial"/>
        </w:rPr>
        <w:t>Protección</w:t>
      </w:r>
      <w:r w:rsidRPr="00D3359C">
        <w:rPr>
          <w:rFonts w:ascii="Palatino Linotype" w:hAnsi="Palatino Linotype" w:cs="Arial"/>
          <w:lang w:val="es-ES_tradnl"/>
        </w:rPr>
        <w:t xml:space="preserve"> </w:t>
      </w:r>
      <w:r w:rsidRPr="00D3359C">
        <w:rPr>
          <w:rFonts w:ascii="Palatino Linotype" w:hAnsi="Palatino Linotype" w:cs="Arial"/>
        </w:rPr>
        <w:t>de</w:t>
      </w:r>
      <w:r w:rsidRPr="00D3359C">
        <w:rPr>
          <w:rFonts w:ascii="Palatino Linotype" w:hAnsi="Palatino Linotype" w:cs="Arial"/>
          <w:lang w:val="es-ES_tradnl"/>
        </w:rPr>
        <w:t xml:space="preserve"> </w:t>
      </w:r>
      <w:r w:rsidRPr="00D3359C">
        <w:rPr>
          <w:rFonts w:ascii="Palatino Linotype" w:hAnsi="Palatino Linotype"/>
        </w:rPr>
        <w:t>Datos</w:t>
      </w:r>
      <w:r w:rsidRPr="00D3359C">
        <w:rPr>
          <w:rFonts w:ascii="Palatino Linotype" w:hAnsi="Palatino Linotype" w:cs="Arial"/>
          <w:lang w:val="es-ES_tradnl"/>
        </w:rPr>
        <w:t xml:space="preserve"> </w:t>
      </w:r>
      <w:r w:rsidRPr="00D3359C">
        <w:rPr>
          <w:rFonts w:ascii="Palatino Linotype" w:hAnsi="Palatino Linotype" w:cs="Arial"/>
        </w:rPr>
        <w:t>Personales</w:t>
      </w:r>
      <w:r w:rsidRPr="00D3359C">
        <w:rPr>
          <w:rFonts w:ascii="Palatino Linotype" w:hAnsi="Palatino Linotype" w:cs="Arial"/>
          <w:lang w:val="es-ES_tradnl"/>
        </w:rPr>
        <w:t xml:space="preserve"> </w:t>
      </w:r>
      <w:r w:rsidRPr="00D3359C">
        <w:rPr>
          <w:rFonts w:ascii="Palatino Linotype" w:hAnsi="Palatino Linotype" w:cs="Arial"/>
        </w:rPr>
        <w:t>del</w:t>
      </w:r>
      <w:r w:rsidRPr="00D3359C">
        <w:rPr>
          <w:rFonts w:ascii="Palatino Linotype" w:hAnsi="Palatino Linotype" w:cs="Arial"/>
          <w:lang w:val="es-ES_tradnl"/>
        </w:rPr>
        <w:t xml:space="preserve"> </w:t>
      </w:r>
      <w:r w:rsidRPr="00D3359C">
        <w:rPr>
          <w:rFonts w:ascii="Palatino Linotype" w:hAnsi="Palatino Linotype"/>
        </w:rPr>
        <w:t>Estado</w:t>
      </w:r>
      <w:r w:rsidRPr="00D3359C">
        <w:rPr>
          <w:rFonts w:ascii="Palatino Linotype" w:hAnsi="Palatino Linotype" w:cs="Arial"/>
          <w:lang w:val="es-ES_tradnl"/>
        </w:rPr>
        <w:t xml:space="preserve"> de México y Municipios y con fundamento en el </w:t>
      </w:r>
      <w:r w:rsidRPr="00D3359C">
        <w:rPr>
          <w:rFonts w:ascii="Palatino Linotype" w:hAnsi="Palatino Linotype" w:cs="Arial"/>
        </w:rPr>
        <w:t>artículo</w:t>
      </w:r>
      <w:r w:rsidRPr="00D3359C">
        <w:rPr>
          <w:rFonts w:ascii="Palatino Linotype" w:hAnsi="Palatino Linotype" w:cs="Arial"/>
          <w:lang w:val="es-ES_tradnl"/>
        </w:rPr>
        <w:t xml:space="preserve"> 185, </w:t>
      </w:r>
      <w:r w:rsidRPr="00D3359C">
        <w:rPr>
          <w:rFonts w:ascii="Palatino Linotype" w:hAnsi="Palatino Linotype" w:cs="Arial"/>
        </w:rPr>
        <w:t>fracción</w:t>
      </w:r>
      <w:r w:rsidRPr="00D3359C">
        <w:rPr>
          <w:rFonts w:ascii="Palatino Linotype" w:hAnsi="Palatino Linotype" w:cs="Arial"/>
          <w:lang w:val="es-ES_tradnl"/>
        </w:rPr>
        <w:t xml:space="preserve"> I de la </w:t>
      </w:r>
      <w:r w:rsidRPr="00D3359C">
        <w:rPr>
          <w:rFonts w:ascii="Palatino Linotype" w:hAnsi="Palatino Linotype"/>
        </w:rPr>
        <w:t>Ley de Transparencia y Acceso a la Información Pública del Estado de México y Municipios</w:t>
      </w:r>
      <w:r w:rsidRPr="00D3359C">
        <w:rPr>
          <w:rFonts w:ascii="Palatino Linotype" w:hAnsi="Palatino Linotype" w:cs="Arial"/>
          <w:lang w:val="es-ES_tradnl"/>
        </w:rPr>
        <w:t>, se turnó, a través del</w:t>
      </w:r>
      <w:r w:rsidRPr="00D3359C">
        <w:rPr>
          <w:rFonts w:ascii="Palatino Linotype" w:eastAsia="Arial Unicode MS" w:hAnsi="Palatino Linotype" w:cs="Arial"/>
          <w:lang w:val="es-ES_tradnl"/>
        </w:rPr>
        <w:t xml:space="preserve"> </w:t>
      </w:r>
      <w:r w:rsidRPr="00D3359C">
        <w:rPr>
          <w:rFonts w:ascii="Palatino Linotype" w:eastAsia="Arial Unicode MS" w:hAnsi="Palatino Linotype" w:cs="Arial"/>
          <w:b/>
          <w:lang w:val="es-ES_tradnl"/>
        </w:rPr>
        <w:lastRenderedPageBreak/>
        <w:t>SAIMEX</w:t>
      </w:r>
      <w:r w:rsidRPr="00D3359C">
        <w:rPr>
          <w:rFonts w:ascii="Palatino Linotype" w:hAnsi="Palatino Linotype"/>
        </w:rPr>
        <w:t xml:space="preserve">, a la </w:t>
      </w:r>
      <w:r w:rsidRPr="00D3359C">
        <w:rPr>
          <w:rFonts w:ascii="Palatino Linotype" w:hAnsi="Palatino Linotype" w:cs="Arial"/>
          <w:lang w:val="es-ES_tradnl"/>
        </w:rPr>
        <w:t xml:space="preserve">Comisionada </w:t>
      </w:r>
      <w:r w:rsidRPr="00D3359C">
        <w:rPr>
          <w:rFonts w:ascii="Palatino Linotype" w:hAnsi="Palatino Linotype" w:cs="Arial"/>
          <w:b/>
          <w:lang w:val="es-ES_tradnl"/>
        </w:rPr>
        <w:t>EVA ABAID YAPUR</w:t>
      </w:r>
      <w:r w:rsidRPr="00D3359C">
        <w:rPr>
          <w:rFonts w:ascii="Palatino Linotype" w:hAnsi="Palatino Linotype" w:cs="Arial"/>
          <w:lang w:val="es-ES_tradnl"/>
        </w:rPr>
        <w:t>, a efecto de que decretara su admisión o desechamiento.</w:t>
      </w:r>
    </w:p>
    <w:p w14:paraId="4BAA0B05" w14:textId="77777777" w:rsidR="00BE53DD" w:rsidRPr="00D3359C" w:rsidRDefault="00BE53DD" w:rsidP="00BE53DD">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D3359C">
        <w:rPr>
          <w:rFonts w:ascii="Palatino Linotype" w:hAnsi="Palatino Linotype" w:cs="Arial"/>
          <w:b/>
          <w:sz w:val="28"/>
          <w:szCs w:val="28"/>
        </w:rPr>
        <w:t>V.</w:t>
      </w:r>
      <w:r w:rsidRPr="00D3359C">
        <w:rPr>
          <w:rFonts w:ascii="Palatino Linotype" w:hAnsi="Palatino Linotype" w:cs="Arial"/>
        </w:rPr>
        <w:t xml:space="preserve"> En fecha </w:t>
      </w:r>
      <w:r w:rsidR="00F31895" w:rsidRPr="00D3359C">
        <w:rPr>
          <w:rFonts w:ascii="Palatino Linotype" w:hAnsi="Palatino Linotype" w:cs="Arial"/>
        </w:rPr>
        <w:t xml:space="preserve">seis de abril </w:t>
      </w:r>
      <w:r w:rsidR="00F31895" w:rsidRPr="00D3359C">
        <w:rPr>
          <w:rFonts w:ascii="Palatino Linotype" w:hAnsi="Palatino Linotype"/>
        </w:rPr>
        <w:t>de dos mil veintiuno</w:t>
      </w:r>
      <w:r w:rsidRPr="00D3359C">
        <w:rPr>
          <w:rFonts w:ascii="Palatino Linotype" w:hAnsi="Palatino Linotype" w:cs="Arial"/>
        </w:rPr>
        <w:t xml:space="preserve">, atento a lo dispuesto en el artículo 185, fracciones I, II y IV, de la </w:t>
      </w:r>
      <w:r w:rsidRPr="00D3359C">
        <w:rPr>
          <w:rFonts w:ascii="Palatino Linotype" w:hAnsi="Palatino Linotype"/>
        </w:rPr>
        <w:t xml:space="preserve">Ley de Transparencia y Acceso a la Información Pública del </w:t>
      </w:r>
      <w:r w:rsidRPr="00D3359C">
        <w:rPr>
          <w:rFonts w:ascii="Palatino Linotype" w:hAnsi="Palatino Linotype" w:cs="Arial"/>
        </w:rPr>
        <w:t>Estado</w:t>
      </w:r>
      <w:r w:rsidRPr="00D3359C">
        <w:rPr>
          <w:rFonts w:ascii="Palatino Linotype" w:hAnsi="Palatino Linotype"/>
        </w:rPr>
        <w:t xml:space="preserve"> de México y </w:t>
      </w:r>
      <w:r w:rsidRPr="00D3359C">
        <w:rPr>
          <w:rFonts w:ascii="Palatino Linotype" w:hAnsi="Palatino Linotype" w:cs="Arial"/>
          <w:lang w:val="es-ES_tradnl"/>
        </w:rPr>
        <w:t>Municipios</w:t>
      </w:r>
      <w:r w:rsidRPr="00D3359C">
        <w:rPr>
          <w:rFonts w:ascii="Palatino Linotype" w:hAnsi="Palatino Linotype"/>
        </w:rPr>
        <w:t>, se a</w:t>
      </w:r>
      <w:r w:rsidRPr="00D3359C">
        <w:rPr>
          <w:rFonts w:ascii="Palatino Linotype" w:hAnsi="Palatino Linotype" w:cs="Arial"/>
        </w:rPr>
        <w:t xml:space="preserve">cordó la admisión a trámite del referido recurso de </w:t>
      </w:r>
      <w:r w:rsidRPr="00D3359C">
        <w:rPr>
          <w:rFonts w:ascii="Palatino Linotype" w:hAnsi="Palatino Linotype" w:cs="Arial"/>
          <w:lang w:val="es-ES_tradnl"/>
        </w:rPr>
        <w:t>revisión;</w:t>
      </w:r>
      <w:r w:rsidRPr="00D3359C">
        <w:rPr>
          <w:rFonts w:ascii="Palatino Linotype" w:hAnsi="Palatino Linotype" w:cs="Arial"/>
        </w:rPr>
        <w:t xml:space="preserve"> así como, la </w:t>
      </w:r>
      <w:r w:rsidRPr="00D3359C">
        <w:rPr>
          <w:rFonts w:ascii="Palatino Linotype" w:hAnsi="Palatino Linotype" w:cs="Arial"/>
          <w:lang w:val="es-ES_tradnl"/>
        </w:rPr>
        <w:t>integración</w:t>
      </w:r>
      <w:r w:rsidRPr="00D3359C">
        <w:rPr>
          <w:rFonts w:ascii="Palatino Linotype" w:hAnsi="Palatino Linotype" w:cs="Arial"/>
        </w:rPr>
        <w:t xml:space="preserve"> del expediente respectivo, mismo que se puso a disposición de las partes, para que en el plazo máximo de siete días hábiles, </w:t>
      </w:r>
      <w:r w:rsidRPr="00D3359C">
        <w:rPr>
          <w:rFonts w:ascii="Palatino Linotype" w:hAnsi="Palatino Linotype" w:cs="Arial"/>
          <w:b/>
        </w:rPr>
        <w:t>EL RECURRENTE</w:t>
      </w:r>
      <w:r w:rsidRPr="00D3359C">
        <w:rPr>
          <w:rFonts w:ascii="Palatino Linotype" w:hAnsi="Palatino Linotype" w:cs="Arial"/>
        </w:rPr>
        <w:t xml:space="preserve"> realizara manifestaciones, alegatos y ofreciera las pruebas que a su derecho </w:t>
      </w:r>
      <w:r w:rsidRPr="00D3359C">
        <w:rPr>
          <w:rFonts w:ascii="Palatino Linotype" w:hAnsi="Palatino Linotype" w:cs="Arial"/>
          <w:lang w:val="es-ES_tradnl"/>
        </w:rPr>
        <w:t>conviniera</w:t>
      </w:r>
      <w:r w:rsidRPr="00D3359C">
        <w:rPr>
          <w:rFonts w:ascii="Palatino Linotype" w:hAnsi="Palatino Linotype" w:cs="Arial"/>
        </w:rPr>
        <w:t xml:space="preserve"> y, en el caso del</w:t>
      </w:r>
      <w:r w:rsidRPr="00D3359C">
        <w:rPr>
          <w:rFonts w:ascii="Palatino Linotype" w:hAnsi="Palatino Linotype" w:cs="Arial"/>
          <w:b/>
        </w:rPr>
        <w:t xml:space="preserve"> SUJETO OBLIGADO</w:t>
      </w:r>
      <w:r w:rsidRPr="00D3359C">
        <w:rPr>
          <w:rFonts w:ascii="Palatino Linotype" w:hAnsi="Palatino Linotype" w:cs="Arial"/>
        </w:rPr>
        <w:t>, para que exhibiera el Informe Justificado correspondiente.</w:t>
      </w:r>
    </w:p>
    <w:bookmarkEnd w:id="0"/>
    <w:bookmarkEnd w:id="1"/>
    <w:p w14:paraId="4BAA0B06" w14:textId="77777777" w:rsidR="00BE53DD" w:rsidRPr="00D3359C" w:rsidRDefault="00BE53DD" w:rsidP="00BE53DD">
      <w:pPr>
        <w:pStyle w:val="Prrafodelista"/>
        <w:spacing w:before="240" w:after="240" w:line="360" w:lineRule="auto"/>
        <w:ind w:left="0"/>
        <w:jc w:val="both"/>
        <w:rPr>
          <w:rFonts w:ascii="Palatino Linotype" w:hAnsi="Palatino Linotype" w:cs="Arial"/>
        </w:rPr>
      </w:pPr>
      <w:r w:rsidRPr="00D3359C">
        <w:rPr>
          <w:rFonts w:ascii="Palatino Linotype" w:hAnsi="Palatino Linotype" w:cs="Arial"/>
          <w:b/>
          <w:sz w:val="28"/>
          <w:szCs w:val="28"/>
        </w:rPr>
        <w:t>VI.</w:t>
      </w:r>
      <w:r w:rsidRPr="00D3359C">
        <w:rPr>
          <w:rFonts w:ascii="Palatino Linotype" w:hAnsi="Palatino Linotype" w:cs="Arial"/>
        </w:rPr>
        <w:t xml:space="preserve"> De las constancias que obran en el </w:t>
      </w:r>
      <w:r w:rsidRPr="00D3359C">
        <w:rPr>
          <w:rFonts w:ascii="Palatino Linotype" w:hAnsi="Palatino Linotype" w:cs="Arial"/>
          <w:b/>
        </w:rPr>
        <w:t>SAIMEX</w:t>
      </w:r>
      <w:r w:rsidRPr="00D3359C">
        <w:rPr>
          <w:rFonts w:ascii="Palatino Linotype" w:hAnsi="Palatino Linotype" w:cs="Arial"/>
        </w:rPr>
        <w:t xml:space="preserve">, se desprende que </w:t>
      </w:r>
      <w:r w:rsidRPr="00D3359C">
        <w:rPr>
          <w:rFonts w:ascii="Palatino Linotype" w:hAnsi="Palatino Linotype" w:cs="Arial"/>
          <w:b/>
        </w:rPr>
        <w:t xml:space="preserve">EL SUJETO OBLIGADO </w:t>
      </w:r>
      <w:r w:rsidRPr="00D3359C">
        <w:rPr>
          <w:rFonts w:ascii="Palatino Linotype" w:hAnsi="Palatino Linotype" w:cs="Arial"/>
        </w:rPr>
        <w:t xml:space="preserve">fue omiso en rendir el Informe Justificado correspondiente. Por su parte, </w:t>
      </w:r>
      <w:r w:rsidRPr="00D3359C">
        <w:rPr>
          <w:rFonts w:ascii="Palatino Linotype" w:hAnsi="Palatino Linotype" w:cs="Arial"/>
          <w:b/>
        </w:rPr>
        <w:t>EL RECURRENTE</w:t>
      </w:r>
      <w:r w:rsidRPr="00D3359C">
        <w:rPr>
          <w:rFonts w:ascii="Palatino Linotype" w:hAnsi="Palatino Linotype" w:cs="Arial"/>
        </w:rPr>
        <w:t xml:space="preserve"> fue omiso en realizar las manifestaciones que a su derecho conviniera tal y como se aprecia a continuación:</w:t>
      </w:r>
    </w:p>
    <w:p w14:paraId="4BAA0B07" w14:textId="77777777" w:rsidR="00BE53DD" w:rsidRPr="00D3359C" w:rsidRDefault="00F31895" w:rsidP="00BE53DD">
      <w:pPr>
        <w:pStyle w:val="Prrafodelista"/>
        <w:widowControl w:val="0"/>
        <w:tabs>
          <w:tab w:val="left" w:pos="0"/>
        </w:tabs>
        <w:autoSpaceDE w:val="0"/>
        <w:autoSpaceDN w:val="0"/>
        <w:adjustRightInd w:val="0"/>
        <w:spacing w:before="240" w:after="240" w:line="360" w:lineRule="auto"/>
        <w:ind w:left="0"/>
        <w:jc w:val="center"/>
        <w:rPr>
          <w:rFonts w:ascii="Palatino Linotype" w:hAnsi="Palatino Linotype" w:cs="Arial"/>
        </w:rPr>
      </w:pPr>
      <w:r w:rsidRPr="00D3359C">
        <w:rPr>
          <w:noProof/>
          <w:lang w:eastAsia="es-MX"/>
        </w:rPr>
        <w:drawing>
          <wp:inline distT="0" distB="0" distL="0" distR="0" wp14:anchorId="4BAA0BA3" wp14:editId="4BAA0BA4">
            <wp:extent cx="5013940" cy="127342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660" t="40493" r="14281" b="26955"/>
                    <a:stretch/>
                  </pic:blipFill>
                  <pic:spPr bwMode="auto">
                    <a:xfrm>
                      <a:off x="0" y="0"/>
                      <a:ext cx="5027566" cy="127688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BAA0B08" w14:textId="77777777" w:rsidR="00BE53DD" w:rsidRPr="00D3359C" w:rsidRDefault="00BE53DD" w:rsidP="00BE53DD">
      <w:pPr>
        <w:pStyle w:val="Prrafodelista"/>
        <w:spacing w:before="240" w:after="240" w:line="360" w:lineRule="auto"/>
        <w:ind w:left="0"/>
        <w:jc w:val="both"/>
        <w:rPr>
          <w:rFonts w:ascii="Palatino Linotype" w:hAnsi="Palatino Linotype"/>
        </w:rPr>
      </w:pPr>
      <w:r w:rsidRPr="00D3359C">
        <w:rPr>
          <w:rFonts w:ascii="Palatino Linotype" w:hAnsi="Palatino Linotype" w:cs="Arial"/>
          <w:b/>
          <w:sz w:val="28"/>
          <w:szCs w:val="28"/>
        </w:rPr>
        <w:t>VII.</w:t>
      </w:r>
      <w:r w:rsidRPr="00D3359C">
        <w:rPr>
          <w:rFonts w:ascii="Palatino Linotype" w:hAnsi="Palatino Linotype" w:cs="Arial"/>
        </w:rPr>
        <w:t xml:space="preserve"> Una vez </w:t>
      </w:r>
      <w:r w:rsidRPr="00D3359C">
        <w:rPr>
          <w:rFonts w:ascii="Palatino Linotype" w:hAnsi="Palatino Linotype" w:cs="Arial"/>
          <w:color w:val="000000" w:themeColor="text1"/>
        </w:rPr>
        <w:t>analizado</w:t>
      </w:r>
      <w:r w:rsidRPr="00D3359C">
        <w:rPr>
          <w:rFonts w:ascii="Palatino Linotype" w:hAnsi="Palatino Linotype" w:cs="Arial"/>
        </w:rPr>
        <w:t xml:space="preserve"> el estado procesal que guardaba el expediente, en fecha </w:t>
      </w:r>
      <w:r w:rsidR="00F31895" w:rsidRPr="00D3359C">
        <w:rPr>
          <w:rFonts w:ascii="Palatino Linotype" w:hAnsi="Palatino Linotype" w:cs="Arial"/>
        </w:rPr>
        <w:t xml:space="preserve">veinte </w:t>
      </w:r>
      <w:r w:rsidRPr="00D3359C">
        <w:rPr>
          <w:rFonts w:ascii="Palatino Linotype" w:hAnsi="Palatino Linotype" w:cs="Arial"/>
        </w:rPr>
        <w:t xml:space="preserve">de abril de dos mil veintiuno, la Comisionada Ponente acordó el cierre de </w:t>
      </w:r>
      <w:r w:rsidRPr="00D3359C">
        <w:rPr>
          <w:rFonts w:ascii="Palatino Linotype" w:hAnsi="Palatino Linotype" w:cs="Arial"/>
        </w:rPr>
        <w:lastRenderedPageBreak/>
        <w:t xml:space="preserve">instrucción; así </w:t>
      </w:r>
      <w:r w:rsidRPr="00D3359C">
        <w:rPr>
          <w:rFonts w:ascii="Palatino Linotype" w:hAnsi="Palatino Linotype" w:cs="Arial"/>
          <w:lang w:val="es-ES_tradnl"/>
        </w:rPr>
        <w:t>como,</w:t>
      </w:r>
      <w:r w:rsidRPr="00D3359C">
        <w:rPr>
          <w:rFonts w:ascii="Palatino Linotype" w:hAnsi="Palatino Linotype" w:cs="Arial"/>
        </w:rPr>
        <w:t xml:space="preserve"> la remisión del mismo a efecto </w:t>
      </w:r>
      <w:r w:rsidRPr="00D3359C">
        <w:rPr>
          <w:rFonts w:ascii="Palatino Linotype" w:hAnsi="Palatino Linotype" w:cs="Arial"/>
          <w:lang w:val="es-ES_tradnl"/>
        </w:rPr>
        <w:t>de</w:t>
      </w:r>
      <w:r w:rsidRPr="00D3359C">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D3359C">
        <w:rPr>
          <w:rFonts w:ascii="Palatino Linotype" w:hAnsi="Palatino Linotype"/>
        </w:rPr>
        <w:t>.</w:t>
      </w:r>
    </w:p>
    <w:p w14:paraId="4BAA0B09" w14:textId="77777777" w:rsidR="00BE53DD" w:rsidRPr="00D3359C" w:rsidRDefault="00BE53DD" w:rsidP="00BE53DD">
      <w:pPr>
        <w:pStyle w:val="Prrafodelista"/>
        <w:spacing w:before="240" w:after="240" w:line="360" w:lineRule="auto"/>
        <w:ind w:left="0"/>
        <w:jc w:val="both"/>
        <w:rPr>
          <w:rFonts w:ascii="Palatino Linotype" w:hAnsi="Palatino Linotype"/>
        </w:rPr>
      </w:pPr>
      <w:r w:rsidRPr="00D3359C">
        <w:rPr>
          <w:rFonts w:ascii="Palatino Linotype" w:hAnsi="Palatino Linotype" w:cs="Arial"/>
          <w:b/>
          <w:sz w:val="28"/>
          <w:szCs w:val="28"/>
        </w:rPr>
        <w:t>VIII.</w:t>
      </w:r>
      <w:r w:rsidRPr="00D3359C">
        <w:rPr>
          <w:rFonts w:ascii="Palatino Linotype" w:hAnsi="Palatino Linotype"/>
        </w:rPr>
        <w:t xml:space="preserve"> </w:t>
      </w:r>
      <w:r w:rsidR="00F31895" w:rsidRPr="00D3359C">
        <w:rPr>
          <w:rFonts w:ascii="Palatino Linotype" w:hAnsi="Palatino Linotype"/>
        </w:rPr>
        <w:t xml:space="preserve">En fecha dieciocho de </w:t>
      </w:r>
      <w:r w:rsidRPr="00D3359C">
        <w:rPr>
          <w:rFonts w:ascii="Palatino Linotype" w:hAnsi="Palatino Linotype"/>
        </w:rPr>
        <w:t>mayo de dos mil veintiuno,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14:paraId="4BAA0B0A" w14:textId="77777777" w:rsidR="00BE53DD" w:rsidRPr="00D3359C" w:rsidRDefault="00BE53DD" w:rsidP="00BE53DD">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D3359C">
        <w:rPr>
          <w:rFonts w:ascii="Palatino Linotype" w:hAnsi="Palatino Linotype"/>
          <w:b/>
          <w:bCs/>
          <w:spacing w:val="60"/>
          <w:sz w:val="28"/>
        </w:rPr>
        <w:t>CONSIDERANDO</w:t>
      </w:r>
    </w:p>
    <w:p w14:paraId="4BAA0B0B" w14:textId="77777777" w:rsidR="00BE53DD" w:rsidRPr="00D3359C" w:rsidRDefault="00BE53DD" w:rsidP="00BE53D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D3359C">
        <w:rPr>
          <w:rFonts w:ascii="Palatino Linotype" w:hAnsi="Palatino Linotype"/>
          <w:b/>
          <w:sz w:val="28"/>
          <w:szCs w:val="28"/>
        </w:rPr>
        <w:t>PRIMERO</w:t>
      </w:r>
      <w:r w:rsidRPr="00D3359C">
        <w:rPr>
          <w:rFonts w:ascii="Palatino Linotype" w:hAnsi="Palatino Linotype"/>
          <w:b/>
        </w:rPr>
        <w:t>. Competencia</w:t>
      </w:r>
      <w:r w:rsidRPr="00D3359C">
        <w:rPr>
          <w:rFonts w:ascii="Palatino Linotype" w:hAnsi="Palatino Linotype"/>
        </w:rPr>
        <w:t>.</w:t>
      </w:r>
      <w:r w:rsidRPr="00D3359C">
        <w:rPr>
          <w:rFonts w:ascii="Palatino Linotype" w:hAnsi="Palatino Linotype"/>
          <w:b/>
        </w:rPr>
        <w:t xml:space="preserve"> </w:t>
      </w:r>
      <w:r w:rsidRPr="00D3359C">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BAA0B0C" w14:textId="77777777" w:rsidR="00BE53DD" w:rsidRPr="00D3359C" w:rsidRDefault="00BE53DD" w:rsidP="00BE53D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D3359C">
        <w:rPr>
          <w:rFonts w:ascii="Palatino Linotype" w:hAnsi="Palatino Linotype"/>
        </w:rPr>
        <w:t xml:space="preserve">Aunado a lo anterior, este Órgano Garante estima pertinente realizar un </w:t>
      </w:r>
      <w:r w:rsidRPr="00D3359C">
        <w:rPr>
          <w:rFonts w:ascii="Palatino Linotype" w:hAnsi="Palatino Linotype"/>
        </w:rPr>
        <w:lastRenderedPageBreak/>
        <w:t>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BAA0B0D" w14:textId="77777777" w:rsidR="00BE53DD" w:rsidRPr="00D3359C" w:rsidRDefault="00BE53DD" w:rsidP="00BE53D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D3359C">
        <w:rPr>
          <w:rFonts w:ascii="Palatino Linotype" w:hAnsi="Palatino Linotype" w:cs="Arial"/>
          <w:b/>
          <w:sz w:val="28"/>
          <w:szCs w:val="28"/>
        </w:rPr>
        <w:t>SEGUNDO</w:t>
      </w:r>
      <w:r w:rsidRPr="00D3359C">
        <w:rPr>
          <w:rFonts w:ascii="Palatino Linotype" w:hAnsi="Palatino Linotype" w:cs="Arial"/>
          <w:b/>
        </w:rPr>
        <w:t>. Interés.</w:t>
      </w:r>
      <w:r w:rsidRPr="00D3359C">
        <w:rPr>
          <w:rFonts w:ascii="Palatino Linotype" w:hAnsi="Palatino Linotype" w:cs="Arial"/>
        </w:rPr>
        <w:t xml:space="preserve"> El </w:t>
      </w:r>
      <w:r w:rsidRPr="00D3359C">
        <w:rPr>
          <w:rFonts w:ascii="Palatino Linotype" w:hAnsi="Palatino Linotype"/>
        </w:rPr>
        <w:t>recurso</w:t>
      </w:r>
      <w:r w:rsidRPr="00D3359C">
        <w:rPr>
          <w:rFonts w:ascii="Palatino Linotype" w:hAnsi="Palatino Linotype" w:cs="Arial"/>
        </w:rPr>
        <w:t xml:space="preserve"> de revisión fue </w:t>
      </w:r>
      <w:r w:rsidRPr="00D3359C">
        <w:rPr>
          <w:rFonts w:ascii="Palatino Linotype" w:hAnsi="Palatino Linotype"/>
        </w:rPr>
        <w:t>interpuesto</w:t>
      </w:r>
      <w:r w:rsidRPr="00D3359C">
        <w:rPr>
          <w:rFonts w:ascii="Palatino Linotype" w:hAnsi="Palatino Linotype" w:cs="Arial"/>
        </w:rPr>
        <w:t xml:space="preserve"> por parte legítima en atención a que fue </w:t>
      </w:r>
      <w:r w:rsidRPr="00D3359C">
        <w:rPr>
          <w:rFonts w:ascii="Palatino Linotype" w:hAnsi="Palatino Linotype"/>
        </w:rPr>
        <w:t>presentado</w:t>
      </w:r>
      <w:r w:rsidRPr="00D3359C">
        <w:rPr>
          <w:rFonts w:ascii="Palatino Linotype" w:hAnsi="Palatino Linotype" w:cs="Arial"/>
        </w:rPr>
        <w:t xml:space="preserve"> por </w:t>
      </w:r>
      <w:r w:rsidRPr="00D3359C">
        <w:rPr>
          <w:rFonts w:ascii="Palatino Linotype" w:hAnsi="Palatino Linotype" w:cs="Arial"/>
          <w:b/>
        </w:rPr>
        <w:t>EL RECURRENTE</w:t>
      </w:r>
      <w:r w:rsidRPr="00D3359C">
        <w:rPr>
          <w:rFonts w:ascii="Palatino Linotype" w:hAnsi="Palatino Linotype" w:cs="Arial"/>
          <w:snapToGrid w:val="0"/>
        </w:rPr>
        <w:t xml:space="preserve">, </w:t>
      </w:r>
      <w:r w:rsidRPr="00D3359C">
        <w:rPr>
          <w:rFonts w:ascii="Palatino Linotype" w:hAnsi="Palatino Linotype" w:cs="Arial"/>
        </w:rPr>
        <w:t>quien</w:t>
      </w:r>
      <w:r w:rsidRPr="00D3359C">
        <w:rPr>
          <w:rFonts w:ascii="Palatino Linotype" w:hAnsi="Palatino Linotype" w:cs="Arial"/>
          <w:snapToGrid w:val="0"/>
        </w:rPr>
        <w:t xml:space="preserve"> </w:t>
      </w:r>
      <w:r w:rsidRPr="00D3359C">
        <w:rPr>
          <w:rFonts w:ascii="Palatino Linotype" w:hAnsi="Palatino Linotype"/>
        </w:rPr>
        <w:t>formuló</w:t>
      </w:r>
      <w:r w:rsidRPr="00D3359C">
        <w:rPr>
          <w:rFonts w:ascii="Palatino Linotype" w:hAnsi="Palatino Linotype" w:cs="Arial"/>
          <w:snapToGrid w:val="0"/>
        </w:rPr>
        <w:t xml:space="preserve"> la </w:t>
      </w:r>
      <w:r w:rsidRPr="00D3359C">
        <w:rPr>
          <w:rFonts w:ascii="Palatino Linotype" w:hAnsi="Palatino Linotype" w:cs="Arial"/>
        </w:rPr>
        <w:t>solicitud</w:t>
      </w:r>
      <w:r w:rsidRPr="00D3359C">
        <w:rPr>
          <w:rFonts w:ascii="Palatino Linotype" w:hAnsi="Palatino Linotype" w:cs="Arial"/>
          <w:snapToGrid w:val="0"/>
        </w:rPr>
        <w:t xml:space="preserve"> de información pública.</w:t>
      </w:r>
    </w:p>
    <w:p w14:paraId="4BAA0B0E" w14:textId="77777777" w:rsidR="00BE53DD" w:rsidRPr="00D3359C" w:rsidRDefault="00BE53DD" w:rsidP="00BE53DD">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D3359C">
        <w:rPr>
          <w:rFonts w:ascii="Palatino Linotype" w:hAnsi="Palatino Linotype" w:cs="Arial"/>
          <w:b/>
          <w:sz w:val="28"/>
          <w:szCs w:val="28"/>
        </w:rPr>
        <w:t>TERCERO</w:t>
      </w:r>
      <w:r w:rsidRPr="00D3359C">
        <w:rPr>
          <w:rFonts w:ascii="Palatino Linotype" w:hAnsi="Palatino Linotype" w:cs="Arial"/>
          <w:b/>
        </w:rPr>
        <w:t xml:space="preserve">. Oportunidad. </w:t>
      </w:r>
      <w:r w:rsidRPr="00D3359C">
        <w:rPr>
          <w:rFonts w:ascii="Palatino Linotype" w:hAnsi="Palatino Linotype" w:cs="Arial"/>
        </w:rPr>
        <w:t xml:space="preserve">El recurso de revisión fue interpuesto dentro del plazo de quince días hábiles, contados a partir del día siguiente al en que </w:t>
      </w:r>
      <w:r w:rsidRPr="00D3359C">
        <w:rPr>
          <w:rFonts w:ascii="Palatino Linotype" w:hAnsi="Palatino Linotype" w:cs="Arial"/>
          <w:b/>
        </w:rPr>
        <w:t xml:space="preserve">EL RECURRENTE </w:t>
      </w:r>
      <w:r w:rsidRPr="00D3359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BAA0B0F" w14:textId="77777777" w:rsidR="00BE53DD" w:rsidRPr="00D3359C" w:rsidRDefault="00BE53DD" w:rsidP="00BE53DD">
      <w:pPr>
        <w:spacing w:before="100" w:beforeAutospacing="1" w:after="100" w:afterAutospacing="1"/>
        <w:ind w:left="720" w:right="709"/>
        <w:contextualSpacing/>
        <w:jc w:val="both"/>
        <w:rPr>
          <w:rFonts w:ascii="Palatino Linotype" w:hAnsi="Palatino Linotype" w:cs="Arial"/>
          <w:i/>
          <w:sz w:val="22"/>
        </w:rPr>
      </w:pPr>
      <w:r w:rsidRPr="00D3359C">
        <w:rPr>
          <w:rFonts w:ascii="Palatino Linotype" w:hAnsi="Palatino Linotype" w:cs="Arial"/>
          <w:i/>
          <w:sz w:val="22"/>
        </w:rPr>
        <w:t>“</w:t>
      </w:r>
      <w:r w:rsidRPr="00D3359C">
        <w:rPr>
          <w:rFonts w:ascii="Palatino Linotype" w:hAnsi="Palatino Linotype" w:cs="Arial"/>
          <w:b/>
          <w:i/>
          <w:sz w:val="22"/>
        </w:rPr>
        <w:t>Artículo 178.</w:t>
      </w:r>
      <w:r w:rsidRPr="00D3359C">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AA0B10" w14:textId="77777777" w:rsidR="00BE53DD" w:rsidRPr="00D3359C" w:rsidRDefault="00BE53DD" w:rsidP="00BE53DD">
      <w:pPr>
        <w:spacing w:before="100" w:beforeAutospacing="1" w:after="100" w:afterAutospacing="1"/>
        <w:ind w:left="720" w:right="709"/>
        <w:contextualSpacing/>
        <w:jc w:val="both"/>
        <w:rPr>
          <w:rFonts w:ascii="Palatino Linotype" w:hAnsi="Palatino Linotype" w:cs="Arial"/>
          <w:i/>
          <w:sz w:val="22"/>
        </w:rPr>
      </w:pPr>
      <w:r w:rsidRPr="00D3359C">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BAA0B11" w14:textId="77777777" w:rsidR="00BE53DD" w:rsidRPr="00D3359C" w:rsidRDefault="00BE53DD" w:rsidP="00BE53DD">
      <w:pPr>
        <w:spacing w:before="240" w:after="100" w:afterAutospacing="1"/>
        <w:ind w:left="720" w:right="709"/>
        <w:jc w:val="both"/>
        <w:rPr>
          <w:rFonts w:ascii="Palatino Linotype" w:hAnsi="Palatino Linotype" w:cs="Arial"/>
          <w:i/>
          <w:sz w:val="22"/>
        </w:rPr>
      </w:pPr>
      <w:r w:rsidRPr="00D3359C">
        <w:rPr>
          <w:rFonts w:ascii="Palatino Linotype" w:hAnsi="Palatino Linotype" w:cs="Arial"/>
          <w:i/>
          <w:sz w:val="22"/>
        </w:rPr>
        <w:t xml:space="preserve">En el caso de que se interponga ante la Unidad de Transparencia, ésta deberá remitir el recurso de revisión al Instituto a más tardar al día </w:t>
      </w:r>
      <w:r w:rsidRPr="00D3359C">
        <w:rPr>
          <w:rFonts w:ascii="Palatino Linotype" w:hAnsi="Palatino Linotype" w:cs="Arial"/>
          <w:i/>
          <w:sz w:val="22"/>
          <w:lang w:eastAsia="es-MX"/>
        </w:rPr>
        <w:t>siguiente</w:t>
      </w:r>
      <w:r w:rsidRPr="00D3359C">
        <w:rPr>
          <w:rFonts w:ascii="Palatino Linotype" w:hAnsi="Palatino Linotype" w:cs="Arial"/>
          <w:i/>
          <w:sz w:val="22"/>
        </w:rPr>
        <w:t xml:space="preserve"> de haberlo recibido.”</w:t>
      </w:r>
    </w:p>
    <w:p w14:paraId="4BAA0B12" w14:textId="77777777" w:rsidR="00BE53DD" w:rsidRPr="00D3359C" w:rsidRDefault="00BE53DD" w:rsidP="00BE53DD">
      <w:pPr>
        <w:spacing w:before="240" w:after="100" w:afterAutospacing="1" w:line="360" w:lineRule="auto"/>
        <w:jc w:val="both"/>
        <w:rPr>
          <w:rFonts w:ascii="Palatino Linotype" w:hAnsi="Palatino Linotype" w:cs="Arial"/>
        </w:rPr>
      </w:pPr>
      <w:r w:rsidRPr="00D3359C">
        <w:rPr>
          <w:rFonts w:ascii="Palatino Linotype" w:hAnsi="Palatino Linotype" w:cs="Arial"/>
        </w:rPr>
        <w:lastRenderedPageBreak/>
        <w:t xml:space="preserve">En esa tesitura, atendiendo a que </w:t>
      </w:r>
      <w:r w:rsidRPr="00D3359C">
        <w:rPr>
          <w:rFonts w:ascii="Palatino Linotype" w:hAnsi="Palatino Linotype" w:cs="Arial"/>
          <w:b/>
        </w:rPr>
        <w:t>EL SUJETO OBLIGADO</w:t>
      </w:r>
      <w:r w:rsidRPr="00D3359C">
        <w:rPr>
          <w:rFonts w:ascii="Palatino Linotype" w:hAnsi="Palatino Linotype" w:cs="Arial"/>
        </w:rPr>
        <w:t xml:space="preserve"> notificó la respuesta a la solicitud de acceso a la información pública el día</w:t>
      </w:r>
      <w:r w:rsidR="00F31895" w:rsidRPr="00D3359C">
        <w:rPr>
          <w:rFonts w:ascii="Palatino Linotype" w:hAnsi="Palatino Linotype" w:cs="Arial"/>
          <w:b/>
        </w:rPr>
        <w:t xml:space="preserve"> veintidós de </w:t>
      </w:r>
      <w:r w:rsidRPr="00D3359C">
        <w:rPr>
          <w:rFonts w:ascii="Palatino Linotype" w:hAnsi="Palatino Linotype" w:cs="Arial"/>
          <w:b/>
        </w:rPr>
        <w:t>marzo de dos mil veintiuno</w:t>
      </w:r>
      <w:r w:rsidRPr="00D3359C">
        <w:rPr>
          <w:rFonts w:ascii="Palatino Linotype" w:hAnsi="Palatino Linotype" w:cs="Arial"/>
        </w:rPr>
        <w:t>; así, el plazo de quince días hábiles que el artículo 178 de la Ley de la materia otorga al</w:t>
      </w:r>
      <w:r w:rsidRPr="00D3359C">
        <w:rPr>
          <w:rFonts w:ascii="Palatino Linotype" w:hAnsi="Palatino Linotype" w:cs="Arial"/>
          <w:b/>
        </w:rPr>
        <w:t xml:space="preserve"> RECURRENTE</w:t>
      </w:r>
      <w:r w:rsidRPr="00D3359C">
        <w:rPr>
          <w:rFonts w:ascii="Palatino Linotype" w:hAnsi="Palatino Linotype" w:cs="Arial"/>
        </w:rPr>
        <w:t xml:space="preserve"> para presentar el respectivo recurso de revisión, transcurrió del </w:t>
      </w:r>
      <w:r w:rsidR="00F31895" w:rsidRPr="00D3359C">
        <w:rPr>
          <w:rFonts w:ascii="Palatino Linotype" w:hAnsi="Palatino Linotype" w:cs="Arial"/>
          <w:b/>
        </w:rPr>
        <w:t xml:space="preserve">veintitrés de </w:t>
      </w:r>
      <w:r w:rsidRPr="00D3359C">
        <w:rPr>
          <w:rFonts w:ascii="Palatino Linotype" w:hAnsi="Palatino Linotype" w:cs="Arial"/>
          <w:b/>
        </w:rPr>
        <w:t xml:space="preserve">marzo al </w:t>
      </w:r>
      <w:r w:rsidR="00F31895" w:rsidRPr="00D3359C">
        <w:rPr>
          <w:rFonts w:ascii="Palatino Linotype" w:hAnsi="Palatino Linotype" w:cs="Arial"/>
          <w:b/>
        </w:rPr>
        <w:t>diecinueve d</w:t>
      </w:r>
      <w:r w:rsidRPr="00D3359C">
        <w:rPr>
          <w:rFonts w:ascii="Palatino Linotype" w:hAnsi="Palatino Linotype" w:cs="Arial"/>
          <w:b/>
        </w:rPr>
        <w:t xml:space="preserve">e abril de dos mil veintiuno, </w:t>
      </w:r>
      <w:r w:rsidRPr="00D3359C">
        <w:rPr>
          <w:rFonts w:ascii="Palatino Linotype" w:hAnsi="Palatino Linotype" w:cs="Arial"/>
        </w:rPr>
        <w:t>sin contemplar en el cómputo los días veintisiete y veintiocho de marzo, tres, cuatro, diez</w:t>
      </w:r>
      <w:r w:rsidR="00F31895" w:rsidRPr="00D3359C">
        <w:rPr>
          <w:rFonts w:ascii="Palatino Linotype" w:hAnsi="Palatino Linotype" w:cs="Arial"/>
        </w:rPr>
        <w:t xml:space="preserve">, </w:t>
      </w:r>
      <w:r w:rsidRPr="00D3359C">
        <w:rPr>
          <w:rFonts w:ascii="Palatino Linotype" w:hAnsi="Palatino Linotype" w:cs="Arial"/>
        </w:rPr>
        <w:t>once</w:t>
      </w:r>
      <w:r w:rsidR="00F31895" w:rsidRPr="00D3359C">
        <w:rPr>
          <w:rFonts w:ascii="Palatino Linotype" w:hAnsi="Palatino Linotype" w:cs="Arial"/>
        </w:rPr>
        <w:t xml:space="preserve">, diecisiete y dieciocho </w:t>
      </w:r>
      <w:r w:rsidRPr="00D3359C">
        <w:rPr>
          <w:rFonts w:ascii="Palatino Linotype" w:hAnsi="Palatino Linotype" w:cs="Arial"/>
        </w:rPr>
        <w:t xml:space="preserve">de abril del presente año; por corresponder a sábados y domingos, considerados como días inhábiles, en términos del artículo 3, fracción X de la </w:t>
      </w:r>
      <w:r w:rsidRPr="00D3359C">
        <w:rPr>
          <w:rFonts w:ascii="Palatino Linotype" w:hAnsi="Palatino Linotype"/>
        </w:rPr>
        <w:t xml:space="preserve">Ley de Transparencia y Acceso a la Información Pública del Estado de México y Municipios; así como, los días veintinueve, treinta y treinta y uno de marzo, uno y dos de abril de dos mil veintiuno, por corresponder días de suspensión de labores en el Instituto de conformidad con el Calendario Oficial en Materia de Transparencia, Acceso a la Información Pública y Protección de Datos Personales para el año dos mil veintiuno y enero de dos mil veintidós, aprobado por el Pleno de este Instituto, el dieciséis de diciembre de dos mil veinte. </w:t>
      </w:r>
    </w:p>
    <w:p w14:paraId="4BAA0B13" w14:textId="77777777" w:rsidR="00BE53DD" w:rsidRPr="00D3359C" w:rsidRDefault="00BE53DD" w:rsidP="00BE53DD">
      <w:pPr>
        <w:spacing w:before="240" w:after="100" w:afterAutospacing="1" w:line="360" w:lineRule="auto"/>
        <w:jc w:val="both"/>
        <w:rPr>
          <w:rFonts w:ascii="Palatino Linotype" w:hAnsi="Palatino Linotype" w:cs="Arial"/>
        </w:rPr>
      </w:pPr>
      <w:r w:rsidRPr="00D3359C">
        <w:rPr>
          <w:rFonts w:ascii="Palatino Linotype" w:hAnsi="Palatino Linotype" w:cs="Arial"/>
        </w:rPr>
        <w:t>En ese tenor, si el recurso de revisión que nos ocupa, se interpuso el</w:t>
      </w:r>
      <w:r w:rsidRPr="00D3359C">
        <w:rPr>
          <w:rFonts w:ascii="Palatino Linotype" w:hAnsi="Palatino Linotype" w:cs="Arial"/>
          <w:b/>
        </w:rPr>
        <w:t xml:space="preserve"> veinti</w:t>
      </w:r>
      <w:r w:rsidR="00F31895" w:rsidRPr="00D3359C">
        <w:rPr>
          <w:rFonts w:ascii="Palatino Linotype" w:hAnsi="Palatino Linotype" w:cs="Arial"/>
          <w:b/>
        </w:rPr>
        <w:t xml:space="preserve">cinco </w:t>
      </w:r>
      <w:r w:rsidRPr="00D3359C">
        <w:rPr>
          <w:rFonts w:ascii="Palatino Linotype" w:hAnsi="Palatino Linotype" w:cs="Arial"/>
          <w:b/>
        </w:rPr>
        <w:t xml:space="preserve">de marzo de dos mil veintiuno, </w:t>
      </w:r>
      <w:r w:rsidRPr="00D3359C">
        <w:rPr>
          <w:rFonts w:ascii="Palatino Linotype" w:hAnsi="Palatino Linotype" w:cs="Arial"/>
        </w:rPr>
        <w:t>éste se encuentra dentro de los márgenes temporales previstos en el precepto legal citado en el párrafo anterior y, por tanto, su interposición se considera oportuna.</w:t>
      </w:r>
    </w:p>
    <w:p w14:paraId="4BAA0B14" w14:textId="77777777" w:rsidR="00BE53DD" w:rsidRPr="00D3359C" w:rsidRDefault="00BE53DD" w:rsidP="00BE53DD">
      <w:pPr>
        <w:widowControl w:val="0"/>
        <w:autoSpaceDE w:val="0"/>
        <w:autoSpaceDN w:val="0"/>
        <w:adjustRightInd w:val="0"/>
        <w:spacing w:before="100" w:beforeAutospacing="1" w:after="100" w:afterAutospacing="1" w:line="360" w:lineRule="auto"/>
        <w:jc w:val="both"/>
        <w:rPr>
          <w:rFonts w:ascii="Palatino Linotype" w:hAnsi="Palatino Linotype"/>
          <w:b/>
        </w:rPr>
      </w:pPr>
      <w:r w:rsidRPr="00D3359C">
        <w:rPr>
          <w:rFonts w:ascii="Palatino Linotype" w:hAnsi="Palatino Linotype" w:cs="Arial"/>
          <w:b/>
          <w:sz w:val="28"/>
          <w:szCs w:val="28"/>
          <w:lang w:val="es-ES"/>
        </w:rPr>
        <w:t>CUARTO</w:t>
      </w:r>
      <w:r w:rsidRPr="00D3359C">
        <w:rPr>
          <w:rFonts w:ascii="Palatino Linotype" w:hAnsi="Palatino Linotype" w:cs="Arial"/>
          <w:b/>
          <w:lang w:val="es-ES"/>
        </w:rPr>
        <w:t xml:space="preserve">. Procedibilidad. </w:t>
      </w:r>
      <w:r w:rsidRPr="00D3359C">
        <w:rPr>
          <w:rFonts w:ascii="Palatino Linotype" w:hAnsi="Palatino Linotype" w:cs="Arial"/>
        </w:rPr>
        <w:t xml:space="preserve">Esta Ponencia considera importante abordar el análisis de los requisitos de procedibilidad del recurso de revisión, así que, el artículo 180 de la </w:t>
      </w:r>
      <w:r w:rsidRPr="00D3359C">
        <w:rPr>
          <w:rFonts w:ascii="Palatino Linotype" w:hAnsi="Palatino Linotype" w:cs="Arial"/>
          <w:lang w:eastAsia="es-MX"/>
        </w:rPr>
        <w:t xml:space="preserve">Ley de Transparencia y Acceso a la </w:t>
      </w:r>
      <w:r w:rsidRPr="00D3359C">
        <w:rPr>
          <w:rFonts w:ascii="Palatino Linotype" w:hAnsi="Palatino Linotype" w:cs="Arial"/>
        </w:rPr>
        <w:t>Información</w:t>
      </w:r>
      <w:r w:rsidRPr="00D3359C">
        <w:rPr>
          <w:rFonts w:ascii="Palatino Linotype" w:hAnsi="Palatino Linotype" w:cs="Arial"/>
          <w:lang w:eastAsia="es-MX"/>
        </w:rPr>
        <w:t xml:space="preserve"> Pública del Estado de México y </w:t>
      </w:r>
      <w:r w:rsidRPr="00D3359C">
        <w:rPr>
          <w:rFonts w:ascii="Palatino Linotype" w:hAnsi="Palatino Linotype" w:cs="Arial"/>
          <w:lang w:eastAsia="es-MX"/>
        </w:rPr>
        <w:lastRenderedPageBreak/>
        <w:t xml:space="preserve">Municipios, </w:t>
      </w:r>
      <w:r w:rsidRPr="00D3359C">
        <w:rPr>
          <w:rFonts w:ascii="Palatino Linotype" w:hAnsi="Palatino Linotype" w:cs="Arial"/>
        </w:rPr>
        <w:t>establece lo siguiente:</w:t>
      </w:r>
    </w:p>
    <w:p w14:paraId="4BAA0B15" w14:textId="77777777" w:rsidR="00BE53DD" w:rsidRPr="00D3359C" w:rsidRDefault="00BE53DD" w:rsidP="00BE53DD">
      <w:pPr>
        <w:spacing w:line="276" w:lineRule="auto"/>
        <w:ind w:left="851" w:right="902"/>
        <w:jc w:val="both"/>
        <w:rPr>
          <w:rFonts w:ascii="Palatino Linotype" w:hAnsi="Palatino Linotype"/>
          <w:b/>
          <w:i/>
          <w:sz w:val="22"/>
          <w:szCs w:val="22"/>
        </w:rPr>
      </w:pPr>
      <w:r w:rsidRPr="00D3359C">
        <w:rPr>
          <w:rFonts w:ascii="Palatino Linotype" w:hAnsi="Palatino Linotype"/>
          <w:b/>
          <w:i/>
          <w:sz w:val="22"/>
          <w:szCs w:val="22"/>
        </w:rPr>
        <w:t xml:space="preserve">Artículo 180. </w:t>
      </w:r>
      <w:r w:rsidRPr="00D3359C">
        <w:rPr>
          <w:rFonts w:ascii="Palatino Linotype" w:hAnsi="Palatino Linotype"/>
          <w:i/>
          <w:sz w:val="22"/>
          <w:szCs w:val="22"/>
        </w:rPr>
        <w:t xml:space="preserve">El </w:t>
      </w:r>
      <w:r w:rsidRPr="00D3359C">
        <w:rPr>
          <w:rFonts w:ascii="Palatino Linotype" w:hAnsi="Palatino Linotype" w:cs="Arial"/>
          <w:i/>
          <w:sz w:val="22"/>
          <w:szCs w:val="22"/>
        </w:rPr>
        <w:t>recurso</w:t>
      </w:r>
      <w:r w:rsidRPr="00D3359C">
        <w:rPr>
          <w:rFonts w:ascii="Palatino Linotype" w:hAnsi="Palatino Linotype"/>
          <w:i/>
          <w:sz w:val="22"/>
          <w:szCs w:val="22"/>
        </w:rPr>
        <w:t xml:space="preserve"> </w:t>
      </w:r>
      <w:r w:rsidRPr="00D3359C">
        <w:rPr>
          <w:rFonts w:ascii="Palatino Linotype" w:hAnsi="Palatino Linotype" w:cs="Arial"/>
          <w:i/>
          <w:color w:val="222222"/>
          <w:sz w:val="22"/>
          <w:szCs w:val="22"/>
          <w:lang w:eastAsia="es-MX"/>
        </w:rPr>
        <w:t>de</w:t>
      </w:r>
      <w:r w:rsidRPr="00D3359C">
        <w:rPr>
          <w:rFonts w:ascii="Palatino Linotype" w:hAnsi="Palatino Linotype"/>
          <w:i/>
          <w:sz w:val="22"/>
          <w:szCs w:val="22"/>
        </w:rPr>
        <w:t xml:space="preserve"> revisión contendrá:</w:t>
      </w:r>
      <w:r w:rsidRPr="00D3359C">
        <w:rPr>
          <w:rFonts w:ascii="Palatino Linotype" w:hAnsi="Palatino Linotype"/>
          <w:b/>
          <w:i/>
          <w:sz w:val="22"/>
          <w:szCs w:val="22"/>
        </w:rPr>
        <w:t xml:space="preserve"> </w:t>
      </w:r>
    </w:p>
    <w:p w14:paraId="4BAA0B16" w14:textId="77777777" w:rsidR="00BE53DD" w:rsidRPr="00D3359C" w:rsidRDefault="00BE53DD" w:rsidP="00BE53DD">
      <w:pPr>
        <w:spacing w:line="276" w:lineRule="auto"/>
        <w:ind w:left="851" w:right="902"/>
        <w:jc w:val="both"/>
        <w:rPr>
          <w:rFonts w:ascii="Palatino Linotype" w:hAnsi="Palatino Linotype"/>
          <w:b/>
          <w:i/>
          <w:sz w:val="22"/>
          <w:szCs w:val="22"/>
        </w:rPr>
      </w:pPr>
      <w:r w:rsidRPr="00D3359C">
        <w:rPr>
          <w:rFonts w:ascii="Palatino Linotype" w:hAnsi="Palatino Linotype"/>
          <w:b/>
          <w:i/>
          <w:sz w:val="22"/>
          <w:szCs w:val="22"/>
        </w:rPr>
        <w:t xml:space="preserve">I. </w:t>
      </w:r>
      <w:r w:rsidRPr="00D3359C">
        <w:rPr>
          <w:rFonts w:ascii="Palatino Linotype" w:hAnsi="Palatino Linotype"/>
          <w:i/>
          <w:sz w:val="22"/>
          <w:szCs w:val="22"/>
        </w:rPr>
        <w:t xml:space="preserve">El sujeto obligado ante </w:t>
      </w:r>
      <w:r w:rsidRPr="00D3359C">
        <w:rPr>
          <w:rFonts w:ascii="Palatino Linotype" w:hAnsi="Palatino Linotype" w:cs="Arial"/>
          <w:i/>
          <w:sz w:val="22"/>
          <w:szCs w:val="22"/>
        </w:rPr>
        <w:t>la</w:t>
      </w:r>
      <w:r w:rsidRPr="00D3359C">
        <w:rPr>
          <w:rFonts w:ascii="Palatino Linotype" w:hAnsi="Palatino Linotype"/>
          <w:i/>
          <w:sz w:val="22"/>
          <w:szCs w:val="22"/>
        </w:rPr>
        <w:t xml:space="preserve"> cual </w:t>
      </w:r>
      <w:r w:rsidRPr="00D3359C">
        <w:rPr>
          <w:rFonts w:ascii="Palatino Linotype" w:hAnsi="Palatino Linotype" w:cs="Arial"/>
          <w:i/>
          <w:color w:val="222222"/>
          <w:sz w:val="22"/>
          <w:szCs w:val="22"/>
          <w:lang w:eastAsia="es-MX"/>
        </w:rPr>
        <w:t>se</w:t>
      </w:r>
      <w:r w:rsidRPr="00D3359C">
        <w:rPr>
          <w:rFonts w:ascii="Palatino Linotype" w:hAnsi="Palatino Linotype"/>
          <w:i/>
          <w:sz w:val="22"/>
          <w:szCs w:val="22"/>
        </w:rPr>
        <w:t xml:space="preserve"> presentó la solicitud;</w:t>
      </w:r>
      <w:r w:rsidRPr="00D3359C">
        <w:rPr>
          <w:rFonts w:ascii="Palatino Linotype" w:hAnsi="Palatino Linotype"/>
          <w:b/>
          <w:i/>
          <w:sz w:val="22"/>
          <w:szCs w:val="22"/>
        </w:rPr>
        <w:t xml:space="preserve"> </w:t>
      </w:r>
    </w:p>
    <w:p w14:paraId="4BAA0B17" w14:textId="77777777" w:rsidR="00BE53DD" w:rsidRPr="00D3359C" w:rsidRDefault="00BE53DD" w:rsidP="00BE53DD">
      <w:pPr>
        <w:spacing w:line="276" w:lineRule="auto"/>
        <w:ind w:left="851" w:right="902"/>
        <w:jc w:val="both"/>
        <w:rPr>
          <w:rFonts w:ascii="Palatino Linotype" w:hAnsi="Palatino Linotype"/>
          <w:b/>
          <w:i/>
          <w:sz w:val="22"/>
          <w:szCs w:val="22"/>
        </w:rPr>
      </w:pPr>
      <w:r w:rsidRPr="00D3359C">
        <w:rPr>
          <w:rFonts w:ascii="Palatino Linotype" w:hAnsi="Palatino Linotype"/>
          <w:b/>
          <w:i/>
          <w:sz w:val="22"/>
          <w:szCs w:val="22"/>
        </w:rPr>
        <w:t xml:space="preserve">II. El nombre del solicitante </w:t>
      </w:r>
      <w:r w:rsidRPr="00D3359C">
        <w:rPr>
          <w:rFonts w:ascii="Palatino Linotype" w:hAnsi="Palatino Linotype" w:cs="Arial"/>
          <w:b/>
          <w:i/>
          <w:color w:val="222222"/>
          <w:sz w:val="22"/>
          <w:szCs w:val="22"/>
          <w:lang w:eastAsia="es-MX"/>
        </w:rPr>
        <w:t>que</w:t>
      </w:r>
      <w:r w:rsidRPr="00D3359C">
        <w:rPr>
          <w:rFonts w:ascii="Palatino Linotype" w:hAnsi="Palatino Linotype"/>
          <w:b/>
          <w:i/>
          <w:sz w:val="22"/>
          <w:szCs w:val="22"/>
        </w:rPr>
        <w:t xml:space="preserve"> recurre </w:t>
      </w:r>
      <w:r w:rsidRPr="00D3359C">
        <w:rPr>
          <w:rFonts w:ascii="Palatino Linotype" w:hAnsi="Palatino Linotype"/>
          <w:i/>
          <w:sz w:val="22"/>
          <w:szCs w:val="22"/>
        </w:rPr>
        <w:t>o de su representante y, en su caso, del tercero interesado, así como la dirección o medio que señale para recibir notificaciones;</w:t>
      </w:r>
      <w:r w:rsidRPr="00D3359C">
        <w:rPr>
          <w:rFonts w:ascii="Palatino Linotype" w:hAnsi="Palatino Linotype"/>
          <w:b/>
          <w:i/>
          <w:sz w:val="22"/>
          <w:szCs w:val="22"/>
        </w:rPr>
        <w:t xml:space="preserve"> </w:t>
      </w:r>
    </w:p>
    <w:p w14:paraId="4BAA0B18" w14:textId="77777777" w:rsidR="00BE53DD" w:rsidRPr="00D3359C" w:rsidRDefault="00BE53DD" w:rsidP="00BE53DD">
      <w:pPr>
        <w:spacing w:line="276" w:lineRule="auto"/>
        <w:ind w:left="851" w:right="902"/>
        <w:jc w:val="both"/>
        <w:rPr>
          <w:rFonts w:ascii="Palatino Linotype" w:hAnsi="Palatino Linotype"/>
          <w:b/>
          <w:i/>
          <w:sz w:val="22"/>
          <w:szCs w:val="22"/>
        </w:rPr>
      </w:pPr>
      <w:r w:rsidRPr="00D3359C">
        <w:rPr>
          <w:rFonts w:ascii="Palatino Linotype" w:hAnsi="Palatino Linotype"/>
          <w:b/>
          <w:i/>
          <w:sz w:val="22"/>
          <w:szCs w:val="22"/>
        </w:rPr>
        <w:t xml:space="preserve">III. </w:t>
      </w:r>
      <w:r w:rsidRPr="00D3359C">
        <w:rPr>
          <w:rFonts w:ascii="Palatino Linotype" w:hAnsi="Palatino Linotype"/>
          <w:i/>
          <w:sz w:val="22"/>
          <w:szCs w:val="22"/>
        </w:rPr>
        <w:t xml:space="preserve">El número de folio de </w:t>
      </w:r>
      <w:r w:rsidRPr="00D3359C">
        <w:rPr>
          <w:rFonts w:ascii="Palatino Linotype" w:hAnsi="Palatino Linotype" w:cs="Arial"/>
          <w:i/>
          <w:color w:val="222222"/>
          <w:sz w:val="22"/>
          <w:szCs w:val="22"/>
          <w:lang w:eastAsia="es-MX"/>
        </w:rPr>
        <w:t>respuesta</w:t>
      </w:r>
      <w:r w:rsidRPr="00D3359C">
        <w:rPr>
          <w:rFonts w:ascii="Palatino Linotype" w:hAnsi="Palatino Linotype"/>
          <w:i/>
          <w:sz w:val="22"/>
          <w:szCs w:val="22"/>
        </w:rPr>
        <w:t xml:space="preserve"> de la solicitud de acceso; </w:t>
      </w:r>
    </w:p>
    <w:p w14:paraId="4BAA0B19" w14:textId="77777777" w:rsidR="00BE53DD" w:rsidRPr="00D3359C" w:rsidRDefault="00BE53DD" w:rsidP="00BE53DD">
      <w:pPr>
        <w:spacing w:line="276" w:lineRule="auto"/>
        <w:ind w:left="851" w:right="902"/>
        <w:jc w:val="both"/>
        <w:rPr>
          <w:rFonts w:ascii="Palatino Linotype" w:hAnsi="Palatino Linotype"/>
          <w:b/>
          <w:i/>
          <w:sz w:val="22"/>
          <w:szCs w:val="22"/>
        </w:rPr>
      </w:pPr>
      <w:r w:rsidRPr="00D3359C">
        <w:rPr>
          <w:rFonts w:ascii="Palatino Linotype" w:hAnsi="Palatino Linotype"/>
          <w:b/>
          <w:i/>
          <w:sz w:val="22"/>
          <w:szCs w:val="22"/>
        </w:rPr>
        <w:t xml:space="preserve">IV. </w:t>
      </w:r>
      <w:r w:rsidRPr="00D3359C">
        <w:rPr>
          <w:rFonts w:ascii="Palatino Linotype" w:hAnsi="Palatino Linotype"/>
          <w:i/>
          <w:sz w:val="22"/>
          <w:szCs w:val="22"/>
        </w:rPr>
        <w:t xml:space="preserve">La fecha en que fue </w:t>
      </w:r>
      <w:r w:rsidRPr="00D3359C">
        <w:rPr>
          <w:rFonts w:ascii="Palatino Linotype" w:hAnsi="Palatino Linotype" w:cs="Arial"/>
          <w:i/>
          <w:color w:val="222222"/>
          <w:sz w:val="22"/>
          <w:szCs w:val="22"/>
          <w:lang w:eastAsia="es-MX"/>
        </w:rPr>
        <w:t>notificada</w:t>
      </w:r>
      <w:r w:rsidRPr="00D3359C">
        <w:rPr>
          <w:rFonts w:ascii="Palatino Linotype" w:hAnsi="Palatino Linotype"/>
          <w:i/>
          <w:sz w:val="22"/>
          <w:szCs w:val="22"/>
        </w:rPr>
        <w:t xml:space="preserve"> la respuesta al solicitante o tuvo conocimiento del acto reclamado, o de presentación de la solicitud, en caso de falta de respuesta;</w:t>
      </w:r>
      <w:r w:rsidRPr="00D3359C">
        <w:rPr>
          <w:rFonts w:ascii="Palatino Linotype" w:hAnsi="Palatino Linotype"/>
          <w:b/>
          <w:i/>
          <w:sz w:val="22"/>
          <w:szCs w:val="22"/>
        </w:rPr>
        <w:t xml:space="preserve"> </w:t>
      </w:r>
    </w:p>
    <w:p w14:paraId="4BAA0B1A" w14:textId="77777777" w:rsidR="00BE53DD" w:rsidRPr="00D3359C" w:rsidRDefault="00BE53DD" w:rsidP="00BE53DD">
      <w:pPr>
        <w:spacing w:line="276" w:lineRule="auto"/>
        <w:ind w:left="851" w:right="902"/>
        <w:jc w:val="both"/>
        <w:rPr>
          <w:rFonts w:ascii="Palatino Linotype" w:hAnsi="Palatino Linotype"/>
          <w:b/>
          <w:i/>
          <w:sz w:val="22"/>
          <w:szCs w:val="22"/>
        </w:rPr>
      </w:pPr>
      <w:r w:rsidRPr="00D3359C">
        <w:rPr>
          <w:rFonts w:ascii="Palatino Linotype" w:hAnsi="Palatino Linotype"/>
          <w:b/>
          <w:i/>
          <w:sz w:val="22"/>
          <w:szCs w:val="22"/>
        </w:rPr>
        <w:t xml:space="preserve">V. </w:t>
      </w:r>
      <w:r w:rsidRPr="00D3359C">
        <w:rPr>
          <w:rFonts w:ascii="Palatino Linotype" w:hAnsi="Palatino Linotype"/>
          <w:i/>
          <w:sz w:val="22"/>
          <w:szCs w:val="22"/>
        </w:rPr>
        <w:t xml:space="preserve">El acto que se </w:t>
      </w:r>
      <w:r w:rsidRPr="00D3359C">
        <w:rPr>
          <w:rFonts w:ascii="Palatino Linotype" w:hAnsi="Palatino Linotype" w:cs="Arial"/>
          <w:i/>
          <w:color w:val="222222"/>
          <w:sz w:val="22"/>
          <w:szCs w:val="22"/>
          <w:lang w:eastAsia="es-MX"/>
        </w:rPr>
        <w:t>recurre</w:t>
      </w:r>
      <w:r w:rsidRPr="00D3359C">
        <w:rPr>
          <w:rFonts w:ascii="Palatino Linotype" w:hAnsi="Palatino Linotype"/>
          <w:i/>
          <w:sz w:val="22"/>
          <w:szCs w:val="22"/>
        </w:rPr>
        <w:t>;</w:t>
      </w:r>
      <w:r w:rsidRPr="00D3359C">
        <w:rPr>
          <w:rFonts w:ascii="Palatino Linotype" w:hAnsi="Palatino Linotype"/>
          <w:b/>
          <w:i/>
          <w:sz w:val="22"/>
          <w:szCs w:val="22"/>
        </w:rPr>
        <w:t xml:space="preserve"> </w:t>
      </w:r>
    </w:p>
    <w:p w14:paraId="4BAA0B1B" w14:textId="77777777" w:rsidR="00BE53DD" w:rsidRPr="00D3359C" w:rsidRDefault="00BE53DD" w:rsidP="00BE53DD">
      <w:pPr>
        <w:spacing w:line="276" w:lineRule="auto"/>
        <w:ind w:left="851" w:right="902"/>
        <w:jc w:val="both"/>
        <w:rPr>
          <w:rFonts w:ascii="Palatino Linotype" w:hAnsi="Palatino Linotype"/>
          <w:b/>
          <w:i/>
          <w:sz w:val="22"/>
          <w:szCs w:val="22"/>
        </w:rPr>
      </w:pPr>
      <w:r w:rsidRPr="00D3359C">
        <w:rPr>
          <w:rFonts w:ascii="Palatino Linotype" w:hAnsi="Palatino Linotype"/>
          <w:b/>
          <w:i/>
          <w:sz w:val="22"/>
          <w:szCs w:val="22"/>
        </w:rPr>
        <w:t xml:space="preserve">VI. </w:t>
      </w:r>
      <w:r w:rsidRPr="00D3359C">
        <w:rPr>
          <w:rFonts w:ascii="Palatino Linotype" w:hAnsi="Palatino Linotype"/>
          <w:i/>
          <w:sz w:val="22"/>
          <w:szCs w:val="22"/>
        </w:rPr>
        <w:t xml:space="preserve">Las razones o </w:t>
      </w:r>
      <w:r w:rsidRPr="00D3359C">
        <w:rPr>
          <w:rFonts w:ascii="Palatino Linotype" w:hAnsi="Palatino Linotype" w:cs="Arial"/>
          <w:i/>
          <w:color w:val="222222"/>
          <w:sz w:val="22"/>
          <w:szCs w:val="22"/>
          <w:lang w:eastAsia="es-MX"/>
        </w:rPr>
        <w:t>motivos</w:t>
      </w:r>
      <w:r w:rsidRPr="00D3359C">
        <w:rPr>
          <w:rFonts w:ascii="Palatino Linotype" w:hAnsi="Palatino Linotype"/>
          <w:i/>
          <w:sz w:val="22"/>
          <w:szCs w:val="22"/>
        </w:rPr>
        <w:t xml:space="preserve"> de inconformidad;</w:t>
      </w:r>
      <w:r w:rsidRPr="00D3359C">
        <w:rPr>
          <w:rFonts w:ascii="Palatino Linotype" w:hAnsi="Palatino Linotype"/>
          <w:b/>
          <w:i/>
          <w:sz w:val="22"/>
          <w:szCs w:val="22"/>
        </w:rPr>
        <w:t xml:space="preserve"> </w:t>
      </w:r>
    </w:p>
    <w:p w14:paraId="4BAA0B1C" w14:textId="77777777" w:rsidR="00BE53DD" w:rsidRPr="00D3359C" w:rsidRDefault="00BE53DD" w:rsidP="00BE53DD">
      <w:pPr>
        <w:spacing w:line="276" w:lineRule="auto"/>
        <w:ind w:left="851" w:right="902"/>
        <w:jc w:val="both"/>
        <w:rPr>
          <w:rFonts w:ascii="Palatino Linotype" w:hAnsi="Palatino Linotype"/>
          <w:b/>
          <w:i/>
          <w:sz w:val="22"/>
          <w:szCs w:val="22"/>
        </w:rPr>
      </w:pPr>
      <w:r w:rsidRPr="00D3359C">
        <w:rPr>
          <w:rFonts w:ascii="Palatino Linotype" w:hAnsi="Palatino Linotype"/>
          <w:b/>
          <w:i/>
          <w:sz w:val="22"/>
          <w:szCs w:val="22"/>
        </w:rPr>
        <w:t xml:space="preserve">VII. </w:t>
      </w:r>
      <w:r w:rsidRPr="00D3359C">
        <w:rPr>
          <w:rFonts w:ascii="Palatino Linotype" w:hAnsi="Palatino Linotype"/>
          <w:i/>
          <w:sz w:val="22"/>
          <w:szCs w:val="22"/>
        </w:rPr>
        <w:t>La copia de la respuesta que se impugna y, en su caso, de la notificación correspondiente, en el caso de respuesta de la solicitud; y</w:t>
      </w:r>
      <w:r w:rsidRPr="00D3359C">
        <w:rPr>
          <w:rFonts w:ascii="Palatino Linotype" w:hAnsi="Palatino Linotype"/>
          <w:b/>
          <w:i/>
          <w:sz w:val="22"/>
          <w:szCs w:val="22"/>
        </w:rPr>
        <w:t xml:space="preserve"> </w:t>
      </w:r>
    </w:p>
    <w:p w14:paraId="4BAA0B1D" w14:textId="77777777" w:rsidR="00BE53DD" w:rsidRPr="00D3359C" w:rsidRDefault="00BE53DD" w:rsidP="00BE53DD">
      <w:pPr>
        <w:spacing w:line="276" w:lineRule="auto"/>
        <w:ind w:left="851" w:right="902"/>
        <w:jc w:val="both"/>
        <w:rPr>
          <w:rFonts w:ascii="Palatino Linotype" w:hAnsi="Palatino Linotype"/>
          <w:i/>
          <w:sz w:val="22"/>
          <w:szCs w:val="22"/>
        </w:rPr>
      </w:pPr>
      <w:r w:rsidRPr="00D3359C">
        <w:rPr>
          <w:rFonts w:ascii="Palatino Linotype" w:hAnsi="Palatino Linotype"/>
          <w:b/>
          <w:i/>
          <w:sz w:val="22"/>
          <w:szCs w:val="22"/>
        </w:rPr>
        <w:t xml:space="preserve">VIII. </w:t>
      </w:r>
      <w:r w:rsidRPr="00D3359C">
        <w:rPr>
          <w:rFonts w:ascii="Palatino Linotype" w:hAnsi="Palatino Linotype"/>
          <w:i/>
          <w:sz w:val="22"/>
          <w:szCs w:val="22"/>
        </w:rPr>
        <w:t xml:space="preserve">Firma del recurrente, en su caso, cuando se presente por escrito, requisito sin el cual se dará trámite al recurso. </w:t>
      </w:r>
    </w:p>
    <w:p w14:paraId="4BAA0B1E" w14:textId="77777777" w:rsidR="00BE53DD" w:rsidRPr="00D3359C" w:rsidRDefault="00BE53DD" w:rsidP="00BE53DD">
      <w:pPr>
        <w:spacing w:line="276" w:lineRule="auto"/>
        <w:ind w:left="851" w:right="902"/>
        <w:jc w:val="both"/>
        <w:rPr>
          <w:rFonts w:ascii="Palatino Linotype" w:hAnsi="Palatino Linotype"/>
          <w:i/>
          <w:sz w:val="22"/>
          <w:szCs w:val="22"/>
        </w:rPr>
      </w:pPr>
      <w:r w:rsidRPr="00D3359C">
        <w:rPr>
          <w:rFonts w:ascii="Palatino Linotype" w:hAnsi="Palatino Linotype"/>
          <w:i/>
          <w:sz w:val="22"/>
          <w:szCs w:val="22"/>
        </w:rPr>
        <w:t xml:space="preserve">Adicionalmente, se podrán anexar las pruebas y demás elementos que considere procedentes someter a juicio del Instituto. </w:t>
      </w:r>
    </w:p>
    <w:p w14:paraId="4BAA0B1F" w14:textId="77777777" w:rsidR="00BE53DD" w:rsidRPr="00D3359C" w:rsidRDefault="00BE53DD" w:rsidP="00BE53DD">
      <w:pPr>
        <w:spacing w:line="276" w:lineRule="auto"/>
        <w:ind w:left="851" w:right="902"/>
        <w:jc w:val="both"/>
        <w:rPr>
          <w:rFonts w:ascii="Palatino Linotype" w:hAnsi="Palatino Linotype"/>
          <w:i/>
          <w:sz w:val="22"/>
          <w:szCs w:val="22"/>
        </w:rPr>
      </w:pPr>
      <w:r w:rsidRPr="00D3359C">
        <w:rPr>
          <w:rFonts w:ascii="Palatino Linotype" w:hAnsi="Palatino Linotype"/>
          <w:i/>
          <w:sz w:val="22"/>
          <w:szCs w:val="22"/>
        </w:rPr>
        <w:t xml:space="preserve">En ningún caso será necesario que el particular ratifique el recurso de revisión interpuesto. </w:t>
      </w:r>
    </w:p>
    <w:p w14:paraId="4BAA0B20" w14:textId="77777777" w:rsidR="00BE53DD" w:rsidRPr="00D3359C" w:rsidRDefault="00BE53DD" w:rsidP="00BE53DD">
      <w:pPr>
        <w:spacing w:line="276" w:lineRule="auto"/>
        <w:ind w:left="851" w:right="902"/>
        <w:jc w:val="both"/>
        <w:rPr>
          <w:rFonts w:ascii="Palatino Linotype" w:hAnsi="Palatino Linotype"/>
          <w:i/>
          <w:sz w:val="22"/>
          <w:szCs w:val="22"/>
        </w:rPr>
      </w:pPr>
      <w:r w:rsidRPr="00D3359C">
        <w:rPr>
          <w:rFonts w:ascii="Palatino Linotype" w:hAnsi="Palatino Linotype"/>
          <w:b/>
          <w:i/>
          <w:sz w:val="22"/>
          <w:szCs w:val="22"/>
        </w:rPr>
        <w:t xml:space="preserve">En caso de </w:t>
      </w:r>
      <w:r w:rsidRPr="00D3359C">
        <w:rPr>
          <w:rFonts w:ascii="Palatino Linotype" w:hAnsi="Palatino Linotype" w:cs="Arial"/>
          <w:b/>
          <w:i/>
          <w:color w:val="222222"/>
          <w:sz w:val="22"/>
          <w:szCs w:val="22"/>
          <w:lang w:eastAsia="es-MX"/>
        </w:rPr>
        <w:t>que</w:t>
      </w:r>
      <w:r w:rsidRPr="00D3359C">
        <w:rPr>
          <w:rFonts w:ascii="Palatino Linotype" w:hAnsi="Palatino Linotype"/>
          <w:b/>
          <w:i/>
          <w:sz w:val="22"/>
          <w:szCs w:val="22"/>
        </w:rPr>
        <w:t xml:space="preserve"> el recurso se interponga de manera electrónica no será indispensable que contengan los requisitos establecidos en las fracciones II</w:t>
      </w:r>
      <w:r w:rsidRPr="00D3359C">
        <w:rPr>
          <w:rFonts w:ascii="Palatino Linotype" w:hAnsi="Palatino Linotype"/>
          <w:i/>
          <w:sz w:val="22"/>
          <w:szCs w:val="22"/>
        </w:rPr>
        <w:t xml:space="preserve">, IV, VII y VIII. </w:t>
      </w:r>
    </w:p>
    <w:p w14:paraId="4BAA0B21" w14:textId="77777777" w:rsidR="00BE53DD" w:rsidRPr="00D3359C" w:rsidRDefault="00BE53DD" w:rsidP="00BE53DD">
      <w:pPr>
        <w:spacing w:line="276" w:lineRule="auto"/>
        <w:ind w:left="851" w:right="902"/>
        <w:jc w:val="both"/>
        <w:rPr>
          <w:rFonts w:ascii="Palatino Linotype" w:hAnsi="Palatino Linotype"/>
          <w:i/>
          <w:sz w:val="22"/>
          <w:szCs w:val="22"/>
        </w:rPr>
      </w:pPr>
      <w:r w:rsidRPr="00D3359C">
        <w:rPr>
          <w:rFonts w:ascii="Palatino Linotype" w:hAnsi="Palatino Linotype"/>
          <w:i/>
          <w:sz w:val="22"/>
          <w:szCs w:val="22"/>
        </w:rPr>
        <w:t>(Énfasis añadido)</w:t>
      </w:r>
    </w:p>
    <w:p w14:paraId="4BAA0B22" w14:textId="77777777" w:rsidR="00BE53DD" w:rsidRPr="00D3359C" w:rsidRDefault="00BE53DD" w:rsidP="00BE53DD">
      <w:pPr>
        <w:spacing w:before="100" w:beforeAutospacing="1" w:after="100" w:afterAutospacing="1" w:line="360" w:lineRule="auto"/>
        <w:jc w:val="both"/>
        <w:rPr>
          <w:rFonts w:ascii="Palatino Linotype" w:hAnsi="Palatino Linotype"/>
        </w:rPr>
      </w:pPr>
      <w:r w:rsidRPr="00D3359C">
        <w:rPr>
          <w:rFonts w:ascii="Palatino Linotype" w:hAnsi="Palatino Linotype"/>
        </w:rPr>
        <w:t xml:space="preserve">En principio, de una interpretación del artículo transcrito se observa que los requisitos que </w:t>
      </w:r>
      <w:r w:rsidRPr="00D3359C">
        <w:rPr>
          <w:rFonts w:ascii="Palatino Linotype" w:hAnsi="Palatino Linotype" w:cs="Arial"/>
        </w:rPr>
        <w:t>deberán</w:t>
      </w:r>
      <w:r w:rsidRPr="00D3359C">
        <w:rPr>
          <w:rFonts w:ascii="Palatino Linotype" w:hAnsi="Palatino Linotype"/>
        </w:rPr>
        <w:t xml:space="preserve"> </w:t>
      </w:r>
      <w:r w:rsidRPr="00D3359C">
        <w:rPr>
          <w:rFonts w:ascii="Palatino Linotype" w:hAnsi="Palatino Linotype" w:cs="Arial"/>
        </w:rPr>
        <w:t>contener</w:t>
      </w:r>
      <w:r w:rsidRPr="00D3359C">
        <w:rPr>
          <w:rFonts w:ascii="Palatino Linotype" w:hAnsi="Palatino Linotype"/>
        </w:rPr>
        <w:t xml:space="preserve"> los recursos de revisión; sobre el particular, de la revisión del expediente electrónico del </w:t>
      </w:r>
      <w:r w:rsidRPr="00D3359C">
        <w:rPr>
          <w:rFonts w:ascii="Palatino Linotype" w:hAnsi="Palatino Linotype"/>
          <w:b/>
        </w:rPr>
        <w:t>SAIMEX</w:t>
      </w:r>
      <w:r w:rsidRPr="00D3359C">
        <w:rPr>
          <w:rFonts w:ascii="Palatino Linotype" w:hAnsi="Palatino Linotype"/>
        </w:rPr>
        <w:t xml:space="preserve"> se desprende que la parte solicitante y ahora </w:t>
      </w:r>
      <w:r w:rsidRPr="00D3359C">
        <w:rPr>
          <w:rFonts w:ascii="Palatino Linotype" w:hAnsi="Palatino Linotype"/>
          <w:b/>
        </w:rPr>
        <w:t>RECURRENTE</w:t>
      </w:r>
      <w:r w:rsidRPr="00D3359C">
        <w:rPr>
          <w:rFonts w:ascii="Palatino Linotype" w:hAnsi="Palatino Linotype"/>
        </w:rPr>
        <w:t xml:space="preserve">, en ejercicio de su derecho de acceso a la información pública, </w:t>
      </w:r>
      <w:r w:rsidRPr="00D3359C">
        <w:rPr>
          <w:rFonts w:ascii="Palatino Linotype" w:hAnsi="Palatino Linotype"/>
          <w:b/>
        </w:rPr>
        <w:t>no proporcionó un nombre completo</w:t>
      </w:r>
      <w:r w:rsidRPr="00D3359C">
        <w:rPr>
          <w:rFonts w:ascii="Palatino Linotype" w:hAnsi="Palatino Linotype"/>
        </w:rPr>
        <w:t xml:space="preserve"> que lo hiciera identificable; por lo que, no se </w:t>
      </w:r>
      <w:r w:rsidRPr="00D3359C">
        <w:rPr>
          <w:rFonts w:ascii="Palatino Linotype" w:hAnsi="Palatino Linotype"/>
        </w:rPr>
        <w:lastRenderedPageBreak/>
        <w:t xml:space="preserve">tiene certeza sobre su identidad, lo que en estricto sentido, provoca que </w:t>
      </w:r>
      <w:r w:rsidRPr="00D3359C">
        <w:rPr>
          <w:rFonts w:ascii="Palatino Linotype" w:hAnsi="Palatino Linotype" w:cs="Arial"/>
        </w:rPr>
        <w:t>no</w:t>
      </w:r>
      <w:r w:rsidRPr="00D3359C">
        <w:rPr>
          <w:rFonts w:ascii="Palatino Linotype" w:hAnsi="Palatino Linotype"/>
        </w:rPr>
        <w:t xml:space="preserve"> se colmen los requisitos establecidos en el citado artículo 180 de la Ley de Transparencia.</w:t>
      </w:r>
    </w:p>
    <w:p w14:paraId="4BAA0B23" w14:textId="77777777" w:rsidR="00BE53DD" w:rsidRPr="00D3359C" w:rsidRDefault="00BE53DD" w:rsidP="00BE53DD">
      <w:pPr>
        <w:spacing w:before="100" w:beforeAutospacing="1" w:after="100" w:afterAutospacing="1" w:line="360" w:lineRule="auto"/>
        <w:jc w:val="both"/>
        <w:rPr>
          <w:rFonts w:ascii="Palatino Linotype" w:hAnsi="Palatino Linotype" w:cs="Arial"/>
          <w:color w:val="000000"/>
        </w:rPr>
      </w:pPr>
      <w:r w:rsidRPr="00D3359C">
        <w:rPr>
          <w:rFonts w:ascii="Palatino Linotype" w:hAnsi="Palatino Linotype"/>
        </w:rPr>
        <w:t xml:space="preserve">Empero lo anterior, debe destacarse que el artículo 15 de </w:t>
      </w:r>
      <w:r w:rsidRPr="00D3359C">
        <w:rPr>
          <w:rFonts w:ascii="Palatino Linotype" w:hAnsi="Palatino Linotype" w:cs="Arial"/>
          <w:lang w:eastAsia="es-MX"/>
        </w:rPr>
        <w:t xml:space="preserve">Ley de Transparencia y Acceso a la </w:t>
      </w:r>
      <w:r w:rsidRPr="00D3359C">
        <w:rPr>
          <w:rFonts w:ascii="Palatino Linotype" w:hAnsi="Palatino Linotype" w:cs="Arial"/>
        </w:rPr>
        <w:t>Información</w:t>
      </w:r>
      <w:r w:rsidRPr="00D3359C">
        <w:rPr>
          <w:rFonts w:ascii="Palatino Linotype" w:hAnsi="Palatino Linotype" w:cs="Arial"/>
          <w:lang w:eastAsia="es-MX"/>
        </w:rPr>
        <w:t xml:space="preserve"> Pública del Estado de México y Municipios </w:t>
      </w:r>
      <w:r w:rsidRPr="00D3359C">
        <w:rPr>
          <w:rFonts w:ascii="Palatino Linotype" w:hAnsi="Palatino Linotype" w:cs="Arial"/>
          <w:iCs/>
        </w:rPr>
        <w:t xml:space="preserve">prevé que, </w:t>
      </w:r>
      <w:r w:rsidRPr="00D3359C">
        <w:rPr>
          <w:rFonts w:ascii="Palatino Linotype" w:hAnsi="Palatino Linotype"/>
        </w:rPr>
        <w:t xml:space="preserve">toda persona tendrá acceso a la información </w:t>
      </w:r>
      <w:r w:rsidRPr="00D3359C">
        <w:rPr>
          <w:rFonts w:ascii="Palatino Linotype" w:hAnsi="Palatino Linotype" w:cs="Arial"/>
          <w:color w:val="000000"/>
        </w:rPr>
        <w:t xml:space="preserve">sin necesidad de acreditar interés alguno o justificar su utilización, de lo que se infiere que para el </w:t>
      </w:r>
      <w:r w:rsidRPr="00D3359C">
        <w:rPr>
          <w:rFonts w:ascii="Palatino Linotype" w:hAnsi="Palatino Linotype"/>
        </w:rPr>
        <w:t>ejercicio</w:t>
      </w:r>
      <w:r w:rsidRPr="00D3359C">
        <w:rPr>
          <w:rFonts w:ascii="Palatino Linotype" w:hAnsi="Palatino Linotype" w:cs="Arial"/>
          <w:color w:val="000000"/>
        </w:rPr>
        <w:t xml:space="preserve"> del derecho de acceso a la información pública, </w:t>
      </w:r>
      <w:r w:rsidRPr="00D3359C">
        <w:rPr>
          <w:rFonts w:ascii="Palatino Linotype" w:hAnsi="Palatino Linotype" w:cs="Arial"/>
          <w:b/>
          <w:color w:val="000000"/>
        </w:rPr>
        <w:t xml:space="preserve">el nombre no es un requisito </w:t>
      </w:r>
      <w:r w:rsidRPr="00D3359C">
        <w:rPr>
          <w:rFonts w:ascii="Palatino Linotype" w:hAnsi="Palatino Linotype" w:cs="Arial"/>
          <w:b/>
          <w:i/>
          <w:color w:val="000000"/>
        </w:rPr>
        <w:t>sine qua non</w:t>
      </w:r>
      <w:r w:rsidRPr="00D3359C">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BAA0B24" w14:textId="77777777" w:rsidR="00BE53DD" w:rsidRPr="00D3359C" w:rsidRDefault="00BE53DD" w:rsidP="00BE53DD">
      <w:pPr>
        <w:spacing w:before="100" w:beforeAutospacing="1" w:after="100" w:afterAutospacing="1" w:line="360" w:lineRule="auto"/>
        <w:jc w:val="both"/>
        <w:rPr>
          <w:rFonts w:ascii="Palatino Linotype" w:hAnsi="Palatino Linotype" w:cstheme="minorBidi"/>
        </w:rPr>
      </w:pPr>
      <w:r w:rsidRPr="00D3359C">
        <w:rPr>
          <w:rFonts w:ascii="Palatino Linotype" w:hAnsi="Palatino Linotype"/>
        </w:rPr>
        <w:t xml:space="preserve">Correlativo a ello, cabe mencionar que los artículos 6, Apartado A, fracciones I, III, V y VI de la </w:t>
      </w:r>
      <w:r w:rsidRPr="00D3359C">
        <w:rPr>
          <w:rFonts w:ascii="Palatino Linotype" w:hAnsi="Palatino Linotype" w:cs="Arial"/>
        </w:rPr>
        <w:t>Constitución</w:t>
      </w:r>
      <w:r w:rsidRPr="00D3359C">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BAA0B25" w14:textId="77777777" w:rsidR="00BE53DD" w:rsidRPr="00D3359C" w:rsidRDefault="00BE53DD" w:rsidP="00BE53DD">
      <w:pPr>
        <w:spacing w:line="276" w:lineRule="auto"/>
        <w:ind w:left="851" w:right="902"/>
        <w:jc w:val="center"/>
        <w:rPr>
          <w:rFonts w:ascii="Palatino Linotype" w:hAnsi="Palatino Linotype" w:cs="Arial"/>
          <w:b/>
          <w:i/>
          <w:sz w:val="22"/>
          <w:szCs w:val="22"/>
        </w:rPr>
      </w:pPr>
      <w:r w:rsidRPr="00D3359C">
        <w:rPr>
          <w:rFonts w:ascii="Palatino Linotype" w:hAnsi="Palatino Linotype" w:cs="Arial"/>
          <w:b/>
          <w:i/>
          <w:sz w:val="22"/>
          <w:szCs w:val="22"/>
        </w:rPr>
        <w:t>Constitución Política de los Estados Unidos Mexicanos</w:t>
      </w:r>
    </w:p>
    <w:p w14:paraId="4BAA0B26"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w:t>
      </w:r>
      <w:r w:rsidRPr="00D3359C">
        <w:rPr>
          <w:rFonts w:ascii="Palatino Linotype" w:hAnsi="Palatino Linotype" w:cs="Arial"/>
          <w:b/>
          <w:i/>
          <w:sz w:val="22"/>
          <w:szCs w:val="22"/>
        </w:rPr>
        <w:t>Artículo 6o.</w:t>
      </w:r>
      <w:r w:rsidRPr="00D3359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D3359C">
        <w:rPr>
          <w:rFonts w:ascii="Palatino Linotype" w:hAnsi="Palatino Linotype" w:cs="Arial"/>
          <w:i/>
          <w:sz w:val="22"/>
          <w:szCs w:val="22"/>
        </w:rPr>
        <w:lastRenderedPageBreak/>
        <w:t xml:space="preserve">derecho de réplica será ejercido en los términos dispuestos por la ley. </w:t>
      </w:r>
      <w:r w:rsidRPr="00D3359C">
        <w:rPr>
          <w:rFonts w:ascii="Palatino Linotype" w:hAnsi="Palatino Linotype" w:cs="Arial"/>
          <w:b/>
          <w:i/>
          <w:sz w:val="22"/>
          <w:szCs w:val="22"/>
        </w:rPr>
        <w:t>El derecho a la información será garantizado por el Estado.</w:t>
      </w:r>
      <w:r w:rsidRPr="00D3359C">
        <w:rPr>
          <w:rFonts w:ascii="Palatino Linotype" w:hAnsi="Palatino Linotype" w:cs="Arial"/>
          <w:i/>
          <w:sz w:val="22"/>
          <w:szCs w:val="22"/>
        </w:rPr>
        <w:t xml:space="preserve"> </w:t>
      </w:r>
    </w:p>
    <w:p w14:paraId="4BAA0B27"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b/>
          <w:i/>
          <w:sz w:val="22"/>
          <w:szCs w:val="22"/>
        </w:rPr>
        <w:t xml:space="preserve">Toda persona tiene </w:t>
      </w:r>
      <w:r w:rsidRPr="00D3359C">
        <w:rPr>
          <w:rFonts w:ascii="Palatino Linotype" w:hAnsi="Palatino Linotype"/>
          <w:b/>
          <w:i/>
          <w:sz w:val="22"/>
          <w:szCs w:val="22"/>
        </w:rPr>
        <w:t>derecho</w:t>
      </w:r>
      <w:r w:rsidRPr="00D3359C">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D3359C">
        <w:rPr>
          <w:rFonts w:ascii="Palatino Linotype" w:hAnsi="Palatino Linotype" w:cs="Arial"/>
          <w:i/>
          <w:sz w:val="22"/>
          <w:szCs w:val="22"/>
        </w:rPr>
        <w:t>.</w:t>
      </w:r>
    </w:p>
    <w:p w14:paraId="4BAA0B28"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 xml:space="preserve">Para efectos de lo </w:t>
      </w:r>
      <w:r w:rsidRPr="00D3359C">
        <w:rPr>
          <w:rFonts w:ascii="Palatino Linotype" w:hAnsi="Palatino Linotype"/>
          <w:i/>
          <w:sz w:val="22"/>
          <w:szCs w:val="22"/>
        </w:rPr>
        <w:t>dispuesto</w:t>
      </w:r>
      <w:r w:rsidRPr="00D3359C">
        <w:rPr>
          <w:rFonts w:ascii="Palatino Linotype" w:hAnsi="Palatino Linotype" w:cs="Arial"/>
          <w:i/>
          <w:sz w:val="22"/>
          <w:szCs w:val="22"/>
        </w:rPr>
        <w:t xml:space="preserve"> en el presente artículo se observará lo siguiente:</w:t>
      </w:r>
    </w:p>
    <w:p w14:paraId="4BAA0B29"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b/>
          <w:i/>
          <w:sz w:val="22"/>
          <w:szCs w:val="22"/>
        </w:rPr>
        <w:t>A.</w:t>
      </w:r>
      <w:r w:rsidRPr="00D3359C">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4BAA0B2A" w14:textId="77777777" w:rsidR="00BE53DD" w:rsidRPr="00D3359C" w:rsidRDefault="00BE53DD" w:rsidP="00BE53DD">
      <w:pPr>
        <w:spacing w:line="276" w:lineRule="auto"/>
        <w:ind w:left="851" w:right="902"/>
        <w:jc w:val="both"/>
        <w:rPr>
          <w:rFonts w:ascii="Palatino Linotype" w:hAnsi="Palatino Linotype" w:cs="Arial"/>
          <w:b/>
          <w:i/>
          <w:sz w:val="22"/>
          <w:szCs w:val="22"/>
        </w:rPr>
      </w:pPr>
      <w:r w:rsidRPr="00D3359C">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AA0B2B"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w:t>
      </w:r>
    </w:p>
    <w:p w14:paraId="4BAA0B2C" w14:textId="77777777" w:rsidR="00BE53DD" w:rsidRPr="00D3359C" w:rsidRDefault="00BE53DD" w:rsidP="00BE53DD">
      <w:pPr>
        <w:spacing w:line="276" w:lineRule="auto"/>
        <w:ind w:left="851" w:right="902"/>
        <w:jc w:val="both"/>
        <w:rPr>
          <w:rFonts w:ascii="Palatino Linotype" w:hAnsi="Palatino Linotype" w:cs="Arial"/>
          <w:b/>
          <w:i/>
          <w:sz w:val="22"/>
          <w:szCs w:val="22"/>
        </w:rPr>
      </w:pPr>
      <w:r w:rsidRPr="00D3359C">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4BAA0B2D"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w:t>
      </w:r>
    </w:p>
    <w:p w14:paraId="4BAA0B2E" w14:textId="77777777" w:rsidR="00BE53DD" w:rsidRPr="00D3359C" w:rsidRDefault="00BE53DD" w:rsidP="00BE53DD">
      <w:pPr>
        <w:spacing w:line="276" w:lineRule="auto"/>
        <w:ind w:left="851" w:right="902"/>
        <w:jc w:val="both"/>
        <w:rPr>
          <w:rFonts w:ascii="Palatino Linotype" w:hAnsi="Palatino Linotype" w:cs="Arial"/>
          <w:b/>
          <w:i/>
          <w:sz w:val="22"/>
          <w:szCs w:val="22"/>
        </w:rPr>
      </w:pPr>
      <w:r w:rsidRPr="00D3359C">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BAA0B2F" w14:textId="77777777" w:rsidR="00BE53DD" w:rsidRPr="00D3359C" w:rsidRDefault="00BE53DD" w:rsidP="00BE53DD">
      <w:pPr>
        <w:spacing w:line="276" w:lineRule="auto"/>
        <w:ind w:left="851" w:right="902"/>
        <w:jc w:val="both"/>
        <w:rPr>
          <w:rFonts w:ascii="Palatino Linotype" w:hAnsi="Palatino Linotype" w:cs="Arial"/>
          <w:b/>
          <w:i/>
          <w:sz w:val="22"/>
          <w:szCs w:val="22"/>
        </w:rPr>
      </w:pPr>
      <w:r w:rsidRPr="00D3359C">
        <w:rPr>
          <w:rFonts w:ascii="Palatino Linotype" w:hAnsi="Palatino Linotype" w:cs="Arial"/>
          <w:b/>
          <w:i/>
          <w:sz w:val="22"/>
          <w:szCs w:val="22"/>
        </w:rPr>
        <w:lastRenderedPageBreak/>
        <w:t>VI. Las leyes determinarán la manera en que los sujetos obligados deberán hacer pública la información relativa a los recursos públicos que entreguen a personas físicas o morales</w:t>
      </w:r>
      <w:r w:rsidRPr="00D3359C">
        <w:rPr>
          <w:rFonts w:ascii="Palatino Linotype" w:hAnsi="Palatino Linotype" w:cs="Arial"/>
          <w:i/>
          <w:sz w:val="22"/>
          <w:szCs w:val="22"/>
        </w:rPr>
        <w:t>.”</w:t>
      </w:r>
    </w:p>
    <w:p w14:paraId="4BAA0B30"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w:t>
      </w:r>
    </w:p>
    <w:p w14:paraId="4BAA0B31" w14:textId="77777777" w:rsidR="00BE53DD" w:rsidRPr="00D3359C" w:rsidRDefault="00BE53DD" w:rsidP="00BE53DD">
      <w:pPr>
        <w:spacing w:line="276" w:lineRule="auto"/>
        <w:ind w:left="851" w:right="902"/>
        <w:jc w:val="both"/>
        <w:rPr>
          <w:rFonts w:ascii="Palatino Linotype" w:hAnsi="Palatino Linotype" w:cs="Arial"/>
          <w:b/>
          <w:i/>
          <w:sz w:val="22"/>
          <w:szCs w:val="22"/>
        </w:rPr>
      </w:pPr>
      <w:r w:rsidRPr="00D3359C">
        <w:rPr>
          <w:rFonts w:ascii="Palatino Linotype" w:hAnsi="Palatino Linotype" w:cs="Arial"/>
          <w:b/>
          <w:i/>
          <w:sz w:val="22"/>
          <w:szCs w:val="22"/>
        </w:rPr>
        <w:t>La ley establecerá aquella información que se considere reservada o confidencial.</w:t>
      </w:r>
    </w:p>
    <w:p w14:paraId="4BAA0B32" w14:textId="77777777" w:rsidR="00BE53DD" w:rsidRPr="00D3359C" w:rsidRDefault="00BE53DD" w:rsidP="00BE53DD">
      <w:pPr>
        <w:spacing w:line="276" w:lineRule="auto"/>
        <w:ind w:left="851" w:right="902"/>
        <w:jc w:val="center"/>
        <w:rPr>
          <w:rFonts w:ascii="Palatino Linotype" w:hAnsi="Palatino Linotype" w:cs="Arial"/>
          <w:b/>
          <w:i/>
          <w:sz w:val="22"/>
          <w:szCs w:val="22"/>
        </w:rPr>
      </w:pPr>
      <w:r w:rsidRPr="00D3359C">
        <w:rPr>
          <w:rFonts w:ascii="Palatino Linotype" w:hAnsi="Palatino Linotype" w:cs="Arial"/>
          <w:b/>
          <w:i/>
          <w:sz w:val="22"/>
          <w:szCs w:val="22"/>
        </w:rPr>
        <w:t>Constitución Política del Estado Libre y Soberano de México</w:t>
      </w:r>
    </w:p>
    <w:p w14:paraId="4BAA0B33"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w:t>
      </w:r>
      <w:r w:rsidRPr="00D3359C">
        <w:rPr>
          <w:rFonts w:ascii="Palatino Linotype" w:hAnsi="Palatino Linotype" w:cs="Arial"/>
          <w:b/>
          <w:i/>
          <w:sz w:val="22"/>
          <w:szCs w:val="22"/>
        </w:rPr>
        <w:t xml:space="preserve">Artículo 5. </w:t>
      </w:r>
      <w:r w:rsidRPr="00D3359C">
        <w:rPr>
          <w:rFonts w:ascii="Palatino Linotype" w:hAnsi="Palatino Linotype" w:cs="Arial"/>
          <w:i/>
          <w:sz w:val="22"/>
          <w:szCs w:val="22"/>
        </w:rPr>
        <w:t xml:space="preserve">… </w:t>
      </w:r>
    </w:p>
    <w:p w14:paraId="4BAA0B34" w14:textId="77777777" w:rsidR="00BE53DD" w:rsidRPr="00D3359C" w:rsidRDefault="00BE53DD" w:rsidP="00BE53DD">
      <w:pPr>
        <w:spacing w:line="276" w:lineRule="auto"/>
        <w:ind w:left="851" w:right="902"/>
        <w:jc w:val="both"/>
        <w:rPr>
          <w:rFonts w:ascii="Palatino Linotype" w:hAnsi="Palatino Linotype" w:cstheme="minorBidi"/>
          <w:i/>
          <w:sz w:val="22"/>
          <w:szCs w:val="22"/>
        </w:rPr>
      </w:pPr>
      <w:r w:rsidRPr="00D3359C">
        <w:rPr>
          <w:rFonts w:ascii="Palatino Linotype" w:hAnsi="Palatino Linotype"/>
          <w:i/>
          <w:sz w:val="22"/>
          <w:szCs w:val="22"/>
        </w:rPr>
        <w:t>…</w:t>
      </w:r>
    </w:p>
    <w:p w14:paraId="4BAA0B35" w14:textId="77777777" w:rsidR="00BE53DD" w:rsidRPr="00D3359C" w:rsidRDefault="00BE53DD" w:rsidP="00BE53DD">
      <w:pPr>
        <w:spacing w:line="276" w:lineRule="auto"/>
        <w:ind w:left="851" w:right="902"/>
        <w:jc w:val="both"/>
        <w:rPr>
          <w:rFonts w:ascii="Palatino Linotype" w:hAnsi="Palatino Linotype"/>
          <w:i/>
          <w:sz w:val="22"/>
          <w:szCs w:val="22"/>
        </w:rPr>
      </w:pPr>
      <w:r w:rsidRPr="00D3359C">
        <w:rPr>
          <w:rFonts w:ascii="Palatino Linotype" w:hAnsi="Palatino Linotype"/>
          <w:b/>
          <w:i/>
          <w:sz w:val="22"/>
          <w:szCs w:val="22"/>
        </w:rPr>
        <w:t>El derecho a la información será garantizado por el Estado</w:t>
      </w:r>
      <w:r w:rsidRPr="00D3359C">
        <w:rPr>
          <w:rFonts w:ascii="Palatino Linotype" w:hAnsi="Palatino Linotype"/>
          <w:i/>
          <w:sz w:val="22"/>
          <w:szCs w:val="22"/>
        </w:rPr>
        <w:t>. La ley establecerá las previsiones que permitan asegurar la protección, el respeto y la difusión de este derecho.</w:t>
      </w:r>
    </w:p>
    <w:p w14:paraId="4BAA0B36" w14:textId="77777777" w:rsidR="00BE53DD" w:rsidRPr="00D3359C" w:rsidRDefault="00BE53DD" w:rsidP="00BE53DD">
      <w:pPr>
        <w:spacing w:line="276" w:lineRule="auto"/>
        <w:ind w:left="851" w:right="902"/>
        <w:jc w:val="both"/>
        <w:rPr>
          <w:rFonts w:ascii="Palatino Linotype" w:hAnsi="Palatino Linotype" w:cstheme="minorBidi"/>
          <w:i/>
          <w:sz w:val="22"/>
          <w:szCs w:val="22"/>
        </w:rPr>
      </w:pPr>
      <w:r w:rsidRPr="00D3359C">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AA0B37" w14:textId="77777777" w:rsidR="00BE53DD" w:rsidRPr="00D3359C" w:rsidRDefault="00BE53DD" w:rsidP="00BE53DD">
      <w:pPr>
        <w:spacing w:line="276" w:lineRule="auto"/>
        <w:ind w:left="851" w:right="902"/>
        <w:jc w:val="both"/>
        <w:rPr>
          <w:rFonts w:ascii="Palatino Linotype" w:hAnsi="Palatino Linotype"/>
          <w:i/>
          <w:sz w:val="22"/>
          <w:szCs w:val="22"/>
        </w:rPr>
      </w:pPr>
      <w:r w:rsidRPr="00D3359C">
        <w:rPr>
          <w:rFonts w:ascii="Palatino Linotype" w:hAnsi="Palatino Linotype"/>
          <w:i/>
          <w:sz w:val="22"/>
          <w:szCs w:val="22"/>
        </w:rPr>
        <w:t>Este derecho se regirá por los principios y bases siguientes:</w:t>
      </w:r>
    </w:p>
    <w:p w14:paraId="4BAA0B38" w14:textId="77777777" w:rsidR="00BE53DD" w:rsidRPr="00D3359C" w:rsidRDefault="00BE53DD" w:rsidP="00BE53DD">
      <w:pPr>
        <w:spacing w:line="276" w:lineRule="auto"/>
        <w:ind w:left="851" w:right="902"/>
        <w:jc w:val="both"/>
        <w:rPr>
          <w:rFonts w:ascii="Palatino Linotype" w:hAnsi="Palatino Linotype"/>
          <w:i/>
          <w:sz w:val="22"/>
          <w:szCs w:val="22"/>
        </w:rPr>
      </w:pPr>
      <w:r w:rsidRPr="00D3359C">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D3359C">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D3359C">
        <w:rPr>
          <w:rFonts w:ascii="Palatino Linotype" w:hAnsi="Palatino Linotype" w:cs="Arial"/>
          <w:i/>
          <w:sz w:val="22"/>
          <w:szCs w:val="22"/>
        </w:rPr>
        <w:t>determinará</w:t>
      </w:r>
      <w:r w:rsidRPr="00D3359C">
        <w:rPr>
          <w:rFonts w:ascii="Palatino Linotype" w:hAnsi="Palatino Linotype"/>
          <w:i/>
          <w:sz w:val="22"/>
          <w:szCs w:val="22"/>
        </w:rPr>
        <w:t xml:space="preserve"> los supuestos específicos bajo los cuales procederá la declaración de inexistencia de la información.</w:t>
      </w:r>
    </w:p>
    <w:p w14:paraId="4BAA0B39" w14:textId="77777777" w:rsidR="00BE53DD" w:rsidRPr="00D3359C" w:rsidRDefault="00BE53DD" w:rsidP="00BE53DD">
      <w:pPr>
        <w:spacing w:line="276" w:lineRule="auto"/>
        <w:ind w:left="851" w:right="902"/>
        <w:jc w:val="both"/>
        <w:rPr>
          <w:rFonts w:ascii="Palatino Linotype" w:hAnsi="Palatino Linotype"/>
          <w:i/>
          <w:sz w:val="22"/>
          <w:szCs w:val="22"/>
        </w:rPr>
      </w:pPr>
      <w:r w:rsidRPr="00D3359C">
        <w:rPr>
          <w:rFonts w:ascii="Palatino Linotype" w:hAnsi="Palatino Linotype"/>
          <w:i/>
          <w:sz w:val="22"/>
          <w:szCs w:val="22"/>
        </w:rPr>
        <w:t>…</w:t>
      </w:r>
    </w:p>
    <w:p w14:paraId="4BAA0B3A" w14:textId="77777777" w:rsidR="00BE53DD" w:rsidRPr="00D3359C" w:rsidRDefault="00BE53DD" w:rsidP="00BE53DD">
      <w:pPr>
        <w:spacing w:line="276" w:lineRule="auto"/>
        <w:ind w:left="851" w:right="902"/>
        <w:jc w:val="both"/>
        <w:rPr>
          <w:rFonts w:ascii="Palatino Linotype" w:hAnsi="Palatino Linotype"/>
          <w:i/>
          <w:sz w:val="22"/>
          <w:szCs w:val="22"/>
        </w:rPr>
      </w:pPr>
      <w:r w:rsidRPr="00D3359C">
        <w:rPr>
          <w:rFonts w:ascii="Palatino Linotype" w:hAnsi="Palatino Linotype"/>
          <w:b/>
          <w:i/>
          <w:sz w:val="22"/>
          <w:szCs w:val="22"/>
        </w:rPr>
        <w:lastRenderedPageBreak/>
        <w:t>III. Toda persona, sin necesidad de acreditar interés alguno o justificar su utilización, tendrá acceso gratuito a la información pública, a sus datos personales o a la rectificación de éstos.</w:t>
      </w:r>
      <w:r w:rsidRPr="00D3359C">
        <w:rPr>
          <w:rFonts w:ascii="Palatino Linotype" w:hAnsi="Palatino Linotype"/>
          <w:i/>
          <w:sz w:val="22"/>
          <w:szCs w:val="22"/>
        </w:rPr>
        <w:t>”</w:t>
      </w:r>
    </w:p>
    <w:p w14:paraId="4BAA0B3B" w14:textId="77777777" w:rsidR="00BE53DD" w:rsidRPr="00D3359C" w:rsidRDefault="00BE53DD" w:rsidP="00BE53DD">
      <w:pPr>
        <w:spacing w:line="276" w:lineRule="auto"/>
        <w:ind w:left="851" w:right="902"/>
        <w:jc w:val="both"/>
        <w:rPr>
          <w:rFonts w:ascii="Palatino Linotype" w:hAnsi="Palatino Linotype"/>
          <w:sz w:val="22"/>
          <w:szCs w:val="22"/>
        </w:rPr>
      </w:pPr>
      <w:r w:rsidRPr="00D3359C">
        <w:rPr>
          <w:rFonts w:ascii="Palatino Linotype" w:hAnsi="Palatino Linotype"/>
          <w:sz w:val="22"/>
          <w:szCs w:val="22"/>
        </w:rPr>
        <w:t>(Énfasis añadido)</w:t>
      </w:r>
    </w:p>
    <w:p w14:paraId="4BAA0B3C" w14:textId="77777777" w:rsidR="00BE53DD" w:rsidRPr="00D3359C" w:rsidRDefault="00BE53DD" w:rsidP="00BE53DD">
      <w:pPr>
        <w:spacing w:before="100" w:beforeAutospacing="1" w:after="100" w:afterAutospacing="1" w:line="360" w:lineRule="auto"/>
        <w:jc w:val="both"/>
        <w:rPr>
          <w:rFonts w:ascii="Palatino Linotype" w:hAnsi="Palatino Linotype"/>
        </w:rPr>
      </w:pPr>
      <w:r w:rsidRPr="00D3359C">
        <w:rPr>
          <w:rFonts w:ascii="Palatino Linotype" w:hAnsi="Palatino Linotype"/>
        </w:rPr>
        <w:t xml:space="preserve">Por otra parte, del </w:t>
      </w:r>
      <w:r w:rsidRPr="00D3359C">
        <w:rPr>
          <w:rFonts w:ascii="Palatino Linotype" w:hAnsi="Palatino Linotype" w:cs="Arial"/>
        </w:rPr>
        <w:t>contenido</w:t>
      </w:r>
      <w:r w:rsidRPr="00D3359C">
        <w:rPr>
          <w:rFonts w:ascii="Palatino Linotype" w:hAnsi="Palatino Linotype"/>
        </w:rPr>
        <w:t xml:space="preserve"> del artículo 1 de la Constitución Política de los Estados Unidos Mexicanos, se destaca lo siguiente:</w:t>
      </w:r>
    </w:p>
    <w:p w14:paraId="4BAA0B3D"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w:t>
      </w:r>
      <w:r w:rsidRPr="00D3359C">
        <w:rPr>
          <w:rFonts w:ascii="Palatino Linotype" w:hAnsi="Palatino Linotype" w:cs="Arial"/>
          <w:b/>
          <w:i/>
          <w:sz w:val="22"/>
          <w:szCs w:val="22"/>
        </w:rPr>
        <w:t>Artículo 1o</w:t>
      </w:r>
      <w:r w:rsidRPr="00D3359C">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BAA0B3E" w14:textId="77777777" w:rsidR="00BE53DD" w:rsidRPr="00D3359C" w:rsidRDefault="00BE53DD" w:rsidP="00BE53DD">
      <w:pPr>
        <w:spacing w:line="276" w:lineRule="auto"/>
        <w:ind w:left="851" w:right="902"/>
        <w:jc w:val="both"/>
        <w:rPr>
          <w:rFonts w:ascii="Palatino Linotype" w:hAnsi="Palatino Linotype" w:cs="Arial"/>
          <w:b/>
          <w:i/>
          <w:sz w:val="22"/>
          <w:szCs w:val="22"/>
        </w:rPr>
      </w:pPr>
      <w:r w:rsidRPr="00D3359C">
        <w:rPr>
          <w:rFonts w:ascii="Palatino Linotype" w:hAnsi="Palatino Linotype" w:cs="Arial"/>
          <w:b/>
          <w:i/>
          <w:sz w:val="22"/>
          <w:szCs w:val="22"/>
        </w:rPr>
        <w:t>Las normas relativas a los derechos humanos se interpretarán</w:t>
      </w:r>
      <w:r w:rsidRPr="00D3359C">
        <w:rPr>
          <w:rFonts w:ascii="Palatino Linotype" w:hAnsi="Palatino Linotype" w:cs="Arial"/>
          <w:i/>
          <w:sz w:val="22"/>
          <w:szCs w:val="22"/>
        </w:rPr>
        <w:t xml:space="preserve"> de conformidad con esta Constitución y con los tratados internacionales de la </w:t>
      </w:r>
      <w:r w:rsidRPr="00D3359C">
        <w:rPr>
          <w:rFonts w:ascii="Palatino Linotype" w:hAnsi="Palatino Linotype" w:cs="Arial"/>
          <w:b/>
          <w:i/>
          <w:sz w:val="22"/>
          <w:szCs w:val="22"/>
        </w:rPr>
        <w:t>materia favoreciendo en todo tiempo a las personas la protección más amplia.</w:t>
      </w:r>
    </w:p>
    <w:p w14:paraId="4BAA0B3F"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D3359C">
        <w:rPr>
          <w:rFonts w:ascii="Palatino Linotype" w:hAnsi="Palatino Linotype" w:cs="Arial"/>
          <w:i/>
          <w:sz w:val="22"/>
          <w:szCs w:val="22"/>
        </w:rPr>
        <w:t>. En consecuencia, el Estado deberá prevenir, investigar, sancionar y reparar las violaciones a los derechos humanos, en los términos que establezca la ley.”</w:t>
      </w:r>
    </w:p>
    <w:p w14:paraId="4BAA0B40" w14:textId="77777777" w:rsidR="00BE53DD" w:rsidRPr="00D3359C" w:rsidRDefault="00BE53DD" w:rsidP="00BE53DD">
      <w:pPr>
        <w:spacing w:line="276" w:lineRule="auto"/>
        <w:ind w:left="851" w:right="902"/>
        <w:jc w:val="both"/>
        <w:rPr>
          <w:rFonts w:ascii="Palatino Linotype" w:hAnsi="Palatino Linotype" w:cstheme="minorBidi"/>
          <w:sz w:val="22"/>
          <w:szCs w:val="22"/>
        </w:rPr>
      </w:pPr>
      <w:r w:rsidRPr="00D3359C">
        <w:rPr>
          <w:rFonts w:ascii="Palatino Linotype" w:hAnsi="Palatino Linotype"/>
          <w:sz w:val="22"/>
          <w:szCs w:val="22"/>
        </w:rPr>
        <w:t>(Énfasis añadido)</w:t>
      </w:r>
    </w:p>
    <w:p w14:paraId="4BAA0B41" w14:textId="77777777" w:rsidR="00BE53DD" w:rsidRPr="00D3359C" w:rsidRDefault="00BE53DD" w:rsidP="00BE53DD">
      <w:pPr>
        <w:spacing w:before="100" w:beforeAutospacing="1" w:after="100" w:afterAutospacing="1" w:line="360" w:lineRule="auto"/>
        <w:jc w:val="both"/>
        <w:rPr>
          <w:rFonts w:ascii="Palatino Linotype" w:hAnsi="Palatino Linotype"/>
        </w:rPr>
      </w:pPr>
      <w:r w:rsidRPr="00D3359C">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D3359C">
        <w:rPr>
          <w:rFonts w:ascii="Palatino Linotype" w:hAnsi="Palatino Linotype" w:cs="Arial"/>
        </w:rPr>
        <w:t>alguno</w:t>
      </w:r>
      <w:r w:rsidRPr="00D3359C">
        <w:rPr>
          <w:rFonts w:ascii="Palatino Linotype" w:hAnsi="Palatino Linotype"/>
        </w:rPr>
        <w:t xml:space="preserve"> o justificar su utilización, deberá tener acceso a la información pública, es decir, dicho </w:t>
      </w:r>
      <w:r w:rsidRPr="00D3359C">
        <w:rPr>
          <w:rFonts w:ascii="Palatino Linotype" w:hAnsi="Palatino Linotype" w:cs="Arial"/>
        </w:rPr>
        <w:t>derecho</w:t>
      </w:r>
      <w:r w:rsidRPr="00D3359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w:t>
      </w:r>
      <w:r w:rsidRPr="00D3359C">
        <w:rPr>
          <w:rFonts w:ascii="Palatino Linotype" w:hAnsi="Palatino Linotype"/>
        </w:rPr>
        <w:lastRenderedPageBreak/>
        <w:t>anónima o no contener un nombre que identifique al solicitante o que permita tener certeza sobre su identidad.</w:t>
      </w:r>
    </w:p>
    <w:p w14:paraId="4BAA0B42" w14:textId="77777777" w:rsidR="00BE53DD" w:rsidRPr="00D3359C" w:rsidRDefault="00BE53DD" w:rsidP="00BE53DD">
      <w:pPr>
        <w:spacing w:before="100" w:beforeAutospacing="1" w:after="100" w:afterAutospacing="1" w:line="360" w:lineRule="auto"/>
        <w:jc w:val="both"/>
        <w:rPr>
          <w:rFonts w:ascii="Palatino Linotype" w:hAnsi="Palatino Linotype" w:cstheme="minorBidi"/>
        </w:rPr>
      </w:pPr>
      <w:r w:rsidRPr="00D3359C">
        <w:rPr>
          <w:rFonts w:ascii="Palatino Linotype" w:hAnsi="Palatino Linotype"/>
        </w:rPr>
        <w:t xml:space="preserve">Robustece lo anterior, el Criterio 6/2014 del entonces Instituto Federal de Acceso a la Información y </w:t>
      </w:r>
      <w:r w:rsidRPr="00D3359C">
        <w:rPr>
          <w:rFonts w:ascii="Palatino Linotype" w:hAnsi="Palatino Linotype" w:cs="Arial"/>
        </w:rPr>
        <w:t>Protección</w:t>
      </w:r>
      <w:r w:rsidRPr="00D3359C">
        <w:rPr>
          <w:rFonts w:ascii="Palatino Linotype" w:hAnsi="Palatino Linotype"/>
        </w:rPr>
        <w:t xml:space="preserve"> de Datos (IFAI) hoy Instituto Nacional de Transparencia, Acceso a la Información y Protección de Datos Personales (INAI), el cual se reproduce para una mayor referencia:</w:t>
      </w:r>
    </w:p>
    <w:p w14:paraId="4BAA0B43"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w:t>
      </w:r>
      <w:r w:rsidRPr="00D3359C">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D3359C">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BAA0B44"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Resoluciones</w:t>
      </w:r>
    </w:p>
    <w:p w14:paraId="4BAA0B45"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b/>
          <w:i/>
          <w:sz w:val="22"/>
          <w:szCs w:val="22"/>
        </w:rPr>
        <w:t>• RDA 5275/13</w:t>
      </w:r>
      <w:r w:rsidRPr="00D3359C">
        <w:rPr>
          <w:rFonts w:ascii="Palatino Linotype" w:hAnsi="Palatino Linotype" w:cs="Arial"/>
          <w:i/>
          <w:sz w:val="22"/>
          <w:szCs w:val="22"/>
        </w:rPr>
        <w:t>. Interpuesto en contra de la Secretaría de la Defensa Nacional. Comisionado Ponente Ángel Trinidad Zaldívar.</w:t>
      </w:r>
    </w:p>
    <w:p w14:paraId="4BAA0B46"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 xml:space="preserve">• </w:t>
      </w:r>
      <w:r w:rsidRPr="00D3359C">
        <w:rPr>
          <w:rFonts w:ascii="Palatino Linotype" w:hAnsi="Palatino Linotype" w:cs="Arial"/>
          <w:b/>
          <w:i/>
          <w:sz w:val="22"/>
          <w:szCs w:val="22"/>
        </w:rPr>
        <w:t>RDA 2937/13</w:t>
      </w:r>
      <w:r w:rsidRPr="00D3359C">
        <w:rPr>
          <w:rFonts w:ascii="Palatino Linotype" w:hAnsi="Palatino Linotype" w:cs="Arial"/>
          <w:i/>
          <w:sz w:val="22"/>
          <w:szCs w:val="22"/>
        </w:rPr>
        <w:t>. Interpuesto en contra de LICONSA, S.A. de C.V. Comisionado. Ponente Gerardo Laveaga Rendón.</w:t>
      </w:r>
    </w:p>
    <w:p w14:paraId="4BAA0B47"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 xml:space="preserve">• </w:t>
      </w:r>
      <w:r w:rsidRPr="00D3359C">
        <w:rPr>
          <w:rFonts w:ascii="Palatino Linotype" w:hAnsi="Palatino Linotype" w:cs="Arial"/>
          <w:b/>
          <w:i/>
          <w:sz w:val="22"/>
          <w:szCs w:val="22"/>
        </w:rPr>
        <w:t>RDA 3609/12</w:t>
      </w:r>
      <w:r w:rsidRPr="00D3359C">
        <w:rPr>
          <w:rFonts w:ascii="Palatino Linotype" w:hAnsi="Palatino Linotype" w:cs="Arial"/>
          <w:i/>
          <w:sz w:val="22"/>
          <w:szCs w:val="22"/>
        </w:rPr>
        <w:t>. Interpuesto en contra de la Secretaría de Educación Pública. Comisionada Ponente Sigrid Arzt Colunga.</w:t>
      </w:r>
    </w:p>
    <w:p w14:paraId="4BAA0B48"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 xml:space="preserve">• </w:t>
      </w:r>
      <w:r w:rsidRPr="00D3359C">
        <w:rPr>
          <w:rFonts w:ascii="Palatino Linotype" w:hAnsi="Palatino Linotype" w:cs="Arial"/>
          <w:b/>
          <w:i/>
          <w:sz w:val="22"/>
          <w:szCs w:val="22"/>
        </w:rPr>
        <w:t>RDA 3361/12</w:t>
      </w:r>
      <w:r w:rsidRPr="00D3359C">
        <w:rPr>
          <w:rFonts w:ascii="Palatino Linotype" w:hAnsi="Palatino Linotype" w:cs="Arial"/>
          <w:i/>
          <w:sz w:val="22"/>
          <w:szCs w:val="22"/>
        </w:rPr>
        <w:t>. Interpuesto en contra del Servicio de Administración Tributaria. Comisionada Ponente María Elena Pérez-Jaén Zermeño.</w:t>
      </w:r>
    </w:p>
    <w:p w14:paraId="4BAA0B49" w14:textId="77777777" w:rsidR="00BE53DD" w:rsidRPr="00D3359C" w:rsidRDefault="00BE53DD" w:rsidP="00BE53DD">
      <w:pPr>
        <w:spacing w:line="276" w:lineRule="auto"/>
        <w:ind w:left="851" w:right="902"/>
        <w:jc w:val="both"/>
        <w:rPr>
          <w:rFonts w:ascii="Palatino Linotype" w:hAnsi="Palatino Linotype" w:cs="Arial"/>
          <w:i/>
          <w:sz w:val="22"/>
          <w:szCs w:val="22"/>
        </w:rPr>
      </w:pPr>
      <w:r w:rsidRPr="00D3359C">
        <w:rPr>
          <w:rFonts w:ascii="Palatino Linotype" w:hAnsi="Palatino Linotype" w:cs="Arial"/>
          <w:i/>
          <w:sz w:val="22"/>
          <w:szCs w:val="22"/>
        </w:rPr>
        <w:t xml:space="preserve">• </w:t>
      </w:r>
      <w:r w:rsidRPr="00D3359C">
        <w:rPr>
          <w:rFonts w:ascii="Palatino Linotype" w:hAnsi="Palatino Linotype" w:cs="Arial"/>
          <w:b/>
          <w:i/>
          <w:sz w:val="22"/>
          <w:szCs w:val="22"/>
        </w:rPr>
        <w:t>RDA 0563/12</w:t>
      </w:r>
      <w:r w:rsidRPr="00D3359C">
        <w:rPr>
          <w:rFonts w:ascii="Palatino Linotype" w:hAnsi="Palatino Linotype" w:cs="Arial"/>
          <w:i/>
          <w:sz w:val="22"/>
          <w:szCs w:val="22"/>
        </w:rPr>
        <w:t>. Interpuesto en contra de la Secretaría de la Función Pública. Comisionada Ponente Jacqueline Peschard Mariscal.” (sic)</w:t>
      </w:r>
    </w:p>
    <w:p w14:paraId="4BAA0B4A" w14:textId="77777777" w:rsidR="00BE53DD" w:rsidRPr="00D3359C" w:rsidRDefault="00BE53DD" w:rsidP="00BE53DD">
      <w:pPr>
        <w:spacing w:before="100" w:beforeAutospacing="1" w:after="100" w:afterAutospacing="1" w:line="360" w:lineRule="auto"/>
        <w:jc w:val="both"/>
        <w:rPr>
          <w:rFonts w:ascii="Palatino Linotype" w:hAnsi="Palatino Linotype" w:cstheme="minorBidi"/>
        </w:rPr>
      </w:pPr>
      <w:r w:rsidRPr="00D3359C">
        <w:rPr>
          <w:rFonts w:ascii="Palatino Linotype" w:hAnsi="Palatino Linotype"/>
        </w:rPr>
        <w:lastRenderedPageBreak/>
        <w:t xml:space="preserve">En ese orden de ideas, se estima que el requerimiento relativo al nombre como presupuesto de procedibilidad, </w:t>
      </w:r>
      <w:r w:rsidRPr="00D3359C">
        <w:rPr>
          <w:rFonts w:ascii="Palatino Linotype" w:hAnsi="Palatino Linotype" w:cs="Arial"/>
        </w:rPr>
        <w:t>podría</w:t>
      </w:r>
      <w:r w:rsidRPr="00D3359C">
        <w:rPr>
          <w:rFonts w:ascii="Palatino Linotype" w:hAnsi="Palatino Linotype"/>
        </w:rPr>
        <w:t xml:space="preserve"> limitar el ejercicio del derecho de acceso a la información pública, debido a que, el hecho de solicitar la identificación del hoy </w:t>
      </w:r>
      <w:r w:rsidRPr="00D3359C">
        <w:rPr>
          <w:rFonts w:ascii="Palatino Linotype" w:hAnsi="Palatino Linotype" w:cs="Arial"/>
          <w:b/>
        </w:rPr>
        <w:t>RECURRENTE</w:t>
      </w:r>
      <w:r w:rsidRPr="00D3359C">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4BAA0B4B" w14:textId="77777777" w:rsidR="00BE53DD" w:rsidRPr="00D3359C" w:rsidRDefault="00BE53DD" w:rsidP="00BE53DD">
      <w:pPr>
        <w:spacing w:before="100" w:beforeAutospacing="1" w:after="100" w:afterAutospacing="1" w:line="360" w:lineRule="auto"/>
        <w:jc w:val="both"/>
        <w:rPr>
          <w:rFonts w:ascii="Palatino Linotype" w:hAnsi="Palatino Linotype"/>
        </w:rPr>
      </w:pPr>
      <w:r w:rsidRPr="00D3359C">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D3359C">
        <w:rPr>
          <w:rFonts w:ascii="Palatino Linotype" w:hAnsi="Palatino Linotype" w:cs="Arial"/>
        </w:rPr>
        <w:t>Constitución</w:t>
      </w:r>
      <w:r w:rsidRPr="00D3359C">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BAA0B4C" w14:textId="77777777" w:rsidR="00BE53DD" w:rsidRPr="00D3359C" w:rsidRDefault="00BE53DD" w:rsidP="00BE53DD">
      <w:pPr>
        <w:spacing w:before="100" w:beforeAutospacing="1" w:after="100" w:afterAutospacing="1" w:line="360" w:lineRule="auto"/>
        <w:jc w:val="both"/>
        <w:rPr>
          <w:rFonts w:ascii="Palatino Linotype" w:hAnsi="Palatino Linotype" w:cstheme="minorBidi"/>
        </w:rPr>
      </w:pPr>
      <w:r w:rsidRPr="00D3359C">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w:t>
      </w:r>
      <w:r w:rsidRPr="00D3359C">
        <w:rPr>
          <w:rFonts w:ascii="Palatino Linotype" w:hAnsi="Palatino Linotype"/>
        </w:rPr>
        <w:lastRenderedPageBreak/>
        <w:t xml:space="preserve">causa, sino que únicamente basta con que se encuentre legitimado en el procedimiento de recurso de revisión, circunstancia que se acredita en las constancias electrónicas del expediente, de las que se desprende que </w:t>
      </w:r>
      <w:r w:rsidRPr="00D3359C">
        <w:rPr>
          <w:rFonts w:ascii="Palatino Linotype" w:hAnsi="Palatino Linotype" w:cs="Arial"/>
          <w:b/>
        </w:rPr>
        <w:t>EL RECURRENTE</w:t>
      </w:r>
      <w:r w:rsidRPr="00D3359C">
        <w:rPr>
          <w:rFonts w:ascii="Palatino Linotype" w:hAnsi="Palatino Linotype"/>
        </w:rPr>
        <w:t>, es la misma persona que realizó la solicitud de acceso a la información pública que ahora se impugna.</w:t>
      </w:r>
    </w:p>
    <w:p w14:paraId="4BAA0B4D" w14:textId="77777777" w:rsidR="00BE53DD" w:rsidRPr="00D3359C" w:rsidRDefault="00BE53DD" w:rsidP="00BE53DD">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D3359C">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D3359C">
        <w:rPr>
          <w:rFonts w:ascii="Palatino Linotype" w:hAnsi="Palatino Linotype" w:cs="Arial"/>
          <w:b/>
        </w:rPr>
        <w:t xml:space="preserve"> RECURRENTE</w:t>
      </w:r>
      <w:r w:rsidRPr="00D3359C">
        <w:rPr>
          <w:rFonts w:ascii="Palatino Linotype" w:hAnsi="Palatino Linotype"/>
        </w:rPr>
        <w:t xml:space="preserve">, por lo que en el presente caso, al haber sido presentado el recurso de revisión vía </w:t>
      </w:r>
      <w:r w:rsidRPr="00D3359C">
        <w:rPr>
          <w:rFonts w:ascii="Palatino Linotype" w:hAnsi="Palatino Linotype"/>
          <w:b/>
        </w:rPr>
        <w:t>SAIMEX</w:t>
      </w:r>
      <w:r w:rsidRPr="00D3359C">
        <w:rPr>
          <w:rFonts w:ascii="Palatino Linotype" w:hAnsi="Palatino Linotype"/>
        </w:rPr>
        <w:t>, dicho requisito resulta innecesario.</w:t>
      </w:r>
    </w:p>
    <w:p w14:paraId="4BAA0B4E" w14:textId="77777777" w:rsidR="00F31895" w:rsidRPr="00D3359C" w:rsidRDefault="00F31895" w:rsidP="00F31895">
      <w:pPr>
        <w:pStyle w:val="Prrafodelista"/>
        <w:widowControl w:val="0"/>
        <w:autoSpaceDE w:val="0"/>
        <w:autoSpaceDN w:val="0"/>
        <w:adjustRightInd w:val="0"/>
        <w:spacing w:line="360" w:lineRule="auto"/>
        <w:ind w:left="0" w:right="49"/>
        <w:jc w:val="both"/>
        <w:rPr>
          <w:rFonts w:ascii="Palatino Linotype" w:hAnsi="Palatino Linotype" w:cs="Arial"/>
        </w:rPr>
      </w:pPr>
      <w:r w:rsidRPr="00D3359C">
        <w:rPr>
          <w:rFonts w:ascii="Palatino Linotype" w:hAnsi="Palatino Linotype" w:cs="Arial"/>
          <w:b/>
          <w:sz w:val="28"/>
        </w:rPr>
        <w:t>QUINTO</w:t>
      </w:r>
      <w:r w:rsidRPr="00D3359C">
        <w:rPr>
          <w:rFonts w:ascii="Palatino Linotype" w:hAnsi="Palatino Linotype" w:cs="Arial"/>
          <w:b/>
        </w:rPr>
        <w:t xml:space="preserve">. </w:t>
      </w:r>
      <w:r w:rsidRPr="00D3359C">
        <w:rPr>
          <w:rFonts w:ascii="Palatino Linotype" w:hAnsi="Palatino Linotype" w:cs="Arial"/>
          <w:b/>
          <w:color w:val="000000" w:themeColor="text1"/>
        </w:rPr>
        <w:t xml:space="preserve">Análisis de la causal de sobreseimiento. </w:t>
      </w:r>
      <w:r w:rsidRPr="00D3359C">
        <w:rPr>
          <w:rFonts w:ascii="Palatino Linotype" w:hAnsi="Palatino Linotype" w:cs="Arial"/>
        </w:rPr>
        <w:t>Del análisis efectuado al expediente electrónico, se advierte que se actualiza la hipótesis prevista en el artículo 191 fracción III de la Ley de Transparencia y Acceso a la Información Pública del Estado de México y Municipios en vigor, que a la letra dice:</w:t>
      </w:r>
    </w:p>
    <w:p w14:paraId="4BAA0B4F" w14:textId="77777777" w:rsidR="00F31895" w:rsidRPr="00D3359C" w:rsidRDefault="00F31895" w:rsidP="00F31895">
      <w:pPr>
        <w:ind w:left="851" w:right="902"/>
        <w:contextualSpacing/>
        <w:jc w:val="both"/>
        <w:rPr>
          <w:rFonts w:ascii="Palatino Linotype" w:hAnsi="Palatino Linotype" w:cs="Arial"/>
          <w:i/>
          <w:sz w:val="22"/>
          <w:szCs w:val="22"/>
        </w:rPr>
      </w:pPr>
      <w:r w:rsidRPr="00D3359C">
        <w:rPr>
          <w:rFonts w:ascii="Palatino Linotype" w:hAnsi="Palatino Linotype" w:cs="Arial"/>
          <w:i/>
          <w:sz w:val="22"/>
          <w:szCs w:val="22"/>
        </w:rPr>
        <w:t>“</w:t>
      </w:r>
      <w:r w:rsidRPr="00D3359C">
        <w:rPr>
          <w:rFonts w:ascii="Palatino Linotype" w:hAnsi="Palatino Linotype" w:cs="Arial"/>
          <w:b/>
          <w:i/>
          <w:sz w:val="22"/>
          <w:szCs w:val="22"/>
        </w:rPr>
        <w:t>Artículo 191</w:t>
      </w:r>
      <w:r w:rsidRPr="00D3359C">
        <w:rPr>
          <w:rFonts w:ascii="Palatino Linotype" w:hAnsi="Palatino Linotype" w:cs="Arial"/>
          <w:i/>
          <w:sz w:val="22"/>
          <w:szCs w:val="22"/>
        </w:rPr>
        <w:t>. El recurso será desechado por improcedente cuando:</w:t>
      </w:r>
    </w:p>
    <w:p w14:paraId="4BAA0B50" w14:textId="77777777" w:rsidR="00F31895" w:rsidRPr="00D3359C" w:rsidRDefault="00F31895" w:rsidP="00F31895">
      <w:pPr>
        <w:ind w:left="851" w:right="902"/>
        <w:contextualSpacing/>
        <w:jc w:val="both"/>
        <w:rPr>
          <w:rFonts w:ascii="Palatino Linotype" w:hAnsi="Palatino Linotype" w:cs="Arial"/>
          <w:i/>
          <w:sz w:val="22"/>
          <w:szCs w:val="22"/>
        </w:rPr>
      </w:pPr>
      <w:r w:rsidRPr="00D3359C">
        <w:rPr>
          <w:rFonts w:ascii="Palatino Linotype" w:hAnsi="Palatino Linotype" w:cs="Arial"/>
          <w:i/>
          <w:sz w:val="22"/>
          <w:szCs w:val="22"/>
        </w:rPr>
        <w:t>(…)</w:t>
      </w:r>
    </w:p>
    <w:p w14:paraId="4BAA0B51" w14:textId="77777777" w:rsidR="00F31895" w:rsidRPr="00D3359C" w:rsidRDefault="00F31895" w:rsidP="00F31895">
      <w:pPr>
        <w:ind w:left="851" w:right="902"/>
        <w:contextualSpacing/>
        <w:jc w:val="both"/>
        <w:rPr>
          <w:rFonts w:ascii="Palatino Linotype" w:hAnsi="Palatino Linotype" w:cs="Arial"/>
          <w:i/>
          <w:sz w:val="22"/>
          <w:szCs w:val="22"/>
        </w:rPr>
      </w:pPr>
      <w:r w:rsidRPr="00D3359C">
        <w:rPr>
          <w:rFonts w:ascii="Palatino Linotype" w:hAnsi="Palatino Linotype" w:cs="Arial"/>
          <w:b/>
          <w:i/>
          <w:sz w:val="22"/>
          <w:szCs w:val="22"/>
        </w:rPr>
        <w:t>III.</w:t>
      </w:r>
      <w:r w:rsidRPr="00D3359C">
        <w:rPr>
          <w:rFonts w:ascii="Palatino Linotype" w:hAnsi="Palatino Linotype" w:cs="Arial"/>
          <w:b/>
          <w:i/>
          <w:sz w:val="22"/>
          <w:szCs w:val="22"/>
        </w:rPr>
        <w:tab/>
      </w:r>
      <w:r w:rsidRPr="00D3359C">
        <w:rPr>
          <w:rFonts w:ascii="Palatino Linotype" w:hAnsi="Palatino Linotype" w:cs="Arial"/>
          <w:b/>
          <w:i/>
          <w:sz w:val="22"/>
          <w:szCs w:val="22"/>
          <w:u w:val="single"/>
        </w:rPr>
        <w:t>No actualice alguno de los supuestos previstos en la presente Ley</w:t>
      </w:r>
      <w:r w:rsidRPr="00D3359C">
        <w:rPr>
          <w:rFonts w:ascii="Palatino Linotype" w:hAnsi="Palatino Linotype" w:cs="Arial"/>
          <w:i/>
          <w:sz w:val="22"/>
          <w:szCs w:val="22"/>
        </w:rPr>
        <w:t>;</w:t>
      </w:r>
    </w:p>
    <w:p w14:paraId="4BAA0B52" w14:textId="77777777" w:rsidR="00F31895" w:rsidRPr="00D3359C" w:rsidRDefault="00F31895" w:rsidP="00F31895">
      <w:pPr>
        <w:ind w:left="851" w:right="902"/>
        <w:contextualSpacing/>
        <w:jc w:val="both"/>
        <w:rPr>
          <w:rFonts w:ascii="Palatino Linotype" w:hAnsi="Palatino Linotype" w:cs="Arial"/>
          <w:i/>
          <w:sz w:val="22"/>
          <w:szCs w:val="22"/>
        </w:rPr>
      </w:pPr>
      <w:r w:rsidRPr="00D3359C">
        <w:rPr>
          <w:rFonts w:ascii="Palatino Linotype" w:hAnsi="Palatino Linotype" w:cs="Arial"/>
          <w:i/>
          <w:sz w:val="22"/>
          <w:szCs w:val="22"/>
        </w:rPr>
        <w:t>(…)</w:t>
      </w:r>
    </w:p>
    <w:p w14:paraId="4BAA0B53" w14:textId="38BFCA2C" w:rsidR="00F31895" w:rsidRPr="00D3359C" w:rsidRDefault="00F31895" w:rsidP="00F31895">
      <w:pPr>
        <w:ind w:left="851" w:right="902"/>
        <w:contextualSpacing/>
        <w:jc w:val="both"/>
        <w:rPr>
          <w:rFonts w:ascii="Palatino Linotype" w:hAnsi="Palatino Linotype" w:cs="Arial"/>
          <w:i/>
          <w:iCs/>
          <w:sz w:val="22"/>
          <w:szCs w:val="22"/>
        </w:rPr>
      </w:pPr>
      <w:r w:rsidRPr="00D3359C">
        <w:rPr>
          <w:rFonts w:ascii="Palatino Linotype" w:hAnsi="Palatino Linotype" w:cs="Arial"/>
          <w:i/>
          <w:iCs/>
          <w:sz w:val="22"/>
          <w:szCs w:val="22"/>
        </w:rPr>
        <w:t>(Énfasis añadido)</w:t>
      </w:r>
    </w:p>
    <w:p w14:paraId="30BBDF37" w14:textId="77777777" w:rsidR="00600581" w:rsidRPr="00D3359C" w:rsidRDefault="00600581" w:rsidP="00F31895">
      <w:pPr>
        <w:ind w:left="851" w:right="902"/>
        <w:contextualSpacing/>
        <w:jc w:val="both"/>
        <w:rPr>
          <w:rFonts w:ascii="Palatino Linotype" w:hAnsi="Palatino Linotype" w:cs="Arial"/>
          <w:i/>
          <w:iCs/>
          <w:sz w:val="22"/>
          <w:szCs w:val="22"/>
        </w:rPr>
      </w:pPr>
    </w:p>
    <w:p w14:paraId="4BAA0B54" w14:textId="6932A0B3" w:rsidR="00395349" w:rsidRPr="00D3359C" w:rsidRDefault="00F31895" w:rsidP="00F31895">
      <w:pPr>
        <w:spacing w:line="360" w:lineRule="auto"/>
        <w:jc w:val="both"/>
        <w:rPr>
          <w:rFonts w:ascii="Palatino Linotype" w:hAnsi="Palatino Linotype" w:cs="Arial"/>
        </w:rPr>
      </w:pPr>
      <w:r w:rsidRPr="00D3359C">
        <w:rPr>
          <w:rFonts w:ascii="Palatino Linotype" w:hAnsi="Palatino Linotype" w:cs="Arial"/>
        </w:rPr>
        <w:t xml:space="preserve">Precisado lo anterior, y en respuesta a la referida solicitud, </w:t>
      </w:r>
      <w:r w:rsidRPr="00D3359C">
        <w:rPr>
          <w:rFonts w:ascii="Palatino Linotype" w:hAnsi="Palatino Linotype" w:cs="Arial"/>
          <w:b/>
        </w:rPr>
        <w:t>EL SUJETO OBLIGADO</w:t>
      </w:r>
      <w:r w:rsidR="00395349" w:rsidRPr="00D3359C">
        <w:rPr>
          <w:rFonts w:ascii="Palatino Linotype" w:hAnsi="Palatino Linotype" w:cs="Arial"/>
        </w:rPr>
        <w:t xml:space="preserve"> señaló al particular que la institución no contaba con un Contralor Interno que cumpliera las funciones de fiscalizador; sin embargo, dichas funciones las llevaba a cabo el Contralor Municipal de conformidad con lo establecido en el artículo 112, fracción II de la Ley Orgánica Municipal vigente en la Entidad; proporcionando la </w:t>
      </w:r>
      <w:r w:rsidR="00395349" w:rsidRPr="00D3359C">
        <w:rPr>
          <w:rFonts w:ascii="Palatino Linotype" w:hAnsi="Palatino Linotype" w:cs="Arial"/>
        </w:rPr>
        <w:lastRenderedPageBreak/>
        <w:t>liga electrónica en la que el solicitante podría consultar en la página oficial del Municipio los datos de contacto de dicho servidor público. Por otra parte, adjunt</w:t>
      </w:r>
      <w:r w:rsidR="00304A4F" w:rsidRPr="00D3359C">
        <w:rPr>
          <w:rFonts w:ascii="Palatino Linotype" w:hAnsi="Palatino Linotype" w:cs="Arial"/>
        </w:rPr>
        <w:t>ó</w:t>
      </w:r>
      <w:r w:rsidR="00395349" w:rsidRPr="00D3359C">
        <w:rPr>
          <w:rFonts w:ascii="Palatino Linotype" w:hAnsi="Palatino Linotype" w:cs="Arial"/>
        </w:rPr>
        <w:t xml:space="preserve"> el nombramiento de la Secretaria de la Junta de Gobierno del Sistema Municipal DIF de Tultepec. </w:t>
      </w:r>
    </w:p>
    <w:p w14:paraId="4BAA0B55" w14:textId="77777777" w:rsidR="00F31895" w:rsidRPr="00D3359C" w:rsidRDefault="00F31895" w:rsidP="00F31895">
      <w:pPr>
        <w:spacing w:line="360" w:lineRule="auto"/>
        <w:jc w:val="both"/>
        <w:rPr>
          <w:rFonts w:ascii="Palatino Linotype" w:hAnsi="Palatino Linotype" w:cs="Arial"/>
        </w:rPr>
      </w:pPr>
    </w:p>
    <w:p w14:paraId="4BAA0B56" w14:textId="77777777" w:rsidR="00F31895" w:rsidRPr="00D3359C" w:rsidRDefault="00F31895" w:rsidP="00F31895">
      <w:pPr>
        <w:spacing w:line="360" w:lineRule="auto"/>
        <w:jc w:val="both"/>
        <w:rPr>
          <w:rFonts w:ascii="Palatino Linotype" w:hAnsi="Palatino Linotype"/>
        </w:rPr>
      </w:pPr>
      <w:r w:rsidRPr="00D3359C">
        <w:rPr>
          <w:rFonts w:ascii="Palatino Linotype" w:hAnsi="Palatino Linotype"/>
        </w:rPr>
        <w:t xml:space="preserve">En efecto, el hecho de que </w:t>
      </w:r>
      <w:r w:rsidRPr="00D3359C">
        <w:rPr>
          <w:rFonts w:ascii="Palatino Linotype" w:hAnsi="Palatino Linotype"/>
          <w:b/>
        </w:rPr>
        <w:t>EL SUJETO OBLIGADO</w:t>
      </w:r>
      <w:r w:rsidRPr="00D3359C">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4BAA0B57" w14:textId="77777777" w:rsidR="00F31895" w:rsidRPr="00D3359C" w:rsidRDefault="00F31895" w:rsidP="00F31895">
      <w:pPr>
        <w:tabs>
          <w:tab w:val="left" w:pos="8080"/>
        </w:tabs>
        <w:ind w:left="851" w:right="1041"/>
        <w:contextualSpacing/>
        <w:jc w:val="both"/>
        <w:rPr>
          <w:rFonts w:ascii="Palatino Linotype" w:hAnsi="Palatino Linotype"/>
          <w:i/>
          <w:sz w:val="22"/>
          <w:szCs w:val="22"/>
        </w:rPr>
      </w:pPr>
      <w:r w:rsidRPr="00D3359C">
        <w:rPr>
          <w:rFonts w:ascii="Palatino Linotype" w:hAnsi="Palatino Linotype"/>
          <w:b/>
          <w:i/>
          <w:sz w:val="22"/>
          <w:szCs w:val="22"/>
        </w:rPr>
        <w:t>“Artículo 12</w:t>
      </w:r>
      <w:r w:rsidRPr="00D3359C">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4BAA0B58" w14:textId="77777777" w:rsidR="00F31895" w:rsidRPr="00D3359C" w:rsidRDefault="00F31895" w:rsidP="00F31895">
      <w:pPr>
        <w:tabs>
          <w:tab w:val="left" w:pos="8080"/>
        </w:tabs>
        <w:ind w:left="851" w:right="1041"/>
        <w:contextualSpacing/>
        <w:jc w:val="both"/>
        <w:rPr>
          <w:rFonts w:ascii="Palatino Linotype" w:hAnsi="Palatino Linotype"/>
          <w:i/>
          <w:sz w:val="22"/>
          <w:szCs w:val="22"/>
        </w:rPr>
      </w:pPr>
    </w:p>
    <w:p w14:paraId="4BAA0B59" w14:textId="77777777" w:rsidR="00F31895" w:rsidRPr="00D3359C" w:rsidRDefault="00F31895" w:rsidP="00F31895">
      <w:pPr>
        <w:tabs>
          <w:tab w:val="left" w:pos="8080"/>
        </w:tabs>
        <w:ind w:left="851" w:right="1041"/>
        <w:contextualSpacing/>
        <w:jc w:val="both"/>
        <w:rPr>
          <w:rFonts w:ascii="Palatino Linotype" w:hAnsi="Palatino Linotype"/>
          <w:b/>
          <w:i/>
          <w:sz w:val="22"/>
          <w:szCs w:val="22"/>
        </w:rPr>
      </w:pPr>
      <w:r w:rsidRPr="00D3359C">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3359C">
        <w:rPr>
          <w:rFonts w:ascii="Palatino Linotype" w:hAnsi="Palatino Linotype"/>
          <w:b/>
          <w:i/>
          <w:sz w:val="22"/>
          <w:szCs w:val="22"/>
        </w:rPr>
        <w:t>”</w:t>
      </w:r>
    </w:p>
    <w:p w14:paraId="4BAA0B5A" w14:textId="77777777" w:rsidR="00F31895" w:rsidRPr="00D3359C" w:rsidRDefault="00F31895" w:rsidP="00F31895">
      <w:pPr>
        <w:tabs>
          <w:tab w:val="left" w:pos="8080"/>
        </w:tabs>
        <w:ind w:left="851" w:right="1041"/>
        <w:contextualSpacing/>
        <w:jc w:val="both"/>
        <w:rPr>
          <w:rFonts w:ascii="Palatino Linotype" w:hAnsi="Palatino Linotype"/>
          <w:b/>
          <w:i/>
          <w:sz w:val="22"/>
          <w:szCs w:val="22"/>
        </w:rPr>
      </w:pPr>
    </w:p>
    <w:p w14:paraId="4BAA0B5B" w14:textId="77777777" w:rsidR="00F31895" w:rsidRPr="00D3359C" w:rsidRDefault="00F31895" w:rsidP="00F31895">
      <w:pPr>
        <w:spacing w:line="360" w:lineRule="auto"/>
        <w:jc w:val="both"/>
        <w:rPr>
          <w:rFonts w:ascii="Palatino Linotype" w:hAnsi="Palatino Linotype" w:cs="Arial"/>
        </w:rPr>
      </w:pPr>
      <w:r w:rsidRPr="00D3359C">
        <w:rPr>
          <w:rFonts w:ascii="Palatino Linotype" w:hAnsi="Palatino Linotype"/>
        </w:rPr>
        <w:t xml:space="preserve">De hecho, el estudio de la naturaleza jurídica de la información pública solicitada, tiene por objeto determinar si ésta la genera, posee o administra </w:t>
      </w:r>
      <w:r w:rsidRPr="00D3359C">
        <w:rPr>
          <w:rFonts w:ascii="Palatino Linotype" w:hAnsi="Palatino Linotype"/>
          <w:b/>
        </w:rPr>
        <w:t>EL SUJETO OBLIGADO</w:t>
      </w:r>
      <w:r w:rsidRPr="00D3359C">
        <w:rPr>
          <w:rFonts w:ascii="Palatino Linotype" w:hAnsi="Palatino Linotype"/>
        </w:rPr>
        <w:t xml:space="preserve">;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w:t>
      </w:r>
      <w:r w:rsidRPr="00D3359C">
        <w:rPr>
          <w:rFonts w:ascii="Palatino Linotype" w:hAnsi="Palatino Linotype"/>
        </w:rPr>
        <w:lastRenderedPageBreak/>
        <w:t>cual se actualiza el supuesto jurídico, previsto en el artículo 12 de la Ley de la materia, anteriormente referido.</w:t>
      </w:r>
    </w:p>
    <w:p w14:paraId="4BAA0B5C" w14:textId="77777777" w:rsidR="00395349" w:rsidRPr="00D3359C" w:rsidRDefault="00F31895" w:rsidP="00F31895">
      <w:pPr>
        <w:spacing w:before="100" w:beforeAutospacing="1" w:after="100" w:afterAutospacing="1" w:line="360" w:lineRule="auto"/>
        <w:jc w:val="both"/>
        <w:rPr>
          <w:rFonts w:ascii="Palatino Linotype" w:hAnsi="Palatino Linotype" w:cs="Arial"/>
        </w:rPr>
      </w:pPr>
      <w:r w:rsidRPr="00D3359C">
        <w:rPr>
          <w:rFonts w:ascii="Palatino Linotype" w:hAnsi="Palatino Linotype" w:cs="Arial"/>
        </w:rPr>
        <w:t xml:space="preserve">Acto seguido, </w:t>
      </w:r>
      <w:r w:rsidRPr="00D3359C">
        <w:rPr>
          <w:rFonts w:ascii="Palatino Linotype" w:hAnsi="Palatino Linotype" w:cs="Arial"/>
          <w:b/>
        </w:rPr>
        <w:t xml:space="preserve">EL RECURRENTE </w:t>
      </w:r>
      <w:r w:rsidRPr="00D3359C">
        <w:rPr>
          <w:rFonts w:ascii="Palatino Linotype" w:hAnsi="Palatino Linotype" w:cs="Arial"/>
          <w:bCs/>
        </w:rPr>
        <w:t>inconforme con la respuesta</w:t>
      </w:r>
      <w:r w:rsidRPr="00D3359C">
        <w:rPr>
          <w:rFonts w:ascii="Palatino Linotype" w:hAnsi="Palatino Linotype" w:cs="Arial"/>
        </w:rPr>
        <w:t xml:space="preserve"> procedió a interponer el presente recurso de revisión, señalando </w:t>
      </w:r>
      <w:r w:rsidR="00395349" w:rsidRPr="00D3359C">
        <w:rPr>
          <w:rFonts w:ascii="Palatino Linotype" w:hAnsi="Palatino Linotype" w:cs="Arial"/>
        </w:rPr>
        <w:t>como acto impugnado:</w:t>
      </w:r>
    </w:p>
    <w:p w14:paraId="4BAA0B5D" w14:textId="77777777" w:rsidR="00395349" w:rsidRPr="00D3359C" w:rsidRDefault="00395349" w:rsidP="00395349">
      <w:pPr>
        <w:spacing w:before="100" w:beforeAutospacing="1" w:after="100" w:afterAutospacing="1"/>
        <w:ind w:left="709" w:right="709"/>
        <w:jc w:val="both"/>
        <w:rPr>
          <w:rFonts w:ascii="Palatino Linotype" w:hAnsi="Palatino Linotype" w:cs="Arial"/>
          <w:i/>
          <w:sz w:val="22"/>
          <w:szCs w:val="22"/>
          <w:lang w:eastAsia="es-MX"/>
        </w:rPr>
      </w:pPr>
      <w:r w:rsidRPr="00D3359C">
        <w:rPr>
          <w:rFonts w:ascii="Palatino Linotype" w:hAnsi="Palatino Linotype" w:cs="Arial"/>
          <w:i/>
          <w:sz w:val="22"/>
          <w:szCs w:val="22"/>
          <w:lang w:eastAsia="es-MX"/>
        </w:rPr>
        <w:t>“No obtuve respuesta a mi solicitud marcada con el número 00052/DIFTULTEPE/IP/2021.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 (Sic)</w:t>
      </w:r>
    </w:p>
    <w:p w14:paraId="4BAA0B5E" w14:textId="77777777" w:rsidR="00395349" w:rsidRPr="00D3359C" w:rsidRDefault="00395349" w:rsidP="00395349">
      <w:pPr>
        <w:pStyle w:val="Prrafodelista"/>
        <w:spacing w:before="100" w:beforeAutospacing="1" w:after="100" w:afterAutospacing="1" w:line="360" w:lineRule="auto"/>
        <w:ind w:left="0"/>
        <w:jc w:val="both"/>
        <w:rPr>
          <w:rFonts w:ascii="Palatino Linotype" w:hAnsi="Palatino Linotype"/>
        </w:rPr>
      </w:pPr>
      <w:r w:rsidRPr="00D3359C">
        <w:rPr>
          <w:rFonts w:ascii="Palatino Linotype" w:hAnsi="Palatino Linotype" w:cs="Arial"/>
        </w:rPr>
        <w:t>Asimismo</w:t>
      </w:r>
      <w:r w:rsidRPr="00D3359C">
        <w:rPr>
          <w:rFonts w:ascii="Palatino Linotype" w:hAnsi="Palatino Linotype"/>
        </w:rPr>
        <w:t>, indicó como razones o motivos de inconformidad:</w:t>
      </w:r>
    </w:p>
    <w:p w14:paraId="4BAA0B5F" w14:textId="77777777" w:rsidR="00395349" w:rsidRPr="00D3359C" w:rsidRDefault="00395349" w:rsidP="00395349">
      <w:pPr>
        <w:spacing w:before="100" w:beforeAutospacing="1" w:after="100" w:afterAutospacing="1"/>
        <w:ind w:left="709" w:right="709"/>
        <w:jc w:val="both"/>
        <w:rPr>
          <w:rFonts w:ascii="Palatino Linotype" w:hAnsi="Palatino Linotype" w:cs="Arial"/>
          <w:i/>
          <w:sz w:val="22"/>
          <w:szCs w:val="22"/>
          <w:lang w:eastAsia="es-MX"/>
        </w:rPr>
      </w:pPr>
      <w:r w:rsidRPr="00D3359C">
        <w:rPr>
          <w:rFonts w:ascii="Palatino Linotype" w:hAnsi="Palatino Linotype" w:cs="Arial"/>
          <w:i/>
          <w:sz w:val="22"/>
          <w:szCs w:val="22"/>
          <w:lang w:eastAsia="es-MX"/>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00052/DIFTULTEPE/IP/2021, que da motivo a este recurso legal y que pido sea revisado y sancionado por el pleno del INFOEM.” (Sic)</w:t>
      </w:r>
    </w:p>
    <w:p w14:paraId="4BAA0B60" w14:textId="326F03AB" w:rsidR="00F31895" w:rsidRPr="00D3359C" w:rsidRDefault="00F31895" w:rsidP="00F31895">
      <w:pPr>
        <w:spacing w:line="360" w:lineRule="auto"/>
        <w:jc w:val="both"/>
        <w:rPr>
          <w:rFonts w:ascii="Palatino Linotype" w:hAnsi="Palatino Linotype" w:cs="Arial"/>
        </w:rPr>
      </w:pPr>
      <w:r w:rsidRPr="00D3359C">
        <w:rPr>
          <w:rFonts w:ascii="Palatino Linotype" w:hAnsi="Palatino Linotype" w:cs="Arial"/>
        </w:rPr>
        <w:t>Al respecto,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67EC83EC" w14:textId="77777777" w:rsidR="00600581" w:rsidRPr="00D3359C" w:rsidRDefault="00600581" w:rsidP="00F31895">
      <w:pPr>
        <w:spacing w:line="360" w:lineRule="auto"/>
        <w:jc w:val="both"/>
        <w:rPr>
          <w:rFonts w:ascii="Palatino Linotype" w:hAnsi="Palatino Linotype" w:cs="Arial"/>
        </w:rPr>
      </w:pPr>
    </w:p>
    <w:p w14:paraId="4BAA0B61"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rPr>
        <w:t>“</w:t>
      </w:r>
      <w:r w:rsidRPr="00D3359C">
        <w:rPr>
          <w:rFonts w:ascii="Palatino Linotype" w:hAnsi="Palatino Linotype" w:cs="Arial"/>
          <w:b/>
          <w:i/>
          <w:sz w:val="22"/>
          <w:szCs w:val="22"/>
        </w:rPr>
        <w:t>Artículo 179</w:t>
      </w:r>
      <w:r w:rsidRPr="00D3359C">
        <w:rPr>
          <w:rFonts w:ascii="Palatino Linotype" w:hAnsi="Palatino Linotype" w:cs="Arial"/>
          <w:i/>
          <w:sz w:val="22"/>
          <w:szCs w:val="22"/>
        </w:rPr>
        <w:t>. El recurso de revisión es un medio de protección que la Ley otorga a los particulares, para hacer valer su derecho de acceso a la información pública, y procederá en contra de las siguientes causas:</w:t>
      </w:r>
    </w:p>
    <w:p w14:paraId="4BAA0B62" w14:textId="77777777" w:rsidR="00F31895" w:rsidRPr="00D3359C" w:rsidRDefault="00F31895" w:rsidP="00F31895">
      <w:pPr>
        <w:ind w:left="709" w:right="1183"/>
        <w:contextualSpacing/>
        <w:jc w:val="both"/>
        <w:rPr>
          <w:rFonts w:ascii="Palatino Linotype" w:hAnsi="Palatino Linotype" w:cs="Arial"/>
          <w:i/>
          <w:sz w:val="22"/>
          <w:szCs w:val="22"/>
        </w:rPr>
      </w:pPr>
    </w:p>
    <w:p w14:paraId="4BAA0B63"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I. La negativa a la información solicitada;</w:t>
      </w:r>
    </w:p>
    <w:p w14:paraId="4BAA0B64"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II. La clasificación de la información;</w:t>
      </w:r>
    </w:p>
    <w:p w14:paraId="4BAA0B65"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III. La declaración de inexistencia de la información;</w:t>
      </w:r>
    </w:p>
    <w:p w14:paraId="4BAA0B66"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IV. La declaración de incompetencia por el sujeto obligado;</w:t>
      </w:r>
    </w:p>
    <w:p w14:paraId="4BAA0B67"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V. La entrega de información incompleta;</w:t>
      </w:r>
    </w:p>
    <w:p w14:paraId="4BAA0B68"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VI. La entrega de información que no corresponda con lo solicitado;</w:t>
      </w:r>
    </w:p>
    <w:p w14:paraId="4BAA0B69"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VII. La falta de respuesta a una solicitud de acceso a la información;</w:t>
      </w:r>
    </w:p>
    <w:p w14:paraId="4BAA0B6A"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VIII. La notificación, entrega o puesta a disposición de información en una modalidad o formato distinto al solicitado;</w:t>
      </w:r>
    </w:p>
    <w:p w14:paraId="4BAA0B6B"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IX. La entrega o puesta a disposición de información en un formato incomprensible y/o no accesible para el solicitante;</w:t>
      </w:r>
    </w:p>
    <w:p w14:paraId="4BAA0B6C"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X. Los costos o tiempos de entrega de la información;</w:t>
      </w:r>
    </w:p>
    <w:p w14:paraId="4BAA0B6D"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XI. La falta de trámite a una solicitud;</w:t>
      </w:r>
    </w:p>
    <w:p w14:paraId="4BAA0B6E"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XII. La negativa a permitir la consulta directa de la información;</w:t>
      </w:r>
    </w:p>
    <w:p w14:paraId="4BAA0B6F"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XIII. La falta, deficiencia o insuficiencia de la fundamentación y/o motivación en la respuesta; y</w:t>
      </w:r>
    </w:p>
    <w:p w14:paraId="4BAA0B70"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XIV. La orientación a un trámite específico.</w:t>
      </w:r>
    </w:p>
    <w:p w14:paraId="4BAA0B71" w14:textId="77777777" w:rsidR="00F31895" w:rsidRPr="00D3359C" w:rsidRDefault="00F31895" w:rsidP="00F31895">
      <w:pPr>
        <w:ind w:left="709" w:right="1183"/>
        <w:contextualSpacing/>
        <w:jc w:val="both"/>
        <w:rPr>
          <w:rFonts w:ascii="Palatino Linotype" w:hAnsi="Palatino Linotype" w:cs="Arial"/>
          <w:i/>
          <w:sz w:val="22"/>
          <w:szCs w:val="22"/>
        </w:rPr>
      </w:pPr>
    </w:p>
    <w:p w14:paraId="4BAA0B72" w14:textId="77777777" w:rsidR="00F31895" w:rsidRPr="00D3359C" w:rsidRDefault="00F31895" w:rsidP="00F31895">
      <w:pPr>
        <w:ind w:left="709" w:right="1183"/>
        <w:contextualSpacing/>
        <w:jc w:val="both"/>
        <w:rPr>
          <w:rFonts w:ascii="Palatino Linotype" w:hAnsi="Palatino Linotype" w:cs="Arial"/>
          <w:i/>
          <w:sz w:val="22"/>
          <w:szCs w:val="22"/>
        </w:rPr>
      </w:pPr>
      <w:r w:rsidRPr="00D3359C">
        <w:rPr>
          <w:rFonts w:ascii="Palatino Linotype" w:hAnsi="Palatino Linotype" w:cs="Arial"/>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BAA0B73" w14:textId="77777777" w:rsidR="00F31895" w:rsidRPr="00D3359C" w:rsidRDefault="00F31895" w:rsidP="00F31895">
      <w:pPr>
        <w:spacing w:line="360" w:lineRule="auto"/>
        <w:ind w:left="709" w:right="1183"/>
        <w:jc w:val="both"/>
        <w:rPr>
          <w:rFonts w:ascii="Palatino Linotype" w:hAnsi="Palatino Linotype" w:cs="Arial"/>
          <w:i/>
        </w:rPr>
      </w:pPr>
    </w:p>
    <w:p w14:paraId="4BAA0B74" w14:textId="77777777" w:rsidR="00F31895" w:rsidRPr="00D3359C" w:rsidRDefault="00F31895" w:rsidP="00F31895">
      <w:pPr>
        <w:spacing w:line="360" w:lineRule="auto"/>
        <w:ind w:right="49"/>
        <w:jc w:val="both"/>
        <w:rPr>
          <w:rFonts w:ascii="Palatino Linotype" w:hAnsi="Palatino Linotype" w:cs="Arial"/>
        </w:rPr>
      </w:pPr>
      <w:r w:rsidRPr="00D3359C">
        <w:rPr>
          <w:rFonts w:ascii="Palatino Linotype" w:hAnsi="Palatino Linotype" w:cs="Arial"/>
        </w:rPr>
        <w:t xml:space="preserve">En tal virtud, al </w:t>
      </w:r>
      <w:r w:rsidRPr="00D3359C">
        <w:rPr>
          <w:rFonts w:ascii="Palatino Linotype" w:hAnsi="Palatino Linotype" w:cs="Arial"/>
          <w:b/>
        </w:rPr>
        <w:t>no actualizarse ninguno de los supuestos aludidos</w:t>
      </w:r>
      <w:r w:rsidRPr="00D3359C">
        <w:rPr>
          <w:rFonts w:ascii="Palatino Linotype" w:hAnsi="Palatino Linotype" w:cs="Arial"/>
        </w:rPr>
        <w:t xml:space="preserve">, puesto que no se desprenden razones o motivos de inconformidad tendentes a contravenir el contenido de la respuesta proporcionada por </w:t>
      </w:r>
      <w:r w:rsidRPr="00D3359C">
        <w:rPr>
          <w:rFonts w:ascii="Palatino Linotype" w:hAnsi="Palatino Linotype" w:cs="Arial"/>
          <w:b/>
        </w:rPr>
        <w:t>EL SUJETO OBLIGADO</w:t>
      </w:r>
      <w:r w:rsidRPr="00D3359C">
        <w:rPr>
          <w:rFonts w:ascii="Palatino Linotype" w:hAnsi="Palatino Linotype" w:cs="Arial"/>
        </w:rPr>
        <w:t>, este Instituto no tiene atribuciones para pronunciarse al respecto, lo que impide analizar las cuestiones de fondo del asunto; lo anterior, se refuerza con los criterios Jurisprudenciales que se cita a continuación:</w:t>
      </w:r>
    </w:p>
    <w:p w14:paraId="4BAA0B75" w14:textId="77777777" w:rsidR="00395349" w:rsidRPr="00D3359C" w:rsidRDefault="00395349" w:rsidP="00F31895">
      <w:pPr>
        <w:spacing w:line="360" w:lineRule="auto"/>
        <w:ind w:right="49"/>
        <w:jc w:val="both"/>
        <w:rPr>
          <w:rFonts w:ascii="Palatino Linotype" w:hAnsi="Palatino Linotype" w:cs="Arial"/>
        </w:rPr>
      </w:pPr>
    </w:p>
    <w:p w14:paraId="4BAA0B76" w14:textId="77777777" w:rsidR="00F31895" w:rsidRPr="00D3359C" w:rsidRDefault="00F31895" w:rsidP="00395349">
      <w:pPr>
        <w:pStyle w:val="Prrafodelista"/>
        <w:numPr>
          <w:ilvl w:val="0"/>
          <w:numId w:val="3"/>
        </w:numPr>
        <w:spacing w:line="360" w:lineRule="auto"/>
        <w:jc w:val="both"/>
        <w:rPr>
          <w:rFonts w:ascii="Palatino Linotype" w:hAnsi="Palatino Linotype" w:cs="Arial"/>
          <w:lang w:eastAsia="es-MX"/>
        </w:rPr>
      </w:pPr>
      <w:r w:rsidRPr="00D3359C">
        <w:rPr>
          <w:rFonts w:ascii="Palatino Linotype" w:hAnsi="Palatino Linotype" w:cs="Arial"/>
          <w:lang w:eastAsia="es-MX"/>
        </w:rPr>
        <w:lastRenderedPageBreak/>
        <w:t>El criterio jurisprudencial, emitido por el Primer Tribunal Colegiado en Materia Civil del Séptimo Circuito, encontrado en el Tomo XXIV, octubre de 2006, página 1191</w:t>
      </w:r>
      <w:bookmarkStart w:id="3" w:name="_Hlk68787734"/>
      <w:r w:rsidRPr="00D3359C">
        <w:rPr>
          <w:rFonts w:ascii="Palatino Linotype" w:hAnsi="Palatino Linotype" w:cs="Arial"/>
          <w:lang w:eastAsia="es-MX"/>
        </w:rPr>
        <w:t>, en el Semanario Judicial de la Federación y su Gaceta</w:t>
      </w:r>
      <w:bookmarkEnd w:id="3"/>
      <w:r w:rsidRPr="00D3359C">
        <w:rPr>
          <w:rFonts w:ascii="Palatino Linotype" w:hAnsi="Palatino Linotype" w:cs="Arial"/>
          <w:lang w:eastAsia="es-MX"/>
        </w:rPr>
        <w:t>, Novena Época, 174106, que en su tenor literal nos refiere lo siguiente:</w:t>
      </w:r>
    </w:p>
    <w:p w14:paraId="4BAA0B77" w14:textId="77777777" w:rsidR="00F31895" w:rsidRPr="00D3359C" w:rsidRDefault="00F31895" w:rsidP="00F31895">
      <w:pPr>
        <w:ind w:right="901"/>
        <w:jc w:val="both"/>
        <w:rPr>
          <w:rFonts w:ascii="Palatino Linotype" w:hAnsi="Palatino Linotype" w:cs="Arial"/>
          <w:i/>
        </w:rPr>
      </w:pPr>
    </w:p>
    <w:p w14:paraId="4BAA0B78" w14:textId="77777777" w:rsidR="00F31895" w:rsidRPr="00D3359C" w:rsidRDefault="00F31895" w:rsidP="00F31895">
      <w:pPr>
        <w:ind w:left="851" w:right="1185"/>
        <w:contextualSpacing/>
        <w:jc w:val="both"/>
        <w:rPr>
          <w:rFonts w:ascii="Palatino Linotype" w:hAnsi="Palatino Linotype" w:cs="Arial"/>
          <w:i/>
          <w:sz w:val="22"/>
          <w:szCs w:val="22"/>
        </w:rPr>
      </w:pPr>
      <w:r w:rsidRPr="00D3359C">
        <w:rPr>
          <w:rFonts w:ascii="Palatino Linotype" w:hAnsi="Palatino Linotype" w:cs="Arial"/>
          <w:b/>
          <w:bCs/>
          <w:i/>
          <w:sz w:val="22"/>
          <w:szCs w:val="22"/>
        </w:rPr>
        <w:t xml:space="preserve">DEMANDA DE AMPARO. SU DESECHAMIENTO IMPIDE ESTUDIAR LAS CUESTIONES DE FONDO. </w:t>
      </w:r>
      <w:r w:rsidRPr="00D3359C">
        <w:rPr>
          <w:rFonts w:ascii="Palatino Linotype" w:hAnsi="Palatino Linotype" w:cs="Arial"/>
          <w:i/>
          <w:sz w:val="22"/>
          <w:szCs w:val="22"/>
        </w:rPr>
        <w:t xml:space="preserve"> El artículo 73 de la Ley de Amparo establece de manera enunciativa, no limitativa, las causas de improcedencia del juicio de garantías; por tanto, si la demanda relativa se desecha por actualizarse cualquiera de las hipótesis previstas por el precepto invocado, no causa agravio la falta de estudio de los argumentos tendientes a demostrar la violación de garantías individuales por el acto reclamado de las autoridades responsables, en razón de que el desechamiento de la demanda impide el análisis ulterior de los problemas de fondo.</w:t>
      </w:r>
    </w:p>
    <w:p w14:paraId="4BAA0B79" w14:textId="77777777" w:rsidR="00F31895" w:rsidRPr="00D3359C" w:rsidRDefault="00F31895" w:rsidP="00F31895">
      <w:pPr>
        <w:ind w:left="851" w:right="1185"/>
        <w:contextualSpacing/>
        <w:jc w:val="both"/>
        <w:rPr>
          <w:rFonts w:ascii="Palatino Linotype" w:hAnsi="Palatino Linotype" w:cs="Arial"/>
          <w:i/>
          <w:sz w:val="22"/>
          <w:szCs w:val="22"/>
        </w:rPr>
      </w:pPr>
    </w:p>
    <w:p w14:paraId="4BAA0B7A" w14:textId="77777777" w:rsidR="00F31895" w:rsidRPr="00D3359C" w:rsidRDefault="00F31895" w:rsidP="00F31895">
      <w:pPr>
        <w:ind w:left="851" w:right="1185"/>
        <w:contextualSpacing/>
        <w:jc w:val="both"/>
        <w:rPr>
          <w:rFonts w:ascii="Palatino Linotype" w:hAnsi="Palatino Linotype" w:cs="Arial"/>
          <w:i/>
          <w:sz w:val="22"/>
          <w:szCs w:val="22"/>
        </w:rPr>
      </w:pPr>
      <w:bookmarkStart w:id="4" w:name="_Hlk68786360"/>
      <w:r w:rsidRPr="00D3359C">
        <w:rPr>
          <w:rFonts w:ascii="Palatino Linotype" w:hAnsi="Palatino Linotype" w:cs="Arial"/>
          <w:i/>
          <w:sz w:val="22"/>
          <w:szCs w:val="22"/>
        </w:rPr>
        <w:t>PRIMER TRIBUNAL COLEGIADO EN MATERIA CIVIL DEL SÉPTIMO CIRCUITO.</w:t>
      </w:r>
    </w:p>
    <w:p w14:paraId="4BAA0B7B" w14:textId="77777777" w:rsidR="00F31895" w:rsidRPr="00D3359C" w:rsidRDefault="00F31895" w:rsidP="00F31895">
      <w:pPr>
        <w:ind w:left="851" w:right="1185"/>
        <w:contextualSpacing/>
        <w:jc w:val="both"/>
        <w:rPr>
          <w:rFonts w:ascii="Palatino Linotype" w:hAnsi="Palatino Linotype" w:cs="Arial"/>
          <w:i/>
          <w:sz w:val="22"/>
          <w:szCs w:val="22"/>
        </w:rPr>
      </w:pPr>
    </w:p>
    <w:bookmarkEnd w:id="4"/>
    <w:p w14:paraId="4BAA0B7C" w14:textId="77777777" w:rsidR="00F31895" w:rsidRPr="00D3359C" w:rsidRDefault="00F31895" w:rsidP="00F31895">
      <w:pPr>
        <w:ind w:left="851" w:right="1185"/>
        <w:contextualSpacing/>
        <w:jc w:val="both"/>
        <w:rPr>
          <w:rFonts w:ascii="Palatino Linotype" w:hAnsi="Palatino Linotype" w:cs="Arial"/>
          <w:i/>
          <w:sz w:val="22"/>
          <w:szCs w:val="22"/>
        </w:rPr>
      </w:pPr>
      <w:r w:rsidRPr="00D3359C">
        <w:rPr>
          <w:rFonts w:ascii="Palatino Linotype" w:hAnsi="Palatino Linotype" w:cs="Arial"/>
          <w:i/>
          <w:sz w:val="22"/>
          <w:szCs w:val="22"/>
        </w:rPr>
        <w:t>Amparo en revisión (improcedencia) 97/96. Domingo Muguira Revuelta. 7 de marzo de 1996. Unanimidad de votos. Ponente: Adrián Avendaño Constantino. Secretario: Arnulfo Joachin Gómez.</w:t>
      </w:r>
    </w:p>
    <w:p w14:paraId="4BAA0B7D" w14:textId="77777777" w:rsidR="00F31895" w:rsidRPr="00D3359C" w:rsidRDefault="00F31895" w:rsidP="00F31895">
      <w:pPr>
        <w:ind w:left="851" w:right="1185"/>
        <w:contextualSpacing/>
        <w:jc w:val="both"/>
        <w:rPr>
          <w:rFonts w:ascii="Palatino Linotype" w:hAnsi="Palatino Linotype" w:cs="Arial"/>
          <w:i/>
          <w:sz w:val="22"/>
          <w:szCs w:val="22"/>
        </w:rPr>
      </w:pPr>
    </w:p>
    <w:p w14:paraId="4BAA0B7E" w14:textId="77777777" w:rsidR="00F31895" w:rsidRPr="00D3359C" w:rsidRDefault="00F31895" w:rsidP="00F31895">
      <w:pPr>
        <w:ind w:left="851" w:right="1185"/>
        <w:contextualSpacing/>
        <w:jc w:val="both"/>
        <w:rPr>
          <w:rFonts w:ascii="Palatino Linotype" w:hAnsi="Palatino Linotype" w:cs="Arial"/>
          <w:i/>
          <w:sz w:val="22"/>
          <w:szCs w:val="22"/>
        </w:rPr>
      </w:pPr>
      <w:r w:rsidRPr="00D3359C">
        <w:rPr>
          <w:rFonts w:ascii="Palatino Linotype" w:hAnsi="Palatino Linotype" w:cs="Arial"/>
          <w:i/>
          <w:sz w:val="22"/>
          <w:szCs w:val="22"/>
        </w:rPr>
        <w:t>Amparo en revisión (improcedencia) 215/2004. Hilda Avendaño Zurita. 23 de junio de 2004. Unanimidad de votos. Ponente: Clemente Gerardo Ochoa Cantú. Secretario: Irving Iván Verdeja Higareda.</w:t>
      </w:r>
    </w:p>
    <w:p w14:paraId="4BAA0B7F" w14:textId="77777777" w:rsidR="00F31895" w:rsidRPr="00D3359C" w:rsidRDefault="00F31895" w:rsidP="00F31895">
      <w:pPr>
        <w:ind w:left="851" w:right="1185"/>
        <w:contextualSpacing/>
        <w:jc w:val="both"/>
        <w:rPr>
          <w:rFonts w:ascii="Palatino Linotype" w:hAnsi="Palatino Linotype" w:cs="Arial"/>
          <w:i/>
          <w:sz w:val="22"/>
          <w:szCs w:val="22"/>
        </w:rPr>
      </w:pPr>
    </w:p>
    <w:p w14:paraId="4BAA0B80" w14:textId="77777777" w:rsidR="00F31895" w:rsidRPr="00D3359C" w:rsidRDefault="00F31895" w:rsidP="00F31895">
      <w:pPr>
        <w:ind w:left="851" w:right="1185"/>
        <w:contextualSpacing/>
        <w:jc w:val="both"/>
        <w:rPr>
          <w:rFonts w:ascii="Palatino Linotype" w:hAnsi="Palatino Linotype" w:cs="Arial"/>
          <w:i/>
          <w:sz w:val="22"/>
          <w:szCs w:val="22"/>
        </w:rPr>
      </w:pPr>
      <w:r w:rsidRPr="00D3359C">
        <w:rPr>
          <w:rFonts w:ascii="Palatino Linotype" w:hAnsi="Palatino Linotype" w:cs="Arial"/>
          <w:i/>
          <w:sz w:val="22"/>
          <w:szCs w:val="22"/>
        </w:rPr>
        <w:t>Amparo en revisión (improcedencia) 276/2004. Juez Segundo de Primera Instancia de Pánuco, Veracruz. 10 de agosto de 2004. Unanimidad de votos. Ponente: Enrique Ramón García Vasco. Secretaria: Unda Fabiola Gómez Higareda.</w:t>
      </w:r>
    </w:p>
    <w:p w14:paraId="4BAA0B81" w14:textId="77777777" w:rsidR="00F31895" w:rsidRPr="00D3359C" w:rsidRDefault="00F31895" w:rsidP="00F31895">
      <w:pPr>
        <w:ind w:left="851" w:right="1185"/>
        <w:contextualSpacing/>
        <w:jc w:val="both"/>
        <w:rPr>
          <w:rFonts w:ascii="Palatino Linotype" w:hAnsi="Palatino Linotype" w:cs="Arial"/>
          <w:i/>
          <w:sz w:val="22"/>
          <w:szCs w:val="22"/>
        </w:rPr>
      </w:pPr>
    </w:p>
    <w:p w14:paraId="4BAA0B82" w14:textId="77777777" w:rsidR="00F31895" w:rsidRPr="00D3359C" w:rsidRDefault="00F31895" w:rsidP="00F31895">
      <w:pPr>
        <w:ind w:left="851" w:right="1185"/>
        <w:contextualSpacing/>
        <w:jc w:val="both"/>
        <w:rPr>
          <w:rFonts w:ascii="Palatino Linotype" w:hAnsi="Palatino Linotype" w:cs="Arial"/>
          <w:i/>
          <w:sz w:val="22"/>
          <w:szCs w:val="22"/>
        </w:rPr>
      </w:pPr>
      <w:r w:rsidRPr="00D3359C">
        <w:rPr>
          <w:rFonts w:ascii="Palatino Linotype" w:hAnsi="Palatino Linotype" w:cs="Arial"/>
          <w:i/>
          <w:sz w:val="22"/>
          <w:szCs w:val="22"/>
        </w:rPr>
        <w:t>Amparo en revisión (improcedencia) 596/2005. Graciela Sánchez Hernández. 27 de enero de 2006. Unanimidad de votos. Ponente: Clemente Gerardo Ochoa Cantú. Secretario: Rogelio Eduardo Leal Mota.</w:t>
      </w:r>
    </w:p>
    <w:p w14:paraId="4BAA0B83" w14:textId="77777777" w:rsidR="00F31895" w:rsidRPr="00D3359C" w:rsidRDefault="00F31895" w:rsidP="00F31895">
      <w:pPr>
        <w:ind w:left="851" w:right="901"/>
        <w:jc w:val="both"/>
        <w:rPr>
          <w:rFonts w:ascii="Palatino Linotype" w:hAnsi="Palatino Linotype" w:cs="Arial"/>
          <w:i/>
          <w:sz w:val="22"/>
          <w:szCs w:val="22"/>
        </w:rPr>
      </w:pPr>
    </w:p>
    <w:p w14:paraId="4BAA0B84" w14:textId="77777777" w:rsidR="00F31895" w:rsidRPr="00D3359C" w:rsidRDefault="00F31895" w:rsidP="00F31895">
      <w:pPr>
        <w:ind w:left="851" w:right="901"/>
        <w:jc w:val="both"/>
        <w:rPr>
          <w:rFonts w:ascii="Palatino Linotype" w:hAnsi="Palatino Linotype" w:cs="Arial"/>
          <w:i/>
          <w:sz w:val="22"/>
          <w:szCs w:val="22"/>
        </w:rPr>
      </w:pPr>
      <w:r w:rsidRPr="00D3359C">
        <w:rPr>
          <w:rFonts w:ascii="Palatino Linotype" w:hAnsi="Palatino Linotype" w:cs="Arial"/>
          <w:i/>
          <w:sz w:val="22"/>
          <w:szCs w:val="22"/>
        </w:rPr>
        <w:lastRenderedPageBreak/>
        <w:t>Amparo en revisión (improcedencia) 204/2006. María Esther Juncal Loces. 31 de mayo de 2006. Unanimidad de votos. Ponente: Clemente Gerardo Ochoa Cantú. Secretario: Rogelio Eduardo Leal Mota.</w:t>
      </w:r>
    </w:p>
    <w:p w14:paraId="4BAA0B85" w14:textId="77777777" w:rsidR="00F31895" w:rsidRPr="00D3359C" w:rsidRDefault="00F31895" w:rsidP="00F31895">
      <w:pPr>
        <w:ind w:right="901"/>
        <w:jc w:val="both"/>
        <w:rPr>
          <w:rFonts w:ascii="Palatino Linotype" w:eastAsiaTheme="minorHAnsi" w:hAnsi="Palatino Linotype" w:cs="Arial"/>
          <w:color w:val="000000"/>
          <w:lang w:eastAsia="en-US"/>
        </w:rPr>
      </w:pPr>
    </w:p>
    <w:p w14:paraId="4BAA0B86" w14:textId="778DD58A" w:rsidR="00F31895" w:rsidRPr="00D3359C" w:rsidRDefault="00F31895" w:rsidP="00395349">
      <w:pPr>
        <w:pStyle w:val="Prrafodelista"/>
        <w:numPr>
          <w:ilvl w:val="0"/>
          <w:numId w:val="3"/>
        </w:numPr>
        <w:spacing w:line="360" w:lineRule="auto"/>
        <w:jc w:val="both"/>
        <w:rPr>
          <w:rFonts w:ascii="Palatino Linotype" w:eastAsiaTheme="minorHAnsi" w:hAnsi="Palatino Linotype" w:cs="Arial"/>
          <w:color w:val="000000"/>
          <w:lang w:eastAsia="en-US"/>
        </w:rPr>
      </w:pPr>
      <w:r w:rsidRPr="00D3359C">
        <w:rPr>
          <w:rFonts w:ascii="Palatino Linotype" w:eastAsiaTheme="minorHAnsi" w:hAnsi="Palatino Linotype" w:cs="Arial"/>
          <w:color w:val="000000"/>
          <w:lang w:eastAsia="en-US"/>
        </w:rPr>
        <w:t>Por su parte, el criterio jurisprudencial emitido por el Tercer Tribunal Colegiado de Circuito del Centro Auxiliar de la Tercera Región, con Residencia en Guadalajara, Jalisco, encontrado en el libro 21, de agosto de 2015, Tomo II, página 1927, en el Semanario Judicial de la Federación y su Gaceta, Décima Época,</w:t>
      </w:r>
      <w:r w:rsidRPr="00D3359C">
        <w:rPr>
          <w:rFonts w:eastAsiaTheme="minorHAnsi"/>
        </w:rPr>
        <w:t xml:space="preserve"> </w:t>
      </w:r>
      <w:r w:rsidRPr="00D3359C">
        <w:rPr>
          <w:rFonts w:ascii="Palatino Linotype" w:eastAsiaTheme="minorHAnsi" w:hAnsi="Palatino Linotype" w:cs="Arial"/>
          <w:color w:val="000000"/>
          <w:lang w:eastAsia="en-US"/>
        </w:rPr>
        <w:t>2009835, nos dice lo siguiente:</w:t>
      </w:r>
    </w:p>
    <w:p w14:paraId="1746030D" w14:textId="77777777" w:rsidR="00600581" w:rsidRPr="00D3359C" w:rsidRDefault="00600581" w:rsidP="00600581">
      <w:pPr>
        <w:pStyle w:val="Prrafodelista"/>
        <w:spacing w:line="360" w:lineRule="auto"/>
        <w:ind w:left="720"/>
        <w:jc w:val="both"/>
        <w:rPr>
          <w:rFonts w:ascii="Palatino Linotype" w:eastAsiaTheme="minorHAnsi" w:hAnsi="Palatino Linotype" w:cs="Arial"/>
          <w:color w:val="000000"/>
          <w:lang w:eastAsia="en-US"/>
        </w:rPr>
      </w:pPr>
    </w:p>
    <w:p w14:paraId="4BAA0B87" w14:textId="77777777" w:rsidR="00F31895" w:rsidRPr="00D3359C" w:rsidRDefault="00F31895" w:rsidP="00F31895">
      <w:pPr>
        <w:spacing w:after="100" w:afterAutospacing="1"/>
        <w:ind w:left="851" w:right="1041"/>
        <w:contextualSpacing/>
        <w:jc w:val="both"/>
        <w:rPr>
          <w:rFonts w:ascii="Palatino Linotype" w:eastAsiaTheme="minorHAnsi" w:hAnsi="Palatino Linotype" w:cs="Arial"/>
          <w:i/>
          <w:iCs/>
          <w:color w:val="000000"/>
          <w:sz w:val="22"/>
          <w:szCs w:val="22"/>
          <w:lang w:eastAsia="en-US"/>
        </w:rPr>
      </w:pPr>
      <w:r w:rsidRPr="00D3359C">
        <w:rPr>
          <w:rFonts w:ascii="Palatino Linotype" w:eastAsiaTheme="minorHAnsi" w:hAnsi="Palatino Linotype" w:cs="Arial"/>
          <w:i/>
          <w:iCs/>
          <w:color w:val="000000"/>
          <w:sz w:val="22"/>
          <w:szCs w:val="22"/>
          <w:lang w:eastAsia="en-US"/>
        </w:rPr>
        <w:t>“</w:t>
      </w:r>
      <w:r w:rsidRPr="00D3359C">
        <w:rPr>
          <w:rFonts w:ascii="Palatino Linotype" w:eastAsiaTheme="minorHAnsi" w:hAnsi="Palatino Linotype" w:cs="Arial"/>
          <w:b/>
          <w:bCs/>
          <w:i/>
          <w:iCs/>
          <w:color w:val="000000"/>
          <w:sz w:val="22"/>
          <w:szCs w:val="22"/>
          <w:lang w:eastAsia="en-US"/>
        </w:rPr>
        <w:t>CONCEPTOS DE VIOLACIÓN EN EL AMPARO DIRECTO. SON INFUNDADOS AQUELLOS QUE REPROCHAN A LA AUTORIDAD RESPONSABLE LA OMISIÓN DE ANÁLISIS DE LOS CONCEPTOS DE NULIDAD DE FONDO, SI EN EL JUICIO CONTENCIOSO ADMINISTRATIVO FEDERAL SE SOBRESEYÓ AL ACTUALIZARSE UNA CAUSA DE IMPROCEDENCIA CUYO ESTUDIO ES PREFERENTE Y DE OFICIO.</w:t>
      </w:r>
      <w:r w:rsidRPr="00D3359C">
        <w:rPr>
          <w:rFonts w:ascii="Palatino Linotype" w:eastAsiaTheme="minorHAnsi" w:hAnsi="Palatino Linotype" w:cs="Arial"/>
          <w:i/>
          <w:iCs/>
          <w:color w:val="000000"/>
          <w:sz w:val="22"/>
          <w:szCs w:val="22"/>
          <w:lang w:eastAsia="en-US"/>
        </w:rPr>
        <w:t xml:space="preserve"> El sobreseimiento es una institución de carácter procesal que pone fin al juicio, al aparecer una causa que impide se resuelva la cuestión de fondo planteada, por lo cual no existe ninguna declaración del juzgador sobre la legalidad o ilegalidad del acto impugnado y se dejan las cosas en el estado que se encontraban antes de la presentación de la demanda. Ahora bien, el artículo 9o. de la Ley Federal de Procedimiento Contencioso Administrativo dispone que el sobreseimiento en el juicio procederá, entre otros casos, cuando durante éste aparezca o sobrevenga alguna de las causas de improcedencia a que se refiere el artículo 8o. de dicho ordenamiento; de ahí que si en el juicio contencioso administrativo federal se decretó el sobreseimiento al actualizarse una causa de improcedencia cuyo estudio es preferente y de oficio, el resolutor no puede analizar los conceptos de nulidad encaminados a demostrar la ilegalidad de la resolución reclamada, que constituye el problema de fondo. Consecuentemente, cuando en el amparo directo se reprocha a la autoridad responsable la omisión de ese análisis, los conceptos de violación relativos son infundados.</w:t>
      </w:r>
    </w:p>
    <w:p w14:paraId="4BAA0B88" w14:textId="77777777" w:rsidR="00F31895" w:rsidRPr="00D3359C" w:rsidRDefault="00F31895" w:rsidP="00F31895">
      <w:pPr>
        <w:spacing w:after="100" w:afterAutospacing="1"/>
        <w:ind w:left="851" w:right="1041"/>
        <w:contextualSpacing/>
        <w:jc w:val="both"/>
        <w:rPr>
          <w:rFonts w:ascii="Palatino Linotype" w:eastAsiaTheme="minorHAnsi" w:hAnsi="Palatino Linotype" w:cs="Arial"/>
          <w:i/>
          <w:iCs/>
          <w:color w:val="000000"/>
          <w:sz w:val="22"/>
          <w:szCs w:val="22"/>
          <w:lang w:eastAsia="en-US"/>
        </w:rPr>
      </w:pPr>
    </w:p>
    <w:p w14:paraId="4BAA0B89" w14:textId="77777777" w:rsidR="00F31895" w:rsidRPr="00D3359C" w:rsidRDefault="00F31895" w:rsidP="00F31895">
      <w:pPr>
        <w:spacing w:after="100" w:afterAutospacing="1"/>
        <w:ind w:left="851" w:right="1041"/>
        <w:contextualSpacing/>
        <w:jc w:val="both"/>
        <w:rPr>
          <w:rFonts w:ascii="Palatino Linotype" w:eastAsiaTheme="minorHAnsi" w:hAnsi="Palatino Linotype" w:cs="Arial"/>
          <w:i/>
          <w:iCs/>
          <w:color w:val="000000"/>
          <w:sz w:val="22"/>
          <w:szCs w:val="22"/>
          <w:lang w:eastAsia="en-US"/>
        </w:rPr>
      </w:pPr>
      <w:bookmarkStart w:id="5" w:name="_Hlk68787525"/>
      <w:r w:rsidRPr="00D3359C">
        <w:rPr>
          <w:rFonts w:ascii="Palatino Linotype" w:eastAsiaTheme="minorHAnsi" w:hAnsi="Palatino Linotype" w:cs="Arial"/>
          <w:i/>
          <w:iCs/>
          <w:color w:val="000000"/>
          <w:sz w:val="22"/>
          <w:szCs w:val="22"/>
          <w:lang w:eastAsia="en-US"/>
        </w:rPr>
        <w:lastRenderedPageBreak/>
        <w:t>TERCER TRIBUNAL COLEGIADO DE CIRCUITO DEL CENTRO AUXILIAR DE LA TERCERA REGIÓN, CON RESIDENCIA EN GUADALAJARA, JALISCO.</w:t>
      </w:r>
    </w:p>
    <w:bookmarkEnd w:id="5"/>
    <w:p w14:paraId="4BAA0B8A" w14:textId="77777777" w:rsidR="00F31895" w:rsidRPr="00D3359C" w:rsidRDefault="00F31895" w:rsidP="00F31895">
      <w:pPr>
        <w:spacing w:after="100" w:afterAutospacing="1"/>
        <w:ind w:left="851" w:right="1041"/>
        <w:contextualSpacing/>
        <w:jc w:val="both"/>
        <w:rPr>
          <w:rFonts w:ascii="Palatino Linotype" w:eastAsiaTheme="minorHAnsi" w:hAnsi="Palatino Linotype" w:cs="Arial"/>
          <w:i/>
          <w:iCs/>
          <w:color w:val="000000"/>
          <w:sz w:val="22"/>
          <w:szCs w:val="22"/>
          <w:lang w:eastAsia="en-US"/>
        </w:rPr>
      </w:pPr>
    </w:p>
    <w:p w14:paraId="4BAA0B8B" w14:textId="77777777" w:rsidR="00F31895" w:rsidRPr="00D3359C" w:rsidRDefault="00F31895" w:rsidP="00F31895">
      <w:pPr>
        <w:spacing w:after="100" w:afterAutospacing="1"/>
        <w:ind w:left="851" w:right="1041"/>
        <w:contextualSpacing/>
        <w:jc w:val="both"/>
        <w:rPr>
          <w:rFonts w:ascii="Palatino Linotype" w:eastAsiaTheme="minorHAnsi" w:hAnsi="Palatino Linotype" w:cs="Arial"/>
          <w:i/>
          <w:iCs/>
          <w:color w:val="000000"/>
          <w:sz w:val="22"/>
          <w:szCs w:val="22"/>
          <w:lang w:eastAsia="en-US"/>
        </w:rPr>
      </w:pPr>
      <w:r w:rsidRPr="00D3359C">
        <w:rPr>
          <w:rFonts w:ascii="Palatino Linotype" w:eastAsiaTheme="minorHAnsi" w:hAnsi="Palatino Linotype" w:cs="Arial"/>
          <w:i/>
          <w:iCs/>
          <w:color w:val="000000"/>
          <w:sz w:val="22"/>
          <w:szCs w:val="22"/>
          <w:lang w:eastAsia="en-US"/>
        </w:rPr>
        <w:t>Amparo directo 73/2014 (cuaderno auxiliar 288/2014) del índice del Primer Tribunal Colegiado en Materia Administrativa del Tercer Circuito, con apoyo del Tercer Tribunal Colegiado de Circuito del Centro Auxiliar de la Tercera Región, con residencia en Guadalajara, Jalisco. Corporativo Logiccom, S.A. de C.V. 29 de mayo de 2014. Unanimidad de votos. Ponente: Mario Alberto Domínguez Trejo. Secretaria: Karla Lizet Rosales Márquez.</w:t>
      </w:r>
    </w:p>
    <w:p w14:paraId="4BAA0B8C" w14:textId="77777777" w:rsidR="00F31895" w:rsidRPr="00D3359C" w:rsidRDefault="00F31895" w:rsidP="00F31895">
      <w:pPr>
        <w:spacing w:after="100" w:afterAutospacing="1"/>
        <w:ind w:left="851" w:right="1041"/>
        <w:contextualSpacing/>
        <w:jc w:val="both"/>
        <w:rPr>
          <w:rFonts w:ascii="Palatino Linotype" w:eastAsiaTheme="minorHAnsi" w:hAnsi="Palatino Linotype" w:cs="Arial"/>
          <w:i/>
          <w:iCs/>
          <w:color w:val="000000"/>
          <w:sz w:val="22"/>
          <w:szCs w:val="22"/>
          <w:lang w:eastAsia="en-US"/>
        </w:rPr>
      </w:pPr>
    </w:p>
    <w:p w14:paraId="4BAA0B8D" w14:textId="77777777" w:rsidR="00F31895" w:rsidRPr="00D3359C" w:rsidRDefault="00F31895" w:rsidP="00F31895">
      <w:pPr>
        <w:spacing w:after="100" w:afterAutospacing="1"/>
        <w:ind w:left="851" w:right="1041"/>
        <w:contextualSpacing/>
        <w:jc w:val="both"/>
        <w:rPr>
          <w:rFonts w:ascii="Palatino Linotype" w:eastAsiaTheme="minorHAnsi" w:hAnsi="Palatino Linotype" w:cs="Arial"/>
          <w:i/>
          <w:iCs/>
          <w:color w:val="000000"/>
          <w:sz w:val="22"/>
          <w:szCs w:val="22"/>
          <w:lang w:eastAsia="en-US"/>
        </w:rPr>
      </w:pPr>
      <w:r w:rsidRPr="00D3359C">
        <w:rPr>
          <w:rFonts w:ascii="Palatino Linotype" w:eastAsiaTheme="minorHAnsi" w:hAnsi="Palatino Linotype" w:cs="Arial"/>
          <w:i/>
          <w:iCs/>
          <w:color w:val="000000"/>
          <w:sz w:val="22"/>
          <w:szCs w:val="22"/>
          <w:lang w:eastAsia="en-US"/>
        </w:rPr>
        <w:t>Amparo directo 207/2014 (cuaderno auxiliar 744/2014) del índice del Primer Tribunal Colegiado en Materia Administrativa del Tercer Circuito, con apoyo del Tercer Tribunal Colegiado de Circuito del Centro Auxiliar de la Tercera Región, con residencia en Guadalajara, Jalisco. Avaquim, S.A. de C.V. 2 de octubre de 2014. Unanimidad de votos. Ponente: Griselda Guadalupe Guzmán López. Secretario: Juan José Magaña Ornelas.</w:t>
      </w:r>
    </w:p>
    <w:p w14:paraId="4BAA0B8E" w14:textId="77777777" w:rsidR="00F31895" w:rsidRPr="00D3359C" w:rsidRDefault="00F31895" w:rsidP="00F31895">
      <w:pPr>
        <w:spacing w:after="100" w:afterAutospacing="1"/>
        <w:ind w:left="851" w:right="1041"/>
        <w:contextualSpacing/>
        <w:jc w:val="both"/>
        <w:rPr>
          <w:rFonts w:ascii="Palatino Linotype" w:eastAsiaTheme="minorHAnsi" w:hAnsi="Palatino Linotype" w:cs="Arial"/>
          <w:i/>
          <w:iCs/>
          <w:color w:val="000000"/>
          <w:sz w:val="22"/>
          <w:szCs w:val="22"/>
          <w:lang w:eastAsia="en-US"/>
        </w:rPr>
      </w:pPr>
      <w:r w:rsidRPr="00D3359C">
        <w:rPr>
          <w:rFonts w:ascii="Palatino Linotype" w:eastAsiaTheme="minorHAnsi" w:hAnsi="Palatino Linotype" w:cs="Arial"/>
          <w:i/>
          <w:iCs/>
          <w:color w:val="000000"/>
          <w:sz w:val="22"/>
          <w:szCs w:val="22"/>
          <w:lang w:eastAsia="en-US"/>
        </w:rPr>
        <w:t>Amparo directo 319/2014 (cuaderno auxiliar 848/2014) del índice del Primer Tribunal Colegiado en Materia Administrativa del Tercer Circuito, con apoyo del Tercer Tribunal Colegiado de Circuito del Centro Auxiliar de la Tercera Región, con residencia en Guadalajara, Jalisco. Chubb de México Compañía Afianzadora, S.A. de C.V. 13 de noviembre de 2014. Unanimidad de votos. Ponente: Mario Alberto Domínguez Trejo. Secretario: Francisco Javier García Contreras.</w:t>
      </w:r>
    </w:p>
    <w:p w14:paraId="4BAA0B8F" w14:textId="77777777" w:rsidR="00F31895" w:rsidRPr="00D3359C" w:rsidRDefault="00F31895" w:rsidP="00F31895">
      <w:pPr>
        <w:spacing w:after="100" w:afterAutospacing="1"/>
        <w:ind w:left="851" w:right="1041"/>
        <w:contextualSpacing/>
        <w:jc w:val="both"/>
        <w:rPr>
          <w:rFonts w:ascii="Palatino Linotype" w:eastAsiaTheme="minorHAnsi" w:hAnsi="Palatino Linotype" w:cs="Arial"/>
          <w:i/>
          <w:iCs/>
          <w:color w:val="000000"/>
          <w:sz w:val="22"/>
          <w:szCs w:val="22"/>
          <w:lang w:eastAsia="en-US"/>
        </w:rPr>
      </w:pPr>
    </w:p>
    <w:p w14:paraId="4BAA0B90" w14:textId="77777777" w:rsidR="00F31895" w:rsidRPr="00D3359C" w:rsidRDefault="00F31895" w:rsidP="00F31895">
      <w:pPr>
        <w:spacing w:after="100" w:afterAutospacing="1"/>
        <w:ind w:left="851" w:right="1041"/>
        <w:contextualSpacing/>
        <w:jc w:val="both"/>
        <w:rPr>
          <w:rFonts w:ascii="Palatino Linotype" w:eastAsiaTheme="minorHAnsi" w:hAnsi="Palatino Linotype" w:cs="Arial"/>
          <w:i/>
          <w:iCs/>
          <w:color w:val="000000"/>
          <w:sz w:val="22"/>
          <w:szCs w:val="22"/>
          <w:lang w:eastAsia="en-US"/>
        </w:rPr>
      </w:pPr>
      <w:r w:rsidRPr="00D3359C">
        <w:rPr>
          <w:rFonts w:ascii="Palatino Linotype" w:eastAsiaTheme="minorHAnsi" w:hAnsi="Palatino Linotype" w:cs="Arial"/>
          <w:i/>
          <w:iCs/>
          <w:color w:val="000000"/>
          <w:sz w:val="22"/>
          <w:szCs w:val="22"/>
          <w:lang w:eastAsia="en-US"/>
        </w:rPr>
        <w:t>Amparo directo 397/2014 (cuaderno auxiliar 865/2014) del índice del Primer Tribunal Colegiado en Materia Administrativa del Tercer Circuito, con apoyo del Tercer Tribunal Colegiado de Circuito del Centro Auxiliar de la Tercera Región, con residencia en Guadalajara, Jalisco. José Luis Castillo Casillas. 28 de noviembre de 2014. Unanimidad de votos. Ponente: Mario Alberto Domíguez Trejo. Secretario: Francisco Javier García Contreras.</w:t>
      </w:r>
    </w:p>
    <w:p w14:paraId="4BAA0B91" w14:textId="77777777" w:rsidR="00F31895" w:rsidRPr="00D3359C" w:rsidRDefault="00F31895" w:rsidP="00F31895">
      <w:pPr>
        <w:spacing w:after="100" w:afterAutospacing="1"/>
        <w:ind w:left="851" w:right="1041"/>
        <w:contextualSpacing/>
        <w:jc w:val="both"/>
        <w:rPr>
          <w:rFonts w:ascii="Palatino Linotype" w:eastAsiaTheme="minorHAnsi" w:hAnsi="Palatino Linotype" w:cs="Arial"/>
          <w:i/>
          <w:iCs/>
          <w:color w:val="000000"/>
          <w:sz w:val="22"/>
          <w:szCs w:val="22"/>
          <w:lang w:eastAsia="en-US"/>
        </w:rPr>
      </w:pPr>
    </w:p>
    <w:p w14:paraId="4BAA0B92" w14:textId="77777777" w:rsidR="00F31895" w:rsidRPr="00D3359C" w:rsidRDefault="00F31895" w:rsidP="00395349">
      <w:pPr>
        <w:ind w:left="851" w:right="1043"/>
        <w:jc w:val="both"/>
        <w:rPr>
          <w:rFonts w:ascii="Palatino Linotype" w:eastAsiaTheme="minorHAnsi" w:hAnsi="Palatino Linotype" w:cs="Arial"/>
          <w:i/>
          <w:iCs/>
          <w:color w:val="000000"/>
          <w:sz w:val="22"/>
          <w:szCs w:val="22"/>
          <w:lang w:eastAsia="en-US"/>
        </w:rPr>
      </w:pPr>
      <w:r w:rsidRPr="00D3359C">
        <w:rPr>
          <w:rFonts w:ascii="Palatino Linotype" w:eastAsiaTheme="minorHAnsi" w:hAnsi="Palatino Linotype" w:cs="Arial"/>
          <w:i/>
          <w:iCs/>
          <w:color w:val="000000"/>
          <w:sz w:val="22"/>
          <w:szCs w:val="22"/>
          <w:lang w:eastAsia="en-US"/>
        </w:rPr>
        <w:t>Amparo directo 578/2014 (cuaderno auxiliar 18/2015) del índice del Primer Tribunal Colegiado en Materia Administrativa del Tercer Circuito, con apoyo del Tercer Tribunal Colegiado de Circuito del Centro Auxiliar de la Tercera Región, con residencia en Guadalajara, Jalisco. 20 de febrero de 2015. Unanimidad de votos. Ponente: Mario Alberto Domínguez Trejo. Secretaria: Alma Rosa Enríquez Torres.”</w:t>
      </w:r>
    </w:p>
    <w:p w14:paraId="4BAA0B93" w14:textId="77777777" w:rsidR="00F31895" w:rsidRPr="00D3359C" w:rsidRDefault="00F31895" w:rsidP="00395349">
      <w:pPr>
        <w:spacing w:before="100" w:beforeAutospacing="1" w:after="100" w:afterAutospacing="1" w:line="360" w:lineRule="auto"/>
        <w:ind w:right="51"/>
        <w:jc w:val="both"/>
        <w:rPr>
          <w:rFonts w:ascii="Palatino Linotype" w:hAnsi="Palatino Linotype" w:cs="Arial"/>
        </w:rPr>
      </w:pPr>
      <w:r w:rsidRPr="00D3359C">
        <w:rPr>
          <w:rFonts w:ascii="Palatino Linotype" w:hAnsi="Palatino Linotype" w:cs="Arial"/>
        </w:rPr>
        <w:lastRenderedPageBreak/>
        <w:t xml:space="preserve">Es así que, los argumentos expuestos permiten a este Órgano Garante determinar que la inconformidad planteada por </w:t>
      </w:r>
      <w:r w:rsidRPr="00D3359C">
        <w:rPr>
          <w:rFonts w:ascii="Palatino Linotype" w:hAnsi="Palatino Linotype" w:cs="Arial"/>
          <w:b/>
        </w:rPr>
        <w:t>EL RECURRENTE</w:t>
      </w:r>
      <w:r w:rsidRPr="00D3359C">
        <w:rPr>
          <w:rFonts w:ascii="Palatino Linotype" w:hAnsi="Palatino Linotype" w:cs="Arial"/>
        </w:rPr>
        <w:t xml:space="preserve"> no es materia de análisis dado a que </w:t>
      </w:r>
      <w:r w:rsidR="00395349" w:rsidRPr="00D3359C">
        <w:rPr>
          <w:rFonts w:ascii="Palatino Linotype" w:hAnsi="Palatino Linotype" w:cs="Arial"/>
        </w:rPr>
        <w:t xml:space="preserve">del análisis a ésta se pudo advertir que </w:t>
      </w:r>
      <w:r w:rsidRPr="00D3359C">
        <w:rPr>
          <w:rFonts w:ascii="Palatino Linotype" w:hAnsi="Palatino Linotype" w:cs="Arial"/>
        </w:rPr>
        <w:t xml:space="preserve">no guarda relación con la respuesta otorgada por </w:t>
      </w:r>
      <w:r w:rsidRPr="00D3359C">
        <w:rPr>
          <w:rFonts w:ascii="Palatino Linotype" w:hAnsi="Palatino Linotype" w:cs="Arial"/>
          <w:b/>
        </w:rPr>
        <w:t>EL SUJETO OBLIGADO</w:t>
      </w:r>
      <w:r w:rsidRPr="00D3359C">
        <w:rPr>
          <w:rFonts w:ascii="Palatino Linotype" w:hAnsi="Palatino Linotype" w:cs="Arial"/>
        </w:rPr>
        <w:t xml:space="preserve">, motivo por el cual resulta procedente </w:t>
      </w:r>
      <w:r w:rsidRPr="00D3359C">
        <w:rPr>
          <w:rFonts w:ascii="Palatino Linotype" w:hAnsi="Palatino Linotype" w:cs="Arial"/>
          <w:b/>
        </w:rPr>
        <w:t>sobreseer</w:t>
      </w:r>
      <w:r w:rsidRPr="00D3359C">
        <w:rPr>
          <w:rFonts w:ascii="Palatino Linotype" w:hAnsi="Palatino Linotype" w:cs="Arial"/>
        </w:rPr>
        <w:t xml:space="preserve"> el recurso de revisión número </w:t>
      </w:r>
      <w:r w:rsidR="00395349" w:rsidRPr="00D3359C">
        <w:rPr>
          <w:rFonts w:ascii="Palatino Linotype" w:hAnsi="Palatino Linotype" w:cs="Arial"/>
          <w:b/>
        </w:rPr>
        <w:t>01447</w:t>
      </w:r>
      <w:r w:rsidRPr="00D3359C">
        <w:rPr>
          <w:rFonts w:ascii="Palatino Linotype" w:hAnsi="Palatino Linotype" w:cs="Arial"/>
          <w:b/>
        </w:rPr>
        <w:t>/INFOEM/IP/RR/2021</w:t>
      </w:r>
      <w:r w:rsidRPr="00D3359C">
        <w:rPr>
          <w:rFonts w:ascii="Palatino Linotype" w:hAnsi="Palatino Linotype" w:cs="Arial"/>
        </w:rPr>
        <w:t xml:space="preserve"> por improcedente, toda vez que se actualiza la fracción V</w:t>
      </w:r>
      <w:r w:rsidRPr="00D3359C">
        <w:rPr>
          <w:rStyle w:val="Refdenotaalpie"/>
          <w:rFonts w:ascii="Palatino Linotype" w:hAnsi="Palatino Linotype" w:cs="Arial"/>
        </w:rPr>
        <w:footnoteReference w:id="1"/>
      </w:r>
      <w:r w:rsidRPr="00D3359C">
        <w:rPr>
          <w:rFonts w:ascii="Palatino Linotype" w:hAnsi="Palatino Linotype" w:cs="Arial"/>
        </w:rPr>
        <w:t xml:space="preserve"> del ordinal 192 de la Ley de Transparencia y Acceso a la Información Pública del Estado de México y Municipios, en c</w:t>
      </w:r>
      <w:r w:rsidR="00B41136" w:rsidRPr="00D3359C">
        <w:rPr>
          <w:rFonts w:ascii="Palatino Linotype" w:hAnsi="Palatino Linotype" w:cs="Arial"/>
        </w:rPr>
        <w:t xml:space="preserve">orrelación con el diverso 191, fracción III </w:t>
      </w:r>
      <w:r w:rsidRPr="00D3359C">
        <w:rPr>
          <w:rFonts w:ascii="Palatino Linotype" w:hAnsi="Palatino Linotype" w:cs="Arial"/>
        </w:rPr>
        <w:t>del mismo ordenamiento.</w:t>
      </w:r>
    </w:p>
    <w:p w14:paraId="4BAA0B94" w14:textId="53D3D94F" w:rsidR="00F31895" w:rsidRPr="00D3359C" w:rsidRDefault="00F31895" w:rsidP="00F31895">
      <w:pPr>
        <w:spacing w:line="360" w:lineRule="auto"/>
        <w:ind w:right="49"/>
        <w:jc w:val="both"/>
        <w:rPr>
          <w:rFonts w:ascii="Palatino Linotype" w:hAnsi="Palatino Linotype" w:cs="Arial"/>
        </w:rPr>
      </w:pPr>
      <w:r w:rsidRPr="00D3359C">
        <w:rPr>
          <w:rFonts w:ascii="Palatino Linotype" w:hAnsi="Palatino Linotype" w:cs="Arial"/>
        </w:rPr>
        <w:t xml:space="preserve">En ese sentido, si bien refiere como razones o motivos de inconformidad </w:t>
      </w:r>
      <w:r w:rsidRPr="00D3359C">
        <w:rPr>
          <w:rFonts w:ascii="Palatino Linotype" w:hAnsi="Palatino Linotype" w:cs="Arial"/>
          <w:i/>
        </w:rPr>
        <w:t>Una vez que se agotaron los plazos legales para que la información me fuera entregada hago valer este derecho a través o fundamentado en los artículos 163, 178, 179 y 176 de la Ley en la materia vigente en el Estado de México,</w:t>
      </w:r>
      <w:r w:rsidRPr="00D3359C">
        <w:rPr>
          <w:rFonts w:ascii="Palatino Linotype" w:hAnsi="Palatino Linotype" w:cs="Arial"/>
        </w:rPr>
        <w:t xml:space="preserve"> mismos que resultan </w:t>
      </w:r>
      <w:r w:rsidR="00304A4F" w:rsidRPr="00D3359C">
        <w:rPr>
          <w:rFonts w:ascii="Palatino Linotype" w:hAnsi="Palatino Linotype" w:cs="Arial"/>
        </w:rPr>
        <w:t xml:space="preserve">inoperantes </w:t>
      </w:r>
      <w:r w:rsidRPr="00D3359C">
        <w:rPr>
          <w:rFonts w:ascii="Palatino Linotype" w:hAnsi="Palatino Linotype" w:cs="Arial"/>
        </w:rPr>
        <w:t xml:space="preserve">dado a que </w:t>
      </w:r>
      <w:r w:rsidR="00B41136" w:rsidRPr="00D3359C">
        <w:rPr>
          <w:rFonts w:ascii="Palatino Linotype" w:hAnsi="Palatino Linotype" w:cs="Arial"/>
          <w:b/>
        </w:rPr>
        <w:t>EL SUJETO OBLIGADO</w:t>
      </w:r>
      <w:r w:rsidR="00B41136" w:rsidRPr="00D3359C">
        <w:rPr>
          <w:rFonts w:ascii="Palatino Linotype" w:hAnsi="Palatino Linotype" w:cs="Arial"/>
        </w:rPr>
        <w:t xml:space="preserve"> </w:t>
      </w:r>
      <w:r w:rsidRPr="00D3359C">
        <w:rPr>
          <w:rFonts w:ascii="Palatino Linotype" w:hAnsi="Palatino Linotype" w:cs="Arial"/>
        </w:rPr>
        <w:t xml:space="preserve">si rindió respuesta dentro del plazo legal previsto, aunado a que no manifiesta argumentos tendientes a controvertir la </w:t>
      </w:r>
      <w:r w:rsidR="00B41136" w:rsidRPr="00D3359C">
        <w:rPr>
          <w:rFonts w:ascii="Palatino Linotype" w:hAnsi="Palatino Linotype" w:cs="Arial"/>
        </w:rPr>
        <w:t>misma</w:t>
      </w:r>
      <w:r w:rsidRPr="00D3359C">
        <w:rPr>
          <w:rFonts w:ascii="Palatino Linotype" w:hAnsi="Palatino Linotype" w:cs="Arial"/>
        </w:rPr>
        <w:t xml:space="preserve">, sin que se pueda suplir por parte de este Instituto, ya que la suplencia implica subsanar sin que se modifiquen o altere lo impugnado. </w:t>
      </w:r>
    </w:p>
    <w:p w14:paraId="06E9E516" w14:textId="4D7ED32B" w:rsidR="00830203" w:rsidRPr="00D3359C" w:rsidRDefault="00830203" w:rsidP="00830203">
      <w:pPr>
        <w:spacing w:before="100" w:beforeAutospacing="1" w:after="100" w:afterAutospacing="1" w:line="360" w:lineRule="auto"/>
        <w:ind w:right="51"/>
        <w:jc w:val="both"/>
        <w:rPr>
          <w:rFonts w:ascii="Palatino Linotype" w:hAnsi="Palatino Linotype" w:cs="Arial"/>
        </w:rPr>
      </w:pPr>
      <w:r w:rsidRPr="00D3359C">
        <w:rPr>
          <w:rFonts w:ascii="Palatino Linotype" w:hAnsi="Palatino Linotype" w:cs="Arial"/>
        </w:rPr>
        <w:t>Aunado a lo anterior, se considera menester hacer mención de la tesis I.4o.A.41 K (10a.), misma que nos dicta lo siguiente:</w:t>
      </w:r>
    </w:p>
    <w:p w14:paraId="1577FA08" w14:textId="77BA73CA" w:rsidR="00830203" w:rsidRPr="00D3359C" w:rsidRDefault="00830203" w:rsidP="00830203">
      <w:pPr>
        <w:ind w:left="851" w:right="1043"/>
        <w:jc w:val="both"/>
        <w:rPr>
          <w:rFonts w:ascii="Palatino Linotype" w:eastAsiaTheme="minorHAnsi" w:hAnsi="Palatino Linotype" w:cs="Arial"/>
          <w:b/>
          <w:i/>
          <w:iCs/>
          <w:color w:val="000000"/>
          <w:sz w:val="22"/>
          <w:szCs w:val="22"/>
          <w:lang w:eastAsia="en-US"/>
        </w:rPr>
      </w:pPr>
      <w:r w:rsidRPr="00D3359C">
        <w:rPr>
          <w:rFonts w:ascii="Palatino Linotype" w:eastAsiaTheme="minorHAnsi" w:hAnsi="Palatino Linotype" w:cs="Arial"/>
          <w:b/>
          <w:i/>
          <w:iCs/>
          <w:color w:val="000000"/>
          <w:sz w:val="22"/>
          <w:szCs w:val="22"/>
          <w:lang w:eastAsia="en-US"/>
        </w:rPr>
        <w:t>“SUPLENCIA DE LA QUEJA DEFICIENTE EN EL AMPARO. NO TIENE EL ALCANCE DE QUE EL JUZGADOR CONSIDERE COMO ACTOS RECLAMADOS, AQUELLOS QUE EL QUEJOSO NO SEÑALÓ.</w:t>
      </w:r>
    </w:p>
    <w:p w14:paraId="1BC165F7" w14:textId="77777777" w:rsidR="00830203" w:rsidRPr="00D3359C" w:rsidRDefault="00830203" w:rsidP="00830203">
      <w:pPr>
        <w:ind w:left="851" w:right="1043"/>
        <w:jc w:val="both"/>
        <w:rPr>
          <w:rFonts w:ascii="Palatino Linotype" w:eastAsiaTheme="minorHAnsi" w:hAnsi="Palatino Linotype" w:cs="Arial"/>
          <w:i/>
          <w:iCs/>
          <w:color w:val="000000"/>
          <w:sz w:val="22"/>
          <w:szCs w:val="22"/>
          <w:lang w:eastAsia="en-US"/>
        </w:rPr>
      </w:pPr>
    </w:p>
    <w:p w14:paraId="5B5B5195" w14:textId="20A8E42D" w:rsidR="00830203" w:rsidRPr="00D3359C" w:rsidRDefault="00830203" w:rsidP="00830203">
      <w:pPr>
        <w:ind w:left="851" w:right="1043"/>
        <w:jc w:val="both"/>
        <w:rPr>
          <w:rFonts w:ascii="Palatino Linotype" w:eastAsiaTheme="minorHAnsi" w:hAnsi="Palatino Linotype" w:cs="Arial"/>
          <w:i/>
          <w:iCs/>
          <w:color w:val="000000"/>
          <w:sz w:val="22"/>
          <w:szCs w:val="22"/>
          <w:lang w:eastAsia="en-US"/>
        </w:rPr>
      </w:pPr>
      <w:r w:rsidRPr="00D3359C">
        <w:rPr>
          <w:rFonts w:ascii="Palatino Linotype" w:eastAsiaTheme="minorHAnsi" w:hAnsi="Palatino Linotype" w:cs="Arial"/>
          <w:i/>
          <w:iCs/>
          <w:color w:val="000000"/>
          <w:sz w:val="22"/>
          <w:szCs w:val="22"/>
          <w:lang w:eastAsia="en-US"/>
        </w:rPr>
        <w:lastRenderedPageBreak/>
        <w:t xml:space="preserve">De conformidad con el artículo 79 de la Ley de Amparo y la jurisprudencia P./J.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w:t>
      </w:r>
      <w:r w:rsidRPr="00D3359C">
        <w:rPr>
          <w:rFonts w:ascii="Palatino Linotype" w:eastAsiaTheme="minorHAnsi" w:hAnsi="Palatino Linotype" w:cs="Arial"/>
          <w:b/>
          <w:i/>
          <w:iCs/>
          <w:color w:val="000000"/>
          <w:sz w:val="22"/>
          <w:szCs w:val="22"/>
          <w:lang w:eastAsia="en-US"/>
        </w:rPr>
        <w:t>se limita a mejorar, subsanar e invocar los conceptos de violación o agravios, entendidos como las lesiones que irroguen los actos reclamados o la sentencia.</w:t>
      </w:r>
      <w:r w:rsidRPr="00D3359C">
        <w:rPr>
          <w:rFonts w:ascii="Palatino Linotype" w:eastAsiaTheme="minorHAnsi" w:hAnsi="Palatino Linotype" w:cs="Arial"/>
          <w:i/>
          <w:iCs/>
          <w:color w:val="000000"/>
          <w:sz w:val="22"/>
          <w:szCs w:val="22"/>
          <w:lang w:eastAsia="en-US"/>
        </w:rPr>
        <w:t xml:space="preserve"> Por tanto, esa institución </w:t>
      </w:r>
      <w:r w:rsidRPr="00D3359C">
        <w:rPr>
          <w:rFonts w:ascii="Palatino Linotype" w:eastAsiaTheme="minorHAnsi" w:hAnsi="Palatino Linotype" w:cs="Arial"/>
          <w:b/>
          <w:i/>
          <w:iCs/>
          <w:color w:val="000000"/>
          <w:sz w:val="22"/>
          <w:szCs w:val="22"/>
          <w:lang w:eastAsia="en-US"/>
        </w:rPr>
        <w:t>no tiene el alcance de que el juzgador considere como actos reclamados, aquellos que el quejoso no señaló,</w:t>
      </w:r>
      <w:r w:rsidRPr="00D3359C">
        <w:rPr>
          <w:rFonts w:ascii="Palatino Linotype" w:eastAsiaTheme="minorHAnsi" w:hAnsi="Palatino Linotype" w:cs="Arial"/>
          <w:i/>
          <w:iCs/>
          <w:color w:val="000000"/>
          <w:sz w:val="22"/>
          <w:szCs w:val="22"/>
          <w:lang w:eastAsia="en-US"/>
        </w:rPr>
        <w:t xml:space="preserve"> pues incluso el artículo 114, fracción II, en relación con el diverso 108, fracción IV, ambos de la propia ley, dispone que el órgano jurisdiccional debe requerir al promovente para que aclare su demanda cuando omita expresar los actos que de cada autoridad reclame y, si no cumple la prevención, no puede subsanarse esa deficiencia.</w:t>
      </w:r>
    </w:p>
    <w:p w14:paraId="384A3B95" w14:textId="77777777" w:rsidR="00830203" w:rsidRPr="00D3359C" w:rsidRDefault="00830203" w:rsidP="00830203">
      <w:pPr>
        <w:ind w:left="851" w:right="1043"/>
        <w:jc w:val="both"/>
        <w:rPr>
          <w:rFonts w:ascii="Palatino Linotype" w:eastAsiaTheme="minorHAnsi" w:hAnsi="Palatino Linotype" w:cs="Arial"/>
          <w:i/>
          <w:iCs/>
          <w:color w:val="000000"/>
          <w:sz w:val="22"/>
          <w:szCs w:val="22"/>
          <w:lang w:eastAsia="en-US"/>
        </w:rPr>
      </w:pPr>
    </w:p>
    <w:p w14:paraId="56DE13C2" w14:textId="7C6F5231" w:rsidR="00830203" w:rsidRPr="00D3359C" w:rsidRDefault="00830203" w:rsidP="00830203">
      <w:pPr>
        <w:ind w:left="851" w:right="1043"/>
        <w:jc w:val="both"/>
        <w:rPr>
          <w:rFonts w:ascii="Palatino Linotype" w:eastAsiaTheme="minorHAnsi" w:hAnsi="Palatino Linotype" w:cs="Arial"/>
          <w:i/>
          <w:iCs/>
          <w:color w:val="000000"/>
          <w:sz w:val="22"/>
          <w:szCs w:val="22"/>
          <w:lang w:eastAsia="en-US"/>
        </w:rPr>
      </w:pPr>
      <w:r w:rsidRPr="00D3359C">
        <w:rPr>
          <w:rFonts w:ascii="Palatino Linotype" w:eastAsiaTheme="minorHAnsi" w:hAnsi="Palatino Linotype" w:cs="Arial"/>
          <w:i/>
          <w:iCs/>
          <w:color w:val="000000"/>
          <w:sz w:val="22"/>
          <w:szCs w:val="22"/>
          <w:lang w:eastAsia="en-US"/>
        </w:rPr>
        <w:t>CUARTO TRIBUNAL COLEGIADO EN MATERIA ADMINISTRATIVA DEL PRIMER CIRCUITO.</w:t>
      </w:r>
    </w:p>
    <w:p w14:paraId="329BBD7E" w14:textId="77777777" w:rsidR="00830203" w:rsidRPr="00D3359C" w:rsidRDefault="00830203" w:rsidP="00830203">
      <w:pPr>
        <w:ind w:left="851" w:right="1043"/>
        <w:jc w:val="both"/>
        <w:rPr>
          <w:rFonts w:ascii="Palatino Linotype" w:eastAsiaTheme="minorHAnsi" w:hAnsi="Palatino Linotype" w:cs="Arial"/>
          <w:i/>
          <w:iCs/>
          <w:color w:val="000000"/>
          <w:sz w:val="22"/>
          <w:szCs w:val="22"/>
          <w:lang w:eastAsia="en-US"/>
        </w:rPr>
      </w:pPr>
    </w:p>
    <w:p w14:paraId="1A52FAE1" w14:textId="7765D432" w:rsidR="00830203" w:rsidRPr="00D3359C" w:rsidRDefault="00830203" w:rsidP="00830203">
      <w:pPr>
        <w:ind w:left="851" w:right="1043"/>
        <w:jc w:val="both"/>
        <w:rPr>
          <w:rFonts w:ascii="Palatino Linotype" w:eastAsiaTheme="minorHAnsi" w:hAnsi="Palatino Linotype" w:cs="Arial"/>
          <w:i/>
          <w:iCs/>
          <w:color w:val="000000"/>
          <w:sz w:val="22"/>
          <w:szCs w:val="22"/>
          <w:lang w:eastAsia="en-US"/>
        </w:rPr>
      </w:pPr>
      <w:r w:rsidRPr="00D3359C">
        <w:rPr>
          <w:rFonts w:ascii="Palatino Linotype" w:eastAsiaTheme="minorHAnsi" w:hAnsi="Palatino Linotype" w:cs="Arial"/>
          <w:i/>
          <w:iCs/>
          <w:color w:val="000000"/>
          <w:sz w:val="22"/>
          <w:szCs w:val="22"/>
          <w:lang w:eastAsia="en-US"/>
        </w:rPr>
        <w:t>Amparo en revisión 528/2017. Ernesto Benítez Nieto. 11 de octubre de 2018. Unanimidad de votos. Ponente: Jean Claude Tron Petit. Secretario: José Arturo Ramírez Becerra.</w:t>
      </w:r>
    </w:p>
    <w:p w14:paraId="12DC9062" w14:textId="77777777" w:rsidR="00830203" w:rsidRPr="00D3359C" w:rsidRDefault="00830203" w:rsidP="00830203">
      <w:pPr>
        <w:ind w:left="851" w:right="1043"/>
        <w:jc w:val="both"/>
        <w:rPr>
          <w:rFonts w:ascii="Palatino Linotype" w:eastAsiaTheme="minorHAnsi" w:hAnsi="Palatino Linotype" w:cs="Arial"/>
          <w:i/>
          <w:iCs/>
          <w:color w:val="000000"/>
          <w:sz w:val="22"/>
          <w:szCs w:val="22"/>
          <w:lang w:eastAsia="en-US"/>
        </w:rPr>
      </w:pPr>
    </w:p>
    <w:p w14:paraId="067FA4AA" w14:textId="69E9A018" w:rsidR="00830203" w:rsidRPr="00D3359C" w:rsidRDefault="00830203" w:rsidP="00830203">
      <w:pPr>
        <w:ind w:left="851" w:right="1043"/>
        <w:jc w:val="both"/>
        <w:rPr>
          <w:rFonts w:ascii="Palatino Linotype" w:eastAsiaTheme="minorHAnsi" w:hAnsi="Palatino Linotype" w:cs="Arial"/>
          <w:i/>
          <w:iCs/>
          <w:color w:val="000000"/>
          <w:sz w:val="22"/>
          <w:szCs w:val="22"/>
          <w:lang w:eastAsia="en-US"/>
        </w:rPr>
      </w:pPr>
      <w:r w:rsidRPr="00D3359C">
        <w:rPr>
          <w:rFonts w:ascii="Palatino Linotype" w:eastAsiaTheme="minorHAnsi" w:hAnsi="Palatino Linotype" w:cs="Arial"/>
          <w:i/>
          <w:iCs/>
          <w:color w:val="000000"/>
          <w:sz w:val="22"/>
          <w:szCs w:val="22"/>
          <w:lang w:eastAsia="en-US"/>
        </w:rPr>
        <w:t xml:space="preserve">Nota: La tesis de jurisprudencia P./J. 7/2017 (10a.) citada, aparece publicada en el Semanario Judicial de la Federación del viernes 12 de mayo de 2017 a las 10:17 horas y en la Gaceta del Semanario Judicial de la Federación, Décima Época, Libro 42, Tomo I, mayo de 2017, página 12.” </w:t>
      </w:r>
    </w:p>
    <w:p w14:paraId="42AF9E8C" w14:textId="77777777" w:rsidR="00830203" w:rsidRPr="00D3359C" w:rsidRDefault="00830203" w:rsidP="00830203">
      <w:pPr>
        <w:ind w:left="851" w:right="1043"/>
        <w:jc w:val="both"/>
        <w:rPr>
          <w:rFonts w:ascii="Palatino Linotype" w:eastAsiaTheme="minorHAnsi" w:hAnsi="Palatino Linotype" w:cs="Arial"/>
          <w:i/>
          <w:iCs/>
          <w:color w:val="000000"/>
          <w:sz w:val="22"/>
          <w:szCs w:val="22"/>
          <w:lang w:eastAsia="en-US"/>
        </w:rPr>
      </w:pPr>
    </w:p>
    <w:p w14:paraId="666234ED" w14:textId="5DA9F0D6" w:rsidR="00830203" w:rsidRPr="00D3359C" w:rsidRDefault="00830203" w:rsidP="00830203">
      <w:pPr>
        <w:ind w:left="851" w:right="1043"/>
        <w:jc w:val="both"/>
        <w:rPr>
          <w:rFonts w:ascii="Palatino Linotype" w:eastAsiaTheme="minorHAnsi" w:hAnsi="Palatino Linotype" w:cs="Arial"/>
          <w:i/>
          <w:iCs/>
          <w:color w:val="000000"/>
          <w:sz w:val="22"/>
          <w:szCs w:val="22"/>
          <w:lang w:eastAsia="en-US"/>
        </w:rPr>
      </w:pPr>
      <w:r w:rsidRPr="00D3359C">
        <w:rPr>
          <w:rFonts w:ascii="Palatino Linotype" w:eastAsiaTheme="minorHAnsi" w:hAnsi="Palatino Linotype" w:cs="Arial"/>
          <w:i/>
          <w:iCs/>
          <w:color w:val="000000"/>
          <w:sz w:val="22"/>
          <w:szCs w:val="22"/>
          <w:lang w:eastAsia="en-US"/>
        </w:rPr>
        <w:t>(Énfasis añadido)</w:t>
      </w:r>
    </w:p>
    <w:p w14:paraId="4BAA0B96" w14:textId="77777777" w:rsidR="00F31895" w:rsidRPr="00D3359C" w:rsidRDefault="00F31895" w:rsidP="0083020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3359C">
        <w:rPr>
          <w:rFonts w:ascii="Palatino Linotype" w:eastAsia="Calibri" w:hAnsi="Palatino Linotype" w:cs="Arial"/>
          <w:color w:val="000000" w:themeColor="text1"/>
        </w:rPr>
        <w:t xml:space="preserve">Así, con </w:t>
      </w:r>
      <w:r w:rsidRPr="00D3359C">
        <w:rPr>
          <w:rFonts w:ascii="Palatino Linotype" w:hAnsi="Palatino Linotype" w:cs="Arial"/>
          <w:color w:val="000000" w:themeColor="text1"/>
        </w:rPr>
        <w:t>fundamento</w:t>
      </w:r>
      <w:r w:rsidRPr="00D3359C">
        <w:rPr>
          <w:rFonts w:ascii="Palatino Linotype" w:eastAsia="Calibri" w:hAnsi="Palatino Linotype" w:cs="Arial"/>
          <w:color w:val="000000" w:themeColor="text1"/>
        </w:rPr>
        <w:t xml:space="preserve"> en lo prescrito en los artículos 5, párrafos </w:t>
      </w:r>
      <w:bookmarkStart w:id="6" w:name="_Hlk65874252"/>
      <w:r w:rsidRPr="00D3359C">
        <w:rPr>
          <w:rFonts w:ascii="Palatino Linotype" w:eastAsia="Calibri" w:hAnsi="Palatino Linotype" w:cs="Arial"/>
          <w:color w:val="000000" w:themeColor="text1"/>
        </w:rPr>
        <w:t>trigésimo, trigésimo primero y trigésimo segundo</w:t>
      </w:r>
      <w:bookmarkEnd w:id="6"/>
      <w:r w:rsidRPr="00D3359C">
        <w:rPr>
          <w:rFonts w:ascii="Palatino Linotype" w:hAnsi="Palatino Linotype" w:cs="Arial"/>
          <w:color w:val="000000" w:themeColor="text1"/>
        </w:rPr>
        <w:t>,</w:t>
      </w:r>
      <w:r w:rsidRPr="00D3359C">
        <w:rPr>
          <w:rFonts w:ascii="Palatino Linotype" w:hAnsi="Palatino Linotype"/>
          <w:color w:val="000000" w:themeColor="text1"/>
        </w:rPr>
        <w:t xml:space="preserve"> fracciones IV y V,</w:t>
      </w:r>
      <w:r w:rsidRPr="00D3359C">
        <w:rPr>
          <w:rFonts w:ascii="Palatino Linotype" w:eastAsia="Calibri" w:hAnsi="Palatino Linotype" w:cs="Arial"/>
          <w:color w:val="000000" w:themeColor="text1"/>
        </w:rPr>
        <w:t xml:space="preserve"> de la Constitución Política del Estado Libre y Soberano de </w:t>
      </w:r>
      <w:r w:rsidRPr="00D3359C">
        <w:rPr>
          <w:rFonts w:ascii="Palatino Linotype" w:hAnsi="Palatino Linotype" w:cs="Arial"/>
          <w:color w:val="000000" w:themeColor="text1"/>
        </w:rPr>
        <w:t>México</w:t>
      </w:r>
      <w:r w:rsidRPr="00D3359C">
        <w:rPr>
          <w:rFonts w:ascii="Palatino Linotype" w:eastAsia="Calibri" w:hAnsi="Palatino Linotype" w:cs="Arial"/>
          <w:color w:val="000000" w:themeColor="text1"/>
        </w:rPr>
        <w:t xml:space="preserve">, y los artículos </w:t>
      </w:r>
      <w:r w:rsidRPr="00D3359C">
        <w:rPr>
          <w:rFonts w:ascii="Palatino Linotype" w:hAnsi="Palatino Linotype"/>
          <w:color w:val="000000" w:themeColor="text1"/>
        </w:rPr>
        <w:t xml:space="preserve">2, </w:t>
      </w:r>
      <w:r w:rsidRPr="00D3359C">
        <w:rPr>
          <w:rFonts w:ascii="Palatino Linotype" w:hAnsi="Palatino Linotype" w:cs="Arial"/>
          <w:color w:val="000000" w:themeColor="text1"/>
        </w:rPr>
        <w:t>fracción</w:t>
      </w:r>
      <w:r w:rsidRPr="00D3359C">
        <w:rPr>
          <w:rFonts w:ascii="Palatino Linotype" w:hAnsi="Palatino Linotype"/>
          <w:color w:val="000000" w:themeColor="text1"/>
        </w:rPr>
        <w:t xml:space="preserve"> II, 9, </w:t>
      </w:r>
      <w:r w:rsidRPr="00D3359C">
        <w:rPr>
          <w:rFonts w:ascii="Palatino Linotype" w:hAnsi="Palatino Linotype" w:cs="Arial"/>
          <w:color w:val="000000" w:themeColor="text1"/>
        </w:rPr>
        <w:t>29</w:t>
      </w:r>
      <w:r w:rsidRPr="00D3359C">
        <w:rPr>
          <w:rFonts w:ascii="Palatino Linotype" w:hAnsi="Palatino Linotype"/>
          <w:color w:val="000000" w:themeColor="text1"/>
        </w:rPr>
        <w:t xml:space="preserve">, 36, fracciones I y II, </w:t>
      </w:r>
      <w:r w:rsidRPr="00D3359C">
        <w:rPr>
          <w:rFonts w:ascii="Palatino Linotype" w:hAnsi="Palatino Linotype"/>
          <w:color w:val="000000" w:themeColor="text1"/>
        </w:rPr>
        <w:lastRenderedPageBreak/>
        <w:t>176, 178, 179, 181, 185, fracción I, 186 y 188,</w:t>
      </w:r>
      <w:r w:rsidRPr="00D3359C">
        <w:rPr>
          <w:rFonts w:ascii="Palatino Linotype" w:eastAsia="Calibri" w:hAnsi="Palatino Linotype" w:cs="Arial"/>
          <w:color w:val="000000" w:themeColor="text1"/>
        </w:rPr>
        <w:t xml:space="preserve"> de la Ley de Transparencia y Acceso a la Información Pública del Estado de México y </w:t>
      </w:r>
      <w:r w:rsidRPr="00D3359C">
        <w:rPr>
          <w:rFonts w:ascii="Palatino Linotype" w:hAnsi="Palatino Linotype" w:cs="Arial"/>
          <w:color w:val="000000" w:themeColor="text1"/>
        </w:rPr>
        <w:t>Municipios</w:t>
      </w:r>
      <w:r w:rsidRPr="00D3359C">
        <w:rPr>
          <w:rFonts w:ascii="Palatino Linotype" w:eastAsia="Calibri" w:hAnsi="Palatino Linotype" w:cs="Arial"/>
          <w:color w:val="000000" w:themeColor="text1"/>
        </w:rPr>
        <w:t xml:space="preserve">, </w:t>
      </w:r>
      <w:r w:rsidRPr="00D3359C">
        <w:rPr>
          <w:rFonts w:ascii="Palatino Linotype" w:hAnsi="Palatino Linotype"/>
          <w:color w:val="000000" w:themeColor="text1"/>
        </w:rPr>
        <w:t>este</w:t>
      </w:r>
      <w:r w:rsidRPr="00D3359C">
        <w:rPr>
          <w:rFonts w:ascii="Palatino Linotype" w:eastAsia="Calibri" w:hAnsi="Palatino Linotype" w:cs="Arial"/>
          <w:color w:val="000000" w:themeColor="text1"/>
        </w:rPr>
        <w:t xml:space="preserve"> Pleno:</w:t>
      </w:r>
    </w:p>
    <w:p w14:paraId="4BAA0B98" w14:textId="77777777" w:rsidR="00F31895" w:rsidRPr="00D3359C" w:rsidRDefault="00F31895" w:rsidP="00830203">
      <w:pPr>
        <w:spacing w:before="100" w:beforeAutospacing="1" w:after="100" w:afterAutospacing="1" w:line="360" w:lineRule="auto"/>
        <w:jc w:val="center"/>
        <w:rPr>
          <w:rFonts w:ascii="Palatino Linotype" w:hAnsi="Palatino Linotype" w:cs="Arial"/>
          <w:b/>
          <w:spacing w:val="44"/>
          <w:sz w:val="28"/>
        </w:rPr>
      </w:pPr>
      <w:r w:rsidRPr="00D3359C">
        <w:rPr>
          <w:rFonts w:ascii="Palatino Linotype" w:hAnsi="Palatino Linotype" w:cs="Arial"/>
          <w:b/>
          <w:spacing w:val="44"/>
          <w:sz w:val="28"/>
        </w:rPr>
        <w:t>RESUELVE</w:t>
      </w:r>
    </w:p>
    <w:p w14:paraId="4BAA0B99" w14:textId="73EFBD32" w:rsidR="00F31895" w:rsidRPr="00D3359C" w:rsidRDefault="00F31895" w:rsidP="00F31895">
      <w:pPr>
        <w:pStyle w:val="Prrafodelista"/>
        <w:widowControl w:val="0"/>
        <w:autoSpaceDE w:val="0"/>
        <w:autoSpaceDN w:val="0"/>
        <w:adjustRightInd w:val="0"/>
        <w:spacing w:line="360" w:lineRule="auto"/>
        <w:ind w:left="0"/>
        <w:jc w:val="both"/>
        <w:rPr>
          <w:rFonts w:ascii="Palatino Linotype" w:hAnsi="Palatino Linotype" w:cs="Arial"/>
          <w:bCs/>
        </w:rPr>
      </w:pPr>
      <w:r w:rsidRPr="00D3359C">
        <w:rPr>
          <w:rFonts w:ascii="Palatino Linotype" w:hAnsi="Palatino Linotype" w:cs="Arial"/>
          <w:b/>
          <w:color w:val="000000" w:themeColor="text1"/>
          <w:sz w:val="28"/>
          <w:szCs w:val="28"/>
        </w:rPr>
        <w:t>PRIMERO.</w:t>
      </w:r>
      <w:r w:rsidRPr="00D3359C">
        <w:rPr>
          <w:rFonts w:ascii="Palatino Linotype" w:hAnsi="Palatino Linotype" w:cs="Arial"/>
          <w:color w:val="000000" w:themeColor="text1"/>
        </w:rPr>
        <w:t xml:space="preserve"> </w:t>
      </w:r>
      <w:r w:rsidRPr="00D3359C">
        <w:rPr>
          <w:rFonts w:ascii="Palatino Linotype" w:hAnsi="Palatino Linotype" w:cs="Arial"/>
          <w:bCs/>
        </w:rPr>
        <w:t xml:space="preserve">Se </w:t>
      </w:r>
      <w:r w:rsidRPr="00D3359C">
        <w:rPr>
          <w:rFonts w:ascii="Palatino Linotype" w:hAnsi="Palatino Linotype" w:cs="Arial"/>
          <w:b/>
          <w:bCs/>
        </w:rPr>
        <w:t>SOBRESEE</w:t>
      </w:r>
      <w:r w:rsidRPr="00D3359C">
        <w:rPr>
          <w:rFonts w:ascii="Palatino Linotype" w:hAnsi="Palatino Linotype" w:cs="Arial"/>
          <w:bCs/>
        </w:rPr>
        <w:t xml:space="preserve"> por </w:t>
      </w:r>
      <w:r w:rsidRPr="00D3359C">
        <w:rPr>
          <w:rFonts w:ascii="Palatino Linotype" w:hAnsi="Palatino Linotype" w:cs="Arial"/>
        </w:rPr>
        <w:t>improcedente</w:t>
      </w:r>
      <w:r w:rsidRPr="00D3359C">
        <w:rPr>
          <w:rFonts w:ascii="Palatino Linotype" w:hAnsi="Palatino Linotype" w:cs="Arial"/>
          <w:bCs/>
        </w:rPr>
        <w:t xml:space="preserve"> el recurso de revisión </w:t>
      </w:r>
      <w:r w:rsidR="00B41136" w:rsidRPr="00D3359C">
        <w:rPr>
          <w:rFonts w:ascii="Palatino Linotype" w:hAnsi="Palatino Linotype"/>
          <w:b/>
          <w:bCs/>
          <w:sz w:val="22"/>
          <w:szCs w:val="22"/>
        </w:rPr>
        <w:t>01447</w:t>
      </w:r>
      <w:r w:rsidRPr="00D3359C">
        <w:rPr>
          <w:rFonts w:ascii="Palatino Linotype" w:hAnsi="Palatino Linotype"/>
          <w:b/>
          <w:bCs/>
          <w:sz w:val="22"/>
          <w:szCs w:val="22"/>
        </w:rPr>
        <w:t>/INFOEM/IP/RR/2021</w:t>
      </w:r>
      <w:r w:rsidRPr="00D3359C">
        <w:rPr>
          <w:rFonts w:ascii="Palatino Linotype" w:hAnsi="Palatino Linotype" w:cs="Arial"/>
          <w:bCs/>
        </w:rPr>
        <w:t xml:space="preserve"> en términos del Considerando </w:t>
      </w:r>
      <w:r w:rsidRPr="00D3359C">
        <w:rPr>
          <w:rFonts w:ascii="Palatino Linotype" w:hAnsi="Palatino Linotype" w:cs="Arial"/>
          <w:b/>
          <w:bCs/>
        </w:rPr>
        <w:t>QUINTO</w:t>
      </w:r>
      <w:r w:rsidRPr="00D3359C">
        <w:rPr>
          <w:rFonts w:ascii="Palatino Linotype" w:hAnsi="Palatino Linotype" w:cs="Arial"/>
          <w:bCs/>
        </w:rPr>
        <w:t xml:space="preserve"> de la presente resolución.</w:t>
      </w:r>
    </w:p>
    <w:p w14:paraId="4F3A1F33" w14:textId="77777777" w:rsidR="00600581" w:rsidRPr="00D3359C" w:rsidRDefault="00600581" w:rsidP="00F31895">
      <w:pPr>
        <w:pStyle w:val="Prrafodelista"/>
        <w:widowControl w:val="0"/>
        <w:autoSpaceDE w:val="0"/>
        <w:autoSpaceDN w:val="0"/>
        <w:adjustRightInd w:val="0"/>
        <w:spacing w:line="360" w:lineRule="auto"/>
        <w:ind w:left="0"/>
        <w:jc w:val="both"/>
        <w:rPr>
          <w:rFonts w:ascii="Palatino Linotype" w:hAnsi="Palatino Linotype" w:cs="Arial"/>
          <w:bCs/>
        </w:rPr>
      </w:pPr>
    </w:p>
    <w:p w14:paraId="4BAA0B9A" w14:textId="77777777" w:rsidR="00F31895" w:rsidRPr="00D3359C" w:rsidRDefault="00F31895" w:rsidP="00F31895">
      <w:pPr>
        <w:spacing w:line="360" w:lineRule="auto"/>
        <w:jc w:val="both"/>
        <w:rPr>
          <w:rFonts w:ascii="Palatino Linotype" w:hAnsi="Palatino Linotype"/>
          <w:b/>
        </w:rPr>
      </w:pPr>
      <w:r w:rsidRPr="00D3359C">
        <w:rPr>
          <w:rFonts w:ascii="Palatino Linotype" w:hAnsi="Palatino Linotype" w:cs="Arial"/>
          <w:b/>
          <w:color w:val="000000" w:themeColor="text1"/>
          <w:sz w:val="28"/>
        </w:rPr>
        <w:t>SEGUNDO</w:t>
      </w:r>
      <w:r w:rsidRPr="00D3359C">
        <w:rPr>
          <w:rFonts w:ascii="Palatino Linotype" w:hAnsi="Palatino Linotype" w:cs="Arial"/>
          <w:color w:val="000000" w:themeColor="text1"/>
          <w:sz w:val="28"/>
        </w:rPr>
        <w:t>.</w:t>
      </w:r>
      <w:r w:rsidRPr="00D3359C">
        <w:rPr>
          <w:rFonts w:ascii="Palatino Linotype" w:eastAsia="Calibri" w:hAnsi="Palatino Linotype" w:cs="Arial"/>
          <w:bCs/>
        </w:rPr>
        <w:t xml:space="preserve"> </w:t>
      </w:r>
      <w:r w:rsidRPr="00D3359C">
        <w:rPr>
          <w:rFonts w:ascii="Palatino Linotype" w:hAnsi="Palatino Linotype"/>
          <w:b/>
        </w:rPr>
        <w:t>Notifíquese</w:t>
      </w:r>
      <w:r w:rsidRPr="00D3359C">
        <w:rPr>
          <w:rFonts w:ascii="Palatino Linotype" w:hAnsi="Palatino Linotype"/>
        </w:rPr>
        <w:t xml:space="preserve"> la presente resolución al Titular de la Unidad de Transparencia del </w:t>
      </w:r>
      <w:r w:rsidRPr="00D3359C">
        <w:rPr>
          <w:rFonts w:ascii="Palatino Linotype" w:hAnsi="Palatino Linotype"/>
          <w:b/>
        </w:rPr>
        <w:t>SUJETO OBLIGADO</w:t>
      </w:r>
      <w:r w:rsidRPr="00D3359C">
        <w:rPr>
          <w:rFonts w:ascii="Palatino Linotype" w:hAnsi="Palatino Linotype"/>
        </w:rPr>
        <w:t xml:space="preserve"> para su conocimiento.</w:t>
      </w:r>
    </w:p>
    <w:p w14:paraId="4BAA0B9B" w14:textId="77777777" w:rsidR="00F31895" w:rsidRPr="00D3359C" w:rsidRDefault="00F31895" w:rsidP="00F31895">
      <w:pPr>
        <w:spacing w:before="240" w:after="240" w:line="360" w:lineRule="auto"/>
        <w:jc w:val="both"/>
        <w:rPr>
          <w:rFonts w:ascii="Palatino Linotype" w:hAnsi="Palatino Linotype"/>
          <w:color w:val="222222"/>
          <w:lang w:eastAsia="es-MX"/>
        </w:rPr>
      </w:pPr>
      <w:r w:rsidRPr="00D3359C">
        <w:rPr>
          <w:rFonts w:ascii="Palatino Linotype" w:hAnsi="Palatino Linotype" w:cs="Arial"/>
          <w:b/>
          <w:color w:val="000000" w:themeColor="text1"/>
          <w:sz w:val="28"/>
          <w:szCs w:val="28"/>
        </w:rPr>
        <w:t xml:space="preserve">TERCERO. </w:t>
      </w:r>
      <w:r w:rsidRPr="00D3359C">
        <w:rPr>
          <w:rFonts w:ascii="Palatino Linotype" w:hAnsi="Palatino Linotype"/>
          <w:b/>
          <w:color w:val="222222"/>
          <w:lang w:eastAsia="es-ES_tradnl"/>
        </w:rPr>
        <w:t>Notifíquese</w:t>
      </w:r>
      <w:r w:rsidRPr="00D3359C">
        <w:rPr>
          <w:rFonts w:ascii="Palatino Linotype" w:hAnsi="Palatino Linotype"/>
          <w:color w:val="222222"/>
          <w:lang w:eastAsia="es-ES_tradnl"/>
        </w:rPr>
        <w:t xml:space="preserve"> al</w:t>
      </w:r>
      <w:r w:rsidRPr="00D3359C">
        <w:rPr>
          <w:rFonts w:ascii="Palatino Linotype" w:hAnsi="Palatino Linotype"/>
          <w:b/>
          <w:color w:val="222222"/>
          <w:lang w:eastAsia="es-ES_tradnl"/>
        </w:rPr>
        <w:t xml:space="preserve"> RECURRENTE</w:t>
      </w:r>
      <w:r w:rsidRPr="00D3359C">
        <w:rPr>
          <w:rFonts w:ascii="Palatino Linotype" w:hAnsi="Palatino Linotype"/>
          <w:color w:val="222222"/>
          <w:lang w:eastAsia="es-ES_tradnl"/>
        </w:rPr>
        <w:t xml:space="preserve"> la presente resolución.</w:t>
      </w:r>
    </w:p>
    <w:p w14:paraId="4BAA0B9C" w14:textId="77777777" w:rsidR="00F31895" w:rsidRPr="00D3359C" w:rsidRDefault="00F31895" w:rsidP="00F31895">
      <w:pPr>
        <w:spacing w:line="360" w:lineRule="auto"/>
        <w:jc w:val="both"/>
        <w:rPr>
          <w:rFonts w:ascii="Palatino Linotype" w:hAnsi="Palatino Linotype"/>
          <w:color w:val="222222"/>
          <w:szCs w:val="17"/>
          <w:lang w:eastAsia="es-ES_tradnl"/>
        </w:rPr>
      </w:pPr>
      <w:r w:rsidRPr="00D3359C">
        <w:rPr>
          <w:rFonts w:ascii="Palatino Linotype" w:hAnsi="Palatino Linotype" w:cs="Arial"/>
          <w:b/>
          <w:color w:val="000000" w:themeColor="text1"/>
          <w:sz w:val="28"/>
          <w:szCs w:val="28"/>
        </w:rPr>
        <w:t xml:space="preserve">CUARTO. </w:t>
      </w:r>
      <w:r w:rsidRPr="00D3359C">
        <w:rPr>
          <w:rFonts w:ascii="Palatino Linotype" w:hAnsi="Palatino Linotype"/>
          <w:b/>
          <w:color w:val="222222"/>
          <w:lang w:eastAsia="es-ES_tradnl"/>
        </w:rPr>
        <w:t>Hágase del conocimiento</w:t>
      </w:r>
      <w:r w:rsidRPr="00D3359C">
        <w:rPr>
          <w:rFonts w:ascii="Palatino Linotype" w:hAnsi="Palatino Linotype"/>
          <w:color w:val="222222"/>
          <w:lang w:eastAsia="es-ES_tradnl"/>
        </w:rPr>
        <w:t xml:space="preserve"> a</w:t>
      </w:r>
      <w:r w:rsidR="00B41136" w:rsidRPr="00D3359C">
        <w:rPr>
          <w:rFonts w:ascii="Palatino Linotype" w:hAnsi="Palatino Linotype"/>
          <w:color w:val="222222"/>
          <w:lang w:eastAsia="es-ES_tradnl"/>
        </w:rPr>
        <w:t xml:space="preserve">l </w:t>
      </w:r>
      <w:r w:rsidRPr="00D3359C">
        <w:rPr>
          <w:rFonts w:ascii="Palatino Linotype" w:hAnsi="Palatino Linotype"/>
          <w:b/>
          <w:color w:val="222222"/>
          <w:lang w:eastAsia="es-ES_tradnl"/>
        </w:rPr>
        <w:t>RECURRENTE</w:t>
      </w:r>
      <w:r w:rsidRPr="00D3359C">
        <w:rPr>
          <w:rFonts w:ascii="Palatino Linotype" w:hAnsi="Palatino Linotype"/>
          <w:color w:val="222222"/>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r w:rsidRPr="00D3359C">
        <w:rPr>
          <w:rFonts w:ascii="Palatino Linotype" w:hAnsi="Palatino Linotype"/>
          <w:color w:val="222222"/>
          <w:szCs w:val="17"/>
          <w:lang w:eastAsia="es-ES_tradnl"/>
        </w:rPr>
        <w:t>.</w:t>
      </w:r>
    </w:p>
    <w:p w14:paraId="4BAA0B9D" w14:textId="77777777" w:rsidR="00BE53DD" w:rsidRPr="00D3359C" w:rsidRDefault="00BE53DD" w:rsidP="00BE53DD">
      <w:pPr>
        <w:spacing w:before="100" w:beforeAutospacing="1" w:after="100" w:afterAutospacing="1" w:line="360" w:lineRule="auto"/>
        <w:jc w:val="both"/>
        <w:rPr>
          <w:rFonts w:ascii="Palatino Linotype" w:hAnsi="Palatino Linotype" w:cs="Arial"/>
        </w:rPr>
      </w:pPr>
      <w:r w:rsidRPr="00D3359C">
        <w:rPr>
          <w:rFonts w:ascii="Palatino Linotype" w:hAnsi="Palatino Linotype" w:cs="Arial"/>
        </w:rPr>
        <w:t>ASÍ LO RESUELVE, POR UNANIMIDAD DE VOTOS EL PLENO DEL</w:t>
      </w:r>
      <w:r w:rsidRPr="00D3359C">
        <w:rPr>
          <w:rFonts w:ascii="Palatino Linotype" w:eastAsia="Arial Unicode MS" w:hAnsi="Palatino Linotype" w:cs="Arial"/>
        </w:rPr>
        <w:t xml:space="preserve"> INSTITUTO DE </w:t>
      </w:r>
      <w:r w:rsidRPr="00D3359C">
        <w:rPr>
          <w:rFonts w:ascii="Palatino Linotype" w:hAnsi="Palatino Linotype"/>
          <w:lang w:eastAsia="en-US"/>
        </w:rPr>
        <w:t>TRANSPARENCIA</w:t>
      </w:r>
      <w:r w:rsidRPr="00D3359C">
        <w:rPr>
          <w:rFonts w:ascii="Palatino Linotype" w:eastAsia="Arial Unicode MS" w:hAnsi="Palatino Linotype" w:cs="Arial"/>
        </w:rPr>
        <w:t>, ACCESO A LA INFORMACIÓN PÚBLICA Y PROTECCIÓN DE DATOS PERSONALES DEL ESTADO DE MÉXICO Y MUNICIPIOS</w:t>
      </w:r>
      <w:r w:rsidRPr="00D3359C">
        <w:rPr>
          <w:rFonts w:ascii="Palatino Linotype" w:hAnsi="Palatino Linotype" w:cs="Arial"/>
        </w:rPr>
        <w:t>, CONFORMADO POR LOS COMISIONADOS ZULEMA MARTÍNEZ SÁNCHEZ; EVA ABAID YAPUR; JOSÉ GUADALUPE LUNA HERNÁNDEZ; JAVIER MARTÍNEZ CRUZ Y LUIS GUSTAVO PARRA NORIEGA; EN</w:t>
      </w:r>
      <w:r w:rsidRPr="00D3359C">
        <w:rPr>
          <w:rFonts w:ascii="Palatino Linotype" w:hAnsi="Palatino Linotype" w:cs="Arial"/>
          <w:shd w:val="clear" w:color="auto" w:fill="FFFFFF" w:themeFill="background1"/>
        </w:rPr>
        <w:t xml:space="preserve"> LA </w:t>
      </w:r>
      <w:r w:rsidRPr="00D3359C">
        <w:rPr>
          <w:rFonts w:ascii="Palatino Linotype" w:hAnsi="Palatino Linotype" w:cs="Arial"/>
        </w:rPr>
        <w:t xml:space="preserve">DÉCIMA </w:t>
      </w:r>
      <w:r w:rsidRPr="00D3359C">
        <w:rPr>
          <w:rFonts w:ascii="Palatino Linotype" w:hAnsi="Palatino Linotype" w:cs="Arial"/>
        </w:rPr>
        <w:lastRenderedPageBreak/>
        <w:t>SÉPTIMA SESIÓN ORDINARIA CELEBRADA EL DÍA DI</w:t>
      </w:r>
      <w:r w:rsidR="00B41136" w:rsidRPr="00D3359C">
        <w:rPr>
          <w:rFonts w:ascii="Palatino Linotype" w:hAnsi="Palatino Linotype" w:cs="Arial"/>
        </w:rPr>
        <w:t>E</w:t>
      </w:r>
      <w:r w:rsidRPr="00D3359C">
        <w:rPr>
          <w:rFonts w:ascii="Palatino Linotype" w:hAnsi="Palatino Linotype" w:cs="Arial"/>
        </w:rPr>
        <w:t>CINUEVE DE MAYO DE DOS MIL VEINTIUNO, ANTE EL SECRETARIO TÉCNICO DEL PLENO, ALEXIS TAPIA RAMÍREZ.</w:t>
      </w:r>
    </w:p>
    <w:p w14:paraId="4BAA0B9E" w14:textId="77777777" w:rsidR="00BE53DD" w:rsidRDefault="00BE53DD" w:rsidP="00BE53DD">
      <w:pPr>
        <w:jc w:val="both"/>
        <w:rPr>
          <w:rFonts w:ascii="Palatino Linotype" w:hAnsi="Palatino Linotype" w:cs="Arial"/>
          <w:sz w:val="16"/>
          <w:szCs w:val="16"/>
          <w:lang w:val="es-ES"/>
        </w:rPr>
      </w:pPr>
      <w:r w:rsidRPr="00D3359C">
        <w:rPr>
          <w:rFonts w:ascii="Palatino Linotype" w:hAnsi="Palatino Linotype" w:cs="Arial"/>
          <w:sz w:val="16"/>
          <w:szCs w:val="16"/>
          <w:lang w:val="es-ES"/>
        </w:rPr>
        <w:t>YSM/AMV</w:t>
      </w:r>
    </w:p>
    <w:p w14:paraId="4BAA0B9F" w14:textId="77777777" w:rsidR="00BE53DD" w:rsidRDefault="00BE53DD" w:rsidP="00BE53DD">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sectPr w:rsidR="00BE53DD" w:rsidSect="00CB4DA6">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48776" w14:textId="77777777" w:rsidR="00667A20" w:rsidRDefault="00667A20" w:rsidP="00BE53DD">
      <w:r>
        <w:separator/>
      </w:r>
    </w:p>
  </w:endnote>
  <w:endnote w:type="continuationSeparator" w:id="0">
    <w:p w14:paraId="1DA39BD9" w14:textId="77777777" w:rsidR="00667A20" w:rsidRDefault="00667A20" w:rsidP="00BE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0BB8" w14:textId="77777777" w:rsidR="00CB4DA6" w:rsidRPr="0010196A" w:rsidRDefault="006030EE" w:rsidP="00CB4DA6">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27BD">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27BD">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0BCB" w14:textId="77777777" w:rsidR="00CB4DA6" w:rsidRPr="0010196A" w:rsidRDefault="006030EE" w:rsidP="00CB4DA6">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27B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27BD">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D40C5" w14:textId="77777777" w:rsidR="00667A20" w:rsidRDefault="00667A20" w:rsidP="00BE53DD">
      <w:r>
        <w:separator/>
      </w:r>
    </w:p>
  </w:footnote>
  <w:footnote w:type="continuationSeparator" w:id="0">
    <w:p w14:paraId="5CA37E8E" w14:textId="77777777" w:rsidR="00667A20" w:rsidRDefault="00667A20" w:rsidP="00BE53DD">
      <w:r>
        <w:continuationSeparator/>
      </w:r>
    </w:p>
  </w:footnote>
  <w:footnote w:id="1">
    <w:p w14:paraId="4BAA0BD3" w14:textId="77777777" w:rsidR="00F31895" w:rsidRDefault="00F31895" w:rsidP="00F31895">
      <w:pPr>
        <w:pStyle w:val="Textonotapie"/>
        <w:jc w:val="both"/>
      </w:pPr>
      <w:r>
        <w:rPr>
          <w:rStyle w:val="Refdenotaalpie"/>
        </w:rPr>
        <w:footnoteRef/>
      </w:r>
      <w:r>
        <w:t xml:space="preserve"> </w:t>
      </w:r>
      <w:r w:rsidRPr="000D77BC">
        <w:rPr>
          <w:rFonts w:ascii="Palatino Linotype" w:hAnsi="Palatino Linotype"/>
          <w:sz w:val="16"/>
          <w:szCs w:val="16"/>
        </w:rPr>
        <w:t>V. Admitido el recurso de revisión, aparezca alguna causal de improcedencia en los términos de la presente Ley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0BA9" w14:textId="77777777" w:rsidR="00CB4DA6" w:rsidRDefault="00667A20">
    <w:pPr>
      <w:pStyle w:val="Encabezado"/>
    </w:pPr>
    <w:r>
      <w:rPr>
        <w:noProof/>
        <w:lang w:val="es-MX" w:eastAsia="es-MX"/>
      </w:rPr>
      <w:pict w14:anchorId="4BAA0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0BAA" w14:textId="77777777" w:rsidR="00CB4DA6" w:rsidRPr="0010196A" w:rsidRDefault="00667A20" w:rsidP="00CB4DA6">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4BAA0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15.6pt;margin-top:-137.55pt;width:540pt;height:10in;z-index:-251658752;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CB4DA6" w:rsidRPr="008F2CCC" w14:paraId="4BAA0BAE" w14:textId="77777777" w:rsidTr="00CB4DA6">
      <w:tc>
        <w:tcPr>
          <w:tcW w:w="3828" w:type="dxa"/>
          <w:vMerge w:val="restart"/>
        </w:tcPr>
        <w:p w14:paraId="4BAA0BAB" w14:textId="77777777" w:rsidR="00CB4DA6" w:rsidRPr="008F2CCC" w:rsidRDefault="006030EE" w:rsidP="00CB4DA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BAA0BCE" wp14:editId="4BAA0BCF">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BAA0BAC" w14:textId="77777777" w:rsidR="00CB4DA6" w:rsidRPr="00664658" w:rsidRDefault="006030EE" w:rsidP="00CB4DA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4BAA0BAD" w14:textId="77777777" w:rsidR="00CB4DA6" w:rsidRPr="00664658" w:rsidRDefault="0036025F" w:rsidP="0036025F">
          <w:pPr>
            <w:jc w:val="both"/>
            <w:rPr>
              <w:rFonts w:ascii="Palatino Linotype" w:hAnsi="Palatino Linotype"/>
              <w:b/>
              <w:sz w:val="22"/>
              <w:szCs w:val="22"/>
              <w:lang w:val="es-ES_tradnl"/>
            </w:rPr>
          </w:pPr>
          <w:r>
            <w:rPr>
              <w:rFonts w:ascii="Palatino Linotype" w:hAnsi="Palatino Linotype"/>
              <w:b/>
              <w:sz w:val="22"/>
              <w:szCs w:val="22"/>
              <w:lang w:val="es-ES_tradnl"/>
            </w:rPr>
            <w:t>01447</w:t>
          </w:r>
          <w:r w:rsidR="006030EE" w:rsidRPr="00E6045D">
            <w:rPr>
              <w:rFonts w:ascii="Palatino Linotype" w:hAnsi="Palatino Linotype"/>
              <w:b/>
              <w:sz w:val="22"/>
              <w:szCs w:val="22"/>
              <w:lang w:val="es-ES_tradnl"/>
            </w:rPr>
            <w:t>/INFOEM/IP/RR/20</w:t>
          </w:r>
          <w:r w:rsidR="006030EE">
            <w:rPr>
              <w:rFonts w:ascii="Palatino Linotype" w:hAnsi="Palatino Linotype"/>
              <w:b/>
              <w:sz w:val="22"/>
              <w:szCs w:val="22"/>
              <w:lang w:val="es-ES_tradnl"/>
            </w:rPr>
            <w:t>21</w:t>
          </w:r>
        </w:p>
      </w:tc>
    </w:tr>
    <w:tr w:rsidR="00CB4DA6" w:rsidRPr="008F2CCC" w14:paraId="4BAA0BB2" w14:textId="77777777" w:rsidTr="00CB4DA6">
      <w:tc>
        <w:tcPr>
          <w:tcW w:w="3828" w:type="dxa"/>
          <w:vMerge/>
        </w:tcPr>
        <w:p w14:paraId="4BAA0BAF" w14:textId="77777777" w:rsidR="00CB4DA6" w:rsidRPr="008F2CCC" w:rsidRDefault="00667A20" w:rsidP="00CB4DA6">
          <w:pPr>
            <w:rPr>
              <w:rFonts w:ascii="Palatino Linotype" w:hAnsi="Palatino Linotype"/>
              <w:b/>
              <w:sz w:val="22"/>
              <w:szCs w:val="22"/>
              <w:lang w:val="es-ES_tradnl"/>
            </w:rPr>
          </w:pPr>
        </w:p>
      </w:tc>
      <w:tc>
        <w:tcPr>
          <w:tcW w:w="2551" w:type="dxa"/>
          <w:shd w:val="clear" w:color="auto" w:fill="auto"/>
        </w:tcPr>
        <w:p w14:paraId="4BAA0BB0" w14:textId="77777777" w:rsidR="00CB4DA6" w:rsidRPr="00664658" w:rsidRDefault="006030EE" w:rsidP="00CB4DA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4BAA0BB1" w14:textId="77777777" w:rsidR="00CB4DA6" w:rsidRPr="00D41D47" w:rsidRDefault="0036025F" w:rsidP="00CB4DA6">
          <w:pPr>
            <w:jc w:val="both"/>
            <w:rPr>
              <w:rFonts w:ascii="Palatino Linotype" w:hAnsi="Palatino Linotype"/>
              <w:b/>
              <w:sz w:val="22"/>
              <w:szCs w:val="22"/>
              <w:lang w:val="es-ES_tradnl"/>
            </w:rPr>
          </w:pPr>
          <w:r w:rsidRPr="0036025F">
            <w:rPr>
              <w:rFonts w:ascii="Palatino Linotype" w:hAnsi="Palatino Linotype"/>
              <w:b/>
              <w:sz w:val="22"/>
              <w:szCs w:val="22"/>
              <w:lang w:val="es-ES_tradnl"/>
            </w:rPr>
            <w:t>Sistema Municipal Para el Desarrollo Integral de la Familia de Tultepec</w:t>
          </w:r>
        </w:p>
      </w:tc>
    </w:tr>
    <w:tr w:rsidR="00CB4DA6" w:rsidRPr="008F2CCC" w14:paraId="4BAA0BB6" w14:textId="77777777" w:rsidTr="00CB4DA6">
      <w:trPr>
        <w:trHeight w:val="228"/>
      </w:trPr>
      <w:tc>
        <w:tcPr>
          <w:tcW w:w="3828" w:type="dxa"/>
          <w:vMerge/>
        </w:tcPr>
        <w:p w14:paraId="4BAA0BB3" w14:textId="77777777" w:rsidR="00CB4DA6" w:rsidRPr="008F2CCC" w:rsidRDefault="00667A20" w:rsidP="00CB4DA6">
          <w:pPr>
            <w:rPr>
              <w:rFonts w:ascii="Palatino Linotype" w:hAnsi="Palatino Linotype"/>
              <w:b/>
              <w:sz w:val="22"/>
              <w:szCs w:val="22"/>
              <w:lang w:val="es-ES_tradnl"/>
            </w:rPr>
          </w:pPr>
        </w:p>
      </w:tc>
      <w:tc>
        <w:tcPr>
          <w:tcW w:w="2551" w:type="dxa"/>
          <w:shd w:val="clear" w:color="auto" w:fill="auto"/>
        </w:tcPr>
        <w:p w14:paraId="4BAA0BB4" w14:textId="77777777" w:rsidR="00CB4DA6" w:rsidRPr="00664658" w:rsidRDefault="006030EE" w:rsidP="00CB4DA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4BAA0BB5" w14:textId="77777777" w:rsidR="00CB4DA6" w:rsidRPr="00664658" w:rsidRDefault="006030EE" w:rsidP="00CB4DA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AA0BB7" w14:textId="77777777" w:rsidR="00CB4DA6" w:rsidRPr="0010196A" w:rsidRDefault="00667A20" w:rsidP="00CB4DA6">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0BB9" w14:textId="77777777" w:rsidR="00CB4DA6" w:rsidRPr="0010196A" w:rsidRDefault="00667A20">
    <w:pPr>
      <w:rPr>
        <w:rFonts w:ascii="Palatino Linotype" w:hAnsi="Palatino Linotype"/>
        <w:sz w:val="28"/>
        <w:szCs w:val="28"/>
      </w:rPr>
    </w:pPr>
    <w:r>
      <w:rPr>
        <w:rFonts w:ascii="Palatino Linotype" w:hAnsi="Palatino Linotype"/>
        <w:noProof/>
        <w:sz w:val="28"/>
        <w:szCs w:val="28"/>
        <w:lang w:eastAsia="es-MX"/>
      </w:rPr>
      <w:pict w14:anchorId="4BAA0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544"/>
      <w:gridCol w:w="2552"/>
      <w:gridCol w:w="3118"/>
    </w:tblGrid>
    <w:tr w:rsidR="00CB4DA6" w:rsidRPr="008F2CCC" w14:paraId="4BAA0BBD" w14:textId="77777777" w:rsidTr="00A955D2">
      <w:tc>
        <w:tcPr>
          <w:tcW w:w="3544" w:type="dxa"/>
          <w:vMerge w:val="restart"/>
          <w:shd w:val="clear" w:color="auto" w:fill="auto"/>
        </w:tcPr>
        <w:p w14:paraId="4BAA0BBA" w14:textId="77777777" w:rsidR="00CB4DA6" w:rsidRPr="008F2CCC" w:rsidRDefault="006030EE" w:rsidP="00CB4DA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BAA0BD1" wp14:editId="4BAA0BD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BAA0BBB" w14:textId="77777777" w:rsidR="00CB4DA6" w:rsidRPr="008F2CCC" w:rsidRDefault="006030EE" w:rsidP="00CB4DA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4BAA0BBC" w14:textId="77777777" w:rsidR="00CB4DA6" w:rsidRPr="008F2CCC" w:rsidRDefault="0036025F" w:rsidP="00CB4DA6">
          <w:pPr>
            <w:jc w:val="both"/>
            <w:rPr>
              <w:rFonts w:ascii="Palatino Linotype" w:hAnsi="Palatino Linotype"/>
              <w:b/>
              <w:sz w:val="22"/>
              <w:szCs w:val="22"/>
              <w:lang w:val="es-ES_tradnl"/>
            </w:rPr>
          </w:pPr>
          <w:r>
            <w:rPr>
              <w:rFonts w:ascii="Palatino Linotype" w:hAnsi="Palatino Linotype"/>
              <w:b/>
              <w:sz w:val="22"/>
              <w:szCs w:val="22"/>
              <w:lang w:val="es-ES_tradnl"/>
            </w:rPr>
            <w:t>01447</w:t>
          </w:r>
          <w:r w:rsidR="006030EE">
            <w:rPr>
              <w:rFonts w:ascii="Palatino Linotype" w:hAnsi="Palatino Linotype"/>
              <w:b/>
              <w:sz w:val="22"/>
              <w:szCs w:val="22"/>
              <w:lang w:val="es-ES_tradnl"/>
            </w:rPr>
            <w:t>/INFOEM/IP/RR/2021</w:t>
          </w:r>
        </w:p>
      </w:tc>
    </w:tr>
    <w:tr w:rsidR="00CB4DA6" w:rsidRPr="008F2CCC" w14:paraId="4BAA0BC1" w14:textId="77777777" w:rsidTr="00A955D2">
      <w:tc>
        <w:tcPr>
          <w:tcW w:w="3544" w:type="dxa"/>
          <w:vMerge/>
          <w:shd w:val="clear" w:color="auto" w:fill="auto"/>
        </w:tcPr>
        <w:p w14:paraId="4BAA0BBE" w14:textId="77777777" w:rsidR="00CB4DA6" w:rsidRPr="008F2CCC" w:rsidRDefault="00667A20" w:rsidP="00CB4DA6">
          <w:pPr>
            <w:rPr>
              <w:rFonts w:ascii="Palatino Linotype" w:hAnsi="Palatino Linotype"/>
              <w:b/>
              <w:sz w:val="22"/>
              <w:szCs w:val="22"/>
              <w:lang w:val="es-ES_tradnl"/>
            </w:rPr>
          </w:pPr>
        </w:p>
      </w:tc>
      <w:tc>
        <w:tcPr>
          <w:tcW w:w="2552" w:type="dxa"/>
          <w:shd w:val="clear" w:color="auto" w:fill="auto"/>
        </w:tcPr>
        <w:p w14:paraId="4BAA0BBF" w14:textId="77777777" w:rsidR="00CB4DA6" w:rsidRPr="008F2CCC" w:rsidRDefault="006030EE" w:rsidP="00CB4DA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14:paraId="4BAA0BC0" w14:textId="54E133AF" w:rsidR="00CB4DA6" w:rsidRPr="008F2CCC" w:rsidRDefault="006427BD" w:rsidP="00CB4DA6">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tr w:rsidR="00CB4DA6" w:rsidRPr="008F2CCC" w14:paraId="4BAA0BC5" w14:textId="77777777" w:rsidTr="00A955D2">
      <w:trPr>
        <w:trHeight w:val="228"/>
      </w:trPr>
      <w:tc>
        <w:tcPr>
          <w:tcW w:w="3544" w:type="dxa"/>
          <w:vMerge/>
          <w:shd w:val="clear" w:color="auto" w:fill="auto"/>
        </w:tcPr>
        <w:p w14:paraId="4BAA0BC2" w14:textId="77777777" w:rsidR="00CB4DA6" w:rsidRPr="008F2CCC" w:rsidRDefault="00667A20" w:rsidP="00CB4DA6">
          <w:pPr>
            <w:rPr>
              <w:rFonts w:ascii="Palatino Linotype" w:hAnsi="Palatino Linotype"/>
              <w:b/>
              <w:sz w:val="22"/>
              <w:szCs w:val="22"/>
              <w:lang w:val="es-ES_tradnl"/>
            </w:rPr>
          </w:pPr>
        </w:p>
      </w:tc>
      <w:tc>
        <w:tcPr>
          <w:tcW w:w="2552" w:type="dxa"/>
          <w:shd w:val="clear" w:color="auto" w:fill="auto"/>
        </w:tcPr>
        <w:p w14:paraId="4BAA0BC3" w14:textId="77777777" w:rsidR="00CB4DA6" w:rsidRPr="008F2CCC" w:rsidRDefault="006030EE" w:rsidP="00CB4DA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BAA0BC4" w14:textId="77777777" w:rsidR="00CB4DA6" w:rsidRPr="00D907B3" w:rsidRDefault="0036025F" w:rsidP="00CB4DA6">
          <w:pPr>
            <w:jc w:val="both"/>
            <w:rPr>
              <w:rFonts w:ascii="Palatino Linotype" w:hAnsi="Palatino Linotype"/>
              <w:b/>
              <w:sz w:val="22"/>
              <w:szCs w:val="22"/>
              <w:lang w:val="es-ES_tradnl"/>
            </w:rPr>
          </w:pPr>
          <w:r w:rsidRPr="0036025F">
            <w:rPr>
              <w:rFonts w:ascii="Palatino Linotype" w:hAnsi="Palatino Linotype"/>
              <w:b/>
              <w:sz w:val="22"/>
              <w:szCs w:val="22"/>
              <w:lang w:val="es-ES_tradnl"/>
            </w:rPr>
            <w:t>Sistema Municipal Para el Desarrollo Integral de la Familia de Tultepec</w:t>
          </w:r>
        </w:p>
      </w:tc>
    </w:tr>
    <w:tr w:rsidR="00CB4DA6" w:rsidRPr="008F2CCC" w14:paraId="4BAA0BC9" w14:textId="77777777" w:rsidTr="00A955D2">
      <w:tc>
        <w:tcPr>
          <w:tcW w:w="3544" w:type="dxa"/>
          <w:vMerge/>
          <w:shd w:val="clear" w:color="auto" w:fill="auto"/>
        </w:tcPr>
        <w:p w14:paraId="4BAA0BC6" w14:textId="77777777" w:rsidR="00CB4DA6" w:rsidRPr="008F2CCC" w:rsidRDefault="00667A20" w:rsidP="00CB4DA6">
          <w:pPr>
            <w:rPr>
              <w:rFonts w:ascii="Palatino Linotype" w:hAnsi="Palatino Linotype"/>
              <w:b/>
              <w:sz w:val="22"/>
              <w:szCs w:val="22"/>
              <w:lang w:val="es-ES_tradnl"/>
            </w:rPr>
          </w:pPr>
        </w:p>
      </w:tc>
      <w:tc>
        <w:tcPr>
          <w:tcW w:w="2552" w:type="dxa"/>
          <w:shd w:val="clear" w:color="auto" w:fill="auto"/>
        </w:tcPr>
        <w:p w14:paraId="4BAA0BC7" w14:textId="77777777" w:rsidR="00CB4DA6" w:rsidRPr="008F2CCC" w:rsidRDefault="006030EE" w:rsidP="00CB4DA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4BAA0BC8" w14:textId="77777777" w:rsidR="00CB4DA6" w:rsidRPr="008F2CCC" w:rsidRDefault="006030EE" w:rsidP="00CB4DA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AA0BCA" w14:textId="77777777" w:rsidR="00CB4DA6" w:rsidRPr="0010196A" w:rsidRDefault="00667A20" w:rsidP="00CB4DA6">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257CA"/>
    <w:multiLevelType w:val="hybridMultilevel"/>
    <w:tmpl w:val="ED383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2F712A8"/>
    <w:multiLevelType w:val="hybridMultilevel"/>
    <w:tmpl w:val="DB481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CC22D8B"/>
    <w:multiLevelType w:val="hybridMultilevel"/>
    <w:tmpl w:val="8670D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DD"/>
    <w:rsid w:val="0007650C"/>
    <w:rsid w:val="000D7761"/>
    <w:rsid w:val="00210013"/>
    <w:rsid w:val="00304A4F"/>
    <w:rsid w:val="0036025F"/>
    <w:rsid w:val="00395349"/>
    <w:rsid w:val="00512034"/>
    <w:rsid w:val="00600581"/>
    <w:rsid w:val="006030EE"/>
    <w:rsid w:val="006427BD"/>
    <w:rsid w:val="00667A20"/>
    <w:rsid w:val="00777B41"/>
    <w:rsid w:val="00830203"/>
    <w:rsid w:val="00974074"/>
    <w:rsid w:val="00AD61AF"/>
    <w:rsid w:val="00B41136"/>
    <w:rsid w:val="00BE53DD"/>
    <w:rsid w:val="00D3359C"/>
    <w:rsid w:val="00F3189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BAA0AF7"/>
  <w15:docId w15:val="{1D0B4157-CB37-42AF-BFF6-862D6B26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3D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53D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E53DD"/>
    <w:rPr>
      <w:rFonts w:eastAsiaTheme="minorEastAsia"/>
      <w:sz w:val="24"/>
      <w:szCs w:val="24"/>
      <w:lang w:val="es-ES_tradnl" w:eastAsia="es-ES"/>
    </w:rPr>
  </w:style>
  <w:style w:type="paragraph" w:styleId="Piedepgina">
    <w:name w:val="footer"/>
    <w:basedOn w:val="Normal"/>
    <w:link w:val="PiedepginaCar"/>
    <w:uiPriority w:val="99"/>
    <w:unhideWhenUsed/>
    <w:rsid w:val="00BE53D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E53D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E53D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E53DD"/>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E53DD"/>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BE53DD"/>
    <w:rPr>
      <w:vertAlign w:val="superscript"/>
    </w:rPr>
  </w:style>
  <w:style w:type="character" w:styleId="Hipervnculo">
    <w:name w:val="Hyperlink"/>
    <w:basedOn w:val="Fuentedeprrafopredeter"/>
    <w:uiPriority w:val="99"/>
    <w:unhideWhenUsed/>
    <w:rsid w:val="0036025F"/>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31895"/>
    <w:pPr>
      <w:spacing w:after="120" w:line="264"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31895"/>
    <w:rPr>
      <w:sz w:val="20"/>
      <w:szCs w:val="20"/>
    </w:rPr>
  </w:style>
  <w:style w:type="character" w:styleId="Refdecomentario">
    <w:name w:val="annotation reference"/>
    <w:basedOn w:val="Fuentedeprrafopredeter"/>
    <w:uiPriority w:val="99"/>
    <w:semiHidden/>
    <w:unhideWhenUsed/>
    <w:rsid w:val="00304A4F"/>
    <w:rPr>
      <w:sz w:val="16"/>
      <w:szCs w:val="16"/>
    </w:rPr>
  </w:style>
  <w:style w:type="paragraph" w:styleId="Textocomentario">
    <w:name w:val="annotation text"/>
    <w:basedOn w:val="Normal"/>
    <w:link w:val="TextocomentarioCar"/>
    <w:uiPriority w:val="99"/>
    <w:semiHidden/>
    <w:unhideWhenUsed/>
    <w:rsid w:val="00304A4F"/>
    <w:rPr>
      <w:sz w:val="20"/>
      <w:szCs w:val="20"/>
    </w:rPr>
  </w:style>
  <w:style w:type="character" w:customStyle="1" w:styleId="TextocomentarioCar">
    <w:name w:val="Texto comentario Car"/>
    <w:basedOn w:val="Fuentedeprrafopredeter"/>
    <w:link w:val="Textocomentario"/>
    <w:uiPriority w:val="99"/>
    <w:semiHidden/>
    <w:rsid w:val="00304A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04A4F"/>
    <w:rPr>
      <w:b/>
      <w:bCs/>
    </w:rPr>
  </w:style>
  <w:style w:type="character" w:customStyle="1" w:styleId="AsuntodelcomentarioCar">
    <w:name w:val="Asunto del comentario Car"/>
    <w:basedOn w:val="TextocomentarioCar"/>
    <w:link w:val="Asuntodelcomentario"/>
    <w:uiPriority w:val="99"/>
    <w:semiHidden/>
    <w:rsid w:val="00304A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04A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4A4F"/>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91779.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ransparenciadiftultepec@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6611</Words>
  <Characters>36362</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2021-05-20T02:34:00Z</cp:lastPrinted>
  <dcterms:created xsi:type="dcterms:W3CDTF">2021-05-20T02:34:00Z</dcterms:created>
  <dcterms:modified xsi:type="dcterms:W3CDTF">2021-06-02T23:35:00Z</dcterms:modified>
</cp:coreProperties>
</file>