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7B779"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28E657DA" w14:textId="77777777"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7C51732" w14:textId="01A5BE2E"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w:t>
      </w:r>
      <w:r w:rsidRPr="00687227">
        <w:rPr>
          <w:rFonts w:ascii="Palatino Linotype" w:eastAsia="Times New Roman" w:hAnsi="Palatino Linotype" w:cs="Arial"/>
          <w:color w:val="000000" w:themeColor="text1"/>
          <w:sz w:val="24"/>
          <w:szCs w:val="24"/>
          <w:lang w:eastAsia="es-MX"/>
        </w:rPr>
        <w:t xml:space="preserve"> a </w:t>
      </w:r>
      <w:r w:rsidR="009411F3">
        <w:rPr>
          <w:rFonts w:ascii="Palatino Linotype" w:eastAsia="Times New Roman" w:hAnsi="Palatino Linotype" w:cs="Arial"/>
          <w:color w:val="000000"/>
          <w:sz w:val="24"/>
          <w:szCs w:val="24"/>
          <w:lang w:eastAsia="es-MX"/>
        </w:rPr>
        <w:t>uno de diciembre de dos mil veintiuno</w:t>
      </w:r>
      <w:r w:rsidRPr="00AD7511">
        <w:rPr>
          <w:rFonts w:ascii="Palatino Linotype" w:eastAsia="Times New Roman" w:hAnsi="Palatino Linotype" w:cs="Arial"/>
          <w:color w:val="000000"/>
          <w:sz w:val="24"/>
          <w:szCs w:val="24"/>
          <w:lang w:eastAsia="es-MX"/>
        </w:rPr>
        <w:t>.</w:t>
      </w:r>
    </w:p>
    <w:p w14:paraId="4F17A7D7"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98EB24E" w14:textId="71C7967A"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F762F9">
        <w:rPr>
          <w:rFonts w:ascii="Palatino Linotype" w:hAnsi="Palatino Linotype" w:cs="Arial"/>
          <w:b/>
          <w:bCs/>
          <w:sz w:val="24"/>
          <w:lang w:eastAsia="es-MX"/>
        </w:rPr>
        <w:t>4885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A6655B">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A6655B">
        <w:rPr>
          <w:rFonts w:ascii="Palatino Linotype" w:hAnsi="Palatino Linotype" w:cs="Arial"/>
          <w:b/>
          <w:sz w:val="24"/>
        </w:rPr>
        <w:t xml:space="preserve"> </w:t>
      </w:r>
      <w:proofErr w:type="spellStart"/>
      <w:r w:rsidR="000A3544">
        <w:rPr>
          <w:rFonts w:ascii="Palatino Linotype" w:hAnsi="Palatino Linotype" w:cs="Arial"/>
          <w:b/>
          <w:sz w:val="24"/>
        </w:rPr>
        <w:t>xxxxxxxxxxxxxxxxx</w:t>
      </w:r>
      <w:proofErr w:type="spellEnd"/>
      <w:r w:rsidR="003945AD">
        <w:rPr>
          <w:rFonts w:ascii="Palatino Linotype" w:hAnsi="Palatino Linotype" w:cs="Arial"/>
          <w:b/>
          <w:sz w:val="24"/>
        </w:rPr>
        <w:t xml:space="preserve"> </w:t>
      </w:r>
      <w:r w:rsidR="000A3544">
        <w:rPr>
          <w:rFonts w:ascii="Palatino Linotype" w:hAnsi="Palatino Linotype" w:cs="Arial"/>
          <w:b/>
          <w:sz w:val="24"/>
        </w:rPr>
        <w:t>xxxxxxxxx</w:t>
      </w:r>
      <w:bookmarkStart w:id="0" w:name="_GoBack"/>
      <w:bookmarkEnd w:id="0"/>
      <w:r w:rsidR="003945AD">
        <w:rPr>
          <w:rFonts w:ascii="Palatino Linotype" w:hAnsi="Palatino Linotype" w:cs="Arial"/>
          <w:b/>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6655B">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A6655B">
        <w:rPr>
          <w:rFonts w:ascii="Palatino Linotype" w:hAnsi="Palatino Linotype" w:cs="Arial"/>
          <w:sz w:val="24"/>
          <w:szCs w:val="24"/>
        </w:rPr>
        <w:t xml:space="preserve"> </w:t>
      </w:r>
      <w:r w:rsidR="00A6655B" w:rsidRPr="00A6655B">
        <w:rPr>
          <w:rFonts w:ascii="Palatino Linotype" w:hAnsi="Palatino Linotype" w:cs="Arial"/>
          <w:b/>
          <w:bCs/>
          <w:sz w:val="24"/>
          <w:lang w:eastAsia="es-MX"/>
        </w:rPr>
        <w:t>Ayuntamiento de Capulhuac</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525B33F3" w14:textId="77777777" w:rsidR="004B3043" w:rsidRPr="00FC71F1" w:rsidRDefault="004B3043" w:rsidP="00427596">
      <w:pPr>
        <w:tabs>
          <w:tab w:val="left" w:pos="1701"/>
        </w:tabs>
        <w:spacing w:after="0" w:line="360" w:lineRule="auto"/>
        <w:jc w:val="both"/>
        <w:rPr>
          <w:rFonts w:ascii="Palatino Linotype" w:hAnsi="Palatino Linotype" w:cs="Arial"/>
        </w:rPr>
      </w:pPr>
    </w:p>
    <w:p w14:paraId="0FE4D469" w14:textId="77777777" w:rsidR="00EE47DA" w:rsidRPr="00B22B55" w:rsidRDefault="00EE47DA" w:rsidP="00427596">
      <w:pPr>
        <w:pStyle w:val="Sinespaciado"/>
        <w:spacing w:line="360" w:lineRule="auto"/>
        <w:rPr>
          <w:sz w:val="2"/>
        </w:rPr>
      </w:pPr>
    </w:p>
    <w:p w14:paraId="58B57F88"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45EA77DF" w14:textId="77777777" w:rsidR="004B3043" w:rsidRPr="00FC71F1" w:rsidRDefault="004B3043" w:rsidP="00427596">
      <w:pPr>
        <w:spacing w:after="0" w:line="360" w:lineRule="auto"/>
        <w:jc w:val="center"/>
        <w:rPr>
          <w:rFonts w:ascii="Palatino Linotype" w:hAnsi="Palatino Linotype"/>
          <w:b/>
          <w:sz w:val="18"/>
        </w:rPr>
      </w:pPr>
    </w:p>
    <w:p w14:paraId="4F057C54"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207F85F3" w14:textId="3021941D"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A6655B">
        <w:rPr>
          <w:rFonts w:ascii="Palatino Linotype" w:hAnsi="Palatino Linotype" w:cs="Arial"/>
          <w:sz w:val="24"/>
        </w:rPr>
        <w:t xml:space="preserve">tres de septiembre </w:t>
      </w:r>
      <w:r w:rsidR="009C1AE1">
        <w:rPr>
          <w:rFonts w:ascii="Palatino Linotype" w:hAnsi="Palatino Linotype" w:cs="Arial"/>
          <w:sz w:val="24"/>
        </w:rPr>
        <w:t xml:space="preserve">de </w:t>
      </w:r>
      <w:r w:rsidR="00FC71F1">
        <w:rPr>
          <w:rFonts w:ascii="Palatino Linotype" w:hAnsi="Palatino Linotype" w:cs="Arial"/>
          <w:sz w:val="24"/>
        </w:rPr>
        <w:t>dos mil veintiuno</w:t>
      </w:r>
      <w:r w:rsidRPr="00B22B55">
        <w:rPr>
          <w:rFonts w:ascii="Palatino Linotype" w:hAnsi="Palatino Linotype" w:cs="Arial"/>
          <w:sz w:val="24"/>
        </w:rPr>
        <w:t xml:space="preserve">, </w:t>
      </w:r>
      <w:r w:rsidR="00A6655B">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w:t>
      </w:r>
      <w:r w:rsidR="00A6655B">
        <w:rPr>
          <w:rFonts w:ascii="Palatino Linotype" w:hAnsi="Palatino Linotype" w:cs="Arial"/>
          <w:sz w:val="24"/>
        </w:rPr>
        <w:t>,</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A6655B" w:rsidRPr="00A6655B">
        <w:rPr>
          <w:rFonts w:ascii="Palatino Linotype" w:hAnsi="Palatino Linotype" w:cs="Arial"/>
          <w:b/>
          <w:sz w:val="24"/>
        </w:rPr>
        <w:t>00130/CAPULHUA/IP/2021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5742702D" w14:textId="77777777" w:rsidR="004B3043" w:rsidRPr="00FC71F1" w:rsidRDefault="004B3043" w:rsidP="00427596">
      <w:pPr>
        <w:spacing w:after="0" w:line="360" w:lineRule="auto"/>
        <w:jc w:val="both"/>
        <w:rPr>
          <w:rFonts w:ascii="Palatino Linotype" w:hAnsi="Palatino Linotype" w:cs="Arial"/>
          <w:sz w:val="12"/>
        </w:rPr>
      </w:pPr>
    </w:p>
    <w:p w14:paraId="2AD65154" w14:textId="77777777" w:rsidR="003923DA" w:rsidRPr="00B22B55" w:rsidRDefault="003923DA" w:rsidP="00427596">
      <w:pPr>
        <w:spacing w:after="0" w:line="360" w:lineRule="auto"/>
        <w:rPr>
          <w:sz w:val="2"/>
        </w:rPr>
      </w:pPr>
    </w:p>
    <w:p w14:paraId="7AFADB54" w14:textId="5B0F01FB" w:rsidR="004B3043" w:rsidRPr="00B22B55" w:rsidRDefault="00035B6B" w:rsidP="003945AD">
      <w:pPr>
        <w:spacing w:after="0" w:line="24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A6655B" w:rsidRPr="00A6655B">
        <w:rPr>
          <w:rFonts w:ascii="Palatino Linotype" w:eastAsia="Calibri" w:hAnsi="Palatino Linotype" w:cs="Arial"/>
          <w:i/>
          <w:szCs w:val="24"/>
          <w:lang w:val="es-ES" w:eastAsia="es-ES"/>
        </w:rPr>
        <w:t>solicito a la titular del órgano interno de control el procedimiento terminado en contra de la tesorero municipal de la administración 2016-2018 en versión publica</w:t>
      </w:r>
      <w:r w:rsidRPr="00FC71F1">
        <w:rPr>
          <w:rFonts w:ascii="Palatino Linotype" w:eastAsia="Calibri" w:hAnsi="Palatino Linotype" w:cs="Arial"/>
          <w:i/>
          <w:szCs w:val="24"/>
          <w:lang w:val="es-ES" w:eastAsia="es-ES"/>
        </w:rPr>
        <w:t>” (Sic.)</w:t>
      </w:r>
    </w:p>
    <w:p w14:paraId="04BD213A" w14:textId="77777777"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66B05D59" w14:textId="77777777"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FA7246" w:rsidRPr="00B22B55">
        <w:rPr>
          <w:rFonts w:ascii="Palatino Linotype" w:hAnsi="Palatino Linotype" w:cs="Arial"/>
          <w:sz w:val="24"/>
        </w:rPr>
        <w:t>Sistema de Acceso a la Información Mexiquense (</w:t>
      </w:r>
      <w:r w:rsidR="00FA7246" w:rsidRPr="00B22B55">
        <w:rPr>
          <w:rFonts w:ascii="Palatino Linotype" w:hAnsi="Palatino Linotype" w:cs="Arial"/>
          <w:b/>
          <w:sz w:val="24"/>
        </w:rPr>
        <w:t>SAIMEX</w:t>
      </w:r>
      <w:r w:rsidR="00FA7246" w:rsidRPr="00B22B55">
        <w:rPr>
          <w:rFonts w:ascii="Palatino Linotype" w:hAnsi="Palatino Linotype" w:cs="Arial"/>
          <w:sz w:val="24"/>
        </w:rPr>
        <w:t>)</w:t>
      </w:r>
      <w:r w:rsidR="00EE47DA" w:rsidRPr="00B22B55">
        <w:rPr>
          <w:rFonts w:ascii="Palatino Linotype" w:eastAsia="Times New Roman" w:hAnsi="Palatino Linotype" w:cs="Times New Roman"/>
          <w:sz w:val="24"/>
          <w:szCs w:val="24"/>
          <w:lang w:val="es-ES_tradnl" w:eastAsia="es-ES"/>
        </w:rPr>
        <w:t>.</w:t>
      </w:r>
    </w:p>
    <w:p w14:paraId="16FA10C7" w14:textId="77777777" w:rsidR="00FC71F1" w:rsidRPr="00FC71F1" w:rsidRDefault="00FC71F1" w:rsidP="00427596">
      <w:pPr>
        <w:spacing w:after="0" w:line="360" w:lineRule="auto"/>
        <w:rPr>
          <w:rFonts w:ascii="Palatino Linotype" w:hAnsi="Palatino Linotype" w:cs="Arial"/>
          <w:b/>
        </w:rPr>
      </w:pPr>
    </w:p>
    <w:p w14:paraId="126255EC" w14:textId="77777777"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lastRenderedPageBreak/>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6186F7FA" w14:textId="43F917F6"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A6655B">
        <w:rPr>
          <w:rFonts w:ascii="Palatino Linotype" w:hAnsi="Palatino Linotype" w:cs="Arial"/>
          <w:sz w:val="24"/>
        </w:rPr>
        <w:t xml:space="preserve">veintidós de septiembre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11E42956" w14:textId="77777777" w:rsidR="009A6CC5" w:rsidRPr="009A6CC5" w:rsidRDefault="009A6CC5" w:rsidP="00427596">
      <w:pPr>
        <w:tabs>
          <w:tab w:val="right" w:pos="8505"/>
        </w:tabs>
        <w:spacing w:after="0" w:line="360" w:lineRule="auto"/>
        <w:ind w:left="567" w:right="567"/>
        <w:jc w:val="right"/>
        <w:rPr>
          <w:rFonts w:ascii="Palatino Linotype" w:hAnsi="Palatino Linotype" w:cs="Arial"/>
          <w:i/>
        </w:rPr>
      </w:pPr>
    </w:p>
    <w:p w14:paraId="6FDF401B" w14:textId="454133A6" w:rsidR="00A6655B" w:rsidRPr="00A6655B" w:rsidRDefault="00F13C4A" w:rsidP="00A6655B">
      <w:pPr>
        <w:tabs>
          <w:tab w:val="right" w:pos="8505"/>
        </w:tabs>
        <w:spacing w:after="0" w:line="240" w:lineRule="auto"/>
        <w:ind w:left="567" w:right="567"/>
        <w:jc w:val="right"/>
        <w:rPr>
          <w:rFonts w:ascii="Palatino Linotype" w:hAnsi="Palatino Linotype" w:cs="Arial"/>
          <w:i/>
        </w:rPr>
      </w:pPr>
      <w:r>
        <w:rPr>
          <w:rFonts w:ascii="Palatino Linotype" w:hAnsi="Palatino Linotype" w:cs="Arial"/>
          <w:i/>
        </w:rPr>
        <w:t>“</w:t>
      </w:r>
      <w:r w:rsidR="00A6655B">
        <w:rPr>
          <w:rFonts w:ascii="Palatino Linotype" w:hAnsi="Palatino Linotype" w:cs="Arial"/>
          <w:i/>
        </w:rPr>
        <w:t>…</w:t>
      </w:r>
      <w:r w:rsidR="00A6655B" w:rsidRPr="00A6655B">
        <w:rPr>
          <w:rFonts w:ascii="Palatino Linotype" w:hAnsi="Palatino Linotype" w:cs="Arial"/>
          <w:i/>
        </w:rPr>
        <w:t>Folio de la solicitud: 00130/CAPULHUA/IP/2021</w:t>
      </w:r>
    </w:p>
    <w:p w14:paraId="62AB41BE" w14:textId="77777777" w:rsidR="00A6655B" w:rsidRPr="00A6655B" w:rsidRDefault="00A6655B" w:rsidP="00A6655B">
      <w:pPr>
        <w:tabs>
          <w:tab w:val="right" w:pos="8505"/>
        </w:tabs>
        <w:spacing w:after="0" w:line="240" w:lineRule="auto"/>
        <w:ind w:left="567" w:right="567"/>
        <w:jc w:val="both"/>
        <w:rPr>
          <w:rFonts w:ascii="Palatino Linotype" w:hAnsi="Palatino Linotype" w:cs="Arial"/>
          <w:i/>
        </w:rPr>
      </w:pPr>
      <w:r w:rsidRPr="00A6655B">
        <w:rPr>
          <w:rFonts w:ascii="Palatino Linotype" w:hAnsi="Palatino Linotype" w:cs="Arial"/>
          <w:i/>
        </w:rPr>
        <w:t xml:space="preserve">Con el presente, le saludo a usted en forma cordial al tiempo de que y con atención a su solicitud 00130/CAPULHUA/IP/2021 registrada a través de este Sistema, con lo dispuesto en el Artículo 40 de la Ley de Transparencia y Acceso a la Información Pública del Estado de México y Municipios donde solicito lo siguiente: “solicito a la titular del órgano interno de control el procedimiento terminado en contra de la tesorera municipal de la administración 2016-2018 en versión publica” (Sic). En tal Virtud me permito remitirle la información que le enviaron a esta unidad de Transparencia, esto con el fin de dar pleno cumplimiento lo solicitado por el peticionario mencionando que la respuesta proporcionada del área correspondiente es la siguiente: Al respecto esta Contraloría Municipal, le informa que la información que solicita se considera como reservada, ya que por razones de interés público el acceso a esta se encuentra restringida en virtud de que pudiera causar una alteración en el procedimiento administrativo, en el que se encuentran incluidos los de la quejas, denuncias, inconformidades, responsabilidades administrativas y resarcitorias en tanto no hayan quedado firmes o afecte la administración de justicia o la seguridad de un denunciante, querellante o testigo, así como sus familias; circunstancia por la cual es aplicable la prueba de daño en términos de lo que dispone los artículos 129 y 140 Ley de Transparencia y Acceso a </w:t>
      </w:r>
      <w:proofErr w:type="spellStart"/>
      <w:r w:rsidRPr="00A6655B">
        <w:rPr>
          <w:rFonts w:ascii="Palatino Linotype" w:hAnsi="Palatino Linotype" w:cs="Arial"/>
          <w:i/>
        </w:rPr>
        <w:t>al</w:t>
      </w:r>
      <w:proofErr w:type="spellEnd"/>
      <w:r w:rsidRPr="00A6655B">
        <w:rPr>
          <w:rFonts w:ascii="Palatino Linotype" w:hAnsi="Palatino Linotype" w:cs="Arial"/>
          <w:i/>
        </w:rPr>
        <w:t xml:space="preserve"> Información Pública del Estado de México</w:t>
      </w:r>
    </w:p>
    <w:p w14:paraId="399E9E30" w14:textId="716730E2" w:rsidR="009A6CC5" w:rsidRPr="00F13C4A" w:rsidRDefault="00A6655B" w:rsidP="00A6655B">
      <w:pPr>
        <w:tabs>
          <w:tab w:val="right" w:pos="8505"/>
        </w:tabs>
        <w:spacing w:after="0" w:line="240" w:lineRule="auto"/>
        <w:ind w:left="567" w:right="567"/>
        <w:rPr>
          <w:rFonts w:ascii="Palatino Linotype" w:hAnsi="Palatino Linotype" w:cs="Arial"/>
          <w:i/>
        </w:rPr>
      </w:pPr>
      <w:r w:rsidRPr="00A6655B">
        <w:rPr>
          <w:rFonts w:ascii="Palatino Linotype" w:hAnsi="Palatino Linotype" w:cs="Arial"/>
          <w:i/>
        </w:rPr>
        <w:t>ATENTAMENTE</w:t>
      </w:r>
      <w:r w:rsidR="00FA7246">
        <w:rPr>
          <w:rFonts w:ascii="Palatino Linotype" w:hAnsi="Palatino Linotype" w:cs="Arial"/>
          <w:i/>
        </w:rPr>
        <w:t>…</w:t>
      </w:r>
      <w:r w:rsidR="00F13C4A">
        <w:rPr>
          <w:rFonts w:ascii="Palatino Linotype" w:hAnsi="Palatino Linotype" w:cs="Arial"/>
          <w:i/>
        </w:rPr>
        <w:t>” (</w:t>
      </w:r>
      <w:proofErr w:type="gramStart"/>
      <w:r w:rsidR="00F13C4A">
        <w:rPr>
          <w:rFonts w:ascii="Palatino Linotype" w:hAnsi="Palatino Linotype" w:cs="Arial"/>
          <w:i/>
        </w:rPr>
        <w:t>sic</w:t>
      </w:r>
      <w:proofErr w:type="gramEnd"/>
      <w:r w:rsidR="00F13C4A">
        <w:rPr>
          <w:rFonts w:ascii="Palatino Linotype" w:hAnsi="Palatino Linotype" w:cs="Arial"/>
          <w:i/>
        </w:rPr>
        <w:t>).</w:t>
      </w:r>
    </w:p>
    <w:p w14:paraId="5412D982" w14:textId="77777777" w:rsidR="005E6098" w:rsidRDefault="005E6098" w:rsidP="00427596">
      <w:pPr>
        <w:spacing w:after="0" w:line="360" w:lineRule="auto"/>
        <w:jc w:val="both"/>
        <w:rPr>
          <w:rFonts w:ascii="Palatino Linotype" w:hAnsi="Palatino Linotype" w:cs="Arial"/>
          <w:b/>
          <w:sz w:val="28"/>
        </w:rPr>
      </w:pPr>
    </w:p>
    <w:p w14:paraId="722F2D36"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16E65A6B" w14:textId="25A9B545"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585F17">
        <w:rPr>
          <w:rFonts w:ascii="Palatino Linotype" w:hAnsi="Palatino Linotype" w:cs="Arial"/>
          <w:b/>
          <w:sz w:val="24"/>
          <w:szCs w:val="24"/>
        </w:rPr>
        <w:t>La</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6B2585">
        <w:rPr>
          <w:rFonts w:ascii="Palatino Linotype" w:hAnsi="Palatino Linotype" w:cs="Arial"/>
          <w:sz w:val="24"/>
          <w:szCs w:val="24"/>
        </w:rPr>
        <w:t>treinta</w:t>
      </w:r>
      <w:r w:rsidR="00F13C4A">
        <w:rPr>
          <w:rFonts w:ascii="Palatino Linotype" w:hAnsi="Palatino Linotype" w:cs="Arial"/>
          <w:sz w:val="24"/>
          <w:szCs w:val="24"/>
        </w:rPr>
        <w:t xml:space="preserve"> de septiembre de</w:t>
      </w:r>
      <w:r w:rsidR="003251D2">
        <w:rPr>
          <w:rFonts w:ascii="Palatino Linotype" w:hAnsi="Palatino Linotype" w:cs="Arial"/>
          <w:sz w:val="24"/>
          <w:szCs w:val="24"/>
        </w:rPr>
        <w:t xml:space="preserv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91CE7" w:rsidRPr="00FC71F1">
        <w:rPr>
          <w:rFonts w:ascii="Palatino Linotype" w:hAnsi="Palatino Linotype" w:cs="Arial"/>
          <w:b/>
          <w:bCs/>
          <w:sz w:val="24"/>
          <w:lang w:eastAsia="es-MX"/>
        </w:rPr>
        <w:t>0</w:t>
      </w:r>
      <w:r w:rsidR="006B2585">
        <w:rPr>
          <w:rFonts w:ascii="Palatino Linotype" w:hAnsi="Palatino Linotype" w:cs="Arial"/>
          <w:b/>
          <w:bCs/>
          <w:sz w:val="24"/>
          <w:lang w:eastAsia="es-MX"/>
        </w:rPr>
        <w:t>4885</w:t>
      </w:r>
      <w:r w:rsidR="00291CE7"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E2780A2" w14:textId="77777777" w:rsidR="000741BD" w:rsidRPr="00B22B55" w:rsidRDefault="000741BD" w:rsidP="00427596">
      <w:pPr>
        <w:pStyle w:val="Sinespaciado"/>
        <w:spacing w:line="360" w:lineRule="auto"/>
      </w:pPr>
    </w:p>
    <w:p w14:paraId="6C7E7E72" w14:textId="77777777" w:rsidR="008F0299" w:rsidRPr="00B22B55" w:rsidRDefault="008F0299" w:rsidP="00427596">
      <w:pPr>
        <w:pStyle w:val="Sinespaciado"/>
        <w:spacing w:line="360" w:lineRule="auto"/>
        <w:rPr>
          <w:sz w:val="2"/>
        </w:rPr>
      </w:pPr>
    </w:p>
    <w:p w14:paraId="4BC5D313"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7F3F5CE3" w14:textId="56466CB4" w:rsidR="00207404"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lastRenderedPageBreak/>
        <w:t>“</w:t>
      </w:r>
      <w:r w:rsidR="006B2585" w:rsidRPr="006B2585">
        <w:rPr>
          <w:rFonts w:ascii="Palatino Linotype" w:hAnsi="Palatino Linotype"/>
          <w:i/>
          <w:color w:val="000000"/>
        </w:rPr>
        <w:t xml:space="preserve">NO </w:t>
      </w:r>
      <w:r w:rsidR="003945AD">
        <w:rPr>
          <w:rFonts w:ascii="Palatino Linotype" w:hAnsi="Palatino Linotype"/>
          <w:i/>
          <w:color w:val="000000"/>
        </w:rPr>
        <w:t>ME DIO RESPUESTA DE MI PETICIÓN</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3CDB5A44" w14:textId="77777777" w:rsidR="00FC0A96" w:rsidRPr="003945AD" w:rsidRDefault="00FC0A96" w:rsidP="00427596">
      <w:pPr>
        <w:spacing w:after="0" w:line="360" w:lineRule="auto"/>
        <w:ind w:left="567" w:right="567" w:hanging="11"/>
        <w:jc w:val="both"/>
        <w:rPr>
          <w:rFonts w:ascii="Palatino Linotype" w:hAnsi="Palatino Linotype"/>
          <w:i/>
          <w:color w:val="000000"/>
          <w:sz w:val="16"/>
        </w:rPr>
      </w:pPr>
    </w:p>
    <w:p w14:paraId="4622A876" w14:textId="77777777" w:rsidR="00884EEA" w:rsidRPr="00B22B55" w:rsidRDefault="00884EEA" w:rsidP="003945AD">
      <w:pPr>
        <w:pStyle w:val="Prrafodelista"/>
        <w:numPr>
          <w:ilvl w:val="0"/>
          <w:numId w:val="2"/>
        </w:numPr>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AA594D4" w14:textId="66C51812" w:rsidR="003923DA" w:rsidRPr="00B22B55" w:rsidRDefault="00884EEA" w:rsidP="003945AD">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6B2585" w:rsidRPr="006B2585">
        <w:rPr>
          <w:rFonts w:ascii="Palatino Linotype" w:hAnsi="Palatino Linotype"/>
          <w:i/>
          <w:color w:val="000000"/>
        </w:rPr>
        <w:t>NO ME DIO RESPUESTA DE MI PETICIÓN</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7D4B5A4F" w14:textId="77777777" w:rsidR="00BA1180" w:rsidRPr="00B22B55" w:rsidRDefault="00BA1180" w:rsidP="00427596">
      <w:pPr>
        <w:spacing w:after="0" w:line="360" w:lineRule="auto"/>
        <w:rPr>
          <w:sz w:val="24"/>
        </w:rPr>
      </w:pPr>
    </w:p>
    <w:p w14:paraId="4ED48BF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4B0AB249" w14:textId="67904B9A"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F13C4A">
        <w:rPr>
          <w:rFonts w:ascii="Palatino Linotype" w:hAnsi="Palatino Linotype" w:cs="Arial"/>
          <w:sz w:val="24"/>
          <w:szCs w:val="24"/>
        </w:rPr>
        <w:t>l</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F13C4A">
        <w:rPr>
          <w:rFonts w:ascii="Palatino Linotype" w:hAnsi="Palatino Linotype" w:cs="Arial"/>
          <w:sz w:val="24"/>
          <w:szCs w:val="24"/>
        </w:rPr>
        <w:t>o</w:t>
      </w:r>
      <w:r w:rsidR="00F13C4A">
        <w:rPr>
          <w:rFonts w:ascii="Palatino Linotype" w:hAnsi="Palatino Linotype" w:cs="Arial"/>
          <w:b/>
          <w:sz w:val="24"/>
          <w:szCs w:val="24"/>
        </w:rPr>
        <w:t xml:space="preserve"> 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B2585">
        <w:rPr>
          <w:rFonts w:ascii="Palatino Linotype" w:hAnsi="Palatino Linotype" w:cs="Arial"/>
          <w:sz w:val="24"/>
          <w:szCs w:val="24"/>
        </w:rPr>
        <w:t xml:space="preserve">seis de octubre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74668AC2" w14:textId="77777777" w:rsidR="00FC0A96" w:rsidRPr="003945AD" w:rsidRDefault="00FC0A96" w:rsidP="00427596">
      <w:pPr>
        <w:spacing w:after="0" w:line="360" w:lineRule="auto"/>
      </w:pPr>
    </w:p>
    <w:p w14:paraId="1CE638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470F827E" w14:textId="163A5388" w:rsidR="00B767F1" w:rsidRDefault="006B2585" w:rsidP="004275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884EEA" w:rsidRPr="00B22B55">
        <w:rPr>
          <w:rFonts w:ascii="Palatino Linotype" w:hAnsi="Palatino Linotype" w:cs="Arial"/>
          <w:sz w:val="24"/>
          <w:szCs w:val="24"/>
        </w:rPr>
        <w:t>una vez abierta la</w:t>
      </w:r>
      <w:r w:rsidR="00292B6E">
        <w:rPr>
          <w:rFonts w:ascii="Palatino Linotype" w:hAnsi="Palatino Linotype" w:cs="Arial"/>
          <w:sz w:val="24"/>
          <w:szCs w:val="24"/>
        </w:rPr>
        <w:t xml:space="preserve"> etapa de instrucción </w:t>
      </w:r>
      <w:r>
        <w:rPr>
          <w:rFonts w:ascii="Palatino Linotype" w:hAnsi="Palatino Linotype" w:cs="Arial"/>
          <w:sz w:val="24"/>
          <w:szCs w:val="24"/>
        </w:rPr>
        <w:t xml:space="preserve">se advierte que </w:t>
      </w:r>
      <w:r w:rsidRPr="00B70E3B">
        <w:rPr>
          <w:rFonts w:ascii="Palatino Linotype" w:hAnsi="Palatino Linotype" w:cs="Arial"/>
          <w:b/>
          <w:sz w:val="24"/>
          <w:szCs w:val="24"/>
        </w:rPr>
        <w:t>El Sujeto Obligado</w:t>
      </w:r>
      <w:r>
        <w:rPr>
          <w:rFonts w:ascii="Palatino Linotype" w:hAnsi="Palatino Linotype" w:cs="Arial"/>
          <w:sz w:val="24"/>
          <w:szCs w:val="24"/>
        </w:rPr>
        <w:t xml:space="preserve"> fue omiso en rendir </w:t>
      </w:r>
      <w:r w:rsidR="00B70E3B">
        <w:rPr>
          <w:rFonts w:ascii="Palatino Linotype" w:hAnsi="Palatino Linotype" w:cs="Arial"/>
          <w:sz w:val="24"/>
          <w:szCs w:val="24"/>
        </w:rPr>
        <w:t>informe j</w:t>
      </w:r>
      <w:r>
        <w:rPr>
          <w:rFonts w:ascii="Palatino Linotype" w:hAnsi="Palatino Linotype" w:cs="Arial"/>
          <w:sz w:val="24"/>
          <w:szCs w:val="24"/>
        </w:rPr>
        <w:t xml:space="preserve">ustificado, asimismo </w:t>
      </w:r>
      <w:r>
        <w:rPr>
          <w:rFonts w:ascii="Palatino Linotype" w:hAnsi="Palatino Linotype" w:cs="Arial"/>
          <w:b/>
          <w:sz w:val="24"/>
          <w:szCs w:val="24"/>
        </w:rPr>
        <w:t>El</w:t>
      </w:r>
      <w:r w:rsidR="00D25474" w:rsidRPr="00B22B55">
        <w:rPr>
          <w:rFonts w:ascii="Palatino Linotype" w:hAnsi="Palatino Linotype" w:cs="Arial"/>
          <w:b/>
          <w:sz w:val="24"/>
          <w:szCs w:val="24"/>
        </w:rPr>
        <w:t xml:space="preserve"> </w:t>
      </w:r>
      <w:r w:rsidR="00884EEA"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w:t>
      </w:r>
      <w:r w:rsidR="00A14BB5" w:rsidRPr="00B22B55">
        <w:rPr>
          <w:rFonts w:ascii="Palatino Linotype" w:hAnsi="Palatino Linotype"/>
          <w:sz w:val="24"/>
          <w:szCs w:val="24"/>
        </w:rPr>
        <w:t xml:space="preserve">no </w:t>
      </w:r>
      <w:r>
        <w:rPr>
          <w:rFonts w:ascii="Palatino Linotype" w:hAnsi="Palatino Linotype"/>
          <w:sz w:val="24"/>
          <w:szCs w:val="24"/>
        </w:rPr>
        <w:t>realizó</w:t>
      </w:r>
      <w:r w:rsidR="009F706A" w:rsidRPr="00B22B55">
        <w:rPr>
          <w:rFonts w:ascii="Palatino Linotype" w:hAnsi="Palatino Linotype"/>
          <w:sz w:val="24"/>
          <w:szCs w:val="24"/>
        </w:rPr>
        <w:t xml:space="preserve"> manifestaciones</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no existe prueba alguna que deba desahogarse, </w:t>
      </w:r>
      <w:r w:rsidR="00207404" w:rsidRPr="00B22B55">
        <w:rPr>
          <w:rFonts w:ascii="Palatino Linotype" w:hAnsi="Palatino Linotype" w:cs="Arial"/>
          <w:sz w:val="24"/>
          <w:szCs w:val="24"/>
        </w:rPr>
        <w:t>de conformidad con la siguiente imagen:</w:t>
      </w:r>
    </w:p>
    <w:p w14:paraId="390DEDE5" w14:textId="77777777" w:rsidR="0007495F" w:rsidRPr="003945AD" w:rsidRDefault="0007495F" w:rsidP="00427596">
      <w:pPr>
        <w:spacing w:after="0" w:line="360" w:lineRule="auto"/>
        <w:jc w:val="both"/>
        <w:rPr>
          <w:rFonts w:ascii="Palatino Linotype" w:hAnsi="Palatino Linotype"/>
          <w:sz w:val="6"/>
          <w:szCs w:val="24"/>
        </w:rPr>
      </w:pPr>
    </w:p>
    <w:p w14:paraId="58D575D0" w14:textId="7F2B2374" w:rsidR="006B2585" w:rsidRPr="00837A1E" w:rsidRDefault="006B2585" w:rsidP="00427596">
      <w:pPr>
        <w:spacing w:after="0" w:line="360" w:lineRule="auto"/>
        <w:jc w:val="both"/>
        <w:rPr>
          <w:rFonts w:ascii="Palatino Linotype" w:hAnsi="Palatino Linotype"/>
          <w:sz w:val="16"/>
          <w:szCs w:val="24"/>
        </w:rPr>
      </w:pPr>
      <w:r>
        <w:rPr>
          <w:rFonts w:ascii="Palatino Linotype" w:hAnsi="Palatino Linotype"/>
          <w:noProof/>
          <w:sz w:val="16"/>
          <w:szCs w:val="24"/>
          <w:lang w:eastAsia="es-MX"/>
        </w:rPr>
        <w:drawing>
          <wp:inline distT="0" distB="0" distL="0" distR="0" wp14:anchorId="5D40B562" wp14:editId="2509AC7E">
            <wp:extent cx="5753735" cy="20186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2018665"/>
                    </a:xfrm>
                    <a:prstGeom prst="rect">
                      <a:avLst/>
                    </a:prstGeom>
                    <a:noFill/>
                    <a:ln>
                      <a:noFill/>
                    </a:ln>
                  </pic:spPr>
                </pic:pic>
              </a:graphicData>
            </a:graphic>
          </wp:inline>
        </w:drawing>
      </w:r>
    </w:p>
    <w:p w14:paraId="666C4707" w14:textId="77777777" w:rsidR="00F9265D" w:rsidRPr="00DC2CE9" w:rsidRDefault="00F9265D" w:rsidP="00427596">
      <w:pPr>
        <w:spacing w:after="0" w:line="360" w:lineRule="auto"/>
        <w:rPr>
          <w:sz w:val="8"/>
        </w:rPr>
      </w:pPr>
    </w:p>
    <w:p w14:paraId="54086AC8" w14:textId="77777777" w:rsidR="00A14BB5" w:rsidRPr="00DC2CE9" w:rsidRDefault="00A14BB5" w:rsidP="00427596">
      <w:pPr>
        <w:pStyle w:val="Sinespaciado"/>
        <w:spacing w:line="360" w:lineRule="auto"/>
        <w:rPr>
          <w:noProof/>
          <w:lang w:eastAsia="es-MX"/>
        </w:rPr>
      </w:pPr>
    </w:p>
    <w:p w14:paraId="61F557D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1C38B7FE" w14:textId="7CB88818"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3B3D23">
        <w:rPr>
          <w:rFonts w:ascii="Palatino Linotype" w:hAnsi="Palatino Linotype" w:cs="Arial"/>
          <w:sz w:val="24"/>
          <w:szCs w:val="24"/>
        </w:rPr>
        <w:t xml:space="preserve">dieciocho </w:t>
      </w:r>
      <w:r w:rsidR="00585F17">
        <w:rPr>
          <w:rFonts w:ascii="Palatino Linotype" w:hAnsi="Palatino Linotype" w:cs="Arial"/>
          <w:sz w:val="24"/>
          <w:szCs w:val="24"/>
        </w:rPr>
        <w:t xml:space="preserve">de octubre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6F744AB" w14:textId="77777777" w:rsidR="00292B6E" w:rsidRDefault="00292B6E" w:rsidP="00427596">
      <w:pPr>
        <w:spacing w:after="0" w:line="360" w:lineRule="auto"/>
        <w:jc w:val="both"/>
        <w:rPr>
          <w:rFonts w:ascii="Palatino Linotype" w:hAnsi="Palatino Linotype" w:cs="Arial"/>
          <w:sz w:val="24"/>
          <w:szCs w:val="24"/>
        </w:rPr>
      </w:pPr>
    </w:p>
    <w:p w14:paraId="17123335" w14:textId="77777777" w:rsidR="00292B6E" w:rsidRDefault="00292B6E" w:rsidP="00292B6E">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30433EFD" w14:textId="088DCA00" w:rsidR="00292B6E" w:rsidRDefault="00292B6E" w:rsidP="00292B6E">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sidR="003B3D23">
        <w:rPr>
          <w:rFonts w:ascii="Palatino Linotype" w:hAnsi="Palatino Linotype" w:cs="Arial"/>
          <w:sz w:val="24"/>
          <w:szCs w:val="24"/>
        </w:rPr>
        <w:t xml:space="preserve">diecinueve </w:t>
      </w:r>
      <w:r w:rsidR="0090202E">
        <w:rPr>
          <w:rFonts w:ascii="Palatino Linotype" w:hAnsi="Palatino Linotype" w:cs="Arial"/>
          <w:sz w:val="24"/>
          <w:szCs w:val="24"/>
        </w:rPr>
        <w:t xml:space="preserve">de noviembre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1ED4355F" w14:textId="77777777" w:rsidR="00292B6E" w:rsidRDefault="00292B6E" w:rsidP="00427596">
      <w:pPr>
        <w:spacing w:after="0" w:line="360" w:lineRule="auto"/>
        <w:jc w:val="both"/>
        <w:rPr>
          <w:rFonts w:ascii="Palatino Linotype" w:hAnsi="Palatino Linotype" w:cs="Arial"/>
          <w:sz w:val="24"/>
          <w:szCs w:val="24"/>
        </w:rPr>
      </w:pPr>
    </w:p>
    <w:p w14:paraId="6064B25D"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121B7533" w14:textId="77777777" w:rsidR="00E143C6" w:rsidRPr="00B22B55" w:rsidRDefault="00E143C6" w:rsidP="00427596">
      <w:pPr>
        <w:pStyle w:val="Sinespaciado"/>
        <w:spacing w:line="360" w:lineRule="auto"/>
        <w:rPr>
          <w:sz w:val="6"/>
        </w:rPr>
      </w:pPr>
    </w:p>
    <w:p w14:paraId="426BF015" w14:textId="77777777" w:rsidR="00FC0A96" w:rsidRPr="00B22B55" w:rsidRDefault="00FC0A96" w:rsidP="00427596">
      <w:pPr>
        <w:pStyle w:val="Sinespaciado"/>
        <w:spacing w:line="360" w:lineRule="auto"/>
      </w:pPr>
    </w:p>
    <w:p w14:paraId="41E62534"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352E11FC" w14:textId="77777777"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B27E7">
        <w:rPr>
          <w:rFonts w:ascii="Palatino Linotype" w:hAnsi="Palatino Linotype" w:cs="Arial"/>
          <w:sz w:val="24"/>
        </w:rPr>
        <w:t>trigésimo,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w:t>
      </w:r>
      <w:r w:rsidRPr="00B22B55">
        <w:rPr>
          <w:rFonts w:ascii="Palatino Linotype" w:hAnsi="Palatino Linotype" w:cs="Arial"/>
          <w:sz w:val="24"/>
        </w:rPr>
        <w:lastRenderedPageBreak/>
        <w:t>y XXIV y 11 del Reglamento Interior del Instituto de Transparencia, Acceso a la Información Pública y Protección de Datos Personales del Estado de México y Municipios.</w:t>
      </w:r>
    </w:p>
    <w:p w14:paraId="4374BF12" w14:textId="77777777" w:rsidR="00C81371" w:rsidRPr="00B22B55" w:rsidRDefault="00C81371" w:rsidP="00427596">
      <w:pPr>
        <w:spacing w:after="0" w:line="360" w:lineRule="auto"/>
        <w:jc w:val="both"/>
        <w:rPr>
          <w:rFonts w:ascii="Palatino Linotype" w:hAnsi="Palatino Linotype" w:cs="Arial"/>
          <w:sz w:val="24"/>
        </w:rPr>
      </w:pPr>
    </w:p>
    <w:p w14:paraId="70D2FD2A"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6947161D"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283910" w14:textId="77777777"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14:paraId="0D22158C"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6FA16390" w14:textId="77777777"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758500" w14:textId="77777777" w:rsidR="00F257E5" w:rsidRPr="009C6F75" w:rsidRDefault="00F257E5" w:rsidP="00427596">
      <w:pPr>
        <w:pStyle w:val="Sinespaciado"/>
        <w:spacing w:line="360" w:lineRule="auto"/>
        <w:jc w:val="both"/>
        <w:rPr>
          <w:rFonts w:ascii="Palatino Linotype" w:hAnsi="Palatino Linotype"/>
          <w:sz w:val="24"/>
          <w:szCs w:val="24"/>
        </w:rPr>
      </w:pPr>
    </w:p>
    <w:p w14:paraId="407C03E0" w14:textId="77777777"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9C6F75">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70AD8F06" w14:textId="77777777" w:rsidR="00F257E5" w:rsidRPr="003945AD" w:rsidRDefault="00F257E5" w:rsidP="00427596">
      <w:pPr>
        <w:pStyle w:val="Sinespaciado"/>
        <w:spacing w:line="360" w:lineRule="auto"/>
        <w:jc w:val="both"/>
        <w:rPr>
          <w:rFonts w:ascii="Palatino Linotype" w:hAnsi="Palatino Linotype"/>
          <w:sz w:val="24"/>
          <w:szCs w:val="24"/>
        </w:rPr>
      </w:pPr>
    </w:p>
    <w:p w14:paraId="4D54D389"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44206F" w14:textId="77777777" w:rsidR="00F257E5" w:rsidRPr="003945AD" w:rsidRDefault="00F257E5" w:rsidP="00427596">
      <w:pPr>
        <w:pStyle w:val="Sinespaciado"/>
        <w:spacing w:line="360" w:lineRule="auto"/>
        <w:jc w:val="both"/>
        <w:rPr>
          <w:rFonts w:ascii="Palatino Linotype" w:hAnsi="Palatino Linotype"/>
          <w:sz w:val="24"/>
          <w:szCs w:val="24"/>
        </w:rPr>
      </w:pPr>
    </w:p>
    <w:p w14:paraId="329D3138" w14:textId="77777777" w:rsidR="00F257E5" w:rsidRPr="00800AFE" w:rsidRDefault="00F257E5" w:rsidP="00427596">
      <w:pPr>
        <w:pStyle w:val="Sinespaciado"/>
        <w:spacing w:line="360" w:lineRule="auto"/>
        <w:jc w:val="both"/>
        <w:rPr>
          <w:rFonts w:ascii="Palatino Linotype" w:hAnsi="Palatino Linotype"/>
          <w:sz w:val="28"/>
          <w:szCs w:val="26"/>
        </w:rPr>
      </w:pPr>
      <w:r w:rsidRPr="00EB27E7">
        <w:rPr>
          <w:rFonts w:ascii="Palatino Linotype" w:hAnsi="Palatino Linotype"/>
          <w:b/>
          <w:sz w:val="28"/>
          <w:szCs w:val="26"/>
        </w:rPr>
        <w:t>CUARTO.</w:t>
      </w:r>
      <w:r w:rsidRPr="00EB27E7">
        <w:rPr>
          <w:rFonts w:ascii="Palatino Linotype" w:hAnsi="Palatino Linotype"/>
          <w:sz w:val="28"/>
          <w:szCs w:val="26"/>
        </w:rPr>
        <w:t xml:space="preserve"> </w:t>
      </w:r>
      <w:r w:rsidRPr="00EB27E7">
        <w:rPr>
          <w:rFonts w:ascii="Palatino Linotype" w:hAnsi="Palatino Linotype"/>
          <w:b/>
          <w:sz w:val="28"/>
          <w:szCs w:val="26"/>
        </w:rPr>
        <w:t>Estudio y resolución del asunto.</w:t>
      </w:r>
    </w:p>
    <w:p w14:paraId="53760497" w14:textId="77777777" w:rsidR="00F257E5" w:rsidRDefault="00F257E5" w:rsidP="00BB32F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B6CEE9F" w14:textId="2A6CA782" w:rsidR="003118C5" w:rsidRPr="006C42AB" w:rsidRDefault="003118C5" w:rsidP="00BB32F5">
      <w:pPr>
        <w:spacing w:after="0" w:line="360" w:lineRule="auto"/>
        <w:ind w:left="851" w:right="851"/>
        <w:jc w:val="both"/>
        <w:rPr>
          <w:rFonts w:ascii="Palatino Linotype" w:eastAsia="Times New Roman" w:hAnsi="Palatino Linotype" w:cs="Times New Roman"/>
          <w:b/>
          <w:i/>
          <w:sz w:val="18"/>
          <w:lang w:eastAsia="es-ES"/>
        </w:rPr>
      </w:pPr>
    </w:p>
    <w:p w14:paraId="0B606516" w14:textId="7A843D7D" w:rsidR="00BB32F5" w:rsidRPr="005C24CD" w:rsidRDefault="00BB32F5" w:rsidP="00BB32F5">
      <w:pPr>
        <w:spacing w:after="0" w:line="360" w:lineRule="auto"/>
        <w:ind w:right="141"/>
        <w:jc w:val="both"/>
        <w:rPr>
          <w:rFonts w:ascii="Palatino Linotype" w:hAnsi="Palatino Linotype" w:cs="Arial"/>
          <w:sz w:val="24"/>
        </w:rPr>
      </w:pPr>
      <w:r>
        <w:rPr>
          <w:rFonts w:ascii="Palatino Linotype" w:hAnsi="Palatino Linotype" w:cs="Arial"/>
          <w:bCs/>
          <w:sz w:val="24"/>
          <w:szCs w:val="24"/>
        </w:rPr>
        <w:t xml:space="preserve">Por lo anterior, </w:t>
      </w:r>
      <w:r w:rsidRPr="005C24CD">
        <w:rPr>
          <w:rFonts w:ascii="Palatino Linotype" w:hAnsi="Palatino Linotype" w:cs="Arial"/>
          <w:bCs/>
          <w:sz w:val="24"/>
          <w:szCs w:val="24"/>
        </w:rPr>
        <w:t xml:space="preserve">es importante señalar que </w:t>
      </w:r>
      <w:r w:rsidRPr="005C24CD">
        <w:rPr>
          <w:rFonts w:ascii="Palatino Linotype" w:hAnsi="Palatino Linotype" w:cs="Arial"/>
          <w:sz w:val="24"/>
        </w:rPr>
        <w:t>el artículo 4, párrafo segundo de la Ley de Transparencia y Acceso a la Información Pública del Estado de México</w:t>
      </w:r>
      <w:r>
        <w:rPr>
          <w:rFonts w:ascii="Palatino Linotype" w:hAnsi="Palatino Linotype" w:cs="Arial"/>
          <w:sz w:val="24"/>
        </w:rPr>
        <w:t xml:space="preserve"> </w:t>
      </w:r>
      <w:r w:rsidRPr="005C24CD">
        <w:rPr>
          <w:rFonts w:ascii="Palatino Linotype" w:hAnsi="Palatino Linotype" w:cs="Arial"/>
          <w:sz w:val="24"/>
        </w:rPr>
        <w:t>y Municipios</w:t>
      </w:r>
      <w:r>
        <w:rPr>
          <w:rFonts w:ascii="Palatino Linotype" w:hAnsi="Palatino Linotype" w:cs="Arial"/>
          <w:sz w:val="24"/>
        </w:rPr>
        <w:t>, señala por un lado que toda la información en posesión de los sujetos obligados es publica y accesible de manera permanente a cualquier persona y por el otro que en su caso podrá ser clasificada excepcionalmente como reservada temporalmente por razones de interés público</w:t>
      </w:r>
      <w:r w:rsidRPr="005C24CD">
        <w:rPr>
          <w:rFonts w:ascii="Palatino Linotype" w:hAnsi="Palatino Linotype" w:cs="Arial"/>
          <w:sz w:val="24"/>
        </w:rPr>
        <w:t>,</w:t>
      </w:r>
      <w:r>
        <w:rPr>
          <w:rFonts w:ascii="Palatino Linotype" w:hAnsi="Palatino Linotype" w:cs="Arial"/>
          <w:sz w:val="24"/>
        </w:rPr>
        <w:t xml:space="preserve"> porción normativa que en lo que interesa es del tenor literal siguiente</w:t>
      </w:r>
      <w:r w:rsidRPr="005C24CD">
        <w:rPr>
          <w:rFonts w:ascii="Palatino Linotype" w:hAnsi="Palatino Linotype" w:cs="Arial"/>
          <w:sz w:val="24"/>
        </w:rPr>
        <w:t xml:space="preserve"> dispone:</w:t>
      </w:r>
    </w:p>
    <w:p w14:paraId="0C12B86A" w14:textId="77777777" w:rsidR="00BB32F5" w:rsidRPr="005C24CD" w:rsidRDefault="00BB32F5" w:rsidP="00BB32F5">
      <w:pPr>
        <w:spacing w:after="0" w:line="240" w:lineRule="auto"/>
        <w:rPr>
          <w:rFonts w:ascii="Times New Roman" w:eastAsia="Times New Roman" w:hAnsi="Times New Roman" w:cs="Times New Roman"/>
          <w:sz w:val="24"/>
          <w:szCs w:val="24"/>
          <w:lang w:eastAsia="es-ES"/>
        </w:rPr>
      </w:pPr>
    </w:p>
    <w:p w14:paraId="45396F8F" w14:textId="77777777" w:rsidR="00BB32F5" w:rsidRPr="005C24CD" w:rsidRDefault="00BB32F5" w:rsidP="00BB32F5">
      <w:pPr>
        <w:spacing w:after="0"/>
        <w:ind w:left="567" w:right="567"/>
        <w:jc w:val="both"/>
        <w:rPr>
          <w:rFonts w:ascii="Palatino Linotype" w:hAnsi="Palatino Linotype" w:cs="Arial"/>
          <w:i/>
          <w:color w:val="000000"/>
        </w:rPr>
      </w:pPr>
      <w:r w:rsidRPr="005C24CD">
        <w:rPr>
          <w:rFonts w:ascii="Palatino Linotype" w:hAnsi="Palatino Linotype" w:cs="Arial"/>
          <w:i/>
        </w:rPr>
        <w:t>“</w:t>
      </w:r>
      <w:r w:rsidRPr="005C24CD">
        <w:rPr>
          <w:rFonts w:ascii="Palatino Linotype" w:hAnsi="Palatino Linotype" w:cs="Arial"/>
          <w:b/>
          <w:i/>
          <w:color w:val="000000"/>
        </w:rPr>
        <w:t xml:space="preserve">Artículo 4. </w:t>
      </w:r>
      <w:r w:rsidRPr="005C24CD">
        <w:rPr>
          <w:rFonts w:ascii="Palatino Linotype" w:hAnsi="Palatino Linotype" w:cs="Arial"/>
          <w:i/>
          <w:color w:val="000000"/>
        </w:rPr>
        <w:t xml:space="preserve">… </w:t>
      </w:r>
    </w:p>
    <w:p w14:paraId="47798B81" w14:textId="77777777" w:rsidR="00BB32F5" w:rsidRPr="005C24CD" w:rsidRDefault="00BB32F5" w:rsidP="00BB32F5">
      <w:pPr>
        <w:spacing w:after="0"/>
        <w:ind w:left="567" w:right="567"/>
        <w:jc w:val="both"/>
        <w:rPr>
          <w:rFonts w:ascii="Palatino Linotype" w:hAnsi="Palatino Linotype" w:cs="Arial"/>
          <w:i/>
          <w:color w:val="000000"/>
        </w:rPr>
      </w:pPr>
      <w:r w:rsidRPr="005C24C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E9A371" w14:textId="77777777" w:rsidR="00BB32F5" w:rsidRPr="005C24CD" w:rsidRDefault="00BB32F5" w:rsidP="00BB32F5">
      <w:pPr>
        <w:spacing w:after="0" w:line="360" w:lineRule="auto"/>
        <w:ind w:left="567" w:right="567"/>
        <w:jc w:val="both"/>
        <w:rPr>
          <w:rFonts w:ascii="Palatino Linotype" w:hAnsi="Palatino Linotype" w:cs="Arial"/>
          <w:i/>
          <w:color w:val="000000"/>
        </w:rPr>
      </w:pPr>
      <w:r w:rsidRPr="005C24CD">
        <w:rPr>
          <w:rFonts w:ascii="Palatino Linotype" w:hAnsi="Palatino Linotype" w:cs="Arial"/>
          <w:i/>
          <w:color w:val="000000"/>
        </w:rPr>
        <w:lastRenderedPageBreak/>
        <w:t>(</w:t>
      </w:r>
      <w:r w:rsidRPr="005C24CD">
        <w:rPr>
          <w:rFonts w:ascii="Palatino Linotype" w:hAnsi="Palatino Linotype" w:cs="Arial"/>
          <w:i/>
        </w:rPr>
        <w:t>...)”</w:t>
      </w:r>
    </w:p>
    <w:p w14:paraId="4A2FD5C8" w14:textId="77777777" w:rsidR="00BB32F5" w:rsidRPr="005C24CD" w:rsidRDefault="00BB32F5" w:rsidP="00BB32F5">
      <w:pPr>
        <w:spacing w:after="0" w:line="360" w:lineRule="auto"/>
        <w:ind w:left="851" w:right="902"/>
        <w:jc w:val="both"/>
        <w:rPr>
          <w:rFonts w:ascii="Palatino Linotype" w:hAnsi="Palatino Linotype" w:cs="Arial"/>
          <w:sz w:val="14"/>
        </w:rPr>
      </w:pPr>
    </w:p>
    <w:p w14:paraId="2AD91226" w14:textId="45DD14A5" w:rsidR="003118C5" w:rsidRPr="006C42AB" w:rsidRDefault="004E62C3" w:rsidP="00BB32F5">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00BB32F5">
        <w:rPr>
          <w:rFonts w:ascii="Palatino Linotype" w:hAnsi="Palatino Linotype" w:cs="Arial"/>
          <w:sz w:val="24"/>
          <w:szCs w:val="24"/>
        </w:rPr>
        <w:t xml:space="preserve">or </w:t>
      </w:r>
      <w:r w:rsidR="00FE3446">
        <w:rPr>
          <w:rFonts w:ascii="Palatino Linotype" w:hAnsi="Palatino Linotype" w:cs="Arial"/>
          <w:sz w:val="24"/>
          <w:szCs w:val="24"/>
        </w:rPr>
        <w:t xml:space="preserve">lo anterior, </w:t>
      </w:r>
      <w:r w:rsidR="003118C5" w:rsidRPr="006C42AB">
        <w:rPr>
          <w:rFonts w:ascii="Palatino Linotype" w:hAnsi="Palatino Linotype" w:cs="Arial"/>
          <w:sz w:val="24"/>
          <w:szCs w:val="24"/>
        </w:rPr>
        <w:t xml:space="preserve">de manera objetiva se precisa </w:t>
      </w:r>
      <w:r w:rsidR="00BB32F5">
        <w:rPr>
          <w:rFonts w:ascii="Palatino Linotype" w:hAnsi="Palatino Linotype" w:cs="Arial"/>
          <w:sz w:val="24"/>
          <w:szCs w:val="24"/>
        </w:rPr>
        <w:t>que la solicitud de información de referencia</w:t>
      </w:r>
      <w:r w:rsidR="003118C5" w:rsidRPr="006C42AB">
        <w:rPr>
          <w:rFonts w:ascii="Palatino Linotype" w:hAnsi="Palatino Linotype" w:cs="Arial"/>
          <w:b/>
          <w:sz w:val="24"/>
          <w:szCs w:val="24"/>
        </w:rPr>
        <w:t xml:space="preserve">, </w:t>
      </w:r>
      <w:r w:rsidR="003118C5">
        <w:rPr>
          <w:rFonts w:ascii="Palatino Linotype" w:hAnsi="Palatino Linotype" w:cs="Arial"/>
          <w:sz w:val="24"/>
          <w:szCs w:val="24"/>
        </w:rPr>
        <w:t>versa</w:t>
      </w:r>
      <w:r w:rsidR="003118C5" w:rsidRPr="006C42AB">
        <w:rPr>
          <w:rFonts w:ascii="Palatino Linotype" w:hAnsi="Palatino Linotype" w:cs="Arial"/>
          <w:sz w:val="24"/>
          <w:szCs w:val="24"/>
        </w:rPr>
        <w:t xml:space="preserve"> en conocer la siguiente información: </w:t>
      </w:r>
    </w:p>
    <w:p w14:paraId="6499F2A6" w14:textId="77777777" w:rsidR="003118C5" w:rsidRPr="006C42AB" w:rsidRDefault="003118C5" w:rsidP="003118C5">
      <w:pPr>
        <w:pStyle w:val="Sinespaciado"/>
        <w:spacing w:line="360" w:lineRule="auto"/>
        <w:jc w:val="both"/>
        <w:rPr>
          <w:rFonts w:ascii="Palatino Linotype" w:hAnsi="Palatino Linotype" w:cs="Arial"/>
        </w:rPr>
      </w:pPr>
    </w:p>
    <w:p w14:paraId="4972317C" w14:textId="71371A60" w:rsidR="00C65D51" w:rsidRPr="00FE3446" w:rsidRDefault="003118C5" w:rsidP="003B3D23">
      <w:pPr>
        <w:spacing w:after="0" w:line="360" w:lineRule="auto"/>
        <w:ind w:left="567"/>
        <w:jc w:val="both"/>
        <w:rPr>
          <w:rFonts w:ascii="Palatino Linotype" w:hAnsi="Palatino Linotype"/>
          <w:color w:val="000000"/>
        </w:rPr>
      </w:pPr>
      <w:r w:rsidRPr="00116521">
        <w:rPr>
          <w:rFonts w:ascii="Palatino Linotype" w:eastAsia="Calibri" w:hAnsi="Palatino Linotype" w:cs="Arial"/>
          <w:sz w:val="24"/>
          <w:szCs w:val="24"/>
          <w:lang w:val="es-ES" w:eastAsia="es-ES"/>
        </w:rPr>
        <w:t xml:space="preserve">1.- </w:t>
      </w:r>
      <w:r w:rsidR="00BC4852">
        <w:rPr>
          <w:rFonts w:ascii="Palatino Linotype" w:hAnsi="Palatino Linotype"/>
          <w:color w:val="000000"/>
          <w:sz w:val="24"/>
          <w:szCs w:val="24"/>
        </w:rPr>
        <w:t>E</w:t>
      </w:r>
      <w:r w:rsidR="003B3D23" w:rsidRPr="00116521">
        <w:rPr>
          <w:rFonts w:ascii="Palatino Linotype" w:hAnsi="Palatino Linotype"/>
          <w:color w:val="000000"/>
          <w:sz w:val="24"/>
          <w:szCs w:val="24"/>
        </w:rPr>
        <w:t xml:space="preserve">l </w:t>
      </w:r>
      <w:r w:rsidR="004E62C3">
        <w:rPr>
          <w:rFonts w:ascii="Palatino Linotype" w:hAnsi="Palatino Linotype"/>
          <w:color w:val="000000"/>
          <w:sz w:val="24"/>
          <w:szCs w:val="24"/>
        </w:rPr>
        <w:t>o los expediente</w:t>
      </w:r>
      <w:r w:rsidR="00D835E1">
        <w:rPr>
          <w:rFonts w:ascii="Palatino Linotype" w:hAnsi="Palatino Linotype"/>
          <w:color w:val="000000"/>
          <w:sz w:val="24"/>
          <w:szCs w:val="24"/>
        </w:rPr>
        <w:t>s</w:t>
      </w:r>
      <w:r w:rsidR="004E62C3">
        <w:rPr>
          <w:rFonts w:ascii="Palatino Linotype" w:hAnsi="Palatino Linotype"/>
          <w:color w:val="000000"/>
          <w:sz w:val="24"/>
          <w:szCs w:val="24"/>
        </w:rPr>
        <w:t xml:space="preserve"> formados con motivo del </w:t>
      </w:r>
      <w:r w:rsidR="003B3D23" w:rsidRPr="00116521">
        <w:rPr>
          <w:rFonts w:ascii="Palatino Linotype" w:hAnsi="Palatino Linotype"/>
          <w:color w:val="000000"/>
          <w:sz w:val="24"/>
          <w:szCs w:val="24"/>
        </w:rPr>
        <w:t>procedimiento de responsabilidad administrativa</w:t>
      </w:r>
      <w:r w:rsidR="00646861" w:rsidRPr="00116521">
        <w:rPr>
          <w:rFonts w:ascii="Palatino Linotype" w:hAnsi="Palatino Linotype"/>
          <w:color w:val="000000"/>
          <w:sz w:val="24"/>
          <w:szCs w:val="24"/>
        </w:rPr>
        <w:t xml:space="preserve">, </w:t>
      </w:r>
      <w:r w:rsidR="00BC4852">
        <w:rPr>
          <w:rFonts w:ascii="Palatino Linotype" w:hAnsi="Palatino Linotype"/>
          <w:color w:val="000000"/>
          <w:sz w:val="24"/>
          <w:szCs w:val="24"/>
        </w:rPr>
        <w:t>instaurado</w:t>
      </w:r>
      <w:r w:rsidR="00A60E83">
        <w:rPr>
          <w:rFonts w:ascii="Palatino Linotype" w:hAnsi="Palatino Linotype"/>
          <w:color w:val="000000"/>
          <w:sz w:val="24"/>
          <w:szCs w:val="24"/>
        </w:rPr>
        <w:t xml:space="preserve"> </w:t>
      </w:r>
      <w:r w:rsidR="00526E42">
        <w:rPr>
          <w:rFonts w:ascii="Palatino Linotype" w:hAnsi="Palatino Linotype"/>
          <w:color w:val="000000"/>
          <w:sz w:val="24"/>
          <w:szCs w:val="24"/>
        </w:rPr>
        <w:t>en la Contraloría Municipal</w:t>
      </w:r>
      <w:r w:rsidR="00166BBA" w:rsidRPr="00116521">
        <w:rPr>
          <w:rFonts w:ascii="Palatino Linotype" w:hAnsi="Palatino Linotype"/>
          <w:color w:val="000000"/>
          <w:sz w:val="24"/>
          <w:szCs w:val="24"/>
        </w:rPr>
        <w:t xml:space="preserve">, </w:t>
      </w:r>
      <w:r w:rsidR="004E62C3">
        <w:rPr>
          <w:rFonts w:ascii="Palatino Linotype" w:hAnsi="Palatino Linotype"/>
          <w:color w:val="000000"/>
          <w:sz w:val="24"/>
          <w:szCs w:val="24"/>
        </w:rPr>
        <w:t xml:space="preserve">al Titular de la Tesorería </w:t>
      </w:r>
      <w:r w:rsidR="00A60E83">
        <w:rPr>
          <w:rFonts w:ascii="Palatino Linotype" w:hAnsi="Palatino Linotype"/>
          <w:color w:val="000000"/>
          <w:sz w:val="24"/>
          <w:szCs w:val="24"/>
        </w:rPr>
        <w:t>M</w:t>
      </w:r>
      <w:r w:rsidR="003B3D23" w:rsidRPr="00116521">
        <w:rPr>
          <w:rFonts w:ascii="Palatino Linotype" w:hAnsi="Palatino Linotype"/>
          <w:color w:val="000000"/>
          <w:sz w:val="24"/>
          <w:szCs w:val="24"/>
        </w:rPr>
        <w:t>unicipal</w:t>
      </w:r>
      <w:r w:rsidR="00646861" w:rsidRPr="00116521">
        <w:rPr>
          <w:rFonts w:ascii="Palatino Linotype" w:hAnsi="Palatino Linotype"/>
          <w:color w:val="000000"/>
          <w:sz w:val="24"/>
          <w:szCs w:val="24"/>
        </w:rPr>
        <w:t xml:space="preserve"> </w:t>
      </w:r>
      <w:r w:rsidR="004E62C3">
        <w:rPr>
          <w:rFonts w:ascii="Palatino Linotype" w:hAnsi="Palatino Linotype"/>
          <w:color w:val="000000"/>
          <w:sz w:val="24"/>
          <w:szCs w:val="24"/>
        </w:rPr>
        <w:t>de la administración 2016-2018.</w:t>
      </w:r>
      <w:r w:rsidR="00166BBA" w:rsidRPr="00116521">
        <w:rPr>
          <w:rFonts w:ascii="Palatino Linotype" w:hAnsi="Palatino Linotype"/>
          <w:color w:val="000000"/>
          <w:sz w:val="24"/>
          <w:szCs w:val="24"/>
        </w:rPr>
        <w:t xml:space="preserve"> </w:t>
      </w:r>
    </w:p>
    <w:p w14:paraId="2B3B5933" w14:textId="77777777" w:rsidR="003B3D23" w:rsidRDefault="003B3D23" w:rsidP="003B3D23">
      <w:pPr>
        <w:spacing w:after="0" w:line="360" w:lineRule="auto"/>
        <w:ind w:left="567"/>
        <w:jc w:val="both"/>
        <w:rPr>
          <w:rFonts w:ascii="Palatino Linotype" w:hAnsi="Palatino Linotype"/>
          <w:sz w:val="24"/>
          <w:szCs w:val="24"/>
        </w:rPr>
      </w:pPr>
    </w:p>
    <w:p w14:paraId="386AD1D0" w14:textId="77777777" w:rsidR="00A60E83" w:rsidRDefault="00A60E83" w:rsidP="00A60E83">
      <w:pPr>
        <w:pStyle w:val="Sinespaciado"/>
        <w:spacing w:line="360" w:lineRule="auto"/>
        <w:jc w:val="both"/>
        <w:rPr>
          <w:rFonts w:ascii="Palatino Linotype" w:hAnsi="Palatino Linotype" w:cs="Arial"/>
          <w:sz w:val="24"/>
        </w:rPr>
      </w:pPr>
      <w:r>
        <w:rPr>
          <w:rFonts w:ascii="Palatino Linotype" w:eastAsia="Times New Roman" w:hAnsi="Palatino Linotype"/>
          <w:sz w:val="24"/>
          <w:szCs w:val="24"/>
          <w:lang w:val="es-ES" w:eastAsia="es-ES"/>
        </w:rPr>
        <w:t>Atento a lo anterior,</w:t>
      </w:r>
      <w:r w:rsidR="00FE3446">
        <w:rPr>
          <w:rFonts w:ascii="Palatino Linotype" w:eastAsia="Times New Roman" w:hAnsi="Palatino Linotype"/>
          <w:sz w:val="24"/>
          <w:szCs w:val="24"/>
          <w:lang w:val="es-ES" w:eastAsia="es-ES"/>
        </w:rPr>
        <w:t xml:space="preserve"> resulta oportuno mencionar que es evidente que el </w:t>
      </w:r>
      <w:r w:rsidR="00FE3446" w:rsidRPr="008E62EB">
        <w:rPr>
          <w:rFonts w:ascii="Palatino Linotype" w:eastAsia="Times New Roman" w:hAnsi="Palatino Linotype"/>
          <w:b/>
          <w:sz w:val="24"/>
          <w:szCs w:val="24"/>
          <w:lang w:val="es-ES" w:eastAsia="es-ES"/>
        </w:rPr>
        <w:t>Sujeto Obligado</w:t>
      </w:r>
      <w:r w:rsidR="00FE3446">
        <w:rPr>
          <w:rFonts w:ascii="Palatino Linotype" w:eastAsia="Times New Roman" w:hAnsi="Palatino Linotype"/>
          <w:sz w:val="24"/>
          <w:szCs w:val="24"/>
          <w:lang w:val="es-ES" w:eastAsia="es-ES"/>
        </w:rPr>
        <w:t xml:space="preserve"> no niega la existencia de la información solicitada, sino por el contrario, su respuesta se encuentra encaminada a atender la solicitud, pues una vez analizada la materia de la solicitud, en vía de respuesta a la </w:t>
      </w:r>
      <w:r w:rsidR="003945AD">
        <w:rPr>
          <w:rFonts w:ascii="Palatino Linotype" w:eastAsia="Times New Roman" w:hAnsi="Palatino Linotype"/>
          <w:sz w:val="24"/>
          <w:szCs w:val="24"/>
          <w:lang w:val="es-ES" w:eastAsia="es-ES"/>
        </w:rPr>
        <w:t xml:space="preserve">solicitud de información número </w:t>
      </w:r>
      <w:r w:rsidR="003945AD" w:rsidRPr="003945AD">
        <w:rPr>
          <w:rFonts w:ascii="Palatino Linotype" w:eastAsia="Times New Roman" w:hAnsi="Palatino Linotype"/>
          <w:b/>
          <w:sz w:val="24"/>
          <w:szCs w:val="24"/>
          <w:lang w:val="es-ES" w:eastAsia="es-ES"/>
        </w:rPr>
        <w:t>00130/CAPULHUA/IP/2021</w:t>
      </w:r>
      <w:r w:rsidR="003945AD">
        <w:rPr>
          <w:rFonts w:ascii="Palatino Linotype" w:eastAsia="Times New Roman" w:hAnsi="Palatino Linotype"/>
          <w:sz w:val="24"/>
          <w:szCs w:val="24"/>
          <w:lang w:val="es-ES" w:eastAsia="es-ES"/>
        </w:rPr>
        <w:t>,</w:t>
      </w:r>
      <w:r w:rsidR="00FE3446" w:rsidRPr="00996099">
        <w:rPr>
          <w:rFonts w:ascii="Palatino Linotype" w:hAnsi="Palatino Linotype" w:cs="Arial"/>
          <w:sz w:val="24"/>
        </w:rPr>
        <w:t xml:space="preserve"> en fecha </w:t>
      </w:r>
      <w:r w:rsidR="00FE3446">
        <w:rPr>
          <w:rFonts w:ascii="Palatino Linotype" w:hAnsi="Palatino Linotype" w:cs="Arial"/>
          <w:sz w:val="24"/>
        </w:rPr>
        <w:t xml:space="preserve">veintidós de septiembre de dos mil veintiuno, el Sujeto Obligado señala que </w:t>
      </w:r>
      <w:r w:rsidR="00FE3446" w:rsidRPr="00FE3446">
        <w:rPr>
          <w:rFonts w:ascii="Palatino Linotype" w:hAnsi="Palatino Linotype" w:cs="Arial"/>
          <w:sz w:val="24"/>
        </w:rPr>
        <w:t>la información que solicita se considera como reservada, ya que por razones de interés público el acceso a esta se encuentra restringida en virtud de que pudiera causar una alteración en el procedimiento administrativo, en el que se encuentran incluidos los de la quejas, denuncias, inconformidades, responsabilidades administrativas y resarcitorias en tanto no hayan quedado firmes o afecte la administración de justicia o la seguridad de un denunciante, querellante o</w:t>
      </w:r>
      <w:r w:rsidR="00116521">
        <w:rPr>
          <w:rFonts w:ascii="Palatino Linotype" w:hAnsi="Palatino Linotype" w:cs="Arial"/>
          <w:sz w:val="24"/>
        </w:rPr>
        <w:t xml:space="preserve"> testigo, así como sus familias,</w:t>
      </w:r>
      <w:r w:rsidR="00FE3446" w:rsidRPr="00FE3446">
        <w:rPr>
          <w:rFonts w:ascii="Palatino Linotype" w:hAnsi="Palatino Linotype" w:cs="Arial"/>
          <w:sz w:val="24"/>
        </w:rPr>
        <w:t xml:space="preserve"> </w:t>
      </w:r>
      <w:r w:rsidR="00116521">
        <w:rPr>
          <w:rFonts w:ascii="Palatino Linotype" w:hAnsi="Palatino Linotype" w:cs="Arial"/>
          <w:sz w:val="24"/>
        </w:rPr>
        <w:t xml:space="preserve">aunado a que le es </w:t>
      </w:r>
      <w:r w:rsidR="00FE3446" w:rsidRPr="00FE3446">
        <w:rPr>
          <w:rFonts w:ascii="Palatino Linotype" w:hAnsi="Palatino Linotype" w:cs="Arial"/>
          <w:sz w:val="24"/>
        </w:rPr>
        <w:t xml:space="preserve">aplicable la prueba de daño en términos de lo que dispone los artículos 129 y 140 Ley de </w:t>
      </w:r>
      <w:r w:rsidR="00FE3446" w:rsidRPr="00536187">
        <w:rPr>
          <w:rFonts w:ascii="Palatino Linotype" w:hAnsi="Palatino Linotype" w:cs="Arial"/>
          <w:sz w:val="24"/>
        </w:rPr>
        <w:t xml:space="preserve">Transparencia </w:t>
      </w:r>
      <w:r w:rsidR="002D558A" w:rsidRPr="00536187">
        <w:rPr>
          <w:rFonts w:ascii="Palatino Linotype" w:hAnsi="Palatino Linotype" w:cs="Arial"/>
          <w:sz w:val="24"/>
        </w:rPr>
        <w:t>y Acceso a la</w:t>
      </w:r>
      <w:r w:rsidR="00FE3446" w:rsidRPr="00536187">
        <w:rPr>
          <w:rFonts w:ascii="Palatino Linotype" w:hAnsi="Palatino Linotype" w:cs="Arial"/>
          <w:sz w:val="24"/>
        </w:rPr>
        <w:t xml:space="preserve"> Información Pública del Estado de México</w:t>
      </w:r>
      <w:r w:rsidR="00116521" w:rsidRPr="00536187">
        <w:rPr>
          <w:rFonts w:ascii="Palatino Linotype" w:hAnsi="Palatino Linotype" w:cs="Arial"/>
          <w:sz w:val="24"/>
        </w:rPr>
        <w:t>;</w:t>
      </w:r>
      <w:r w:rsidR="00FE3446" w:rsidRPr="00536187">
        <w:rPr>
          <w:rFonts w:ascii="Palatino Linotype" w:hAnsi="Palatino Linotype" w:cs="Arial"/>
          <w:sz w:val="24"/>
        </w:rPr>
        <w:t xml:space="preserve"> </w:t>
      </w:r>
      <w:r>
        <w:rPr>
          <w:rFonts w:ascii="Palatino Linotype" w:hAnsi="Palatino Linotype" w:cs="Arial"/>
          <w:sz w:val="24"/>
        </w:rPr>
        <w:t xml:space="preserve">por lo tanto el estudio de la fuente obligacional en el caso concreto se obvia, en razón de que dicho análisis se efectúa con la finalidad de determinar si el Sujeto Obligado genera </w:t>
      </w:r>
      <w:r>
        <w:rPr>
          <w:rFonts w:ascii="Palatino Linotype" w:hAnsi="Palatino Linotype" w:cs="Arial"/>
          <w:sz w:val="24"/>
        </w:rPr>
        <w:lastRenderedPageBreak/>
        <w:t>administra o posee la información que le fue requerida y al existir la manifestación de poseer la misma a nada practico llevaría el alcance del mismo.</w:t>
      </w:r>
    </w:p>
    <w:p w14:paraId="634EC0B6" w14:textId="77777777" w:rsidR="008567C8" w:rsidRDefault="008567C8" w:rsidP="00A60E83">
      <w:pPr>
        <w:pStyle w:val="Sinespaciado"/>
        <w:spacing w:line="360" w:lineRule="auto"/>
        <w:jc w:val="both"/>
        <w:rPr>
          <w:rFonts w:ascii="Palatino Linotype" w:hAnsi="Palatino Linotype" w:cs="Arial"/>
          <w:sz w:val="24"/>
        </w:rPr>
      </w:pPr>
    </w:p>
    <w:p w14:paraId="4E934024" w14:textId="68CAA0E0" w:rsidR="0072110C" w:rsidRPr="00A25881" w:rsidRDefault="008567C8" w:rsidP="0072110C">
      <w:pPr>
        <w:tabs>
          <w:tab w:val="left" w:pos="709"/>
        </w:tabs>
        <w:spacing w:after="0" w:line="360" w:lineRule="auto"/>
        <w:jc w:val="both"/>
        <w:rPr>
          <w:rFonts w:ascii="Palatino Linotype" w:hAnsi="Palatino Linotype"/>
          <w:sz w:val="24"/>
          <w:szCs w:val="24"/>
        </w:rPr>
      </w:pPr>
      <w:r>
        <w:rPr>
          <w:rFonts w:ascii="Palatino Linotype" w:hAnsi="Palatino Linotype" w:cs="Arial"/>
          <w:sz w:val="24"/>
        </w:rPr>
        <w:t xml:space="preserve">Aunado a lo anterior, </w:t>
      </w:r>
      <w:r w:rsidR="0072110C">
        <w:rPr>
          <w:rFonts w:ascii="Palatino Linotype" w:hAnsi="Palatino Linotype" w:cs="Arial"/>
          <w:sz w:val="24"/>
        </w:rPr>
        <w:t xml:space="preserve">no se omite señalar que tomando en consideración que </w:t>
      </w:r>
      <w:r w:rsidR="0072110C" w:rsidRPr="00A25881">
        <w:rPr>
          <w:rFonts w:ascii="Palatino Linotype" w:hAnsi="Palatino Linotype"/>
          <w:sz w:val="24"/>
          <w:szCs w:val="24"/>
        </w:rPr>
        <w:t>el Ayuntamiento de</w:t>
      </w:r>
      <w:r w:rsidR="0072110C">
        <w:rPr>
          <w:rFonts w:ascii="Palatino Linotype" w:hAnsi="Palatino Linotype"/>
          <w:sz w:val="24"/>
          <w:szCs w:val="24"/>
        </w:rPr>
        <w:t xml:space="preserve"> Capulhuac</w:t>
      </w:r>
      <w:r w:rsidR="0072110C" w:rsidRPr="00A25881">
        <w:rPr>
          <w:rFonts w:ascii="Palatino Linotype" w:hAnsi="Palatino Linotype"/>
          <w:sz w:val="24"/>
          <w:szCs w:val="24"/>
        </w:rPr>
        <w:t>, no señaló que</w:t>
      </w:r>
      <w:r w:rsidR="0072110C">
        <w:rPr>
          <w:rFonts w:ascii="Palatino Linotype" w:hAnsi="Palatino Linotype"/>
          <w:sz w:val="24"/>
          <w:szCs w:val="24"/>
        </w:rPr>
        <w:t xml:space="preserve"> era inexistente la información y</w:t>
      </w:r>
      <w:r w:rsidR="0072110C" w:rsidRPr="00A25881">
        <w:rPr>
          <w:rFonts w:ascii="Palatino Linotype" w:hAnsi="Palatino Linotype"/>
          <w:sz w:val="24"/>
          <w:szCs w:val="24"/>
        </w:rPr>
        <w:t xml:space="preserve"> contrario</w:t>
      </w:r>
      <w:r w:rsidR="0072110C">
        <w:rPr>
          <w:rFonts w:ascii="Palatino Linotype" w:hAnsi="Palatino Linotype"/>
          <w:sz w:val="24"/>
          <w:szCs w:val="24"/>
        </w:rPr>
        <w:t xml:space="preserve"> a lo anterior</w:t>
      </w:r>
      <w:r w:rsidR="0072110C" w:rsidRPr="00A25881">
        <w:rPr>
          <w:rFonts w:ascii="Palatino Linotype" w:hAnsi="Palatino Linotype"/>
          <w:sz w:val="24"/>
          <w:szCs w:val="24"/>
        </w:rPr>
        <w:t xml:space="preserve">, precisó que no podía </w:t>
      </w:r>
      <w:r w:rsidR="0072110C">
        <w:rPr>
          <w:rFonts w:ascii="Palatino Linotype" w:hAnsi="Palatino Linotype"/>
          <w:sz w:val="24"/>
          <w:szCs w:val="24"/>
        </w:rPr>
        <w:t>proporcionarla al ser reservada, atento a lo anterior, es</w:t>
      </w:r>
      <w:r w:rsidR="0072110C" w:rsidRPr="00A25881">
        <w:rPr>
          <w:rFonts w:ascii="Palatino Linotype" w:hAnsi="Palatino Linotype"/>
          <w:sz w:val="24"/>
          <w:szCs w:val="24"/>
        </w:rPr>
        <w:t xml:space="preserve"> </w:t>
      </w:r>
      <w:r w:rsidR="0072110C">
        <w:rPr>
          <w:rFonts w:ascii="Palatino Linotype" w:hAnsi="Palatino Linotype"/>
          <w:sz w:val="24"/>
          <w:szCs w:val="24"/>
        </w:rPr>
        <w:t xml:space="preserve">criterio </w:t>
      </w:r>
      <w:r w:rsidR="0072110C" w:rsidRPr="00A25881">
        <w:rPr>
          <w:rFonts w:ascii="Palatino Linotype" w:hAnsi="Palatino Linotype"/>
          <w:sz w:val="24"/>
          <w:szCs w:val="24"/>
        </w:rPr>
        <w:t>que la clasificación y la inexistencia no coexisten entre sí, en virtud de que la primera implica la existencia de un documento</w:t>
      </w:r>
      <w:r w:rsidR="00141DC7">
        <w:rPr>
          <w:rFonts w:ascii="Palatino Linotype" w:hAnsi="Palatino Linotype"/>
          <w:sz w:val="24"/>
          <w:szCs w:val="24"/>
        </w:rPr>
        <w:t xml:space="preserve"> </w:t>
      </w:r>
      <w:r w:rsidR="00141DC7" w:rsidRPr="00A25881">
        <w:rPr>
          <w:rFonts w:ascii="Palatino Linotype" w:hAnsi="Palatino Linotype"/>
          <w:sz w:val="24"/>
          <w:szCs w:val="24"/>
        </w:rPr>
        <w:t>la segunda con</w:t>
      </w:r>
      <w:r w:rsidR="00EF2755">
        <w:rPr>
          <w:rFonts w:ascii="Palatino Linotype" w:hAnsi="Palatino Linotype"/>
          <w:sz w:val="24"/>
          <w:szCs w:val="24"/>
        </w:rPr>
        <w:t xml:space="preserve"> </w:t>
      </w:r>
      <w:r w:rsidR="00141DC7" w:rsidRPr="00A25881">
        <w:rPr>
          <w:rFonts w:ascii="Palatino Linotype" w:hAnsi="Palatino Linotype"/>
          <w:sz w:val="24"/>
          <w:szCs w:val="24"/>
        </w:rPr>
        <w:t>lleva a la ausencia</w:t>
      </w:r>
      <w:r w:rsidR="0072110C" w:rsidRPr="00A25881">
        <w:rPr>
          <w:rFonts w:ascii="Palatino Linotype" w:hAnsi="Palatino Linotype"/>
          <w:sz w:val="24"/>
          <w:szCs w:val="24"/>
        </w:rPr>
        <w:t>,</w:t>
      </w:r>
      <w:r w:rsidR="00141DC7">
        <w:rPr>
          <w:rFonts w:ascii="Palatino Linotype" w:hAnsi="Palatino Linotype"/>
          <w:sz w:val="24"/>
          <w:szCs w:val="24"/>
        </w:rPr>
        <w:t xml:space="preserve"> lo anterior tiene sustento en </w:t>
      </w:r>
      <w:r w:rsidR="0072110C" w:rsidRPr="00A25881">
        <w:rPr>
          <w:rFonts w:ascii="Palatino Linotype" w:hAnsi="Palatino Linotype"/>
          <w:sz w:val="24"/>
          <w:szCs w:val="24"/>
        </w:rPr>
        <w:t xml:space="preserve">el Criterio 29/10, emitido por el Pleno del entonces Instituto Federal de Acceso a la Información y Protección de Datos, </w:t>
      </w:r>
      <w:r w:rsidR="0072110C">
        <w:rPr>
          <w:rFonts w:ascii="Palatino Linotype" w:hAnsi="Palatino Linotype"/>
          <w:sz w:val="24"/>
          <w:szCs w:val="24"/>
        </w:rPr>
        <w:t xml:space="preserve">el cual establece </w:t>
      </w:r>
      <w:r w:rsidR="0072110C" w:rsidRPr="00A25881">
        <w:rPr>
          <w:rFonts w:ascii="Palatino Linotype" w:hAnsi="Palatino Linotype"/>
          <w:sz w:val="24"/>
          <w:szCs w:val="24"/>
        </w:rPr>
        <w:t>lo siguiente:</w:t>
      </w:r>
    </w:p>
    <w:p w14:paraId="0210916E" w14:textId="77777777" w:rsidR="0072110C" w:rsidRPr="0072110C" w:rsidRDefault="0072110C" w:rsidP="0072110C">
      <w:pPr>
        <w:tabs>
          <w:tab w:val="left" w:pos="709"/>
        </w:tabs>
        <w:spacing w:after="0" w:line="240" w:lineRule="auto"/>
        <w:jc w:val="both"/>
        <w:rPr>
          <w:rFonts w:ascii="Palatino Linotype" w:hAnsi="Palatino Linotype"/>
          <w:sz w:val="36"/>
          <w:szCs w:val="24"/>
        </w:rPr>
      </w:pPr>
    </w:p>
    <w:p w14:paraId="50A7CF19" w14:textId="77777777" w:rsidR="0072110C" w:rsidRPr="0072110C" w:rsidRDefault="0072110C" w:rsidP="0072110C">
      <w:pPr>
        <w:tabs>
          <w:tab w:val="left" w:pos="709"/>
        </w:tabs>
        <w:spacing w:after="0" w:line="240" w:lineRule="auto"/>
        <w:ind w:left="567" w:right="567"/>
        <w:jc w:val="both"/>
        <w:rPr>
          <w:rFonts w:ascii="Palatino Linotype" w:hAnsi="Palatino Linotype"/>
          <w:i/>
        </w:rPr>
      </w:pPr>
      <w:r w:rsidRPr="0072110C">
        <w:rPr>
          <w:rFonts w:ascii="Palatino Linotype" w:hAnsi="Palatino Linotype"/>
          <w:i/>
        </w:rPr>
        <w:t>“La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50C0DD62" w14:textId="77777777" w:rsidR="0072110C" w:rsidRPr="0072110C" w:rsidRDefault="0072110C" w:rsidP="0072110C">
      <w:pPr>
        <w:tabs>
          <w:tab w:val="left" w:pos="709"/>
        </w:tabs>
        <w:spacing w:after="0" w:line="240" w:lineRule="auto"/>
        <w:ind w:left="567" w:right="567"/>
        <w:jc w:val="both"/>
        <w:rPr>
          <w:rFonts w:ascii="Palatino Linotype" w:hAnsi="Palatino Linotype"/>
          <w:i/>
          <w:sz w:val="32"/>
        </w:rPr>
      </w:pPr>
    </w:p>
    <w:p w14:paraId="437E4B02" w14:textId="27A636F7" w:rsidR="000A79B1" w:rsidRDefault="000A79B1" w:rsidP="000A79B1">
      <w:pPr>
        <w:pStyle w:val="Sinespaciado"/>
        <w:spacing w:line="360" w:lineRule="auto"/>
        <w:jc w:val="both"/>
        <w:rPr>
          <w:rFonts w:ascii="Palatino Linotype" w:hAnsi="Palatino Linotype" w:cs="Arial"/>
          <w:sz w:val="24"/>
        </w:rPr>
      </w:pPr>
      <w:r>
        <w:rPr>
          <w:rFonts w:ascii="Palatino Linotype" w:hAnsi="Palatino Linotype" w:cs="Arial"/>
          <w:sz w:val="24"/>
        </w:rPr>
        <w:t>Derivado de lo anterior, se procede al estudio de las constancias que obran en el expediente electrónico del asunto a efecto de determinar si es suficiente para tener por colmado el derecho de acceso a la información de la parte recurrente.</w:t>
      </w:r>
    </w:p>
    <w:p w14:paraId="61CD4569" w14:textId="77777777" w:rsidR="000A79B1" w:rsidRDefault="000A79B1" w:rsidP="000A79B1">
      <w:pPr>
        <w:pStyle w:val="Sinespaciado"/>
        <w:spacing w:line="360" w:lineRule="auto"/>
        <w:jc w:val="both"/>
        <w:rPr>
          <w:rFonts w:ascii="Palatino Linotype" w:hAnsi="Palatino Linotype" w:cs="Arial"/>
          <w:sz w:val="24"/>
        </w:rPr>
      </w:pPr>
    </w:p>
    <w:p w14:paraId="72ADBAC2" w14:textId="689C0304" w:rsidR="00F74D30" w:rsidRDefault="000A79B1" w:rsidP="005C24C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cs="Arial"/>
          <w:sz w:val="24"/>
        </w:rPr>
        <w:lastRenderedPageBreak/>
        <w:t xml:space="preserve">En ese sentido, resulta importante para esta Ponencia señalar que derivado de la solicitud de  acceso a la información </w:t>
      </w:r>
      <w:r w:rsidRPr="003945AD">
        <w:rPr>
          <w:rFonts w:ascii="Palatino Linotype" w:eastAsia="Times New Roman" w:hAnsi="Palatino Linotype"/>
          <w:b/>
          <w:sz w:val="24"/>
          <w:szCs w:val="24"/>
          <w:lang w:val="es-ES" w:eastAsia="es-ES"/>
        </w:rPr>
        <w:t>00130/CAPULHUA/IP/2021</w:t>
      </w:r>
      <w:r>
        <w:rPr>
          <w:rFonts w:ascii="Palatino Linotype" w:eastAsia="Times New Roman" w:hAnsi="Palatino Linotype"/>
          <w:b/>
          <w:sz w:val="24"/>
          <w:szCs w:val="24"/>
          <w:lang w:val="es-ES" w:eastAsia="es-ES"/>
        </w:rPr>
        <w:t xml:space="preserve">, </w:t>
      </w:r>
      <w:r>
        <w:rPr>
          <w:rFonts w:ascii="Palatino Linotype" w:eastAsia="Times New Roman" w:hAnsi="Palatino Linotype"/>
          <w:sz w:val="24"/>
          <w:szCs w:val="24"/>
          <w:lang w:val="es-ES" w:eastAsia="es-ES"/>
        </w:rPr>
        <w:t>el Sujeto Obligado emitió respuesta en fecha</w:t>
      </w:r>
      <w:r w:rsidR="00F74D30">
        <w:rPr>
          <w:rFonts w:ascii="Palatino Linotype" w:eastAsia="Times New Roman" w:hAnsi="Palatino Linotype"/>
          <w:sz w:val="24"/>
          <w:szCs w:val="24"/>
          <w:lang w:val="es-ES" w:eastAsia="es-ES"/>
        </w:rPr>
        <w:t xml:space="preserve"> veintidós de septiembre de la presente anualidad, a través de la cual señala </w:t>
      </w:r>
      <w:r w:rsidR="00F74D30" w:rsidRPr="00F74D30">
        <w:rPr>
          <w:rFonts w:ascii="Palatino Linotype" w:eastAsia="Times New Roman" w:hAnsi="Palatino Linotype"/>
          <w:sz w:val="24"/>
          <w:szCs w:val="24"/>
          <w:lang w:val="es-ES" w:eastAsia="es-ES"/>
        </w:rPr>
        <w:t>que la información que solicita se considera como reservada, ya que por razones de interés público el acceso a esta se encuentra restringida en virtud de que pudiera causar una alteración en el procedimiento administrativo, en el que se encuentran incluidos los de la quejas, denuncias, inconformidades, responsabilidades administrativas y resarcitorias en tanto no hayan quedado firmes o afecte la administración de justicia o la seguridad de un denunciante, querellante o testigo, así como sus familias; circunstancia por la cual es aplicable la prueba de daño en términos de lo que dispone los artículos 129 y 140 Ley</w:t>
      </w:r>
      <w:r w:rsidR="00776884">
        <w:rPr>
          <w:rFonts w:ascii="Palatino Linotype" w:eastAsia="Times New Roman" w:hAnsi="Palatino Linotype"/>
          <w:sz w:val="24"/>
          <w:szCs w:val="24"/>
          <w:lang w:val="es-ES" w:eastAsia="es-ES"/>
        </w:rPr>
        <w:t xml:space="preserve"> de Transparencia y Acceso a la </w:t>
      </w:r>
      <w:r w:rsidR="00F74D30" w:rsidRPr="00F74D30">
        <w:rPr>
          <w:rFonts w:ascii="Palatino Linotype" w:eastAsia="Times New Roman" w:hAnsi="Palatino Linotype"/>
          <w:sz w:val="24"/>
          <w:szCs w:val="24"/>
          <w:lang w:val="es-ES" w:eastAsia="es-ES"/>
        </w:rPr>
        <w:t>Información Pública del Estado de México</w:t>
      </w:r>
      <w:r w:rsidR="00F74D30">
        <w:rPr>
          <w:rFonts w:ascii="Palatino Linotype" w:eastAsia="Times New Roman" w:hAnsi="Palatino Linotype"/>
          <w:sz w:val="24"/>
          <w:szCs w:val="24"/>
          <w:lang w:val="es-ES" w:eastAsia="es-ES"/>
        </w:rPr>
        <w:t>.</w:t>
      </w:r>
    </w:p>
    <w:p w14:paraId="4B69F23B" w14:textId="77777777" w:rsidR="00F74D30" w:rsidRDefault="00F74D30" w:rsidP="005C24CD">
      <w:pPr>
        <w:pStyle w:val="Sinespaciado"/>
        <w:spacing w:line="360" w:lineRule="auto"/>
        <w:jc w:val="both"/>
        <w:rPr>
          <w:rFonts w:ascii="Palatino Linotype" w:eastAsia="Times New Roman" w:hAnsi="Palatino Linotype"/>
          <w:sz w:val="24"/>
          <w:szCs w:val="24"/>
          <w:lang w:val="es-ES" w:eastAsia="es-ES"/>
        </w:rPr>
      </w:pPr>
    </w:p>
    <w:p w14:paraId="6F08322F" w14:textId="77777777" w:rsidR="003553CF" w:rsidRDefault="00F74D30" w:rsidP="00784FA3">
      <w:pPr>
        <w:pStyle w:val="Sinespaciado"/>
        <w:spacing w:line="360" w:lineRule="auto"/>
        <w:jc w:val="both"/>
        <w:rPr>
          <w:rFonts w:ascii="Palatino Linotype" w:hAnsi="Palatino Linotype" w:cs="Arial"/>
          <w:sz w:val="24"/>
          <w:szCs w:val="24"/>
        </w:rPr>
      </w:pPr>
      <w:r w:rsidRPr="00776884">
        <w:rPr>
          <w:rFonts w:ascii="Palatino Linotype" w:hAnsi="Palatino Linotype"/>
          <w:sz w:val="24"/>
          <w:szCs w:val="24"/>
        </w:rPr>
        <w:t>I</w:t>
      </w:r>
      <w:r w:rsidR="005C24CD" w:rsidRPr="00776884">
        <w:rPr>
          <w:rFonts w:ascii="Palatino Linotype" w:hAnsi="Palatino Linotype"/>
          <w:sz w:val="24"/>
          <w:szCs w:val="24"/>
        </w:rPr>
        <w:t xml:space="preserve">nconforme con la respuesta del </w:t>
      </w:r>
      <w:r w:rsidR="005C24CD" w:rsidRPr="00776884">
        <w:rPr>
          <w:rFonts w:ascii="Palatino Linotype" w:hAnsi="Palatino Linotype"/>
          <w:b/>
          <w:sz w:val="24"/>
          <w:szCs w:val="24"/>
        </w:rPr>
        <w:t>Sujeto Obligado</w:t>
      </w:r>
      <w:r w:rsidRPr="00776884">
        <w:rPr>
          <w:rFonts w:ascii="Palatino Linotype" w:hAnsi="Palatino Linotype"/>
          <w:sz w:val="24"/>
          <w:szCs w:val="24"/>
        </w:rPr>
        <w:t>, El</w:t>
      </w:r>
      <w:r w:rsidR="005C24CD" w:rsidRPr="00776884">
        <w:rPr>
          <w:rFonts w:ascii="Palatino Linotype" w:hAnsi="Palatino Linotype"/>
          <w:sz w:val="24"/>
          <w:szCs w:val="24"/>
        </w:rPr>
        <w:t xml:space="preserve"> </w:t>
      </w:r>
      <w:r w:rsidR="005C24CD" w:rsidRPr="00776884">
        <w:rPr>
          <w:rFonts w:ascii="Palatino Linotype" w:hAnsi="Palatino Linotype"/>
          <w:b/>
          <w:sz w:val="24"/>
          <w:szCs w:val="24"/>
        </w:rPr>
        <w:t>Recurrente</w:t>
      </w:r>
      <w:r w:rsidRPr="00776884">
        <w:rPr>
          <w:rFonts w:ascii="Palatino Linotype" w:hAnsi="Palatino Linotype"/>
          <w:sz w:val="24"/>
          <w:szCs w:val="24"/>
        </w:rPr>
        <w:t xml:space="preserve"> interpuso Recurso de Revisión, que fue </w:t>
      </w:r>
      <w:r w:rsidRPr="00776884">
        <w:rPr>
          <w:rFonts w:ascii="Palatino Linotype" w:hAnsi="Palatino Linotype" w:cs="Arial"/>
          <w:sz w:val="24"/>
          <w:szCs w:val="24"/>
        </w:rPr>
        <w:t>admitido</w:t>
      </w:r>
      <w:r w:rsidR="005C24CD" w:rsidRPr="00776884">
        <w:rPr>
          <w:rFonts w:ascii="Palatino Linotype" w:hAnsi="Palatino Linotype"/>
          <w:sz w:val="24"/>
          <w:szCs w:val="24"/>
        </w:rPr>
        <w:t xml:space="preserve"> </w:t>
      </w:r>
      <w:r w:rsidR="005C24CD" w:rsidRPr="00776884">
        <w:rPr>
          <w:rFonts w:ascii="Palatino Linotype" w:hAnsi="Palatino Linotype" w:cs="Arial"/>
          <w:sz w:val="24"/>
          <w:szCs w:val="24"/>
        </w:rPr>
        <w:t xml:space="preserve">por acuerdo de fecha </w:t>
      </w:r>
      <w:r w:rsidR="00784FA3" w:rsidRPr="00776884">
        <w:rPr>
          <w:rFonts w:ascii="Palatino Linotype" w:hAnsi="Palatino Linotype" w:cs="Arial"/>
          <w:sz w:val="24"/>
          <w:szCs w:val="24"/>
        </w:rPr>
        <w:t xml:space="preserve">seis de octubre </w:t>
      </w:r>
      <w:r w:rsidR="005C24CD" w:rsidRPr="00776884">
        <w:rPr>
          <w:rFonts w:ascii="Palatino Linotype" w:hAnsi="Palatino Linotype" w:cs="Arial"/>
          <w:sz w:val="24"/>
          <w:szCs w:val="24"/>
        </w:rPr>
        <w:t xml:space="preserve">de dos mil veintiuno, </w:t>
      </w:r>
      <w:r w:rsidRPr="00776884">
        <w:rPr>
          <w:rFonts w:ascii="Palatino Linotype" w:hAnsi="Palatino Linotype" w:cs="Arial"/>
          <w:sz w:val="24"/>
          <w:szCs w:val="24"/>
        </w:rPr>
        <w:t xml:space="preserve">bajo </w:t>
      </w:r>
      <w:r w:rsidR="005C24CD" w:rsidRPr="00776884">
        <w:rPr>
          <w:rFonts w:ascii="Palatino Linotype" w:hAnsi="Palatino Linotype" w:cs="Arial"/>
          <w:sz w:val="24"/>
          <w:szCs w:val="24"/>
        </w:rPr>
        <w:t xml:space="preserve">el recurso de revisión, </w:t>
      </w:r>
      <w:r w:rsidR="00784FA3" w:rsidRPr="00776884">
        <w:rPr>
          <w:rFonts w:ascii="Palatino Linotype" w:hAnsi="Palatino Linotype" w:cs="Arial"/>
          <w:b/>
          <w:sz w:val="24"/>
          <w:szCs w:val="24"/>
        </w:rPr>
        <w:t>04885</w:t>
      </w:r>
      <w:r w:rsidR="005C24CD" w:rsidRPr="00776884">
        <w:rPr>
          <w:rFonts w:ascii="Palatino Linotype" w:hAnsi="Palatino Linotype" w:cs="Arial"/>
          <w:b/>
          <w:sz w:val="24"/>
          <w:szCs w:val="24"/>
        </w:rPr>
        <w:t>/INFOEM/IP/RR/2021</w:t>
      </w:r>
      <w:r w:rsidR="005C24CD" w:rsidRPr="00776884">
        <w:rPr>
          <w:rFonts w:ascii="Palatino Linotype" w:hAnsi="Palatino Linotype" w:cs="Arial"/>
          <w:sz w:val="24"/>
          <w:szCs w:val="24"/>
        </w:rPr>
        <w:t xml:space="preserve">, en el </w:t>
      </w:r>
      <w:r w:rsidRPr="00776884">
        <w:rPr>
          <w:rFonts w:ascii="Palatino Linotype" w:hAnsi="Palatino Linotype" w:cs="Arial"/>
          <w:sz w:val="24"/>
          <w:szCs w:val="24"/>
        </w:rPr>
        <w:t xml:space="preserve">que </w:t>
      </w:r>
      <w:r w:rsidR="005C24CD" w:rsidRPr="00776884">
        <w:rPr>
          <w:rFonts w:ascii="Palatino Linotype" w:hAnsi="Palatino Linotype" w:cs="Arial"/>
          <w:sz w:val="24"/>
          <w:szCs w:val="24"/>
        </w:rPr>
        <w:t>se ordenó poner a disposición de las partes, por un plazo máximo de siete días para que manifestaran lo que a su derecho correspondiera, a efecto de ofrecer pruebas, informe justificado y</w:t>
      </w:r>
      <w:r w:rsidRPr="00776884">
        <w:rPr>
          <w:rFonts w:ascii="Palatino Linotype" w:hAnsi="Palatino Linotype" w:cs="Arial"/>
          <w:sz w:val="24"/>
          <w:szCs w:val="24"/>
        </w:rPr>
        <w:t xml:space="preserve"> presentar alegatos, en el que una vez abierta la instrucción </w:t>
      </w:r>
      <w:r w:rsidR="005C24CD" w:rsidRPr="00776884">
        <w:rPr>
          <w:rFonts w:ascii="Palatino Linotype" w:hAnsi="Palatino Linotype" w:cs="Arial"/>
          <w:sz w:val="24"/>
          <w:szCs w:val="24"/>
        </w:rPr>
        <w:t xml:space="preserve">se </w:t>
      </w:r>
      <w:r w:rsidRPr="00776884">
        <w:rPr>
          <w:rFonts w:ascii="Palatino Linotype" w:hAnsi="Palatino Linotype" w:cs="Arial"/>
          <w:sz w:val="24"/>
          <w:szCs w:val="24"/>
        </w:rPr>
        <w:t xml:space="preserve">observa </w:t>
      </w:r>
      <w:r w:rsidR="005C24CD" w:rsidRPr="00776884">
        <w:rPr>
          <w:rFonts w:ascii="Palatino Linotype" w:hAnsi="Palatino Linotype" w:cs="Arial"/>
          <w:sz w:val="24"/>
          <w:szCs w:val="24"/>
        </w:rPr>
        <w:t xml:space="preserve">que </w:t>
      </w:r>
      <w:r w:rsidRPr="00776884">
        <w:rPr>
          <w:rFonts w:ascii="Palatino Linotype" w:hAnsi="Palatino Linotype" w:cs="Arial"/>
          <w:b/>
          <w:sz w:val="24"/>
          <w:szCs w:val="24"/>
        </w:rPr>
        <w:t>E</w:t>
      </w:r>
      <w:r w:rsidR="00166BBA" w:rsidRPr="00776884">
        <w:rPr>
          <w:rFonts w:ascii="Palatino Linotype" w:hAnsi="Palatino Linotype" w:cs="Arial"/>
          <w:b/>
          <w:sz w:val="24"/>
          <w:szCs w:val="24"/>
        </w:rPr>
        <w:t xml:space="preserve">l Sujeto Obligado </w:t>
      </w:r>
      <w:r w:rsidR="00166BBA" w:rsidRPr="00776884">
        <w:rPr>
          <w:rFonts w:ascii="Palatino Linotype" w:hAnsi="Palatino Linotype" w:cs="Arial"/>
          <w:sz w:val="24"/>
          <w:szCs w:val="24"/>
        </w:rPr>
        <w:t xml:space="preserve">fue omiso en rendir su Informe Justificado, y </w:t>
      </w:r>
      <w:r w:rsidR="00166BBA" w:rsidRPr="00776884">
        <w:rPr>
          <w:rFonts w:ascii="Palatino Linotype" w:hAnsi="Palatino Linotype" w:cs="Arial"/>
          <w:b/>
          <w:sz w:val="24"/>
          <w:szCs w:val="24"/>
        </w:rPr>
        <w:t>El R</w:t>
      </w:r>
      <w:r w:rsidR="005C24CD" w:rsidRPr="00776884">
        <w:rPr>
          <w:rFonts w:ascii="Palatino Linotype" w:hAnsi="Palatino Linotype" w:cs="Arial"/>
          <w:b/>
          <w:sz w:val="24"/>
          <w:szCs w:val="24"/>
        </w:rPr>
        <w:t>ecurr</w:t>
      </w:r>
      <w:r w:rsidR="00166BBA" w:rsidRPr="00776884">
        <w:rPr>
          <w:rFonts w:ascii="Palatino Linotype" w:hAnsi="Palatino Linotype" w:cs="Arial"/>
          <w:b/>
          <w:sz w:val="24"/>
          <w:szCs w:val="24"/>
        </w:rPr>
        <w:t>ente</w:t>
      </w:r>
      <w:r w:rsidR="00166BBA" w:rsidRPr="00776884">
        <w:rPr>
          <w:rFonts w:ascii="Palatino Linotype" w:hAnsi="Palatino Linotype" w:cs="Arial"/>
          <w:sz w:val="24"/>
          <w:szCs w:val="24"/>
        </w:rPr>
        <w:t xml:space="preserve"> no realizo manifestaciones</w:t>
      </w:r>
      <w:r w:rsidRPr="00776884">
        <w:rPr>
          <w:rFonts w:ascii="Palatino Linotype" w:hAnsi="Palatino Linotype" w:cs="Arial"/>
          <w:sz w:val="24"/>
          <w:szCs w:val="24"/>
        </w:rPr>
        <w:t xml:space="preserve">, en consecuencia </w:t>
      </w:r>
      <w:r w:rsidR="00166BBA" w:rsidRPr="00776884">
        <w:rPr>
          <w:rFonts w:ascii="Palatino Linotype" w:hAnsi="Palatino Linotype" w:cs="Arial"/>
          <w:sz w:val="24"/>
          <w:szCs w:val="24"/>
        </w:rPr>
        <w:t xml:space="preserve">al no haber diligencias pendientes por desahogar </w:t>
      </w:r>
      <w:r w:rsidRPr="00776884">
        <w:rPr>
          <w:rFonts w:ascii="Palatino Linotype" w:hAnsi="Palatino Linotype" w:cs="Arial"/>
          <w:sz w:val="24"/>
          <w:szCs w:val="24"/>
        </w:rPr>
        <w:t>se dictó acuerdo de cierre de instrucción, en</w:t>
      </w:r>
      <w:r w:rsidR="00166BBA" w:rsidRPr="00776884">
        <w:rPr>
          <w:rFonts w:ascii="Palatino Linotype" w:hAnsi="Palatino Linotype" w:cs="Arial"/>
          <w:sz w:val="24"/>
          <w:szCs w:val="24"/>
        </w:rPr>
        <w:t xml:space="preserve"> fecha dieciocho de octubre de dos mil veintiuno</w:t>
      </w:r>
      <w:r w:rsidRPr="00776884">
        <w:rPr>
          <w:rFonts w:ascii="Palatino Linotype" w:hAnsi="Palatino Linotype" w:cs="Arial"/>
          <w:sz w:val="24"/>
          <w:szCs w:val="24"/>
        </w:rPr>
        <w:t>.</w:t>
      </w:r>
    </w:p>
    <w:p w14:paraId="6FB76070" w14:textId="77777777" w:rsidR="003553CF" w:rsidRDefault="003553CF" w:rsidP="00784FA3">
      <w:pPr>
        <w:pStyle w:val="Sinespaciado"/>
        <w:spacing w:line="360" w:lineRule="auto"/>
        <w:jc w:val="both"/>
        <w:rPr>
          <w:rFonts w:ascii="Palatino Linotype" w:hAnsi="Palatino Linotype" w:cs="Arial"/>
          <w:sz w:val="24"/>
          <w:szCs w:val="24"/>
        </w:rPr>
      </w:pPr>
    </w:p>
    <w:p w14:paraId="1318F436" w14:textId="442CACFC" w:rsidR="003553CF" w:rsidRDefault="003553CF" w:rsidP="003553CF">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lastRenderedPageBreak/>
        <w:t xml:space="preserve">Por lo anterior, se procede al estudio de  los motivos y  razones de inconformidad del </w:t>
      </w:r>
      <w:r>
        <w:rPr>
          <w:rFonts w:ascii="Palatino Linotype" w:eastAsia="Times New Roman" w:hAnsi="Palatino Linotype"/>
          <w:b/>
          <w:sz w:val="24"/>
          <w:szCs w:val="24"/>
          <w:lang w:val="es-ES" w:eastAsia="es-ES"/>
        </w:rPr>
        <w:t>Recurrente</w:t>
      </w:r>
      <w:r w:rsidR="00776884">
        <w:rPr>
          <w:rFonts w:ascii="Palatino Linotype" w:eastAsia="Times New Roman" w:hAnsi="Palatino Linotype"/>
          <w:sz w:val="24"/>
          <w:szCs w:val="24"/>
          <w:lang w:val="es-ES" w:eastAsia="es-ES"/>
        </w:rPr>
        <w:t>, en el que señalo que no se dio respuesta a su petición</w:t>
      </w:r>
      <w:r w:rsidR="00DB09CD">
        <w:rPr>
          <w:rFonts w:ascii="Palatino Linotype" w:eastAsia="Times New Roman" w:hAnsi="Palatino Linotype"/>
          <w:sz w:val="24"/>
          <w:szCs w:val="24"/>
          <w:lang w:val="es-ES" w:eastAsia="es-ES"/>
        </w:rPr>
        <w:t>;</w:t>
      </w:r>
      <w:r w:rsidR="00776884">
        <w:rPr>
          <w:rFonts w:ascii="Palatino Linotype" w:eastAsia="Times New Roman" w:hAnsi="Palatino Linotype"/>
          <w:sz w:val="24"/>
          <w:szCs w:val="24"/>
          <w:lang w:val="es-ES" w:eastAsia="es-ES"/>
        </w:rPr>
        <w:t xml:space="preserve"> atento a </w:t>
      </w:r>
      <w:r w:rsidR="00DB09CD">
        <w:rPr>
          <w:rFonts w:ascii="Palatino Linotype" w:eastAsia="Times New Roman" w:hAnsi="Palatino Linotype"/>
          <w:sz w:val="24"/>
          <w:szCs w:val="24"/>
          <w:lang w:val="es-ES" w:eastAsia="es-ES"/>
        </w:rPr>
        <w:t xml:space="preserve">ello, esta Ponencia </w:t>
      </w:r>
      <w:r w:rsidR="0081372B">
        <w:rPr>
          <w:rFonts w:ascii="Palatino Linotype" w:eastAsia="Times New Roman" w:hAnsi="Palatino Linotype"/>
          <w:sz w:val="24"/>
          <w:szCs w:val="24"/>
          <w:lang w:val="es-ES" w:eastAsia="es-ES"/>
        </w:rPr>
        <w:t>advertirte</w:t>
      </w:r>
      <w:r w:rsidR="00776884">
        <w:rPr>
          <w:rFonts w:ascii="Palatino Linotype" w:eastAsia="Times New Roman" w:hAnsi="Palatino Linotype"/>
          <w:sz w:val="24"/>
          <w:szCs w:val="24"/>
          <w:lang w:val="es-ES" w:eastAsia="es-ES"/>
        </w:rPr>
        <w:t xml:space="preserve"> que en fecha veintidós de septiembre de dos mil veintiuno, El Sujeto Obligado emitió respuesta a la solicitud de información, de la </w:t>
      </w:r>
      <w:r w:rsidR="0081372B">
        <w:rPr>
          <w:rFonts w:ascii="Palatino Linotype" w:eastAsia="Times New Roman" w:hAnsi="Palatino Linotype"/>
          <w:sz w:val="24"/>
          <w:szCs w:val="24"/>
          <w:lang w:val="es-ES" w:eastAsia="es-ES"/>
        </w:rPr>
        <w:t xml:space="preserve">que </w:t>
      </w:r>
      <w:r w:rsidR="00776884">
        <w:rPr>
          <w:rFonts w:ascii="Palatino Linotype" w:eastAsia="Times New Roman" w:hAnsi="Palatino Linotype"/>
          <w:sz w:val="24"/>
          <w:szCs w:val="24"/>
          <w:lang w:val="es-ES" w:eastAsia="es-ES"/>
        </w:rPr>
        <w:t xml:space="preserve">se </w:t>
      </w:r>
      <w:r w:rsidR="00DB09CD">
        <w:rPr>
          <w:rFonts w:ascii="Palatino Linotype" w:eastAsia="Times New Roman" w:hAnsi="Palatino Linotype"/>
          <w:sz w:val="24"/>
          <w:szCs w:val="24"/>
          <w:lang w:val="es-ES" w:eastAsia="es-ES"/>
        </w:rPr>
        <w:t>observa</w:t>
      </w:r>
      <w:r w:rsidR="0081372B">
        <w:rPr>
          <w:rFonts w:ascii="Palatino Linotype" w:eastAsia="Times New Roman" w:hAnsi="Palatino Linotype"/>
          <w:sz w:val="24"/>
          <w:szCs w:val="24"/>
          <w:lang w:val="es-ES" w:eastAsia="es-ES"/>
        </w:rPr>
        <w:t xml:space="preserve"> que el Sujeto Obligado </w:t>
      </w:r>
      <w:r w:rsidR="00776884">
        <w:rPr>
          <w:rFonts w:ascii="Palatino Linotype" w:eastAsia="Times New Roman" w:hAnsi="Palatino Linotype"/>
          <w:sz w:val="24"/>
          <w:szCs w:val="24"/>
          <w:lang w:val="es-ES" w:eastAsia="es-ES"/>
        </w:rPr>
        <w:t xml:space="preserve">señala que la información solicitada es reservada, </w:t>
      </w:r>
      <w:r w:rsidR="0081372B">
        <w:rPr>
          <w:rFonts w:ascii="Palatino Linotype" w:eastAsia="Times New Roman" w:hAnsi="Palatino Linotype"/>
          <w:sz w:val="24"/>
          <w:szCs w:val="24"/>
          <w:lang w:val="es-ES" w:eastAsia="es-ES"/>
        </w:rPr>
        <w:t xml:space="preserve">sin embargo </w:t>
      </w:r>
      <w:r w:rsidR="00776884">
        <w:rPr>
          <w:rFonts w:ascii="Palatino Linotype" w:eastAsia="Times New Roman" w:hAnsi="Palatino Linotype"/>
          <w:sz w:val="24"/>
          <w:szCs w:val="24"/>
          <w:lang w:val="es-ES" w:eastAsia="es-ES"/>
        </w:rPr>
        <w:t xml:space="preserve">omitió observar la Ley de Transparencia y Acceso a la Información Pública del Estado de México y Municipios y demás </w:t>
      </w:r>
      <w:r w:rsidR="0081372B">
        <w:rPr>
          <w:rFonts w:ascii="Palatino Linotype" w:eastAsia="Times New Roman" w:hAnsi="Palatino Linotype"/>
          <w:sz w:val="24"/>
          <w:szCs w:val="24"/>
          <w:lang w:val="es-ES" w:eastAsia="es-ES"/>
        </w:rPr>
        <w:t>normativa aplicable al caso conforme a lo siguiente:</w:t>
      </w:r>
      <w:r w:rsidR="00776884">
        <w:rPr>
          <w:rFonts w:ascii="Palatino Linotype" w:eastAsia="Times New Roman" w:hAnsi="Palatino Linotype"/>
          <w:sz w:val="24"/>
          <w:szCs w:val="24"/>
          <w:lang w:val="es-ES" w:eastAsia="es-ES"/>
        </w:rPr>
        <w:t xml:space="preserve">   </w:t>
      </w:r>
    </w:p>
    <w:p w14:paraId="21ADB67B" w14:textId="287A1D00" w:rsidR="005C24CD" w:rsidRDefault="00166BBA" w:rsidP="00784FA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1EBB8FF2" w14:textId="2F6622C7" w:rsidR="002062E9" w:rsidRDefault="0081372B" w:rsidP="0081396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647197" w:rsidRPr="002062E9">
        <w:rPr>
          <w:rFonts w:ascii="Palatino Linotype" w:hAnsi="Palatino Linotype" w:cs="Arial"/>
          <w:sz w:val="24"/>
          <w:szCs w:val="24"/>
        </w:rPr>
        <w:t>l artículo 1 de la Ley de Transparencia y Acceso a la Información Pública del Estado de México y Municipios,</w:t>
      </w:r>
      <w:r w:rsidR="00647197">
        <w:rPr>
          <w:rFonts w:ascii="Palatino Linotype" w:hAnsi="Palatino Linotype" w:cs="Arial"/>
          <w:sz w:val="24"/>
          <w:szCs w:val="24"/>
        </w:rPr>
        <w:t xml:space="preserve"> </w:t>
      </w:r>
      <w:r w:rsidR="002062E9">
        <w:rPr>
          <w:rFonts w:ascii="Palatino Linotype" w:hAnsi="Palatino Linotype" w:cs="Arial"/>
          <w:sz w:val="24"/>
          <w:szCs w:val="24"/>
        </w:rPr>
        <w:t>establece</w:t>
      </w:r>
      <w:r w:rsidR="00647197">
        <w:rPr>
          <w:rFonts w:ascii="Palatino Linotype" w:hAnsi="Palatino Linotype" w:cs="Arial"/>
          <w:sz w:val="24"/>
          <w:szCs w:val="24"/>
        </w:rPr>
        <w:t xml:space="preserve"> </w:t>
      </w:r>
      <w:r w:rsidR="00647197" w:rsidRPr="00647197">
        <w:rPr>
          <w:rFonts w:ascii="Palatino Linotype" w:hAnsi="Palatino Linotype" w:cs="Arial"/>
          <w:sz w:val="24"/>
          <w:szCs w:val="24"/>
        </w:rPr>
        <w:t>los principios, bases generales y procedimiento</w:t>
      </w:r>
      <w:r w:rsidR="00647197">
        <w:rPr>
          <w:rFonts w:ascii="Palatino Linotype" w:hAnsi="Palatino Linotype" w:cs="Arial"/>
          <w:sz w:val="24"/>
          <w:szCs w:val="24"/>
        </w:rPr>
        <w:t xml:space="preserve">s para tutelar y garantizar la </w:t>
      </w:r>
      <w:r w:rsidR="00647197" w:rsidRPr="00647197">
        <w:rPr>
          <w:rFonts w:ascii="Palatino Linotype" w:hAnsi="Palatino Linotype" w:cs="Arial"/>
          <w:sz w:val="24"/>
          <w:szCs w:val="24"/>
        </w:rPr>
        <w:t>transparencia y el derecho humano de acceso a la información públ</w:t>
      </w:r>
      <w:r w:rsidR="00647197">
        <w:rPr>
          <w:rFonts w:ascii="Palatino Linotype" w:hAnsi="Palatino Linotype" w:cs="Arial"/>
          <w:sz w:val="24"/>
          <w:szCs w:val="24"/>
        </w:rPr>
        <w:t>ica en posesión de los sujetos</w:t>
      </w:r>
      <w:r w:rsidR="002062E9">
        <w:rPr>
          <w:rFonts w:ascii="Palatino Linotype" w:hAnsi="Palatino Linotype" w:cs="Arial"/>
          <w:sz w:val="24"/>
          <w:szCs w:val="24"/>
        </w:rPr>
        <w:t xml:space="preserve"> </w:t>
      </w:r>
      <w:r w:rsidR="00647197">
        <w:rPr>
          <w:rFonts w:ascii="Palatino Linotype" w:hAnsi="Palatino Linotype" w:cs="Arial"/>
          <w:sz w:val="24"/>
          <w:szCs w:val="24"/>
        </w:rPr>
        <w:t>obligados</w:t>
      </w:r>
      <w:r w:rsidR="007132BE">
        <w:rPr>
          <w:rFonts w:ascii="Palatino Linotype" w:hAnsi="Palatino Linotype" w:cs="Arial"/>
          <w:sz w:val="24"/>
          <w:szCs w:val="24"/>
        </w:rPr>
        <w:t>, así mismo el numeral 3° del mismo ordenamiento legal, define a los sujetos obligados como c</w:t>
      </w:r>
      <w:r w:rsidR="007132BE" w:rsidRPr="007132BE">
        <w:rPr>
          <w:rFonts w:ascii="Palatino Linotype" w:hAnsi="Palatino Linotype" w:cs="Arial"/>
          <w:sz w:val="24"/>
          <w:szCs w:val="24"/>
        </w:rPr>
        <w:t>ualquier autoridad, entidad, órgano y organ</w:t>
      </w:r>
      <w:r w:rsidR="002062E9">
        <w:rPr>
          <w:rFonts w:ascii="Palatino Linotype" w:hAnsi="Palatino Linotype" w:cs="Arial"/>
          <w:sz w:val="24"/>
          <w:szCs w:val="24"/>
        </w:rPr>
        <w:t xml:space="preserve">ismo de los Poderes Ejecutivo, </w:t>
      </w:r>
      <w:r w:rsidR="007132BE" w:rsidRPr="007132BE">
        <w:rPr>
          <w:rFonts w:ascii="Palatino Linotype" w:hAnsi="Palatino Linotype" w:cs="Arial"/>
          <w:sz w:val="24"/>
          <w:szCs w:val="24"/>
        </w:rPr>
        <w:t>Legislativo y Judicial, órganos autónomos, partidos políticos, fideicomisos</w:t>
      </w:r>
      <w:r w:rsidR="007132BE">
        <w:rPr>
          <w:rFonts w:ascii="Palatino Linotype" w:hAnsi="Palatino Linotype" w:cs="Arial"/>
          <w:sz w:val="24"/>
          <w:szCs w:val="24"/>
        </w:rPr>
        <w:t xml:space="preserve"> y fondos públicos estatales y </w:t>
      </w:r>
      <w:r w:rsidR="007132BE" w:rsidRPr="007132BE">
        <w:rPr>
          <w:rFonts w:ascii="Palatino Linotype" w:hAnsi="Palatino Linotype" w:cs="Arial"/>
          <w:sz w:val="24"/>
          <w:szCs w:val="24"/>
        </w:rPr>
        <w:t xml:space="preserve">municipales, así como de la </w:t>
      </w:r>
      <w:r w:rsidR="007132BE" w:rsidRPr="0081372B">
        <w:rPr>
          <w:rFonts w:ascii="Palatino Linotype" w:hAnsi="Palatino Linotype" w:cs="Arial"/>
          <w:sz w:val="24"/>
          <w:szCs w:val="24"/>
        </w:rPr>
        <w:t xml:space="preserve">administración pública municipal </w:t>
      </w:r>
      <w:r w:rsidR="007132BE" w:rsidRPr="007132BE">
        <w:rPr>
          <w:rFonts w:ascii="Palatino Linotype" w:hAnsi="Palatino Linotype" w:cs="Arial"/>
          <w:sz w:val="24"/>
          <w:szCs w:val="24"/>
        </w:rPr>
        <w:t>y sus organismos</w:t>
      </w:r>
      <w:r w:rsidR="007132BE">
        <w:rPr>
          <w:rFonts w:ascii="Palatino Linotype" w:hAnsi="Palatino Linotype" w:cs="Arial"/>
          <w:sz w:val="24"/>
          <w:szCs w:val="24"/>
        </w:rPr>
        <w:t xml:space="preserve"> </w:t>
      </w:r>
      <w:r w:rsidR="00480BD6">
        <w:rPr>
          <w:rFonts w:ascii="Palatino Linotype" w:hAnsi="Palatino Linotype" w:cs="Arial"/>
          <w:sz w:val="24"/>
          <w:szCs w:val="24"/>
        </w:rPr>
        <w:t>descentralizados o</w:t>
      </w:r>
      <w:r w:rsidR="007132BE" w:rsidRPr="007132BE">
        <w:rPr>
          <w:rFonts w:ascii="Palatino Linotype" w:hAnsi="Palatino Linotype" w:cs="Arial"/>
          <w:sz w:val="24"/>
          <w:szCs w:val="24"/>
        </w:rPr>
        <w:t xml:space="preserve"> cualquier persona física, jurídico colectiva o sindicato que reciba y ejerza recursos públicos o realice actos de autoridad en el ámbito</w:t>
      </w:r>
      <w:r w:rsidR="007132BE">
        <w:rPr>
          <w:rFonts w:ascii="Palatino Linotype" w:hAnsi="Palatino Linotype" w:cs="Arial"/>
          <w:sz w:val="24"/>
          <w:szCs w:val="24"/>
        </w:rPr>
        <w:t xml:space="preserve"> estatal y municipal, que deba </w:t>
      </w:r>
      <w:r w:rsidR="007132BE" w:rsidRPr="007132BE">
        <w:rPr>
          <w:rFonts w:ascii="Palatino Linotype" w:hAnsi="Palatino Linotype" w:cs="Arial"/>
          <w:sz w:val="24"/>
          <w:szCs w:val="24"/>
        </w:rPr>
        <w:t>cumplir con las obligacion</w:t>
      </w:r>
      <w:r w:rsidR="007132BE">
        <w:rPr>
          <w:rFonts w:ascii="Palatino Linotype" w:hAnsi="Palatino Linotype" w:cs="Arial"/>
          <w:sz w:val="24"/>
          <w:szCs w:val="24"/>
        </w:rPr>
        <w:t>es previstas en la Ley</w:t>
      </w:r>
      <w:r w:rsidR="002062E9">
        <w:rPr>
          <w:rFonts w:ascii="Palatino Linotype" w:hAnsi="Palatino Linotype" w:cs="Arial"/>
          <w:sz w:val="24"/>
          <w:szCs w:val="24"/>
        </w:rPr>
        <w:t xml:space="preserve"> de Transparencia y Acceso a la Información Pública del Estado de México y Municipios; que en el</w:t>
      </w:r>
      <w:r w:rsidR="007132BE">
        <w:rPr>
          <w:rFonts w:ascii="Palatino Linotype" w:hAnsi="Palatino Linotype" w:cs="Arial"/>
          <w:sz w:val="24"/>
          <w:szCs w:val="24"/>
        </w:rPr>
        <w:t xml:space="preserve"> presente caso </w:t>
      </w:r>
      <w:r w:rsidR="002062E9">
        <w:rPr>
          <w:rFonts w:ascii="Palatino Linotype" w:hAnsi="Palatino Linotype" w:cs="Arial"/>
          <w:sz w:val="24"/>
          <w:szCs w:val="24"/>
        </w:rPr>
        <w:t>es el</w:t>
      </w:r>
      <w:r w:rsidR="007132BE">
        <w:rPr>
          <w:rFonts w:ascii="Palatino Linotype" w:hAnsi="Palatino Linotype" w:cs="Arial"/>
          <w:sz w:val="24"/>
          <w:szCs w:val="24"/>
        </w:rPr>
        <w:t xml:space="preserve"> </w:t>
      </w:r>
      <w:r w:rsidR="002D558A">
        <w:rPr>
          <w:rFonts w:ascii="Palatino Linotype" w:hAnsi="Palatino Linotype" w:cs="Arial"/>
          <w:sz w:val="24"/>
          <w:szCs w:val="24"/>
        </w:rPr>
        <w:t>Ayuntamiento de Capulhuac.</w:t>
      </w:r>
    </w:p>
    <w:p w14:paraId="79609D0D" w14:textId="77777777" w:rsidR="00E74F6C" w:rsidRDefault="00E74F6C" w:rsidP="00813960">
      <w:pPr>
        <w:tabs>
          <w:tab w:val="left" w:pos="709"/>
        </w:tabs>
        <w:spacing w:after="0" w:line="360" w:lineRule="auto"/>
        <w:jc w:val="both"/>
        <w:rPr>
          <w:rFonts w:ascii="Palatino Linotype" w:hAnsi="Palatino Linotype" w:cs="Arial"/>
          <w:sz w:val="24"/>
          <w:szCs w:val="24"/>
        </w:rPr>
      </w:pPr>
    </w:p>
    <w:p w14:paraId="2F09D604" w14:textId="6DEC94F2" w:rsidR="00E6576F" w:rsidRDefault="00E74F6C" w:rsidP="00FC5357">
      <w:pPr>
        <w:tabs>
          <w:tab w:val="left" w:pos="709"/>
        </w:tabs>
        <w:spacing w:after="0" w:line="360" w:lineRule="auto"/>
        <w:jc w:val="both"/>
        <w:rPr>
          <w:rFonts w:ascii="Palatino Linotype" w:hAnsi="Palatino Linotype" w:cs="Arial"/>
          <w:sz w:val="24"/>
          <w:szCs w:val="24"/>
        </w:rPr>
      </w:pPr>
      <w:r w:rsidRPr="00AD0C07">
        <w:rPr>
          <w:rFonts w:ascii="Palatino Linotype" w:hAnsi="Palatino Linotype" w:cs="Arial"/>
          <w:sz w:val="24"/>
          <w:szCs w:val="24"/>
        </w:rPr>
        <w:t xml:space="preserve">En ese orden de ideas, este Instituto no omite señalar que los Sujetos Obligados deben contar con un área responsable para la atención de las solicitudes de </w:t>
      </w:r>
      <w:r w:rsidRPr="00AD0C07">
        <w:rPr>
          <w:rFonts w:ascii="Palatino Linotype" w:hAnsi="Palatino Linotype" w:cs="Arial"/>
          <w:sz w:val="24"/>
          <w:szCs w:val="24"/>
        </w:rPr>
        <w:lastRenderedPageBreak/>
        <w:t>información, a la que se le den</w:t>
      </w:r>
      <w:r w:rsidR="0081372B" w:rsidRPr="00AD0C07">
        <w:rPr>
          <w:rFonts w:ascii="Palatino Linotype" w:hAnsi="Palatino Linotype" w:cs="Arial"/>
          <w:sz w:val="24"/>
          <w:szCs w:val="24"/>
        </w:rPr>
        <w:t>ominará Unidad de Transparencia</w:t>
      </w:r>
      <w:r w:rsidRPr="00AD0C07">
        <w:rPr>
          <w:rFonts w:ascii="Palatino Linotype" w:hAnsi="Palatino Linotype" w:cs="Arial"/>
          <w:sz w:val="24"/>
          <w:szCs w:val="24"/>
        </w:rPr>
        <w:t xml:space="preserve"> </w:t>
      </w:r>
      <w:r w:rsidR="0081372B" w:rsidRPr="00AD0C07">
        <w:rPr>
          <w:rFonts w:ascii="Palatino Linotype" w:hAnsi="Palatino Linotype" w:cs="Arial"/>
          <w:sz w:val="24"/>
          <w:szCs w:val="24"/>
        </w:rPr>
        <w:t xml:space="preserve">y </w:t>
      </w:r>
      <w:r w:rsidRPr="00AD0C07">
        <w:rPr>
          <w:rFonts w:ascii="Palatino Linotype" w:hAnsi="Palatino Linotype" w:cs="Arial"/>
          <w:sz w:val="24"/>
          <w:szCs w:val="24"/>
        </w:rPr>
        <w:t xml:space="preserve">designar a un responsable para atender dicha Unidad, quien fungirá como enlace </w:t>
      </w:r>
      <w:r w:rsidR="0081372B" w:rsidRPr="00AD0C07">
        <w:rPr>
          <w:rFonts w:ascii="Palatino Linotype" w:hAnsi="Palatino Linotype" w:cs="Arial"/>
          <w:sz w:val="24"/>
          <w:szCs w:val="24"/>
        </w:rPr>
        <w:t>entre éstos y los solicitantes, p</w:t>
      </w:r>
      <w:r w:rsidRPr="00AD0C07">
        <w:rPr>
          <w:rFonts w:ascii="Palatino Linotype" w:hAnsi="Palatino Linotype" w:cs="Arial"/>
          <w:sz w:val="24"/>
          <w:szCs w:val="24"/>
        </w:rPr>
        <w:t>or su parte, el ar</w:t>
      </w:r>
      <w:r w:rsidR="0081372B" w:rsidRPr="00AD0C07">
        <w:rPr>
          <w:rFonts w:ascii="Palatino Linotype" w:hAnsi="Palatino Linotype" w:cs="Arial"/>
          <w:sz w:val="24"/>
          <w:szCs w:val="24"/>
        </w:rPr>
        <w:t>tículo 53, fracciones II, IV y X</w:t>
      </w:r>
      <w:r w:rsidRPr="00AD0C07">
        <w:rPr>
          <w:rFonts w:ascii="Palatino Linotype" w:hAnsi="Palatino Linotype" w:cs="Arial"/>
          <w:sz w:val="24"/>
          <w:szCs w:val="24"/>
        </w:rPr>
        <w:t xml:space="preserve"> de la Ley</w:t>
      </w:r>
      <w:r w:rsidR="0081372B" w:rsidRPr="00AD0C07">
        <w:rPr>
          <w:rFonts w:ascii="Palatino Linotype" w:hAnsi="Palatino Linotype" w:cs="Arial"/>
          <w:sz w:val="24"/>
          <w:szCs w:val="24"/>
        </w:rPr>
        <w:t xml:space="preserve"> de Transparencia y Acceso a la Información </w:t>
      </w:r>
      <w:r w:rsidR="00150FC1" w:rsidRPr="00AD0C07">
        <w:rPr>
          <w:rFonts w:ascii="Palatino Linotype" w:hAnsi="Palatino Linotype" w:cs="Arial"/>
          <w:sz w:val="24"/>
          <w:szCs w:val="24"/>
        </w:rPr>
        <w:t>Pública</w:t>
      </w:r>
      <w:r w:rsidR="0081372B" w:rsidRPr="00AD0C07">
        <w:rPr>
          <w:rFonts w:ascii="Palatino Linotype" w:hAnsi="Palatino Linotype" w:cs="Arial"/>
          <w:sz w:val="24"/>
          <w:szCs w:val="24"/>
        </w:rPr>
        <w:t xml:space="preserve"> del Estado de México y Municipio </w:t>
      </w:r>
      <w:r w:rsidRPr="00AD0C07">
        <w:rPr>
          <w:rFonts w:ascii="Palatino Linotype" w:hAnsi="Palatino Linotype" w:cs="Arial"/>
          <w:sz w:val="24"/>
          <w:szCs w:val="24"/>
        </w:rPr>
        <w:t xml:space="preserve"> establece que las Unidades de Transparencia tienen, entre otr</w:t>
      </w:r>
      <w:r w:rsidR="0081372B" w:rsidRPr="00AD0C07">
        <w:rPr>
          <w:rFonts w:ascii="Palatino Linotype" w:hAnsi="Palatino Linotype" w:cs="Arial"/>
          <w:sz w:val="24"/>
          <w:szCs w:val="24"/>
        </w:rPr>
        <w:t>as</w:t>
      </w:r>
      <w:r w:rsidRPr="00AD0C07">
        <w:rPr>
          <w:rFonts w:ascii="Palatino Linotype" w:hAnsi="Palatino Linotype" w:cs="Arial"/>
          <w:sz w:val="24"/>
          <w:szCs w:val="24"/>
        </w:rPr>
        <w:t xml:space="preserve"> funciones</w:t>
      </w:r>
      <w:r w:rsidR="0081372B" w:rsidRPr="00AD0C07">
        <w:rPr>
          <w:rFonts w:ascii="Palatino Linotype" w:hAnsi="Palatino Linotype" w:cs="Arial"/>
          <w:sz w:val="24"/>
          <w:szCs w:val="24"/>
        </w:rPr>
        <w:t>: recibir, tramitar y dar respuesta a las solicitudes de acceso a la información; realizar, con efectividad, los trámites internos necesarios para la atención de las solicitudes de acceso a la información; y presentar ante el Comité, el proyecto de clasificación de información;</w:t>
      </w:r>
      <w:r w:rsidR="00FC5357" w:rsidRPr="00AD0C07">
        <w:rPr>
          <w:rFonts w:ascii="Palatino Linotype" w:hAnsi="Palatino Linotype" w:cs="Arial"/>
          <w:sz w:val="24"/>
          <w:szCs w:val="24"/>
        </w:rPr>
        <w:t xml:space="preserve"> por su parte el </w:t>
      </w:r>
      <w:r w:rsidR="00150FC1" w:rsidRPr="00AD0C07">
        <w:rPr>
          <w:rFonts w:ascii="Palatino Linotype" w:hAnsi="Palatino Linotype" w:cs="Arial"/>
          <w:sz w:val="24"/>
          <w:szCs w:val="24"/>
        </w:rPr>
        <w:t>artículo</w:t>
      </w:r>
      <w:r w:rsidR="00FC5357" w:rsidRPr="00AD0C07">
        <w:rPr>
          <w:rFonts w:ascii="Palatino Linotype" w:hAnsi="Palatino Linotype" w:cs="Arial"/>
          <w:sz w:val="24"/>
          <w:szCs w:val="24"/>
        </w:rPr>
        <w:t xml:space="preserve"> 59, fracciones V de la Ley en cita, establece entre otras funciones de los Servidores Públicos Habilitados, integrar y presentar al responsable de la Unidad de Transparencia la propuesta de clasificación de información, la cual tendrá los fundamentos y argumentos en que se basa dicha propuesta, situación que en el presente asunto no aconteció pues derivado de las constancias que forman parte del expediente electrónico no se advierte evidencia de las gestiones interna</w:t>
      </w:r>
      <w:r w:rsidR="00EF2755">
        <w:rPr>
          <w:rFonts w:ascii="Palatino Linotype" w:hAnsi="Palatino Linotype" w:cs="Arial"/>
          <w:sz w:val="24"/>
          <w:szCs w:val="24"/>
        </w:rPr>
        <w:t>s</w:t>
      </w:r>
      <w:r w:rsidR="00E6576F" w:rsidRPr="00AD0C07">
        <w:rPr>
          <w:rFonts w:ascii="Palatino Linotype" w:hAnsi="Palatino Linotype" w:cs="Arial"/>
          <w:sz w:val="24"/>
          <w:szCs w:val="24"/>
        </w:rPr>
        <w:t xml:space="preserve"> </w:t>
      </w:r>
      <w:r w:rsidR="00FC5357" w:rsidRPr="00AD0C07">
        <w:rPr>
          <w:rFonts w:ascii="Palatino Linotype" w:hAnsi="Palatino Linotype" w:cs="Arial"/>
          <w:sz w:val="24"/>
          <w:szCs w:val="24"/>
        </w:rPr>
        <w:t xml:space="preserve">para la atención de la </w:t>
      </w:r>
      <w:r w:rsidR="00E6576F" w:rsidRPr="00AD0C07">
        <w:rPr>
          <w:rFonts w:ascii="Palatino Linotype" w:hAnsi="Palatino Linotype" w:cs="Arial"/>
          <w:sz w:val="24"/>
          <w:szCs w:val="24"/>
        </w:rPr>
        <w:t>solicitud</w:t>
      </w:r>
      <w:r w:rsidR="00FC5357" w:rsidRPr="00AD0C07">
        <w:rPr>
          <w:rFonts w:ascii="Palatino Linotype" w:hAnsi="Palatino Linotype" w:cs="Arial"/>
          <w:sz w:val="24"/>
          <w:szCs w:val="24"/>
        </w:rPr>
        <w:t xml:space="preserve"> de información, ni se observa que el área competente haya integrado y presentado la propuesta de </w:t>
      </w:r>
      <w:r w:rsidR="00E6576F" w:rsidRPr="00AD0C07">
        <w:rPr>
          <w:rFonts w:ascii="Palatino Linotype" w:hAnsi="Palatino Linotype" w:cs="Arial"/>
          <w:sz w:val="24"/>
          <w:szCs w:val="24"/>
        </w:rPr>
        <w:t>clasificación</w:t>
      </w:r>
      <w:r w:rsidR="00FC5357" w:rsidRPr="00AD0C07">
        <w:rPr>
          <w:rFonts w:ascii="Palatino Linotype" w:hAnsi="Palatino Linotype" w:cs="Arial"/>
          <w:sz w:val="24"/>
          <w:szCs w:val="24"/>
        </w:rPr>
        <w:t xml:space="preserve">, ni </w:t>
      </w:r>
      <w:r w:rsidR="00E6576F" w:rsidRPr="00AD0C07">
        <w:rPr>
          <w:rFonts w:ascii="Palatino Linotype" w:hAnsi="Palatino Linotype" w:cs="Arial"/>
          <w:sz w:val="24"/>
          <w:szCs w:val="24"/>
        </w:rPr>
        <w:t xml:space="preserve">mucho menos </w:t>
      </w:r>
      <w:r w:rsidR="00FC5357" w:rsidRPr="00AD0C07">
        <w:rPr>
          <w:rFonts w:ascii="Palatino Linotype" w:hAnsi="Palatino Linotype" w:cs="Arial"/>
          <w:sz w:val="24"/>
          <w:szCs w:val="24"/>
        </w:rPr>
        <w:t xml:space="preserve">que la respuesta emitida por el </w:t>
      </w:r>
      <w:r w:rsidR="00E6576F" w:rsidRPr="00AD0C07">
        <w:rPr>
          <w:rFonts w:ascii="Palatino Linotype" w:hAnsi="Palatino Linotype" w:cs="Arial"/>
          <w:sz w:val="24"/>
          <w:szCs w:val="24"/>
        </w:rPr>
        <w:t>Sujeto</w:t>
      </w:r>
      <w:r w:rsidR="00FC5357" w:rsidRPr="00AD0C07">
        <w:rPr>
          <w:rFonts w:ascii="Palatino Linotype" w:hAnsi="Palatino Linotype" w:cs="Arial"/>
          <w:sz w:val="24"/>
          <w:szCs w:val="24"/>
        </w:rPr>
        <w:t xml:space="preserve"> Obligado contenga los fundamento y motivos </w:t>
      </w:r>
      <w:r w:rsidR="00E6576F" w:rsidRPr="00AD0C07">
        <w:rPr>
          <w:rFonts w:ascii="Palatino Linotype" w:hAnsi="Palatino Linotype" w:cs="Arial"/>
          <w:sz w:val="24"/>
          <w:szCs w:val="24"/>
        </w:rPr>
        <w:t>tomados</w:t>
      </w:r>
      <w:r w:rsidR="00FC5357" w:rsidRPr="00AD0C07">
        <w:rPr>
          <w:rFonts w:ascii="Palatino Linotype" w:hAnsi="Palatino Linotype" w:cs="Arial"/>
          <w:sz w:val="24"/>
          <w:szCs w:val="24"/>
        </w:rPr>
        <w:t xml:space="preserve"> en consideración para determinar que la </w:t>
      </w:r>
      <w:r w:rsidR="00E6576F" w:rsidRPr="00AD0C07">
        <w:rPr>
          <w:rFonts w:ascii="Palatino Linotype" w:hAnsi="Palatino Linotype" w:cs="Arial"/>
          <w:sz w:val="24"/>
          <w:szCs w:val="24"/>
        </w:rPr>
        <w:t>información</w:t>
      </w:r>
      <w:r w:rsidR="00FC5357" w:rsidRPr="00AD0C07">
        <w:rPr>
          <w:rFonts w:ascii="Palatino Linotype" w:hAnsi="Palatino Linotype" w:cs="Arial"/>
          <w:sz w:val="24"/>
          <w:szCs w:val="24"/>
        </w:rPr>
        <w:t xml:space="preserve"> solicitada se encuentra en el supuesto de reserva.</w:t>
      </w:r>
      <w:r w:rsidR="00FC5357" w:rsidRPr="00E6576F">
        <w:rPr>
          <w:rFonts w:ascii="Palatino Linotype" w:hAnsi="Palatino Linotype" w:cs="Arial"/>
          <w:sz w:val="24"/>
          <w:szCs w:val="24"/>
        </w:rPr>
        <w:t xml:space="preserve"> </w:t>
      </w:r>
    </w:p>
    <w:p w14:paraId="459F2BA4" w14:textId="77777777" w:rsidR="00E6576F" w:rsidRDefault="00E6576F" w:rsidP="00FC5357">
      <w:pPr>
        <w:tabs>
          <w:tab w:val="left" w:pos="709"/>
        </w:tabs>
        <w:spacing w:after="0" w:line="360" w:lineRule="auto"/>
        <w:jc w:val="both"/>
        <w:rPr>
          <w:rFonts w:ascii="Palatino Linotype" w:hAnsi="Palatino Linotype" w:cs="Arial"/>
          <w:sz w:val="24"/>
          <w:szCs w:val="24"/>
        </w:rPr>
      </w:pPr>
    </w:p>
    <w:p w14:paraId="6E80A476" w14:textId="6BE2E736" w:rsidR="00C83372" w:rsidRDefault="00120E3F" w:rsidP="00120E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w:t>
      </w:r>
      <w:r>
        <w:rPr>
          <w:rFonts w:ascii="Palatino Linotype" w:hAnsi="Palatino Linotype" w:cs="Arial"/>
          <w:sz w:val="24"/>
          <w:szCs w:val="24"/>
        </w:rPr>
        <w:lastRenderedPageBreak/>
        <w:t>reservada), en cuyo caso, se restringirá, excepcionalmente, el acceso conforme a lo señalado en l</w:t>
      </w:r>
      <w:r w:rsidR="00C83372">
        <w:rPr>
          <w:rFonts w:ascii="Palatino Linotype" w:hAnsi="Palatino Linotype" w:cs="Arial"/>
          <w:sz w:val="24"/>
          <w:szCs w:val="24"/>
        </w:rPr>
        <w:t>a ley en la materia.</w:t>
      </w:r>
    </w:p>
    <w:p w14:paraId="434B2682" w14:textId="77777777" w:rsidR="00C83372" w:rsidRDefault="00C83372" w:rsidP="00120E3F">
      <w:pPr>
        <w:spacing w:after="0" w:line="360" w:lineRule="auto"/>
        <w:jc w:val="both"/>
        <w:rPr>
          <w:rFonts w:ascii="Palatino Linotype" w:hAnsi="Palatino Linotype" w:cs="Arial"/>
          <w:sz w:val="24"/>
          <w:szCs w:val="24"/>
        </w:rPr>
      </w:pPr>
    </w:p>
    <w:p w14:paraId="5D751DD2" w14:textId="0F4C88B9" w:rsidR="00120E3F" w:rsidRPr="00D835E1" w:rsidRDefault="00C83372" w:rsidP="00120E3F">
      <w:pPr>
        <w:spacing w:after="0" w:line="360" w:lineRule="auto"/>
        <w:jc w:val="both"/>
        <w:rPr>
          <w:rFonts w:ascii="Palatino Linotype" w:hAnsi="Palatino Linotype" w:cs="Arial"/>
          <w:sz w:val="24"/>
          <w:szCs w:val="24"/>
        </w:rPr>
      </w:pPr>
      <w:r w:rsidRPr="00687227">
        <w:rPr>
          <w:rFonts w:ascii="Palatino Linotype" w:hAnsi="Palatino Linotype" w:cs="Arial"/>
          <w:sz w:val="24"/>
          <w:szCs w:val="24"/>
        </w:rPr>
        <w:t>Respecto a la información reservada, r</w:t>
      </w:r>
      <w:r w:rsidR="00120E3F" w:rsidRPr="00687227">
        <w:rPr>
          <w:rFonts w:ascii="Palatino Linotype" w:hAnsi="Palatino Linotype" w:cs="Arial"/>
          <w:sz w:val="24"/>
          <w:szCs w:val="24"/>
        </w:rPr>
        <w:t xml:space="preserve">esulta necesario señalar </w:t>
      </w:r>
      <w:r w:rsidRPr="00687227">
        <w:rPr>
          <w:rFonts w:ascii="Palatino Linotype" w:hAnsi="Palatino Linotype" w:cs="Arial"/>
          <w:sz w:val="24"/>
          <w:szCs w:val="24"/>
        </w:rPr>
        <w:t xml:space="preserve">que </w:t>
      </w:r>
      <w:r w:rsidR="00120E3F" w:rsidRPr="00687227">
        <w:rPr>
          <w:rFonts w:ascii="Palatino Linotype" w:hAnsi="Palatino Linotype" w:cs="Arial"/>
          <w:sz w:val="24"/>
          <w:szCs w:val="24"/>
        </w:rPr>
        <w:t xml:space="preserve">de conformidad con el artículo 3, fracciones XXIV de la Ley de Transparencia y Acceso a la Información Pública del Estado de México y Municipios, </w:t>
      </w:r>
      <w:r w:rsidRPr="00687227">
        <w:rPr>
          <w:rFonts w:ascii="Palatino Linotype" w:hAnsi="Palatino Linotype" w:cs="Arial"/>
          <w:sz w:val="24"/>
          <w:szCs w:val="24"/>
        </w:rPr>
        <w:t>se</w:t>
      </w:r>
      <w:r w:rsidR="00120E3F" w:rsidRPr="00687227">
        <w:rPr>
          <w:rFonts w:ascii="Palatino Linotype" w:hAnsi="Palatino Linotype" w:cs="Arial"/>
          <w:sz w:val="24"/>
          <w:szCs w:val="24"/>
        </w:rPr>
        <w:t xml:space="preserve"> define de la siguiente manera:</w:t>
      </w:r>
    </w:p>
    <w:p w14:paraId="7105F6EC" w14:textId="77777777" w:rsidR="00120E3F" w:rsidRPr="00C83372" w:rsidRDefault="00120E3F" w:rsidP="00120E3F">
      <w:pPr>
        <w:spacing w:after="0" w:line="360" w:lineRule="auto"/>
        <w:jc w:val="both"/>
        <w:rPr>
          <w:rFonts w:ascii="Palatino Linotype" w:hAnsi="Palatino Linotype" w:cs="Arial"/>
          <w:sz w:val="14"/>
          <w:szCs w:val="24"/>
        </w:rPr>
      </w:pPr>
    </w:p>
    <w:p w14:paraId="0E4A6658" w14:textId="07A00B1B" w:rsidR="00120E3F" w:rsidRPr="00120E3F" w:rsidRDefault="00120E3F" w:rsidP="00120E3F">
      <w:pPr>
        <w:spacing w:after="0" w:line="240" w:lineRule="auto"/>
        <w:ind w:left="567" w:right="567"/>
        <w:jc w:val="both"/>
        <w:rPr>
          <w:rFonts w:ascii="Palatino Linotype" w:hAnsi="Palatino Linotype" w:cs="Arial"/>
          <w:i/>
        </w:rPr>
      </w:pPr>
      <w:r w:rsidRPr="00120E3F">
        <w:rPr>
          <w:rFonts w:ascii="Palatino Linotype" w:hAnsi="Palatino Linotype" w:cs="Arial"/>
          <w:b/>
          <w:i/>
        </w:rPr>
        <w:t>“…XXIV. Información reservada:</w:t>
      </w:r>
      <w:r w:rsidRPr="00120E3F">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168600B9" w14:textId="77777777" w:rsidR="009816DB" w:rsidRDefault="009816DB" w:rsidP="00120E3F">
      <w:pPr>
        <w:spacing w:after="0" w:line="360" w:lineRule="auto"/>
        <w:jc w:val="both"/>
        <w:rPr>
          <w:rFonts w:ascii="Palatino Linotype" w:hAnsi="Palatino Linotype" w:cs="Arial"/>
          <w:sz w:val="24"/>
          <w:szCs w:val="24"/>
        </w:rPr>
      </w:pPr>
    </w:p>
    <w:p w14:paraId="57A8337D" w14:textId="0269A753" w:rsidR="00120E3F" w:rsidRDefault="00120E3F" w:rsidP="00120E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síntesis, se </w:t>
      </w:r>
      <w:r w:rsidR="0034326B">
        <w:rPr>
          <w:rFonts w:ascii="Palatino Linotype" w:hAnsi="Palatino Linotype" w:cs="Arial"/>
          <w:sz w:val="24"/>
          <w:szCs w:val="24"/>
        </w:rPr>
        <w:t>determina que, excepcionalmente la información pública</w:t>
      </w:r>
      <w:r>
        <w:rPr>
          <w:rFonts w:ascii="Palatino Linotype" w:hAnsi="Palatino Linotype" w:cs="Arial"/>
          <w:sz w:val="24"/>
          <w:szCs w:val="24"/>
        </w:rPr>
        <w:t xml:space="preserve"> podrá ser clasificada como reservada temporalmente por razones de interés público, en los términos de las causas legítimas y estrictamente necesarias previstas por la Ley de Transpar</w:t>
      </w:r>
      <w:r w:rsidR="0034326B">
        <w:rPr>
          <w:rFonts w:ascii="Palatino Linotype" w:hAnsi="Palatino Linotype" w:cs="Arial"/>
          <w:sz w:val="24"/>
          <w:szCs w:val="24"/>
        </w:rPr>
        <w:t xml:space="preserve">encia, por lo que </w:t>
      </w:r>
      <w:r>
        <w:rPr>
          <w:rFonts w:ascii="Palatino Linotype" w:hAnsi="Palatino Linotype" w:cs="Arial"/>
          <w:sz w:val="24"/>
          <w:szCs w:val="24"/>
        </w:rPr>
        <w:t>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el sujeto obligado la clasificación invocada fue la de reserva, por lo que el estudio se centrará en este supuesto.</w:t>
      </w:r>
    </w:p>
    <w:p w14:paraId="6ACC3353" w14:textId="77777777" w:rsidR="00120E3F" w:rsidRDefault="00120E3F" w:rsidP="00120E3F">
      <w:pPr>
        <w:spacing w:after="0" w:line="360" w:lineRule="auto"/>
        <w:jc w:val="both"/>
        <w:rPr>
          <w:rFonts w:ascii="Palatino Linotype" w:hAnsi="Palatino Linotype" w:cs="Arial"/>
          <w:sz w:val="24"/>
          <w:szCs w:val="24"/>
        </w:rPr>
      </w:pPr>
    </w:p>
    <w:p w14:paraId="36D9F88E" w14:textId="77777777" w:rsidR="00120E3F" w:rsidRDefault="00120E3F" w:rsidP="00120E3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 xml:space="preserve">Es así, que respecto a la información clasificada como reservada la </w:t>
      </w:r>
      <w:r>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63212DBC"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i/>
          <w:sz w:val="24"/>
          <w:szCs w:val="24"/>
          <w:lang w:val="es-ES"/>
        </w:rPr>
        <w:lastRenderedPageBreak/>
        <w:t xml:space="preserve"> </w:t>
      </w:r>
      <w:r>
        <w:rPr>
          <w:rFonts w:ascii="Palatino Linotype" w:eastAsia="Calibri" w:hAnsi="Palatino Linotype" w:cs="Times New Roman"/>
          <w:i/>
        </w:rPr>
        <w:t>“</w:t>
      </w:r>
      <w:r>
        <w:rPr>
          <w:rFonts w:ascii="Palatino Linotype" w:eastAsia="Calibri" w:hAnsi="Palatino Linotype" w:cs="Times New Roman"/>
          <w:b/>
          <w:i/>
          <w:lang w:val="es-ES"/>
        </w:rPr>
        <w:t>Artículo 140.</w:t>
      </w:r>
      <w:r>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0AE47073"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I.</w:t>
      </w:r>
      <w:r>
        <w:rPr>
          <w:rFonts w:ascii="Palatino Linotype" w:eastAsia="Calibri" w:hAnsi="Palatino Linotype" w:cs="Times New Roman"/>
          <w:i/>
          <w:lang w:val="es-ES"/>
        </w:rPr>
        <w:t xml:space="preserve"> Comprometa la seguridad pública y cuente con un propósito genuino y un efecto demostrable; </w:t>
      </w:r>
    </w:p>
    <w:p w14:paraId="78BA9582"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II.</w:t>
      </w:r>
      <w:r>
        <w:rPr>
          <w:rFonts w:ascii="Palatino Linotype" w:eastAsia="Calibri" w:hAnsi="Palatino Linotype" w:cs="Times New Roman"/>
          <w:i/>
          <w:lang w:val="es-ES"/>
        </w:rPr>
        <w:t xml:space="preserve"> Pueda menoscabar la conducción de las negociaciones y relaciones internacionales; </w:t>
      </w:r>
    </w:p>
    <w:p w14:paraId="2906A319"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III.</w:t>
      </w:r>
      <w:r>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EABCE1F"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IV.</w:t>
      </w:r>
      <w:r>
        <w:rPr>
          <w:rFonts w:ascii="Palatino Linotype" w:eastAsia="Calibri" w:hAnsi="Palatino Linotype" w:cs="Times New Roman"/>
          <w:i/>
          <w:lang w:val="es-ES"/>
        </w:rPr>
        <w:t xml:space="preserve"> Ponga en riesgo la vida, la seguridad o la salud de una persona física; </w:t>
      </w:r>
    </w:p>
    <w:p w14:paraId="200F6583"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V.</w:t>
      </w:r>
      <w:r>
        <w:rPr>
          <w:rFonts w:ascii="Palatino Linotype" w:eastAsia="Calibri" w:hAnsi="Palatino Linotype" w:cs="Times New Roman"/>
          <w:i/>
          <w:lang w:val="es-ES"/>
        </w:rPr>
        <w:t xml:space="preserve"> Aquella cuya divulgación obstruya o pueda causar un serio perjuicio a: </w:t>
      </w:r>
    </w:p>
    <w:p w14:paraId="09B61BF3"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1.</w:t>
      </w:r>
      <w:r>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2A5AE616"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2.</w:t>
      </w:r>
      <w:r>
        <w:rPr>
          <w:rFonts w:ascii="Palatino Linotype" w:eastAsia="Calibri" w:hAnsi="Palatino Linotype" w:cs="Times New Roman"/>
          <w:i/>
          <w:lang w:val="es-ES"/>
        </w:rPr>
        <w:t xml:space="preserve"> La recaudación de las contribuciones. </w:t>
      </w:r>
    </w:p>
    <w:p w14:paraId="7C39A54B"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VI.</w:t>
      </w:r>
      <w:r>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A871D24"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VII.</w:t>
      </w:r>
      <w:r>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3C75C153"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VIII.</w:t>
      </w:r>
      <w:r>
        <w:rPr>
          <w:rFonts w:ascii="Palatino Linotype" w:eastAsia="Calibri" w:hAnsi="Palatino Linotype" w:cs="Times New Roman"/>
          <w:i/>
          <w:lang w:val="es-ES"/>
        </w:rPr>
        <w:t xml:space="preserve"> Vulnere la conducción de los expedientes judiciales o de los procedimientos administrativos seguidos en forma de juicio, en tanto no hayan quedado firmes; </w:t>
      </w:r>
    </w:p>
    <w:p w14:paraId="0C865F6D"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IX.</w:t>
      </w:r>
      <w:r>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14:paraId="1A079D03"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b/>
          <w:i/>
          <w:lang w:val="es-ES"/>
        </w:rPr>
        <w:t>X.</w:t>
      </w:r>
      <w:r>
        <w:rPr>
          <w:rFonts w:ascii="Palatino Linotype" w:eastAsia="Calibri" w:hAnsi="Palatino Linotype" w:cs="Times New Roman"/>
          <w:i/>
          <w:lang w:val="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11F2959" w14:textId="77777777" w:rsidR="00120E3F" w:rsidRDefault="00120E3F" w:rsidP="00120E3F">
      <w:pPr>
        <w:spacing w:after="120" w:line="240" w:lineRule="auto"/>
        <w:ind w:left="851" w:right="851"/>
        <w:jc w:val="both"/>
        <w:rPr>
          <w:rFonts w:ascii="Palatino Linotype" w:eastAsia="Calibri" w:hAnsi="Palatino Linotype" w:cs="Times New Roman"/>
          <w:i/>
          <w:lang w:val="es-ES"/>
        </w:rPr>
      </w:pPr>
      <w:r>
        <w:rPr>
          <w:rFonts w:ascii="Palatino Linotype" w:eastAsia="Calibri" w:hAnsi="Palatino Linotype" w:cs="Times New Roman"/>
          <w:i/>
          <w:lang w:val="es-ES"/>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3820A16" w14:textId="4D845B50" w:rsidR="00120E3F" w:rsidRDefault="00120E3F" w:rsidP="00120E3F">
      <w:pPr>
        <w:spacing w:after="120" w:line="240" w:lineRule="auto"/>
        <w:ind w:left="851" w:right="851"/>
        <w:jc w:val="both"/>
        <w:rPr>
          <w:rFonts w:ascii="Palatino Linotype" w:eastAsia="Calibri" w:hAnsi="Palatino Linotype" w:cs="Times New Roman"/>
        </w:rPr>
      </w:pPr>
      <w:r>
        <w:rPr>
          <w:rFonts w:ascii="Palatino Linotype" w:eastAsia="Calibri" w:hAnsi="Palatino Linotype" w:cs="Times New Roman"/>
          <w:b/>
          <w:i/>
          <w:lang w:val="es-ES"/>
        </w:rPr>
        <w:t>XI.</w:t>
      </w:r>
      <w:r>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w:t>
      </w:r>
      <w:r w:rsidR="00EC3608">
        <w:rPr>
          <w:rFonts w:ascii="Palatino Linotype" w:eastAsia="Calibri" w:hAnsi="Palatino Linotype" w:cs="Times New Roman"/>
          <w:i/>
          <w:lang w:val="es-ES"/>
        </w:rPr>
        <w:t>tas en tratados internacionales</w:t>
      </w:r>
      <w:r>
        <w:rPr>
          <w:rFonts w:ascii="Palatino Linotype" w:eastAsia="Calibri" w:hAnsi="Palatino Linotype" w:cs="Times New Roman"/>
          <w:i/>
          <w:lang w:val="es-ES"/>
        </w:rPr>
        <w:t>” (Sic)</w:t>
      </w:r>
      <w:r w:rsidR="00EC3608">
        <w:rPr>
          <w:rFonts w:ascii="Palatino Linotype" w:eastAsia="Calibri" w:hAnsi="Palatino Linotype" w:cs="Times New Roman"/>
          <w:i/>
          <w:lang w:val="es-ES"/>
        </w:rPr>
        <w:t>.</w:t>
      </w:r>
    </w:p>
    <w:p w14:paraId="7EC99DCB" w14:textId="77777777" w:rsidR="00120E3F" w:rsidRDefault="00120E3F" w:rsidP="00120E3F">
      <w:pPr>
        <w:spacing w:after="0" w:line="360" w:lineRule="auto"/>
        <w:jc w:val="both"/>
        <w:rPr>
          <w:rFonts w:ascii="Palatino Linotype" w:hAnsi="Palatino Linotype"/>
          <w:sz w:val="24"/>
          <w:szCs w:val="24"/>
          <w:lang w:val="es-ES" w:eastAsia="es-ES"/>
        </w:rPr>
      </w:pPr>
    </w:p>
    <w:p w14:paraId="17C9EBD9" w14:textId="281AF23D" w:rsidR="00AB7C14" w:rsidRPr="00500495" w:rsidRDefault="00120E3F" w:rsidP="00AD0C07">
      <w:pPr>
        <w:spacing w:after="0" w:line="360" w:lineRule="auto"/>
        <w:jc w:val="both"/>
        <w:rPr>
          <w:rFonts w:ascii="Palatino Linotype" w:eastAsia="Calibri" w:hAnsi="Palatino Linotype" w:cs="Times New Roman"/>
          <w:sz w:val="24"/>
          <w:szCs w:val="24"/>
        </w:rPr>
      </w:pPr>
      <w:r>
        <w:rPr>
          <w:rFonts w:ascii="Palatino Linotype" w:hAnsi="Palatino Linotype"/>
          <w:sz w:val="24"/>
          <w:szCs w:val="24"/>
          <w:lang w:val="es-ES" w:eastAsia="es-ES"/>
        </w:rPr>
        <w:t xml:space="preserve">En el presente asunto no es la excepción, </w:t>
      </w:r>
      <w:r>
        <w:rPr>
          <w:rFonts w:ascii="Palatino Linotype" w:hAnsi="Palatino Linotype"/>
          <w:bCs/>
          <w:sz w:val="24"/>
          <w:szCs w:val="24"/>
          <w:lang w:val="es-ES"/>
        </w:rPr>
        <w:t xml:space="preserve">pues la reserva de la información implica una clasificación, la cual debe entenderse como el proceso mediante el cual </w:t>
      </w:r>
      <w:r>
        <w:rPr>
          <w:rFonts w:ascii="Palatino Linotype" w:hAnsi="Palatino Linotype"/>
          <w:b/>
          <w:bCs/>
          <w:sz w:val="24"/>
          <w:szCs w:val="24"/>
          <w:lang w:val="es-ES"/>
        </w:rPr>
        <w:t>El Sujeto Obligado</w:t>
      </w:r>
      <w:r>
        <w:rPr>
          <w:rFonts w:ascii="Palatino Linotype" w:hAnsi="Palatino Linotype"/>
          <w:bCs/>
          <w:sz w:val="24"/>
          <w:szCs w:val="24"/>
          <w:lang w:val="es-ES"/>
        </w:rPr>
        <w:t xml:space="preserve"> determina que la información en su poder </w:t>
      </w:r>
      <w:r w:rsidR="0034326B">
        <w:rPr>
          <w:rFonts w:ascii="Palatino Linotype" w:hAnsi="Palatino Linotype"/>
          <w:bCs/>
          <w:sz w:val="24"/>
          <w:szCs w:val="24"/>
          <w:lang w:val="es-ES"/>
        </w:rPr>
        <w:t>actualizar</w:t>
      </w:r>
      <w:r>
        <w:rPr>
          <w:rFonts w:ascii="Palatino Linotype" w:hAnsi="Palatino Linotype"/>
          <w:bCs/>
          <w:sz w:val="24"/>
          <w:szCs w:val="24"/>
          <w:lang w:val="es-ES"/>
        </w:rPr>
        <w:t xml:space="preserve"> alguno de los supuestos de reserva o confidencialidad, sin em</w:t>
      </w:r>
      <w:r w:rsidR="0034326B">
        <w:rPr>
          <w:rFonts w:ascii="Palatino Linotype" w:hAnsi="Palatino Linotype"/>
          <w:bCs/>
          <w:sz w:val="24"/>
          <w:szCs w:val="24"/>
          <w:lang w:val="es-ES"/>
        </w:rPr>
        <w:t>bargo si bien es cierto que el Sujeto O</w:t>
      </w:r>
      <w:r>
        <w:rPr>
          <w:rFonts w:ascii="Palatino Linotype" w:hAnsi="Palatino Linotype"/>
          <w:bCs/>
          <w:sz w:val="24"/>
          <w:szCs w:val="24"/>
          <w:lang w:val="es-ES"/>
        </w:rPr>
        <w:t xml:space="preserve">bligado </w:t>
      </w:r>
      <w:r w:rsidR="0034326B">
        <w:rPr>
          <w:rFonts w:ascii="Palatino Linotype" w:hAnsi="Palatino Linotype"/>
          <w:bCs/>
          <w:sz w:val="24"/>
          <w:szCs w:val="24"/>
          <w:lang w:val="es-ES"/>
        </w:rPr>
        <w:t>a través de la respuesta de fecha veintidós de septiembre de dos mil veintiuno</w:t>
      </w:r>
      <w:r w:rsidR="00EF2755">
        <w:rPr>
          <w:rFonts w:ascii="Palatino Linotype" w:hAnsi="Palatino Linotype"/>
          <w:bCs/>
          <w:sz w:val="24"/>
          <w:szCs w:val="24"/>
          <w:lang w:val="es-ES"/>
        </w:rPr>
        <w:t>,</w:t>
      </w:r>
      <w:r w:rsidR="0034326B">
        <w:rPr>
          <w:rFonts w:ascii="Palatino Linotype" w:hAnsi="Palatino Linotype"/>
          <w:bCs/>
          <w:sz w:val="24"/>
          <w:szCs w:val="24"/>
          <w:lang w:val="es-ES"/>
        </w:rPr>
        <w:t xml:space="preserve"> señala que la información solicitada es reservada en términos del artículo 140 de la Ley de Transparencia y Acceso a la Información Pública del Estado de México y Municipios  sin embargo </w:t>
      </w:r>
      <w:r>
        <w:rPr>
          <w:rFonts w:ascii="Palatino Linotype" w:eastAsia="Calibri" w:hAnsi="Palatino Linotype" w:cs="Times New Roman"/>
          <w:sz w:val="24"/>
          <w:szCs w:val="24"/>
        </w:rPr>
        <w:t>cabe destacar que dicho dispositivo cuenta con once fracciones las cuales prevén criterios de reserva para la c</w:t>
      </w:r>
      <w:r w:rsidR="00AD0C07">
        <w:rPr>
          <w:rFonts w:ascii="Palatino Linotype" w:eastAsia="Calibri" w:hAnsi="Palatino Linotype" w:cs="Times New Roman"/>
          <w:sz w:val="24"/>
          <w:szCs w:val="24"/>
        </w:rPr>
        <w:t>lasificación de la información, sin que el sujeto obligado precise la fracción en la que se encuentra ubicada la información solicitada</w:t>
      </w:r>
      <w:r>
        <w:rPr>
          <w:rFonts w:ascii="Palatino Linotype" w:eastAsia="Calibri" w:hAnsi="Palatino Linotype" w:cs="Times New Roman"/>
          <w:sz w:val="24"/>
          <w:szCs w:val="24"/>
        </w:rPr>
        <w:t xml:space="preserve"> es decir omite plasmar la hipótesis normativa que actualiza el extremo de calificación de la información, </w:t>
      </w:r>
      <w:r w:rsidR="00AD0C07">
        <w:rPr>
          <w:rFonts w:ascii="Palatino Linotype" w:eastAsia="Calibri" w:hAnsi="Palatino Linotype" w:cs="Times New Roman"/>
          <w:sz w:val="24"/>
          <w:szCs w:val="24"/>
        </w:rPr>
        <w:t xml:space="preserve">así mismo omite </w:t>
      </w:r>
      <w:r>
        <w:rPr>
          <w:rFonts w:ascii="Palatino Linotype" w:eastAsia="Calibri" w:hAnsi="Palatino Linotype" w:cs="Times New Roman"/>
          <w:sz w:val="24"/>
          <w:szCs w:val="24"/>
        </w:rPr>
        <w:t xml:space="preserve">señala el motivo por el cual considera que la información </w:t>
      </w:r>
      <w:r w:rsidR="00EF2755">
        <w:rPr>
          <w:rFonts w:ascii="Palatino Linotype" w:eastAsia="Calibri" w:hAnsi="Palatino Linotype" w:cs="Times New Roman"/>
          <w:sz w:val="24"/>
          <w:szCs w:val="24"/>
        </w:rPr>
        <w:t>colma</w:t>
      </w:r>
      <w:r>
        <w:rPr>
          <w:rFonts w:ascii="Palatino Linotype" w:eastAsia="Calibri" w:hAnsi="Palatino Linotype" w:cs="Times New Roman"/>
          <w:sz w:val="24"/>
          <w:szCs w:val="24"/>
        </w:rPr>
        <w:t xml:space="preserve"> los extremos establecidos por la Ley, </w:t>
      </w:r>
      <w:r w:rsidR="00AD0C07">
        <w:rPr>
          <w:rFonts w:ascii="Palatino Linotype" w:eastAsia="Calibri" w:hAnsi="Palatino Linotype" w:cs="Times New Roman"/>
          <w:sz w:val="24"/>
          <w:szCs w:val="24"/>
        </w:rPr>
        <w:t xml:space="preserve">lo anterior tiene su fundamento en el artículo </w:t>
      </w:r>
      <w:r>
        <w:rPr>
          <w:rFonts w:ascii="Palatino Linotype" w:eastAsia="Calibri" w:hAnsi="Palatino Linotype" w:cs="Times New Roman"/>
          <w:sz w:val="24"/>
          <w:szCs w:val="24"/>
        </w:rPr>
        <w:t xml:space="preserve">16 de la Constitución Federal, </w:t>
      </w:r>
      <w:r w:rsidR="00AD0C07">
        <w:rPr>
          <w:rFonts w:ascii="Palatino Linotype" w:eastAsia="Calibri" w:hAnsi="Palatino Linotype" w:cs="Times New Roman"/>
          <w:sz w:val="24"/>
          <w:szCs w:val="24"/>
        </w:rPr>
        <w:t>la cual hace referencia</w:t>
      </w:r>
      <w:r>
        <w:rPr>
          <w:rFonts w:ascii="Palatino Linotype" w:eastAsia="Calibri" w:hAnsi="Palatino Linotype" w:cs="Times New Roman"/>
          <w:sz w:val="24"/>
          <w:szCs w:val="24"/>
        </w:rPr>
        <w:t xml:space="preserve"> a que todos los actos de autoridad deben estar debidamente fundados y motivados, entendiéndose por fundamento como la </w:t>
      </w:r>
      <w:r w:rsidRPr="00500495">
        <w:rPr>
          <w:rFonts w:ascii="Palatino Linotype" w:eastAsia="Calibri" w:hAnsi="Palatino Linotype" w:cs="Times New Roman"/>
          <w:sz w:val="24"/>
          <w:szCs w:val="24"/>
        </w:rPr>
        <w:t xml:space="preserve">expresión de forma precisa del dispositivo legal aplicable al caso particular, y por motivación las circunstancias especiales y razones particulares o causas inmediatas tomadas en </w:t>
      </w:r>
      <w:r w:rsidRPr="00500495">
        <w:rPr>
          <w:rFonts w:ascii="Palatino Linotype" w:eastAsia="Calibri" w:hAnsi="Palatino Linotype" w:cs="Times New Roman"/>
          <w:sz w:val="24"/>
          <w:szCs w:val="24"/>
        </w:rPr>
        <w:lastRenderedPageBreak/>
        <w:t>consideración para su emisión, aunado a la necesidad de una adecuación entre los motivos a</w:t>
      </w:r>
      <w:r w:rsidR="009816DB" w:rsidRPr="00500495">
        <w:rPr>
          <w:rFonts w:ascii="Palatino Linotype" w:eastAsia="Calibri" w:hAnsi="Palatino Linotype" w:cs="Times New Roman"/>
          <w:sz w:val="24"/>
          <w:szCs w:val="24"/>
        </w:rPr>
        <w:t>ducidos y las normas expresadas</w:t>
      </w:r>
      <w:r w:rsidR="00EC3608" w:rsidRPr="00500495">
        <w:rPr>
          <w:rFonts w:ascii="Palatino Linotype" w:eastAsia="Calibri" w:hAnsi="Palatino Linotype" w:cs="Times New Roman"/>
          <w:sz w:val="24"/>
          <w:szCs w:val="24"/>
        </w:rPr>
        <w:t>.</w:t>
      </w:r>
    </w:p>
    <w:p w14:paraId="3FD9B4B8" w14:textId="77777777" w:rsidR="00EC3608" w:rsidRDefault="00EC3608" w:rsidP="00AD0C07">
      <w:pPr>
        <w:spacing w:after="0" w:line="360" w:lineRule="auto"/>
        <w:jc w:val="both"/>
        <w:rPr>
          <w:rFonts w:ascii="Palatino Linotype" w:eastAsia="Calibri" w:hAnsi="Palatino Linotype" w:cs="Times New Roman"/>
          <w:sz w:val="24"/>
          <w:szCs w:val="24"/>
        </w:rPr>
      </w:pPr>
    </w:p>
    <w:p w14:paraId="27E72119" w14:textId="0F746F91" w:rsidR="00AB7C14" w:rsidRDefault="00EC3608" w:rsidP="00C83372">
      <w:pPr>
        <w:spacing w:after="0" w:line="360" w:lineRule="auto"/>
        <w:jc w:val="both"/>
        <w:rPr>
          <w:rFonts w:ascii="Palatino Linotype" w:eastAsia="Calibri" w:hAnsi="Palatino Linotype"/>
          <w:sz w:val="24"/>
          <w:szCs w:val="24"/>
        </w:rPr>
      </w:pPr>
      <w:r>
        <w:rPr>
          <w:rFonts w:ascii="Palatino Linotype" w:hAnsi="Palatino Linotype"/>
          <w:color w:val="000000" w:themeColor="text1"/>
          <w:sz w:val="24"/>
          <w:szCs w:val="24"/>
        </w:rPr>
        <w:t xml:space="preserve">Por lo que cabe </w:t>
      </w:r>
      <w:r w:rsidR="00AB7C14">
        <w:rPr>
          <w:rFonts w:ascii="Palatino Linotype" w:hAnsi="Palatino Linotype"/>
          <w:color w:val="000000" w:themeColor="text1"/>
          <w:sz w:val="24"/>
          <w:szCs w:val="24"/>
        </w:rPr>
        <w:t>mencionar que de ser el caso el Sujeto Obligad</w:t>
      </w:r>
      <w:r>
        <w:rPr>
          <w:rFonts w:ascii="Palatino Linotype" w:hAnsi="Palatino Linotype"/>
          <w:color w:val="000000" w:themeColor="text1"/>
          <w:sz w:val="24"/>
          <w:szCs w:val="24"/>
        </w:rPr>
        <w:t>o</w:t>
      </w:r>
      <w:r w:rsidR="00AB7C14">
        <w:rPr>
          <w:rFonts w:ascii="Palatino Linotype" w:hAnsi="Palatino Linotype"/>
          <w:color w:val="000000" w:themeColor="text1"/>
          <w:sz w:val="24"/>
          <w:szCs w:val="24"/>
        </w:rPr>
        <w:t xml:space="preserve"> deben </w:t>
      </w:r>
      <w:r w:rsidR="00AB7C14">
        <w:rPr>
          <w:rFonts w:ascii="Palatino Linotype" w:eastAsia="Calibri" w:hAnsi="Palatino Linotype"/>
          <w:sz w:val="24"/>
          <w:szCs w:val="24"/>
        </w:rPr>
        <w:t xml:space="preserve">realizar la prueba de daño correspondiente, de conformidad con lo establecido por el artículo 128, párrafo segundo de la Ley de Transparencia y Acceso a la Información Pública del Estado de México y Municipios, establece que a efecto de motivar la clasificación de información, se debe establecer las razones, motivos o circunstancias especiales que lo llevaron a concluir que el caso encuadra en la descripción de la norma jurídica señala como fundamento, aplicando en todo momento una prueba de daño en términos del artículo 129, fracciones I, II y III, 134, párrafo tercero de la Ley de Transparencia y Acceso a la Información Pública del Estado de México y Municipios, vigente, los cuales en lo que interesa son del tenor literal siguiente: </w:t>
      </w:r>
    </w:p>
    <w:p w14:paraId="732E3B74" w14:textId="77777777" w:rsidR="00EC3608" w:rsidRPr="00EC3608" w:rsidRDefault="00EC3608" w:rsidP="00C83372">
      <w:pPr>
        <w:spacing w:after="0" w:line="360" w:lineRule="auto"/>
        <w:jc w:val="both"/>
        <w:rPr>
          <w:rFonts w:ascii="Palatino Linotype" w:eastAsia="Calibri" w:hAnsi="Palatino Linotype"/>
          <w:sz w:val="32"/>
          <w:szCs w:val="24"/>
        </w:rPr>
      </w:pPr>
    </w:p>
    <w:p w14:paraId="68ED83F0" w14:textId="24C6B9AF" w:rsidR="00AB7C14" w:rsidRPr="00EC3608" w:rsidRDefault="00AB7C14" w:rsidP="00EC3608">
      <w:pPr>
        <w:pStyle w:val="infoem"/>
        <w:spacing w:before="0" w:after="0" w:line="240" w:lineRule="auto"/>
        <w:ind w:left="567" w:right="567"/>
        <w:rPr>
          <w:b/>
        </w:rPr>
      </w:pPr>
      <w:r w:rsidRPr="00EC3608">
        <w:rPr>
          <w:b/>
        </w:rPr>
        <w:t>“Artículo 128</w:t>
      </w:r>
      <w:r w:rsidR="00EC3608" w:rsidRPr="00EC3608">
        <w:rPr>
          <w:b/>
        </w:rPr>
        <w:t>…</w:t>
      </w:r>
    </w:p>
    <w:p w14:paraId="7AEB6F71" w14:textId="77777777" w:rsidR="00AB7C14" w:rsidRDefault="00AB7C14" w:rsidP="00EC3608">
      <w:pPr>
        <w:pStyle w:val="infoem"/>
        <w:spacing w:before="0" w:after="0" w:line="240" w:lineRule="auto"/>
        <w:ind w:left="567" w:right="567"/>
      </w:pPr>
      <w: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351F396A" w14:textId="77777777" w:rsidR="00AB7C14" w:rsidRDefault="00AB7C14" w:rsidP="00EC3608">
      <w:pPr>
        <w:pStyle w:val="infoem"/>
        <w:spacing w:before="0" w:after="0" w:line="240" w:lineRule="auto"/>
        <w:ind w:left="567" w:right="567"/>
      </w:pPr>
      <w:r w:rsidRPr="00EC3608">
        <w:rPr>
          <w:b/>
        </w:rPr>
        <w:t>Artículo 129.</w:t>
      </w:r>
      <w:r>
        <w:t xml:space="preserve"> En la aplicación de la prueba de daño, el sujeto obligado deberá precisar las razones objetivas por las que la apertura de la información generaría una afectación, justificando que:</w:t>
      </w:r>
    </w:p>
    <w:p w14:paraId="09EA58A0" w14:textId="77777777" w:rsidR="00AB7C14" w:rsidRDefault="00AB7C14" w:rsidP="00EC3608">
      <w:pPr>
        <w:pStyle w:val="infoem"/>
        <w:spacing w:before="0" w:after="0" w:line="240" w:lineRule="auto"/>
        <w:ind w:left="567" w:right="567"/>
      </w:pPr>
      <w:r w:rsidRPr="00EC3608">
        <w:rPr>
          <w:b/>
        </w:rPr>
        <w:t xml:space="preserve">I. </w:t>
      </w:r>
      <w:r>
        <w:t>La divulgación de la información representa un riesgo real, demostrable e identificable del perjuicio significativo al interés público o a la seguridad pública;</w:t>
      </w:r>
    </w:p>
    <w:p w14:paraId="7E569FAE" w14:textId="77777777" w:rsidR="00AB7C14" w:rsidRDefault="00AB7C14" w:rsidP="00EC3608">
      <w:pPr>
        <w:pStyle w:val="infoem"/>
        <w:spacing w:before="0" w:after="0" w:line="240" w:lineRule="auto"/>
        <w:ind w:left="567" w:right="567"/>
      </w:pPr>
      <w:r w:rsidRPr="00EC3608">
        <w:rPr>
          <w:b/>
        </w:rPr>
        <w:t>II.</w:t>
      </w:r>
      <w:r>
        <w:t xml:space="preserve"> El riesgo de perjuicio que supondría la divulgación supera el interés público general de que se difunda; y</w:t>
      </w:r>
    </w:p>
    <w:p w14:paraId="5C38C0D5" w14:textId="77777777" w:rsidR="00AB7C14" w:rsidRDefault="00AB7C14" w:rsidP="00EC3608">
      <w:pPr>
        <w:pStyle w:val="infoem"/>
        <w:spacing w:before="0" w:after="0" w:line="240" w:lineRule="auto"/>
        <w:ind w:left="567" w:right="567"/>
      </w:pPr>
      <w:r w:rsidRPr="00EC3608">
        <w:rPr>
          <w:b/>
        </w:rPr>
        <w:t>III.</w:t>
      </w:r>
      <w:r>
        <w:t xml:space="preserve"> La limitación se adecua al principio de proporcionalidad y representa el medio menos restrictivo disponible representa el medio menos restrictivo disponible para evitar el perjuicio.</w:t>
      </w:r>
    </w:p>
    <w:p w14:paraId="084A9781" w14:textId="77777777" w:rsidR="00AB7C14" w:rsidRPr="00EC3608" w:rsidRDefault="00AB7C14" w:rsidP="00EC3608">
      <w:pPr>
        <w:pStyle w:val="infoem"/>
        <w:spacing w:before="0" w:after="0" w:line="240" w:lineRule="auto"/>
        <w:ind w:left="567" w:right="567"/>
        <w:rPr>
          <w:b/>
        </w:rPr>
      </w:pPr>
      <w:r w:rsidRPr="00EC3608">
        <w:rPr>
          <w:b/>
        </w:rPr>
        <w:t>Artículo 134</w:t>
      </w:r>
    </w:p>
    <w:p w14:paraId="30A2E776" w14:textId="01C0239C" w:rsidR="00AB7C14" w:rsidRDefault="00EC3608" w:rsidP="00EC3608">
      <w:pPr>
        <w:pStyle w:val="infoem"/>
        <w:spacing w:before="0" w:after="0" w:line="240" w:lineRule="auto"/>
        <w:ind w:left="567" w:right="567"/>
      </w:pPr>
      <w:r>
        <w:lastRenderedPageBreak/>
        <w:t>…</w:t>
      </w:r>
    </w:p>
    <w:p w14:paraId="499A072B" w14:textId="2F2A032C" w:rsidR="00AB7C14" w:rsidRDefault="00AB7C14" w:rsidP="00EC3608">
      <w:pPr>
        <w:pStyle w:val="infoem"/>
        <w:spacing w:before="0" w:after="0" w:line="240" w:lineRule="auto"/>
        <w:ind w:left="567" w:right="567"/>
        <w:rPr>
          <w:b/>
          <w:bCs/>
        </w:rPr>
      </w:pPr>
      <w:r>
        <w:t xml:space="preserve">La clasificación de información se realizará conforme a un análisis caso por caso, mediante la </w:t>
      </w:r>
      <w:r w:rsidR="00EC3608">
        <w:t>aplicación de la prueba de daño</w:t>
      </w:r>
      <w:r w:rsidR="00EC3608" w:rsidRPr="00EC3608">
        <w:rPr>
          <w:b/>
        </w:rPr>
        <w:t>”</w:t>
      </w:r>
      <w:r w:rsidR="00EC3608">
        <w:t xml:space="preserve"> (Sic).</w:t>
      </w:r>
    </w:p>
    <w:p w14:paraId="3511DF74" w14:textId="77777777" w:rsidR="00AB7C14" w:rsidRDefault="00AB7C14" w:rsidP="00AB7C14">
      <w:pPr>
        <w:spacing w:after="240" w:line="240" w:lineRule="auto"/>
        <w:jc w:val="center"/>
        <w:rPr>
          <w:rFonts w:ascii="Palatino Linotype" w:eastAsia="Calibri" w:hAnsi="Palatino Linotype"/>
          <w:sz w:val="24"/>
          <w:szCs w:val="24"/>
        </w:rPr>
      </w:pPr>
    </w:p>
    <w:p w14:paraId="09B62F06" w14:textId="7D531387" w:rsidR="00AB7C14" w:rsidRDefault="00EC3608" w:rsidP="00AB7C14">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 xml:space="preserve">Correlativo a lo anterior, </w:t>
      </w:r>
      <w:r w:rsidR="00AB7C14">
        <w:rPr>
          <w:rFonts w:ascii="Palatino Linotype" w:eastAsia="Calibri" w:hAnsi="Palatino Linotype"/>
          <w:sz w:val="24"/>
          <w:szCs w:val="24"/>
        </w:rPr>
        <w:t>la prueba de daño es la argumentación fundada y motivada que deben realizar los sujetos obligados para acreditar que la divulgación de la información lesiona un interés jurídicamente protegido y que el daño que puede producir es mayor que el interé</w:t>
      </w:r>
      <w:r>
        <w:rPr>
          <w:rFonts w:ascii="Palatino Linotype" w:eastAsia="Calibri" w:hAnsi="Palatino Linotype"/>
          <w:sz w:val="24"/>
          <w:szCs w:val="24"/>
        </w:rPr>
        <w:t>s de conocer ésta y su validez,</w:t>
      </w:r>
      <w:r w:rsidR="00AB7C14">
        <w:rPr>
          <w:rFonts w:ascii="Palatino Linotype" w:eastAsia="Calibri" w:hAnsi="Palatino Linotype"/>
          <w:sz w:val="24"/>
          <w:szCs w:val="24"/>
        </w:rPr>
        <w:t xml:space="preserve"> no depende de los medios de prueba que el sujeto obligado aporte, sino de la solidez del juicio de ponderación que se efectúe de acuerdo con las normas aplicables, lo anterior tiene sustento en </w:t>
      </w:r>
      <w:r w:rsidR="00AB7C14">
        <w:rPr>
          <w:rFonts w:ascii="Palatino Linotype" w:eastAsia="Calibri" w:hAnsi="Palatino Linotype" w:cs="Arial"/>
          <w:sz w:val="24"/>
          <w:szCs w:val="24"/>
          <w:lang w:val="es-ES" w:eastAsia="es-ES"/>
        </w:rPr>
        <w:t>la siguiente tesis</w:t>
      </w:r>
      <w:r w:rsidR="00AB7C14">
        <w:rPr>
          <w:rFonts w:ascii="Palatino Linotype" w:eastAsia="Calibri" w:hAnsi="Palatino Linotype" w:cs="Arial"/>
          <w:sz w:val="24"/>
          <w:szCs w:val="24"/>
          <w:vertAlign w:val="superscript"/>
          <w:lang w:val="es-ES" w:eastAsia="es-ES"/>
        </w:rPr>
        <w:footnoteReference w:id="2"/>
      </w:r>
      <w:r w:rsidR="00AB7C14">
        <w:rPr>
          <w:rFonts w:ascii="Palatino Linotype" w:eastAsia="Calibri" w:hAnsi="Palatino Linotype" w:cs="Arial"/>
          <w:sz w:val="24"/>
          <w:szCs w:val="24"/>
          <w:lang w:val="es-ES" w:eastAsia="es-ES"/>
        </w:rPr>
        <w:t>:</w:t>
      </w:r>
    </w:p>
    <w:p w14:paraId="2D36B067" w14:textId="77777777" w:rsidR="00AB7C14" w:rsidRDefault="00AB7C14" w:rsidP="00AB7C14">
      <w:pPr>
        <w:pStyle w:val="Sinespaciado"/>
        <w:ind w:left="851" w:right="850"/>
        <w:jc w:val="both"/>
        <w:rPr>
          <w:rFonts w:ascii="Palatino Linotype" w:hAnsi="Palatino Linotype"/>
          <w:i/>
          <w:sz w:val="20"/>
          <w:szCs w:val="24"/>
        </w:rPr>
      </w:pPr>
    </w:p>
    <w:p w14:paraId="261A343D" w14:textId="77777777" w:rsidR="00AB7C14" w:rsidRDefault="00AB7C14" w:rsidP="00AB7C14">
      <w:pPr>
        <w:pStyle w:val="Sinespaciado"/>
        <w:ind w:left="851" w:right="850"/>
        <w:jc w:val="both"/>
        <w:rPr>
          <w:rFonts w:ascii="Palatino Linotype" w:hAnsi="Palatino Linotype"/>
          <w:i/>
          <w:sz w:val="8"/>
          <w:szCs w:val="24"/>
        </w:rPr>
      </w:pPr>
    </w:p>
    <w:p w14:paraId="5652D350" w14:textId="77777777" w:rsidR="00AB7C14" w:rsidRDefault="00AB7C14" w:rsidP="00AB7C14">
      <w:pPr>
        <w:pStyle w:val="infoem"/>
        <w:spacing w:before="0" w:after="0" w:line="240" w:lineRule="auto"/>
        <w:ind w:left="567" w:right="567"/>
        <w:rPr>
          <w:b/>
          <w:bCs/>
        </w:rPr>
      </w:pPr>
      <w:r>
        <w:rPr>
          <w:b/>
          <w:bCs/>
        </w:rPr>
        <w:t>“PRUEBA DE DAÑO EN LA CLASIFICACIÓN DE LA INFORMACIÓN PÚBLICA. SU VALIDEZ NO DEPENDE DE LOS MEDIOS DE PRUEBA QUE EL SUJETO OBLIGADO APORTE.</w:t>
      </w:r>
    </w:p>
    <w:p w14:paraId="42818505" w14:textId="77777777" w:rsidR="00AB7C14" w:rsidRDefault="00AB7C14" w:rsidP="00AB7C14">
      <w:pPr>
        <w:pStyle w:val="infoem"/>
        <w:spacing w:line="240" w:lineRule="auto"/>
        <w:ind w:left="567" w:right="567"/>
      </w:pPr>
      <w: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w:t>
      </w:r>
      <w:r>
        <w:lastRenderedPageBreak/>
        <w:t>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DD8EC4D" w14:textId="77777777" w:rsidR="00AB7C14" w:rsidRDefault="00AB7C14" w:rsidP="00AB7C14">
      <w:pPr>
        <w:pStyle w:val="infoem"/>
        <w:spacing w:line="240" w:lineRule="auto"/>
        <w:ind w:left="567" w:right="567"/>
      </w:pPr>
      <w:r>
        <w:t>DÉCIMO TRIBUNAL COLEGIADO EN MATERIA ADMINISTRATIVA DEL PRIMER CIRCUITO.</w:t>
      </w:r>
    </w:p>
    <w:p w14:paraId="60425FE4" w14:textId="0625D8CF" w:rsidR="00105075" w:rsidRDefault="00AB7C14" w:rsidP="00687227">
      <w:pPr>
        <w:pStyle w:val="infoem"/>
        <w:spacing w:line="240" w:lineRule="auto"/>
        <w:ind w:left="567" w:right="567"/>
      </w:pPr>
      <w:r>
        <w:t>Amparo en revisión 149/2018. Amanda Ibáñez Molina. 6 de septiembre de 2018. Unanimidad de votos. Ponente: Alfredo Enrique Báez López. Secretario:</w:t>
      </w:r>
      <w:r w:rsidR="00715354">
        <w:t xml:space="preserve"> Roberto César Morales Corona”.</w:t>
      </w:r>
    </w:p>
    <w:p w14:paraId="15922949" w14:textId="77777777" w:rsidR="00F7157E" w:rsidRPr="00687227" w:rsidRDefault="00F7157E" w:rsidP="00687227">
      <w:pPr>
        <w:pStyle w:val="infoem"/>
        <w:spacing w:line="240" w:lineRule="auto"/>
        <w:ind w:left="567" w:right="567"/>
      </w:pPr>
    </w:p>
    <w:p w14:paraId="51348BB7" w14:textId="259FA742" w:rsidR="006D4F7A" w:rsidRDefault="00715354" w:rsidP="00A25881">
      <w:pPr>
        <w:tabs>
          <w:tab w:val="left" w:pos="709"/>
        </w:tabs>
        <w:spacing w:after="0" w:line="360" w:lineRule="auto"/>
        <w:jc w:val="both"/>
        <w:rPr>
          <w:rFonts w:ascii="Palatino Linotype" w:hAnsi="Palatino Linotype"/>
          <w:sz w:val="24"/>
          <w:szCs w:val="24"/>
        </w:rPr>
      </w:pPr>
      <w:r w:rsidRPr="00F96ECA">
        <w:rPr>
          <w:rFonts w:ascii="Palatino Linotype" w:hAnsi="Palatino Linotype"/>
          <w:sz w:val="24"/>
          <w:szCs w:val="24"/>
        </w:rPr>
        <w:t xml:space="preserve">Ahora bien, resulta importante para esta Ponencia señalar que considerando </w:t>
      </w:r>
      <w:r w:rsidR="00B37F38">
        <w:rPr>
          <w:rFonts w:ascii="Palatino Linotype" w:hAnsi="Palatino Linotype"/>
          <w:sz w:val="24"/>
          <w:szCs w:val="24"/>
        </w:rPr>
        <w:t xml:space="preserve">que </w:t>
      </w:r>
      <w:r w:rsidRPr="00F96ECA">
        <w:rPr>
          <w:rFonts w:ascii="Palatino Linotype" w:hAnsi="Palatino Linotype"/>
          <w:sz w:val="24"/>
          <w:szCs w:val="24"/>
        </w:rPr>
        <w:t xml:space="preserve">la solicitud de información </w:t>
      </w:r>
      <w:r w:rsidRPr="00F96ECA">
        <w:rPr>
          <w:rFonts w:ascii="Palatino Linotype" w:hAnsi="Palatino Linotype" w:cs="Arial"/>
          <w:b/>
          <w:sz w:val="24"/>
        </w:rPr>
        <w:t xml:space="preserve">00130/CAPULHUA/IP/2021, </w:t>
      </w:r>
      <w:r w:rsidR="00F7157E">
        <w:rPr>
          <w:rFonts w:ascii="Palatino Linotype" w:hAnsi="Palatino Linotype" w:cs="Arial"/>
          <w:b/>
          <w:sz w:val="24"/>
        </w:rPr>
        <w:t>es</w:t>
      </w:r>
      <w:r w:rsidR="00B37F38">
        <w:rPr>
          <w:rFonts w:ascii="Palatino Linotype" w:hAnsi="Palatino Linotype" w:cs="Arial"/>
          <w:b/>
          <w:sz w:val="24"/>
        </w:rPr>
        <w:t xml:space="preserve"> </w:t>
      </w:r>
      <w:r w:rsidRPr="00F96ECA">
        <w:rPr>
          <w:rFonts w:ascii="Palatino Linotype" w:hAnsi="Palatino Linotype" w:cs="Arial"/>
          <w:sz w:val="24"/>
        </w:rPr>
        <w:t xml:space="preserve">referente </w:t>
      </w:r>
      <w:r w:rsidR="006D4F7A" w:rsidRPr="00F96ECA">
        <w:rPr>
          <w:rFonts w:ascii="Palatino Linotype" w:hAnsi="Palatino Linotype" w:cs="Arial"/>
          <w:sz w:val="24"/>
        </w:rPr>
        <w:t xml:space="preserve">a </w:t>
      </w:r>
      <w:r w:rsidRPr="00F96ECA">
        <w:rPr>
          <w:rFonts w:ascii="Palatino Linotype" w:hAnsi="Palatino Linotype" w:cs="Arial"/>
          <w:sz w:val="24"/>
        </w:rPr>
        <w:t>la entrega</w:t>
      </w:r>
      <w:r w:rsidRPr="00F96ECA">
        <w:rPr>
          <w:rFonts w:ascii="Palatino Linotype" w:hAnsi="Palatino Linotype"/>
          <w:sz w:val="24"/>
          <w:szCs w:val="24"/>
        </w:rPr>
        <w:t xml:space="preserve"> del </w:t>
      </w:r>
      <w:r w:rsidRPr="00291233">
        <w:rPr>
          <w:rFonts w:ascii="Palatino Linotype" w:hAnsi="Palatino Linotype"/>
          <w:sz w:val="24"/>
          <w:szCs w:val="24"/>
        </w:rPr>
        <w:t xml:space="preserve">procedimiento de responsabilidad administrativa </w:t>
      </w:r>
      <w:r w:rsidR="006D4F7A" w:rsidRPr="00291233">
        <w:rPr>
          <w:rFonts w:ascii="Palatino Linotype" w:hAnsi="Palatino Linotype"/>
          <w:sz w:val="24"/>
          <w:szCs w:val="24"/>
        </w:rPr>
        <w:t>instau</w:t>
      </w:r>
      <w:r w:rsidR="008A5E0C" w:rsidRPr="00291233">
        <w:rPr>
          <w:rFonts w:ascii="Palatino Linotype" w:hAnsi="Palatino Linotype"/>
          <w:sz w:val="24"/>
          <w:szCs w:val="24"/>
        </w:rPr>
        <w:t>rado</w:t>
      </w:r>
      <w:r w:rsidRPr="00291233">
        <w:rPr>
          <w:rFonts w:ascii="Palatino Linotype" w:hAnsi="Palatino Linotype"/>
          <w:sz w:val="24"/>
          <w:szCs w:val="24"/>
        </w:rPr>
        <w:t xml:space="preserve"> </w:t>
      </w:r>
      <w:r w:rsidR="008A5E0C" w:rsidRPr="00291233">
        <w:rPr>
          <w:rFonts w:ascii="Palatino Linotype" w:hAnsi="Palatino Linotype"/>
          <w:sz w:val="24"/>
          <w:szCs w:val="24"/>
        </w:rPr>
        <w:t>al Titular de la Tesorería</w:t>
      </w:r>
      <w:r w:rsidR="006D4F7A" w:rsidRPr="00291233">
        <w:rPr>
          <w:rFonts w:ascii="Palatino Linotype" w:hAnsi="Palatino Linotype"/>
          <w:sz w:val="24"/>
          <w:szCs w:val="24"/>
        </w:rPr>
        <w:t xml:space="preserve"> Municipal de la administración</w:t>
      </w:r>
      <w:r w:rsidRPr="00291233">
        <w:rPr>
          <w:rFonts w:ascii="Palatino Linotype" w:hAnsi="Palatino Linotype"/>
          <w:sz w:val="24"/>
          <w:szCs w:val="24"/>
        </w:rPr>
        <w:t xml:space="preserve"> 2016-2018,</w:t>
      </w:r>
      <w:r w:rsidRPr="00F96ECA">
        <w:rPr>
          <w:rFonts w:ascii="Palatino Linotype" w:hAnsi="Palatino Linotype"/>
          <w:sz w:val="24"/>
          <w:szCs w:val="24"/>
        </w:rPr>
        <w:t xml:space="preserve"> resulta necesario realizar la</w:t>
      </w:r>
      <w:r w:rsidR="006D4F7A" w:rsidRPr="00F96ECA">
        <w:rPr>
          <w:rFonts w:ascii="Palatino Linotype" w:hAnsi="Palatino Linotype"/>
          <w:sz w:val="24"/>
          <w:szCs w:val="24"/>
        </w:rPr>
        <w:t>s</w:t>
      </w:r>
      <w:r w:rsidRPr="00F96ECA">
        <w:rPr>
          <w:rFonts w:ascii="Palatino Linotype" w:hAnsi="Palatino Linotype"/>
          <w:sz w:val="24"/>
          <w:szCs w:val="24"/>
        </w:rPr>
        <w:t xml:space="preserve"> siguiente</w:t>
      </w:r>
      <w:r w:rsidR="006D4F7A" w:rsidRPr="00F96ECA">
        <w:rPr>
          <w:rFonts w:ascii="Palatino Linotype" w:hAnsi="Palatino Linotype"/>
          <w:sz w:val="24"/>
          <w:szCs w:val="24"/>
        </w:rPr>
        <w:t>s</w:t>
      </w:r>
      <w:r w:rsidRPr="00F96ECA">
        <w:rPr>
          <w:rFonts w:ascii="Palatino Linotype" w:hAnsi="Palatino Linotype"/>
          <w:sz w:val="24"/>
          <w:szCs w:val="24"/>
        </w:rPr>
        <w:t xml:space="preserve"> </w:t>
      </w:r>
      <w:r w:rsidR="006D4F7A" w:rsidRPr="00F96ECA">
        <w:rPr>
          <w:rFonts w:ascii="Palatino Linotype" w:hAnsi="Palatino Linotype"/>
          <w:sz w:val="24"/>
          <w:szCs w:val="24"/>
        </w:rPr>
        <w:t>precisiones</w:t>
      </w:r>
      <w:r w:rsidRPr="00F96ECA">
        <w:rPr>
          <w:rFonts w:ascii="Palatino Linotype" w:hAnsi="Palatino Linotype"/>
          <w:sz w:val="24"/>
          <w:szCs w:val="24"/>
        </w:rPr>
        <w:t xml:space="preserve"> </w:t>
      </w:r>
      <w:r w:rsidR="006D4F7A" w:rsidRPr="00F96ECA">
        <w:rPr>
          <w:rFonts w:ascii="Palatino Linotype" w:hAnsi="Palatino Linotype"/>
          <w:sz w:val="24"/>
          <w:szCs w:val="24"/>
        </w:rPr>
        <w:t>respecto al origen y estado en el que pueda encontrarse el procedimientos de responsabilidad administrativa</w:t>
      </w:r>
      <w:r w:rsidR="00B37F38">
        <w:rPr>
          <w:rFonts w:ascii="Palatino Linotype" w:hAnsi="Palatino Linotype"/>
          <w:sz w:val="24"/>
          <w:szCs w:val="24"/>
        </w:rPr>
        <w:t xml:space="preserve"> de referencia, por lo que </w:t>
      </w:r>
      <w:r w:rsidR="00C83372">
        <w:rPr>
          <w:rFonts w:ascii="Palatino Linotype" w:hAnsi="Palatino Linotype"/>
          <w:sz w:val="24"/>
          <w:szCs w:val="24"/>
        </w:rPr>
        <w:t>se deberá tomar</w:t>
      </w:r>
      <w:r w:rsidR="00B37F38">
        <w:rPr>
          <w:rFonts w:ascii="Palatino Linotype" w:hAnsi="Palatino Linotype"/>
          <w:sz w:val="24"/>
          <w:szCs w:val="24"/>
        </w:rPr>
        <w:t xml:space="preserve"> en cuenta las siguientes consideración para el cumplimiento de la presente resolución.</w:t>
      </w:r>
    </w:p>
    <w:p w14:paraId="3B0825E4" w14:textId="77777777" w:rsidR="003310FA" w:rsidRDefault="003310FA" w:rsidP="00A25881">
      <w:pPr>
        <w:tabs>
          <w:tab w:val="left" w:pos="709"/>
        </w:tabs>
        <w:spacing w:after="0" w:line="360" w:lineRule="auto"/>
        <w:jc w:val="both"/>
        <w:rPr>
          <w:rFonts w:ascii="Palatino Linotype" w:hAnsi="Palatino Linotype"/>
          <w:sz w:val="24"/>
          <w:szCs w:val="24"/>
        </w:rPr>
      </w:pPr>
    </w:p>
    <w:p w14:paraId="20FA129E" w14:textId="563735AA" w:rsidR="00C411A6" w:rsidRDefault="00B37F38" w:rsidP="00E70252">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 </w:t>
      </w:r>
      <w:r w:rsidR="003D7F9E">
        <w:rPr>
          <w:rFonts w:ascii="Palatino Linotype" w:hAnsi="Palatino Linotype"/>
          <w:sz w:val="24"/>
          <w:szCs w:val="24"/>
        </w:rPr>
        <w:t xml:space="preserve">Con fundamento en los artículos 113 fracción IX de la Ley General Transparencia y Acceso a la Información </w:t>
      </w:r>
      <w:r w:rsidR="006D5C69">
        <w:rPr>
          <w:rFonts w:ascii="Palatino Linotype" w:hAnsi="Palatino Linotype"/>
          <w:sz w:val="24"/>
          <w:szCs w:val="24"/>
        </w:rPr>
        <w:t>Pública, Vigésimo Octavo de los Lineamientos Generales en Materia de Clasificación y Desclasificación de la Información</w:t>
      </w:r>
      <w:r w:rsidR="006D5C69" w:rsidRPr="006D5C69">
        <w:rPr>
          <w:rFonts w:ascii="Palatino Linotype" w:hAnsi="Palatino Linotype"/>
          <w:sz w:val="24"/>
          <w:szCs w:val="24"/>
        </w:rPr>
        <w:t xml:space="preserve"> </w:t>
      </w:r>
      <w:r w:rsidR="006D5C69">
        <w:rPr>
          <w:rFonts w:ascii="Palatino Linotype" w:hAnsi="Palatino Linotype"/>
          <w:sz w:val="24"/>
          <w:szCs w:val="24"/>
        </w:rPr>
        <w:t xml:space="preserve">y </w:t>
      </w:r>
      <w:r>
        <w:rPr>
          <w:rFonts w:ascii="Palatino Linotype" w:hAnsi="Palatino Linotype"/>
          <w:sz w:val="24"/>
          <w:szCs w:val="24"/>
        </w:rPr>
        <w:t>140 fracción</w:t>
      </w:r>
      <w:r w:rsidR="00E70252">
        <w:rPr>
          <w:rFonts w:ascii="Palatino Linotype" w:hAnsi="Palatino Linotype"/>
          <w:sz w:val="24"/>
          <w:szCs w:val="24"/>
        </w:rPr>
        <w:t xml:space="preserve"> IV y</w:t>
      </w:r>
      <w:r>
        <w:rPr>
          <w:rFonts w:ascii="Palatino Linotype" w:hAnsi="Palatino Linotype"/>
          <w:sz w:val="24"/>
          <w:szCs w:val="24"/>
        </w:rPr>
        <w:t xml:space="preserve"> VIII de la Ley de Transparencia y Acceso a la Información Pública del Estado de México</w:t>
      </w:r>
      <w:r w:rsidR="003D7F9E">
        <w:rPr>
          <w:rFonts w:ascii="Palatino Linotype" w:hAnsi="Palatino Linotype"/>
          <w:sz w:val="24"/>
          <w:szCs w:val="24"/>
        </w:rPr>
        <w:t xml:space="preserve"> y</w:t>
      </w:r>
      <w:r w:rsidR="006D5C69">
        <w:rPr>
          <w:rFonts w:ascii="Palatino Linotype" w:hAnsi="Palatino Linotype"/>
          <w:sz w:val="24"/>
          <w:szCs w:val="24"/>
        </w:rPr>
        <w:t xml:space="preserve"> Municipios,</w:t>
      </w:r>
      <w:r>
        <w:rPr>
          <w:rFonts w:ascii="Palatino Linotype" w:hAnsi="Palatino Linotype"/>
          <w:sz w:val="24"/>
          <w:szCs w:val="24"/>
        </w:rPr>
        <w:t xml:space="preserve"> el cual prevé como </w:t>
      </w:r>
      <w:r w:rsidR="00E70252">
        <w:rPr>
          <w:rFonts w:ascii="Palatino Linotype" w:hAnsi="Palatino Linotype"/>
          <w:sz w:val="24"/>
          <w:szCs w:val="24"/>
        </w:rPr>
        <w:t>algunos</w:t>
      </w:r>
      <w:r w:rsidR="006D5C69">
        <w:rPr>
          <w:rFonts w:ascii="Palatino Linotype" w:hAnsi="Palatino Linotype"/>
          <w:sz w:val="24"/>
          <w:szCs w:val="24"/>
        </w:rPr>
        <w:t xml:space="preserve"> de los</w:t>
      </w:r>
      <w:r>
        <w:rPr>
          <w:rFonts w:ascii="Palatino Linotype" w:hAnsi="Palatino Linotype"/>
          <w:sz w:val="24"/>
          <w:szCs w:val="24"/>
        </w:rPr>
        <w:t xml:space="preserve"> criterio</w:t>
      </w:r>
      <w:r w:rsidR="00520BDD">
        <w:rPr>
          <w:rFonts w:ascii="Palatino Linotype" w:hAnsi="Palatino Linotype"/>
          <w:sz w:val="24"/>
          <w:szCs w:val="24"/>
        </w:rPr>
        <w:t>s</w:t>
      </w:r>
      <w:r>
        <w:rPr>
          <w:rFonts w:ascii="Palatino Linotype" w:hAnsi="Palatino Linotype"/>
          <w:sz w:val="24"/>
          <w:szCs w:val="24"/>
        </w:rPr>
        <w:t xml:space="preserve"> de reserva de la información</w:t>
      </w:r>
      <w:r w:rsidR="006D5C69">
        <w:rPr>
          <w:rFonts w:ascii="Palatino Linotype" w:hAnsi="Palatino Linotype"/>
          <w:sz w:val="24"/>
          <w:szCs w:val="24"/>
        </w:rPr>
        <w:t xml:space="preserve"> cuando</w:t>
      </w:r>
      <w:r w:rsidR="00E70252">
        <w:rPr>
          <w:rFonts w:ascii="Palatino Linotype" w:hAnsi="Palatino Linotype"/>
          <w:sz w:val="24"/>
          <w:szCs w:val="24"/>
        </w:rPr>
        <w:t>:</w:t>
      </w:r>
      <w:r w:rsidR="006D5C69">
        <w:rPr>
          <w:rFonts w:ascii="Palatino Linotype" w:hAnsi="Palatino Linotype"/>
          <w:sz w:val="24"/>
          <w:szCs w:val="24"/>
        </w:rPr>
        <w:t xml:space="preserve"> se</w:t>
      </w:r>
      <w:r w:rsidR="006D5C69" w:rsidRPr="006D5C69">
        <w:rPr>
          <w:rFonts w:ascii="Palatino Linotype" w:hAnsi="Palatino Linotype"/>
          <w:sz w:val="24"/>
          <w:szCs w:val="24"/>
        </w:rPr>
        <w:t xml:space="preserve"> obstruya los procedimientos para fincar responsabilidad a los servidores públicos, en tanto no se haya dictado la resolución administrativa correspondiente</w:t>
      </w:r>
      <w:r w:rsidR="00E70252">
        <w:rPr>
          <w:rFonts w:ascii="Palatino Linotype" w:hAnsi="Palatino Linotype"/>
          <w:sz w:val="24"/>
          <w:szCs w:val="24"/>
        </w:rPr>
        <w:t xml:space="preserve">; </w:t>
      </w:r>
      <w:r w:rsidR="00520BDD">
        <w:rPr>
          <w:rFonts w:ascii="Palatino Linotype" w:hAnsi="Palatino Linotype"/>
          <w:sz w:val="24"/>
          <w:szCs w:val="24"/>
        </w:rPr>
        <w:lastRenderedPageBreak/>
        <w:t>cuando</w:t>
      </w:r>
      <w:r w:rsidR="00E70252">
        <w:rPr>
          <w:rFonts w:ascii="Palatino Linotype" w:hAnsi="Palatino Linotype"/>
          <w:sz w:val="24"/>
          <w:szCs w:val="24"/>
        </w:rPr>
        <w:t xml:space="preserve"> </w:t>
      </w:r>
      <w:r w:rsidR="00E70252" w:rsidRPr="00E70252">
        <w:rPr>
          <w:rFonts w:ascii="Palatino Linotype" w:hAnsi="Palatino Linotype"/>
          <w:sz w:val="24"/>
          <w:szCs w:val="24"/>
        </w:rPr>
        <w:t>afecte o vulnere la conducción o los derechos del debido</w:t>
      </w:r>
      <w:r w:rsidR="00E70252">
        <w:rPr>
          <w:rFonts w:ascii="Palatino Linotype" w:hAnsi="Palatino Linotype"/>
          <w:sz w:val="24"/>
          <w:szCs w:val="24"/>
        </w:rPr>
        <w:t xml:space="preserve"> </w:t>
      </w:r>
      <w:r w:rsidR="00E70252" w:rsidRPr="00E70252">
        <w:rPr>
          <w:rFonts w:ascii="Palatino Linotype" w:hAnsi="Palatino Linotype"/>
          <w:sz w:val="24"/>
          <w:szCs w:val="24"/>
        </w:rPr>
        <w:t>proceso en los procedimientos administrativos, incluidos los de quejas, denuncias,</w:t>
      </w:r>
      <w:r w:rsidR="00E70252">
        <w:rPr>
          <w:rFonts w:ascii="Palatino Linotype" w:hAnsi="Palatino Linotype"/>
          <w:sz w:val="24"/>
          <w:szCs w:val="24"/>
        </w:rPr>
        <w:t xml:space="preserve"> </w:t>
      </w:r>
      <w:r w:rsidR="00E70252" w:rsidRPr="00E70252">
        <w:rPr>
          <w:rFonts w:ascii="Palatino Linotype" w:hAnsi="Palatino Linotype"/>
          <w:sz w:val="24"/>
          <w:szCs w:val="24"/>
        </w:rPr>
        <w:t>inconformidades, responsabilidades administrativas y resarcitorias en tanto no hayan quedado firmes</w:t>
      </w:r>
      <w:r w:rsidR="00E70252">
        <w:rPr>
          <w:rFonts w:ascii="Palatino Linotype" w:hAnsi="Palatino Linotype"/>
          <w:sz w:val="24"/>
          <w:szCs w:val="24"/>
        </w:rPr>
        <w:t xml:space="preserve"> </w:t>
      </w:r>
      <w:r w:rsidR="00E70252" w:rsidRPr="00E70252">
        <w:rPr>
          <w:rFonts w:ascii="Palatino Linotype" w:hAnsi="Palatino Linotype"/>
          <w:sz w:val="24"/>
          <w:szCs w:val="24"/>
        </w:rPr>
        <w:t>o afecte la administración de justicia o la seguridad de un denunciante, querellante o testigo, así como</w:t>
      </w:r>
      <w:r w:rsidR="00E70252">
        <w:rPr>
          <w:rFonts w:ascii="Palatino Linotype" w:hAnsi="Palatino Linotype"/>
          <w:sz w:val="24"/>
          <w:szCs w:val="24"/>
        </w:rPr>
        <w:t xml:space="preserve"> </w:t>
      </w:r>
      <w:r w:rsidR="00E70252" w:rsidRPr="00E70252">
        <w:rPr>
          <w:rFonts w:ascii="Palatino Linotype" w:hAnsi="Palatino Linotype"/>
          <w:sz w:val="24"/>
          <w:szCs w:val="24"/>
        </w:rPr>
        <w:t>sus familias</w:t>
      </w:r>
      <w:r w:rsidR="00E70252">
        <w:rPr>
          <w:rFonts w:ascii="Palatino Linotype" w:hAnsi="Palatino Linotype"/>
          <w:sz w:val="24"/>
          <w:szCs w:val="24"/>
        </w:rPr>
        <w:t>;</w:t>
      </w:r>
      <w:r w:rsidR="00520BDD">
        <w:rPr>
          <w:rFonts w:ascii="Palatino Linotype" w:hAnsi="Palatino Linotype"/>
          <w:sz w:val="24"/>
          <w:szCs w:val="24"/>
        </w:rPr>
        <w:t xml:space="preserve"> </w:t>
      </w:r>
      <w:r>
        <w:rPr>
          <w:rFonts w:ascii="Palatino Linotype" w:hAnsi="Palatino Linotype"/>
          <w:sz w:val="24"/>
          <w:szCs w:val="24"/>
        </w:rPr>
        <w:t>se v</w:t>
      </w:r>
      <w:r w:rsidRPr="00B37F38">
        <w:rPr>
          <w:rFonts w:ascii="Palatino Linotype" w:hAnsi="Palatino Linotype"/>
          <w:sz w:val="24"/>
          <w:szCs w:val="24"/>
        </w:rPr>
        <w:t>ulnere la conducción de los procedimientos administrativos</w:t>
      </w:r>
      <w:r>
        <w:rPr>
          <w:rFonts w:ascii="Palatino Linotype" w:hAnsi="Palatino Linotype"/>
          <w:sz w:val="24"/>
          <w:szCs w:val="24"/>
        </w:rPr>
        <w:t xml:space="preserve"> </w:t>
      </w:r>
      <w:r w:rsidRPr="00B37F38">
        <w:rPr>
          <w:rFonts w:ascii="Palatino Linotype" w:hAnsi="Palatino Linotype"/>
          <w:sz w:val="24"/>
          <w:szCs w:val="24"/>
        </w:rPr>
        <w:t>seguidos en forma de juicio, e</w:t>
      </w:r>
      <w:r w:rsidR="00520BDD">
        <w:rPr>
          <w:rFonts w:ascii="Palatino Linotype" w:hAnsi="Palatino Linotype"/>
          <w:sz w:val="24"/>
          <w:szCs w:val="24"/>
        </w:rPr>
        <w:t>n tanto no hayan quedado firmes</w:t>
      </w:r>
      <w:r w:rsidR="00C411A6">
        <w:rPr>
          <w:rFonts w:ascii="Palatino Linotype" w:hAnsi="Palatino Linotype"/>
          <w:sz w:val="24"/>
          <w:szCs w:val="24"/>
        </w:rPr>
        <w:t>, disposiciones legales que son del tenor literal siguiente:</w:t>
      </w:r>
    </w:p>
    <w:p w14:paraId="1787F003" w14:textId="77777777" w:rsidR="00C411A6" w:rsidRDefault="00C411A6" w:rsidP="00E70252">
      <w:pPr>
        <w:tabs>
          <w:tab w:val="left" w:pos="709"/>
        </w:tabs>
        <w:spacing w:after="0" w:line="360" w:lineRule="auto"/>
        <w:jc w:val="both"/>
        <w:rPr>
          <w:rFonts w:ascii="Palatino Linotype" w:hAnsi="Palatino Linotype"/>
          <w:sz w:val="24"/>
          <w:szCs w:val="24"/>
        </w:rPr>
      </w:pPr>
    </w:p>
    <w:p w14:paraId="7FCF2C67" w14:textId="49E765ED" w:rsidR="00C411A6" w:rsidRPr="00CC581F" w:rsidRDefault="00C411A6" w:rsidP="00CC581F">
      <w:pPr>
        <w:tabs>
          <w:tab w:val="left" w:pos="709"/>
        </w:tabs>
        <w:spacing w:after="0" w:line="240" w:lineRule="auto"/>
        <w:jc w:val="center"/>
        <w:rPr>
          <w:rFonts w:ascii="Palatino Linotype" w:hAnsi="Palatino Linotype"/>
          <w:b/>
          <w:i/>
          <w:szCs w:val="24"/>
        </w:rPr>
      </w:pPr>
      <w:r w:rsidRPr="00CC581F">
        <w:rPr>
          <w:rFonts w:ascii="Palatino Linotype" w:hAnsi="Palatino Linotype"/>
          <w:b/>
          <w:i/>
          <w:szCs w:val="24"/>
        </w:rPr>
        <w:t>Ley General Transparencia y Acceso a la Información Pública</w:t>
      </w:r>
    </w:p>
    <w:p w14:paraId="4D3E0E56" w14:textId="77777777" w:rsidR="00C411A6" w:rsidRPr="00CC581F" w:rsidRDefault="00C411A6" w:rsidP="00CC581F">
      <w:pPr>
        <w:tabs>
          <w:tab w:val="left" w:pos="709"/>
        </w:tabs>
        <w:spacing w:after="0" w:line="240" w:lineRule="auto"/>
        <w:jc w:val="center"/>
        <w:rPr>
          <w:rFonts w:ascii="Palatino Linotype" w:hAnsi="Palatino Linotype"/>
          <w:b/>
          <w:i/>
          <w:szCs w:val="24"/>
        </w:rPr>
      </w:pPr>
    </w:p>
    <w:p w14:paraId="4E5EFF65" w14:textId="68448CCB" w:rsidR="00C411A6" w:rsidRPr="00CC581F" w:rsidRDefault="00C411A6"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Artículo 113.</w:t>
      </w:r>
      <w:r w:rsidRPr="00CC581F">
        <w:rPr>
          <w:rFonts w:ascii="Palatino Linotype" w:hAnsi="Palatino Linotype"/>
          <w:i/>
        </w:rPr>
        <w:t xml:space="preserve"> Como información reservada podrá clasificarse aquella cuya publicación:</w:t>
      </w:r>
    </w:p>
    <w:p w14:paraId="38C2E955" w14:textId="09281CB2" w:rsidR="00C411A6" w:rsidRPr="00CC581F" w:rsidRDefault="00C411A6"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i/>
        </w:rPr>
        <w:t>…</w:t>
      </w:r>
    </w:p>
    <w:p w14:paraId="0B2811A7" w14:textId="034E214C" w:rsidR="00C411A6" w:rsidRPr="00CC581F" w:rsidRDefault="00C411A6"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IX.</w:t>
      </w:r>
      <w:r w:rsidRPr="00CC581F">
        <w:rPr>
          <w:rFonts w:ascii="Palatino Linotype" w:hAnsi="Palatino Linotype"/>
          <w:i/>
        </w:rPr>
        <w:t xml:space="preserve"> Obstruya los procedimientos para fincar responsabilidad a los Servidores Públicos, en tanto no se haya dictado la resolución administrativa;</w:t>
      </w:r>
    </w:p>
    <w:p w14:paraId="4DC42463" w14:textId="77777777" w:rsidR="00CC581F" w:rsidRPr="00CC581F" w:rsidRDefault="00CC581F" w:rsidP="00CC581F">
      <w:pPr>
        <w:tabs>
          <w:tab w:val="left" w:pos="709"/>
        </w:tabs>
        <w:spacing w:after="0" w:line="240" w:lineRule="auto"/>
        <w:ind w:left="567" w:right="567"/>
        <w:jc w:val="center"/>
        <w:rPr>
          <w:rFonts w:ascii="Palatino Linotype" w:hAnsi="Palatino Linotype"/>
          <w:b/>
          <w:i/>
          <w:sz w:val="28"/>
        </w:rPr>
      </w:pPr>
    </w:p>
    <w:p w14:paraId="0C289147" w14:textId="640051E3" w:rsidR="00CC581F" w:rsidRPr="00CC581F" w:rsidRDefault="00CC581F" w:rsidP="00CC581F">
      <w:pPr>
        <w:tabs>
          <w:tab w:val="left" w:pos="709"/>
        </w:tabs>
        <w:spacing w:after="0" w:line="240" w:lineRule="auto"/>
        <w:ind w:left="567" w:right="567"/>
        <w:jc w:val="center"/>
        <w:rPr>
          <w:rFonts w:ascii="Palatino Linotype" w:hAnsi="Palatino Linotype"/>
          <w:b/>
          <w:i/>
        </w:rPr>
      </w:pPr>
      <w:r w:rsidRPr="00CC581F">
        <w:rPr>
          <w:rFonts w:ascii="Palatino Linotype" w:hAnsi="Palatino Linotype"/>
          <w:b/>
          <w:i/>
        </w:rPr>
        <w:t>Vigésimo Octavo de los Lineamientos Generales en Materia de Clasificación y Desclasificación de la Información</w:t>
      </w:r>
    </w:p>
    <w:p w14:paraId="348EC3F5" w14:textId="77777777" w:rsidR="00CC581F" w:rsidRDefault="00CC581F" w:rsidP="00CC581F">
      <w:pPr>
        <w:tabs>
          <w:tab w:val="left" w:pos="709"/>
        </w:tabs>
        <w:spacing w:after="0" w:line="240" w:lineRule="auto"/>
        <w:ind w:left="567" w:right="567"/>
        <w:jc w:val="both"/>
        <w:rPr>
          <w:rFonts w:ascii="Palatino Linotype" w:hAnsi="Palatino Linotype"/>
        </w:rPr>
      </w:pPr>
    </w:p>
    <w:p w14:paraId="62D0BF67" w14:textId="77777777" w:rsidR="00CC581F" w:rsidRPr="00CC581F" w:rsidRDefault="00CC581F"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Vigésimo octavo.</w:t>
      </w:r>
      <w:r w:rsidRPr="00CC581F">
        <w:rPr>
          <w:rFonts w:ascii="Palatino Linotype" w:hAnsi="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D4BCD39" w14:textId="77777777" w:rsidR="00CC581F" w:rsidRPr="00CC581F" w:rsidRDefault="00CC581F"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I.</w:t>
      </w:r>
      <w:r w:rsidRPr="00CC581F">
        <w:rPr>
          <w:rFonts w:ascii="Palatino Linotype" w:hAnsi="Palatino Linotype"/>
          <w:i/>
        </w:rPr>
        <w:t xml:space="preserve">        La existencia de un procedimiento de responsabilidad administrativa en trámite, y</w:t>
      </w:r>
    </w:p>
    <w:p w14:paraId="600CF8BE" w14:textId="77777777" w:rsidR="00CC581F" w:rsidRPr="00CC581F" w:rsidRDefault="00CC581F" w:rsidP="00CC581F">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II.</w:t>
      </w:r>
      <w:r w:rsidRPr="00CC581F">
        <w:rPr>
          <w:rFonts w:ascii="Palatino Linotype" w:hAnsi="Palatino Linotype"/>
          <w:i/>
        </w:rPr>
        <w:t xml:space="preserve">       Que la información se refiera a actuaciones, diligencias y constancias propias del procedimiento de responsabilidad.</w:t>
      </w:r>
    </w:p>
    <w:p w14:paraId="64DC9408" w14:textId="77777777" w:rsidR="00CC581F" w:rsidRPr="00CC581F" w:rsidRDefault="00CC581F" w:rsidP="00CC581F">
      <w:pPr>
        <w:tabs>
          <w:tab w:val="left" w:pos="709"/>
        </w:tabs>
        <w:spacing w:after="0" w:line="240" w:lineRule="auto"/>
        <w:ind w:left="567" w:right="567"/>
        <w:jc w:val="both"/>
        <w:rPr>
          <w:rFonts w:ascii="Palatino Linotype" w:hAnsi="Palatino Linotype"/>
          <w:i/>
          <w:sz w:val="28"/>
        </w:rPr>
      </w:pPr>
    </w:p>
    <w:p w14:paraId="67600060" w14:textId="108CFB63" w:rsidR="00C411A6" w:rsidRPr="00CC581F" w:rsidRDefault="00CC581F" w:rsidP="00CC581F">
      <w:pPr>
        <w:tabs>
          <w:tab w:val="left" w:pos="709"/>
        </w:tabs>
        <w:spacing w:after="0" w:line="240" w:lineRule="auto"/>
        <w:ind w:left="567" w:right="567"/>
        <w:jc w:val="center"/>
        <w:rPr>
          <w:rFonts w:ascii="Palatino Linotype" w:hAnsi="Palatino Linotype"/>
          <w:b/>
          <w:i/>
        </w:rPr>
      </w:pPr>
      <w:r w:rsidRPr="00CC581F">
        <w:rPr>
          <w:rFonts w:ascii="Palatino Linotype" w:hAnsi="Palatino Linotype"/>
          <w:b/>
        </w:rPr>
        <w:t>Ley de Transparencia y Acceso a la Información Pública del Estado de México y Municipios</w:t>
      </w:r>
    </w:p>
    <w:p w14:paraId="090F1DDF" w14:textId="77777777" w:rsidR="00CC581F" w:rsidRDefault="00CC581F" w:rsidP="00CC581F">
      <w:pPr>
        <w:tabs>
          <w:tab w:val="left" w:pos="709"/>
        </w:tabs>
        <w:spacing w:after="0" w:line="240" w:lineRule="auto"/>
        <w:ind w:left="567" w:right="567"/>
        <w:jc w:val="both"/>
      </w:pPr>
    </w:p>
    <w:p w14:paraId="7DEFC4FE" w14:textId="50BC3CDD" w:rsidR="00CC581F" w:rsidRDefault="00CC581F" w:rsidP="00FA6D23">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Artículo 140.</w:t>
      </w:r>
      <w:r w:rsidRPr="00CC581F">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14:paraId="056E287E" w14:textId="42726C28" w:rsidR="00CC581F" w:rsidRDefault="00CC581F" w:rsidP="00FA6D23">
      <w:pPr>
        <w:tabs>
          <w:tab w:val="left" w:pos="709"/>
        </w:tabs>
        <w:spacing w:after="0" w:line="240" w:lineRule="auto"/>
        <w:ind w:left="567" w:right="567"/>
        <w:jc w:val="both"/>
        <w:rPr>
          <w:rFonts w:ascii="Palatino Linotype" w:hAnsi="Palatino Linotype"/>
          <w:i/>
        </w:rPr>
      </w:pPr>
      <w:r>
        <w:rPr>
          <w:rFonts w:ascii="Palatino Linotype" w:hAnsi="Palatino Linotype"/>
          <w:b/>
          <w:i/>
        </w:rPr>
        <w:t>…</w:t>
      </w:r>
    </w:p>
    <w:p w14:paraId="4CE93706" w14:textId="77777777" w:rsidR="00CC581F" w:rsidRDefault="00CC581F" w:rsidP="00FA6D23">
      <w:pPr>
        <w:tabs>
          <w:tab w:val="left" w:pos="709"/>
        </w:tabs>
        <w:spacing w:after="0" w:line="240" w:lineRule="auto"/>
        <w:ind w:left="567" w:right="567"/>
        <w:jc w:val="both"/>
        <w:rPr>
          <w:rFonts w:ascii="Palatino Linotype" w:hAnsi="Palatino Linotype"/>
          <w:i/>
        </w:rPr>
      </w:pPr>
    </w:p>
    <w:p w14:paraId="235BF9AC" w14:textId="694666F8" w:rsidR="00CC581F" w:rsidRDefault="00CC581F" w:rsidP="00FA6D23">
      <w:pPr>
        <w:tabs>
          <w:tab w:val="left" w:pos="709"/>
        </w:tabs>
        <w:spacing w:after="0" w:line="240" w:lineRule="auto"/>
        <w:ind w:left="567" w:right="567"/>
        <w:jc w:val="both"/>
        <w:rPr>
          <w:rFonts w:ascii="Palatino Linotype" w:hAnsi="Palatino Linotype"/>
          <w:i/>
        </w:rPr>
      </w:pPr>
      <w:r w:rsidRPr="00CC581F">
        <w:rPr>
          <w:rFonts w:ascii="Palatino Linotype" w:hAnsi="Palatino Linotype"/>
          <w:b/>
          <w:i/>
        </w:rPr>
        <w:t>IV.</w:t>
      </w:r>
      <w:r w:rsidRPr="00CC581F">
        <w:rPr>
          <w:rFonts w:ascii="Palatino Linotype" w:hAnsi="Palatino Linotype"/>
          <w:i/>
        </w:rPr>
        <w:t xml:space="preserve"> Ponga en riesgo la vida, la seguridad o la salud de una persona física;</w:t>
      </w:r>
    </w:p>
    <w:p w14:paraId="4E96FC0E" w14:textId="2F4BAE65" w:rsidR="00CC581F" w:rsidRDefault="00CC581F" w:rsidP="00FA6D23">
      <w:pPr>
        <w:tabs>
          <w:tab w:val="left" w:pos="709"/>
        </w:tabs>
        <w:spacing w:after="0" w:line="240" w:lineRule="auto"/>
        <w:ind w:left="567" w:right="567"/>
        <w:jc w:val="both"/>
        <w:rPr>
          <w:rFonts w:ascii="Palatino Linotype" w:hAnsi="Palatino Linotype"/>
          <w:i/>
        </w:rPr>
      </w:pPr>
      <w:r>
        <w:rPr>
          <w:rFonts w:ascii="Palatino Linotype" w:hAnsi="Palatino Linotype"/>
          <w:i/>
        </w:rPr>
        <w:t>…</w:t>
      </w:r>
    </w:p>
    <w:p w14:paraId="7E98FE41" w14:textId="15FE9E3D" w:rsidR="00C411A6" w:rsidRPr="00FA6D23" w:rsidRDefault="00CC581F" w:rsidP="00FA6D23">
      <w:pPr>
        <w:tabs>
          <w:tab w:val="left" w:pos="709"/>
        </w:tabs>
        <w:spacing w:after="0" w:line="240" w:lineRule="auto"/>
        <w:ind w:left="567" w:right="567"/>
        <w:jc w:val="both"/>
        <w:rPr>
          <w:rFonts w:ascii="Palatino Linotype" w:hAnsi="Palatino Linotype"/>
          <w:sz w:val="32"/>
          <w:szCs w:val="24"/>
        </w:rPr>
      </w:pPr>
      <w:r w:rsidRPr="00CC581F">
        <w:rPr>
          <w:rFonts w:ascii="Palatino Linotype" w:hAnsi="Palatino Linotype"/>
          <w:b/>
          <w:i/>
        </w:rPr>
        <w:t>VIII.</w:t>
      </w:r>
      <w:r w:rsidRPr="00CC581F">
        <w:rPr>
          <w:rFonts w:ascii="Palatino Linotype" w:hAnsi="Palatino Linotype"/>
          <w:i/>
        </w:rPr>
        <w:t xml:space="preserve"> Vulnere la conducción de los expedientes judiciales o de los procedimientos administrativos</w:t>
      </w:r>
      <w:r>
        <w:rPr>
          <w:rFonts w:ascii="Palatino Linotype" w:hAnsi="Palatino Linotype"/>
          <w:i/>
        </w:rPr>
        <w:t xml:space="preserve"> </w:t>
      </w:r>
      <w:r w:rsidRPr="00CC581F">
        <w:rPr>
          <w:rFonts w:ascii="Palatino Linotype" w:hAnsi="Palatino Linotype"/>
          <w:i/>
        </w:rPr>
        <w:t>seguidos en forma de juicio, en tanto no hayan quedado firmes;</w:t>
      </w:r>
      <w:r w:rsidRPr="00CC581F">
        <w:rPr>
          <w:rFonts w:ascii="Palatino Linotype" w:hAnsi="Palatino Linotype"/>
          <w:i/>
        </w:rPr>
        <w:cr/>
      </w:r>
    </w:p>
    <w:p w14:paraId="1E159DB7" w14:textId="295F6649" w:rsidR="006D5C69" w:rsidRPr="00284415" w:rsidRDefault="00B76250" w:rsidP="00FA6D23">
      <w:pPr>
        <w:tabs>
          <w:tab w:val="left" w:pos="709"/>
        </w:tabs>
        <w:spacing w:after="0" w:line="360" w:lineRule="auto"/>
        <w:jc w:val="both"/>
        <w:rPr>
          <w:rFonts w:ascii="Palatino Linotype" w:hAnsi="Palatino Linotype"/>
          <w:sz w:val="24"/>
          <w:szCs w:val="24"/>
        </w:rPr>
      </w:pPr>
      <w:r w:rsidRPr="00221502">
        <w:rPr>
          <w:rFonts w:ascii="Palatino Linotype" w:hAnsi="Palatino Linotype"/>
          <w:sz w:val="24"/>
          <w:szCs w:val="24"/>
        </w:rPr>
        <w:t>En tal contexto,</w:t>
      </w:r>
      <w:r w:rsidR="00091BE7" w:rsidRPr="00221502">
        <w:rPr>
          <w:rFonts w:ascii="Palatino Linotype" w:hAnsi="Palatino Linotype"/>
          <w:sz w:val="24"/>
          <w:szCs w:val="24"/>
        </w:rPr>
        <w:t xml:space="preserve"> en el presente asunto </w:t>
      </w:r>
      <w:r w:rsidR="00520BDD" w:rsidRPr="00221502">
        <w:rPr>
          <w:rFonts w:ascii="Palatino Linotype" w:hAnsi="Palatino Linotype"/>
          <w:sz w:val="24"/>
          <w:szCs w:val="24"/>
        </w:rPr>
        <w:t xml:space="preserve">la información requerida a través de la solicitud de acceso </w:t>
      </w:r>
      <w:r w:rsidR="00520BDD" w:rsidRPr="00221502">
        <w:rPr>
          <w:rFonts w:ascii="Palatino Linotype" w:hAnsi="Palatino Linotype" w:cs="Arial"/>
          <w:b/>
          <w:sz w:val="24"/>
        </w:rPr>
        <w:t>00130/CAPULHUA/IP/2021</w:t>
      </w:r>
      <w:r w:rsidR="00395F31" w:rsidRPr="00221502">
        <w:rPr>
          <w:rFonts w:ascii="Palatino Linotype" w:hAnsi="Palatino Linotype" w:cs="Arial"/>
          <w:b/>
          <w:sz w:val="24"/>
        </w:rPr>
        <w:t>,</w:t>
      </w:r>
      <w:r w:rsidR="00520BDD" w:rsidRPr="00221502">
        <w:rPr>
          <w:rFonts w:ascii="Palatino Linotype" w:hAnsi="Palatino Linotype"/>
          <w:sz w:val="24"/>
          <w:szCs w:val="24"/>
        </w:rPr>
        <w:t xml:space="preserve"> </w:t>
      </w:r>
      <w:r w:rsidR="00091BE7" w:rsidRPr="00221502">
        <w:rPr>
          <w:rFonts w:ascii="Palatino Linotype" w:hAnsi="Palatino Linotype"/>
          <w:sz w:val="24"/>
          <w:szCs w:val="24"/>
        </w:rPr>
        <w:t>colma</w:t>
      </w:r>
      <w:r w:rsidR="00395F31" w:rsidRPr="00221502">
        <w:rPr>
          <w:rFonts w:ascii="Palatino Linotype" w:hAnsi="Palatino Linotype"/>
          <w:sz w:val="24"/>
          <w:szCs w:val="24"/>
        </w:rPr>
        <w:t xml:space="preserve"> los extremos establecidos en los</w:t>
      </w:r>
      <w:r w:rsidR="003D7F9E" w:rsidRPr="00221502">
        <w:rPr>
          <w:rFonts w:ascii="Palatino Linotype" w:hAnsi="Palatino Linotype"/>
          <w:sz w:val="24"/>
          <w:szCs w:val="24"/>
        </w:rPr>
        <w:t xml:space="preserve"> precepto</w:t>
      </w:r>
      <w:r w:rsidR="00395F31" w:rsidRPr="00221502">
        <w:rPr>
          <w:rFonts w:ascii="Palatino Linotype" w:hAnsi="Palatino Linotype"/>
          <w:sz w:val="24"/>
          <w:szCs w:val="24"/>
        </w:rPr>
        <w:t>s</w:t>
      </w:r>
      <w:r w:rsidR="003D7F9E" w:rsidRPr="00221502">
        <w:rPr>
          <w:rFonts w:ascii="Palatino Linotype" w:hAnsi="Palatino Linotype"/>
          <w:sz w:val="24"/>
          <w:szCs w:val="24"/>
        </w:rPr>
        <w:t xml:space="preserve"> de referencia </w:t>
      </w:r>
      <w:r w:rsidRPr="00221502">
        <w:rPr>
          <w:rFonts w:ascii="Palatino Linotype" w:hAnsi="Palatino Linotype"/>
          <w:sz w:val="24"/>
          <w:szCs w:val="24"/>
        </w:rPr>
        <w:t xml:space="preserve">toda vez que se trata </w:t>
      </w:r>
      <w:r w:rsidR="003D7F9E" w:rsidRPr="00221502">
        <w:rPr>
          <w:rFonts w:ascii="Palatino Linotype" w:hAnsi="Palatino Linotype"/>
          <w:sz w:val="24"/>
          <w:szCs w:val="24"/>
        </w:rPr>
        <w:t xml:space="preserve">de un </w:t>
      </w:r>
      <w:r w:rsidR="00520BDD" w:rsidRPr="00221502">
        <w:rPr>
          <w:rFonts w:ascii="Palatino Linotype" w:hAnsi="Palatino Linotype"/>
          <w:sz w:val="24"/>
          <w:szCs w:val="24"/>
        </w:rPr>
        <w:t xml:space="preserve">procedimiento de responsabilidad administrativa </w:t>
      </w:r>
      <w:r w:rsidR="003D7F9E" w:rsidRPr="00221502">
        <w:rPr>
          <w:rFonts w:ascii="Palatino Linotype" w:hAnsi="Palatino Linotype"/>
          <w:sz w:val="24"/>
          <w:szCs w:val="24"/>
        </w:rPr>
        <w:t>el cual se encuentra previsto</w:t>
      </w:r>
      <w:r w:rsidR="00520BDD" w:rsidRPr="00221502">
        <w:rPr>
          <w:rFonts w:ascii="Palatino Linotype" w:hAnsi="Palatino Linotype"/>
          <w:sz w:val="24"/>
          <w:szCs w:val="24"/>
        </w:rPr>
        <w:t xml:space="preserve"> en la Ley de Responsabilidades Administrativas</w:t>
      </w:r>
      <w:r w:rsidR="00F7157E">
        <w:rPr>
          <w:rFonts w:ascii="Palatino Linotype" w:hAnsi="Palatino Linotype"/>
          <w:sz w:val="24"/>
          <w:szCs w:val="24"/>
        </w:rPr>
        <w:t xml:space="preserve"> del Estado de México,</w:t>
      </w:r>
      <w:r w:rsidR="003D7F9E" w:rsidRPr="00221502">
        <w:rPr>
          <w:rFonts w:ascii="Palatino Linotype" w:hAnsi="Palatino Linotype"/>
          <w:sz w:val="24"/>
          <w:szCs w:val="24"/>
        </w:rPr>
        <w:t xml:space="preserve"> </w:t>
      </w:r>
      <w:r w:rsidR="006D5C69" w:rsidRPr="00221502">
        <w:rPr>
          <w:rFonts w:ascii="Palatino Linotype" w:hAnsi="Palatino Linotype"/>
          <w:sz w:val="24"/>
          <w:szCs w:val="24"/>
        </w:rPr>
        <w:t xml:space="preserve">y </w:t>
      </w:r>
      <w:r w:rsidR="003D7F9E" w:rsidRPr="00221502">
        <w:rPr>
          <w:rFonts w:ascii="Palatino Linotype" w:hAnsi="Palatino Linotype"/>
          <w:sz w:val="24"/>
          <w:szCs w:val="24"/>
        </w:rPr>
        <w:t>la cual tiene su naturaleza en el derecho administrativo,</w:t>
      </w:r>
      <w:r w:rsidR="00FA6D23" w:rsidRPr="00221502">
        <w:rPr>
          <w:rFonts w:ascii="Palatino Linotype" w:hAnsi="Palatino Linotype"/>
          <w:sz w:val="24"/>
          <w:szCs w:val="24"/>
        </w:rPr>
        <w:t xml:space="preserve"> entendiéndose desde el inicio de la investigación correspondiente y hasta antes del dictado de la resolución del procedimiento</w:t>
      </w:r>
      <w:r w:rsidRPr="00221502">
        <w:rPr>
          <w:rFonts w:ascii="Palatino Linotype" w:hAnsi="Palatino Linotype"/>
          <w:sz w:val="24"/>
          <w:szCs w:val="24"/>
        </w:rPr>
        <w:t>,</w:t>
      </w:r>
      <w:r>
        <w:rPr>
          <w:rFonts w:ascii="Palatino Linotype" w:hAnsi="Palatino Linotype"/>
          <w:sz w:val="24"/>
          <w:szCs w:val="24"/>
        </w:rPr>
        <w:t xml:space="preserve"> </w:t>
      </w:r>
      <w:r w:rsidR="003D7F9E">
        <w:rPr>
          <w:rFonts w:ascii="Palatino Linotype" w:hAnsi="Palatino Linotype"/>
          <w:sz w:val="24"/>
          <w:szCs w:val="24"/>
        </w:rPr>
        <w:t xml:space="preserve">en tal contexto </w:t>
      </w:r>
      <w:r w:rsidR="006D5C69" w:rsidRPr="00EB0221">
        <w:rPr>
          <w:rFonts w:ascii="Palatino Linotype" w:hAnsi="Palatino Linotype"/>
          <w:b/>
          <w:sz w:val="24"/>
          <w:szCs w:val="24"/>
        </w:rPr>
        <w:t xml:space="preserve">si </w:t>
      </w:r>
      <w:r w:rsidR="00210BD0" w:rsidRPr="00291233">
        <w:rPr>
          <w:rFonts w:ascii="Palatino Linotype" w:hAnsi="Palatino Linotype"/>
          <w:b/>
          <w:sz w:val="24"/>
          <w:szCs w:val="24"/>
        </w:rPr>
        <w:t>el expediente que contiene el</w:t>
      </w:r>
      <w:r w:rsidR="003D7F9E" w:rsidRPr="00291233">
        <w:rPr>
          <w:rFonts w:ascii="Palatino Linotype" w:hAnsi="Palatino Linotype"/>
          <w:b/>
          <w:sz w:val="24"/>
          <w:szCs w:val="24"/>
        </w:rPr>
        <w:t xml:space="preserve"> procedimiento </w:t>
      </w:r>
      <w:r w:rsidR="006D5C69" w:rsidRPr="00291233">
        <w:rPr>
          <w:rFonts w:ascii="Palatino Linotype" w:hAnsi="Palatino Linotype"/>
          <w:b/>
          <w:sz w:val="24"/>
          <w:szCs w:val="24"/>
        </w:rPr>
        <w:t>de responsabilidad administrativa</w:t>
      </w:r>
      <w:r w:rsidR="006D5C69" w:rsidRPr="00EB0221">
        <w:rPr>
          <w:rFonts w:ascii="Palatino Linotype" w:hAnsi="Palatino Linotype"/>
          <w:b/>
          <w:sz w:val="24"/>
          <w:szCs w:val="24"/>
        </w:rPr>
        <w:t xml:space="preserve"> actualiza la hipótesis normativ</w:t>
      </w:r>
      <w:r w:rsidR="00221502">
        <w:rPr>
          <w:rFonts w:ascii="Palatino Linotype" w:hAnsi="Palatino Linotype"/>
          <w:b/>
          <w:sz w:val="24"/>
          <w:szCs w:val="24"/>
        </w:rPr>
        <w:t>a señalada</w:t>
      </w:r>
      <w:r w:rsidR="00284415">
        <w:rPr>
          <w:rFonts w:ascii="Palatino Linotype" w:hAnsi="Palatino Linotype"/>
          <w:b/>
          <w:sz w:val="24"/>
          <w:szCs w:val="24"/>
        </w:rPr>
        <w:t xml:space="preserve"> anteriormente</w:t>
      </w:r>
      <w:r w:rsidR="00221502">
        <w:rPr>
          <w:rFonts w:ascii="Palatino Linotype" w:hAnsi="Palatino Linotype"/>
          <w:b/>
          <w:sz w:val="24"/>
          <w:szCs w:val="24"/>
        </w:rPr>
        <w:t xml:space="preserve"> debe ser considerado</w:t>
      </w:r>
      <w:r w:rsidR="00CD7486" w:rsidRPr="00EB0221">
        <w:rPr>
          <w:rFonts w:ascii="Palatino Linotype" w:hAnsi="Palatino Linotype"/>
          <w:b/>
          <w:sz w:val="24"/>
          <w:szCs w:val="24"/>
        </w:rPr>
        <w:t xml:space="preserve"> como información reservada</w:t>
      </w:r>
      <w:r w:rsidR="006D5C69" w:rsidRPr="00EB0221">
        <w:rPr>
          <w:rFonts w:ascii="Palatino Linotype" w:hAnsi="Palatino Linotype"/>
          <w:b/>
          <w:sz w:val="24"/>
          <w:szCs w:val="24"/>
        </w:rPr>
        <w:t xml:space="preserve">, </w:t>
      </w:r>
      <w:r w:rsidR="00CD7486" w:rsidRPr="00284415">
        <w:rPr>
          <w:rFonts w:ascii="Palatino Linotype" w:hAnsi="Palatino Linotype"/>
          <w:sz w:val="24"/>
          <w:szCs w:val="24"/>
        </w:rPr>
        <w:t xml:space="preserve">previa cumplimiento de todas y cada una de las </w:t>
      </w:r>
      <w:r w:rsidR="006D5C69" w:rsidRPr="00284415">
        <w:rPr>
          <w:rFonts w:ascii="Palatino Linotype" w:hAnsi="Palatino Linotype"/>
          <w:sz w:val="24"/>
          <w:szCs w:val="24"/>
        </w:rPr>
        <w:t xml:space="preserve">formalidades </w:t>
      </w:r>
      <w:r w:rsidR="00CD7486" w:rsidRPr="00284415">
        <w:rPr>
          <w:rFonts w:ascii="Palatino Linotype" w:hAnsi="Palatino Linotype"/>
          <w:sz w:val="24"/>
          <w:szCs w:val="24"/>
        </w:rPr>
        <w:t xml:space="preserve">establecidas </w:t>
      </w:r>
      <w:r w:rsidR="006D5C69" w:rsidRPr="00284415">
        <w:rPr>
          <w:rFonts w:ascii="Palatino Linotype" w:hAnsi="Palatino Linotype"/>
          <w:sz w:val="24"/>
          <w:szCs w:val="24"/>
        </w:rPr>
        <w:t xml:space="preserve">para </w:t>
      </w:r>
      <w:r w:rsidR="00221502" w:rsidRPr="00284415">
        <w:rPr>
          <w:rFonts w:ascii="Palatino Linotype" w:hAnsi="Palatino Linotype"/>
          <w:sz w:val="24"/>
          <w:szCs w:val="24"/>
        </w:rPr>
        <w:t>su</w:t>
      </w:r>
      <w:r w:rsidR="006D5C69" w:rsidRPr="00284415">
        <w:rPr>
          <w:rFonts w:ascii="Palatino Linotype" w:hAnsi="Palatino Linotype"/>
          <w:sz w:val="24"/>
          <w:szCs w:val="24"/>
        </w:rPr>
        <w:t xml:space="preserve"> clasificación, </w:t>
      </w:r>
      <w:r w:rsidR="006D5C69" w:rsidRPr="00EB0221">
        <w:rPr>
          <w:rFonts w:ascii="Palatino Linotype" w:hAnsi="Palatino Linotype"/>
          <w:b/>
          <w:sz w:val="24"/>
          <w:szCs w:val="24"/>
        </w:rPr>
        <w:t xml:space="preserve">lo anterior </w:t>
      </w:r>
      <w:r w:rsidR="00221502">
        <w:rPr>
          <w:rFonts w:ascii="Palatino Linotype" w:hAnsi="Palatino Linotype"/>
          <w:b/>
          <w:sz w:val="24"/>
          <w:szCs w:val="24"/>
        </w:rPr>
        <w:t>resulta aplicable tanto a las investigaciones o procedimientos de responsabilidad administrativa originado por faltas administrativas no graves</w:t>
      </w:r>
      <w:r w:rsidR="00605E5A">
        <w:rPr>
          <w:rFonts w:ascii="Palatino Linotype" w:hAnsi="Palatino Linotype"/>
          <w:b/>
          <w:sz w:val="24"/>
          <w:szCs w:val="24"/>
        </w:rPr>
        <w:t xml:space="preserve"> y las graves </w:t>
      </w:r>
      <w:r w:rsidR="00E70252" w:rsidRPr="00284415">
        <w:rPr>
          <w:rFonts w:ascii="Palatino Linotype" w:hAnsi="Palatino Linotype" w:cs="Arial"/>
          <w:sz w:val="24"/>
        </w:rPr>
        <w:t xml:space="preserve">siempre </w:t>
      </w:r>
      <w:r w:rsidR="00221502" w:rsidRPr="00284415">
        <w:rPr>
          <w:rFonts w:ascii="Palatino Linotype" w:hAnsi="Palatino Linotype" w:cs="Arial"/>
          <w:sz w:val="24"/>
        </w:rPr>
        <w:t xml:space="preserve">que </w:t>
      </w:r>
      <w:r w:rsidR="00E70252" w:rsidRPr="00284415">
        <w:rPr>
          <w:rFonts w:ascii="Palatino Linotype" w:hAnsi="Palatino Linotype" w:cs="Arial"/>
          <w:sz w:val="24"/>
        </w:rPr>
        <w:t>se encuentre en trámite.</w:t>
      </w:r>
      <w:r w:rsidR="00E70252" w:rsidRPr="00284415">
        <w:rPr>
          <w:rFonts w:ascii="Palatino Linotype" w:hAnsi="Palatino Linotype"/>
          <w:sz w:val="24"/>
          <w:szCs w:val="24"/>
        </w:rPr>
        <w:t xml:space="preserve"> </w:t>
      </w:r>
    </w:p>
    <w:p w14:paraId="106F880C" w14:textId="77777777" w:rsidR="00091BE7" w:rsidRPr="00284415" w:rsidRDefault="00091BE7" w:rsidP="00FA6D23">
      <w:pPr>
        <w:tabs>
          <w:tab w:val="left" w:pos="709"/>
        </w:tabs>
        <w:spacing w:after="0" w:line="360" w:lineRule="auto"/>
        <w:jc w:val="both"/>
        <w:rPr>
          <w:rFonts w:ascii="Palatino Linotype" w:hAnsi="Palatino Linotype"/>
          <w:b/>
          <w:sz w:val="24"/>
          <w:szCs w:val="24"/>
        </w:rPr>
      </w:pPr>
    </w:p>
    <w:p w14:paraId="572E69D2" w14:textId="573FF47B" w:rsidR="002C5C80" w:rsidRPr="00284415" w:rsidRDefault="00091BE7" w:rsidP="00221502">
      <w:pPr>
        <w:tabs>
          <w:tab w:val="left" w:pos="709"/>
        </w:tabs>
        <w:spacing w:after="0" w:line="360" w:lineRule="auto"/>
        <w:jc w:val="both"/>
        <w:rPr>
          <w:rFonts w:ascii="Palatino Linotype" w:eastAsia="Calibri" w:hAnsi="Palatino Linotype" w:cs="Tahoma"/>
          <w:bCs/>
          <w:sz w:val="24"/>
          <w:szCs w:val="24"/>
        </w:rPr>
      </w:pPr>
      <w:r w:rsidRPr="00284415">
        <w:rPr>
          <w:rFonts w:ascii="Palatino Linotype" w:hAnsi="Palatino Linotype"/>
          <w:sz w:val="24"/>
          <w:szCs w:val="24"/>
        </w:rPr>
        <w:t>En suma a lo anterior</w:t>
      </w:r>
      <w:r w:rsidR="00221502" w:rsidRPr="00284415">
        <w:rPr>
          <w:rFonts w:ascii="Palatino Linotype" w:hAnsi="Palatino Linotype"/>
          <w:sz w:val="24"/>
          <w:szCs w:val="24"/>
        </w:rPr>
        <w:t>, n</w:t>
      </w:r>
      <w:r w:rsidR="00DC1D5A" w:rsidRPr="00284415">
        <w:rPr>
          <w:rFonts w:ascii="Palatino Linotype" w:hAnsi="Palatino Linotype"/>
          <w:sz w:val="24"/>
          <w:szCs w:val="24"/>
        </w:rPr>
        <w:t>o se omite señalar que es criterio d</w:t>
      </w:r>
      <w:r w:rsidR="00284415">
        <w:rPr>
          <w:rFonts w:ascii="Palatino Linotype" w:hAnsi="Palatino Linotype"/>
          <w:sz w:val="24"/>
          <w:szCs w:val="24"/>
        </w:rPr>
        <w:t>el P</w:t>
      </w:r>
      <w:r w:rsidR="003C6784" w:rsidRPr="00284415">
        <w:rPr>
          <w:rFonts w:ascii="Palatino Linotype" w:hAnsi="Palatino Linotype"/>
          <w:sz w:val="24"/>
          <w:szCs w:val="24"/>
        </w:rPr>
        <w:t xml:space="preserve">leno del máximo </w:t>
      </w:r>
      <w:r w:rsidR="00284415">
        <w:rPr>
          <w:rFonts w:ascii="Palatino Linotype" w:hAnsi="Palatino Linotype"/>
          <w:sz w:val="24"/>
          <w:szCs w:val="24"/>
        </w:rPr>
        <w:t>T</w:t>
      </w:r>
      <w:r w:rsidR="00DC1D5A" w:rsidRPr="00284415">
        <w:rPr>
          <w:rFonts w:ascii="Palatino Linotype" w:hAnsi="Palatino Linotype"/>
          <w:sz w:val="24"/>
          <w:szCs w:val="24"/>
        </w:rPr>
        <w:t xml:space="preserve">ribunal que </w:t>
      </w:r>
      <w:r w:rsidR="003C6784" w:rsidRPr="00284415">
        <w:rPr>
          <w:rFonts w:ascii="Palatino Linotype" w:eastAsia="Calibri" w:hAnsi="Palatino Linotype" w:cs="Tahoma"/>
          <w:bCs/>
          <w:sz w:val="24"/>
          <w:szCs w:val="24"/>
        </w:rPr>
        <w:t>de la interpretación armónica y sistemática de los artículos 14, párrafo segundo, 16, párrafo primero, 19, párrafo primero, 21, párrafo primero y 102, apartado A, párrafo segundo, de la Constitución Política de los Estados Unidos Mexicanos</w:t>
      </w:r>
      <w:r w:rsidR="00DC1D5A" w:rsidRPr="00284415">
        <w:rPr>
          <w:rFonts w:ascii="Palatino Linotype" w:eastAsia="Calibri" w:hAnsi="Palatino Linotype" w:cs="Tahoma"/>
          <w:bCs/>
          <w:sz w:val="24"/>
          <w:szCs w:val="24"/>
        </w:rPr>
        <w:t>,</w:t>
      </w:r>
      <w:r w:rsidR="003C6784" w:rsidRPr="00284415">
        <w:rPr>
          <w:rFonts w:ascii="Palatino Linotype" w:eastAsia="Calibri" w:hAnsi="Palatino Linotype" w:cs="Tahoma"/>
          <w:bCs/>
          <w:sz w:val="24"/>
          <w:szCs w:val="24"/>
        </w:rPr>
        <w:t xml:space="preserve"> deriva el principio de presunción de inocenc</w:t>
      </w:r>
      <w:r w:rsidR="00284415">
        <w:rPr>
          <w:rFonts w:ascii="Palatino Linotype" w:eastAsia="Calibri" w:hAnsi="Palatino Linotype" w:cs="Tahoma"/>
          <w:bCs/>
          <w:sz w:val="24"/>
          <w:szCs w:val="24"/>
        </w:rPr>
        <w:t>ia,</w:t>
      </w:r>
      <w:r w:rsidR="003C6784" w:rsidRPr="00284415">
        <w:rPr>
          <w:rFonts w:ascii="Palatino Linotype" w:eastAsia="Calibri" w:hAnsi="Palatino Linotype" w:cs="Tahoma"/>
          <w:bCs/>
          <w:sz w:val="24"/>
          <w:szCs w:val="24"/>
        </w:rPr>
        <w:t xml:space="preserve"> </w:t>
      </w:r>
      <w:r w:rsidR="00284415">
        <w:rPr>
          <w:rFonts w:ascii="Palatino Linotype" w:eastAsia="Calibri" w:hAnsi="Palatino Linotype" w:cs="Tahoma"/>
          <w:bCs/>
          <w:sz w:val="24"/>
          <w:szCs w:val="24"/>
        </w:rPr>
        <w:t xml:space="preserve">que a su vez se establece en los </w:t>
      </w:r>
      <w:r w:rsidR="003C6784" w:rsidRPr="00284415">
        <w:rPr>
          <w:rFonts w:ascii="Palatino Linotype" w:eastAsia="Calibri" w:hAnsi="Palatino Linotype" w:cs="Tahoma"/>
          <w:bCs/>
          <w:sz w:val="24"/>
          <w:szCs w:val="24"/>
        </w:rPr>
        <w:t>artículos 8, numeral 2, de la Convención Ame</w:t>
      </w:r>
      <w:r w:rsidR="00A94A42">
        <w:rPr>
          <w:rFonts w:ascii="Palatino Linotype" w:eastAsia="Calibri" w:hAnsi="Palatino Linotype" w:cs="Tahoma"/>
          <w:bCs/>
          <w:sz w:val="24"/>
          <w:szCs w:val="24"/>
        </w:rPr>
        <w:t xml:space="preserve">ricana sobre Derechos Humanos </w:t>
      </w:r>
      <w:r w:rsidR="00A94A42">
        <w:rPr>
          <w:rFonts w:ascii="Palatino Linotype" w:eastAsia="Calibri" w:hAnsi="Palatino Linotype" w:cs="Tahoma"/>
          <w:bCs/>
          <w:sz w:val="24"/>
          <w:szCs w:val="24"/>
        </w:rPr>
        <w:lastRenderedPageBreak/>
        <w:t xml:space="preserve">y </w:t>
      </w:r>
      <w:r w:rsidR="003C6784" w:rsidRPr="00284415">
        <w:rPr>
          <w:rFonts w:ascii="Palatino Linotype" w:eastAsia="Calibri" w:hAnsi="Palatino Linotype" w:cs="Tahoma"/>
          <w:bCs/>
          <w:sz w:val="24"/>
          <w:szCs w:val="24"/>
        </w:rPr>
        <w:t>14, numeral 2, del Pacto Internacional d</w:t>
      </w:r>
      <w:r w:rsidR="00DC1D5A" w:rsidRPr="00284415">
        <w:rPr>
          <w:rFonts w:ascii="Palatino Linotype" w:eastAsia="Calibri" w:hAnsi="Palatino Linotype" w:cs="Tahoma"/>
          <w:bCs/>
          <w:sz w:val="24"/>
          <w:szCs w:val="24"/>
        </w:rPr>
        <w:t>e Derechos Civiles y Políticos</w:t>
      </w:r>
      <w:r w:rsidR="00A94A42">
        <w:rPr>
          <w:rFonts w:ascii="Palatino Linotype" w:eastAsia="Calibri" w:hAnsi="Palatino Linotype" w:cs="Tahoma"/>
          <w:bCs/>
          <w:sz w:val="24"/>
          <w:szCs w:val="24"/>
        </w:rPr>
        <w:t>,</w:t>
      </w:r>
      <w:r w:rsidR="00DC1D5A" w:rsidRPr="00284415">
        <w:rPr>
          <w:rFonts w:ascii="Palatino Linotype" w:eastAsia="Calibri" w:hAnsi="Palatino Linotype" w:cs="Tahoma"/>
          <w:bCs/>
          <w:sz w:val="24"/>
          <w:szCs w:val="24"/>
        </w:rPr>
        <w:t xml:space="preserve"> que </w:t>
      </w:r>
      <w:r w:rsidR="00A94A42">
        <w:rPr>
          <w:rFonts w:ascii="Palatino Linotype" w:eastAsia="Calibri" w:hAnsi="Palatino Linotype" w:cs="Tahoma"/>
          <w:bCs/>
          <w:sz w:val="24"/>
          <w:szCs w:val="24"/>
        </w:rPr>
        <w:t xml:space="preserve">hacen </w:t>
      </w:r>
      <w:r w:rsidR="003C6784" w:rsidRPr="00284415">
        <w:rPr>
          <w:rFonts w:ascii="Palatino Linotype" w:eastAsia="Calibri" w:hAnsi="Palatino Linotype" w:cs="Tahoma"/>
          <w:bCs/>
          <w:sz w:val="24"/>
          <w:szCs w:val="24"/>
        </w:rPr>
        <w:t xml:space="preserve">efectiva la presunción de </w:t>
      </w:r>
      <w:r w:rsidR="00DC1D5A" w:rsidRPr="00284415">
        <w:rPr>
          <w:rFonts w:ascii="Palatino Linotype" w:eastAsia="Calibri" w:hAnsi="Palatino Linotype" w:cs="Tahoma"/>
          <w:bCs/>
          <w:sz w:val="24"/>
          <w:szCs w:val="24"/>
        </w:rPr>
        <w:t xml:space="preserve">inocencia </w:t>
      </w:r>
      <w:r w:rsidR="003C6784" w:rsidRPr="00284415">
        <w:rPr>
          <w:rFonts w:ascii="Palatino Linotype" w:eastAsia="Calibri" w:hAnsi="Palatino Linotype" w:cs="Tahoma"/>
          <w:bCs/>
          <w:sz w:val="24"/>
          <w:szCs w:val="24"/>
        </w:rPr>
        <w:t xml:space="preserve">que debe ser aplicable en todos los procedimientos de cuyo resultado pudiera derivar alguna pena o sanción como resultado de la facultad punitiva del Estado, </w:t>
      </w:r>
      <w:r w:rsidR="005A2ADC">
        <w:rPr>
          <w:rFonts w:ascii="Palatino Linotype" w:eastAsia="Calibri" w:hAnsi="Palatino Linotype" w:cs="Tahoma"/>
          <w:bCs/>
          <w:sz w:val="24"/>
          <w:szCs w:val="24"/>
        </w:rPr>
        <w:t xml:space="preserve">en tal contexto es un </w:t>
      </w:r>
      <w:r w:rsidR="003C6784" w:rsidRPr="00284415">
        <w:rPr>
          <w:rFonts w:ascii="Palatino Linotype" w:eastAsia="Calibri" w:hAnsi="Palatino Linotype" w:cs="Tahoma"/>
          <w:bCs/>
          <w:sz w:val="24"/>
          <w:szCs w:val="24"/>
        </w:rPr>
        <w:t xml:space="preserve">derecho fundamental de toda persona, </w:t>
      </w:r>
      <w:r w:rsidR="00284415" w:rsidRPr="00284415">
        <w:rPr>
          <w:rFonts w:ascii="Palatino Linotype" w:eastAsia="Calibri" w:hAnsi="Palatino Linotype" w:cs="Tahoma"/>
          <w:bCs/>
          <w:sz w:val="24"/>
          <w:szCs w:val="24"/>
        </w:rPr>
        <w:t>sometida</w:t>
      </w:r>
      <w:r w:rsidR="003C6784" w:rsidRPr="00284415">
        <w:rPr>
          <w:rFonts w:ascii="Palatino Linotype" w:eastAsia="Calibri" w:hAnsi="Palatino Linotype" w:cs="Tahoma"/>
          <w:bCs/>
          <w:sz w:val="24"/>
          <w:szCs w:val="24"/>
        </w:rPr>
        <w:t xml:space="preserve"> a un procedimi</w:t>
      </w:r>
      <w:r w:rsidR="00284415" w:rsidRPr="00284415">
        <w:rPr>
          <w:rFonts w:ascii="Palatino Linotype" w:eastAsia="Calibri" w:hAnsi="Palatino Linotype" w:cs="Tahoma"/>
          <w:bCs/>
          <w:sz w:val="24"/>
          <w:szCs w:val="24"/>
        </w:rPr>
        <w:t xml:space="preserve">ento administrativo sancionador, lo anterior tiene sustento en la </w:t>
      </w:r>
      <w:r w:rsidR="005A2ADC">
        <w:rPr>
          <w:rFonts w:ascii="Palatino Linotype" w:eastAsia="Calibri" w:hAnsi="Palatino Linotype" w:cs="Tahoma"/>
          <w:bCs/>
          <w:sz w:val="24"/>
          <w:szCs w:val="24"/>
        </w:rPr>
        <w:t>C</w:t>
      </w:r>
      <w:r w:rsidR="00284415" w:rsidRPr="00284415">
        <w:rPr>
          <w:rFonts w:ascii="Palatino Linotype" w:eastAsia="Calibri" w:hAnsi="Palatino Linotype" w:cs="Tahoma"/>
          <w:bCs/>
          <w:sz w:val="24"/>
          <w:szCs w:val="24"/>
        </w:rPr>
        <w:t>ontradicción</w:t>
      </w:r>
      <w:r w:rsidR="005A2ADC">
        <w:rPr>
          <w:rFonts w:ascii="Palatino Linotype" w:eastAsia="Calibri" w:hAnsi="Palatino Linotype" w:cs="Tahoma"/>
          <w:bCs/>
          <w:sz w:val="24"/>
          <w:szCs w:val="24"/>
        </w:rPr>
        <w:t xml:space="preserve"> de</w:t>
      </w:r>
      <w:r w:rsidR="007733F7">
        <w:rPr>
          <w:rFonts w:ascii="Palatino Linotype" w:eastAsia="Calibri" w:hAnsi="Palatino Linotype" w:cs="Tahoma"/>
          <w:bCs/>
          <w:sz w:val="24"/>
          <w:szCs w:val="24"/>
        </w:rPr>
        <w:t xml:space="preserve"> Tesis</w:t>
      </w:r>
      <w:r w:rsidR="005A2ADC">
        <w:rPr>
          <w:rFonts w:ascii="Palatino Linotype" w:eastAsia="Calibri" w:hAnsi="Palatino Linotype" w:cs="Tahoma"/>
          <w:bCs/>
          <w:sz w:val="24"/>
          <w:szCs w:val="24"/>
        </w:rPr>
        <w:t>,</w:t>
      </w:r>
      <w:r w:rsidR="00284415" w:rsidRPr="00284415">
        <w:rPr>
          <w:rFonts w:ascii="Palatino Linotype" w:eastAsia="Calibri" w:hAnsi="Palatino Linotype" w:cs="Tahoma"/>
          <w:bCs/>
          <w:sz w:val="24"/>
          <w:szCs w:val="24"/>
        </w:rPr>
        <w:t xml:space="preserve"> con </w:t>
      </w:r>
      <w:r w:rsidR="007733F7">
        <w:rPr>
          <w:rFonts w:ascii="Palatino Linotype" w:eastAsia="Calibri" w:hAnsi="Palatino Linotype" w:cs="Tahoma"/>
          <w:bCs/>
          <w:sz w:val="24"/>
          <w:szCs w:val="24"/>
        </w:rPr>
        <w:t>r</w:t>
      </w:r>
      <w:r w:rsidR="00284415" w:rsidRPr="00284415">
        <w:rPr>
          <w:rFonts w:ascii="Palatino Linotype" w:eastAsia="Calibri" w:hAnsi="Palatino Linotype" w:cs="Tahoma"/>
          <w:bCs/>
          <w:sz w:val="24"/>
          <w:szCs w:val="24"/>
        </w:rPr>
        <w:t>egistro digital: 2006590, la cual es del tenor literal siguiente:</w:t>
      </w:r>
    </w:p>
    <w:p w14:paraId="2FA725E7" w14:textId="77777777" w:rsidR="002C5C80" w:rsidRDefault="002C5C80" w:rsidP="00221502">
      <w:pPr>
        <w:tabs>
          <w:tab w:val="left" w:pos="709"/>
        </w:tabs>
        <w:spacing w:after="0" w:line="360" w:lineRule="auto"/>
        <w:jc w:val="both"/>
        <w:rPr>
          <w:rFonts w:ascii="Palatino Linotype" w:eastAsia="Calibri" w:hAnsi="Palatino Linotype" w:cs="Tahoma"/>
          <w:bCs/>
          <w:sz w:val="24"/>
          <w:szCs w:val="24"/>
        </w:rPr>
      </w:pPr>
    </w:p>
    <w:p w14:paraId="4CFCCA15" w14:textId="0E192FAD" w:rsidR="002C5C80" w:rsidRPr="002C5C80" w:rsidRDefault="002C5C80" w:rsidP="003C6784">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PRESUNCIÓN DE INOCENCIA. ESTE PRINCIPIO ES APLICABLE AL PROCEDIMIENTO ADMINISTRATIVO SANCIONADOR, CON MATICES O MODULACIONES.</w:t>
      </w:r>
    </w:p>
    <w:p w14:paraId="18E153AF"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17542210"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w:t>
      </w:r>
      <w:r w:rsidRPr="002C5C80">
        <w:rPr>
          <w:rFonts w:ascii="Palatino Linotype" w:eastAsia="Calibri" w:hAnsi="Palatino Linotype" w:cs="Tahoma"/>
          <w:bCs/>
          <w:i/>
        </w:rPr>
        <w:lastRenderedPageBreak/>
        <w:t>cuya consecuencia procesal, entre otras, es desplazar la carga de la prueba a la autoridad, en atención al derecho al debido proceso.</w:t>
      </w:r>
    </w:p>
    <w:p w14:paraId="11AB9037"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7DC83DA2"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05F15DC6"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2C5C80">
        <w:rPr>
          <w:rFonts w:ascii="Palatino Linotype" w:eastAsia="Calibri" w:hAnsi="Palatino Linotype" w:cs="Tahoma"/>
          <w:bCs/>
          <w:i/>
        </w:rPr>
        <w:t>Dayán</w:t>
      </w:r>
      <w:proofErr w:type="spellEnd"/>
      <w:r w:rsidRPr="002C5C80">
        <w:rPr>
          <w:rFonts w:ascii="Palatino Linotype" w:eastAsia="Calibri" w:hAnsi="Palatino Linotype" w:cs="Tahoma"/>
          <w:bCs/>
          <w:i/>
        </w:rPr>
        <w:t>. Ponente: Olga Sánchez Cordero de García Villegas. Secretario: Octavio Joel Flores Díaz.</w:t>
      </w:r>
    </w:p>
    <w:p w14:paraId="17A73A64"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0577D06B"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68D80C29" w14:textId="33537506" w:rsidR="002C5C80" w:rsidRPr="002C5C80" w:rsidRDefault="002C5C80" w:rsidP="005A2ADC">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w:t>
      </w:r>
      <w:r w:rsidR="005A2ADC">
        <w:rPr>
          <w:rFonts w:ascii="Palatino Linotype" w:eastAsia="Calibri" w:hAnsi="Palatino Linotype" w:cs="Tahoma"/>
          <w:bCs/>
          <w:i/>
        </w:rPr>
        <w:t>is y/o criterios contendientes:</w:t>
      </w:r>
    </w:p>
    <w:p w14:paraId="1AD0B37C" w14:textId="14F9F519" w:rsidR="002C5C80" w:rsidRDefault="002C5C80" w:rsidP="003C6784">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w:t>
      </w:r>
      <w:r w:rsidR="003C6784">
        <w:rPr>
          <w:rFonts w:ascii="Palatino Linotype" w:eastAsia="Calibri" w:hAnsi="Palatino Linotype" w:cs="Tahoma"/>
          <w:bCs/>
          <w:i/>
        </w:rPr>
        <w:t>o 1, abril de 2013, página 968,</w:t>
      </w:r>
    </w:p>
    <w:p w14:paraId="543C8863" w14:textId="77777777" w:rsidR="003C6784" w:rsidRPr="002C5C80" w:rsidRDefault="003C6784" w:rsidP="003C6784">
      <w:pPr>
        <w:tabs>
          <w:tab w:val="left" w:pos="709"/>
        </w:tabs>
        <w:spacing w:after="0" w:line="240" w:lineRule="auto"/>
        <w:ind w:left="567" w:right="567"/>
        <w:jc w:val="both"/>
        <w:rPr>
          <w:rFonts w:ascii="Palatino Linotype" w:eastAsia="Calibri" w:hAnsi="Palatino Linotype" w:cs="Tahoma"/>
          <w:bCs/>
          <w:i/>
        </w:rPr>
      </w:pPr>
    </w:p>
    <w:p w14:paraId="53825D4F"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517106F7"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78251E86"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7BFA12EA"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43B4A89F"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 xml:space="preserve">Tesis 2a. XCI/2012 (10a.), de rubro: "PRESUNCIÓN DE INOCENCIA. NO ES UN PRINCIPIO APLICABLE EN EL PROCEDIMIENTO ADMINISTRATIVO SANCIONADOR.", aprobada por la Segunda Sala de la Suprema Corte de Justicia de la </w:t>
      </w:r>
      <w:r w:rsidRPr="002C5C80">
        <w:rPr>
          <w:rFonts w:ascii="Palatino Linotype" w:eastAsia="Calibri" w:hAnsi="Palatino Linotype" w:cs="Tahoma"/>
          <w:bCs/>
          <w:i/>
        </w:rPr>
        <w:lastRenderedPageBreak/>
        <w:t>Nación, y publicada en el Semanario Judicial de la Federación y su Gaceta, Décima Época, Libro XVI, Tomo 2, enero de 2013, página 1688.</w:t>
      </w:r>
    </w:p>
    <w:p w14:paraId="4BC51271"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4C08F73D" w14:textId="5DC3D8C1" w:rsidR="002C5C80" w:rsidRPr="002C5C80" w:rsidRDefault="002C5C80" w:rsidP="003C6784">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El Tribunal Pleno, el veintiséis de mayo en curso, aprobó, con el número 43/2014 (10a.), la tesis jurisprudencial que antecede. México, Distrito Federal, a veintis</w:t>
      </w:r>
      <w:r w:rsidR="003C6784">
        <w:rPr>
          <w:rFonts w:ascii="Palatino Linotype" w:eastAsia="Calibri" w:hAnsi="Palatino Linotype" w:cs="Tahoma"/>
          <w:bCs/>
          <w:i/>
        </w:rPr>
        <w:t>éis de mayo de dos mil catorce.</w:t>
      </w:r>
    </w:p>
    <w:p w14:paraId="0F01C4FE"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51EEF1FB"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56C5FC61"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046FF90C" w14:textId="77777777" w:rsidR="002C5C80" w:rsidRPr="002C5C80" w:rsidRDefault="002C5C80" w:rsidP="002C5C80">
      <w:pPr>
        <w:tabs>
          <w:tab w:val="left" w:pos="709"/>
        </w:tabs>
        <w:spacing w:after="0" w:line="240" w:lineRule="auto"/>
        <w:ind w:left="567" w:right="567"/>
        <w:jc w:val="both"/>
        <w:rPr>
          <w:rFonts w:ascii="Palatino Linotype" w:eastAsia="Calibri" w:hAnsi="Palatino Linotype" w:cs="Tahoma"/>
          <w:bCs/>
          <w:i/>
        </w:rPr>
      </w:pPr>
    </w:p>
    <w:p w14:paraId="1FC536B3" w14:textId="23BD23F3" w:rsidR="002C5C80" w:rsidRDefault="002C5C80" w:rsidP="005A2ADC">
      <w:pPr>
        <w:tabs>
          <w:tab w:val="left" w:pos="709"/>
        </w:tabs>
        <w:spacing w:after="0" w:line="240" w:lineRule="auto"/>
        <w:ind w:left="567" w:right="567"/>
        <w:jc w:val="both"/>
        <w:rPr>
          <w:rFonts w:ascii="Palatino Linotype" w:eastAsia="Calibri" w:hAnsi="Palatino Linotype" w:cs="Tahoma"/>
          <w:bCs/>
          <w:i/>
        </w:rPr>
      </w:pPr>
      <w:r w:rsidRPr="002C5C80">
        <w:rPr>
          <w:rFonts w:ascii="Palatino Linotype" w:eastAsia="Calibri" w:hAnsi="Palatino Linotype" w:cs="Tahoma"/>
          <w:bCs/>
          <w:i/>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1ACA2F9E" w14:textId="77777777" w:rsidR="002731DC" w:rsidRPr="002731DC" w:rsidRDefault="002731DC" w:rsidP="005A2ADC">
      <w:pPr>
        <w:tabs>
          <w:tab w:val="left" w:pos="709"/>
        </w:tabs>
        <w:spacing w:after="0" w:line="240" w:lineRule="auto"/>
        <w:ind w:left="567" w:right="567"/>
        <w:jc w:val="both"/>
        <w:rPr>
          <w:rFonts w:ascii="Palatino Linotype" w:eastAsia="Calibri" w:hAnsi="Palatino Linotype" w:cs="Tahoma"/>
          <w:bCs/>
          <w:i/>
          <w:sz w:val="28"/>
        </w:rPr>
      </w:pPr>
    </w:p>
    <w:p w14:paraId="40BD3482" w14:textId="7CA5A142" w:rsidR="002731DC" w:rsidRDefault="00210BD0" w:rsidP="002731DC">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otro lado, n</w:t>
      </w:r>
      <w:r w:rsidR="002731DC">
        <w:rPr>
          <w:rFonts w:ascii="Palatino Linotype" w:hAnsi="Palatino Linotype"/>
          <w:sz w:val="24"/>
          <w:szCs w:val="24"/>
        </w:rPr>
        <w:t>o se omite señalar</w:t>
      </w:r>
      <w:r w:rsidR="002731DC" w:rsidRPr="00A25881">
        <w:rPr>
          <w:rFonts w:ascii="Palatino Linotype" w:hAnsi="Palatino Linotype"/>
          <w:sz w:val="24"/>
          <w:szCs w:val="24"/>
        </w:rPr>
        <w:t xml:space="preserve">, que </w:t>
      </w:r>
      <w:r w:rsidR="002731DC">
        <w:rPr>
          <w:rFonts w:ascii="Palatino Linotype" w:hAnsi="Palatino Linotype"/>
          <w:sz w:val="24"/>
          <w:szCs w:val="24"/>
        </w:rPr>
        <w:t xml:space="preserve">de </w:t>
      </w:r>
      <w:r w:rsidR="002731DC" w:rsidRPr="00A25881">
        <w:rPr>
          <w:rFonts w:ascii="Palatino Linotype" w:hAnsi="Palatino Linotype"/>
          <w:sz w:val="24"/>
          <w:szCs w:val="24"/>
        </w:rPr>
        <w:t>conforme a al artículo 115 de la Ley General de Transparencia y A</w:t>
      </w:r>
      <w:r w:rsidR="00463A45">
        <w:rPr>
          <w:rFonts w:ascii="Palatino Linotype" w:hAnsi="Palatino Linotype"/>
          <w:sz w:val="24"/>
          <w:szCs w:val="24"/>
        </w:rPr>
        <w:t xml:space="preserve">cceso a la Información Pública, </w:t>
      </w:r>
      <w:r w:rsidR="002731DC" w:rsidRPr="00A25881">
        <w:rPr>
          <w:rFonts w:ascii="Palatino Linotype" w:hAnsi="Palatino Linotype"/>
          <w:sz w:val="24"/>
          <w:szCs w:val="24"/>
        </w:rPr>
        <w:t>142 de la Ley de Transparencia y Acceso a la Información Pública del Estado de México y Municipios</w:t>
      </w:r>
      <w:r w:rsidR="00463A45">
        <w:rPr>
          <w:rFonts w:ascii="Palatino Linotype" w:hAnsi="Palatino Linotype"/>
          <w:sz w:val="24"/>
          <w:szCs w:val="24"/>
        </w:rPr>
        <w:t>,</w:t>
      </w:r>
      <w:r w:rsidR="002731DC" w:rsidRPr="00A25881">
        <w:rPr>
          <w:rFonts w:ascii="Palatino Linotype" w:hAnsi="Palatino Linotype"/>
          <w:sz w:val="24"/>
          <w:szCs w:val="24"/>
        </w:rPr>
        <w:t xml:space="preserve"> y el Trigésimo Séptimo de los Lineamientos Generales, </w:t>
      </w:r>
      <w:r w:rsidR="00463A45">
        <w:rPr>
          <w:rFonts w:ascii="Palatino Linotype" w:hAnsi="Palatino Linotype"/>
          <w:sz w:val="24"/>
          <w:szCs w:val="24"/>
        </w:rPr>
        <w:t xml:space="preserve">establecen que </w:t>
      </w:r>
      <w:r w:rsidR="002731DC" w:rsidRPr="00A25881">
        <w:rPr>
          <w:rFonts w:ascii="Palatino Linotype" w:hAnsi="Palatino Linotype"/>
          <w:sz w:val="24"/>
          <w:szCs w:val="24"/>
        </w:rPr>
        <w:t>no podrá invocarse con el carácter de reservada, aquella información que se encuentre relacionada con posibles violaciones a de</w:t>
      </w:r>
      <w:r w:rsidR="00EE56F8">
        <w:rPr>
          <w:rFonts w:ascii="Palatino Linotype" w:hAnsi="Palatino Linotype"/>
          <w:sz w:val="24"/>
          <w:szCs w:val="24"/>
        </w:rPr>
        <w:t xml:space="preserve">rechos humanos </w:t>
      </w:r>
      <w:r w:rsidR="00EE56F8" w:rsidRPr="00EE56F8">
        <w:rPr>
          <w:rFonts w:ascii="Palatino Linotype" w:hAnsi="Palatino Linotype"/>
        </w:rPr>
        <w:t>delitos de lesa humanidad</w:t>
      </w:r>
      <w:r w:rsidR="00EE56F8">
        <w:t xml:space="preserve"> </w:t>
      </w:r>
      <w:r w:rsidR="00EE56F8">
        <w:rPr>
          <w:rFonts w:ascii="Palatino Linotype" w:hAnsi="Palatino Linotype"/>
          <w:sz w:val="24"/>
          <w:szCs w:val="24"/>
        </w:rPr>
        <w:t>o actos de corrupción, preceptos legales que establecen lo siguiente:</w:t>
      </w:r>
    </w:p>
    <w:p w14:paraId="24280643" w14:textId="77777777" w:rsidR="00EE56F8" w:rsidRDefault="00EE56F8" w:rsidP="002731DC">
      <w:pPr>
        <w:tabs>
          <w:tab w:val="left" w:pos="709"/>
        </w:tabs>
        <w:spacing w:after="0" w:line="360" w:lineRule="auto"/>
        <w:jc w:val="both"/>
        <w:rPr>
          <w:rFonts w:ascii="Palatino Linotype" w:hAnsi="Palatino Linotype"/>
          <w:sz w:val="24"/>
          <w:szCs w:val="24"/>
        </w:rPr>
      </w:pPr>
    </w:p>
    <w:p w14:paraId="42943E7E" w14:textId="4C2E3805" w:rsidR="00EE56F8" w:rsidRPr="003A3012" w:rsidRDefault="00EE56F8" w:rsidP="005C6B2B">
      <w:pPr>
        <w:tabs>
          <w:tab w:val="left" w:pos="709"/>
        </w:tabs>
        <w:spacing w:after="0" w:line="240" w:lineRule="auto"/>
        <w:jc w:val="center"/>
        <w:rPr>
          <w:rFonts w:ascii="Palatino Linotype" w:hAnsi="Palatino Linotype"/>
          <w:b/>
          <w:i/>
        </w:rPr>
      </w:pPr>
      <w:r w:rsidRPr="003A3012">
        <w:rPr>
          <w:rFonts w:ascii="Palatino Linotype" w:hAnsi="Palatino Linotype"/>
          <w:b/>
          <w:i/>
        </w:rPr>
        <w:t>Ley General de Transparencia y Acceso a la Información Pública</w:t>
      </w:r>
    </w:p>
    <w:p w14:paraId="5800E71E" w14:textId="77777777"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b/>
          <w:i/>
        </w:rPr>
        <w:t>Artículo 115.</w:t>
      </w:r>
      <w:r w:rsidRPr="003A3012">
        <w:rPr>
          <w:rFonts w:ascii="Palatino Linotype" w:hAnsi="Palatino Linotype"/>
          <w:i/>
        </w:rPr>
        <w:t xml:space="preserve"> No podrá invocarse el carácter de reservado cuando:</w:t>
      </w:r>
    </w:p>
    <w:p w14:paraId="35AF4BC1" w14:textId="77777777"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 Se trate de violaciones graves de derechos humanos o delitos de lesa humanidad, o</w:t>
      </w:r>
    </w:p>
    <w:p w14:paraId="53E0BE1C" w14:textId="0AF38F81" w:rsid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II. Se trate de información relacionada con actos de corrupción de acuerdo con las leyes</w:t>
      </w:r>
      <w:r>
        <w:rPr>
          <w:rFonts w:ascii="Palatino Linotype" w:hAnsi="Palatino Linotype"/>
          <w:i/>
        </w:rPr>
        <w:t xml:space="preserve"> </w:t>
      </w:r>
      <w:r w:rsidRPr="003A3012">
        <w:rPr>
          <w:rFonts w:ascii="Palatino Linotype" w:hAnsi="Palatino Linotype"/>
          <w:i/>
        </w:rPr>
        <w:t>aplicables.</w:t>
      </w:r>
    </w:p>
    <w:p w14:paraId="3C832780" w14:textId="77777777" w:rsidR="003A3012" w:rsidRDefault="003A3012" w:rsidP="005C6B2B">
      <w:pPr>
        <w:tabs>
          <w:tab w:val="left" w:pos="709"/>
        </w:tabs>
        <w:spacing w:after="0" w:line="240" w:lineRule="auto"/>
        <w:ind w:left="567" w:right="567"/>
        <w:jc w:val="both"/>
        <w:rPr>
          <w:rFonts w:ascii="Palatino Linotype" w:hAnsi="Palatino Linotype"/>
          <w:i/>
        </w:rPr>
      </w:pPr>
    </w:p>
    <w:p w14:paraId="0E8F2076" w14:textId="23DD02DF" w:rsidR="003A3012" w:rsidRDefault="003A3012" w:rsidP="005C6B2B">
      <w:pPr>
        <w:tabs>
          <w:tab w:val="left" w:pos="709"/>
        </w:tabs>
        <w:spacing w:after="0" w:line="240" w:lineRule="auto"/>
        <w:ind w:left="567" w:right="567"/>
        <w:jc w:val="both"/>
        <w:rPr>
          <w:rFonts w:ascii="Palatino Linotype" w:hAnsi="Palatino Linotype"/>
          <w:b/>
          <w:i/>
        </w:rPr>
      </w:pPr>
      <w:r w:rsidRPr="003A3012">
        <w:rPr>
          <w:rFonts w:ascii="Palatino Linotype" w:hAnsi="Palatino Linotype"/>
          <w:b/>
          <w:i/>
        </w:rPr>
        <w:t>Ley de Transparencia y Acceso a la Información Pública del Estado de México y Municipios</w:t>
      </w:r>
    </w:p>
    <w:p w14:paraId="29446F98" w14:textId="77777777"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lastRenderedPageBreak/>
        <w:t>Artículo 142. Bajo ninguna circunstancia podrá invocarse el carácter de reservado cuando:</w:t>
      </w:r>
    </w:p>
    <w:p w14:paraId="4179E599" w14:textId="77777777"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 Se trate de violaciones graves de derechos humanos, calificada así por autoridad competente;</w:t>
      </w:r>
    </w:p>
    <w:p w14:paraId="440F40C2" w14:textId="6C5CA92D"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II. Se trate de la investigación de posibles violaciones graves de derechos humanos aun cuando no</w:t>
      </w:r>
      <w:r>
        <w:rPr>
          <w:rFonts w:ascii="Palatino Linotype" w:hAnsi="Palatino Linotype"/>
          <w:i/>
        </w:rPr>
        <w:t xml:space="preserve"> </w:t>
      </w:r>
      <w:r w:rsidRPr="003A3012">
        <w:rPr>
          <w:rFonts w:ascii="Palatino Linotype" w:hAnsi="Palatino Linotype"/>
          <w:i/>
        </w:rPr>
        <w:t>exista pronunciamiento previo de autoridad competente, cuando se determine, a partir de criterios</w:t>
      </w:r>
      <w:r>
        <w:rPr>
          <w:rFonts w:ascii="Palatino Linotype" w:hAnsi="Palatino Linotype"/>
          <w:i/>
        </w:rPr>
        <w:t xml:space="preserve"> </w:t>
      </w:r>
      <w:r w:rsidRPr="003A3012">
        <w:rPr>
          <w:rFonts w:ascii="Palatino Linotype" w:hAnsi="Palatino Linotype"/>
          <w:i/>
        </w:rPr>
        <w:t>cuantitativos y cualitativos la trascendencia social de las violaciones;</w:t>
      </w:r>
    </w:p>
    <w:p w14:paraId="1C2E2FE7" w14:textId="403AD847" w:rsidR="003A3012" w:rsidRP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III. Se trate de delitos de lesa humanidad conforme a los tratados ratificados por el Senado de la</w:t>
      </w:r>
      <w:r>
        <w:rPr>
          <w:rFonts w:ascii="Palatino Linotype" w:hAnsi="Palatino Linotype"/>
          <w:i/>
        </w:rPr>
        <w:t xml:space="preserve"> </w:t>
      </w:r>
      <w:r w:rsidRPr="003A3012">
        <w:rPr>
          <w:rFonts w:ascii="Palatino Linotype" w:hAnsi="Palatino Linotype"/>
          <w:i/>
        </w:rPr>
        <w:t>República, las resoluciones emitidas por organismos internacionales cuya competencia sea reconocida</w:t>
      </w:r>
      <w:r>
        <w:rPr>
          <w:rFonts w:ascii="Palatino Linotype" w:hAnsi="Palatino Linotype"/>
          <w:i/>
        </w:rPr>
        <w:t xml:space="preserve"> </w:t>
      </w:r>
      <w:r w:rsidRPr="003A3012">
        <w:rPr>
          <w:rFonts w:ascii="Palatino Linotype" w:hAnsi="Palatino Linotype"/>
          <w:i/>
        </w:rPr>
        <w:t>por el Estado Mexicano, así como en las disposiciones jurídicas aplicables; y</w:t>
      </w:r>
    </w:p>
    <w:p w14:paraId="24AB4134" w14:textId="476AF723" w:rsidR="003A3012" w:rsidRDefault="003A3012" w:rsidP="005C6B2B">
      <w:pPr>
        <w:tabs>
          <w:tab w:val="left" w:pos="709"/>
        </w:tabs>
        <w:spacing w:after="0" w:line="240" w:lineRule="auto"/>
        <w:ind w:left="567" w:right="567"/>
        <w:jc w:val="both"/>
        <w:rPr>
          <w:rFonts w:ascii="Palatino Linotype" w:hAnsi="Palatino Linotype"/>
          <w:i/>
        </w:rPr>
      </w:pPr>
      <w:r w:rsidRPr="003A3012">
        <w:rPr>
          <w:rFonts w:ascii="Palatino Linotype" w:hAnsi="Palatino Linotype"/>
          <w:i/>
        </w:rPr>
        <w:t>IV. Se trate de información relacionada con actos de corrupción de conformidad con las disposiciones</w:t>
      </w:r>
      <w:r w:rsidR="00C6584D">
        <w:rPr>
          <w:rFonts w:ascii="Palatino Linotype" w:hAnsi="Palatino Linotype"/>
          <w:i/>
        </w:rPr>
        <w:t xml:space="preserve"> </w:t>
      </w:r>
      <w:r w:rsidRPr="003A3012">
        <w:rPr>
          <w:rFonts w:ascii="Palatino Linotype" w:hAnsi="Palatino Linotype"/>
          <w:i/>
        </w:rPr>
        <w:t>jurídicas aplicables.</w:t>
      </w:r>
    </w:p>
    <w:p w14:paraId="102D7D64" w14:textId="77777777" w:rsidR="000038BB" w:rsidRDefault="000038BB" w:rsidP="005C6B2B">
      <w:pPr>
        <w:tabs>
          <w:tab w:val="left" w:pos="709"/>
        </w:tabs>
        <w:spacing w:after="0" w:line="240" w:lineRule="auto"/>
        <w:ind w:left="567" w:right="567"/>
        <w:jc w:val="both"/>
        <w:rPr>
          <w:rFonts w:ascii="Palatino Linotype" w:hAnsi="Palatino Linotype"/>
          <w:i/>
        </w:rPr>
      </w:pPr>
    </w:p>
    <w:p w14:paraId="5E4AC9CA" w14:textId="5AF1F21D" w:rsidR="000038BB" w:rsidRPr="000038BB" w:rsidRDefault="000038BB" w:rsidP="005C6B2B">
      <w:pPr>
        <w:tabs>
          <w:tab w:val="left" w:pos="709"/>
        </w:tabs>
        <w:spacing w:after="0" w:line="240" w:lineRule="auto"/>
        <w:ind w:left="567" w:right="567"/>
        <w:jc w:val="both"/>
        <w:rPr>
          <w:rFonts w:ascii="Palatino Linotype" w:hAnsi="Palatino Linotype"/>
          <w:b/>
          <w:i/>
        </w:rPr>
      </w:pPr>
      <w:r w:rsidRPr="000038BB">
        <w:rPr>
          <w:rFonts w:ascii="Palatino Linotype" w:hAnsi="Palatino Linotype"/>
          <w:b/>
          <w:i/>
          <w:color w:val="2F2F2F"/>
          <w:shd w:val="clear" w:color="auto" w:fill="FFFFFF"/>
        </w:rPr>
        <w:t>LINEAMIENTOS GENERALES EN MATERIA DE CLASIFICACIÓN Y DESCLASIFICACIÓN DE LA INFORMACIÓN, ASÍ COMO PARA LA ELABORACIÓN DE VERSIONES PÚBLICAS.</w:t>
      </w:r>
    </w:p>
    <w:p w14:paraId="568E1395" w14:textId="77777777" w:rsidR="000038BB" w:rsidRPr="000038BB" w:rsidRDefault="000038BB" w:rsidP="000038BB">
      <w:pPr>
        <w:tabs>
          <w:tab w:val="left" w:pos="709"/>
        </w:tabs>
        <w:spacing w:after="0" w:line="240" w:lineRule="auto"/>
        <w:ind w:left="567" w:right="567"/>
        <w:jc w:val="both"/>
        <w:rPr>
          <w:rFonts w:ascii="Palatino Linotype" w:hAnsi="Palatino Linotype"/>
          <w:i/>
        </w:rPr>
      </w:pPr>
      <w:r w:rsidRPr="000038BB">
        <w:rPr>
          <w:rFonts w:ascii="Palatino Linotype" w:hAnsi="Palatino Linotype"/>
          <w:i/>
        </w:rPr>
        <w:t>Trigésimo séptimo. No podrá invocarse el carácter de reservado de la información cuando:</w:t>
      </w:r>
    </w:p>
    <w:p w14:paraId="23921FFC" w14:textId="77777777" w:rsidR="000038BB" w:rsidRPr="000038BB" w:rsidRDefault="000038BB" w:rsidP="000038BB">
      <w:pPr>
        <w:tabs>
          <w:tab w:val="left" w:pos="709"/>
        </w:tabs>
        <w:spacing w:after="0" w:line="240" w:lineRule="auto"/>
        <w:ind w:left="567" w:right="567"/>
        <w:jc w:val="both"/>
        <w:rPr>
          <w:rFonts w:ascii="Palatino Linotype" w:hAnsi="Palatino Linotype"/>
          <w:i/>
        </w:rPr>
      </w:pPr>
      <w:r w:rsidRPr="000038BB">
        <w:rPr>
          <w:rFonts w:ascii="Palatino Linotype" w:hAnsi="Palatino Linotype"/>
          <w:i/>
        </w:rPr>
        <w:t>I.        Se trate de violaciones graves de derechos humanos;</w:t>
      </w:r>
    </w:p>
    <w:p w14:paraId="37E1CCC1" w14:textId="77777777" w:rsidR="000038BB" w:rsidRPr="000038BB" w:rsidRDefault="000038BB" w:rsidP="000038BB">
      <w:pPr>
        <w:tabs>
          <w:tab w:val="left" w:pos="709"/>
        </w:tabs>
        <w:spacing w:after="0" w:line="240" w:lineRule="auto"/>
        <w:ind w:left="567" w:right="567"/>
        <w:jc w:val="both"/>
        <w:rPr>
          <w:rFonts w:ascii="Palatino Linotype" w:hAnsi="Palatino Linotype"/>
          <w:i/>
        </w:rPr>
      </w:pPr>
      <w:r w:rsidRPr="000038BB">
        <w:rPr>
          <w:rFonts w:ascii="Palatino Linotype"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5A3723F" w14:textId="3A0FAF62" w:rsidR="000038BB" w:rsidRPr="000038BB" w:rsidRDefault="000038BB" w:rsidP="000038BB">
      <w:pPr>
        <w:tabs>
          <w:tab w:val="left" w:pos="709"/>
        </w:tabs>
        <w:spacing w:after="0" w:line="240" w:lineRule="auto"/>
        <w:ind w:left="567" w:right="567"/>
        <w:jc w:val="both"/>
        <w:rPr>
          <w:rFonts w:ascii="Palatino Linotype" w:hAnsi="Palatino Linotype"/>
          <w:i/>
        </w:rPr>
      </w:pPr>
      <w:r w:rsidRPr="000038BB">
        <w:rPr>
          <w:rFonts w:ascii="Palatino Linotype"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3C30288A" w14:textId="1A62E07D" w:rsidR="000038BB" w:rsidRPr="003A3012" w:rsidRDefault="000038BB" w:rsidP="000038BB">
      <w:pPr>
        <w:tabs>
          <w:tab w:val="left" w:pos="709"/>
        </w:tabs>
        <w:spacing w:after="0" w:line="240" w:lineRule="auto"/>
        <w:ind w:left="567" w:right="567"/>
        <w:jc w:val="both"/>
        <w:rPr>
          <w:rFonts w:ascii="Palatino Linotype" w:hAnsi="Palatino Linotype"/>
          <w:i/>
        </w:rPr>
      </w:pPr>
      <w:r w:rsidRPr="000038BB">
        <w:rPr>
          <w:rFonts w:ascii="Palatino Linotype"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4F59A5B2" w14:textId="77777777" w:rsidR="003A3012" w:rsidRPr="003A3012" w:rsidRDefault="003A3012" w:rsidP="00C6584D">
      <w:pPr>
        <w:tabs>
          <w:tab w:val="left" w:pos="709"/>
        </w:tabs>
        <w:spacing w:after="0" w:line="360" w:lineRule="auto"/>
        <w:ind w:right="567"/>
        <w:jc w:val="both"/>
        <w:rPr>
          <w:rFonts w:ascii="Palatino Linotype" w:hAnsi="Palatino Linotype"/>
          <w:i/>
        </w:rPr>
      </w:pPr>
    </w:p>
    <w:p w14:paraId="0C19FF66" w14:textId="6C8C4E76" w:rsidR="00EE56F8" w:rsidRPr="00A25881" w:rsidRDefault="00C6584D" w:rsidP="002731DC">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 xml:space="preserve">Al respecto, derivado de la excepción establecida en los preceptos legales antes citados, resulta oportuno mencionar que en tal supuesto, </w:t>
      </w:r>
      <w:r w:rsidR="00623F22" w:rsidRPr="00687227">
        <w:rPr>
          <w:rFonts w:ascii="Palatino Linotype" w:hAnsi="Palatino Linotype"/>
          <w:sz w:val="24"/>
          <w:szCs w:val="24"/>
        </w:rPr>
        <w:t xml:space="preserve">esta ponencia considera que </w:t>
      </w:r>
      <w:r w:rsidR="00623F22" w:rsidRPr="00291233">
        <w:rPr>
          <w:rFonts w:ascii="Palatino Linotype" w:hAnsi="Palatino Linotype"/>
          <w:sz w:val="24"/>
          <w:szCs w:val="24"/>
        </w:rPr>
        <w:t xml:space="preserve">si </w:t>
      </w:r>
      <w:r w:rsidRPr="00291233">
        <w:rPr>
          <w:rFonts w:ascii="Palatino Linotype" w:hAnsi="Palatino Linotype"/>
          <w:sz w:val="24"/>
          <w:szCs w:val="24"/>
        </w:rPr>
        <w:t>la información</w:t>
      </w:r>
      <w:r w:rsidR="00210BD0" w:rsidRPr="00291233">
        <w:rPr>
          <w:rFonts w:ascii="Palatino Linotype" w:hAnsi="Palatino Linotype"/>
          <w:sz w:val="24"/>
          <w:szCs w:val="24"/>
        </w:rPr>
        <w:t xml:space="preserve"> del expediente</w:t>
      </w:r>
      <w:r w:rsidRPr="00687227">
        <w:rPr>
          <w:rFonts w:ascii="Palatino Linotype" w:hAnsi="Palatino Linotype"/>
          <w:sz w:val="24"/>
          <w:szCs w:val="24"/>
        </w:rPr>
        <w:t xml:space="preserve"> </w:t>
      </w:r>
      <w:r w:rsidR="00210BD0">
        <w:rPr>
          <w:rFonts w:ascii="Palatino Linotype" w:hAnsi="Palatino Linotype"/>
          <w:sz w:val="24"/>
          <w:szCs w:val="24"/>
        </w:rPr>
        <w:t>que lo originó</w:t>
      </w:r>
      <w:r w:rsidR="00623F22" w:rsidRPr="00687227">
        <w:rPr>
          <w:rFonts w:ascii="Palatino Linotype" w:hAnsi="Palatino Linotype"/>
          <w:sz w:val="24"/>
          <w:szCs w:val="24"/>
        </w:rPr>
        <w:t xml:space="preserve"> o </w:t>
      </w:r>
      <w:r w:rsidR="00210BD0">
        <w:rPr>
          <w:rFonts w:ascii="Palatino Linotype" w:hAnsi="Palatino Linotype"/>
          <w:sz w:val="24"/>
          <w:szCs w:val="24"/>
        </w:rPr>
        <w:t xml:space="preserve">que </w:t>
      </w:r>
      <w:r w:rsidR="00623F22" w:rsidRPr="00687227">
        <w:rPr>
          <w:rFonts w:ascii="Palatino Linotype" w:hAnsi="Palatino Linotype"/>
          <w:sz w:val="24"/>
          <w:szCs w:val="24"/>
        </w:rPr>
        <w:t>se encuentra contenida</w:t>
      </w:r>
      <w:r w:rsidRPr="00687227">
        <w:rPr>
          <w:rFonts w:ascii="Palatino Linotype" w:hAnsi="Palatino Linotype"/>
          <w:sz w:val="24"/>
          <w:szCs w:val="24"/>
        </w:rPr>
        <w:t xml:space="preserve"> dentro </w:t>
      </w:r>
      <w:r w:rsidRPr="00687227">
        <w:rPr>
          <w:rFonts w:ascii="Palatino Linotype" w:hAnsi="Palatino Linotype"/>
          <w:sz w:val="24"/>
          <w:szCs w:val="24"/>
        </w:rPr>
        <w:lastRenderedPageBreak/>
        <w:t xml:space="preserve">de la investigación o </w:t>
      </w:r>
      <w:r w:rsidR="00623F22" w:rsidRPr="00687227">
        <w:rPr>
          <w:rFonts w:ascii="Palatino Linotype" w:hAnsi="Palatino Linotype"/>
          <w:sz w:val="24"/>
          <w:szCs w:val="24"/>
        </w:rPr>
        <w:t>procedimiento</w:t>
      </w:r>
      <w:r w:rsidRPr="00687227">
        <w:rPr>
          <w:rFonts w:ascii="Palatino Linotype" w:hAnsi="Palatino Linotype"/>
          <w:sz w:val="24"/>
          <w:szCs w:val="24"/>
        </w:rPr>
        <w:t xml:space="preserve"> de responsabilidad </w:t>
      </w:r>
      <w:r w:rsidR="00623F22" w:rsidRPr="00687227">
        <w:rPr>
          <w:rFonts w:ascii="Palatino Linotype" w:hAnsi="Palatino Linotype"/>
          <w:sz w:val="24"/>
          <w:szCs w:val="24"/>
        </w:rPr>
        <w:t>administrativa es relativa a alguna de las fracciones de los artículos 115 de la Ley General de Transparencia y Acceso a la Información Pública, 142 de la Ley de Transparencia y Acceso a la Información Pública del Estado de México y Municipios</w:t>
      </w:r>
      <w:r w:rsidR="000038BB" w:rsidRPr="00687227">
        <w:rPr>
          <w:rFonts w:ascii="Palatino Linotype" w:hAnsi="Palatino Linotype"/>
          <w:sz w:val="24"/>
          <w:szCs w:val="24"/>
        </w:rPr>
        <w:t>, y Trigésimo Séptimo de los Lineamientos Generales en Materia de Clasificación y Desclasificación de la</w:t>
      </w:r>
      <w:r w:rsidR="00463A45">
        <w:rPr>
          <w:rFonts w:ascii="Palatino Linotype" w:hAnsi="Palatino Linotype"/>
          <w:sz w:val="24"/>
          <w:szCs w:val="24"/>
        </w:rPr>
        <w:t xml:space="preserve"> Información, así como para la E</w:t>
      </w:r>
      <w:r w:rsidR="000038BB" w:rsidRPr="00687227">
        <w:rPr>
          <w:rFonts w:ascii="Palatino Linotype" w:hAnsi="Palatino Linotype"/>
          <w:sz w:val="24"/>
          <w:szCs w:val="24"/>
        </w:rPr>
        <w:t>l</w:t>
      </w:r>
      <w:r w:rsidR="00463A45">
        <w:rPr>
          <w:rFonts w:ascii="Palatino Linotype" w:hAnsi="Palatino Linotype"/>
          <w:sz w:val="24"/>
          <w:szCs w:val="24"/>
        </w:rPr>
        <w:t xml:space="preserve">aboración de Versiones Públicas; </w:t>
      </w:r>
      <w:r w:rsidR="000038BB" w:rsidRPr="00687227">
        <w:rPr>
          <w:rFonts w:ascii="Palatino Linotype" w:hAnsi="Palatino Linotype"/>
          <w:sz w:val="24"/>
          <w:szCs w:val="24"/>
        </w:rPr>
        <w:t>no podrá invocarse con el carácter de clasificada.</w:t>
      </w:r>
      <w:r w:rsidR="000038BB">
        <w:rPr>
          <w:rFonts w:ascii="Palatino Linotype" w:hAnsi="Palatino Linotype"/>
          <w:sz w:val="24"/>
          <w:szCs w:val="24"/>
        </w:rPr>
        <w:t xml:space="preserve"> </w:t>
      </w:r>
    </w:p>
    <w:p w14:paraId="25D55E71" w14:textId="77777777" w:rsidR="006D5C69" w:rsidRDefault="006D5C69" w:rsidP="00B37F38">
      <w:pPr>
        <w:tabs>
          <w:tab w:val="left" w:pos="709"/>
        </w:tabs>
        <w:spacing w:after="0" w:line="360" w:lineRule="auto"/>
        <w:jc w:val="both"/>
        <w:rPr>
          <w:rFonts w:ascii="Palatino Linotype" w:hAnsi="Palatino Linotype"/>
          <w:sz w:val="24"/>
          <w:szCs w:val="24"/>
        </w:rPr>
      </w:pPr>
    </w:p>
    <w:p w14:paraId="12947BB6" w14:textId="4C7CF804" w:rsidR="00C94673" w:rsidRDefault="00C94673" w:rsidP="00B37F38">
      <w:pPr>
        <w:tabs>
          <w:tab w:val="left" w:pos="709"/>
        </w:tabs>
        <w:spacing w:after="0" w:line="360" w:lineRule="auto"/>
        <w:jc w:val="both"/>
        <w:rPr>
          <w:rFonts w:ascii="Palatino Linotype" w:hAnsi="Palatino Linotype"/>
          <w:sz w:val="24"/>
          <w:szCs w:val="24"/>
        </w:rPr>
      </w:pPr>
      <w:r w:rsidRPr="005020AD">
        <w:rPr>
          <w:rFonts w:ascii="Palatino Linotype" w:hAnsi="Palatino Linotype"/>
          <w:sz w:val="24"/>
          <w:szCs w:val="24"/>
        </w:rPr>
        <w:t>Ahora bien, esta Ponencia</w:t>
      </w:r>
      <w:r w:rsidR="00210BD0">
        <w:rPr>
          <w:rFonts w:ascii="Palatino Linotype" w:hAnsi="Palatino Linotype"/>
          <w:sz w:val="24"/>
          <w:szCs w:val="24"/>
        </w:rPr>
        <w:t xml:space="preserve"> también</w:t>
      </w:r>
      <w:r w:rsidRPr="005020AD">
        <w:rPr>
          <w:rFonts w:ascii="Palatino Linotype" w:hAnsi="Palatino Linotype"/>
          <w:sz w:val="24"/>
          <w:szCs w:val="24"/>
        </w:rPr>
        <w:t xml:space="preserve"> considera importante señalar que si bien es cierto que </w:t>
      </w:r>
      <w:r w:rsidR="005020AD">
        <w:rPr>
          <w:rFonts w:ascii="Palatino Linotype" w:hAnsi="Palatino Linotype"/>
          <w:sz w:val="24"/>
          <w:szCs w:val="24"/>
        </w:rPr>
        <w:t xml:space="preserve">el Sujeto Obligado </w:t>
      </w:r>
      <w:r w:rsidR="00057424">
        <w:rPr>
          <w:rFonts w:ascii="Palatino Linotype" w:hAnsi="Palatino Linotype"/>
          <w:sz w:val="24"/>
          <w:szCs w:val="24"/>
        </w:rPr>
        <w:t xml:space="preserve">da </w:t>
      </w:r>
      <w:r w:rsidRPr="005020AD">
        <w:rPr>
          <w:rFonts w:ascii="Palatino Linotype" w:hAnsi="Palatino Linotype"/>
          <w:sz w:val="24"/>
          <w:szCs w:val="24"/>
        </w:rPr>
        <w:t>respuesta</w:t>
      </w:r>
      <w:r w:rsidR="005020AD">
        <w:rPr>
          <w:rFonts w:ascii="Palatino Linotype" w:hAnsi="Palatino Linotype"/>
          <w:sz w:val="24"/>
          <w:szCs w:val="24"/>
        </w:rPr>
        <w:t xml:space="preserve"> </w:t>
      </w:r>
      <w:r w:rsidR="00057424">
        <w:rPr>
          <w:rFonts w:ascii="Palatino Linotype" w:hAnsi="Palatino Linotype"/>
          <w:sz w:val="24"/>
          <w:szCs w:val="24"/>
        </w:rPr>
        <w:t xml:space="preserve">el </w:t>
      </w:r>
      <w:r w:rsidRPr="005020AD">
        <w:rPr>
          <w:rFonts w:ascii="Palatino Linotype" w:hAnsi="Palatino Linotype"/>
          <w:sz w:val="24"/>
          <w:szCs w:val="24"/>
        </w:rPr>
        <w:t xml:space="preserve">veintidós de septiembre de dos mil veintiuno, manifiesta que la información requerida a través de la solicitud de información </w:t>
      </w:r>
      <w:r w:rsidRPr="005020AD">
        <w:rPr>
          <w:rFonts w:ascii="Palatino Linotype" w:hAnsi="Palatino Linotype" w:cs="Arial"/>
          <w:b/>
          <w:sz w:val="24"/>
        </w:rPr>
        <w:t xml:space="preserve">00130/CAPULHUA/IP/2021, </w:t>
      </w:r>
      <w:r w:rsidR="005020AD" w:rsidRPr="005020AD">
        <w:rPr>
          <w:rFonts w:ascii="Palatino Linotype" w:hAnsi="Palatino Linotype" w:cs="Arial"/>
          <w:sz w:val="24"/>
        </w:rPr>
        <w:t>se considera como reservada, ya que por razones de interés público el acceso a esta se encuentra restringida en virtud de que pudiera causar una alteración en el procedimiento administrativo, en el que se encuentran incluidos los de la quejas, denuncias, inconformidades, responsabilidades administrativas y resarcitorias en tanto no hayan quedado firmes</w:t>
      </w:r>
      <w:r w:rsidR="005020AD">
        <w:rPr>
          <w:rFonts w:ascii="Palatino Linotype" w:hAnsi="Palatino Linotype" w:cs="Arial"/>
          <w:sz w:val="24"/>
        </w:rPr>
        <w:t>; sin embargo</w:t>
      </w:r>
      <w:r w:rsidRPr="005020AD">
        <w:rPr>
          <w:rFonts w:ascii="Palatino Linotype" w:hAnsi="Palatino Linotype"/>
          <w:sz w:val="24"/>
          <w:szCs w:val="24"/>
        </w:rPr>
        <w:t xml:space="preserve"> de las constancias que corren agregadas al expediente </w:t>
      </w:r>
      <w:r w:rsidR="005020AD" w:rsidRPr="005020AD">
        <w:rPr>
          <w:rFonts w:ascii="Palatino Linotype" w:hAnsi="Palatino Linotype"/>
          <w:sz w:val="24"/>
          <w:szCs w:val="24"/>
        </w:rPr>
        <w:t>electrónico</w:t>
      </w:r>
      <w:r w:rsidRPr="005020AD">
        <w:rPr>
          <w:rFonts w:ascii="Palatino Linotype" w:hAnsi="Palatino Linotype"/>
          <w:sz w:val="24"/>
          <w:szCs w:val="24"/>
        </w:rPr>
        <w:t xml:space="preserve"> del asunto</w:t>
      </w:r>
      <w:r w:rsidR="005020AD">
        <w:rPr>
          <w:rFonts w:ascii="Palatino Linotype" w:hAnsi="Palatino Linotype"/>
          <w:sz w:val="24"/>
          <w:szCs w:val="24"/>
        </w:rPr>
        <w:t>, no se observa la propuesta de clasificación de la información solicitada, ni tampoco el acuerdo del comité de trasparencia a través del cual se confirme la clasificación de la información conforme a los supuestos señalados por la unidad de transparencia, derivado de lo anterior, resulta necesario para Órgano realizar las siguientes consideraciones:</w:t>
      </w:r>
      <w:r>
        <w:rPr>
          <w:rFonts w:ascii="Palatino Linotype" w:hAnsi="Palatino Linotype"/>
          <w:sz w:val="24"/>
          <w:szCs w:val="24"/>
        </w:rPr>
        <w:t xml:space="preserve"> </w:t>
      </w:r>
    </w:p>
    <w:p w14:paraId="28C5F0BE" w14:textId="77777777" w:rsidR="005020AD" w:rsidRDefault="005020AD" w:rsidP="00B37F38">
      <w:pPr>
        <w:tabs>
          <w:tab w:val="left" w:pos="709"/>
        </w:tabs>
        <w:spacing w:after="0" w:line="360" w:lineRule="auto"/>
        <w:jc w:val="both"/>
        <w:rPr>
          <w:rFonts w:ascii="Palatino Linotype" w:hAnsi="Palatino Linotype"/>
          <w:sz w:val="24"/>
          <w:szCs w:val="24"/>
        </w:rPr>
      </w:pPr>
    </w:p>
    <w:p w14:paraId="37325B21" w14:textId="317F058A" w:rsidR="005020AD" w:rsidRDefault="005020AD" w:rsidP="005020AD">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 xml:space="preserve">Relativo a la </w:t>
      </w:r>
      <w:r w:rsidR="00057424">
        <w:rPr>
          <w:rFonts w:ascii="Palatino Linotype" w:hAnsi="Palatino Linotype"/>
          <w:sz w:val="24"/>
          <w:szCs w:val="24"/>
        </w:rPr>
        <w:t xml:space="preserve">solicitud de </w:t>
      </w:r>
      <w:r w:rsidRPr="00687227">
        <w:rPr>
          <w:rFonts w:ascii="Palatino Linotype" w:hAnsi="Palatino Linotype"/>
          <w:sz w:val="24"/>
          <w:szCs w:val="24"/>
        </w:rPr>
        <w:t>información pública</w:t>
      </w:r>
      <w:r w:rsidR="00057424">
        <w:rPr>
          <w:rFonts w:ascii="Palatino Linotype" w:hAnsi="Palatino Linotype"/>
          <w:sz w:val="24"/>
          <w:szCs w:val="24"/>
        </w:rPr>
        <w:t xml:space="preserve"> que corresponde</w:t>
      </w:r>
      <w:r w:rsidRPr="00687227">
        <w:rPr>
          <w:rFonts w:ascii="Palatino Linotype" w:hAnsi="Palatino Linotype"/>
          <w:sz w:val="24"/>
          <w:szCs w:val="24"/>
        </w:rPr>
        <w:t>,</w:t>
      </w:r>
      <w:r w:rsidRPr="00687227">
        <w:rPr>
          <w:rFonts w:ascii="Palatino Linotype" w:hAnsi="Palatino Linotype"/>
          <w:b/>
          <w:sz w:val="24"/>
          <w:szCs w:val="24"/>
        </w:rPr>
        <w:t xml:space="preserve"> </w:t>
      </w:r>
      <w:r w:rsidRPr="00687227">
        <w:rPr>
          <w:rFonts w:ascii="Palatino Linotype" w:hAnsi="Palatino Linotype"/>
          <w:sz w:val="24"/>
          <w:szCs w:val="24"/>
        </w:rPr>
        <w:t>con</w:t>
      </w:r>
      <w:r w:rsidRPr="00687227">
        <w:rPr>
          <w:rFonts w:ascii="Palatino Linotype" w:hAnsi="Palatino Linotype"/>
          <w:b/>
          <w:sz w:val="24"/>
          <w:szCs w:val="24"/>
        </w:rPr>
        <w:t xml:space="preserve"> </w:t>
      </w:r>
      <w:r w:rsidRPr="00687227">
        <w:rPr>
          <w:rFonts w:ascii="Palatino Linotype" w:hAnsi="Palatino Linotype"/>
          <w:sz w:val="24"/>
          <w:szCs w:val="24"/>
        </w:rPr>
        <w:t>fundamento en</w:t>
      </w:r>
      <w:r w:rsidR="00212EF6" w:rsidRPr="00687227">
        <w:rPr>
          <w:rFonts w:ascii="Palatino Linotype" w:hAnsi="Palatino Linotype"/>
          <w:sz w:val="24"/>
          <w:szCs w:val="24"/>
        </w:rPr>
        <w:t xml:space="preserve"> </w:t>
      </w:r>
      <w:r w:rsidRPr="00687227">
        <w:rPr>
          <w:rFonts w:ascii="Palatino Linotype" w:hAnsi="Palatino Linotype"/>
          <w:sz w:val="24"/>
          <w:szCs w:val="24"/>
        </w:rPr>
        <w:t xml:space="preserve">los artículos 53, párrafo primero de la Ley General del Sistema Nacional Anticorrupción, 27, párrafo cuarto, primera </w:t>
      </w:r>
      <w:r w:rsidR="006A3464" w:rsidRPr="00687227">
        <w:rPr>
          <w:rFonts w:ascii="Palatino Linotype" w:hAnsi="Palatino Linotype"/>
          <w:sz w:val="24"/>
          <w:szCs w:val="24"/>
        </w:rPr>
        <w:t>hipótesis</w:t>
      </w:r>
      <w:r w:rsidRPr="00687227">
        <w:rPr>
          <w:rFonts w:ascii="Palatino Linotype" w:hAnsi="Palatino Linotype"/>
          <w:sz w:val="24"/>
          <w:szCs w:val="24"/>
        </w:rPr>
        <w:t xml:space="preserve"> de la Ley General de </w:t>
      </w:r>
      <w:r w:rsidRPr="00687227">
        <w:rPr>
          <w:rFonts w:ascii="Palatino Linotype" w:hAnsi="Palatino Linotype"/>
          <w:sz w:val="24"/>
          <w:szCs w:val="24"/>
        </w:rPr>
        <w:lastRenderedPageBreak/>
        <w:t xml:space="preserve">Responsabilidades Administrativas, </w:t>
      </w:r>
      <w:r w:rsidR="000A7DA0" w:rsidRPr="00687227">
        <w:rPr>
          <w:rFonts w:ascii="Palatino Linotype" w:hAnsi="Palatino Linotype"/>
          <w:sz w:val="24"/>
          <w:szCs w:val="24"/>
        </w:rPr>
        <w:t xml:space="preserve">53, párrafo primero de la Ley del Sistema Anticorrupción del Estado de México, en relación con los artículos </w:t>
      </w:r>
      <w:r w:rsidR="00212EF6" w:rsidRPr="00687227">
        <w:rPr>
          <w:rFonts w:ascii="Palatino Linotype" w:hAnsi="Palatino Linotype"/>
          <w:sz w:val="24"/>
          <w:szCs w:val="24"/>
        </w:rPr>
        <w:t xml:space="preserve">70 fracciones XVII y XVIII de la Ley General de Transparencia y Acceso a la Información </w:t>
      </w:r>
      <w:r w:rsidR="006807E1" w:rsidRPr="00687227">
        <w:rPr>
          <w:rFonts w:ascii="Palatino Linotype" w:hAnsi="Palatino Linotype"/>
          <w:sz w:val="24"/>
          <w:szCs w:val="24"/>
        </w:rPr>
        <w:t xml:space="preserve">Pública, </w:t>
      </w:r>
      <w:r w:rsidR="000A7DA0" w:rsidRPr="00687227">
        <w:rPr>
          <w:rFonts w:ascii="Palatino Linotype" w:hAnsi="Palatino Linotype"/>
          <w:sz w:val="24"/>
          <w:szCs w:val="24"/>
        </w:rPr>
        <w:t xml:space="preserve">y </w:t>
      </w:r>
      <w:r w:rsidR="006807E1" w:rsidRPr="00687227">
        <w:rPr>
          <w:rFonts w:ascii="Palatino Linotype" w:hAnsi="Palatino Linotype"/>
          <w:sz w:val="24"/>
          <w:szCs w:val="24"/>
        </w:rPr>
        <w:t xml:space="preserve">92 fracción XXI de la Ley de Transparencia y Acceso a la Información </w:t>
      </w:r>
      <w:r w:rsidR="00150FC1" w:rsidRPr="00687227">
        <w:rPr>
          <w:rFonts w:ascii="Palatino Linotype" w:hAnsi="Palatino Linotype"/>
          <w:sz w:val="24"/>
          <w:szCs w:val="24"/>
        </w:rPr>
        <w:t>Pública</w:t>
      </w:r>
      <w:r w:rsidR="006807E1" w:rsidRPr="00687227">
        <w:rPr>
          <w:rFonts w:ascii="Palatino Linotype" w:hAnsi="Palatino Linotype"/>
          <w:sz w:val="24"/>
          <w:szCs w:val="24"/>
        </w:rPr>
        <w:t xml:space="preserve"> del Estado de México y Municipios, </w:t>
      </w:r>
      <w:r w:rsidRPr="00687227">
        <w:rPr>
          <w:rFonts w:ascii="Palatino Linotype" w:hAnsi="Palatino Linotype"/>
          <w:sz w:val="24"/>
          <w:szCs w:val="24"/>
        </w:rPr>
        <w:t xml:space="preserve">los cuales señalan que las constancias de sanciones o de inhabilitación que se encuentren firmes </w:t>
      </w:r>
      <w:r w:rsidR="00F7157E" w:rsidRPr="00291233">
        <w:rPr>
          <w:rFonts w:ascii="Palatino Linotype" w:hAnsi="Palatino Linotype"/>
          <w:sz w:val="24"/>
          <w:szCs w:val="24"/>
        </w:rPr>
        <w:t xml:space="preserve">entendiéndose como el expediente que contiene la investigación o </w:t>
      </w:r>
      <w:r w:rsidR="00210BD0" w:rsidRPr="00291233">
        <w:rPr>
          <w:rFonts w:ascii="Palatino Linotype" w:hAnsi="Palatino Linotype"/>
          <w:sz w:val="24"/>
          <w:szCs w:val="24"/>
        </w:rPr>
        <w:t>sustanciación</w:t>
      </w:r>
      <w:r w:rsidR="002F2B32" w:rsidRPr="00291233">
        <w:rPr>
          <w:rFonts w:ascii="Palatino Linotype" w:hAnsi="Palatino Linotype"/>
          <w:sz w:val="24"/>
          <w:szCs w:val="24"/>
        </w:rPr>
        <w:t xml:space="preserve"> del pro</w:t>
      </w:r>
      <w:r w:rsidR="00F7157E" w:rsidRPr="00291233">
        <w:rPr>
          <w:rFonts w:ascii="Palatino Linotype" w:hAnsi="Palatino Linotype"/>
          <w:sz w:val="24"/>
          <w:szCs w:val="24"/>
        </w:rPr>
        <w:t xml:space="preserve">cedimiento de responsabilidad </w:t>
      </w:r>
      <w:r w:rsidR="00210BD0" w:rsidRPr="00291233">
        <w:rPr>
          <w:rFonts w:ascii="Palatino Linotype" w:hAnsi="Palatino Linotype"/>
          <w:sz w:val="24"/>
          <w:szCs w:val="24"/>
        </w:rPr>
        <w:t>administrativa</w:t>
      </w:r>
      <w:r w:rsidR="002F2B32" w:rsidRPr="00291233">
        <w:rPr>
          <w:rFonts w:ascii="Palatino Linotype" w:hAnsi="Palatino Linotype"/>
          <w:sz w:val="24"/>
          <w:szCs w:val="24"/>
        </w:rPr>
        <w:t xml:space="preserve"> hasta su </w:t>
      </w:r>
      <w:r w:rsidR="00210BD0" w:rsidRPr="00291233">
        <w:rPr>
          <w:rFonts w:ascii="Palatino Linotype" w:hAnsi="Palatino Linotype"/>
          <w:sz w:val="24"/>
          <w:szCs w:val="24"/>
        </w:rPr>
        <w:t>resolución</w:t>
      </w:r>
      <w:r w:rsidR="00F7157E">
        <w:rPr>
          <w:rFonts w:ascii="Palatino Linotype" w:hAnsi="Palatino Linotype"/>
          <w:sz w:val="24"/>
          <w:szCs w:val="24"/>
        </w:rPr>
        <w:t xml:space="preserve"> </w:t>
      </w:r>
      <w:r w:rsidRPr="00687227">
        <w:rPr>
          <w:rFonts w:ascii="Palatino Linotype" w:hAnsi="Palatino Linotype"/>
          <w:sz w:val="24"/>
          <w:szCs w:val="24"/>
        </w:rPr>
        <w:t>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w:t>
      </w:r>
      <w:r w:rsidR="000A7DA0" w:rsidRPr="00687227">
        <w:rPr>
          <w:rFonts w:ascii="Palatino Linotype" w:hAnsi="Palatino Linotype"/>
          <w:sz w:val="24"/>
          <w:szCs w:val="24"/>
        </w:rPr>
        <w:t xml:space="preserve"> aunado a la obligación de publicar el listado de Servidores Públicos con sanciones administrativas definitivas, especificando la causa de sanción, </w:t>
      </w:r>
      <w:r w:rsidRPr="00687227">
        <w:rPr>
          <w:rFonts w:ascii="Palatino Linotype" w:hAnsi="Palatino Linotype"/>
          <w:sz w:val="24"/>
          <w:szCs w:val="24"/>
        </w:rPr>
        <w:t>disposiciones legales que son del tenor literal siguiente:</w:t>
      </w:r>
    </w:p>
    <w:p w14:paraId="3AC69540" w14:textId="77777777" w:rsidR="000A7DA0" w:rsidRDefault="000A7DA0" w:rsidP="005020AD">
      <w:pPr>
        <w:tabs>
          <w:tab w:val="left" w:pos="709"/>
        </w:tabs>
        <w:spacing w:after="0" w:line="360" w:lineRule="auto"/>
        <w:jc w:val="both"/>
        <w:rPr>
          <w:rFonts w:ascii="Palatino Linotype" w:hAnsi="Palatino Linotype"/>
          <w:sz w:val="24"/>
          <w:szCs w:val="24"/>
        </w:rPr>
      </w:pPr>
    </w:p>
    <w:p w14:paraId="21DECBD8" w14:textId="58C1F54C" w:rsidR="005020AD" w:rsidRDefault="005020AD" w:rsidP="005020AD">
      <w:pPr>
        <w:tabs>
          <w:tab w:val="left" w:pos="709"/>
        </w:tabs>
        <w:spacing w:after="0" w:line="240" w:lineRule="auto"/>
        <w:ind w:left="567" w:right="567"/>
        <w:jc w:val="center"/>
        <w:rPr>
          <w:rFonts w:ascii="Palatino Linotype" w:hAnsi="Palatino Linotype"/>
          <w:b/>
          <w:i/>
        </w:rPr>
      </w:pPr>
      <w:r w:rsidRPr="00EB0221">
        <w:rPr>
          <w:rFonts w:ascii="Palatino Linotype" w:hAnsi="Palatino Linotype"/>
          <w:b/>
          <w:i/>
        </w:rPr>
        <w:t>Ley General del Sistema Nacional Anticorrupción</w:t>
      </w:r>
      <w:r w:rsidR="006807E1">
        <w:rPr>
          <w:rFonts w:ascii="Palatino Linotype" w:hAnsi="Palatino Linotype"/>
          <w:b/>
          <w:i/>
        </w:rPr>
        <w:t>.</w:t>
      </w:r>
    </w:p>
    <w:p w14:paraId="36862732" w14:textId="77777777" w:rsidR="005020AD" w:rsidRDefault="005020AD" w:rsidP="005020AD">
      <w:pPr>
        <w:tabs>
          <w:tab w:val="left" w:pos="709"/>
        </w:tabs>
        <w:spacing w:after="0" w:line="240" w:lineRule="auto"/>
        <w:ind w:left="567" w:right="567"/>
        <w:jc w:val="both"/>
        <w:rPr>
          <w:rFonts w:ascii="Palatino Linotype" w:hAnsi="Palatino Linotype"/>
          <w:i/>
        </w:rPr>
      </w:pPr>
      <w:r w:rsidRPr="00EB0221">
        <w:rPr>
          <w:rFonts w:ascii="Palatino Linotype" w:hAnsi="Palatino Linotype"/>
          <w:b/>
          <w:i/>
        </w:rPr>
        <w:t>“Artículo 53.</w:t>
      </w:r>
      <w:r w:rsidRPr="00EB0221">
        <w:rPr>
          <w:rFonts w:ascii="Palatino Linotype"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539A7943" w14:textId="77777777" w:rsidR="005020AD" w:rsidRDefault="005020AD" w:rsidP="005020AD">
      <w:pPr>
        <w:tabs>
          <w:tab w:val="left" w:pos="709"/>
        </w:tabs>
        <w:spacing w:after="0" w:line="360" w:lineRule="auto"/>
        <w:jc w:val="both"/>
        <w:rPr>
          <w:rFonts w:ascii="Palatino Linotype" w:hAnsi="Palatino Linotype"/>
          <w:sz w:val="24"/>
          <w:szCs w:val="24"/>
        </w:rPr>
      </w:pPr>
    </w:p>
    <w:p w14:paraId="682ADFD8" w14:textId="23EC402C" w:rsidR="005020AD" w:rsidRDefault="005020AD" w:rsidP="005020AD">
      <w:pPr>
        <w:tabs>
          <w:tab w:val="left" w:pos="709"/>
        </w:tabs>
        <w:spacing w:after="0" w:line="240" w:lineRule="auto"/>
        <w:ind w:left="567" w:right="567"/>
        <w:jc w:val="center"/>
        <w:rPr>
          <w:rFonts w:ascii="Palatino Linotype" w:hAnsi="Palatino Linotype"/>
          <w:b/>
          <w:i/>
        </w:rPr>
      </w:pPr>
      <w:r w:rsidRPr="00EB0221">
        <w:rPr>
          <w:rFonts w:ascii="Palatino Linotype" w:hAnsi="Palatino Linotype"/>
          <w:b/>
          <w:i/>
        </w:rPr>
        <w:t>Ley General de Responsabilidades Administrativas</w:t>
      </w:r>
      <w:r w:rsidR="006807E1">
        <w:rPr>
          <w:rFonts w:ascii="Palatino Linotype" w:hAnsi="Palatino Linotype"/>
          <w:b/>
          <w:i/>
        </w:rPr>
        <w:t>.</w:t>
      </w:r>
    </w:p>
    <w:p w14:paraId="079CD844" w14:textId="77777777" w:rsidR="005020AD" w:rsidRPr="00EB0221" w:rsidRDefault="005020AD" w:rsidP="005020AD">
      <w:pPr>
        <w:tabs>
          <w:tab w:val="left" w:pos="709"/>
        </w:tabs>
        <w:spacing w:after="0" w:line="240" w:lineRule="auto"/>
        <w:ind w:left="567" w:right="567"/>
        <w:jc w:val="both"/>
        <w:rPr>
          <w:rFonts w:ascii="Palatino Linotype" w:hAnsi="Palatino Linotype"/>
          <w:b/>
          <w:i/>
        </w:rPr>
      </w:pPr>
      <w:r>
        <w:rPr>
          <w:rFonts w:ascii="Palatino Linotype" w:hAnsi="Palatino Linotype"/>
          <w:b/>
          <w:i/>
        </w:rPr>
        <w:t>“27…</w:t>
      </w:r>
    </w:p>
    <w:p w14:paraId="27214B8C" w14:textId="77777777" w:rsidR="005020AD" w:rsidRDefault="005020AD" w:rsidP="005020AD">
      <w:pPr>
        <w:tabs>
          <w:tab w:val="left" w:pos="709"/>
        </w:tabs>
        <w:spacing w:after="0" w:line="240" w:lineRule="auto"/>
        <w:ind w:left="567" w:right="567"/>
        <w:jc w:val="both"/>
        <w:rPr>
          <w:rFonts w:ascii="Palatino Linotype" w:hAnsi="Palatino Linotype"/>
          <w:i/>
        </w:rPr>
      </w:pPr>
      <w:r w:rsidRPr="00EB0221">
        <w:rPr>
          <w:rFonts w:ascii="Palatino Linotype"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w:t>
      </w:r>
      <w:r>
        <w:rPr>
          <w:rFonts w:ascii="Palatino Linotype" w:hAnsi="Palatino Linotype"/>
          <w:i/>
        </w:rPr>
        <w:t xml:space="preserve"> </w:t>
      </w:r>
      <w:r w:rsidRPr="00EB0221">
        <w:rPr>
          <w:rFonts w:ascii="Palatino Linotype" w:hAnsi="Palatino Linotype"/>
          <w:i/>
        </w:rPr>
        <w:t>particulares que hayan sido sancionados por actos vinculados con faltas graves en términos de esta Ley</w:t>
      </w:r>
      <w:r>
        <w:rPr>
          <w:rFonts w:ascii="Palatino Linotype" w:hAnsi="Palatino Linotype"/>
          <w:i/>
        </w:rPr>
        <w:t>…”</w:t>
      </w:r>
    </w:p>
    <w:p w14:paraId="62E53A11" w14:textId="77777777" w:rsidR="006807E1" w:rsidRPr="006807E1" w:rsidRDefault="006807E1" w:rsidP="005020AD">
      <w:pPr>
        <w:tabs>
          <w:tab w:val="left" w:pos="709"/>
        </w:tabs>
        <w:spacing w:after="0" w:line="240" w:lineRule="auto"/>
        <w:ind w:left="567" w:right="567"/>
        <w:jc w:val="both"/>
        <w:rPr>
          <w:rFonts w:ascii="Palatino Linotype" w:hAnsi="Palatino Linotype"/>
          <w:i/>
          <w:sz w:val="28"/>
          <w:szCs w:val="24"/>
        </w:rPr>
      </w:pPr>
    </w:p>
    <w:p w14:paraId="3B560F44" w14:textId="77777777" w:rsidR="005020AD" w:rsidRDefault="005020AD" w:rsidP="005020AD">
      <w:pPr>
        <w:tabs>
          <w:tab w:val="left" w:pos="709"/>
        </w:tabs>
        <w:spacing w:after="0" w:line="240" w:lineRule="auto"/>
        <w:ind w:left="567" w:right="567"/>
        <w:jc w:val="center"/>
        <w:rPr>
          <w:rFonts w:ascii="Palatino Linotype" w:hAnsi="Palatino Linotype"/>
          <w:b/>
          <w:i/>
          <w:sz w:val="24"/>
          <w:szCs w:val="24"/>
        </w:rPr>
      </w:pPr>
      <w:r w:rsidRPr="00EB0221">
        <w:rPr>
          <w:rFonts w:ascii="Palatino Linotype" w:hAnsi="Palatino Linotype"/>
          <w:b/>
          <w:i/>
          <w:sz w:val="24"/>
          <w:szCs w:val="24"/>
        </w:rPr>
        <w:lastRenderedPageBreak/>
        <w:t>Ley del Sistema Anticorrupción del Estado de México</w:t>
      </w:r>
    </w:p>
    <w:p w14:paraId="2BEC4E56" w14:textId="77777777" w:rsidR="005020AD" w:rsidRDefault="005020AD" w:rsidP="005020AD">
      <w:pPr>
        <w:tabs>
          <w:tab w:val="left" w:pos="709"/>
        </w:tabs>
        <w:spacing w:after="0" w:line="240" w:lineRule="auto"/>
        <w:ind w:left="567" w:right="567"/>
        <w:jc w:val="both"/>
        <w:rPr>
          <w:rFonts w:ascii="Palatino Linotype" w:hAnsi="Palatino Linotype"/>
          <w:b/>
          <w:i/>
        </w:rPr>
      </w:pPr>
      <w:r>
        <w:rPr>
          <w:rFonts w:ascii="Palatino Linotype" w:hAnsi="Palatino Linotype"/>
          <w:b/>
          <w:i/>
        </w:rPr>
        <w:t>“</w:t>
      </w:r>
      <w:r w:rsidRPr="00EB0221">
        <w:rPr>
          <w:rFonts w:ascii="Palatino Linotype" w:hAnsi="Palatino Linotype"/>
          <w:b/>
          <w:i/>
        </w:rPr>
        <w:t xml:space="preserve">Artículo 53. </w:t>
      </w:r>
      <w:r w:rsidRPr="00EB0221">
        <w:rPr>
          <w:rFonts w:ascii="Palatino Linotype" w:hAnsi="Palatino Linotype"/>
          <w:i/>
        </w:rPr>
        <w:t>Las sanciones impuestas por faltas administrativas graves serán del conocimiento público</w:t>
      </w:r>
      <w:r>
        <w:rPr>
          <w:rFonts w:ascii="Palatino Linotype" w:hAnsi="Palatino Linotype"/>
          <w:i/>
        </w:rPr>
        <w:t xml:space="preserve"> </w:t>
      </w:r>
      <w:r w:rsidRPr="00EB0221">
        <w:rPr>
          <w:rFonts w:ascii="Palatino Linotype" w:hAnsi="Palatino Linotype"/>
          <w:i/>
        </w:rPr>
        <w:t>cuando éstas contengan impedimentos o inhabilitaciones para ser contratados como servidores</w:t>
      </w:r>
      <w:r>
        <w:rPr>
          <w:rFonts w:ascii="Palatino Linotype" w:hAnsi="Palatino Linotype"/>
          <w:i/>
        </w:rPr>
        <w:t xml:space="preserve"> </w:t>
      </w:r>
      <w:r w:rsidRPr="00EB0221">
        <w:rPr>
          <w:rFonts w:ascii="Palatino Linotype" w:hAnsi="Palatino Linotype"/>
          <w:i/>
        </w:rPr>
        <w:t>públicos o como prestadores de servicios o contratistas del sector público, en términos de la Ley de</w:t>
      </w:r>
      <w:r>
        <w:rPr>
          <w:rFonts w:ascii="Palatino Linotype" w:hAnsi="Palatino Linotype"/>
          <w:i/>
        </w:rPr>
        <w:t xml:space="preserve"> </w:t>
      </w:r>
      <w:r w:rsidRPr="00EB0221">
        <w:rPr>
          <w:rFonts w:ascii="Palatino Linotype" w:hAnsi="Palatino Linotype"/>
          <w:i/>
        </w:rPr>
        <w:t>Responsabilidades Administrativas del Esta</w:t>
      </w:r>
      <w:r>
        <w:rPr>
          <w:rFonts w:ascii="Palatino Linotype" w:hAnsi="Palatino Linotype"/>
          <w:i/>
        </w:rPr>
        <w:t>do de México y Municipios</w:t>
      </w:r>
      <w:r w:rsidRPr="001D4DBC">
        <w:rPr>
          <w:rFonts w:ascii="Palatino Linotype" w:hAnsi="Palatino Linotype"/>
          <w:b/>
          <w:i/>
        </w:rPr>
        <w:t>”.</w:t>
      </w:r>
    </w:p>
    <w:p w14:paraId="6EF4A764" w14:textId="77777777" w:rsidR="000A7DA0" w:rsidRDefault="000A7DA0" w:rsidP="005020AD">
      <w:pPr>
        <w:tabs>
          <w:tab w:val="left" w:pos="709"/>
        </w:tabs>
        <w:spacing w:after="0" w:line="240" w:lineRule="auto"/>
        <w:ind w:left="567" w:right="567"/>
        <w:jc w:val="both"/>
        <w:rPr>
          <w:rFonts w:ascii="Palatino Linotype" w:hAnsi="Palatino Linotype"/>
          <w:b/>
          <w:i/>
        </w:rPr>
      </w:pPr>
    </w:p>
    <w:p w14:paraId="5B5B9662" w14:textId="77777777" w:rsidR="000A7DA0" w:rsidRPr="006807E1" w:rsidRDefault="000A7DA0" w:rsidP="000A7DA0">
      <w:pPr>
        <w:tabs>
          <w:tab w:val="left" w:pos="709"/>
        </w:tabs>
        <w:spacing w:after="0" w:line="240" w:lineRule="auto"/>
        <w:ind w:left="567" w:right="567"/>
        <w:jc w:val="center"/>
        <w:rPr>
          <w:rFonts w:ascii="Palatino Linotype" w:hAnsi="Palatino Linotype"/>
          <w:b/>
          <w:i/>
        </w:rPr>
      </w:pPr>
      <w:r w:rsidRPr="006807E1">
        <w:rPr>
          <w:rFonts w:ascii="Palatino Linotype" w:hAnsi="Palatino Linotype"/>
          <w:b/>
          <w:i/>
        </w:rPr>
        <w:t>Ley General de Transparencia y Acceso a la Información Pública</w:t>
      </w:r>
      <w:r>
        <w:rPr>
          <w:rFonts w:ascii="Palatino Linotype" w:hAnsi="Palatino Linotype"/>
          <w:b/>
          <w:i/>
        </w:rPr>
        <w:t>.</w:t>
      </w:r>
    </w:p>
    <w:p w14:paraId="63A51381" w14:textId="77777777" w:rsidR="000A7DA0" w:rsidRDefault="000A7DA0" w:rsidP="000A7DA0">
      <w:pPr>
        <w:tabs>
          <w:tab w:val="left" w:pos="709"/>
        </w:tabs>
        <w:spacing w:after="0" w:line="240" w:lineRule="auto"/>
        <w:ind w:left="567" w:right="567"/>
        <w:jc w:val="both"/>
        <w:rPr>
          <w:rFonts w:ascii="Palatino Linotype" w:hAnsi="Palatino Linotype"/>
          <w:i/>
        </w:rPr>
      </w:pPr>
      <w:r w:rsidRPr="006807E1">
        <w:rPr>
          <w:rFonts w:ascii="Palatino Linotype" w:hAnsi="Palatino Linotype"/>
          <w:b/>
          <w:i/>
        </w:rPr>
        <w:t>Artículo 70.</w:t>
      </w:r>
      <w:r w:rsidRPr="006807E1">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EEA16E7" w14:textId="77777777" w:rsidR="000A7DA0" w:rsidRDefault="000A7DA0" w:rsidP="000A7DA0">
      <w:pPr>
        <w:tabs>
          <w:tab w:val="left" w:pos="709"/>
        </w:tabs>
        <w:spacing w:after="0" w:line="240" w:lineRule="auto"/>
        <w:ind w:left="567" w:right="567"/>
        <w:jc w:val="both"/>
        <w:rPr>
          <w:rFonts w:ascii="Palatino Linotype" w:hAnsi="Palatino Linotype"/>
          <w:i/>
        </w:rPr>
      </w:pPr>
      <w:r>
        <w:rPr>
          <w:rFonts w:ascii="Palatino Linotype" w:hAnsi="Palatino Linotype"/>
          <w:b/>
          <w:i/>
        </w:rPr>
        <w:t>…</w:t>
      </w:r>
    </w:p>
    <w:p w14:paraId="057D69FF" w14:textId="77777777" w:rsidR="000A7DA0" w:rsidRPr="006807E1" w:rsidRDefault="000A7DA0" w:rsidP="000A7DA0">
      <w:pPr>
        <w:tabs>
          <w:tab w:val="left" w:pos="709"/>
        </w:tabs>
        <w:spacing w:after="0" w:line="240" w:lineRule="auto"/>
        <w:ind w:left="567" w:right="567"/>
        <w:jc w:val="both"/>
        <w:rPr>
          <w:rFonts w:ascii="Palatino Linotype" w:hAnsi="Palatino Linotype"/>
          <w:i/>
        </w:rPr>
      </w:pPr>
      <w:r w:rsidRPr="006807E1">
        <w:rPr>
          <w:rFonts w:ascii="Palatino Linotype" w:hAnsi="Palatino Linotype"/>
          <w:b/>
          <w:i/>
        </w:rPr>
        <w:t>XVII.</w:t>
      </w:r>
      <w:r w:rsidRPr="006807E1">
        <w:rPr>
          <w:rFonts w:ascii="Palatino Linotype" w:hAnsi="Palatino Linotype"/>
          <w:i/>
        </w:rPr>
        <w:t xml:space="preserve"> La información curricular, desde el nivel de jefe de departamento o equivalente, hasta el titular</w:t>
      </w:r>
      <w:r>
        <w:rPr>
          <w:rFonts w:ascii="Palatino Linotype" w:hAnsi="Palatino Linotype"/>
          <w:i/>
        </w:rPr>
        <w:t xml:space="preserve"> </w:t>
      </w:r>
      <w:r w:rsidRPr="006807E1">
        <w:rPr>
          <w:rFonts w:ascii="Palatino Linotype" w:hAnsi="Palatino Linotype"/>
          <w:i/>
        </w:rPr>
        <w:t>del sujeto obligado, así como, en su caso, las sanciones administrativas de que haya sido</w:t>
      </w:r>
      <w:r>
        <w:rPr>
          <w:rFonts w:ascii="Palatino Linotype" w:hAnsi="Palatino Linotype"/>
          <w:i/>
        </w:rPr>
        <w:t xml:space="preserve"> </w:t>
      </w:r>
      <w:r w:rsidRPr="006807E1">
        <w:rPr>
          <w:rFonts w:ascii="Palatino Linotype" w:hAnsi="Palatino Linotype"/>
          <w:i/>
        </w:rPr>
        <w:t>objeto;</w:t>
      </w:r>
    </w:p>
    <w:p w14:paraId="37581974" w14:textId="77777777" w:rsidR="000A7DA0" w:rsidRDefault="000A7DA0" w:rsidP="000A7DA0">
      <w:pPr>
        <w:tabs>
          <w:tab w:val="left" w:pos="709"/>
        </w:tabs>
        <w:spacing w:after="0" w:line="240" w:lineRule="auto"/>
        <w:ind w:left="567" w:right="567"/>
        <w:jc w:val="both"/>
        <w:rPr>
          <w:rFonts w:ascii="Palatino Linotype" w:hAnsi="Palatino Linotype"/>
          <w:i/>
        </w:rPr>
      </w:pPr>
      <w:r w:rsidRPr="006807E1">
        <w:rPr>
          <w:rFonts w:ascii="Palatino Linotype" w:hAnsi="Palatino Linotype"/>
          <w:b/>
          <w:i/>
        </w:rPr>
        <w:t>XVIII.</w:t>
      </w:r>
      <w:r w:rsidRPr="006807E1">
        <w:rPr>
          <w:rFonts w:ascii="Palatino Linotype" w:hAnsi="Palatino Linotype"/>
          <w:i/>
        </w:rPr>
        <w:t xml:space="preserve"> El listado de Servidores Públicos con sanciones administrativas definitivas, especificando la</w:t>
      </w:r>
      <w:r>
        <w:rPr>
          <w:rFonts w:ascii="Palatino Linotype" w:hAnsi="Palatino Linotype"/>
          <w:i/>
        </w:rPr>
        <w:t xml:space="preserve"> </w:t>
      </w:r>
      <w:r w:rsidRPr="006807E1">
        <w:rPr>
          <w:rFonts w:ascii="Palatino Linotype" w:hAnsi="Palatino Linotype"/>
          <w:i/>
        </w:rPr>
        <w:t>causa de sanción y la disposición;</w:t>
      </w:r>
    </w:p>
    <w:p w14:paraId="49D54B5C" w14:textId="77777777" w:rsidR="000A7DA0" w:rsidRDefault="000A7DA0" w:rsidP="000A7DA0">
      <w:pPr>
        <w:tabs>
          <w:tab w:val="left" w:pos="709"/>
        </w:tabs>
        <w:spacing w:after="0" w:line="240" w:lineRule="auto"/>
        <w:ind w:left="567" w:right="567"/>
        <w:jc w:val="both"/>
        <w:rPr>
          <w:rFonts w:ascii="Palatino Linotype" w:hAnsi="Palatino Linotype"/>
          <w:i/>
        </w:rPr>
      </w:pPr>
    </w:p>
    <w:p w14:paraId="16B8E88F" w14:textId="77777777" w:rsidR="000A7DA0" w:rsidRDefault="000A7DA0" w:rsidP="000A7DA0">
      <w:pPr>
        <w:tabs>
          <w:tab w:val="left" w:pos="709"/>
        </w:tabs>
        <w:spacing w:after="0" w:line="240" w:lineRule="auto"/>
        <w:ind w:left="567" w:right="567"/>
        <w:jc w:val="center"/>
        <w:rPr>
          <w:rFonts w:ascii="Palatino Linotype" w:hAnsi="Palatino Linotype"/>
          <w:b/>
          <w:i/>
        </w:rPr>
      </w:pPr>
      <w:r w:rsidRPr="006807E1">
        <w:rPr>
          <w:rFonts w:ascii="Palatino Linotype" w:hAnsi="Palatino Linotype"/>
          <w:b/>
          <w:i/>
        </w:rPr>
        <w:t>Ley de Transparencia y Acceso a la Información Pública del Estado de México y Municipios</w:t>
      </w:r>
      <w:r>
        <w:rPr>
          <w:rFonts w:ascii="Palatino Linotype" w:hAnsi="Palatino Linotype"/>
          <w:b/>
          <w:i/>
        </w:rPr>
        <w:t>.</w:t>
      </w:r>
    </w:p>
    <w:p w14:paraId="4EBE6B26" w14:textId="77777777" w:rsidR="000A7DA0" w:rsidRDefault="000A7DA0" w:rsidP="000A7DA0">
      <w:pPr>
        <w:tabs>
          <w:tab w:val="left" w:pos="709"/>
        </w:tabs>
        <w:spacing w:after="0" w:line="240" w:lineRule="auto"/>
        <w:ind w:left="567" w:right="567"/>
        <w:jc w:val="both"/>
        <w:rPr>
          <w:rFonts w:ascii="Palatino Linotype" w:hAnsi="Palatino Linotype"/>
          <w:i/>
        </w:rPr>
      </w:pPr>
      <w:r w:rsidRPr="006807E1">
        <w:rPr>
          <w:rFonts w:ascii="Palatino Linotype" w:hAnsi="Palatino Linotype"/>
          <w:b/>
          <w:i/>
        </w:rPr>
        <w:t>Artículo 92.</w:t>
      </w:r>
      <w:r w:rsidRPr="006807E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21694B" w14:textId="77777777" w:rsidR="000A7DA0" w:rsidRDefault="000A7DA0" w:rsidP="000A7DA0">
      <w:pPr>
        <w:tabs>
          <w:tab w:val="left" w:pos="709"/>
        </w:tabs>
        <w:spacing w:after="0" w:line="240" w:lineRule="auto"/>
        <w:ind w:left="567" w:right="567"/>
        <w:jc w:val="both"/>
        <w:rPr>
          <w:rFonts w:ascii="Palatino Linotype" w:hAnsi="Palatino Linotype"/>
          <w:b/>
          <w:i/>
        </w:rPr>
      </w:pPr>
      <w:r>
        <w:rPr>
          <w:rFonts w:ascii="Palatino Linotype" w:hAnsi="Palatino Linotype"/>
          <w:b/>
          <w:i/>
        </w:rPr>
        <w:t>…</w:t>
      </w:r>
    </w:p>
    <w:p w14:paraId="6ED14FF0" w14:textId="77777777" w:rsidR="000A7DA0" w:rsidRPr="006807E1" w:rsidRDefault="000A7DA0" w:rsidP="000A7DA0">
      <w:pPr>
        <w:tabs>
          <w:tab w:val="left" w:pos="709"/>
        </w:tabs>
        <w:spacing w:after="0" w:line="240" w:lineRule="auto"/>
        <w:ind w:left="567" w:right="567"/>
        <w:jc w:val="both"/>
        <w:rPr>
          <w:rFonts w:ascii="Palatino Linotype" w:hAnsi="Palatino Linotype"/>
          <w:i/>
        </w:rPr>
      </w:pPr>
      <w:r w:rsidRPr="006807E1">
        <w:rPr>
          <w:rFonts w:ascii="Palatino Linotype" w:hAnsi="Palatino Linotype"/>
          <w:b/>
          <w:i/>
        </w:rPr>
        <w:t>XXII.</w:t>
      </w:r>
      <w:r w:rsidRPr="006807E1">
        <w:rPr>
          <w:rFonts w:ascii="Palatino Linotype" w:hAnsi="Palatino Linotype"/>
          <w:i/>
        </w:rPr>
        <w:t xml:space="preserve"> El listado de Servidores Públicos con sanciones administrativas definitivas, especificando la</w:t>
      </w:r>
      <w:r>
        <w:rPr>
          <w:rFonts w:ascii="Palatino Linotype" w:hAnsi="Palatino Linotype"/>
          <w:i/>
        </w:rPr>
        <w:t xml:space="preserve"> </w:t>
      </w:r>
      <w:r w:rsidRPr="006807E1">
        <w:rPr>
          <w:rFonts w:ascii="Palatino Linotype" w:hAnsi="Palatino Linotype"/>
          <w:i/>
        </w:rPr>
        <w:t>causa de sanción y la disposición;</w:t>
      </w:r>
    </w:p>
    <w:p w14:paraId="61858C13" w14:textId="77777777" w:rsidR="000A7DA0" w:rsidRDefault="000A7DA0" w:rsidP="005020AD">
      <w:pPr>
        <w:tabs>
          <w:tab w:val="left" w:pos="709"/>
        </w:tabs>
        <w:spacing w:after="0" w:line="240" w:lineRule="auto"/>
        <w:ind w:left="567" w:right="567"/>
        <w:jc w:val="both"/>
        <w:rPr>
          <w:rFonts w:ascii="Palatino Linotype" w:hAnsi="Palatino Linotype"/>
          <w:i/>
        </w:rPr>
      </w:pPr>
    </w:p>
    <w:p w14:paraId="23860E70" w14:textId="77777777" w:rsidR="005020AD" w:rsidRPr="00EB0221" w:rsidRDefault="005020AD" w:rsidP="005020AD">
      <w:pPr>
        <w:tabs>
          <w:tab w:val="left" w:pos="709"/>
        </w:tabs>
        <w:spacing w:after="0" w:line="240" w:lineRule="auto"/>
        <w:ind w:left="567" w:right="567"/>
        <w:jc w:val="both"/>
        <w:rPr>
          <w:rFonts w:ascii="Palatino Linotype" w:hAnsi="Palatino Linotype"/>
          <w:i/>
        </w:rPr>
      </w:pPr>
    </w:p>
    <w:p w14:paraId="68E4A651" w14:textId="77777777" w:rsidR="005020AD" w:rsidRDefault="005020AD" w:rsidP="005020AD">
      <w:pPr>
        <w:tabs>
          <w:tab w:val="left" w:pos="709"/>
        </w:tabs>
        <w:spacing w:after="0" w:line="240" w:lineRule="auto"/>
        <w:ind w:left="567" w:right="567"/>
        <w:jc w:val="both"/>
        <w:rPr>
          <w:rFonts w:ascii="Palatino Linotype" w:hAnsi="Palatino Linotype"/>
          <w:i/>
        </w:rPr>
      </w:pPr>
    </w:p>
    <w:p w14:paraId="6D00D991" w14:textId="6528F539" w:rsidR="008F2CC4" w:rsidRDefault="005020AD" w:rsidP="005020AD">
      <w:pPr>
        <w:tabs>
          <w:tab w:val="left" w:pos="709"/>
        </w:tabs>
        <w:spacing w:after="0" w:line="360" w:lineRule="auto"/>
        <w:jc w:val="both"/>
        <w:rPr>
          <w:rFonts w:ascii="Palatino Linotype" w:hAnsi="Palatino Linotype"/>
        </w:rPr>
      </w:pPr>
      <w:r>
        <w:rPr>
          <w:rFonts w:ascii="Palatino Linotype" w:hAnsi="Palatino Linotype"/>
          <w:sz w:val="24"/>
          <w:szCs w:val="24"/>
        </w:rPr>
        <w:t>En tal sentido</w:t>
      </w:r>
      <w:r w:rsidRPr="00221502">
        <w:rPr>
          <w:rFonts w:ascii="Palatino Linotype" w:hAnsi="Palatino Linotype"/>
          <w:sz w:val="24"/>
          <w:szCs w:val="24"/>
        </w:rPr>
        <w:t xml:space="preserve">, </w:t>
      </w:r>
      <w:r w:rsidR="006A3464">
        <w:rPr>
          <w:rFonts w:ascii="Palatino Linotype" w:hAnsi="Palatino Linotype"/>
          <w:sz w:val="24"/>
          <w:szCs w:val="24"/>
        </w:rPr>
        <w:t xml:space="preserve">en </w:t>
      </w:r>
      <w:r>
        <w:rPr>
          <w:rFonts w:ascii="Palatino Linotype" w:hAnsi="Palatino Linotype"/>
          <w:sz w:val="24"/>
          <w:szCs w:val="24"/>
        </w:rPr>
        <w:t xml:space="preserve">el supuesto de que </w:t>
      </w:r>
      <w:r w:rsidR="005E26EA">
        <w:rPr>
          <w:rFonts w:ascii="Palatino Linotype" w:hAnsi="Palatino Linotype"/>
          <w:sz w:val="24"/>
          <w:szCs w:val="24"/>
        </w:rPr>
        <w:t xml:space="preserve">el </w:t>
      </w:r>
      <w:r w:rsidR="005E26EA" w:rsidRPr="00291233">
        <w:rPr>
          <w:rFonts w:ascii="Palatino Linotype" w:hAnsi="Palatino Linotype"/>
          <w:sz w:val="24"/>
          <w:szCs w:val="24"/>
        </w:rPr>
        <w:t>expediente</w:t>
      </w:r>
      <w:r w:rsidRPr="00221502">
        <w:rPr>
          <w:rFonts w:ascii="Palatino Linotype" w:hAnsi="Palatino Linotype"/>
          <w:sz w:val="24"/>
          <w:szCs w:val="24"/>
        </w:rPr>
        <w:t xml:space="preserve"> requerid</w:t>
      </w:r>
      <w:r w:rsidR="005E26EA">
        <w:rPr>
          <w:rFonts w:ascii="Palatino Linotype" w:hAnsi="Palatino Linotype"/>
          <w:sz w:val="24"/>
          <w:szCs w:val="24"/>
        </w:rPr>
        <w:t>o</w:t>
      </w:r>
      <w:r w:rsidRPr="00221502">
        <w:rPr>
          <w:rFonts w:ascii="Palatino Linotype" w:hAnsi="Palatino Linotype"/>
          <w:sz w:val="24"/>
          <w:szCs w:val="24"/>
        </w:rPr>
        <w:t xml:space="preserve"> a través de la solicitud de acceso </w:t>
      </w:r>
      <w:r w:rsidR="0003250B">
        <w:rPr>
          <w:rFonts w:ascii="Palatino Linotype" w:hAnsi="Palatino Linotype"/>
          <w:sz w:val="24"/>
          <w:szCs w:val="24"/>
        </w:rPr>
        <w:t xml:space="preserve">número </w:t>
      </w:r>
      <w:r w:rsidRPr="00221502">
        <w:rPr>
          <w:rFonts w:ascii="Palatino Linotype" w:hAnsi="Palatino Linotype" w:cs="Arial"/>
          <w:b/>
          <w:sz w:val="24"/>
        </w:rPr>
        <w:t>00130/CAPULHUA/IP/2021,</w:t>
      </w:r>
      <w:r w:rsidRPr="00221502">
        <w:rPr>
          <w:rFonts w:ascii="Palatino Linotype" w:hAnsi="Palatino Linotype"/>
          <w:sz w:val="24"/>
          <w:szCs w:val="24"/>
        </w:rPr>
        <w:t xml:space="preserve"> </w:t>
      </w:r>
      <w:r w:rsidR="0003250B">
        <w:rPr>
          <w:rFonts w:ascii="Palatino Linotype" w:hAnsi="Palatino Linotype"/>
          <w:sz w:val="24"/>
          <w:szCs w:val="24"/>
        </w:rPr>
        <w:t>se ajuste a las hipótesis</w:t>
      </w:r>
      <w:r w:rsidRPr="00221502">
        <w:rPr>
          <w:rFonts w:ascii="Palatino Linotype" w:hAnsi="Palatino Linotype"/>
          <w:sz w:val="24"/>
          <w:szCs w:val="24"/>
        </w:rPr>
        <w:t xml:space="preserve"> establecidos en los</w:t>
      </w:r>
      <w:r>
        <w:rPr>
          <w:rFonts w:ascii="Palatino Linotype" w:hAnsi="Palatino Linotype"/>
          <w:sz w:val="24"/>
          <w:szCs w:val="24"/>
        </w:rPr>
        <w:t xml:space="preserve"> artículos</w:t>
      </w:r>
      <w:r w:rsidRPr="00221502">
        <w:rPr>
          <w:rFonts w:ascii="Palatino Linotype" w:hAnsi="Palatino Linotype"/>
          <w:sz w:val="24"/>
          <w:szCs w:val="24"/>
        </w:rPr>
        <w:t xml:space="preserve"> de referencia, </w:t>
      </w:r>
      <w:r w:rsidR="0003250B">
        <w:rPr>
          <w:rFonts w:ascii="Palatino Linotype" w:hAnsi="Palatino Linotype"/>
          <w:sz w:val="24"/>
          <w:szCs w:val="24"/>
        </w:rPr>
        <w:t>es decir que</w:t>
      </w:r>
      <w:r w:rsidR="005E26EA">
        <w:rPr>
          <w:rFonts w:ascii="Palatino Linotype" w:hAnsi="Palatino Linotype"/>
          <w:sz w:val="24"/>
          <w:szCs w:val="24"/>
        </w:rPr>
        <w:t xml:space="preserve"> el expediente</w:t>
      </w:r>
      <w:r w:rsidR="0003250B">
        <w:rPr>
          <w:rFonts w:ascii="Palatino Linotype" w:hAnsi="Palatino Linotype"/>
          <w:sz w:val="24"/>
          <w:szCs w:val="24"/>
        </w:rPr>
        <w:t xml:space="preserve"> </w:t>
      </w:r>
      <w:r w:rsidR="00057424">
        <w:rPr>
          <w:rFonts w:ascii="Palatino Linotype" w:hAnsi="Palatino Linotype"/>
          <w:b/>
          <w:sz w:val="24"/>
          <w:szCs w:val="24"/>
        </w:rPr>
        <w:t>contenga</w:t>
      </w:r>
      <w:r w:rsidR="00301D9C">
        <w:rPr>
          <w:rFonts w:ascii="Palatino Linotype" w:hAnsi="Palatino Linotype"/>
          <w:b/>
          <w:sz w:val="24"/>
          <w:szCs w:val="24"/>
        </w:rPr>
        <w:t xml:space="preserve"> resolución con sanción </w:t>
      </w:r>
      <w:r w:rsidRPr="000A7DA0">
        <w:rPr>
          <w:rFonts w:ascii="Palatino Linotype" w:hAnsi="Palatino Linotype"/>
          <w:b/>
          <w:sz w:val="24"/>
          <w:szCs w:val="24"/>
        </w:rPr>
        <w:t xml:space="preserve"> por responsabilidad administrativa</w:t>
      </w:r>
      <w:r w:rsidR="0003250B" w:rsidRPr="000A7DA0">
        <w:rPr>
          <w:rFonts w:ascii="Palatino Linotype" w:hAnsi="Palatino Linotype"/>
          <w:b/>
          <w:sz w:val="24"/>
          <w:szCs w:val="24"/>
        </w:rPr>
        <w:t xml:space="preserve"> por motivo de una</w:t>
      </w:r>
      <w:r w:rsidRPr="000A7DA0">
        <w:rPr>
          <w:rFonts w:ascii="Palatino Linotype" w:hAnsi="Palatino Linotype"/>
          <w:b/>
          <w:sz w:val="24"/>
          <w:szCs w:val="24"/>
        </w:rPr>
        <w:t xml:space="preserve"> faltas </w:t>
      </w:r>
      <w:r w:rsidRPr="000A7DA0">
        <w:rPr>
          <w:rFonts w:ascii="Palatino Linotype" w:hAnsi="Palatino Linotype"/>
          <w:b/>
          <w:sz w:val="24"/>
          <w:szCs w:val="24"/>
        </w:rPr>
        <w:lastRenderedPageBreak/>
        <w:t xml:space="preserve">administrativas graves, </w:t>
      </w:r>
      <w:r w:rsidR="0003250B" w:rsidRPr="000A7DA0">
        <w:rPr>
          <w:rFonts w:ascii="Palatino Linotype" w:hAnsi="Palatino Linotype"/>
          <w:b/>
          <w:sz w:val="24"/>
          <w:szCs w:val="24"/>
        </w:rPr>
        <w:t>y la misma</w:t>
      </w:r>
      <w:r w:rsidRPr="000A7DA0">
        <w:rPr>
          <w:rFonts w:ascii="Palatino Linotype" w:hAnsi="Palatino Linotype"/>
          <w:b/>
          <w:sz w:val="24"/>
          <w:szCs w:val="24"/>
        </w:rPr>
        <w:t xml:space="preserve"> hayan causado estado,</w:t>
      </w:r>
      <w:r>
        <w:rPr>
          <w:rFonts w:ascii="Palatino Linotype" w:hAnsi="Palatino Linotype"/>
          <w:sz w:val="24"/>
          <w:szCs w:val="24"/>
        </w:rPr>
        <w:t xml:space="preserve"> </w:t>
      </w:r>
      <w:r>
        <w:rPr>
          <w:rFonts w:ascii="Palatino Linotype" w:hAnsi="Palatino Linotype"/>
          <w:b/>
          <w:sz w:val="24"/>
          <w:szCs w:val="24"/>
        </w:rPr>
        <w:t>debe ser considerado</w:t>
      </w:r>
      <w:r w:rsidRPr="00EB0221">
        <w:rPr>
          <w:rFonts w:ascii="Palatino Linotype" w:hAnsi="Palatino Linotype"/>
          <w:b/>
          <w:sz w:val="24"/>
          <w:szCs w:val="24"/>
        </w:rPr>
        <w:t xml:space="preserve"> como información</w:t>
      </w:r>
      <w:r>
        <w:rPr>
          <w:rFonts w:ascii="Palatino Linotype" w:hAnsi="Palatino Linotype"/>
          <w:b/>
          <w:sz w:val="24"/>
          <w:szCs w:val="24"/>
        </w:rPr>
        <w:t xml:space="preserve"> pública</w:t>
      </w:r>
      <w:r w:rsidRPr="00EB0221">
        <w:rPr>
          <w:rFonts w:ascii="Palatino Linotype" w:hAnsi="Palatino Linotype"/>
          <w:b/>
          <w:sz w:val="24"/>
          <w:szCs w:val="24"/>
        </w:rPr>
        <w:t xml:space="preserve">, </w:t>
      </w:r>
      <w:r w:rsidR="0003250B" w:rsidRPr="004C3F4B">
        <w:rPr>
          <w:rFonts w:ascii="Palatino Linotype" w:hAnsi="Palatino Linotype"/>
        </w:rPr>
        <w:t>por lo que la misma es susceptible de ser entregada</w:t>
      </w:r>
      <w:r w:rsidR="00212EF6" w:rsidRPr="004C3F4B">
        <w:rPr>
          <w:rFonts w:ascii="Palatino Linotype" w:hAnsi="Palatino Linotype"/>
        </w:rPr>
        <w:t xml:space="preserve"> </w:t>
      </w:r>
      <w:r w:rsidR="002731DC">
        <w:rPr>
          <w:rFonts w:ascii="Palatino Linotype" w:hAnsi="Palatino Linotype"/>
        </w:rPr>
        <w:t xml:space="preserve">la cual incluye </w:t>
      </w:r>
      <w:r w:rsidR="00212EF6" w:rsidRPr="004C3F4B">
        <w:rPr>
          <w:rFonts w:ascii="Palatino Linotype" w:hAnsi="Palatino Linotype"/>
        </w:rPr>
        <w:t xml:space="preserve">el nombre de servidores públicos sancionados, las sanciones administrativas de que haya sido objeto, la causa y la disposición legal, </w:t>
      </w:r>
      <w:r w:rsidR="004C3F4B" w:rsidRPr="004C3F4B">
        <w:rPr>
          <w:rFonts w:ascii="Palatino Linotype" w:hAnsi="Palatino Linotype"/>
        </w:rPr>
        <w:t>por lo</w:t>
      </w:r>
      <w:r w:rsidR="004C3F4B">
        <w:rPr>
          <w:rFonts w:ascii="Palatino Linotype" w:hAnsi="Palatino Linotype"/>
        </w:rPr>
        <w:t xml:space="preserve"> </w:t>
      </w:r>
      <w:r w:rsidR="004C3F4B" w:rsidRPr="004C3F4B">
        <w:rPr>
          <w:rFonts w:ascii="Palatino Linotype" w:hAnsi="Palatino Linotype"/>
        </w:rPr>
        <w:t>que</w:t>
      </w:r>
      <w:r w:rsidR="00301D9C">
        <w:rPr>
          <w:rFonts w:ascii="Palatino Linotype" w:hAnsi="Palatino Linotype"/>
        </w:rPr>
        <w:t xml:space="preserve"> en tal caso</w:t>
      </w:r>
      <w:r w:rsidR="004C3F4B" w:rsidRPr="004C3F4B">
        <w:rPr>
          <w:rFonts w:ascii="Palatino Linotype" w:hAnsi="Palatino Linotype"/>
        </w:rPr>
        <w:t xml:space="preserve"> a </w:t>
      </w:r>
      <w:r w:rsidR="004C3F4B">
        <w:rPr>
          <w:rFonts w:ascii="Palatino Linotype" w:hAnsi="Palatino Linotype"/>
        </w:rPr>
        <w:t>consideración</w:t>
      </w:r>
      <w:r w:rsidR="004C3F4B" w:rsidRPr="004C3F4B">
        <w:rPr>
          <w:rFonts w:ascii="Palatino Linotype" w:hAnsi="Palatino Linotype"/>
        </w:rPr>
        <w:t xml:space="preserve"> de esta ponencia resulta </w:t>
      </w:r>
      <w:r w:rsidR="00212EF6" w:rsidRPr="004C3F4B">
        <w:rPr>
          <w:rFonts w:ascii="Palatino Linotype" w:hAnsi="Palatino Linotype"/>
        </w:rPr>
        <w:t>procede</w:t>
      </w:r>
      <w:r w:rsidR="00301D9C">
        <w:rPr>
          <w:rFonts w:ascii="Palatino Linotype" w:hAnsi="Palatino Linotype"/>
        </w:rPr>
        <w:t>nte</w:t>
      </w:r>
      <w:r w:rsidR="00212EF6" w:rsidRPr="004C3F4B">
        <w:rPr>
          <w:rFonts w:ascii="Palatino Linotype" w:hAnsi="Palatino Linotype"/>
        </w:rPr>
        <w:t xml:space="preserve"> la entrega d</w:t>
      </w:r>
      <w:r w:rsidR="008F2CC4">
        <w:rPr>
          <w:rFonts w:ascii="Palatino Linotype" w:hAnsi="Palatino Linotype"/>
        </w:rPr>
        <w:t>e la información derivado de la</w:t>
      </w:r>
      <w:r w:rsidR="00212EF6" w:rsidRPr="004C3F4B">
        <w:rPr>
          <w:rFonts w:ascii="Palatino Linotype" w:hAnsi="Palatino Linotype"/>
        </w:rPr>
        <w:t xml:space="preserve"> solicitudes de acceso</w:t>
      </w:r>
      <w:r w:rsidR="008F2CC4">
        <w:rPr>
          <w:rFonts w:ascii="Palatino Linotype" w:hAnsi="Palatino Linotype"/>
        </w:rPr>
        <w:t xml:space="preserve"> de referencia</w:t>
      </w:r>
      <w:r w:rsidR="00212EF6" w:rsidRPr="004C3F4B">
        <w:rPr>
          <w:rFonts w:ascii="Palatino Linotype" w:hAnsi="Palatino Linotype"/>
        </w:rPr>
        <w:t>, siempre que dichas sanciones se encuentren firmes.</w:t>
      </w:r>
    </w:p>
    <w:p w14:paraId="644BF69C" w14:textId="77777777" w:rsidR="005647B1" w:rsidRDefault="005647B1" w:rsidP="00105075">
      <w:pPr>
        <w:tabs>
          <w:tab w:val="left" w:pos="709"/>
        </w:tabs>
        <w:spacing w:after="0" w:line="360" w:lineRule="auto"/>
        <w:jc w:val="both"/>
        <w:rPr>
          <w:rFonts w:ascii="Palatino Linotype" w:hAnsi="Palatino Linotype"/>
          <w:b/>
          <w:sz w:val="24"/>
          <w:szCs w:val="24"/>
        </w:rPr>
      </w:pPr>
    </w:p>
    <w:p w14:paraId="1D2403C6" w14:textId="27602586" w:rsidR="008C65C3" w:rsidRDefault="00183B75" w:rsidP="008C65C3">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Correlativo a lo anterior, los artículos 53, párrafo segundo de la Ley General del S</w:t>
      </w:r>
      <w:r w:rsidR="00DB60CA" w:rsidRPr="00687227">
        <w:rPr>
          <w:rFonts w:ascii="Palatino Linotype" w:hAnsi="Palatino Linotype"/>
          <w:sz w:val="24"/>
          <w:szCs w:val="24"/>
        </w:rPr>
        <w:t>istema Nacional Anticorrupción,</w:t>
      </w:r>
      <w:r w:rsidRPr="00687227">
        <w:rPr>
          <w:rFonts w:ascii="Palatino Linotype" w:hAnsi="Palatino Linotype"/>
          <w:sz w:val="24"/>
          <w:szCs w:val="24"/>
        </w:rPr>
        <w:t xml:space="preserve"> 53, párrafo segundo de la Ley del Sistema Anticorrupción del Estado de México</w:t>
      </w:r>
      <w:r w:rsidR="00DB60CA" w:rsidRPr="00687227">
        <w:rPr>
          <w:rFonts w:ascii="Palatino Linotype" w:hAnsi="Palatino Linotype"/>
          <w:sz w:val="24"/>
          <w:szCs w:val="24"/>
        </w:rPr>
        <w:t xml:space="preserve"> y 27</w:t>
      </w:r>
      <w:r w:rsidR="00A0674A" w:rsidRPr="00687227">
        <w:rPr>
          <w:rFonts w:ascii="Palatino Linotype" w:hAnsi="Palatino Linotype"/>
          <w:sz w:val="24"/>
          <w:szCs w:val="24"/>
        </w:rPr>
        <w:t>, párrafo cuarto, segundo supuesto</w:t>
      </w:r>
      <w:r w:rsidR="00DB60CA" w:rsidRPr="00687227">
        <w:rPr>
          <w:rFonts w:ascii="Palatino Linotype" w:hAnsi="Palatino Linotype"/>
          <w:sz w:val="24"/>
          <w:szCs w:val="24"/>
        </w:rPr>
        <w:t xml:space="preserve"> de la Ley General de Responsabilidades administrativas</w:t>
      </w:r>
      <w:r w:rsidRPr="00687227">
        <w:rPr>
          <w:rFonts w:ascii="Palatino Linotype" w:hAnsi="Palatino Linotype"/>
          <w:sz w:val="24"/>
          <w:szCs w:val="24"/>
        </w:rPr>
        <w:t>, señalan que</w:t>
      </w:r>
      <w:r w:rsidR="008C65C3" w:rsidRPr="00687227">
        <w:rPr>
          <w:rFonts w:ascii="Palatino Linotype" w:hAnsi="Palatino Linotype"/>
          <w:sz w:val="24"/>
          <w:szCs w:val="24"/>
        </w:rPr>
        <w:t xml:space="preserve"> los registros de las sanciones relativas a responsabilidades administrativas no graves, quedarán registradas para efectos de eventual reincidencia, pero no serán públicas, porciones legales cuyo contenido literal es el siguiente:</w:t>
      </w:r>
    </w:p>
    <w:p w14:paraId="7628768E" w14:textId="77777777" w:rsidR="008C65C3" w:rsidRDefault="008C65C3" w:rsidP="008C65C3">
      <w:pPr>
        <w:tabs>
          <w:tab w:val="left" w:pos="709"/>
        </w:tabs>
        <w:spacing w:after="0" w:line="360" w:lineRule="auto"/>
        <w:jc w:val="both"/>
        <w:rPr>
          <w:rFonts w:ascii="Palatino Linotype" w:hAnsi="Palatino Linotype"/>
          <w:sz w:val="24"/>
          <w:szCs w:val="24"/>
        </w:rPr>
      </w:pPr>
    </w:p>
    <w:p w14:paraId="48C092C4" w14:textId="1ECB3E79" w:rsidR="008C65C3" w:rsidRPr="008C65C3" w:rsidRDefault="008C65C3" w:rsidP="008C65C3">
      <w:pPr>
        <w:tabs>
          <w:tab w:val="left" w:pos="709"/>
        </w:tabs>
        <w:spacing w:after="0" w:line="360" w:lineRule="auto"/>
        <w:ind w:left="567" w:right="567"/>
        <w:jc w:val="center"/>
        <w:rPr>
          <w:rFonts w:ascii="Palatino Linotype" w:hAnsi="Palatino Linotype"/>
          <w:b/>
          <w:i/>
        </w:rPr>
      </w:pPr>
      <w:r w:rsidRPr="008C65C3">
        <w:rPr>
          <w:rFonts w:ascii="Palatino Linotype" w:hAnsi="Palatino Linotype"/>
          <w:b/>
          <w:i/>
        </w:rPr>
        <w:t>Ley General del Sistema Nacional Anticorrupción</w:t>
      </w:r>
    </w:p>
    <w:p w14:paraId="042F6F9F" w14:textId="2E211101" w:rsidR="008C65C3" w:rsidRPr="008C65C3" w:rsidRDefault="008C65C3" w:rsidP="008C65C3">
      <w:pPr>
        <w:tabs>
          <w:tab w:val="left" w:pos="709"/>
        </w:tabs>
        <w:spacing w:after="0" w:line="360" w:lineRule="auto"/>
        <w:ind w:left="567" w:right="567"/>
        <w:jc w:val="both"/>
        <w:rPr>
          <w:rFonts w:ascii="Palatino Linotype" w:hAnsi="Palatino Linotype"/>
          <w:b/>
          <w:i/>
        </w:rPr>
      </w:pPr>
      <w:r w:rsidRPr="008C65C3">
        <w:rPr>
          <w:rFonts w:ascii="Palatino Linotype" w:hAnsi="Palatino Linotype"/>
          <w:b/>
          <w:i/>
        </w:rPr>
        <w:t>“53…</w:t>
      </w:r>
    </w:p>
    <w:p w14:paraId="693C45E6" w14:textId="7D649094" w:rsidR="00183B75" w:rsidRDefault="008C65C3" w:rsidP="008C65C3">
      <w:pPr>
        <w:tabs>
          <w:tab w:val="left" w:pos="709"/>
        </w:tabs>
        <w:spacing w:after="0" w:line="360" w:lineRule="auto"/>
        <w:ind w:left="567" w:right="567"/>
        <w:jc w:val="both"/>
        <w:rPr>
          <w:rFonts w:ascii="Palatino Linotype" w:hAnsi="Palatino Linotype"/>
          <w:b/>
          <w:i/>
        </w:rPr>
      </w:pPr>
      <w:r w:rsidRPr="008C65C3">
        <w:rPr>
          <w:rFonts w:ascii="Palatino Linotype" w:hAnsi="Palatino Linotype"/>
          <w:i/>
        </w:rPr>
        <w:t>Los registros de las sanciones relativas a responsabilidades administrativas no graves, quedarán registradas para efectos de eventual reincidencia, pero no serán públicas</w:t>
      </w:r>
      <w:r w:rsidRPr="008C65C3">
        <w:rPr>
          <w:rFonts w:ascii="Palatino Linotype" w:hAnsi="Palatino Linotype"/>
          <w:b/>
          <w:i/>
        </w:rPr>
        <w:t>...”</w:t>
      </w:r>
      <w:r w:rsidR="00183B75" w:rsidRPr="008C65C3">
        <w:rPr>
          <w:rFonts w:ascii="Palatino Linotype" w:hAnsi="Palatino Linotype"/>
          <w:b/>
          <w:i/>
        </w:rPr>
        <w:t xml:space="preserve"> </w:t>
      </w:r>
    </w:p>
    <w:p w14:paraId="058B0951" w14:textId="77777777" w:rsidR="008C65C3" w:rsidRDefault="008C65C3" w:rsidP="008C65C3">
      <w:pPr>
        <w:tabs>
          <w:tab w:val="left" w:pos="709"/>
        </w:tabs>
        <w:spacing w:after="0" w:line="360" w:lineRule="auto"/>
        <w:ind w:left="567" w:right="567"/>
        <w:jc w:val="both"/>
        <w:rPr>
          <w:rFonts w:ascii="Palatino Linotype" w:hAnsi="Palatino Linotype"/>
          <w:b/>
          <w:i/>
        </w:rPr>
      </w:pPr>
    </w:p>
    <w:p w14:paraId="0659F9A5" w14:textId="44CADC59" w:rsidR="001D4DBC" w:rsidRPr="001D4DBC" w:rsidRDefault="001D4DBC" w:rsidP="001D4DBC">
      <w:pPr>
        <w:tabs>
          <w:tab w:val="left" w:pos="709"/>
        </w:tabs>
        <w:spacing w:after="0" w:line="360" w:lineRule="auto"/>
        <w:ind w:left="567" w:right="567"/>
        <w:jc w:val="center"/>
        <w:rPr>
          <w:rFonts w:ascii="Palatino Linotype" w:hAnsi="Palatino Linotype"/>
          <w:b/>
          <w:i/>
        </w:rPr>
      </w:pPr>
      <w:r w:rsidRPr="001D4DBC">
        <w:rPr>
          <w:rFonts w:ascii="Palatino Linotype" w:hAnsi="Palatino Linotype"/>
          <w:b/>
          <w:i/>
        </w:rPr>
        <w:t>Ley del Sistema Anticorrupción del Estado de México</w:t>
      </w:r>
    </w:p>
    <w:p w14:paraId="506594A2" w14:textId="303FEAC3" w:rsidR="001D4DBC" w:rsidRPr="001D4DBC" w:rsidRDefault="001D4DBC" w:rsidP="00440377">
      <w:pPr>
        <w:tabs>
          <w:tab w:val="left" w:pos="709"/>
        </w:tabs>
        <w:spacing w:after="0" w:line="360" w:lineRule="auto"/>
        <w:ind w:left="567" w:right="567"/>
        <w:jc w:val="both"/>
        <w:rPr>
          <w:rFonts w:ascii="Palatino Linotype" w:hAnsi="Palatino Linotype"/>
          <w:b/>
          <w:i/>
        </w:rPr>
      </w:pPr>
      <w:r w:rsidRPr="001D4DBC">
        <w:rPr>
          <w:rFonts w:ascii="Palatino Linotype" w:hAnsi="Palatino Linotype"/>
          <w:b/>
          <w:i/>
        </w:rPr>
        <w:t>“53…</w:t>
      </w:r>
    </w:p>
    <w:p w14:paraId="40EBB86A" w14:textId="7E0566A6" w:rsidR="001D4DBC" w:rsidRDefault="001D4DBC" w:rsidP="00440377">
      <w:pPr>
        <w:tabs>
          <w:tab w:val="left" w:pos="709"/>
        </w:tabs>
        <w:spacing w:after="0" w:line="360" w:lineRule="auto"/>
        <w:ind w:left="567" w:right="567"/>
        <w:jc w:val="both"/>
        <w:rPr>
          <w:rFonts w:ascii="Palatino Linotype" w:hAnsi="Palatino Linotype"/>
        </w:rPr>
      </w:pPr>
      <w:r w:rsidRPr="001D4DBC">
        <w:rPr>
          <w:rFonts w:ascii="Palatino Linotype" w:hAnsi="Palatino Linotype"/>
        </w:rPr>
        <w:t>Los registros de las sanciones relativas a responsabilidades administrativas no graves, quedarán registradas para efectos de eventual reincidencia, pero no serán públicas…”</w:t>
      </w:r>
    </w:p>
    <w:p w14:paraId="1BC9AAC6" w14:textId="77777777" w:rsidR="00F314A7" w:rsidRDefault="00F314A7" w:rsidP="00440377">
      <w:pPr>
        <w:tabs>
          <w:tab w:val="left" w:pos="709"/>
        </w:tabs>
        <w:spacing w:after="0" w:line="360" w:lineRule="auto"/>
        <w:ind w:left="567" w:right="567"/>
        <w:jc w:val="both"/>
        <w:rPr>
          <w:rFonts w:ascii="Palatino Linotype" w:hAnsi="Palatino Linotype"/>
        </w:rPr>
      </w:pPr>
    </w:p>
    <w:p w14:paraId="4CC6EC36" w14:textId="77777777" w:rsidR="00F314A7" w:rsidRDefault="00F314A7" w:rsidP="00F314A7">
      <w:pPr>
        <w:tabs>
          <w:tab w:val="left" w:pos="709"/>
        </w:tabs>
        <w:spacing w:after="0" w:line="360" w:lineRule="auto"/>
        <w:ind w:left="567" w:right="567"/>
        <w:jc w:val="center"/>
        <w:rPr>
          <w:rFonts w:ascii="Palatino Linotype" w:hAnsi="Palatino Linotype"/>
          <w:b/>
          <w:i/>
        </w:rPr>
      </w:pPr>
      <w:r w:rsidRPr="008C65C3">
        <w:rPr>
          <w:rFonts w:ascii="Palatino Linotype" w:hAnsi="Palatino Linotype"/>
          <w:b/>
          <w:i/>
        </w:rPr>
        <w:lastRenderedPageBreak/>
        <w:t>Ley General de Responsabilidades Administrativas</w:t>
      </w:r>
    </w:p>
    <w:p w14:paraId="0660BE18" w14:textId="77777777" w:rsidR="00F314A7" w:rsidRPr="001D4DBC" w:rsidRDefault="00F314A7" w:rsidP="00F314A7">
      <w:pPr>
        <w:tabs>
          <w:tab w:val="left" w:pos="709"/>
        </w:tabs>
        <w:spacing w:after="0" w:line="360" w:lineRule="auto"/>
        <w:ind w:left="567" w:right="567"/>
        <w:jc w:val="both"/>
        <w:rPr>
          <w:rFonts w:ascii="Palatino Linotype" w:hAnsi="Palatino Linotype"/>
          <w:b/>
          <w:i/>
        </w:rPr>
      </w:pPr>
      <w:r w:rsidRPr="001D4DBC">
        <w:rPr>
          <w:rFonts w:ascii="Palatino Linotype" w:hAnsi="Palatino Linotype"/>
          <w:b/>
          <w:i/>
        </w:rPr>
        <w:t>“</w:t>
      </w:r>
      <w:r>
        <w:rPr>
          <w:rFonts w:ascii="Palatino Linotype" w:hAnsi="Palatino Linotype"/>
          <w:b/>
          <w:i/>
        </w:rPr>
        <w:t>27</w:t>
      </w:r>
      <w:r w:rsidRPr="001D4DBC">
        <w:rPr>
          <w:rFonts w:ascii="Palatino Linotype" w:hAnsi="Palatino Linotype"/>
          <w:b/>
          <w:i/>
        </w:rPr>
        <w:t>…</w:t>
      </w:r>
    </w:p>
    <w:p w14:paraId="48695677" w14:textId="77777777" w:rsidR="00F314A7" w:rsidRDefault="00F314A7" w:rsidP="00F314A7">
      <w:pPr>
        <w:tabs>
          <w:tab w:val="left" w:pos="709"/>
        </w:tabs>
        <w:spacing w:after="0" w:line="360" w:lineRule="auto"/>
        <w:ind w:left="567" w:right="567"/>
        <w:jc w:val="both"/>
        <w:rPr>
          <w:rFonts w:ascii="Palatino Linotype" w:hAnsi="Palatino Linotype"/>
          <w:i/>
        </w:rPr>
      </w:pPr>
      <w:proofErr w:type="gramStart"/>
      <w:r w:rsidRPr="00440377">
        <w:rPr>
          <w:rFonts w:ascii="Palatino Linotype" w:hAnsi="Palatino Linotype"/>
          <w:i/>
        </w:rPr>
        <w:t>así</w:t>
      </w:r>
      <w:proofErr w:type="gramEnd"/>
      <w:r w:rsidRPr="00440377">
        <w:rPr>
          <w:rFonts w:ascii="Palatino Linotype" w:hAnsi="Palatino Linotype"/>
          <w:i/>
        </w:rPr>
        <w:t xml:space="preserve"> como la anotación de aquellas abstenciones que hayan realizado las autoridades investigadoras o el</w:t>
      </w:r>
      <w:r>
        <w:rPr>
          <w:rFonts w:ascii="Palatino Linotype" w:hAnsi="Palatino Linotype"/>
          <w:i/>
        </w:rPr>
        <w:t xml:space="preserve"> </w:t>
      </w:r>
      <w:r w:rsidRPr="00440377">
        <w:rPr>
          <w:rFonts w:ascii="Palatino Linotype" w:hAnsi="Palatino Linotype"/>
          <w:i/>
        </w:rPr>
        <w:t>Tribunal, en términos de los artículos 77 y 80 de esta Ley</w:t>
      </w:r>
      <w:r>
        <w:rPr>
          <w:rFonts w:ascii="Palatino Linotype" w:hAnsi="Palatino Linotype"/>
          <w:i/>
        </w:rPr>
        <w:t>”</w:t>
      </w:r>
      <w:r w:rsidRPr="00440377">
        <w:rPr>
          <w:rFonts w:ascii="Palatino Linotype" w:hAnsi="Palatino Linotype"/>
          <w:i/>
        </w:rPr>
        <w:t>.</w:t>
      </w:r>
    </w:p>
    <w:p w14:paraId="1EF9A74F" w14:textId="77777777" w:rsidR="00183B75" w:rsidRPr="00440377" w:rsidRDefault="00183B75" w:rsidP="000038BB">
      <w:pPr>
        <w:tabs>
          <w:tab w:val="left" w:pos="709"/>
        </w:tabs>
        <w:spacing w:after="0" w:line="360" w:lineRule="auto"/>
        <w:ind w:right="567"/>
        <w:jc w:val="both"/>
        <w:rPr>
          <w:rFonts w:ascii="Palatino Linotype" w:hAnsi="Palatino Linotype"/>
        </w:rPr>
      </w:pPr>
    </w:p>
    <w:p w14:paraId="62B5CCD3" w14:textId="142D1902" w:rsidR="00DB60CA" w:rsidRPr="00687227" w:rsidRDefault="001D4DBC" w:rsidP="00FA6D23">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De</w:t>
      </w:r>
      <w:r w:rsidR="000038BB" w:rsidRPr="00687227">
        <w:rPr>
          <w:rFonts w:ascii="Palatino Linotype" w:hAnsi="Palatino Linotype"/>
          <w:sz w:val="24"/>
          <w:szCs w:val="24"/>
        </w:rPr>
        <w:t xml:space="preserve"> los preceptos legales anteriores </w:t>
      </w:r>
      <w:r w:rsidR="00DB60CA" w:rsidRPr="00687227">
        <w:rPr>
          <w:rFonts w:ascii="Palatino Linotype" w:hAnsi="Palatino Linotype"/>
          <w:sz w:val="24"/>
          <w:szCs w:val="24"/>
        </w:rPr>
        <w:t>se pueden advertir dos supuestos</w:t>
      </w:r>
      <w:r w:rsidR="00150FC1" w:rsidRPr="00687227">
        <w:rPr>
          <w:rFonts w:ascii="Palatino Linotype" w:hAnsi="Palatino Linotype"/>
          <w:sz w:val="24"/>
          <w:szCs w:val="24"/>
        </w:rPr>
        <w:t>:</w:t>
      </w:r>
      <w:r w:rsidR="00DB60CA" w:rsidRPr="00687227">
        <w:rPr>
          <w:rFonts w:ascii="Palatino Linotype" w:hAnsi="Palatino Linotype"/>
          <w:sz w:val="24"/>
          <w:szCs w:val="24"/>
        </w:rPr>
        <w:t xml:space="preserve"> el</w:t>
      </w:r>
      <w:r w:rsidR="000038BB" w:rsidRPr="00687227">
        <w:rPr>
          <w:rFonts w:ascii="Palatino Linotype" w:hAnsi="Palatino Linotype"/>
          <w:sz w:val="24"/>
          <w:szCs w:val="24"/>
        </w:rPr>
        <w:t xml:space="preserve"> pr</w:t>
      </w:r>
      <w:r w:rsidR="00DB60CA" w:rsidRPr="00687227">
        <w:rPr>
          <w:rFonts w:ascii="Palatino Linotype" w:hAnsi="Palatino Linotype"/>
          <w:sz w:val="24"/>
          <w:szCs w:val="24"/>
        </w:rPr>
        <w:t>imero</w:t>
      </w:r>
      <w:r w:rsidR="000038BB" w:rsidRPr="00687227">
        <w:rPr>
          <w:rFonts w:ascii="Palatino Linotype" w:hAnsi="Palatino Linotype"/>
          <w:sz w:val="24"/>
          <w:szCs w:val="24"/>
        </w:rPr>
        <w:t xml:space="preserve"> con </w:t>
      </w:r>
      <w:r w:rsidR="00DB60CA" w:rsidRPr="00687227">
        <w:rPr>
          <w:rFonts w:ascii="Palatino Linotype" w:hAnsi="Palatino Linotype"/>
          <w:sz w:val="24"/>
          <w:szCs w:val="24"/>
        </w:rPr>
        <w:t>fundamento</w:t>
      </w:r>
      <w:r w:rsidR="000038BB" w:rsidRPr="00687227">
        <w:rPr>
          <w:rFonts w:ascii="Palatino Linotype" w:hAnsi="Palatino Linotype"/>
          <w:sz w:val="24"/>
          <w:szCs w:val="24"/>
        </w:rPr>
        <w:t xml:space="preserve"> en los </w:t>
      </w:r>
      <w:r w:rsidR="00DB60CA" w:rsidRPr="00687227">
        <w:rPr>
          <w:rFonts w:ascii="Palatino Linotype" w:hAnsi="Palatino Linotype"/>
          <w:sz w:val="24"/>
          <w:szCs w:val="24"/>
        </w:rPr>
        <w:t xml:space="preserve">artículos 53, párrafo segundo de la Ley General del Sistema Nacional Anticorrupción, 53, párrafo segundo de la Ley del Sistema Anticorrupción del Estado de México, en la cual se advierte </w:t>
      </w:r>
      <w:r w:rsidR="00DB60CA" w:rsidRPr="00291233">
        <w:rPr>
          <w:rFonts w:ascii="Palatino Linotype" w:hAnsi="Palatino Linotype"/>
          <w:sz w:val="24"/>
          <w:szCs w:val="24"/>
        </w:rPr>
        <w:t>que respecto a</w:t>
      </w:r>
      <w:r w:rsidR="00301D9C" w:rsidRPr="00291233">
        <w:rPr>
          <w:rFonts w:ascii="Palatino Linotype" w:hAnsi="Palatino Linotype"/>
          <w:sz w:val="24"/>
          <w:szCs w:val="24"/>
        </w:rPr>
        <w:t xml:space="preserve"> expedientes que </w:t>
      </w:r>
      <w:r w:rsidR="00057424" w:rsidRPr="00291233">
        <w:rPr>
          <w:rFonts w:ascii="Palatino Linotype" w:hAnsi="Palatino Linotype"/>
          <w:sz w:val="24"/>
          <w:szCs w:val="24"/>
        </w:rPr>
        <w:t>contienen</w:t>
      </w:r>
      <w:r w:rsidR="00DB60CA" w:rsidRPr="00687227">
        <w:rPr>
          <w:rFonts w:ascii="Palatino Linotype" w:hAnsi="Palatino Linotype"/>
          <w:sz w:val="24"/>
          <w:szCs w:val="24"/>
        </w:rPr>
        <w:t xml:space="preserve"> procedimientos de responsabilidad administrativa originados por motivo de faltas administrativas no graves, en las que se haya determinado imponer alguna sanción, por determinación de la ley las mismas no son consideradas públicas.</w:t>
      </w:r>
    </w:p>
    <w:p w14:paraId="471B4B83" w14:textId="77777777" w:rsidR="00DB60CA" w:rsidRPr="00687227" w:rsidRDefault="00DB60CA" w:rsidP="00FA6D23">
      <w:pPr>
        <w:tabs>
          <w:tab w:val="left" w:pos="709"/>
        </w:tabs>
        <w:spacing w:after="0" w:line="360" w:lineRule="auto"/>
        <w:jc w:val="both"/>
        <w:rPr>
          <w:rFonts w:ascii="Palatino Linotype" w:hAnsi="Palatino Linotype"/>
          <w:sz w:val="24"/>
          <w:szCs w:val="24"/>
        </w:rPr>
      </w:pPr>
    </w:p>
    <w:p w14:paraId="67F75571" w14:textId="17179CBD" w:rsidR="00A0674A" w:rsidRPr="00687227" w:rsidRDefault="00DB60CA" w:rsidP="00FA6D23">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Correlativo a lo anterior,</w:t>
      </w:r>
      <w:r w:rsidR="00A0674A" w:rsidRPr="00687227">
        <w:rPr>
          <w:rFonts w:ascii="Palatino Linotype" w:hAnsi="Palatino Linotype"/>
          <w:sz w:val="24"/>
          <w:szCs w:val="24"/>
        </w:rPr>
        <w:t xml:space="preserve"> con fundamento en el artículo 27, párrafo cuarto, segundo supuesto de la Ley General de Responsabilidades Administrativas, se determina que</w:t>
      </w:r>
      <w:r w:rsidR="00301D9C">
        <w:rPr>
          <w:rFonts w:ascii="Palatino Linotype" w:hAnsi="Palatino Linotype"/>
          <w:sz w:val="24"/>
          <w:szCs w:val="24"/>
        </w:rPr>
        <w:t xml:space="preserve"> los expedientes que contienen</w:t>
      </w:r>
      <w:r w:rsidRPr="00687227">
        <w:rPr>
          <w:rFonts w:ascii="Palatino Linotype" w:hAnsi="Palatino Linotype"/>
          <w:sz w:val="24"/>
          <w:szCs w:val="24"/>
        </w:rPr>
        <w:t xml:space="preserve"> abstenciones </w:t>
      </w:r>
      <w:r w:rsidR="00A0674A" w:rsidRPr="00687227">
        <w:rPr>
          <w:rFonts w:ascii="Palatino Linotype" w:hAnsi="Palatino Linotype"/>
          <w:sz w:val="24"/>
          <w:szCs w:val="24"/>
        </w:rPr>
        <w:t>derivadas de investigaciones o procedimientos de responsabilidad administrativa originados por faltas administrativas no graves, no se harán públicas.</w:t>
      </w:r>
    </w:p>
    <w:p w14:paraId="0A74B588" w14:textId="77777777" w:rsidR="00A0674A" w:rsidRPr="00A0674A" w:rsidRDefault="00A0674A" w:rsidP="00FA6D23">
      <w:pPr>
        <w:tabs>
          <w:tab w:val="left" w:pos="709"/>
        </w:tabs>
        <w:spacing w:after="0" w:line="360" w:lineRule="auto"/>
        <w:jc w:val="both"/>
        <w:rPr>
          <w:rFonts w:ascii="Palatino Linotype" w:hAnsi="Palatino Linotype"/>
          <w:b/>
          <w:sz w:val="24"/>
          <w:szCs w:val="24"/>
        </w:rPr>
      </w:pPr>
    </w:p>
    <w:p w14:paraId="3254630D" w14:textId="3671A1C5" w:rsidR="00A25881" w:rsidRPr="00A25881" w:rsidRDefault="00A0674A" w:rsidP="00A25881">
      <w:pPr>
        <w:tabs>
          <w:tab w:val="left" w:pos="709"/>
        </w:tabs>
        <w:spacing w:after="0" w:line="360" w:lineRule="auto"/>
        <w:jc w:val="both"/>
        <w:rPr>
          <w:rFonts w:ascii="Palatino Linotype" w:hAnsi="Palatino Linotype"/>
          <w:sz w:val="24"/>
          <w:szCs w:val="24"/>
        </w:rPr>
      </w:pPr>
      <w:r w:rsidRPr="00A0674A">
        <w:rPr>
          <w:rFonts w:ascii="Palatino Linotype" w:hAnsi="Palatino Linotype"/>
          <w:sz w:val="24"/>
          <w:szCs w:val="24"/>
        </w:rPr>
        <w:t>Bajo este contexto, se considera que en el supuesto de que la información se encuentre en alguno de los supuestos antes establecidos, el Sujeto Obligado deberá clasificar la información, emitiendo en su caso el acuerdo correspondiente</w:t>
      </w:r>
      <w:r>
        <w:rPr>
          <w:rFonts w:ascii="Palatino Linotype" w:hAnsi="Palatino Linotype"/>
          <w:b/>
          <w:sz w:val="24"/>
          <w:szCs w:val="24"/>
        </w:rPr>
        <w:t xml:space="preserve">, </w:t>
      </w:r>
      <w:r w:rsidRPr="00A0674A">
        <w:rPr>
          <w:rFonts w:ascii="Palatino Linotype" w:hAnsi="Palatino Linotype"/>
          <w:sz w:val="24"/>
          <w:szCs w:val="24"/>
        </w:rPr>
        <w:t xml:space="preserve">tomando en consideración </w:t>
      </w:r>
      <w:r>
        <w:rPr>
          <w:rFonts w:ascii="Palatino Linotype" w:hAnsi="Palatino Linotype"/>
          <w:sz w:val="24"/>
          <w:szCs w:val="24"/>
        </w:rPr>
        <w:t xml:space="preserve">que </w:t>
      </w:r>
      <w:r w:rsidRPr="00291233">
        <w:rPr>
          <w:rFonts w:ascii="Palatino Linotype" w:hAnsi="Palatino Linotype"/>
          <w:sz w:val="24"/>
          <w:szCs w:val="24"/>
        </w:rPr>
        <w:t>de</w:t>
      </w:r>
      <w:r w:rsidR="00A25881" w:rsidRPr="00291233">
        <w:rPr>
          <w:rFonts w:ascii="Palatino Linotype" w:hAnsi="Palatino Linotype"/>
          <w:sz w:val="24"/>
          <w:szCs w:val="24"/>
        </w:rPr>
        <w:t xml:space="preserve"> proporcionar el nombre de los servidores públicos</w:t>
      </w:r>
      <w:r w:rsidR="00A25881" w:rsidRPr="00A25881">
        <w:rPr>
          <w:rFonts w:ascii="Palatino Linotype" w:hAnsi="Palatino Linotype"/>
          <w:sz w:val="24"/>
          <w:szCs w:val="24"/>
        </w:rPr>
        <w:t xml:space="preserve"> </w:t>
      </w:r>
      <w:r w:rsidR="00301D9C" w:rsidRPr="00291233">
        <w:rPr>
          <w:rFonts w:ascii="Palatino Linotype" w:hAnsi="Palatino Linotype"/>
          <w:sz w:val="24"/>
          <w:szCs w:val="24"/>
        </w:rPr>
        <w:t>relacionados al procedimiento</w:t>
      </w:r>
      <w:r w:rsidR="00301D9C">
        <w:rPr>
          <w:rFonts w:ascii="Palatino Linotype" w:hAnsi="Palatino Linotype"/>
          <w:sz w:val="24"/>
          <w:szCs w:val="24"/>
        </w:rPr>
        <w:t xml:space="preserve"> </w:t>
      </w:r>
      <w:r w:rsidR="00A25881" w:rsidRPr="00A25881">
        <w:rPr>
          <w:rFonts w:ascii="Palatino Linotype" w:hAnsi="Palatino Linotype"/>
          <w:sz w:val="24"/>
          <w:szCs w:val="24"/>
        </w:rPr>
        <w:t xml:space="preserve">de responsabilidades administrativas por faltas no graves, podría afectar su honor, buen nombre y su imagen </w:t>
      </w:r>
    </w:p>
    <w:p w14:paraId="6A68A776" w14:textId="77777777" w:rsidR="00A25881" w:rsidRPr="00A25881" w:rsidRDefault="00A25881" w:rsidP="00A25881">
      <w:pPr>
        <w:tabs>
          <w:tab w:val="left" w:pos="709"/>
        </w:tabs>
        <w:spacing w:after="0" w:line="360" w:lineRule="auto"/>
        <w:jc w:val="both"/>
        <w:rPr>
          <w:rFonts w:ascii="Palatino Linotype" w:hAnsi="Palatino Linotype"/>
          <w:sz w:val="24"/>
          <w:szCs w:val="24"/>
        </w:rPr>
      </w:pPr>
    </w:p>
    <w:p w14:paraId="4BED4D7B" w14:textId="77777777" w:rsidR="00A25881" w:rsidRPr="00A25881" w:rsidRDefault="00A25881" w:rsidP="00A25881">
      <w:pPr>
        <w:tabs>
          <w:tab w:val="left" w:pos="709"/>
        </w:tabs>
        <w:spacing w:after="0" w:line="360" w:lineRule="auto"/>
        <w:jc w:val="both"/>
        <w:rPr>
          <w:rFonts w:ascii="Palatino Linotype" w:hAnsi="Palatino Linotype"/>
          <w:sz w:val="24"/>
          <w:szCs w:val="24"/>
        </w:rPr>
      </w:pPr>
      <w:r w:rsidRPr="00A25881">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14:paraId="69C24BEF" w14:textId="77777777" w:rsidR="00A25881" w:rsidRPr="00A25881" w:rsidRDefault="00A25881" w:rsidP="00A25881">
      <w:pPr>
        <w:tabs>
          <w:tab w:val="left" w:pos="709"/>
        </w:tabs>
        <w:spacing w:after="0" w:line="360" w:lineRule="auto"/>
        <w:jc w:val="both"/>
        <w:rPr>
          <w:rFonts w:ascii="Palatino Linotype" w:hAnsi="Palatino Linotype"/>
          <w:sz w:val="24"/>
          <w:szCs w:val="24"/>
        </w:rPr>
      </w:pPr>
    </w:p>
    <w:p w14:paraId="5DE81160" w14:textId="77777777" w:rsidR="00A25881" w:rsidRPr="00A25881" w:rsidRDefault="00A25881" w:rsidP="00A25881">
      <w:pPr>
        <w:tabs>
          <w:tab w:val="left" w:pos="709"/>
        </w:tabs>
        <w:spacing w:after="0" w:line="360" w:lineRule="auto"/>
        <w:jc w:val="both"/>
        <w:rPr>
          <w:rFonts w:ascii="Palatino Linotype" w:hAnsi="Palatino Linotype"/>
          <w:sz w:val="24"/>
          <w:szCs w:val="24"/>
        </w:rPr>
      </w:pPr>
      <w:r w:rsidRPr="00A25881">
        <w:rPr>
          <w:rFonts w:ascii="Palatino Linotype" w:hAnsi="Palatino Linotype"/>
          <w:sz w:val="24"/>
          <w:szCs w:val="24"/>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w:t>
      </w:r>
      <w:r w:rsidRPr="00A25881">
        <w:rPr>
          <w:rFonts w:ascii="Palatino Linotype" w:hAnsi="Palatino Linotype"/>
          <w:sz w:val="24"/>
          <w:szCs w:val="24"/>
        </w:rPr>
        <w:lastRenderedPageBreak/>
        <w:t>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AEF6BE3" w14:textId="77777777" w:rsidR="00A25881" w:rsidRPr="00A25881" w:rsidRDefault="00A25881" w:rsidP="00A25881">
      <w:pPr>
        <w:tabs>
          <w:tab w:val="left" w:pos="709"/>
        </w:tabs>
        <w:spacing w:after="0" w:line="360" w:lineRule="auto"/>
        <w:jc w:val="both"/>
        <w:rPr>
          <w:rFonts w:ascii="Palatino Linotype" w:hAnsi="Palatino Linotype"/>
          <w:sz w:val="24"/>
          <w:szCs w:val="24"/>
        </w:rPr>
      </w:pPr>
      <w:r w:rsidRPr="00A25881">
        <w:rPr>
          <w:rFonts w:ascii="Palatino Linotype" w:hAnsi="Palatino Linotype"/>
          <w:sz w:val="24"/>
          <w:szCs w:val="24"/>
        </w:rPr>
        <w:t xml:space="preserve"> </w:t>
      </w:r>
    </w:p>
    <w:p w14:paraId="4CEB5A0E" w14:textId="2EF5F0D2" w:rsidR="00A25881" w:rsidRDefault="00A25881" w:rsidP="00A25881">
      <w:pPr>
        <w:tabs>
          <w:tab w:val="left" w:pos="709"/>
        </w:tabs>
        <w:spacing w:after="0" w:line="360" w:lineRule="auto"/>
        <w:jc w:val="both"/>
        <w:rPr>
          <w:rFonts w:ascii="Palatino Linotype" w:hAnsi="Palatino Linotype"/>
          <w:sz w:val="24"/>
          <w:szCs w:val="24"/>
        </w:rPr>
      </w:pPr>
      <w:r w:rsidRPr="00A25881">
        <w:rPr>
          <w:rFonts w:ascii="Palatino Linotype" w:hAnsi="Palatino Linotype"/>
          <w:sz w:val="24"/>
          <w:szCs w:val="24"/>
        </w:rPr>
        <w:t xml:space="preserve">En ese sentido, </w:t>
      </w:r>
      <w:r w:rsidR="00586CFB">
        <w:rPr>
          <w:rFonts w:ascii="Palatino Linotype" w:hAnsi="Palatino Linotype"/>
          <w:sz w:val="24"/>
          <w:szCs w:val="24"/>
        </w:rPr>
        <w:t>se puede hacer notar el</w:t>
      </w:r>
      <w:r w:rsidRPr="00A25881">
        <w:rPr>
          <w:rFonts w:ascii="Palatino Linotype" w:hAnsi="Palatino Linotype"/>
          <w:sz w:val="24"/>
          <w:szCs w:val="24"/>
        </w:rPr>
        <w:t xml:space="preserve"> derecho de todo individuo a no ser conocido por otros en ciertos aspectos de su vida y, por ende, el poder de decisión sobre la publicidad o información de datos relativos a su p</w:t>
      </w:r>
      <w:r w:rsidR="00705761">
        <w:rPr>
          <w:rFonts w:ascii="Palatino Linotype" w:hAnsi="Palatino Linotype"/>
          <w:sz w:val="24"/>
          <w:szCs w:val="24"/>
        </w:rPr>
        <w:t xml:space="preserve">ersona (derecho a la intimidad), aunado al </w:t>
      </w:r>
      <w:r w:rsidRPr="00A25881">
        <w:rPr>
          <w:rFonts w:ascii="Palatino Linotype" w:hAnsi="Palatino Linotype"/>
          <w:sz w:val="24"/>
          <w:szCs w:val="24"/>
        </w:rPr>
        <w:t xml:space="preserve"> derecho a la propia imagen es el derecho de decidir, de forma libre, sobre la manera en que elige mostrarse frente a los demás.</w:t>
      </w:r>
    </w:p>
    <w:p w14:paraId="31112CAE" w14:textId="77777777" w:rsidR="00705761" w:rsidRDefault="00705761" w:rsidP="00A25881">
      <w:pPr>
        <w:tabs>
          <w:tab w:val="left" w:pos="709"/>
        </w:tabs>
        <w:spacing w:after="0" w:line="360" w:lineRule="auto"/>
        <w:jc w:val="both"/>
        <w:rPr>
          <w:rFonts w:ascii="Palatino Linotype" w:hAnsi="Palatino Linotype"/>
          <w:sz w:val="24"/>
          <w:szCs w:val="24"/>
        </w:rPr>
      </w:pPr>
    </w:p>
    <w:p w14:paraId="439F523A" w14:textId="77777777" w:rsidR="00A25881" w:rsidRPr="00A25881" w:rsidRDefault="00A25881" w:rsidP="00A25881">
      <w:pPr>
        <w:tabs>
          <w:tab w:val="left" w:pos="709"/>
        </w:tabs>
        <w:spacing w:after="0" w:line="360" w:lineRule="auto"/>
        <w:jc w:val="both"/>
        <w:rPr>
          <w:rFonts w:ascii="Palatino Linotype" w:hAnsi="Palatino Linotype"/>
          <w:sz w:val="24"/>
          <w:szCs w:val="24"/>
        </w:rPr>
      </w:pPr>
      <w:r w:rsidRPr="00A25881">
        <w:rPr>
          <w:rFonts w:ascii="Palatino Linotype" w:hAnsi="Palatino Linotype"/>
          <w:sz w:val="24"/>
          <w:szCs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3619C0AB" w14:textId="77777777" w:rsidR="00A25881" w:rsidRPr="00A25881" w:rsidRDefault="00A25881" w:rsidP="00A25881">
      <w:pPr>
        <w:tabs>
          <w:tab w:val="left" w:pos="709"/>
        </w:tabs>
        <w:spacing w:after="0" w:line="360" w:lineRule="auto"/>
        <w:jc w:val="both"/>
        <w:rPr>
          <w:rFonts w:ascii="Palatino Linotype" w:hAnsi="Palatino Linotype"/>
          <w:sz w:val="24"/>
          <w:szCs w:val="24"/>
        </w:rPr>
      </w:pPr>
    </w:p>
    <w:p w14:paraId="150134CB" w14:textId="1FA0E0AD" w:rsidR="00A25881" w:rsidRDefault="00A25881" w:rsidP="00A25881">
      <w:pPr>
        <w:tabs>
          <w:tab w:val="left" w:pos="709"/>
        </w:tabs>
        <w:spacing w:after="0" w:line="360" w:lineRule="auto"/>
        <w:jc w:val="both"/>
        <w:rPr>
          <w:rFonts w:ascii="Palatino Linotype" w:hAnsi="Palatino Linotype"/>
          <w:sz w:val="24"/>
          <w:szCs w:val="24"/>
        </w:rPr>
      </w:pPr>
      <w:r w:rsidRPr="00687227">
        <w:rPr>
          <w:rFonts w:ascii="Palatino Linotype" w:hAnsi="Palatino Linotype"/>
          <w:sz w:val="24"/>
          <w:szCs w:val="24"/>
        </w:rPr>
        <w:t xml:space="preserve">Finalmente, no pasa desapercibido que </w:t>
      </w:r>
      <w:r w:rsidR="008A5E0C">
        <w:rPr>
          <w:rFonts w:ascii="Palatino Linotype" w:hAnsi="Palatino Linotype"/>
          <w:sz w:val="24"/>
          <w:szCs w:val="24"/>
        </w:rPr>
        <w:t xml:space="preserve">respecto a </w:t>
      </w:r>
      <w:r w:rsidRPr="00687227">
        <w:rPr>
          <w:rFonts w:ascii="Palatino Linotype" w:hAnsi="Palatino Linotype"/>
          <w:sz w:val="24"/>
          <w:szCs w:val="24"/>
        </w:rPr>
        <w:t xml:space="preserve">la información que </w:t>
      </w:r>
      <w:r w:rsidR="008A5E0C">
        <w:rPr>
          <w:rFonts w:ascii="Palatino Linotype" w:hAnsi="Palatino Linotype"/>
          <w:sz w:val="24"/>
          <w:szCs w:val="24"/>
        </w:rPr>
        <w:t>da</w:t>
      </w:r>
      <w:r w:rsidR="008A5E0C" w:rsidRPr="00687227">
        <w:rPr>
          <w:rFonts w:ascii="Palatino Linotype" w:hAnsi="Palatino Linotype"/>
          <w:sz w:val="24"/>
          <w:szCs w:val="24"/>
        </w:rPr>
        <w:t xml:space="preserve"> </w:t>
      </w:r>
      <w:r w:rsidRPr="00687227">
        <w:rPr>
          <w:rFonts w:ascii="Palatino Linotype" w:hAnsi="Palatino Linotype"/>
          <w:sz w:val="24"/>
          <w:szCs w:val="24"/>
        </w:rPr>
        <w:t xml:space="preserve">cuenta de lo solicitado, </w:t>
      </w:r>
      <w:r w:rsidR="00586CFB">
        <w:rPr>
          <w:rFonts w:ascii="Palatino Linotype" w:hAnsi="Palatino Linotype"/>
          <w:sz w:val="24"/>
          <w:szCs w:val="24"/>
        </w:rPr>
        <w:t xml:space="preserve">que </w:t>
      </w:r>
      <w:r w:rsidR="008A5E0C">
        <w:rPr>
          <w:rFonts w:ascii="Palatino Linotype" w:hAnsi="Palatino Linotype"/>
          <w:sz w:val="24"/>
          <w:szCs w:val="24"/>
        </w:rPr>
        <w:t xml:space="preserve">en </w:t>
      </w:r>
      <w:r w:rsidR="008A5E0C" w:rsidRPr="00291233">
        <w:rPr>
          <w:rFonts w:ascii="Palatino Linotype" w:hAnsi="Palatino Linotype"/>
          <w:sz w:val="24"/>
          <w:szCs w:val="24"/>
        </w:rPr>
        <w:t xml:space="preserve">el presente caso </w:t>
      </w:r>
      <w:r w:rsidR="00586CFB" w:rsidRPr="00291233">
        <w:rPr>
          <w:rFonts w:ascii="Palatino Linotype" w:hAnsi="Palatino Linotype"/>
          <w:color w:val="000000"/>
          <w:sz w:val="24"/>
          <w:szCs w:val="24"/>
        </w:rPr>
        <w:t>e</w:t>
      </w:r>
      <w:r w:rsidR="008A5E0C" w:rsidRPr="00291233">
        <w:rPr>
          <w:rFonts w:ascii="Palatino Linotype" w:hAnsi="Palatino Linotype"/>
          <w:color w:val="000000"/>
          <w:sz w:val="24"/>
          <w:szCs w:val="24"/>
        </w:rPr>
        <w:t xml:space="preserve">l o los expedientes formados con motivo del </w:t>
      </w:r>
      <w:r w:rsidR="008A5E0C" w:rsidRPr="00291233">
        <w:rPr>
          <w:rFonts w:ascii="Palatino Linotype" w:hAnsi="Palatino Linotype"/>
          <w:color w:val="000000"/>
          <w:sz w:val="24"/>
          <w:szCs w:val="24"/>
        </w:rPr>
        <w:lastRenderedPageBreak/>
        <w:t>procedimiento de responsabilidad administrativa, instaurado en la Contraloría Municipal, al Titular de la Tesorería Municipal de la administración 2016-2018</w:t>
      </w:r>
      <w:r w:rsidR="00586CFB" w:rsidRPr="00291233">
        <w:rPr>
          <w:rFonts w:ascii="Palatino Linotype" w:hAnsi="Palatino Linotype"/>
          <w:color w:val="000000"/>
          <w:sz w:val="24"/>
          <w:szCs w:val="24"/>
        </w:rPr>
        <w:t>,</w:t>
      </w:r>
      <w:r w:rsidRPr="00687227">
        <w:rPr>
          <w:rFonts w:ascii="Palatino Linotype" w:hAnsi="Palatino Linotype"/>
          <w:sz w:val="24"/>
          <w:szCs w:val="24"/>
        </w:rPr>
        <w:t xml:space="preserve">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65F24A2B" w14:textId="77777777" w:rsidR="008A5E0C" w:rsidRPr="00687227" w:rsidRDefault="008A5E0C" w:rsidP="00A25881">
      <w:pPr>
        <w:tabs>
          <w:tab w:val="left" w:pos="709"/>
        </w:tabs>
        <w:spacing w:after="0" w:line="360" w:lineRule="auto"/>
        <w:jc w:val="both"/>
        <w:rPr>
          <w:rFonts w:ascii="Palatino Linotype" w:hAnsi="Palatino Linotype"/>
          <w:sz w:val="24"/>
          <w:szCs w:val="24"/>
        </w:rPr>
      </w:pPr>
    </w:p>
    <w:p w14:paraId="27C07F21" w14:textId="77777777" w:rsidR="00A5324A" w:rsidRDefault="00A5324A" w:rsidP="00A25881">
      <w:pPr>
        <w:tabs>
          <w:tab w:val="left" w:pos="709"/>
        </w:tabs>
        <w:spacing w:after="0" w:line="360" w:lineRule="auto"/>
        <w:jc w:val="both"/>
        <w:rPr>
          <w:rFonts w:ascii="Palatino Linotype" w:hAnsi="Palatino Linotype"/>
          <w:sz w:val="24"/>
          <w:szCs w:val="24"/>
        </w:rPr>
      </w:pPr>
    </w:p>
    <w:p w14:paraId="3ACE4748" w14:textId="77777777" w:rsidR="00A5324A" w:rsidRDefault="00A5324A" w:rsidP="00A5324A">
      <w:pPr>
        <w:pStyle w:val="Sinespaciado"/>
        <w:spacing w:line="360" w:lineRule="auto"/>
        <w:jc w:val="both"/>
        <w:rPr>
          <w:rFonts w:cs="Arial"/>
        </w:rPr>
      </w:pPr>
      <w:r w:rsidRPr="00B34BE7">
        <w:rPr>
          <w:rFonts w:ascii="Palatino Linotype" w:hAnsi="Palatino Linotype"/>
          <w:b/>
          <w:i/>
          <w:sz w:val="28"/>
          <w:szCs w:val="28"/>
          <w:u w:val="single"/>
        </w:rPr>
        <w:t>De la Versión Pública.</w:t>
      </w:r>
    </w:p>
    <w:p w14:paraId="169157FF" w14:textId="77777777" w:rsidR="00A5324A" w:rsidRPr="00FE4E57" w:rsidRDefault="00A5324A" w:rsidP="00A532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4E57">
        <w:rPr>
          <w:rFonts w:ascii="Palatino Linotype" w:hAnsi="Palatino Linotype" w:cs="Arial"/>
          <w:sz w:val="24"/>
          <w:szCs w:val="24"/>
        </w:rPr>
        <w:t xml:space="preserve">Debido a que la información requerida se destaca que de acuerdo con la naturaleza de la información, amerita la elaboración de una versión pública, </w:t>
      </w:r>
      <w:r w:rsidRPr="00FE4E5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FE4E5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FE4E5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FE4E57">
        <w:rPr>
          <w:rFonts w:ascii="Palatino Linotype" w:eastAsia="Times New Roman" w:hAnsi="Palatino Linotype" w:cs="Arial"/>
          <w:b/>
          <w:sz w:val="24"/>
          <w:szCs w:val="24"/>
          <w:lang w:val="es-ES" w:eastAsia="es-ES"/>
        </w:rPr>
        <w:t>Registro Federal de Contribuyentes</w:t>
      </w:r>
      <w:r w:rsidRPr="00FE4E57">
        <w:rPr>
          <w:rFonts w:ascii="Palatino Linotype" w:eastAsia="Times New Roman" w:hAnsi="Palatino Linotype" w:cs="Arial"/>
          <w:sz w:val="24"/>
          <w:szCs w:val="24"/>
          <w:lang w:val="es-ES" w:eastAsia="es-ES"/>
        </w:rPr>
        <w:t xml:space="preserve"> (RFC), la </w:t>
      </w:r>
      <w:r w:rsidRPr="00FE4E57">
        <w:rPr>
          <w:rFonts w:ascii="Palatino Linotype" w:eastAsia="Times New Roman" w:hAnsi="Palatino Linotype" w:cs="Arial"/>
          <w:b/>
          <w:sz w:val="24"/>
          <w:szCs w:val="24"/>
          <w:lang w:val="es-ES" w:eastAsia="es-ES"/>
        </w:rPr>
        <w:t>Clave Única de Registro de Población</w:t>
      </w:r>
      <w:r w:rsidRPr="00FE4E57">
        <w:rPr>
          <w:rFonts w:ascii="Palatino Linotype" w:eastAsia="Times New Roman" w:hAnsi="Palatino Linotype" w:cs="Arial"/>
          <w:sz w:val="24"/>
          <w:szCs w:val="24"/>
          <w:lang w:val="es-ES" w:eastAsia="es-ES"/>
        </w:rPr>
        <w:t xml:space="preserve"> (CURP), la </w:t>
      </w:r>
      <w:r w:rsidRPr="00FE4E57">
        <w:rPr>
          <w:rFonts w:ascii="Palatino Linotype" w:eastAsia="Times New Roman" w:hAnsi="Palatino Linotype" w:cs="Arial"/>
          <w:b/>
          <w:sz w:val="24"/>
          <w:szCs w:val="24"/>
          <w:lang w:val="es-ES" w:eastAsia="es-ES"/>
        </w:rPr>
        <w:t>Clave de cualquier tipo de seguridad social</w:t>
      </w:r>
      <w:r w:rsidRPr="00FE4E57">
        <w:rPr>
          <w:rFonts w:ascii="Palatino Linotype" w:eastAsia="Times New Roman" w:hAnsi="Palatino Linotype" w:cs="Arial"/>
          <w:sz w:val="24"/>
          <w:szCs w:val="24"/>
          <w:lang w:val="es-ES" w:eastAsia="es-ES"/>
        </w:rPr>
        <w:t xml:space="preserve"> (ISSEMYM); </w:t>
      </w:r>
      <w:r w:rsidRPr="00FE4E57">
        <w:rPr>
          <w:rFonts w:ascii="Palatino Linotype" w:eastAsia="Times New Roman" w:hAnsi="Palatino Linotype" w:cs="Arial"/>
          <w:b/>
          <w:sz w:val="24"/>
          <w:szCs w:val="24"/>
          <w:lang w:val="es-ES" w:eastAsia="es-ES"/>
        </w:rPr>
        <w:t>préstamos o descuentos</w:t>
      </w:r>
      <w:r w:rsidRPr="00FE4E5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60E99179" w14:textId="77777777" w:rsidR="00A5324A" w:rsidRPr="00FE4E57" w:rsidRDefault="00A5324A" w:rsidP="00A5324A">
      <w:pPr>
        <w:autoSpaceDE w:val="0"/>
        <w:autoSpaceDN w:val="0"/>
        <w:adjustRightInd w:val="0"/>
        <w:spacing w:after="0" w:line="360" w:lineRule="auto"/>
        <w:jc w:val="both"/>
        <w:rPr>
          <w:rFonts w:ascii="Palatino Linotype" w:hAnsi="Palatino Linotype" w:cs="Arial"/>
          <w:sz w:val="24"/>
          <w:szCs w:val="24"/>
        </w:rPr>
      </w:pPr>
    </w:p>
    <w:p w14:paraId="7B7EC5DD" w14:textId="77777777" w:rsidR="00A5324A" w:rsidRPr="00FE4E57" w:rsidRDefault="00A5324A" w:rsidP="00A5324A">
      <w:pPr>
        <w:autoSpaceDE w:val="0"/>
        <w:autoSpaceDN w:val="0"/>
        <w:adjustRightInd w:val="0"/>
        <w:spacing w:line="360" w:lineRule="auto"/>
        <w:ind w:right="-91"/>
        <w:jc w:val="both"/>
        <w:rPr>
          <w:rFonts w:ascii="Palatino Linotype" w:hAnsi="Palatino Linotype"/>
          <w:sz w:val="24"/>
        </w:rPr>
      </w:pPr>
      <w:r w:rsidRPr="00FE4E57">
        <w:rPr>
          <w:rFonts w:ascii="Palatino Linotype" w:hAnsi="Palatino Linotype" w:cs="Arial"/>
          <w:sz w:val="24"/>
          <w:lang w:eastAsia="es-MX"/>
        </w:rPr>
        <w:t xml:space="preserve">Por cuanto hace al </w:t>
      </w:r>
      <w:r w:rsidRPr="00FE4E57">
        <w:rPr>
          <w:rFonts w:ascii="Palatino Linotype" w:hAnsi="Palatino Linotype" w:cs="Arial"/>
          <w:b/>
          <w:sz w:val="24"/>
          <w:lang w:eastAsia="es-MX"/>
        </w:rPr>
        <w:t>Registro Federal de Contribuyentes</w:t>
      </w:r>
      <w:r w:rsidRPr="00FE4E57">
        <w:rPr>
          <w:rFonts w:ascii="Palatino Linotype" w:hAnsi="Palatino Linotype" w:cs="Arial"/>
          <w:sz w:val="24"/>
          <w:lang w:eastAsia="es-MX"/>
        </w:rPr>
        <w:t xml:space="preserve"> </w:t>
      </w:r>
      <w:r w:rsidRPr="00FE4E57">
        <w:rPr>
          <w:rFonts w:ascii="Palatino Linotype" w:hAnsi="Palatino Linotype" w:cs="Arial"/>
          <w:b/>
          <w:sz w:val="24"/>
          <w:lang w:eastAsia="es-MX"/>
        </w:rPr>
        <w:t>de las personas físicas</w:t>
      </w:r>
      <w:r w:rsidRPr="00FE4E57">
        <w:rPr>
          <w:rFonts w:ascii="Palatino Linotype" w:hAnsi="Palatino Linotype" w:cs="Arial"/>
          <w:sz w:val="24"/>
          <w:lang w:eastAsia="es-MX"/>
        </w:rPr>
        <w:t xml:space="preserve"> constituye un dato personal, ya que se genera con caracteres alfanuméricos obtenidos </w:t>
      </w:r>
      <w:r w:rsidRPr="00FE4E57">
        <w:rPr>
          <w:rFonts w:ascii="Palatino Linotype" w:hAnsi="Palatino Linotype" w:cs="Arial"/>
          <w:sz w:val="24"/>
          <w:lang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4E57">
        <w:rPr>
          <w:rFonts w:ascii="Palatino Linotype" w:hAnsi="Palatino Linotype"/>
          <w:sz w:val="24"/>
        </w:rPr>
        <w:t xml:space="preserve"> y finalmente la </w:t>
      </w:r>
      <w:proofErr w:type="spellStart"/>
      <w:r w:rsidRPr="00FE4E57">
        <w:rPr>
          <w:rFonts w:ascii="Palatino Linotype" w:hAnsi="Palatino Linotype"/>
          <w:sz w:val="24"/>
        </w:rPr>
        <w:t>homoclave</w:t>
      </w:r>
      <w:proofErr w:type="spellEnd"/>
      <w:r w:rsidRPr="00FE4E57">
        <w:rPr>
          <w:rFonts w:ascii="Palatino Linotype" w:hAnsi="Palatino Linotype"/>
          <w:sz w:val="24"/>
        </w:rPr>
        <w:t>; la cual para su obtención es necesario acreditar personalidad, fecha de nacimiento entre otros con documentos oficiales.</w:t>
      </w:r>
    </w:p>
    <w:p w14:paraId="4979B99A" w14:textId="77777777" w:rsidR="00A5324A" w:rsidRPr="00FE4E57" w:rsidRDefault="00A5324A" w:rsidP="00A5324A">
      <w:pPr>
        <w:spacing w:after="0" w:line="240" w:lineRule="auto"/>
        <w:rPr>
          <w:rFonts w:ascii="Times New Roman" w:eastAsia="Times New Roman" w:hAnsi="Times New Roman" w:cs="Times New Roman"/>
          <w:sz w:val="24"/>
          <w:szCs w:val="24"/>
          <w:lang w:eastAsia="es-ES"/>
        </w:rPr>
      </w:pPr>
    </w:p>
    <w:p w14:paraId="5DD22EC5" w14:textId="77777777" w:rsidR="00A5324A" w:rsidRPr="00FE4E57" w:rsidRDefault="00A5324A" w:rsidP="00A5324A">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635935FF" w14:textId="77777777" w:rsidR="00A5324A" w:rsidRPr="00FE4E57" w:rsidRDefault="00A5324A" w:rsidP="00A5324A">
      <w:pPr>
        <w:spacing w:after="0" w:line="240" w:lineRule="auto"/>
        <w:rPr>
          <w:rFonts w:ascii="Times New Roman" w:eastAsia="Times New Roman" w:hAnsi="Times New Roman" w:cs="Times New Roman"/>
          <w:sz w:val="24"/>
          <w:szCs w:val="24"/>
          <w:lang w:eastAsia="es-ES"/>
        </w:rPr>
      </w:pPr>
    </w:p>
    <w:p w14:paraId="70797032" w14:textId="77777777" w:rsidR="00A5324A" w:rsidRPr="00FE4E57" w:rsidRDefault="00A5324A" w:rsidP="00A5324A">
      <w:pPr>
        <w:ind w:left="851" w:right="902"/>
        <w:jc w:val="both"/>
        <w:rPr>
          <w:rFonts w:ascii="Palatino Linotype" w:hAnsi="Palatino Linotype" w:cs="Arial"/>
          <w:b/>
          <w:bCs/>
          <w:i/>
        </w:rPr>
      </w:pPr>
      <w:r w:rsidRPr="00FE4E57">
        <w:rPr>
          <w:rFonts w:ascii="Palatino Linotype" w:hAnsi="Palatino Linotype" w:cs="Arial"/>
          <w:b/>
          <w:bCs/>
          <w:i/>
        </w:rPr>
        <w:t xml:space="preserve">“Registro Federal de Contribuyentes (RFC) de personas físicas. </w:t>
      </w:r>
      <w:r w:rsidRPr="00FE4E57">
        <w:rPr>
          <w:rFonts w:ascii="Palatino Linotype" w:hAnsi="Palatino Linotype" w:cs="Arial"/>
          <w:bCs/>
          <w:i/>
        </w:rPr>
        <w:t xml:space="preserve">El RFC es una clave de carácter fiscal, </w:t>
      </w:r>
      <w:proofErr w:type="gramStart"/>
      <w:r w:rsidRPr="00FE4E57">
        <w:rPr>
          <w:rFonts w:ascii="Palatino Linotype" w:hAnsi="Palatino Linotype" w:cs="Arial"/>
          <w:bCs/>
          <w:i/>
        </w:rPr>
        <w:t>única</w:t>
      </w:r>
      <w:proofErr w:type="gramEnd"/>
      <w:r w:rsidRPr="00FE4E57">
        <w:rPr>
          <w:rFonts w:ascii="Palatino Linotype" w:hAnsi="Palatino Linotype" w:cs="Arial"/>
          <w:bCs/>
          <w:i/>
        </w:rPr>
        <w:t xml:space="preserve"> e irrepetible, que permite identificar al titular, su edad y fecha de nacimiento, por lo que es un dato personal de carácter confidencial.</w:t>
      </w:r>
    </w:p>
    <w:p w14:paraId="7DD211F7" w14:textId="77777777" w:rsidR="00A5324A" w:rsidRPr="00FE4E57" w:rsidRDefault="00A5324A" w:rsidP="00A5324A">
      <w:pPr>
        <w:spacing w:after="0" w:line="240" w:lineRule="auto"/>
        <w:rPr>
          <w:rFonts w:ascii="Times New Roman" w:eastAsia="Times New Roman" w:hAnsi="Times New Roman" w:cs="Times New Roman"/>
          <w:sz w:val="24"/>
          <w:szCs w:val="24"/>
          <w:lang w:eastAsia="es-ES"/>
        </w:rPr>
      </w:pPr>
    </w:p>
    <w:p w14:paraId="7F082ED5" w14:textId="77777777" w:rsidR="00A5324A" w:rsidRPr="00FE4E57" w:rsidRDefault="00A5324A" w:rsidP="00A5324A">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Resoluciones:</w:t>
      </w:r>
    </w:p>
    <w:p w14:paraId="77F99630" w14:textId="77777777" w:rsidR="00A5324A" w:rsidRPr="00FE4E57" w:rsidRDefault="00A5324A" w:rsidP="00A5324A">
      <w:pPr>
        <w:spacing w:after="0" w:line="240" w:lineRule="auto"/>
        <w:ind w:left="851" w:right="902"/>
        <w:jc w:val="both"/>
        <w:rPr>
          <w:rFonts w:ascii="Palatino Linotype" w:hAnsi="Palatino Linotype" w:cs="Arial"/>
          <w:bCs/>
          <w:i/>
        </w:rPr>
      </w:pPr>
      <w:r w:rsidRPr="00FE4E57">
        <w:rPr>
          <w:rFonts w:ascii="Palatino Linotype" w:hAnsi="Palatino Linotype" w:cs="Arial"/>
          <w:b/>
          <w:bCs/>
          <w:i/>
        </w:rPr>
        <w:t>•</w:t>
      </w:r>
      <w:r w:rsidRPr="00FE4E57">
        <w:rPr>
          <w:rFonts w:ascii="Palatino Linotype" w:hAnsi="Palatino Linotype" w:cs="Arial"/>
          <w:b/>
          <w:bCs/>
          <w:i/>
        </w:rPr>
        <w:tab/>
        <w:t xml:space="preserve">RRA 0189/17. </w:t>
      </w:r>
      <w:r w:rsidRPr="00FE4E57">
        <w:rPr>
          <w:rFonts w:ascii="Palatino Linotype" w:hAnsi="Palatino Linotype" w:cs="Arial"/>
          <w:bCs/>
          <w:i/>
        </w:rPr>
        <w:t>Morena. 08 de febrero de 2017. Por unanimidad. Comisionado Ponente Joel Salas Suárez.</w:t>
      </w:r>
    </w:p>
    <w:p w14:paraId="3D03B689" w14:textId="77777777" w:rsidR="00A5324A" w:rsidRPr="00FE4E57" w:rsidRDefault="00A5324A" w:rsidP="00A5324A">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w:t>
      </w:r>
      <w:r w:rsidRPr="00FE4E57">
        <w:rPr>
          <w:rFonts w:ascii="Palatino Linotype" w:hAnsi="Palatino Linotype" w:cs="Arial"/>
          <w:b/>
          <w:bCs/>
          <w:i/>
        </w:rPr>
        <w:tab/>
        <w:t xml:space="preserve">RRA 0677/17. </w:t>
      </w:r>
      <w:r w:rsidRPr="00FE4E57">
        <w:rPr>
          <w:rFonts w:ascii="Palatino Linotype" w:hAnsi="Palatino Linotype" w:cs="Arial"/>
          <w:bCs/>
          <w:i/>
        </w:rPr>
        <w:t xml:space="preserve">Universidad Nacional Autónoma de México. 08 de marzo de 2017. Por unanimidad. Comisionado Ponente </w:t>
      </w:r>
      <w:proofErr w:type="spellStart"/>
      <w:r w:rsidRPr="00FE4E57">
        <w:rPr>
          <w:rFonts w:ascii="Palatino Linotype" w:hAnsi="Palatino Linotype" w:cs="Arial"/>
          <w:bCs/>
          <w:i/>
        </w:rPr>
        <w:t>Rosendoevgueni</w:t>
      </w:r>
      <w:proofErr w:type="spellEnd"/>
      <w:r w:rsidRPr="00FE4E57">
        <w:rPr>
          <w:rFonts w:ascii="Palatino Linotype" w:hAnsi="Palatino Linotype" w:cs="Arial"/>
          <w:bCs/>
          <w:i/>
        </w:rPr>
        <w:t xml:space="preserve"> Monterrey </w:t>
      </w:r>
      <w:proofErr w:type="spellStart"/>
      <w:r w:rsidRPr="00FE4E57">
        <w:rPr>
          <w:rFonts w:ascii="Palatino Linotype" w:hAnsi="Palatino Linotype" w:cs="Arial"/>
          <w:bCs/>
          <w:i/>
        </w:rPr>
        <w:t>Chepov</w:t>
      </w:r>
      <w:proofErr w:type="spellEnd"/>
      <w:r w:rsidRPr="00FE4E57">
        <w:rPr>
          <w:rFonts w:ascii="Palatino Linotype" w:hAnsi="Palatino Linotype" w:cs="Arial"/>
          <w:bCs/>
          <w:i/>
        </w:rPr>
        <w:t>.</w:t>
      </w:r>
      <w:r w:rsidRPr="00FE4E57">
        <w:rPr>
          <w:rFonts w:ascii="Palatino Linotype" w:hAnsi="Palatino Linotype" w:cs="Arial"/>
          <w:b/>
          <w:bCs/>
          <w:i/>
        </w:rPr>
        <w:t xml:space="preserve"> </w:t>
      </w:r>
    </w:p>
    <w:p w14:paraId="527E6C6D" w14:textId="77777777" w:rsidR="00A5324A" w:rsidRPr="00FE4E57" w:rsidRDefault="00A5324A" w:rsidP="00A5324A">
      <w:pPr>
        <w:spacing w:after="0" w:line="240" w:lineRule="auto"/>
        <w:ind w:left="851" w:right="900"/>
        <w:jc w:val="both"/>
        <w:rPr>
          <w:rFonts w:ascii="Palatino Linotype" w:hAnsi="Palatino Linotype" w:cs="Arial"/>
          <w:szCs w:val="20"/>
          <w:lang w:eastAsia="es-MX"/>
        </w:rPr>
      </w:pPr>
      <w:r w:rsidRPr="00FE4E57">
        <w:rPr>
          <w:rFonts w:ascii="Palatino Linotype" w:hAnsi="Palatino Linotype" w:cs="Arial"/>
          <w:b/>
          <w:bCs/>
          <w:i/>
        </w:rPr>
        <w:t>•</w:t>
      </w:r>
      <w:r w:rsidRPr="00FE4E57">
        <w:rPr>
          <w:rFonts w:ascii="Palatino Linotype" w:hAnsi="Palatino Linotype" w:cs="Arial"/>
          <w:b/>
          <w:bCs/>
          <w:i/>
        </w:rPr>
        <w:tab/>
        <w:t xml:space="preserve">RRA 1564/17. </w:t>
      </w:r>
      <w:r w:rsidRPr="00FE4E57">
        <w:rPr>
          <w:rFonts w:ascii="Palatino Linotype" w:hAnsi="Palatino Linotype" w:cs="Arial"/>
          <w:bCs/>
          <w:i/>
        </w:rPr>
        <w:t>Tribunal Electoral del Poder Judicial de la Federación. 26 de abril de 2017. Por unanimidad. Comisionado Ponente Oscar Mauricio Guerra Ford</w:t>
      </w:r>
      <w:r w:rsidRPr="00FE4E57">
        <w:rPr>
          <w:rFonts w:ascii="Palatino Linotype" w:hAnsi="Palatino Linotype" w:cs="Arial"/>
          <w:i/>
        </w:rPr>
        <w:t>.”</w:t>
      </w:r>
    </w:p>
    <w:p w14:paraId="57127673" w14:textId="77777777" w:rsidR="00A5324A" w:rsidRPr="00FE4E57" w:rsidRDefault="00A5324A" w:rsidP="00A5324A">
      <w:pPr>
        <w:jc w:val="both"/>
        <w:rPr>
          <w:rFonts w:ascii="Palatino Linotype" w:hAnsi="Palatino Linotype" w:cs="Arial"/>
          <w:sz w:val="16"/>
          <w:szCs w:val="16"/>
          <w:lang w:eastAsia="es-MX"/>
        </w:rPr>
      </w:pPr>
    </w:p>
    <w:p w14:paraId="7A570658" w14:textId="77777777" w:rsidR="00A5324A" w:rsidRPr="00FE4E57" w:rsidRDefault="00A5324A" w:rsidP="00A5324A">
      <w:pPr>
        <w:spacing w:line="360" w:lineRule="auto"/>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w:t>
      </w:r>
      <w:r w:rsidRPr="00FE4E57">
        <w:rPr>
          <w:rFonts w:ascii="Palatino Linotype" w:hAnsi="Palatino Linotype" w:cs="Arial"/>
          <w:sz w:val="24"/>
          <w:lang w:eastAsia="es-MX"/>
        </w:rPr>
        <w:lastRenderedPageBreak/>
        <w:t>la Ley de Transparencia y Acceso a la Información Pública del Estado de México y Municipios y 4 fracción VII de la Ley de Protección de Datos Personales del Estado de México.</w:t>
      </w:r>
    </w:p>
    <w:p w14:paraId="779B65BC" w14:textId="77777777" w:rsidR="00A5324A" w:rsidRPr="00FE4E57" w:rsidRDefault="00A5324A" w:rsidP="00A5324A">
      <w:pPr>
        <w:ind w:right="-93"/>
        <w:jc w:val="both"/>
        <w:rPr>
          <w:rFonts w:ascii="Palatino Linotype" w:hAnsi="Palatino Linotype" w:cs="Arial"/>
          <w:sz w:val="16"/>
          <w:szCs w:val="16"/>
          <w:lang w:eastAsia="es-MX"/>
        </w:rPr>
      </w:pPr>
    </w:p>
    <w:p w14:paraId="1F9AE299" w14:textId="77777777" w:rsidR="00A5324A" w:rsidRPr="00FE4E57" w:rsidRDefault="00A5324A" w:rsidP="00A5324A">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igual manera la </w:t>
      </w:r>
      <w:r w:rsidRPr="00FE4E57">
        <w:rPr>
          <w:rFonts w:ascii="Palatino Linotype" w:hAnsi="Palatino Linotype" w:cs="Arial"/>
          <w:b/>
          <w:sz w:val="24"/>
        </w:rPr>
        <w:t xml:space="preserve">Clave Única de Registro de Población, </w:t>
      </w:r>
      <w:r w:rsidRPr="00FE4E5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3F3C075" w14:textId="77777777" w:rsidR="00A5324A" w:rsidRPr="00FE4E57" w:rsidRDefault="00A5324A" w:rsidP="00A5324A">
      <w:pPr>
        <w:spacing w:after="0" w:line="360" w:lineRule="auto"/>
        <w:ind w:right="-93"/>
        <w:jc w:val="both"/>
        <w:rPr>
          <w:rFonts w:ascii="Palatino Linotype" w:hAnsi="Palatino Linotype" w:cs="Arial"/>
          <w:sz w:val="24"/>
          <w:lang w:eastAsia="es-MX"/>
        </w:rPr>
      </w:pPr>
    </w:p>
    <w:p w14:paraId="092AF6D0" w14:textId="77777777" w:rsidR="00A5324A" w:rsidRPr="00FE4E57" w:rsidRDefault="00A5324A" w:rsidP="00A5324A">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Lo anterior, tiene sustento en los artículos 86 y 91, de la Ley General de Población, la cual señala lo siguiente:</w:t>
      </w:r>
    </w:p>
    <w:p w14:paraId="504B46C7" w14:textId="77777777" w:rsidR="00A5324A" w:rsidRPr="00FE4E57" w:rsidRDefault="00A5324A" w:rsidP="00A5324A">
      <w:pPr>
        <w:spacing w:after="0" w:line="240" w:lineRule="auto"/>
        <w:rPr>
          <w:rFonts w:ascii="Times New Roman" w:hAnsi="Times New Roman" w:cs="Times New Roman"/>
          <w:sz w:val="24"/>
          <w:szCs w:val="24"/>
          <w:lang w:eastAsia="es-MX"/>
        </w:rPr>
      </w:pPr>
    </w:p>
    <w:p w14:paraId="72E7297D" w14:textId="77777777" w:rsidR="00A5324A" w:rsidRPr="00FE4E57" w:rsidRDefault="00A5324A" w:rsidP="00A5324A">
      <w:pPr>
        <w:spacing w:after="0" w:line="240" w:lineRule="auto"/>
        <w:rPr>
          <w:rFonts w:ascii="Times New Roman" w:eastAsia="Times New Roman" w:hAnsi="Times New Roman" w:cs="Times New Roman"/>
          <w:sz w:val="4"/>
          <w:szCs w:val="24"/>
          <w:lang w:eastAsia="es-MX"/>
        </w:rPr>
      </w:pPr>
    </w:p>
    <w:p w14:paraId="292FA183" w14:textId="77777777" w:rsidR="00A5324A" w:rsidRPr="00FE4E57" w:rsidRDefault="00A5324A" w:rsidP="00A5324A">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86. </w:t>
      </w:r>
      <w:r w:rsidRPr="00FE4E57">
        <w:rPr>
          <w:rFonts w:ascii="Palatino Linotype" w:hAnsi="Palatino Linotype" w:cs="Arial"/>
          <w:i/>
          <w:lang w:eastAsia="es-MX"/>
        </w:rPr>
        <w:t xml:space="preserve">El </w:t>
      </w:r>
      <w:r w:rsidRPr="00FE4E57">
        <w:rPr>
          <w:rFonts w:ascii="Palatino Linotype" w:hAnsi="Palatino Linotype" w:cs="Arial"/>
          <w:i/>
          <w:color w:val="000000"/>
        </w:rPr>
        <w:t>Registro</w:t>
      </w:r>
      <w:r w:rsidRPr="00FE4E57">
        <w:rPr>
          <w:rFonts w:ascii="Palatino Linotype" w:hAnsi="Palatino Linotype" w:cs="Arial"/>
          <w:i/>
          <w:lang w:eastAsia="es-MX"/>
        </w:rPr>
        <w:t xml:space="preserve"> Nacional </w:t>
      </w:r>
      <w:r w:rsidRPr="00FE4E57">
        <w:rPr>
          <w:rFonts w:ascii="Palatino Linotype" w:hAnsi="Palatino Linotype" w:cs="Arial"/>
          <w:i/>
        </w:rPr>
        <w:t>de</w:t>
      </w:r>
      <w:r w:rsidRPr="00FE4E57">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2353F73B" w14:textId="77777777" w:rsidR="00A5324A" w:rsidRPr="00FE4E57" w:rsidRDefault="00A5324A" w:rsidP="00A5324A">
      <w:pPr>
        <w:spacing w:after="0" w:line="276" w:lineRule="auto"/>
        <w:ind w:left="851" w:right="900"/>
        <w:jc w:val="both"/>
        <w:rPr>
          <w:rFonts w:ascii="Palatino Linotype" w:hAnsi="Palatino Linotype" w:cs="Arial,Bold"/>
          <w:b/>
          <w:bCs/>
          <w:i/>
          <w:lang w:eastAsia="es-MX"/>
        </w:rPr>
      </w:pPr>
    </w:p>
    <w:p w14:paraId="674067B3" w14:textId="77777777" w:rsidR="00A5324A" w:rsidRPr="00FE4E57" w:rsidRDefault="00A5324A" w:rsidP="00A5324A">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91. </w:t>
      </w:r>
      <w:r w:rsidRPr="00FE4E57">
        <w:rPr>
          <w:rFonts w:ascii="Palatino Linotype" w:hAnsi="Palatino Linotype" w:cs="Arial"/>
          <w:i/>
          <w:lang w:eastAsia="es-MX"/>
        </w:rPr>
        <w:t xml:space="preserve">Al incorporar a una persona en el Registro Nacional de Población, se le asignará una clave que se denominará </w:t>
      </w:r>
      <w:r w:rsidRPr="00FE4E57">
        <w:rPr>
          <w:rFonts w:ascii="Palatino Linotype" w:hAnsi="Palatino Linotype" w:cs="Arial"/>
          <w:i/>
          <w:color w:val="000000"/>
        </w:rPr>
        <w:t>Clave</w:t>
      </w:r>
      <w:r w:rsidRPr="00FE4E57">
        <w:rPr>
          <w:rFonts w:ascii="Palatino Linotype" w:hAnsi="Palatino Linotype" w:cs="Arial"/>
          <w:i/>
          <w:lang w:eastAsia="es-MX"/>
        </w:rPr>
        <w:t xml:space="preserve"> Única de Registro de Población. Esta servirá para registrarla e identificarla en forma </w:t>
      </w:r>
      <w:r w:rsidRPr="00FE4E57">
        <w:rPr>
          <w:rFonts w:ascii="Palatino Linotype" w:hAnsi="Palatino Linotype" w:cs="Arial"/>
          <w:i/>
        </w:rPr>
        <w:t>individual</w:t>
      </w:r>
      <w:r w:rsidRPr="00FE4E57">
        <w:rPr>
          <w:rFonts w:ascii="Palatino Linotype" w:hAnsi="Palatino Linotype" w:cs="Arial"/>
          <w:i/>
          <w:lang w:eastAsia="es-MX"/>
        </w:rPr>
        <w:t>.”</w:t>
      </w:r>
    </w:p>
    <w:p w14:paraId="2CD732FE" w14:textId="77777777" w:rsidR="00A5324A" w:rsidRPr="00FE4E57" w:rsidRDefault="00A5324A" w:rsidP="00A5324A">
      <w:pPr>
        <w:spacing w:after="0" w:line="276" w:lineRule="auto"/>
        <w:ind w:left="851" w:right="900"/>
        <w:jc w:val="both"/>
        <w:rPr>
          <w:rFonts w:ascii="Palatino Linotype" w:hAnsi="Palatino Linotype" w:cs="Arial"/>
          <w:i/>
          <w:lang w:eastAsia="es-MX"/>
        </w:rPr>
      </w:pPr>
    </w:p>
    <w:p w14:paraId="56CC0281" w14:textId="77777777" w:rsidR="00A5324A" w:rsidRPr="00FE4E57" w:rsidRDefault="00A5324A" w:rsidP="00A5324A">
      <w:pPr>
        <w:shd w:val="clear" w:color="auto" w:fill="FFFFFF"/>
        <w:spacing w:after="0" w:line="360" w:lineRule="auto"/>
        <w:jc w:val="both"/>
        <w:rPr>
          <w:rFonts w:ascii="Palatino Linotype" w:hAnsi="Palatino Linotype"/>
          <w:sz w:val="24"/>
          <w:lang w:eastAsia="es-MX"/>
        </w:rPr>
      </w:pPr>
      <w:r w:rsidRPr="00FE4E57">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FE4E57">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FE4E57">
        <w:rPr>
          <w:rFonts w:ascii="Palatino Linotype" w:hAnsi="Palatino Linotype"/>
          <w:sz w:val="24"/>
          <w:lang w:eastAsia="es-MX"/>
        </w:rPr>
        <w:t xml:space="preserve">; sexo; entidad federativa o lugar </w:t>
      </w:r>
      <w:r w:rsidRPr="00FE4E57">
        <w:rPr>
          <w:rFonts w:ascii="Palatino Linotype" w:hAnsi="Palatino Linotype"/>
          <w:sz w:val="24"/>
          <w:lang w:eastAsia="es-MX"/>
        </w:rPr>
        <w:lastRenderedPageBreak/>
        <w:t xml:space="preserve">de nacimiento; finalmente una </w:t>
      </w:r>
      <w:proofErr w:type="spellStart"/>
      <w:r w:rsidRPr="00FE4E57">
        <w:rPr>
          <w:rFonts w:ascii="Palatino Linotype" w:hAnsi="Palatino Linotype"/>
          <w:sz w:val="24"/>
          <w:lang w:eastAsia="es-MX"/>
        </w:rPr>
        <w:t>homoclave</w:t>
      </w:r>
      <w:proofErr w:type="spellEnd"/>
      <w:r w:rsidRPr="00FE4E57">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6B88EC99" w14:textId="77777777" w:rsidR="00A5324A" w:rsidRPr="00FE4E57" w:rsidRDefault="00A5324A" w:rsidP="00A5324A">
      <w:pPr>
        <w:spacing w:line="360" w:lineRule="auto"/>
        <w:ind w:right="-91"/>
        <w:jc w:val="both"/>
        <w:rPr>
          <w:rFonts w:ascii="Palatino Linotype" w:hAnsi="Palatino Linotype" w:cs="Arial"/>
          <w:sz w:val="24"/>
          <w:lang w:eastAsia="es-MX"/>
        </w:rPr>
      </w:pPr>
    </w:p>
    <w:p w14:paraId="7EE98C56" w14:textId="77777777" w:rsidR="00A5324A" w:rsidRPr="00FE4E57" w:rsidRDefault="00A5324A" w:rsidP="00A5324A">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INAI a través del Criterio 18/17, señala literalmente lo siguiente:</w:t>
      </w:r>
    </w:p>
    <w:p w14:paraId="60B9A8AA" w14:textId="77777777" w:rsidR="00A5324A" w:rsidRPr="00FE4E57" w:rsidRDefault="00A5324A" w:rsidP="00A5324A">
      <w:pPr>
        <w:spacing w:before="120" w:after="120"/>
        <w:ind w:left="851" w:right="900"/>
        <w:jc w:val="both"/>
        <w:rPr>
          <w:rFonts w:ascii="Palatino Linotype" w:hAnsi="Palatino Linotype" w:cs="Arial"/>
          <w:i/>
          <w:lang w:eastAsia="es-MX"/>
        </w:rPr>
      </w:pPr>
      <w:r w:rsidRPr="00FE4E57">
        <w:rPr>
          <w:rFonts w:ascii="Palatino Linotype" w:hAnsi="Palatino Linotype" w:cs="Arial"/>
          <w:b/>
          <w:bCs/>
          <w:i/>
          <w:lang w:eastAsia="es-MX"/>
        </w:rPr>
        <w:t>“Clave Única de Registro de Población (CURP)</w:t>
      </w:r>
      <w:r w:rsidRPr="00FE4E57">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D88717A" w14:textId="77777777" w:rsidR="00A5324A" w:rsidRPr="00FE4E57" w:rsidRDefault="00A5324A" w:rsidP="00A5324A">
      <w:pPr>
        <w:spacing w:before="120" w:after="120"/>
        <w:ind w:left="851" w:right="900"/>
        <w:jc w:val="both"/>
        <w:rPr>
          <w:rFonts w:ascii="Palatino Linotype" w:hAnsi="Palatino Linotype" w:cs="Arial"/>
          <w:i/>
          <w:lang w:eastAsia="es-MX"/>
        </w:rPr>
      </w:pPr>
    </w:p>
    <w:p w14:paraId="0676287F" w14:textId="77777777" w:rsidR="00A5324A" w:rsidRPr="00FE4E57" w:rsidRDefault="00A5324A" w:rsidP="00A5324A">
      <w:pPr>
        <w:spacing w:after="0" w:line="240" w:lineRule="auto"/>
        <w:ind w:left="851" w:right="900"/>
        <w:jc w:val="both"/>
        <w:rPr>
          <w:rFonts w:ascii="Palatino Linotype" w:hAnsi="Palatino Linotype" w:cs="Arial"/>
          <w:b/>
          <w:i/>
          <w:lang w:eastAsia="es-MX"/>
        </w:rPr>
      </w:pPr>
      <w:r w:rsidRPr="00FE4E57">
        <w:rPr>
          <w:rFonts w:ascii="Palatino Linotype" w:hAnsi="Palatino Linotype" w:cs="Arial"/>
          <w:b/>
          <w:i/>
          <w:lang w:eastAsia="es-MX"/>
        </w:rPr>
        <w:t>Resoluciones:</w:t>
      </w:r>
    </w:p>
    <w:p w14:paraId="7DFC3513" w14:textId="77777777" w:rsidR="00A5324A" w:rsidRPr="00FE4E57" w:rsidRDefault="00A5324A" w:rsidP="00A5324A">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3995/16</w:t>
      </w:r>
      <w:r w:rsidRPr="00FE4E57">
        <w:rPr>
          <w:rFonts w:ascii="Palatino Linotype" w:hAnsi="Palatino Linotype" w:cs="Arial"/>
          <w:i/>
          <w:lang w:eastAsia="es-MX"/>
        </w:rPr>
        <w:t xml:space="preserve">. Secretaría de la Defensa Nacional. 1 de febrero de 2017. Por unanimidad. Comisionado Ponente </w:t>
      </w:r>
      <w:proofErr w:type="spellStart"/>
      <w:r w:rsidRPr="00FE4E57">
        <w:rPr>
          <w:rFonts w:ascii="Palatino Linotype" w:hAnsi="Palatino Linotype" w:cs="Arial"/>
          <w:i/>
          <w:lang w:eastAsia="es-MX"/>
        </w:rPr>
        <w:t>Rosendoevgueni</w:t>
      </w:r>
      <w:proofErr w:type="spellEnd"/>
      <w:r w:rsidRPr="00FE4E57">
        <w:rPr>
          <w:rFonts w:ascii="Palatino Linotype" w:hAnsi="Palatino Linotype" w:cs="Arial"/>
          <w:i/>
          <w:lang w:eastAsia="es-MX"/>
        </w:rPr>
        <w:t xml:space="preserve"> Monterrey </w:t>
      </w:r>
      <w:proofErr w:type="spellStart"/>
      <w:r w:rsidRPr="00FE4E57">
        <w:rPr>
          <w:rFonts w:ascii="Palatino Linotype" w:hAnsi="Palatino Linotype" w:cs="Arial"/>
          <w:i/>
          <w:lang w:eastAsia="es-MX"/>
        </w:rPr>
        <w:t>Chepov</w:t>
      </w:r>
      <w:proofErr w:type="spellEnd"/>
      <w:r w:rsidRPr="00FE4E57">
        <w:rPr>
          <w:rFonts w:ascii="Palatino Linotype" w:hAnsi="Palatino Linotype" w:cs="Arial"/>
          <w:i/>
          <w:lang w:eastAsia="es-MX"/>
        </w:rPr>
        <w:t>.</w:t>
      </w:r>
    </w:p>
    <w:p w14:paraId="4F8D08CC" w14:textId="77777777" w:rsidR="00A5324A" w:rsidRPr="00FE4E57" w:rsidRDefault="00A5324A" w:rsidP="00A5324A">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0937/17</w:t>
      </w:r>
      <w:r w:rsidRPr="00FE4E57">
        <w:rPr>
          <w:rFonts w:ascii="Palatino Linotype" w:hAnsi="Palatino Linotype" w:cs="Arial"/>
          <w:i/>
          <w:lang w:eastAsia="es-MX"/>
        </w:rPr>
        <w:t xml:space="preserve">. Senado de la República. 15 de marzo de 2017. Por unanimidad. Comisionada Ponente Ximena Puente de la Mora. </w:t>
      </w:r>
    </w:p>
    <w:p w14:paraId="70974D5A" w14:textId="77777777" w:rsidR="00A5324A" w:rsidRPr="00FE4E57" w:rsidRDefault="00A5324A" w:rsidP="00A5324A">
      <w:pPr>
        <w:spacing w:after="0" w:line="240" w:lineRule="auto"/>
        <w:ind w:left="851" w:right="900"/>
        <w:jc w:val="both"/>
        <w:rPr>
          <w:rFonts w:ascii="Palatino Linotype" w:hAnsi="Palatino Linotype" w:cs="Arial"/>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0478/17</w:t>
      </w:r>
      <w:r w:rsidRPr="00FE4E57">
        <w:rPr>
          <w:rFonts w:ascii="Palatino Linotype" w:hAnsi="Palatino Linotype" w:cs="Arial"/>
          <w:i/>
          <w:lang w:eastAsia="es-MX"/>
        </w:rPr>
        <w:t>. Secretaría de Relaciones Exteriores. 26 de abril de 2017. Por unanimidad. Comisionada Ponente Areli Cano Guadiana.</w:t>
      </w:r>
      <w:r w:rsidRPr="00FE4E57">
        <w:rPr>
          <w:rFonts w:ascii="Palatino Linotype" w:hAnsi="Palatino Linotype" w:cs="Arial"/>
          <w:i/>
        </w:rPr>
        <w:t>”</w:t>
      </w:r>
    </w:p>
    <w:p w14:paraId="777F6E54" w14:textId="77777777" w:rsidR="00A5324A" w:rsidRPr="00FE4E57" w:rsidRDefault="00A5324A" w:rsidP="00A5324A">
      <w:pPr>
        <w:spacing w:line="360" w:lineRule="auto"/>
        <w:ind w:left="851" w:right="900"/>
        <w:jc w:val="both"/>
        <w:rPr>
          <w:rFonts w:ascii="Palatino Linotype" w:hAnsi="Palatino Linotype" w:cs="Arial"/>
          <w:sz w:val="16"/>
          <w:szCs w:val="16"/>
          <w:lang w:eastAsia="es-MX"/>
        </w:rPr>
      </w:pPr>
    </w:p>
    <w:p w14:paraId="6EB87770" w14:textId="77777777" w:rsidR="00A5324A" w:rsidRPr="00FE4E57" w:rsidRDefault="00A5324A" w:rsidP="00A5324A">
      <w:pPr>
        <w:spacing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la </w:t>
      </w:r>
      <w:r w:rsidRPr="00FE4E57">
        <w:rPr>
          <w:rFonts w:ascii="Palatino Linotype" w:hAnsi="Palatino Linotype"/>
          <w:sz w:val="24"/>
          <w:lang w:eastAsia="es-MX"/>
        </w:rPr>
        <w:t xml:space="preserve">Clave Única de Registro de Población, </w:t>
      </w:r>
      <w:r w:rsidRPr="00FE4E57">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CAE552" w14:textId="77777777" w:rsidR="00A5324A" w:rsidRPr="00FE4E57" w:rsidRDefault="00A5324A" w:rsidP="00A5324A">
      <w:pPr>
        <w:spacing w:after="0" w:line="240" w:lineRule="auto"/>
        <w:rPr>
          <w:rFonts w:ascii="Times New Roman" w:eastAsia="Times New Roman" w:hAnsi="Times New Roman" w:cs="Times New Roman"/>
          <w:sz w:val="24"/>
          <w:szCs w:val="24"/>
          <w:lang w:eastAsia="es-ES"/>
        </w:rPr>
      </w:pPr>
    </w:p>
    <w:p w14:paraId="43CC4857" w14:textId="77777777" w:rsidR="00A5324A" w:rsidRPr="00FE4E57" w:rsidRDefault="00A5324A" w:rsidP="00A5324A">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Por cuanto hace a la </w:t>
      </w:r>
      <w:r w:rsidRPr="00FE4E57">
        <w:rPr>
          <w:rFonts w:ascii="Palatino Linotype" w:hAnsi="Palatino Linotype" w:cs="Arial"/>
          <w:b/>
          <w:sz w:val="24"/>
        </w:rPr>
        <w:t>Clave de cualquier tipo de seguridad social</w:t>
      </w:r>
      <w:r w:rsidRPr="00FE4E57">
        <w:rPr>
          <w:rFonts w:ascii="Palatino Linotype" w:hAnsi="Palatino Linotype" w:cs="Arial"/>
          <w:sz w:val="24"/>
        </w:rPr>
        <w:t xml:space="preserve"> (ISSEMYM, u otros), está integrada por una </w:t>
      </w:r>
      <w:r w:rsidRPr="00FE4E5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E4E5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F000B5F" w14:textId="77777777" w:rsidR="00A5324A" w:rsidRPr="00FE4E57" w:rsidRDefault="00A5324A" w:rsidP="00A5324A">
      <w:pPr>
        <w:widowControl w:val="0"/>
        <w:autoSpaceDE w:val="0"/>
        <w:autoSpaceDN w:val="0"/>
        <w:adjustRightInd w:val="0"/>
        <w:spacing w:after="0" w:line="360" w:lineRule="auto"/>
        <w:jc w:val="both"/>
        <w:rPr>
          <w:rFonts w:ascii="Palatino Linotype" w:hAnsi="Palatino Linotype" w:cs="Arial"/>
          <w:sz w:val="24"/>
          <w:lang w:val="es-ES_tradnl"/>
        </w:rPr>
      </w:pPr>
    </w:p>
    <w:p w14:paraId="6430AADA" w14:textId="02DD6A60"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w:t>
      </w:r>
      <w:r w:rsidR="00A27F1A">
        <w:rPr>
          <w:rFonts w:ascii="Palatino Linotype" w:eastAsia="Times New Roman" w:hAnsi="Palatino Linotype" w:cs="Times New Roman"/>
          <w:sz w:val="24"/>
          <w:szCs w:val="24"/>
          <w:lang w:eastAsia="es-ES"/>
        </w:rPr>
        <w:t xml:space="preserve">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Pr>
          <w:rFonts w:ascii="Palatino Linotype" w:eastAsia="Times New Roman" w:hAnsi="Palatino Linotype" w:cs="Arial"/>
          <w:sz w:val="24"/>
          <w:szCs w:val="24"/>
          <w:lang w:eastAsia="es-ES"/>
        </w:rPr>
        <w:t xml:space="preserve"> </w:t>
      </w:r>
      <w:r w:rsidR="008A0F37">
        <w:rPr>
          <w:rFonts w:ascii="Palatino Linotype" w:eastAsia="Times New Roman" w:hAnsi="Palatino Linotype" w:cs="Arial"/>
          <w:sz w:val="24"/>
          <w:szCs w:val="24"/>
          <w:lang w:eastAsia="es-ES"/>
        </w:rPr>
        <w:t>segunda</w:t>
      </w:r>
      <w:r w:rsidR="00551772">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hipótesis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A0F37">
        <w:rPr>
          <w:rFonts w:ascii="Palatino Linotype" w:eastAsia="Times New Roman" w:hAnsi="Palatino Linotype" w:cs="Arial"/>
          <w:b/>
          <w:sz w:val="24"/>
          <w:szCs w:val="24"/>
          <w:lang w:eastAsia="es-ES"/>
        </w:rPr>
        <w:t xml:space="preserve">MODIFICA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A27F1A" w:rsidRPr="00A6655B">
        <w:rPr>
          <w:rFonts w:ascii="Palatino Linotype" w:hAnsi="Palatino Linotype" w:cs="Arial"/>
          <w:b/>
          <w:sz w:val="24"/>
        </w:rPr>
        <w:t>00130/CAPULHUA/IP/2021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3A176229" w14:textId="77777777"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p>
    <w:p w14:paraId="2E1D8720" w14:textId="77777777"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DD5B45C" w14:textId="77777777" w:rsidR="00C8502B" w:rsidRPr="00AA0B5C" w:rsidRDefault="00586FBF" w:rsidP="00586FBF">
      <w:pPr>
        <w:pStyle w:val="NormalWeb"/>
        <w:spacing w:line="360" w:lineRule="auto"/>
        <w:ind w:left="1080"/>
        <w:jc w:val="center"/>
        <w:rPr>
          <w:rFonts w:ascii="Palatino Linotype" w:hAnsi="Palatino Linotype" w:cs="Arial"/>
          <w:b/>
        </w:rPr>
      </w:pPr>
      <w:r>
        <w:rPr>
          <w:rFonts w:ascii="Palatino Linotype" w:hAnsi="Palatino Linotype" w:cs="Arial"/>
          <w:b/>
        </w:rPr>
        <w:t xml:space="preserve">SE      </w:t>
      </w:r>
      <w:r w:rsidR="00C8502B" w:rsidRPr="00AA0B5C">
        <w:rPr>
          <w:rFonts w:ascii="Palatino Linotype" w:hAnsi="Palatino Linotype" w:cs="Arial"/>
          <w:b/>
        </w:rPr>
        <w:t>R E S U E L V E:</w:t>
      </w:r>
    </w:p>
    <w:p w14:paraId="4A75102D" w14:textId="15158D5E" w:rsidR="00C8502B" w:rsidRDefault="005D1B8D" w:rsidP="00687227">
      <w:pPr>
        <w:spacing w:after="0" w:line="360" w:lineRule="auto"/>
        <w:jc w:val="both"/>
        <w:rPr>
          <w:rFonts w:ascii="Palatino Linotype" w:hAnsi="Palatino Linotype" w:cs="Arial"/>
          <w:b/>
          <w:sz w:val="24"/>
          <w:szCs w:val="24"/>
        </w:rPr>
      </w:pPr>
      <w:r w:rsidRPr="005E6A50">
        <w:rPr>
          <w:rFonts w:ascii="Palatino Linotype" w:hAnsi="Palatino Linotype" w:cs="Arial"/>
          <w:b/>
          <w:sz w:val="24"/>
          <w:szCs w:val="24"/>
        </w:rPr>
        <w:t>PRIMERO</w:t>
      </w:r>
      <w:r w:rsidR="00C8502B" w:rsidRPr="005E6A50">
        <w:rPr>
          <w:rFonts w:ascii="Palatino Linotype" w:hAnsi="Palatino Linotype" w:cs="Arial"/>
          <w:b/>
          <w:sz w:val="24"/>
          <w:szCs w:val="24"/>
        </w:rPr>
        <w:t xml:space="preserve">. </w:t>
      </w:r>
      <w:bookmarkStart w:id="1" w:name="_Hlk63453450"/>
      <w:bookmarkStart w:id="2" w:name="_Hlk63431287"/>
      <w:r w:rsidR="00C8502B" w:rsidRPr="005E6A50">
        <w:rPr>
          <w:rFonts w:ascii="Palatino Linotype" w:hAnsi="Palatino Linotype" w:cs="Arial"/>
          <w:sz w:val="24"/>
          <w:szCs w:val="24"/>
        </w:rPr>
        <w:t xml:space="preserve">Son fundados los motivos de inconformidad aducidos por </w:t>
      </w:r>
      <w:r w:rsidR="00687227">
        <w:rPr>
          <w:rFonts w:ascii="Palatino Linotype" w:hAnsi="Palatino Linotype" w:cs="Arial"/>
          <w:b/>
          <w:sz w:val="24"/>
          <w:szCs w:val="24"/>
        </w:rPr>
        <w:t>El</w:t>
      </w:r>
      <w:r w:rsidR="00C8502B" w:rsidRPr="005E6A50">
        <w:rPr>
          <w:rFonts w:ascii="Palatino Linotype" w:hAnsi="Palatino Linotype" w:cs="Arial"/>
          <w:b/>
          <w:sz w:val="24"/>
          <w:szCs w:val="24"/>
        </w:rPr>
        <w:t xml:space="preserve"> </w:t>
      </w:r>
      <w:r w:rsidR="00687227">
        <w:rPr>
          <w:rFonts w:ascii="Palatino Linotype" w:hAnsi="Palatino Linotype" w:cs="Arial"/>
          <w:b/>
          <w:sz w:val="24"/>
          <w:szCs w:val="24"/>
        </w:rPr>
        <w:t>R</w:t>
      </w:r>
      <w:r w:rsidR="00C8502B" w:rsidRPr="005E6A50">
        <w:rPr>
          <w:rFonts w:ascii="Palatino Linotype" w:hAnsi="Palatino Linotype" w:cs="Arial"/>
          <w:b/>
          <w:sz w:val="24"/>
          <w:szCs w:val="24"/>
        </w:rPr>
        <w:t>ecurrente</w:t>
      </w:r>
      <w:r w:rsidR="00C8502B" w:rsidRPr="005E6A50">
        <w:rPr>
          <w:rFonts w:ascii="Palatino Linotype" w:eastAsia="Arial Unicode MS" w:hAnsi="Palatino Linotype" w:cs="Arial"/>
          <w:sz w:val="24"/>
          <w:szCs w:val="24"/>
        </w:rPr>
        <w:t xml:space="preserve"> </w:t>
      </w:r>
      <w:bookmarkStart w:id="3" w:name="_Hlk62112942"/>
      <w:r w:rsidR="00C8502B" w:rsidRPr="005E6A50">
        <w:rPr>
          <w:rFonts w:ascii="Palatino Linotype" w:eastAsia="Arial Unicode MS" w:hAnsi="Palatino Linotype" w:cs="Arial"/>
          <w:sz w:val="24"/>
          <w:szCs w:val="24"/>
        </w:rPr>
        <w:t xml:space="preserve">en el Recurso de Revisión </w:t>
      </w:r>
      <w:r w:rsidR="00A27F1A">
        <w:rPr>
          <w:rFonts w:ascii="Palatino Linotype" w:eastAsia="Arial Unicode MS" w:hAnsi="Palatino Linotype" w:cs="Arial"/>
          <w:b/>
          <w:bCs/>
          <w:sz w:val="24"/>
          <w:szCs w:val="24"/>
        </w:rPr>
        <w:t>04885</w:t>
      </w:r>
      <w:r w:rsidR="000C5D1F">
        <w:rPr>
          <w:rFonts w:ascii="Palatino Linotype" w:eastAsia="Arial Unicode MS" w:hAnsi="Palatino Linotype" w:cs="Arial"/>
          <w:b/>
          <w:bCs/>
          <w:sz w:val="24"/>
          <w:szCs w:val="24"/>
        </w:rPr>
        <w:t>/</w:t>
      </w:r>
      <w:r w:rsidR="00C8502B" w:rsidRPr="005E6A50">
        <w:rPr>
          <w:rFonts w:ascii="Palatino Linotype" w:eastAsia="Arial Unicode MS" w:hAnsi="Palatino Linotype" w:cs="Arial"/>
          <w:b/>
          <w:bCs/>
          <w:sz w:val="24"/>
          <w:szCs w:val="24"/>
        </w:rPr>
        <w:t>INFOEM/IP/RR/2021</w:t>
      </w:r>
      <w:r w:rsidR="00C8502B" w:rsidRPr="005E6A50">
        <w:rPr>
          <w:rFonts w:ascii="Palatino Linotype" w:hAnsi="Palatino Linotype" w:cs="Arial"/>
          <w:sz w:val="24"/>
          <w:szCs w:val="24"/>
        </w:rPr>
        <w:t xml:space="preserve">, </w:t>
      </w:r>
      <w:bookmarkEnd w:id="3"/>
      <w:r w:rsidR="00C8502B" w:rsidRPr="005E6A50">
        <w:rPr>
          <w:rFonts w:ascii="Palatino Linotype" w:hAnsi="Palatino Linotype" w:cs="Arial"/>
          <w:sz w:val="24"/>
          <w:szCs w:val="24"/>
        </w:rPr>
        <w:t xml:space="preserve">en términos de los </w:t>
      </w:r>
      <w:r w:rsidR="00C8502B" w:rsidRPr="005E6A50">
        <w:rPr>
          <w:rFonts w:ascii="Palatino Linotype" w:hAnsi="Palatino Linotype" w:cs="Arial"/>
          <w:sz w:val="24"/>
          <w:szCs w:val="24"/>
        </w:rPr>
        <w:lastRenderedPageBreak/>
        <w:t xml:space="preserve">argumentos de derecho señalados en el considerando Cuarto, por ende, se </w:t>
      </w:r>
      <w:r w:rsidR="008A0F37">
        <w:rPr>
          <w:rFonts w:ascii="Palatino Linotype" w:hAnsi="Palatino Linotype" w:cs="Arial"/>
          <w:b/>
          <w:sz w:val="24"/>
          <w:szCs w:val="24"/>
        </w:rPr>
        <w:t xml:space="preserve">MODIFICA, </w:t>
      </w:r>
      <w:r w:rsidR="00C8502B" w:rsidRPr="005E6A50">
        <w:rPr>
          <w:rFonts w:ascii="Palatino Linotype" w:hAnsi="Palatino Linotype" w:cs="Arial"/>
          <w:sz w:val="24"/>
          <w:szCs w:val="24"/>
        </w:rPr>
        <w:t xml:space="preserve">la respuesta del </w:t>
      </w:r>
      <w:r w:rsidR="00C8502B" w:rsidRPr="005E6A50">
        <w:rPr>
          <w:rFonts w:ascii="Palatino Linotype" w:hAnsi="Palatino Linotype" w:cs="Arial"/>
          <w:b/>
          <w:sz w:val="24"/>
          <w:szCs w:val="24"/>
        </w:rPr>
        <w:t>Sujeto Obligado.</w:t>
      </w:r>
    </w:p>
    <w:p w14:paraId="4D56091D" w14:textId="77777777" w:rsidR="00C86249" w:rsidRPr="005E6A50" w:rsidRDefault="00C86249" w:rsidP="00687227">
      <w:pPr>
        <w:spacing w:after="0" w:line="360" w:lineRule="auto"/>
        <w:jc w:val="both"/>
        <w:rPr>
          <w:rFonts w:ascii="Palatino Linotype" w:hAnsi="Palatino Linotype" w:cs="Arial"/>
          <w:sz w:val="24"/>
          <w:szCs w:val="24"/>
        </w:rPr>
      </w:pPr>
    </w:p>
    <w:p w14:paraId="07FA77A0" w14:textId="06414876" w:rsidR="00C8502B" w:rsidRDefault="005D1B8D" w:rsidP="00687227">
      <w:pPr>
        <w:spacing w:after="0" w:line="360" w:lineRule="auto"/>
        <w:jc w:val="both"/>
        <w:rPr>
          <w:rFonts w:ascii="Palatino Linotype" w:hAnsi="Palatino Linotype"/>
          <w:sz w:val="24"/>
          <w:szCs w:val="24"/>
        </w:rPr>
      </w:pPr>
      <w:r w:rsidRPr="005E6A50">
        <w:rPr>
          <w:rFonts w:ascii="Palatino Linotype" w:hAnsi="Palatino Linotype" w:cs="Arial"/>
          <w:b/>
          <w:sz w:val="24"/>
          <w:szCs w:val="24"/>
        </w:rPr>
        <w:t>SEGUNDO.</w:t>
      </w:r>
      <w:r w:rsidRPr="005E6A50">
        <w:rPr>
          <w:rFonts w:ascii="Palatino Linotype" w:eastAsia="Calibri" w:hAnsi="Palatino Linotype" w:cs="Arial"/>
          <w:sz w:val="24"/>
          <w:szCs w:val="24"/>
        </w:rPr>
        <w:t xml:space="preserve"> </w:t>
      </w:r>
      <w:r w:rsidR="00C8502B" w:rsidRPr="005E6A50">
        <w:rPr>
          <w:rFonts w:ascii="Palatino Linotype" w:hAnsi="Palatino Linotype" w:cs="Arial"/>
          <w:sz w:val="24"/>
          <w:szCs w:val="24"/>
        </w:rPr>
        <w:t>Se</w:t>
      </w:r>
      <w:r w:rsidR="00C8502B" w:rsidRPr="005E6A50">
        <w:rPr>
          <w:rFonts w:ascii="Palatino Linotype" w:hAnsi="Palatino Linotype" w:cs="Arial"/>
          <w:b/>
          <w:sz w:val="24"/>
          <w:szCs w:val="24"/>
        </w:rPr>
        <w:t xml:space="preserve"> </w:t>
      </w:r>
      <w:r w:rsidR="00C8502B" w:rsidRPr="005E6A50">
        <w:rPr>
          <w:rFonts w:ascii="Palatino Linotype" w:hAnsi="Palatino Linotype"/>
          <w:b/>
          <w:sz w:val="24"/>
          <w:szCs w:val="24"/>
        </w:rPr>
        <w:t xml:space="preserve">ORDENA </w:t>
      </w:r>
      <w:r w:rsidR="00C8502B" w:rsidRPr="005E6A50">
        <w:rPr>
          <w:rFonts w:ascii="Palatino Linotype" w:hAnsi="Palatino Linotype"/>
          <w:sz w:val="24"/>
          <w:szCs w:val="24"/>
        </w:rPr>
        <w:t xml:space="preserve">al </w:t>
      </w:r>
      <w:r w:rsidR="00C8502B" w:rsidRPr="005E6A50">
        <w:rPr>
          <w:rFonts w:ascii="Palatino Linotype" w:hAnsi="Palatino Linotype"/>
          <w:b/>
          <w:sz w:val="24"/>
          <w:szCs w:val="24"/>
        </w:rPr>
        <w:t>Sujeto Obligado</w:t>
      </w:r>
      <w:r w:rsidR="00C8502B" w:rsidRPr="005E6A50">
        <w:rPr>
          <w:rFonts w:ascii="Palatino Linotype" w:hAnsi="Palatino Linotype"/>
          <w:sz w:val="24"/>
          <w:szCs w:val="24"/>
        </w:rPr>
        <w:t xml:space="preserve"> en términos del Considerando Cuarto, </w:t>
      </w:r>
      <w:r w:rsidR="00C8502B" w:rsidRPr="005E6A50">
        <w:rPr>
          <w:rFonts w:ascii="Palatino Linotype" w:hAnsi="Palatino Linotype" w:cs="Arial"/>
          <w:sz w:val="24"/>
          <w:szCs w:val="24"/>
        </w:rPr>
        <w:t xml:space="preserve">haga entrega a través </w:t>
      </w:r>
      <w:r w:rsidR="00B01BF8">
        <w:rPr>
          <w:rFonts w:ascii="Palatino Linotype" w:hAnsi="Palatino Linotype" w:cs="Arial"/>
          <w:sz w:val="24"/>
          <w:szCs w:val="24"/>
        </w:rPr>
        <w:t xml:space="preserve">a </w:t>
      </w:r>
      <w:r w:rsidR="00551772" w:rsidRPr="00551772">
        <w:rPr>
          <w:rFonts w:ascii="Palatino Linotype" w:hAnsi="Palatino Linotype" w:cs="Arial"/>
          <w:sz w:val="24"/>
          <w:szCs w:val="24"/>
        </w:rPr>
        <w:t xml:space="preserve">través del Sistema de Acceso a la </w:t>
      </w:r>
      <w:r w:rsidR="00551772">
        <w:rPr>
          <w:rFonts w:ascii="Palatino Linotype" w:hAnsi="Palatino Linotype" w:cs="Arial"/>
          <w:sz w:val="24"/>
          <w:szCs w:val="24"/>
        </w:rPr>
        <w:t>Información Mexiquense (SAIMEX)</w:t>
      </w:r>
      <w:r w:rsidR="00C8502B" w:rsidRPr="005E6A50">
        <w:rPr>
          <w:rFonts w:ascii="Palatino Linotype" w:hAnsi="Palatino Linotype" w:cs="Arial"/>
          <w:sz w:val="24"/>
          <w:szCs w:val="24"/>
        </w:rPr>
        <w:t>, en</w:t>
      </w:r>
      <w:r w:rsidR="00FE4E57">
        <w:rPr>
          <w:rFonts w:ascii="Palatino Linotype" w:hAnsi="Palatino Linotype" w:cs="Arial"/>
          <w:sz w:val="24"/>
          <w:szCs w:val="24"/>
        </w:rPr>
        <w:t xml:space="preserve"> los casos de ser procedente en</w:t>
      </w:r>
      <w:r w:rsidR="00C8502B" w:rsidRPr="005E6A50">
        <w:rPr>
          <w:rFonts w:ascii="Palatino Linotype" w:hAnsi="Palatino Linotype" w:cs="Arial"/>
          <w:sz w:val="24"/>
          <w:szCs w:val="24"/>
        </w:rPr>
        <w:t xml:space="preserve"> versión pública, </w:t>
      </w:r>
      <w:r w:rsidR="00551772">
        <w:rPr>
          <w:rFonts w:ascii="Palatino Linotype" w:hAnsi="Palatino Linotype" w:cs="Arial"/>
          <w:bCs/>
          <w:sz w:val="24"/>
          <w:szCs w:val="24"/>
        </w:rPr>
        <w:t xml:space="preserve">de </w:t>
      </w:r>
      <w:r w:rsidR="00C8502B" w:rsidRPr="005E6A50">
        <w:rPr>
          <w:rFonts w:ascii="Palatino Linotype" w:hAnsi="Palatino Linotype"/>
          <w:sz w:val="24"/>
          <w:szCs w:val="24"/>
        </w:rPr>
        <w:t>lo siguiente:</w:t>
      </w:r>
    </w:p>
    <w:p w14:paraId="3D247B7B" w14:textId="77777777" w:rsidR="00E67CBC" w:rsidRPr="008A5E0C" w:rsidRDefault="00E67CBC" w:rsidP="00C8502B">
      <w:pPr>
        <w:spacing w:before="240" w:after="240" w:line="360" w:lineRule="auto"/>
        <w:jc w:val="both"/>
        <w:rPr>
          <w:rFonts w:ascii="Palatino Linotype" w:hAnsi="Palatino Linotype"/>
          <w:sz w:val="8"/>
          <w:szCs w:val="24"/>
        </w:rPr>
      </w:pPr>
    </w:p>
    <w:p w14:paraId="7209265D" w14:textId="6EF3B828" w:rsidR="008A0F37" w:rsidRDefault="008A0F37" w:rsidP="008A0F37">
      <w:pPr>
        <w:pStyle w:val="Prrafodelista"/>
        <w:spacing w:line="360" w:lineRule="auto"/>
        <w:ind w:left="720"/>
        <w:jc w:val="both"/>
        <w:rPr>
          <w:rFonts w:ascii="Palatino Linotype" w:hAnsi="Palatino Linotype"/>
          <w:color w:val="000000"/>
        </w:rPr>
      </w:pPr>
      <w:bookmarkStart w:id="4" w:name="_Hlk62045713"/>
      <w:bookmarkEnd w:id="1"/>
      <w:r w:rsidRPr="008A0F37">
        <w:rPr>
          <w:rFonts w:ascii="Palatino Linotype" w:hAnsi="Palatino Linotype"/>
        </w:rPr>
        <w:t xml:space="preserve">1.- </w:t>
      </w:r>
      <w:r w:rsidRPr="008A0F37">
        <w:rPr>
          <w:rFonts w:ascii="Palatino Linotype" w:hAnsi="Palatino Linotype"/>
          <w:color w:val="000000"/>
        </w:rPr>
        <w:t>El o los expediente</w:t>
      </w:r>
      <w:r w:rsidR="00150FC1">
        <w:rPr>
          <w:rFonts w:ascii="Palatino Linotype" w:hAnsi="Palatino Linotype"/>
          <w:color w:val="000000"/>
        </w:rPr>
        <w:t>s</w:t>
      </w:r>
      <w:r w:rsidR="00807B42">
        <w:rPr>
          <w:rFonts w:ascii="Palatino Linotype" w:hAnsi="Palatino Linotype"/>
          <w:color w:val="000000"/>
        </w:rPr>
        <w:t xml:space="preserve"> concluidos</w:t>
      </w:r>
      <w:r w:rsidRPr="008A0F37">
        <w:rPr>
          <w:rFonts w:ascii="Palatino Linotype" w:hAnsi="Palatino Linotype"/>
          <w:color w:val="000000"/>
        </w:rPr>
        <w:t xml:space="preserve"> con motivo del procedimiento de responsabilidad administrativa, instaurado en la Contraloría Municipal, al Titular de la Tesorería Municipal de la administración 2016-2018. </w:t>
      </w:r>
    </w:p>
    <w:p w14:paraId="769CCA94" w14:textId="77777777" w:rsidR="00E67CBC" w:rsidRPr="009F19B8" w:rsidRDefault="00E67CBC" w:rsidP="008A0F37">
      <w:pPr>
        <w:pStyle w:val="Prrafodelista"/>
        <w:spacing w:line="360" w:lineRule="auto"/>
        <w:ind w:left="720"/>
        <w:jc w:val="both"/>
        <w:rPr>
          <w:rFonts w:ascii="Palatino Linotype" w:hAnsi="Palatino Linotype"/>
          <w:color w:val="000000"/>
          <w:sz w:val="18"/>
        </w:rPr>
      </w:pPr>
    </w:p>
    <w:p w14:paraId="0D865CA4" w14:textId="77777777" w:rsidR="00E67CBC" w:rsidRDefault="00E67CBC" w:rsidP="00E67CBC">
      <w:pPr>
        <w:spacing w:after="0" w:line="276" w:lineRule="auto"/>
        <w:ind w:left="720"/>
        <w:jc w:val="both"/>
        <w:rPr>
          <w:rFonts w:ascii="Palatino Linotype" w:eastAsia="Calibri" w:hAnsi="Palatino Linotype" w:cs="Arial"/>
          <w:i/>
          <w:szCs w:val="23"/>
          <w:lang w:val="es-ES_tradnl"/>
        </w:rPr>
      </w:pPr>
      <w:r w:rsidRPr="00E1306E">
        <w:rPr>
          <w:rFonts w:ascii="Palatino Linotype" w:hAnsi="Palatino Linotype" w:cs="Arial"/>
          <w:bCs/>
          <w:i/>
          <w:szCs w:val="23"/>
          <w:shd w:val="clear" w:color="auto" w:fill="FFFFFF"/>
        </w:rPr>
        <w:t xml:space="preserve">Para la versión pública,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33B99FF2" w14:textId="77777777" w:rsidR="00E67CBC" w:rsidRDefault="00E67CBC" w:rsidP="00E67CBC">
      <w:pPr>
        <w:spacing w:after="0" w:line="276" w:lineRule="auto"/>
        <w:ind w:left="720"/>
        <w:jc w:val="both"/>
        <w:rPr>
          <w:rFonts w:ascii="Palatino Linotype" w:eastAsia="Calibri" w:hAnsi="Palatino Linotype" w:cs="Arial"/>
          <w:i/>
          <w:szCs w:val="23"/>
          <w:lang w:val="es-ES_tradnl"/>
        </w:rPr>
      </w:pPr>
    </w:p>
    <w:p w14:paraId="5C5828DD" w14:textId="2087EFF5" w:rsidR="00E67CBC" w:rsidRDefault="00E67CBC" w:rsidP="00E67CBC">
      <w:pPr>
        <w:spacing w:after="0" w:line="276" w:lineRule="auto"/>
        <w:ind w:left="720"/>
        <w:jc w:val="both"/>
        <w:rPr>
          <w:rFonts w:ascii="Palatino Linotype" w:eastAsia="Calibri" w:hAnsi="Palatino Linotype" w:cs="Arial"/>
          <w:i/>
          <w:szCs w:val="23"/>
          <w:lang w:val="es-ES_tradnl"/>
        </w:rPr>
      </w:pPr>
      <w:r>
        <w:rPr>
          <w:rFonts w:ascii="Palatino Linotype" w:eastAsia="Calibri" w:hAnsi="Palatino Linotype" w:cs="Arial"/>
          <w:i/>
          <w:szCs w:val="23"/>
          <w:lang w:val="es-ES_tradnl"/>
        </w:rPr>
        <w:t xml:space="preserve">Para el caso de que el documentos referidos en el numeral 1, del Resolutivo SEGUNO, corresponda a un </w:t>
      </w:r>
      <w:r w:rsidRPr="00A164E0">
        <w:rPr>
          <w:rFonts w:ascii="Palatino Linotype" w:eastAsia="Calibri" w:hAnsi="Palatino Linotype" w:cs="Arial"/>
          <w:i/>
          <w:szCs w:val="23"/>
          <w:lang w:val="es-ES_tradnl"/>
        </w:rPr>
        <w:t xml:space="preserve">procedimientos administrativos por faltas no graves </w:t>
      </w:r>
      <w:r w:rsidR="00806C5F">
        <w:rPr>
          <w:rFonts w:ascii="Palatino Linotype" w:eastAsia="Calibri" w:hAnsi="Palatino Linotype" w:cs="Arial"/>
          <w:i/>
          <w:szCs w:val="23"/>
          <w:lang w:val="es-ES_tradnl"/>
        </w:rPr>
        <w:t>y</w:t>
      </w:r>
      <w:r>
        <w:rPr>
          <w:rFonts w:ascii="Palatino Linotype" w:eastAsia="Calibri" w:hAnsi="Palatino Linotype" w:cs="Arial"/>
          <w:i/>
          <w:szCs w:val="23"/>
          <w:lang w:val="es-ES_tradnl"/>
        </w:rPr>
        <w:t xml:space="preserve"> que no haya causado estado</w:t>
      </w:r>
      <w:r w:rsidRPr="009551B3">
        <w:rPr>
          <w:rFonts w:ascii="Palatino Linotype" w:eastAsia="Calibri" w:hAnsi="Palatino Linotype" w:cs="Arial"/>
          <w:i/>
          <w:szCs w:val="23"/>
          <w:lang w:val="es-ES_tradnl"/>
        </w:rPr>
        <w:t>, deberá emitirse el Acuerdo de Clasificación respectivo en el que se funden y motiven las razones de su RESERVA, mismo que se hará del conocimiento del Recurrente.</w:t>
      </w:r>
    </w:p>
    <w:p w14:paraId="5B440A9E" w14:textId="77777777" w:rsidR="00E67CBC" w:rsidRDefault="00E67CBC" w:rsidP="00E67CBC">
      <w:pPr>
        <w:spacing w:after="0" w:line="276" w:lineRule="auto"/>
        <w:ind w:left="720"/>
        <w:jc w:val="both"/>
        <w:rPr>
          <w:rFonts w:ascii="Palatino Linotype" w:eastAsia="Calibri" w:hAnsi="Palatino Linotype" w:cs="Arial"/>
          <w:i/>
          <w:szCs w:val="23"/>
          <w:lang w:val="es-ES_tradnl"/>
        </w:rPr>
      </w:pPr>
    </w:p>
    <w:p w14:paraId="679B802B" w14:textId="77777777" w:rsidR="00C8502B" w:rsidRPr="005E6A50" w:rsidRDefault="005D1B8D" w:rsidP="00C8502B">
      <w:pPr>
        <w:spacing w:before="240" w:after="240" w:line="360" w:lineRule="auto"/>
        <w:ind w:right="49"/>
        <w:jc w:val="both"/>
        <w:rPr>
          <w:rFonts w:ascii="Palatino Linotype" w:eastAsia="MS Mincho" w:hAnsi="Palatino Linotype"/>
          <w:sz w:val="24"/>
          <w:szCs w:val="24"/>
          <w:shd w:val="clear" w:color="auto" w:fill="FFFFFF"/>
          <w:lang w:val="es-ES_tradnl"/>
        </w:rPr>
      </w:pPr>
      <w:r w:rsidRPr="005E6A50">
        <w:rPr>
          <w:rFonts w:ascii="Palatino Linotype" w:hAnsi="Palatino Linotype" w:cs="Arial"/>
          <w:b/>
          <w:bCs/>
          <w:sz w:val="24"/>
          <w:szCs w:val="24"/>
          <w:shd w:val="clear" w:color="auto" w:fill="FFFFFF"/>
        </w:rPr>
        <w:t>TERCERO.</w:t>
      </w:r>
      <w:r w:rsidR="00C8502B" w:rsidRPr="005E6A50">
        <w:rPr>
          <w:rFonts w:ascii="Palatino Linotype" w:hAnsi="Palatino Linotype" w:cs="Arial"/>
          <w:b/>
          <w:bCs/>
          <w:sz w:val="24"/>
          <w:szCs w:val="24"/>
          <w:shd w:val="clear" w:color="auto" w:fill="FFFFFF"/>
        </w:rPr>
        <w:t xml:space="preserve"> </w:t>
      </w:r>
      <w:r w:rsidR="00C8502B" w:rsidRPr="005E6A50">
        <w:rPr>
          <w:rFonts w:ascii="Palatino Linotype" w:eastAsia="MS Mincho" w:hAnsi="Palatino Linotype" w:cs="Arial"/>
          <w:b/>
          <w:bCs/>
          <w:sz w:val="24"/>
          <w:szCs w:val="24"/>
          <w:shd w:val="clear" w:color="auto" w:fill="FFFFFF"/>
          <w:lang w:val="es-ES_tradnl"/>
        </w:rPr>
        <w:t xml:space="preserve">Notifíquese </w:t>
      </w:r>
      <w:r w:rsidR="00C8502B" w:rsidRPr="005E6A50">
        <w:rPr>
          <w:rFonts w:ascii="Palatino Linotype" w:eastAsia="MS Mincho" w:hAnsi="Palatino Linotype"/>
          <w:sz w:val="24"/>
          <w:szCs w:val="24"/>
          <w:shd w:val="clear" w:color="auto" w:fill="FFFFFF"/>
          <w:lang w:val="es-ES_tradnl"/>
        </w:rPr>
        <w:t>al Titular de la Unidad de Transparencia del</w:t>
      </w:r>
      <w:r w:rsidR="00C8502B" w:rsidRPr="005E6A50">
        <w:rPr>
          <w:rFonts w:ascii="Palatino Linotype" w:eastAsia="MS Mincho" w:hAnsi="Palatino Linotype"/>
          <w:b/>
          <w:bCs/>
          <w:sz w:val="24"/>
          <w:szCs w:val="24"/>
          <w:shd w:val="clear" w:color="auto" w:fill="FFFFFF"/>
          <w:lang w:val="es-ES_tradnl"/>
        </w:rPr>
        <w:t xml:space="preserve"> SUJETO OBLIGADO</w:t>
      </w:r>
      <w:r w:rsidR="00C8502B" w:rsidRPr="005E6A50">
        <w:rPr>
          <w:rFonts w:ascii="Palatino Linotype" w:eastAsia="MS Mincho" w:hAnsi="Palatino Linotype"/>
          <w:sz w:val="24"/>
          <w:szCs w:val="24"/>
          <w:shd w:val="clear" w:color="auto" w:fill="FFFFFF"/>
          <w:lang w:val="es-ES_tradnl"/>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00C8502B" w:rsidRPr="005E6A50">
        <w:rPr>
          <w:rFonts w:ascii="Palatino Linotype" w:eastAsia="MS Mincho" w:hAnsi="Palatino Linotype"/>
          <w:sz w:val="24"/>
          <w:szCs w:val="24"/>
          <w:shd w:val="clear" w:color="auto" w:fill="FFFFFF"/>
          <w:lang w:val="es-ES_tradnl"/>
        </w:rPr>
        <w:lastRenderedPageBreak/>
        <w:t>del plazo de diez hábiles, debiendo informar a este Instituto en un plazo de tres días hábiles siguientes sobre el cumplimiento dado a la presente resolución.</w:t>
      </w:r>
    </w:p>
    <w:p w14:paraId="5390D4C0" w14:textId="77777777" w:rsidR="00C8502B" w:rsidRPr="005E6A50" w:rsidRDefault="005D1B8D" w:rsidP="00C8502B">
      <w:pPr>
        <w:spacing w:before="240" w:after="240" w:line="360" w:lineRule="auto"/>
        <w:jc w:val="both"/>
        <w:rPr>
          <w:rFonts w:ascii="Palatino Linotype" w:hAnsi="Palatino Linotype" w:cs="Arial"/>
          <w:b/>
          <w:bCs/>
          <w:sz w:val="24"/>
          <w:szCs w:val="24"/>
        </w:rPr>
      </w:pPr>
      <w:r w:rsidRPr="005E6A50">
        <w:rPr>
          <w:rFonts w:ascii="Palatino Linotype" w:hAnsi="Palatino Linotype" w:cs="Arial"/>
          <w:b/>
          <w:sz w:val="24"/>
          <w:szCs w:val="24"/>
        </w:rPr>
        <w:t xml:space="preserve">CUARTO.  </w:t>
      </w:r>
      <w:r w:rsidR="00C8502B" w:rsidRPr="005E6A50">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3EAF80" w14:textId="674F4766" w:rsidR="00C8502B" w:rsidRPr="005E6A50" w:rsidRDefault="005D1B8D" w:rsidP="00C8502B">
      <w:pPr>
        <w:spacing w:before="240" w:after="240" w:line="360" w:lineRule="auto"/>
        <w:jc w:val="both"/>
        <w:rPr>
          <w:rFonts w:ascii="Palatino Linotype" w:hAnsi="Palatino Linotype" w:cs="Arial"/>
          <w:sz w:val="24"/>
          <w:szCs w:val="24"/>
        </w:rPr>
      </w:pPr>
      <w:r w:rsidRPr="005E6A50">
        <w:rPr>
          <w:rFonts w:ascii="Palatino Linotype" w:hAnsi="Palatino Linotype" w:cs="Arial"/>
          <w:b/>
          <w:sz w:val="24"/>
          <w:szCs w:val="24"/>
        </w:rPr>
        <w:t xml:space="preserve">QUINTO. </w:t>
      </w:r>
      <w:r w:rsidR="00C8502B" w:rsidRPr="005E6A50">
        <w:rPr>
          <w:rFonts w:ascii="Palatino Linotype" w:hAnsi="Palatino Linotype" w:cs="Arial"/>
          <w:b/>
          <w:sz w:val="24"/>
          <w:szCs w:val="24"/>
        </w:rPr>
        <w:t xml:space="preserve">Hágase del Conocimiento </w:t>
      </w:r>
      <w:r w:rsidR="00C8502B" w:rsidRPr="005E6A50">
        <w:rPr>
          <w:rFonts w:ascii="Palatino Linotype" w:hAnsi="Palatino Linotype" w:cs="Arial"/>
          <w:sz w:val="24"/>
          <w:szCs w:val="24"/>
        </w:rPr>
        <w:t xml:space="preserve">del </w:t>
      </w:r>
      <w:r w:rsidR="00C8502B" w:rsidRPr="005E6A50">
        <w:rPr>
          <w:rFonts w:ascii="Palatino Linotype" w:hAnsi="Palatino Linotype" w:cs="Arial"/>
          <w:b/>
          <w:sz w:val="24"/>
          <w:szCs w:val="24"/>
        </w:rPr>
        <w:t>recurrente</w:t>
      </w:r>
      <w:r w:rsidR="00C8502B" w:rsidRPr="005E6A50">
        <w:rPr>
          <w:rFonts w:ascii="Palatino Linotype" w:hAnsi="Palatino Linotype" w:cs="Arial"/>
          <w:sz w:val="24"/>
          <w:szCs w:val="24"/>
        </w:rPr>
        <w:t>, la presente resolución, así como, que de conformidad con lo establecido en el artículo 196 de la Ley de Transparencia y Acceso a la Información Pública del Estado de México y Municipios, podrá impugnarla vía</w:t>
      </w:r>
      <w:r w:rsidR="00C34D6D">
        <w:rPr>
          <w:rFonts w:ascii="Palatino Linotype" w:hAnsi="Palatino Linotype" w:cs="Arial"/>
          <w:sz w:val="24"/>
          <w:szCs w:val="24"/>
        </w:rPr>
        <w:t xml:space="preserve"> Recurso de Inconformidad o</w:t>
      </w:r>
      <w:r w:rsidR="00C8502B" w:rsidRPr="005E6A50">
        <w:rPr>
          <w:rFonts w:ascii="Palatino Linotype" w:hAnsi="Palatino Linotype" w:cs="Arial"/>
          <w:sz w:val="24"/>
          <w:szCs w:val="24"/>
        </w:rPr>
        <w:t xml:space="preserve"> Juicio de Amparo en los términos de las leyes aplicables.</w:t>
      </w:r>
    </w:p>
    <w:p w14:paraId="5DDFB4F7" w14:textId="781BE8DA" w:rsidR="00C8502B" w:rsidRPr="005E6A50" w:rsidRDefault="00C8502B" w:rsidP="00C8502B">
      <w:pPr>
        <w:tabs>
          <w:tab w:val="left" w:pos="709"/>
        </w:tabs>
        <w:spacing w:before="240" w:after="240" w:line="360" w:lineRule="auto"/>
        <w:jc w:val="both"/>
        <w:rPr>
          <w:rFonts w:ascii="Palatino Linotype" w:hAnsi="Palatino Linotype" w:cs="Arial"/>
          <w:sz w:val="24"/>
          <w:szCs w:val="24"/>
        </w:rPr>
      </w:pPr>
      <w:bookmarkStart w:id="5" w:name="_Hlk63452190"/>
      <w:bookmarkEnd w:id="2"/>
      <w:bookmarkEnd w:id="4"/>
      <w:r w:rsidRPr="005E6A5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91233">
        <w:rPr>
          <w:rFonts w:ascii="Palatino Linotype" w:hAnsi="Palatino Linotype"/>
          <w:sz w:val="24"/>
          <w:szCs w:val="24"/>
        </w:rPr>
        <w:t xml:space="preserve"> (VOTO PARTICULAR)</w:t>
      </w:r>
      <w:r w:rsidRPr="005E6A50">
        <w:rPr>
          <w:rFonts w:ascii="Palatino Linotype" w:hAnsi="Palatino Linotype"/>
          <w:sz w:val="24"/>
          <w:szCs w:val="24"/>
        </w:rPr>
        <w:t xml:space="preserve"> Y GUADALUPE RAMÍREZ PEÑA; EN LA </w:t>
      </w:r>
      <w:r w:rsidR="008A0F37">
        <w:rPr>
          <w:rFonts w:ascii="Palatino Linotype" w:hAnsi="Palatino Linotype"/>
          <w:sz w:val="24"/>
          <w:szCs w:val="24"/>
        </w:rPr>
        <w:t>CUADRAGÉSIMA TERCERA</w:t>
      </w:r>
      <w:r w:rsidR="005D1B8D">
        <w:rPr>
          <w:rFonts w:ascii="Palatino Linotype" w:hAnsi="Palatino Linotype"/>
          <w:sz w:val="24"/>
          <w:szCs w:val="24"/>
        </w:rPr>
        <w:t xml:space="preserve"> </w:t>
      </w:r>
      <w:r w:rsidRPr="005E6A50">
        <w:rPr>
          <w:rFonts w:ascii="Palatino Linotype" w:hAnsi="Palatino Linotype"/>
          <w:sz w:val="24"/>
          <w:szCs w:val="24"/>
        </w:rPr>
        <w:t xml:space="preserve">SESIÓN ORDINARIA CELEBRADA EL </w:t>
      </w:r>
      <w:r w:rsidR="008A0F37">
        <w:rPr>
          <w:rFonts w:ascii="Palatino Linotype" w:hAnsi="Palatino Linotype"/>
          <w:sz w:val="24"/>
          <w:szCs w:val="24"/>
        </w:rPr>
        <w:t xml:space="preserve">UNO DE DICIEMBRE </w:t>
      </w:r>
      <w:r w:rsidRPr="005E6A50">
        <w:rPr>
          <w:rFonts w:ascii="Palatino Linotype" w:hAnsi="Palatino Linotype"/>
          <w:sz w:val="24"/>
          <w:szCs w:val="24"/>
        </w:rPr>
        <w:t>DE DOS MIL VEINTIUNO, ANTE EL SECRETARIO TÉCNICO DEL PLENO ALEXIS TAPIA RAMÍREZ.</w:t>
      </w:r>
      <w:bookmarkEnd w:id="5"/>
      <w:r w:rsidRPr="005E6A50">
        <w:rPr>
          <w:rFonts w:ascii="Palatino Linotype" w:hAnsi="Palatino Linotype" w:cs="Arial"/>
          <w:sz w:val="24"/>
          <w:szCs w:val="24"/>
        </w:rPr>
        <w:t xml:space="preserve"> </w:t>
      </w:r>
    </w:p>
    <w:p w14:paraId="6A2E3E1F" w14:textId="77777777" w:rsidR="00C8502B" w:rsidRDefault="00C8502B" w:rsidP="00C8502B">
      <w:pPr>
        <w:jc w:val="both"/>
        <w:rPr>
          <w:rFonts w:ascii="Palatino Linotype" w:hAnsi="Palatino Linotype" w:cs="Arial"/>
          <w:sz w:val="24"/>
          <w:szCs w:val="24"/>
        </w:rPr>
      </w:pPr>
    </w:p>
    <w:p w14:paraId="13BC2605" w14:textId="77777777" w:rsidR="00687227" w:rsidRDefault="00687227" w:rsidP="00C8502B">
      <w:pPr>
        <w:jc w:val="both"/>
        <w:rPr>
          <w:rFonts w:ascii="Palatino Linotype" w:hAnsi="Palatino Linotype" w:cs="Arial"/>
          <w:sz w:val="24"/>
          <w:szCs w:val="24"/>
        </w:rPr>
      </w:pPr>
    </w:p>
    <w:p w14:paraId="340B47A9" w14:textId="77777777" w:rsidR="00687227" w:rsidRDefault="00687227" w:rsidP="00C8502B">
      <w:pPr>
        <w:jc w:val="both"/>
        <w:rPr>
          <w:rFonts w:ascii="Palatino Linotype" w:hAnsi="Palatino Linotype" w:cs="Arial"/>
          <w:sz w:val="24"/>
          <w:szCs w:val="24"/>
        </w:rPr>
      </w:pPr>
    </w:p>
    <w:p w14:paraId="2FC900ED" w14:textId="77777777" w:rsidR="00687227" w:rsidRPr="005E6A50" w:rsidRDefault="00687227" w:rsidP="00C8502B">
      <w:pPr>
        <w:jc w:val="both"/>
        <w:rPr>
          <w:rFonts w:ascii="Palatino Linotype" w:hAnsi="Palatino Linotype" w:cs="Arial"/>
          <w:sz w:val="24"/>
          <w:szCs w:val="24"/>
        </w:rPr>
      </w:pPr>
    </w:p>
    <w:p w14:paraId="0B1215AA" w14:textId="77777777" w:rsidR="00C8502B" w:rsidRPr="00AA0B5C" w:rsidRDefault="00C8502B" w:rsidP="00C8502B"/>
    <w:p w14:paraId="4FD5CB89" w14:textId="77777777" w:rsidR="00607D30" w:rsidRDefault="00607D30" w:rsidP="00C8502B">
      <w:pPr>
        <w:pStyle w:val="Prrafodelista"/>
        <w:spacing w:line="360" w:lineRule="auto"/>
        <w:ind w:left="0" w:right="51"/>
        <w:jc w:val="both"/>
        <w:rPr>
          <w:rFonts w:ascii="Palatino Linotype" w:hAnsi="Palatino Linotype" w:cs="Arial"/>
        </w:rPr>
      </w:pPr>
    </w:p>
    <w:sectPr w:rsidR="00607D30" w:rsidSect="003945AD">
      <w:headerReference w:type="default" r:id="rId9"/>
      <w:footerReference w:type="default" r:id="rId10"/>
      <w:headerReference w:type="first" r:id="rId11"/>
      <w:footerReference w:type="first" r:id="rId12"/>
      <w:pgSz w:w="12240" w:h="15840"/>
      <w:pgMar w:top="2410" w:right="1467" w:bottom="1418"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1E7CC" w14:textId="77777777" w:rsidR="0000375E" w:rsidRDefault="0000375E" w:rsidP="00EE47DA">
      <w:pPr>
        <w:spacing w:after="0" w:line="240" w:lineRule="auto"/>
      </w:pPr>
      <w:r>
        <w:separator/>
      </w:r>
    </w:p>
  </w:endnote>
  <w:endnote w:type="continuationSeparator" w:id="0">
    <w:p w14:paraId="1C4D9C43" w14:textId="77777777" w:rsidR="0000375E" w:rsidRDefault="0000375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C83372" w:rsidRPr="000B69FA" w:rsidRDefault="00C83372"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3771">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377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C83372" w:rsidRPr="000B69FA" w:rsidRDefault="00C83372"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35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3544">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580C3" w14:textId="77777777" w:rsidR="0000375E" w:rsidRDefault="0000375E" w:rsidP="00EE47DA">
      <w:pPr>
        <w:spacing w:after="0" w:line="240" w:lineRule="auto"/>
      </w:pPr>
      <w:r>
        <w:separator/>
      </w:r>
    </w:p>
  </w:footnote>
  <w:footnote w:type="continuationSeparator" w:id="0">
    <w:p w14:paraId="510EC571" w14:textId="77777777" w:rsidR="0000375E" w:rsidRDefault="0000375E" w:rsidP="00EE47DA">
      <w:pPr>
        <w:spacing w:after="0" w:line="240" w:lineRule="auto"/>
      </w:pPr>
      <w:r>
        <w:continuationSeparator/>
      </w:r>
    </w:p>
  </w:footnote>
  <w:footnote w:id="1">
    <w:p w14:paraId="73C12FC1" w14:textId="77777777" w:rsidR="00C83372" w:rsidRPr="00615B4B" w:rsidRDefault="00C83372"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551EEC1" w14:textId="77777777" w:rsidR="00C83372" w:rsidRPr="00615B4B" w:rsidRDefault="00C83372"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C7EC61" w14:textId="77777777" w:rsidR="00C83372" w:rsidRDefault="00C83372" w:rsidP="00AB7C14">
      <w:pPr>
        <w:pStyle w:val="Textonotapie"/>
        <w:jc w:val="both"/>
      </w:pPr>
      <w:r>
        <w:rPr>
          <w:rStyle w:val="Refdenotaalpie"/>
        </w:rPr>
        <w:footnoteRef/>
      </w:r>
      <w:r>
        <w:t xml:space="preserve"> </w:t>
      </w:r>
      <w:r>
        <w:rPr>
          <w:rFonts w:ascii="Palatino Linotype" w:hAnsi="Palatino Linotype"/>
          <w:sz w:val="16"/>
          <w:szCs w:val="16"/>
        </w:rPr>
        <w:t>Registro</w:t>
      </w:r>
      <w:r>
        <w:t xml:space="preserve"> </w:t>
      </w:r>
      <w:r>
        <w:rPr>
          <w:rFonts w:ascii="Palatino Linotype" w:hAnsi="Palatino Linotype"/>
          <w:sz w:val="16"/>
          <w:szCs w:val="16"/>
        </w:rPr>
        <w:t>digital 2018460. I.10o.A.79 A (10a.). Tribunales Colegiados de Circuito. Décima Época. Semanario Judicial de la Federación y su Gaceta. Libro 60, Noviembre de 2018, Tomo III, página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C83372" w:rsidRPr="00F257E5" w:rsidRDefault="00C83372">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4B5564" wp14:editId="6817CBEC">
          <wp:simplePos x="0" y="0"/>
          <wp:positionH relativeFrom="page">
            <wp:posOffset>21590</wp:posOffset>
          </wp:positionH>
          <wp:positionV relativeFrom="page">
            <wp:posOffset>6985</wp:posOffset>
          </wp:positionV>
          <wp:extent cx="7705725" cy="10048875"/>
          <wp:effectExtent l="0" t="0" r="9525" b="9525"/>
          <wp:wrapNone/>
          <wp:docPr id="26" name="Imagen 2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357" w:type="dxa"/>
      <w:tblInd w:w="-356" w:type="dxa"/>
      <w:tblCellMar>
        <w:left w:w="70" w:type="dxa"/>
        <w:right w:w="70" w:type="dxa"/>
      </w:tblCellMar>
      <w:tblLook w:val="04A0" w:firstRow="1" w:lastRow="0" w:firstColumn="1" w:lastColumn="0" w:noHBand="0" w:noVBand="1"/>
    </w:tblPr>
    <w:tblGrid>
      <w:gridCol w:w="5529"/>
      <w:gridCol w:w="3828"/>
    </w:tblGrid>
    <w:tr w:rsidR="00C83372" w14:paraId="20D29AB0" w14:textId="77777777" w:rsidTr="00091BE7">
      <w:trPr>
        <w:trHeight w:val="227"/>
      </w:trPr>
      <w:tc>
        <w:tcPr>
          <w:tcW w:w="5529" w:type="dxa"/>
          <w:hideMark/>
        </w:tcPr>
        <w:p w14:paraId="12E233AF" w14:textId="77777777" w:rsidR="00C83372" w:rsidRDefault="00C83372"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8" w:type="dxa"/>
          <w:hideMark/>
        </w:tcPr>
        <w:p w14:paraId="0AE57BFF" w14:textId="060905B2" w:rsidR="00C83372" w:rsidRPr="003416ED" w:rsidRDefault="00C83372" w:rsidP="00F762F9">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4885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C83372" w14:paraId="5612756C" w14:textId="77777777" w:rsidTr="00091BE7">
      <w:trPr>
        <w:trHeight w:val="242"/>
      </w:trPr>
      <w:tc>
        <w:tcPr>
          <w:tcW w:w="5529" w:type="dxa"/>
          <w:hideMark/>
        </w:tcPr>
        <w:p w14:paraId="4A851C7E" w14:textId="77777777" w:rsidR="00C83372" w:rsidRDefault="00C83372"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8" w:type="dxa"/>
          <w:hideMark/>
        </w:tcPr>
        <w:p w14:paraId="6FA2DD58" w14:textId="2F839CF0" w:rsidR="00C83372" w:rsidRPr="00492E67" w:rsidRDefault="00C83372" w:rsidP="00FA7246">
          <w:pPr>
            <w:spacing w:after="0" w:line="276" w:lineRule="auto"/>
            <w:ind w:left="-486" w:firstLine="486"/>
            <w:jc w:val="right"/>
            <w:rPr>
              <w:rFonts w:ascii="Palatino Linotype" w:hAnsi="Palatino Linotype" w:cs="Arial"/>
              <w:bCs/>
              <w:lang w:eastAsia="es-MX"/>
            </w:rPr>
          </w:pPr>
          <w:r>
            <w:rPr>
              <w:rFonts w:ascii="Palatino Linotype" w:hAnsi="Palatino Linotype" w:cs="Arial"/>
              <w:bCs/>
              <w:lang w:eastAsia="es-MX"/>
            </w:rPr>
            <w:t>Ayuntamiento de Capulhuac.</w:t>
          </w:r>
        </w:p>
      </w:tc>
    </w:tr>
    <w:tr w:rsidR="00C83372" w14:paraId="2BD6B937" w14:textId="77777777" w:rsidTr="00091BE7">
      <w:trPr>
        <w:trHeight w:val="342"/>
      </w:trPr>
      <w:tc>
        <w:tcPr>
          <w:tcW w:w="5529" w:type="dxa"/>
          <w:hideMark/>
        </w:tcPr>
        <w:p w14:paraId="1D2FA533" w14:textId="77777777" w:rsidR="00C83372" w:rsidRDefault="00C83372"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828" w:type="dxa"/>
          <w:hideMark/>
        </w:tcPr>
        <w:p w14:paraId="47E15DC2" w14:textId="77777777" w:rsidR="00C83372" w:rsidRPr="003416ED" w:rsidRDefault="00C83372"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C83372" w:rsidRDefault="00C833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14" w:type="dxa"/>
      <w:tblLayout w:type="fixed"/>
      <w:tblCellMar>
        <w:left w:w="70" w:type="dxa"/>
        <w:right w:w="70" w:type="dxa"/>
      </w:tblCellMar>
      <w:tblLook w:val="04A0" w:firstRow="1" w:lastRow="0" w:firstColumn="1" w:lastColumn="0" w:noHBand="0" w:noVBand="1"/>
    </w:tblPr>
    <w:tblGrid>
      <w:gridCol w:w="5599"/>
      <w:gridCol w:w="3757"/>
    </w:tblGrid>
    <w:tr w:rsidR="00C83372" w14:paraId="15302C0E" w14:textId="77777777" w:rsidTr="00091BE7">
      <w:trPr>
        <w:trHeight w:val="227"/>
      </w:trPr>
      <w:tc>
        <w:tcPr>
          <w:tcW w:w="5599" w:type="dxa"/>
          <w:hideMark/>
        </w:tcPr>
        <w:p w14:paraId="231CE421" w14:textId="77777777" w:rsidR="00C83372" w:rsidRDefault="00C83372"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8240" behindDoc="1" locked="0" layoutInCell="0" allowOverlap="1" wp14:anchorId="73F6FA78" wp14:editId="64F3B059">
                <wp:simplePos x="0" y="0"/>
                <wp:positionH relativeFrom="page">
                  <wp:posOffset>28575</wp:posOffset>
                </wp:positionH>
                <wp:positionV relativeFrom="page">
                  <wp:posOffset>6985</wp:posOffset>
                </wp:positionV>
                <wp:extent cx="7705725" cy="10048875"/>
                <wp:effectExtent l="0" t="0" r="9525" b="9525"/>
                <wp:wrapNone/>
                <wp:docPr id="27" name="Imagen 2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3757" w:type="dxa"/>
          <w:hideMark/>
        </w:tcPr>
        <w:p w14:paraId="26689530" w14:textId="110AFFDC" w:rsidR="00C83372" w:rsidRPr="003416ED" w:rsidRDefault="00C83372"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4885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C83372" w14:paraId="2B55A088" w14:textId="77777777" w:rsidTr="00091BE7">
      <w:trPr>
        <w:trHeight w:val="196"/>
      </w:trPr>
      <w:tc>
        <w:tcPr>
          <w:tcW w:w="5599" w:type="dxa"/>
          <w:hideMark/>
        </w:tcPr>
        <w:p w14:paraId="7416D1DA" w14:textId="77777777" w:rsidR="00C83372" w:rsidRDefault="00C83372"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3757" w:type="dxa"/>
          <w:hideMark/>
        </w:tcPr>
        <w:p w14:paraId="2A7D7DF3" w14:textId="3FB7C928" w:rsidR="00C83372" w:rsidRPr="00FC71F1" w:rsidRDefault="000A3544" w:rsidP="00FA7246">
          <w:pPr>
            <w:spacing w:after="0" w:line="276" w:lineRule="auto"/>
            <w:ind w:left="-486" w:right="77" w:firstLine="491"/>
            <w:jc w:val="right"/>
          </w:pPr>
          <w:proofErr w:type="spellStart"/>
          <w:r>
            <w:rPr>
              <w:rFonts w:ascii="Palatino Linotype" w:hAnsi="Palatino Linotype" w:cs="Arial"/>
            </w:rPr>
            <w:t>xxxxxxxxxxxxxxxxxx</w:t>
          </w:r>
          <w:proofErr w:type="spellEnd"/>
          <w:r w:rsidR="00C83372">
            <w:rPr>
              <w:rFonts w:ascii="Palatino Linotype" w:hAnsi="Palatino Linotype" w:cs="Arial"/>
            </w:rPr>
            <w:t xml:space="preserve"> </w:t>
          </w:r>
        </w:p>
      </w:tc>
    </w:tr>
    <w:tr w:rsidR="00C83372" w14:paraId="0BBE6B20" w14:textId="77777777" w:rsidTr="00091BE7">
      <w:trPr>
        <w:trHeight w:val="242"/>
      </w:trPr>
      <w:tc>
        <w:tcPr>
          <w:tcW w:w="5599" w:type="dxa"/>
          <w:hideMark/>
        </w:tcPr>
        <w:p w14:paraId="0EFC3F4D" w14:textId="77777777" w:rsidR="00C83372" w:rsidRDefault="00C83372"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57" w:type="dxa"/>
          <w:hideMark/>
        </w:tcPr>
        <w:p w14:paraId="7E1521CB" w14:textId="1A135BA1" w:rsidR="00C83372" w:rsidRPr="00492E67" w:rsidRDefault="00C83372" w:rsidP="00FA7246">
          <w:pPr>
            <w:spacing w:after="0" w:line="276" w:lineRule="auto"/>
            <w:ind w:left="-486" w:right="77" w:firstLine="491"/>
            <w:jc w:val="right"/>
            <w:rPr>
              <w:rFonts w:ascii="Palatino Linotype" w:hAnsi="Palatino Linotype" w:cs="Arial"/>
              <w:bCs/>
              <w:lang w:eastAsia="es-MX"/>
            </w:rPr>
          </w:pPr>
          <w:r>
            <w:rPr>
              <w:rFonts w:ascii="Palatino Linotype" w:hAnsi="Palatino Linotype" w:cs="Arial"/>
              <w:bCs/>
              <w:lang w:eastAsia="es-MX"/>
            </w:rPr>
            <w:t>Ayuntamiento de Capulhuac.</w:t>
          </w:r>
        </w:p>
      </w:tc>
    </w:tr>
    <w:tr w:rsidR="00C83372" w14:paraId="16D1363B" w14:textId="77777777" w:rsidTr="00091BE7">
      <w:trPr>
        <w:trHeight w:val="393"/>
      </w:trPr>
      <w:tc>
        <w:tcPr>
          <w:tcW w:w="5599" w:type="dxa"/>
          <w:hideMark/>
        </w:tcPr>
        <w:p w14:paraId="23206033" w14:textId="77777777" w:rsidR="00C83372" w:rsidRDefault="00C83372"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757" w:type="dxa"/>
          <w:hideMark/>
        </w:tcPr>
        <w:p w14:paraId="2C17597F" w14:textId="77777777" w:rsidR="00C83372" w:rsidRPr="003416ED" w:rsidRDefault="00C83372"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77777777" w:rsidR="00C83372" w:rsidRPr="003416ED" w:rsidRDefault="00C83372">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E03A59"/>
    <w:multiLevelType w:val="hybridMultilevel"/>
    <w:tmpl w:val="5E682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25"/>
  </w:num>
  <w:num w:numId="3">
    <w:abstractNumId w:val="18"/>
  </w:num>
  <w:num w:numId="4">
    <w:abstractNumId w:val="16"/>
  </w:num>
  <w:num w:numId="5">
    <w:abstractNumId w:val="22"/>
  </w:num>
  <w:num w:numId="6">
    <w:abstractNumId w:val="28"/>
  </w:num>
  <w:num w:numId="7">
    <w:abstractNumId w:val="1"/>
  </w:num>
  <w:num w:numId="8">
    <w:abstractNumId w:val="23"/>
  </w:num>
  <w:num w:numId="9">
    <w:abstractNumId w:val="33"/>
  </w:num>
  <w:num w:numId="10">
    <w:abstractNumId w:val="36"/>
  </w:num>
  <w:num w:numId="11">
    <w:abstractNumId w:val="37"/>
  </w:num>
  <w:num w:numId="12">
    <w:abstractNumId w:val="4"/>
  </w:num>
  <w:num w:numId="13">
    <w:abstractNumId w:val="11"/>
  </w:num>
  <w:num w:numId="14">
    <w:abstractNumId w:val="12"/>
  </w:num>
  <w:num w:numId="15">
    <w:abstractNumId w:val="5"/>
  </w:num>
  <w:num w:numId="16">
    <w:abstractNumId w:val="8"/>
  </w:num>
  <w:num w:numId="17">
    <w:abstractNumId w:val="2"/>
  </w:num>
  <w:num w:numId="18">
    <w:abstractNumId w:val="20"/>
  </w:num>
  <w:num w:numId="19">
    <w:abstractNumId w:val="19"/>
  </w:num>
  <w:num w:numId="20">
    <w:abstractNumId w:val="17"/>
  </w:num>
  <w:num w:numId="21">
    <w:abstractNumId w:val="9"/>
  </w:num>
  <w:num w:numId="22">
    <w:abstractNumId w:val="26"/>
  </w:num>
  <w:num w:numId="23">
    <w:abstractNumId w:val="29"/>
  </w:num>
  <w:num w:numId="24">
    <w:abstractNumId w:val="32"/>
  </w:num>
  <w:num w:numId="25">
    <w:abstractNumId w:val="27"/>
  </w:num>
  <w:num w:numId="26">
    <w:abstractNumId w:val="34"/>
  </w:num>
  <w:num w:numId="27">
    <w:abstractNumId w:val="31"/>
  </w:num>
  <w:num w:numId="28">
    <w:abstractNumId w:val="3"/>
  </w:num>
  <w:num w:numId="29">
    <w:abstractNumId w:val="7"/>
  </w:num>
  <w:num w:numId="30">
    <w:abstractNumId w:val="13"/>
  </w:num>
  <w:num w:numId="31">
    <w:abstractNumId w:val="30"/>
  </w:num>
  <w:num w:numId="32">
    <w:abstractNumId w:val="21"/>
  </w:num>
  <w:num w:numId="33">
    <w:abstractNumId w:val="0"/>
  </w:num>
  <w:num w:numId="34">
    <w:abstractNumId w:val="10"/>
  </w:num>
  <w:num w:numId="35">
    <w:abstractNumId w:val="24"/>
  </w:num>
  <w:num w:numId="36">
    <w:abstractNumId w:val="15"/>
  </w:num>
  <w:num w:numId="37">
    <w:abstractNumId w:val="6"/>
  </w:num>
  <w:num w:numId="38">
    <w:abstractNumId w:val="35"/>
  </w:num>
  <w:num w:numId="39">
    <w:abstractNumId w:val="31"/>
  </w:num>
  <w:num w:numId="4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375E"/>
    <w:rsid w:val="000038BB"/>
    <w:rsid w:val="00006A85"/>
    <w:rsid w:val="000078B4"/>
    <w:rsid w:val="00007F4B"/>
    <w:rsid w:val="000122F7"/>
    <w:rsid w:val="0001284B"/>
    <w:rsid w:val="0001530E"/>
    <w:rsid w:val="0001731B"/>
    <w:rsid w:val="00017E9A"/>
    <w:rsid w:val="00020958"/>
    <w:rsid w:val="00023AED"/>
    <w:rsid w:val="00024A0A"/>
    <w:rsid w:val="00025711"/>
    <w:rsid w:val="00031D56"/>
    <w:rsid w:val="0003250B"/>
    <w:rsid w:val="0003424F"/>
    <w:rsid w:val="000354C1"/>
    <w:rsid w:val="00035B6B"/>
    <w:rsid w:val="000401A6"/>
    <w:rsid w:val="0004373F"/>
    <w:rsid w:val="00045CBE"/>
    <w:rsid w:val="00050376"/>
    <w:rsid w:val="00051E8B"/>
    <w:rsid w:val="0005217C"/>
    <w:rsid w:val="00052634"/>
    <w:rsid w:val="0005457E"/>
    <w:rsid w:val="0005626F"/>
    <w:rsid w:val="00057424"/>
    <w:rsid w:val="00060C4E"/>
    <w:rsid w:val="00063179"/>
    <w:rsid w:val="000639C0"/>
    <w:rsid w:val="00064F7E"/>
    <w:rsid w:val="00070E43"/>
    <w:rsid w:val="00071FDA"/>
    <w:rsid w:val="00072693"/>
    <w:rsid w:val="000741BD"/>
    <w:rsid w:val="0007495F"/>
    <w:rsid w:val="00074C0F"/>
    <w:rsid w:val="00074EF7"/>
    <w:rsid w:val="0007610F"/>
    <w:rsid w:val="00076AFF"/>
    <w:rsid w:val="00080423"/>
    <w:rsid w:val="00082F51"/>
    <w:rsid w:val="0008375D"/>
    <w:rsid w:val="00084776"/>
    <w:rsid w:val="000871CF"/>
    <w:rsid w:val="0008775B"/>
    <w:rsid w:val="00091040"/>
    <w:rsid w:val="00091484"/>
    <w:rsid w:val="00091BE7"/>
    <w:rsid w:val="00093DBB"/>
    <w:rsid w:val="000A0DE5"/>
    <w:rsid w:val="000A1B23"/>
    <w:rsid w:val="000A3544"/>
    <w:rsid w:val="000A4374"/>
    <w:rsid w:val="000A472F"/>
    <w:rsid w:val="000A6BB9"/>
    <w:rsid w:val="000A6EF4"/>
    <w:rsid w:val="000A79B1"/>
    <w:rsid w:val="000A7DA0"/>
    <w:rsid w:val="000B2AA5"/>
    <w:rsid w:val="000B33BC"/>
    <w:rsid w:val="000B3771"/>
    <w:rsid w:val="000C5D1F"/>
    <w:rsid w:val="000D1A4D"/>
    <w:rsid w:val="000D20B6"/>
    <w:rsid w:val="000D2373"/>
    <w:rsid w:val="000D2467"/>
    <w:rsid w:val="000D3423"/>
    <w:rsid w:val="000D45ED"/>
    <w:rsid w:val="000D5731"/>
    <w:rsid w:val="000D79E6"/>
    <w:rsid w:val="000E14D4"/>
    <w:rsid w:val="000E6325"/>
    <w:rsid w:val="000E6376"/>
    <w:rsid w:val="000E67A2"/>
    <w:rsid w:val="000E780C"/>
    <w:rsid w:val="000F5CB6"/>
    <w:rsid w:val="000F6AEB"/>
    <w:rsid w:val="000F7704"/>
    <w:rsid w:val="00100A63"/>
    <w:rsid w:val="001025F3"/>
    <w:rsid w:val="00103ABA"/>
    <w:rsid w:val="00105075"/>
    <w:rsid w:val="00110D5D"/>
    <w:rsid w:val="00116521"/>
    <w:rsid w:val="00120BA6"/>
    <w:rsid w:val="00120E3F"/>
    <w:rsid w:val="0012137C"/>
    <w:rsid w:val="00121550"/>
    <w:rsid w:val="00123E11"/>
    <w:rsid w:val="00124567"/>
    <w:rsid w:val="001263DE"/>
    <w:rsid w:val="0013132F"/>
    <w:rsid w:val="001363B8"/>
    <w:rsid w:val="00141DC7"/>
    <w:rsid w:val="00142989"/>
    <w:rsid w:val="001430E8"/>
    <w:rsid w:val="00145B38"/>
    <w:rsid w:val="00150FC1"/>
    <w:rsid w:val="00153B49"/>
    <w:rsid w:val="00155CB4"/>
    <w:rsid w:val="00160EE9"/>
    <w:rsid w:val="0016132B"/>
    <w:rsid w:val="0016145A"/>
    <w:rsid w:val="001619EA"/>
    <w:rsid w:val="001625F9"/>
    <w:rsid w:val="00163F01"/>
    <w:rsid w:val="00164556"/>
    <w:rsid w:val="001663F7"/>
    <w:rsid w:val="00166BBA"/>
    <w:rsid w:val="00166E5C"/>
    <w:rsid w:val="00170866"/>
    <w:rsid w:val="0017230F"/>
    <w:rsid w:val="00180657"/>
    <w:rsid w:val="0018075F"/>
    <w:rsid w:val="00183B75"/>
    <w:rsid w:val="00185D88"/>
    <w:rsid w:val="00187C14"/>
    <w:rsid w:val="0019218C"/>
    <w:rsid w:val="001925CA"/>
    <w:rsid w:val="00194E52"/>
    <w:rsid w:val="001952D9"/>
    <w:rsid w:val="00195700"/>
    <w:rsid w:val="001970EA"/>
    <w:rsid w:val="001974E2"/>
    <w:rsid w:val="001A034D"/>
    <w:rsid w:val="001A4BC7"/>
    <w:rsid w:val="001A6740"/>
    <w:rsid w:val="001B0A0F"/>
    <w:rsid w:val="001B0A86"/>
    <w:rsid w:val="001B76B4"/>
    <w:rsid w:val="001C0D34"/>
    <w:rsid w:val="001C251C"/>
    <w:rsid w:val="001C3CC9"/>
    <w:rsid w:val="001C6645"/>
    <w:rsid w:val="001D08E2"/>
    <w:rsid w:val="001D2513"/>
    <w:rsid w:val="001D37EC"/>
    <w:rsid w:val="001D4DBC"/>
    <w:rsid w:val="001D632E"/>
    <w:rsid w:val="001E2613"/>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10BD0"/>
    <w:rsid w:val="00212EF6"/>
    <w:rsid w:val="00221502"/>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731DC"/>
    <w:rsid w:val="002807B8"/>
    <w:rsid w:val="00284415"/>
    <w:rsid w:val="002858E0"/>
    <w:rsid w:val="00285B10"/>
    <w:rsid w:val="00286CEF"/>
    <w:rsid w:val="00287283"/>
    <w:rsid w:val="00291233"/>
    <w:rsid w:val="00291CE7"/>
    <w:rsid w:val="002926B9"/>
    <w:rsid w:val="00292754"/>
    <w:rsid w:val="00292B6E"/>
    <w:rsid w:val="00296216"/>
    <w:rsid w:val="002A10AD"/>
    <w:rsid w:val="002A136A"/>
    <w:rsid w:val="002A16A4"/>
    <w:rsid w:val="002A32DE"/>
    <w:rsid w:val="002A4020"/>
    <w:rsid w:val="002B0808"/>
    <w:rsid w:val="002B249A"/>
    <w:rsid w:val="002B4EDF"/>
    <w:rsid w:val="002B519E"/>
    <w:rsid w:val="002B51C5"/>
    <w:rsid w:val="002B5DE8"/>
    <w:rsid w:val="002B769A"/>
    <w:rsid w:val="002C3309"/>
    <w:rsid w:val="002C3657"/>
    <w:rsid w:val="002C5C80"/>
    <w:rsid w:val="002C6FD9"/>
    <w:rsid w:val="002D031D"/>
    <w:rsid w:val="002D17C4"/>
    <w:rsid w:val="002D558A"/>
    <w:rsid w:val="002D6084"/>
    <w:rsid w:val="002D6673"/>
    <w:rsid w:val="002E5FE9"/>
    <w:rsid w:val="002E65A6"/>
    <w:rsid w:val="002F0C5B"/>
    <w:rsid w:val="002F1183"/>
    <w:rsid w:val="002F2B32"/>
    <w:rsid w:val="002F3AC5"/>
    <w:rsid w:val="002F58A7"/>
    <w:rsid w:val="002F738E"/>
    <w:rsid w:val="00301D9C"/>
    <w:rsid w:val="0030305B"/>
    <w:rsid w:val="00305BBA"/>
    <w:rsid w:val="003118C5"/>
    <w:rsid w:val="00313A22"/>
    <w:rsid w:val="00314267"/>
    <w:rsid w:val="0031456D"/>
    <w:rsid w:val="00314FAE"/>
    <w:rsid w:val="00315333"/>
    <w:rsid w:val="0031795B"/>
    <w:rsid w:val="003207E1"/>
    <w:rsid w:val="00322AB0"/>
    <w:rsid w:val="0032308A"/>
    <w:rsid w:val="00324E64"/>
    <w:rsid w:val="003251D2"/>
    <w:rsid w:val="003259CE"/>
    <w:rsid w:val="003310FA"/>
    <w:rsid w:val="00333BE4"/>
    <w:rsid w:val="00335D05"/>
    <w:rsid w:val="00336189"/>
    <w:rsid w:val="00336CEB"/>
    <w:rsid w:val="00337B26"/>
    <w:rsid w:val="003416ED"/>
    <w:rsid w:val="0034194A"/>
    <w:rsid w:val="00341A63"/>
    <w:rsid w:val="00342C37"/>
    <w:rsid w:val="00342FD4"/>
    <w:rsid w:val="0034326B"/>
    <w:rsid w:val="003434AB"/>
    <w:rsid w:val="003439C4"/>
    <w:rsid w:val="00345A35"/>
    <w:rsid w:val="00345B5B"/>
    <w:rsid w:val="0035001C"/>
    <w:rsid w:val="003504EE"/>
    <w:rsid w:val="00350C89"/>
    <w:rsid w:val="003553CF"/>
    <w:rsid w:val="00355459"/>
    <w:rsid w:val="00355E67"/>
    <w:rsid w:val="00356832"/>
    <w:rsid w:val="003636FE"/>
    <w:rsid w:val="00364822"/>
    <w:rsid w:val="0036535A"/>
    <w:rsid w:val="00366ACA"/>
    <w:rsid w:val="00367414"/>
    <w:rsid w:val="00370D95"/>
    <w:rsid w:val="00370EF5"/>
    <w:rsid w:val="00372758"/>
    <w:rsid w:val="00374232"/>
    <w:rsid w:val="003777BE"/>
    <w:rsid w:val="00377AA3"/>
    <w:rsid w:val="0038380E"/>
    <w:rsid w:val="00383E17"/>
    <w:rsid w:val="003923DA"/>
    <w:rsid w:val="00393118"/>
    <w:rsid w:val="003945AD"/>
    <w:rsid w:val="00395F31"/>
    <w:rsid w:val="00397781"/>
    <w:rsid w:val="003A29C8"/>
    <w:rsid w:val="003A3012"/>
    <w:rsid w:val="003A61E5"/>
    <w:rsid w:val="003B3D23"/>
    <w:rsid w:val="003B5F1B"/>
    <w:rsid w:val="003B708B"/>
    <w:rsid w:val="003C2F80"/>
    <w:rsid w:val="003C4925"/>
    <w:rsid w:val="003C4B6E"/>
    <w:rsid w:val="003C56AC"/>
    <w:rsid w:val="003C5C21"/>
    <w:rsid w:val="003C6784"/>
    <w:rsid w:val="003C7577"/>
    <w:rsid w:val="003D0AB5"/>
    <w:rsid w:val="003D150C"/>
    <w:rsid w:val="003D483F"/>
    <w:rsid w:val="003D7F9E"/>
    <w:rsid w:val="003E1EB5"/>
    <w:rsid w:val="003E1F80"/>
    <w:rsid w:val="003F00B5"/>
    <w:rsid w:val="003F175C"/>
    <w:rsid w:val="003F6503"/>
    <w:rsid w:val="003F6F67"/>
    <w:rsid w:val="00400536"/>
    <w:rsid w:val="0040053F"/>
    <w:rsid w:val="0040268F"/>
    <w:rsid w:val="004038BC"/>
    <w:rsid w:val="00411640"/>
    <w:rsid w:val="004162FC"/>
    <w:rsid w:val="0042004D"/>
    <w:rsid w:val="00422E20"/>
    <w:rsid w:val="004272A2"/>
    <w:rsid w:val="00427596"/>
    <w:rsid w:val="00430F11"/>
    <w:rsid w:val="00434C3F"/>
    <w:rsid w:val="00440377"/>
    <w:rsid w:val="00440C91"/>
    <w:rsid w:val="004434F7"/>
    <w:rsid w:val="004435CF"/>
    <w:rsid w:val="00446557"/>
    <w:rsid w:val="0045300E"/>
    <w:rsid w:val="00454359"/>
    <w:rsid w:val="00454A17"/>
    <w:rsid w:val="00461236"/>
    <w:rsid w:val="004614A3"/>
    <w:rsid w:val="00461561"/>
    <w:rsid w:val="00463A45"/>
    <w:rsid w:val="00464D1E"/>
    <w:rsid w:val="00465E12"/>
    <w:rsid w:val="0046652A"/>
    <w:rsid w:val="00466ABB"/>
    <w:rsid w:val="00467487"/>
    <w:rsid w:val="00472720"/>
    <w:rsid w:val="00473059"/>
    <w:rsid w:val="00473B0B"/>
    <w:rsid w:val="00475AF6"/>
    <w:rsid w:val="00476D96"/>
    <w:rsid w:val="00476FB5"/>
    <w:rsid w:val="00480BD6"/>
    <w:rsid w:val="004904FD"/>
    <w:rsid w:val="00490645"/>
    <w:rsid w:val="00490AE4"/>
    <w:rsid w:val="00492E67"/>
    <w:rsid w:val="004935F4"/>
    <w:rsid w:val="00493CA0"/>
    <w:rsid w:val="0049496A"/>
    <w:rsid w:val="004952AC"/>
    <w:rsid w:val="00496344"/>
    <w:rsid w:val="004A0655"/>
    <w:rsid w:val="004A06FF"/>
    <w:rsid w:val="004B003C"/>
    <w:rsid w:val="004B08D3"/>
    <w:rsid w:val="004B3043"/>
    <w:rsid w:val="004B3C09"/>
    <w:rsid w:val="004C3F4B"/>
    <w:rsid w:val="004C5331"/>
    <w:rsid w:val="004D6035"/>
    <w:rsid w:val="004E1100"/>
    <w:rsid w:val="004E1D10"/>
    <w:rsid w:val="004E373C"/>
    <w:rsid w:val="004E57ED"/>
    <w:rsid w:val="004E62C3"/>
    <w:rsid w:val="005000A8"/>
    <w:rsid w:val="00500495"/>
    <w:rsid w:val="00500900"/>
    <w:rsid w:val="00500BD0"/>
    <w:rsid w:val="005020AD"/>
    <w:rsid w:val="00502E92"/>
    <w:rsid w:val="005113C0"/>
    <w:rsid w:val="0051145D"/>
    <w:rsid w:val="00512278"/>
    <w:rsid w:val="00513874"/>
    <w:rsid w:val="0051417D"/>
    <w:rsid w:val="00520BDD"/>
    <w:rsid w:val="00520F54"/>
    <w:rsid w:val="00522515"/>
    <w:rsid w:val="0052624D"/>
    <w:rsid w:val="00526E42"/>
    <w:rsid w:val="005300D5"/>
    <w:rsid w:val="00530486"/>
    <w:rsid w:val="0053082A"/>
    <w:rsid w:val="00536187"/>
    <w:rsid w:val="00542385"/>
    <w:rsid w:val="00542D79"/>
    <w:rsid w:val="00543EB4"/>
    <w:rsid w:val="005441FC"/>
    <w:rsid w:val="00551543"/>
    <w:rsid w:val="00551772"/>
    <w:rsid w:val="00552F8E"/>
    <w:rsid w:val="00553B85"/>
    <w:rsid w:val="00554576"/>
    <w:rsid w:val="00555C68"/>
    <w:rsid w:val="00556551"/>
    <w:rsid w:val="00557116"/>
    <w:rsid w:val="005647B1"/>
    <w:rsid w:val="00565137"/>
    <w:rsid w:val="00565970"/>
    <w:rsid w:val="0056766E"/>
    <w:rsid w:val="0057118F"/>
    <w:rsid w:val="005733EB"/>
    <w:rsid w:val="005737C5"/>
    <w:rsid w:val="00574224"/>
    <w:rsid w:val="005748FA"/>
    <w:rsid w:val="00576EB2"/>
    <w:rsid w:val="0058136C"/>
    <w:rsid w:val="00585F17"/>
    <w:rsid w:val="00586CFB"/>
    <w:rsid w:val="00586FBF"/>
    <w:rsid w:val="00587DF8"/>
    <w:rsid w:val="005930C8"/>
    <w:rsid w:val="005935B9"/>
    <w:rsid w:val="005943FA"/>
    <w:rsid w:val="005953B8"/>
    <w:rsid w:val="005965A1"/>
    <w:rsid w:val="00596666"/>
    <w:rsid w:val="005A2ADC"/>
    <w:rsid w:val="005A2DC3"/>
    <w:rsid w:val="005A5952"/>
    <w:rsid w:val="005B5871"/>
    <w:rsid w:val="005C0C21"/>
    <w:rsid w:val="005C24CD"/>
    <w:rsid w:val="005C2BDB"/>
    <w:rsid w:val="005C396D"/>
    <w:rsid w:val="005C4081"/>
    <w:rsid w:val="005C4B79"/>
    <w:rsid w:val="005C56E8"/>
    <w:rsid w:val="005C57EB"/>
    <w:rsid w:val="005C5ABF"/>
    <w:rsid w:val="005C6B2B"/>
    <w:rsid w:val="005C6D85"/>
    <w:rsid w:val="005C6E9E"/>
    <w:rsid w:val="005C7664"/>
    <w:rsid w:val="005D035A"/>
    <w:rsid w:val="005D142C"/>
    <w:rsid w:val="005D1B8D"/>
    <w:rsid w:val="005D4845"/>
    <w:rsid w:val="005D7035"/>
    <w:rsid w:val="005D78BA"/>
    <w:rsid w:val="005D79A1"/>
    <w:rsid w:val="005E23FE"/>
    <w:rsid w:val="005E26EA"/>
    <w:rsid w:val="005E44E0"/>
    <w:rsid w:val="005E4B6D"/>
    <w:rsid w:val="005E4CD1"/>
    <w:rsid w:val="005E6098"/>
    <w:rsid w:val="005E6A50"/>
    <w:rsid w:val="005E7C2F"/>
    <w:rsid w:val="005F6AF6"/>
    <w:rsid w:val="005F6B9D"/>
    <w:rsid w:val="005F6F54"/>
    <w:rsid w:val="00600120"/>
    <w:rsid w:val="00600451"/>
    <w:rsid w:val="00600542"/>
    <w:rsid w:val="006017DC"/>
    <w:rsid w:val="00602576"/>
    <w:rsid w:val="0060290A"/>
    <w:rsid w:val="00603112"/>
    <w:rsid w:val="00605E5A"/>
    <w:rsid w:val="00607D30"/>
    <w:rsid w:val="00611F39"/>
    <w:rsid w:val="00613213"/>
    <w:rsid w:val="00613419"/>
    <w:rsid w:val="00614054"/>
    <w:rsid w:val="00617092"/>
    <w:rsid w:val="00623F22"/>
    <w:rsid w:val="00627073"/>
    <w:rsid w:val="006304AA"/>
    <w:rsid w:val="00631932"/>
    <w:rsid w:val="00632371"/>
    <w:rsid w:val="006339A4"/>
    <w:rsid w:val="00633A1C"/>
    <w:rsid w:val="006350A0"/>
    <w:rsid w:val="006353D6"/>
    <w:rsid w:val="00635D8A"/>
    <w:rsid w:val="006370F9"/>
    <w:rsid w:val="00640248"/>
    <w:rsid w:val="00640869"/>
    <w:rsid w:val="00641ABD"/>
    <w:rsid w:val="00643117"/>
    <w:rsid w:val="00643DC7"/>
    <w:rsid w:val="00644D01"/>
    <w:rsid w:val="006450C3"/>
    <w:rsid w:val="00645D89"/>
    <w:rsid w:val="006467D8"/>
    <w:rsid w:val="00646861"/>
    <w:rsid w:val="00647197"/>
    <w:rsid w:val="0064792D"/>
    <w:rsid w:val="00652F29"/>
    <w:rsid w:val="006531EB"/>
    <w:rsid w:val="00655BBD"/>
    <w:rsid w:val="00656C9B"/>
    <w:rsid w:val="00670AE6"/>
    <w:rsid w:val="00670B92"/>
    <w:rsid w:val="00670D5E"/>
    <w:rsid w:val="00670FBE"/>
    <w:rsid w:val="006714D4"/>
    <w:rsid w:val="00674EA9"/>
    <w:rsid w:val="0067701C"/>
    <w:rsid w:val="00677344"/>
    <w:rsid w:val="00677952"/>
    <w:rsid w:val="006807E1"/>
    <w:rsid w:val="00681980"/>
    <w:rsid w:val="00681DC3"/>
    <w:rsid w:val="00687227"/>
    <w:rsid w:val="00690191"/>
    <w:rsid w:val="00691205"/>
    <w:rsid w:val="00692CF0"/>
    <w:rsid w:val="00694487"/>
    <w:rsid w:val="00694C9A"/>
    <w:rsid w:val="00694DCC"/>
    <w:rsid w:val="006A1DA8"/>
    <w:rsid w:val="006A3040"/>
    <w:rsid w:val="006A3464"/>
    <w:rsid w:val="006A36BA"/>
    <w:rsid w:val="006A397F"/>
    <w:rsid w:val="006A40AD"/>
    <w:rsid w:val="006A5280"/>
    <w:rsid w:val="006B0D90"/>
    <w:rsid w:val="006B2585"/>
    <w:rsid w:val="006B400D"/>
    <w:rsid w:val="006B7B83"/>
    <w:rsid w:val="006C01A4"/>
    <w:rsid w:val="006C15C7"/>
    <w:rsid w:val="006C305D"/>
    <w:rsid w:val="006C37F2"/>
    <w:rsid w:val="006C5B02"/>
    <w:rsid w:val="006C6746"/>
    <w:rsid w:val="006C7492"/>
    <w:rsid w:val="006D197B"/>
    <w:rsid w:val="006D4F7A"/>
    <w:rsid w:val="006D5B4C"/>
    <w:rsid w:val="006D5C69"/>
    <w:rsid w:val="006D656B"/>
    <w:rsid w:val="006E0D7F"/>
    <w:rsid w:val="006E2460"/>
    <w:rsid w:val="006E5DDB"/>
    <w:rsid w:val="006F13F8"/>
    <w:rsid w:val="006F4B35"/>
    <w:rsid w:val="006F5053"/>
    <w:rsid w:val="00702452"/>
    <w:rsid w:val="00702CCC"/>
    <w:rsid w:val="0070435C"/>
    <w:rsid w:val="00705761"/>
    <w:rsid w:val="007063EC"/>
    <w:rsid w:val="007069A4"/>
    <w:rsid w:val="007132BE"/>
    <w:rsid w:val="00715344"/>
    <w:rsid w:val="00715354"/>
    <w:rsid w:val="007162D9"/>
    <w:rsid w:val="00716B7F"/>
    <w:rsid w:val="00717757"/>
    <w:rsid w:val="0072110C"/>
    <w:rsid w:val="00724501"/>
    <w:rsid w:val="00730EF8"/>
    <w:rsid w:val="007311D7"/>
    <w:rsid w:val="00733AC1"/>
    <w:rsid w:val="007362A4"/>
    <w:rsid w:val="00737813"/>
    <w:rsid w:val="00746716"/>
    <w:rsid w:val="00751833"/>
    <w:rsid w:val="0075307B"/>
    <w:rsid w:val="00753F39"/>
    <w:rsid w:val="007553B0"/>
    <w:rsid w:val="007579A7"/>
    <w:rsid w:val="007634D3"/>
    <w:rsid w:val="00770436"/>
    <w:rsid w:val="007733F7"/>
    <w:rsid w:val="007739D9"/>
    <w:rsid w:val="007756BF"/>
    <w:rsid w:val="00776884"/>
    <w:rsid w:val="007837D3"/>
    <w:rsid w:val="00784FA3"/>
    <w:rsid w:val="00785581"/>
    <w:rsid w:val="00785C58"/>
    <w:rsid w:val="007860CB"/>
    <w:rsid w:val="00787B07"/>
    <w:rsid w:val="00792BF6"/>
    <w:rsid w:val="00793C6D"/>
    <w:rsid w:val="007A32F9"/>
    <w:rsid w:val="007A7086"/>
    <w:rsid w:val="007B037B"/>
    <w:rsid w:val="007B40D8"/>
    <w:rsid w:val="007B584D"/>
    <w:rsid w:val="007B6788"/>
    <w:rsid w:val="007C0C21"/>
    <w:rsid w:val="007C5589"/>
    <w:rsid w:val="007C6F0F"/>
    <w:rsid w:val="007D284F"/>
    <w:rsid w:val="007E33C8"/>
    <w:rsid w:val="007E7FDE"/>
    <w:rsid w:val="008019BF"/>
    <w:rsid w:val="00806AE0"/>
    <w:rsid w:val="00806C5F"/>
    <w:rsid w:val="00807B42"/>
    <w:rsid w:val="00810356"/>
    <w:rsid w:val="00812F3C"/>
    <w:rsid w:val="0081372B"/>
    <w:rsid w:val="00813960"/>
    <w:rsid w:val="0081519A"/>
    <w:rsid w:val="00815E8C"/>
    <w:rsid w:val="00816091"/>
    <w:rsid w:val="008177EB"/>
    <w:rsid w:val="008215C3"/>
    <w:rsid w:val="008224E9"/>
    <w:rsid w:val="00823671"/>
    <w:rsid w:val="00823EBF"/>
    <w:rsid w:val="0082683B"/>
    <w:rsid w:val="00832F47"/>
    <w:rsid w:val="00834F6C"/>
    <w:rsid w:val="00835647"/>
    <w:rsid w:val="00837A1E"/>
    <w:rsid w:val="0084300B"/>
    <w:rsid w:val="00843EF0"/>
    <w:rsid w:val="008442FB"/>
    <w:rsid w:val="008508E0"/>
    <w:rsid w:val="0085233E"/>
    <w:rsid w:val="00852896"/>
    <w:rsid w:val="008537D1"/>
    <w:rsid w:val="00856796"/>
    <w:rsid w:val="008567C8"/>
    <w:rsid w:val="00860D18"/>
    <w:rsid w:val="00861676"/>
    <w:rsid w:val="008638AB"/>
    <w:rsid w:val="0086480C"/>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1BC3"/>
    <w:rsid w:val="008925D6"/>
    <w:rsid w:val="00893956"/>
    <w:rsid w:val="008950EA"/>
    <w:rsid w:val="00895E00"/>
    <w:rsid w:val="00897047"/>
    <w:rsid w:val="008A0F37"/>
    <w:rsid w:val="008A0F53"/>
    <w:rsid w:val="008A2A83"/>
    <w:rsid w:val="008A46C6"/>
    <w:rsid w:val="008A5E0C"/>
    <w:rsid w:val="008A605D"/>
    <w:rsid w:val="008B0D05"/>
    <w:rsid w:val="008B2342"/>
    <w:rsid w:val="008B2E3B"/>
    <w:rsid w:val="008B7970"/>
    <w:rsid w:val="008C20F7"/>
    <w:rsid w:val="008C4C6D"/>
    <w:rsid w:val="008C65C3"/>
    <w:rsid w:val="008C7DBD"/>
    <w:rsid w:val="008D142F"/>
    <w:rsid w:val="008D6214"/>
    <w:rsid w:val="008D78DF"/>
    <w:rsid w:val="008E173E"/>
    <w:rsid w:val="008E50ED"/>
    <w:rsid w:val="008E58A8"/>
    <w:rsid w:val="008E5EC1"/>
    <w:rsid w:val="008E62EB"/>
    <w:rsid w:val="008E64A8"/>
    <w:rsid w:val="008E7794"/>
    <w:rsid w:val="008F0299"/>
    <w:rsid w:val="008F2CC4"/>
    <w:rsid w:val="008F411C"/>
    <w:rsid w:val="008F5161"/>
    <w:rsid w:val="009000C6"/>
    <w:rsid w:val="009005DE"/>
    <w:rsid w:val="00900703"/>
    <w:rsid w:val="0090202E"/>
    <w:rsid w:val="00902778"/>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1F3"/>
    <w:rsid w:val="00941C22"/>
    <w:rsid w:val="00941FE2"/>
    <w:rsid w:val="00942557"/>
    <w:rsid w:val="00944567"/>
    <w:rsid w:val="00950C31"/>
    <w:rsid w:val="009546CF"/>
    <w:rsid w:val="009551B3"/>
    <w:rsid w:val="00956E21"/>
    <w:rsid w:val="009604C4"/>
    <w:rsid w:val="00963379"/>
    <w:rsid w:val="00964B47"/>
    <w:rsid w:val="0096581B"/>
    <w:rsid w:val="0097121B"/>
    <w:rsid w:val="0097202C"/>
    <w:rsid w:val="0097585D"/>
    <w:rsid w:val="00975F56"/>
    <w:rsid w:val="009810D2"/>
    <w:rsid w:val="009816DB"/>
    <w:rsid w:val="0098407D"/>
    <w:rsid w:val="009841A8"/>
    <w:rsid w:val="00984B95"/>
    <w:rsid w:val="00985BC0"/>
    <w:rsid w:val="00986237"/>
    <w:rsid w:val="00987302"/>
    <w:rsid w:val="009926B7"/>
    <w:rsid w:val="00992F89"/>
    <w:rsid w:val="009953B5"/>
    <w:rsid w:val="00995EC5"/>
    <w:rsid w:val="00996099"/>
    <w:rsid w:val="0099673A"/>
    <w:rsid w:val="00997021"/>
    <w:rsid w:val="009A310F"/>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9B8"/>
    <w:rsid w:val="009F1B17"/>
    <w:rsid w:val="009F4196"/>
    <w:rsid w:val="009F706A"/>
    <w:rsid w:val="00A005FF"/>
    <w:rsid w:val="00A01A95"/>
    <w:rsid w:val="00A021E4"/>
    <w:rsid w:val="00A04002"/>
    <w:rsid w:val="00A0674A"/>
    <w:rsid w:val="00A07919"/>
    <w:rsid w:val="00A11B58"/>
    <w:rsid w:val="00A14BB5"/>
    <w:rsid w:val="00A150A0"/>
    <w:rsid w:val="00A158CB"/>
    <w:rsid w:val="00A15C86"/>
    <w:rsid w:val="00A164E0"/>
    <w:rsid w:val="00A25881"/>
    <w:rsid w:val="00A2760F"/>
    <w:rsid w:val="00A27F1A"/>
    <w:rsid w:val="00A30F29"/>
    <w:rsid w:val="00A32717"/>
    <w:rsid w:val="00A32AA6"/>
    <w:rsid w:val="00A333CD"/>
    <w:rsid w:val="00A347EC"/>
    <w:rsid w:val="00A37F46"/>
    <w:rsid w:val="00A41701"/>
    <w:rsid w:val="00A44E98"/>
    <w:rsid w:val="00A5130A"/>
    <w:rsid w:val="00A5324A"/>
    <w:rsid w:val="00A55BEB"/>
    <w:rsid w:val="00A60E83"/>
    <w:rsid w:val="00A62523"/>
    <w:rsid w:val="00A638F4"/>
    <w:rsid w:val="00A650D6"/>
    <w:rsid w:val="00A6655B"/>
    <w:rsid w:val="00A6685D"/>
    <w:rsid w:val="00A67A7C"/>
    <w:rsid w:val="00A82E18"/>
    <w:rsid w:val="00A83575"/>
    <w:rsid w:val="00A90B08"/>
    <w:rsid w:val="00A94A42"/>
    <w:rsid w:val="00A95BCD"/>
    <w:rsid w:val="00A95FDE"/>
    <w:rsid w:val="00A96A9D"/>
    <w:rsid w:val="00AA370E"/>
    <w:rsid w:val="00AA40CE"/>
    <w:rsid w:val="00AA5D0E"/>
    <w:rsid w:val="00AB0EB0"/>
    <w:rsid w:val="00AB153F"/>
    <w:rsid w:val="00AB4327"/>
    <w:rsid w:val="00AB4984"/>
    <w:rsid w:val="00AB6286"/>
    <w:rsid w:val="00AB7821"/>
    <w:rsid w:val="00AB7C14"/>
    <w:rsid w:val="00AC2E47"/>
    <w:rsid w:val="00AC471B"/>
    <w:rsid w:val="00AC5C3F"/>
    <w:rsid w:val="00AC5CD9"/>
    <w:rsid w:val="00AD05EE"/>
    <w:rsid w:val="00AD0C07"/>
    <w:rsid w:val="00AD7511"/>
    <w:rsid w:val="00AE3A32"/>
    <w:rsid w:val="00AE4DB1"/>
    <w:rsid w:val="00AE4F87"/>
    <w:rsid w:val="00AE78F5"/>
    <w:rsid w:val="00AE7959"/>
    <w:rsid w:val="00AF1F87"/>
    <w:rsid w:val="00AF3499"/>
    <w:rsid w:val="00AF4FC3"/>
    <w:rsid w:val="00B01BF8"/>
    <w:rsid w:val="00B05A98"/>
    <w:rsid w:val="00B06E89"/>
    <w:rsid w:val="00B106E8"/>
    <w:rsid w:val="00B15D1B"/>
    <w:rsid w:val="00B16C08"/>
    <w:rsid w:val="00B170D3"/>
    <w:rsid w:val="00B20511"/>
    <w:rsid w:val="00B20A11"/>
    <w:rsid w:val="00B22B55"/>
    <w:rsid w:val="00B248CA"/>
    <w:rsid w:val="00B26487"/>
    <w:rsid w:val="00B264F3"/>
    <w:rsid w:val="00B26F38"/>
    <w:rsid w:val="00B27019"/>
    <w:rsid w:val="00B2738B"/>
    <w:rsid w:val="00B3388F"/>
    <w:rsid w:val="00B35DE2"/>
    <w:rsid w:val="00B37F38"/>
    <w:rsid w:val="00B4308F"/>
    <w:rsid w:val="00B459A7"/>
    <w:rsid w:val="00B45AF1"/>
    <w:rsid w:val="00B4758E"/>
    <w:rsid w:val="00B50884"/>
    <w:rsid w:val="00B52B98"/>
    <w:rsid w:val="00B53893"/>
    <w:rsid w:val="00B54087"/>
    <w:rsid w:val="00B546FB"/>
    <w:rsid w:val="00B54BD8"/>
    <w:rsid w:val="00B54DFA"/>
    <w:rsid w:val="00B572B5"/>
    <w:rsid w:val="00B57322"/>
    <w:rsid w:val="00B61717"/>
    <w:rsid w:val="00B61829"/>
    <w:rsid w:val="00B62563"/>
    <w:rsid w:val="00B62A93"/>
    <w:rsid w:val="00B64929"/>
    <w:rsid w:val="00B675C0"/>
    <w:rsid w:val="00B70E3B"/>
    <w:rsid w:val="00B74033"/>
    <w:rsid w:val="00B74856"/>
    <w:rsid w:val="00B74D82"/>
    <w:rsid w:val="00B76250"/>
    <w:rsid w:val="00B763BF"/>
    <w:rsid w:val="00B767F1"/>
    <w:rsid w:val="00B76BB8"/>
    <w:rsid w:val="00B8060A"/>
    <w:rsid w:val="00B814F9"/>
    <w:rsid w:val="00B81A2B"/>
    <w:rsid w:val="00B85FDD"/>
    <w:rsid w:val="00B871D3"/>
    <w:rsid w:val="00B8792A"/>
    <w:rsid w:val="00B90A0B"/>
    <w:rsid w:val="00B923D6"/>
    <w:rsid w:val="00B93710"/>
    <w:rsid w:val="00B93E62"/>
    <w:rsid w:val="00B95971"/>
    <w:rsid w:val="00B975CC"/>
    <w:rsid w:val="00BA088B"/>
    <w:rsid w:val="00BA1180"/>
    <w:rsid w:val="00BA2F7F"/>
    <w:rsid w:val="00BA5FE2"/>
    <w:rsid w:val="00BA62E5"/>
    <w:rsid w:val="00BA73BA"/>
    <w:rsid w:val="00BB0995"/>
    <w:rsid w:val="00BB249E"/>
    <w:rsid w:val="00BB32F5"/>
    <w:rsid w:val="00BB4BC5"/>
    <w:rsid w:val="00BC4852"/>
    <w:rsid w:val="00BC7CFC"/>
    <w:rsid w:val="00BD2519"/>
    <w:rsid w:val="00BD4BB0"/>
    <w:rsid w:val="00BD78FD"/>
    <w:rsid w:val="00BE01D0"/>
    <w:rsid w:val="00BE48E1"/>
    <w:rsid w:val="00BE5304"/>
    <w:rsid w:val="00BE6D11"/>
    <w:rsid w:val="00BF001D"/>
    <w:rsid w:val="00BF22D3"/>
    <w:rsid w:val="00BF2956"/>
    <w:rsid w:val="00BF63BB"/>
    <w:rsid w:val="00C05BD5"/>
    <w:rsid w:val="00C05C3E"/>
    <w:rsid w:val="00C0663E"/>
    <w:rsid w:val="00C07CD9"/>
    <w:rsid w:val="00C144D1"/>
    <w:rsid w:val="00C14BC9"/>
    <w:rsid w:val="00C2018C"/>
    <w:rsid w:val="00C2162A"/>
    <w:rsid w:val="00C24298"/>
    <w:rsid w:val="00C33536"/>
    <w:rsid w:val="00C34D6D"/>
    <w:rsid w:val="00C357A3"/>
    <w:rsid w:val="00C378F5"/>
    <w:rsid w:val="00C411A6"/>
    <w:rsid w:val="00C542BE"/>
    <w:rsid w:val="00C551A0"/>
    <w:rsid w:val="00C5583A"/>
    <w:rsid w:val="00C60DE0"/>
    <w:rsid w:val="00C61E30"/>
    <w:rsid w:val="00C62AE7"/>
    <w:rsid w:val="00C644D3"/>
    <w:rsid w:val="00C65332"/>
    <w:rsid w:val="00C6574B"/>
    <w:rsid w:val="00C6584D"/>
    <w:rsid w:val="00C65D51"/>
    <w:rsid w:val="00C67DCA"/>
    <w:rsid w:val="00C7227F"/>
    <w:rsid w:val="00C733C9"/>
    <w:rsid w:val="00C749B7"/>
    <w:rsid w:val="00C77044"/>
    <w:rsid w:val="00C77AA6"/>
    <w:rsid w:val="00C809FA"/>
    <w:rsid w:val="00C81371"/>
    <w:rsid w:val="00C82AE6"/>
    <w:rsid w:val="00C83372"/>
    <w:rsid w:val="00C83EED"/>
    <w:rsid w:val="00C8502B"/>
    <w:rsid w:val="00C86249"/>
    <w:rsid w:val="00C94673"/>
    <w:rsid w:val="00CA0299"/>
    <w:rsid w:val="00CA2AEC"/>
    <w:rsid w:val="00CA2F29"/>
    <w:rsid w:val="00CA342C"/>
    <w:rsid w:val="00CA3CA7"/>
    <w:rsid w:val="00CA4E8A"/>
    <w:rsid w:val="00CA5785"/>
    <w:rsid w:val="00CB02B9"/>
    <w:rsid w:val="00CB46B4"/>
    <w:rsid w:val="00CB5B0C"/>
    <w:rsid w:val="00CB6C68"/>
    <w:rsid w:val="00CB7CCB"/>
    <w:rsid w:val="00CC2336"/>
    <w:rsid w:val="00CC43C0"/>
    <w:rsid w:val="00CC581F"/>
    <w:rsid w:val="00CD0211"/>
    <w:rsid w:val="00CD10BD"/>
    <w:rsid w:val="00CD146D"/>
    <w:rsid w:val="00CD7486"/>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301"/>
    <w:rsid w:val="00D12591"/>
    <w:rsid w:val="00D12773"/>
    <w:rsid w:val="00D1318C"/>
    <w:rsid w:val="00D13260"/>
    <w:rsid w:val="00D136F5"/>
    <w:rsid w:val="00D13C77"/>
    <w:rsid w:val="00D150EF"/>
    <w:rsid w:val="00D24972"/>
    <w:rsid w:val="00D25474"/>
    <w:rsid w:val="00D301CE"/>
    <w:rsid w:val="00D36743"/>
    <w:rsid w:val="00D36A0D"/>
    <w:rsid w:val="00D379E6"/>
    <w:rsid w:val="00D40F57"/>
    <w:rsid w:val="00D4428C"/>
    <w:rsid w:val="00D46124"/>
    <w:rsid w:val="00D470BD"/>
    <w:rsid w:val="00D4794E"/>
    <w:rsid w:val="00D525F2"/>
    <w:rsid w:val="00D535D6"/>
    <w:rsid w:val="00D54CA1"/>
    <w:rsid w:val="00D55998"/>
    <w:rsid w:val="00D577F2"/>
    <w:rsid w:val="00D61881"/>
    <w:rsid w:val="00D61F23"/>
    <w:rsid w:val="00D65B75"/>
    <w:rsid w:val="00D7087B"/>
    <w:rsid w:val="00D7296F"/>
    <w:rsid w:val="00D75330"/>
    <w:rsid w:val="00D76CA3"/>
    <w:rsid w:val="00D770C3"/>
    <w:rsid w:val="00D81473"/>
    <w:rsid w:val="00D832EA"/>
    <w:rsid w:val="00D835E1"/>
    <w:rsid w:val="00D84E17"/>
    <w:rsid w:val="00D84F0C"/>
    <w:rsid w:val="00D91FFB"/>
    <w:rsid w:val="00D93B4A"/>
    <w:rsid w:val="00D95DF3"/>
    <w:rsid w:val="00D9736C"/>
    <w:rsid w:val="00D97525"/>
    <w:rsid w:val="00D97D1D"/>
    <w:rsid w:val="00DA0E9F"/>
    <w:rsid w:val="00DA31C7"/>
    <w:rsid w:val="00DA48BC"/>
    <w:rsid w:val="00DB04BF"/>
    <w:rsid w:val="00DB09CD"/>
    <w:rsid w:val="00DB45A8"/>
    <w:rsid w:val="00DB4653"/>
    <w:rsid w:val="00DB56FA"/>
    <w:rsid w:val="00DB597E"/>
    <w:rsid w:val="00DB60CA"/>
    <w:rsid w:val="00DC053F"/>
    <w:rsid w:val="00DC1D5A"/>
    <w:rsid w:val="00DC2CE9"/>
    <w:rsid w:val="00DC63BC"/>
    <w:rsid w:val="00DD13E2"/>
    <w:rsid w:val="00DD1850"/>
    <w:rsid w:val="00DD2569"/>
    <w:rsid w:val="00DD297A"/>
    <w:rsid w:val="00DD37B6"/>
    <w:rsid w:val="00DD66CC"/>
    <w:rsid w:val="00DD6B45"/>
    <w:rsid w:val="00DD7528"/>
    <w:rsid w:val="00DE0102"/>
    <w:rsid w:val="00DE3548"/>
    <w:rsid w:val="00DE3F76"/>
    <w:rsid w:val="00DE427C"/>
    <w:rsid w:val="00DE7DE2"/>
    <w:rsid w:val="00DF727B"/>
    <w:rsid w:val="00E015AA"/>
    <w:rsid w:val="00E03B3F"/>
    <w:rsid w:val="00E0472F"/>
    <w:rsid w:val="00E069B3"/>
    <w:rsid w:val="00E06B16"/>
    <w:rsid w:val="00E1047D"/>
    <w:rsid w:val="00E12614"/>
    <w:rsid w:val="00E12FB3"/>
    <w:rsid w:val="00E1306E"/>
    <w:rsid w:val="00E13249"/>
    <w:rsid w:val="00E143C6"/>
    <w:rsid w:val="00E162AB"/>
    <w:rsid w:val="00E20BE6"/>
    <w:rsid w:val="00E2287F"/>
    <w:rsid w:val="00E246C3"/>
    <w:rsid w:val="00E247E8"/>
    <w:rsid w:val="00E37C9C"/>
    <w:rsid w:val="00E417DA"/>
    <w:rsid w:val="00E418D1"/>
    <w:rsid w:val="00E431FA"/>
    <w:rsid w:val="00E43922"/>
    <w:rsid w:val="00E44860"/>
    <w:rsid w:val="00E465B1"/>
    <w:rsid w:val="00E50794"/>
    <w:rsid w:val="00E51AC1"/>
    <w:rsid w:val="00E545FD"/>
    <w:rsid w:val="00E56AC8"/>
    <w:rsid w:val="00E57DEB"/>
    <w:rsid w:val="00E60F52"/>
    <w:rsid w:val="00E62014"/>
    <w:rsid w:val="00E6215B"/>
    <w:rsid w:val="00E62C94"/>
    <w:rsid w:val="00E64DDC"/>
    <w:rsid w:val="00E6576F"/>
    <w:rsid w:val="00E66E88"/>
    <w:rsid w:val="00E67CBC"/>
    <w:rsid w:val="00E70252"/>
    <w:rsid w:val="00E70BAA"/>
    <w:rsid w:val="00E74F6C"/>
    <w:rsid w:val="00E758AB"/>
    <w:rsid w:val="00E75FC8"/>
    <w:rsid w:val="00E84C37"/>
    <w:rsid w:val="00E909C5"/>
    <w:rsid w:val="00E92597"/>
    <w:rsid w:val="00E92A3E"/>
    <w:rsid w:val="00E941D0"/>
    <w:rsid w:val="00EA101D"/>
    <w:rsid w:val="00EA1D82"/>
    <w:rsid w:val="00EA1E08"/>
    <w:rsid w:val="00EA3162"/>
    <w:rsid w:val="00EA5A80"/>
    <w:rsid w:val="00EB0221"/>
    <w:rsid w:val="00EB27E7"/>
    <w:rsid w:val="00EB3371"/>
    <w:rsid w:val="00EB48B7"/>
    <w:rsid w:val="00EB74F1"/>
    <w:rsid w:val="00EC1B65"/>
    <w:rsid w:val="00EC2665"/>
    <w:rsid w:val="00EC32EC"/>
    <w:rsid w:val="00EC3608"/>
    <w:rsid w:val="00ED59C4"/>
    <w:rsid w:val="00EE0ACA"/>
    <w:rsid w:val="00EE1961"/>
    <w:rsid w:val="00EE47DA"/>
    <w:rsid w:val="00EE56F8"/>
    <w:rsid w:val="00EE58C9"/>
    <w:rsid w:val="00EE625C"/>
    <w:rsid w:val="00EE7D21"/>
    <w:rsid w:val="00EF1FD3"/>
    <w:rsid w:val="00EF2755"/>
    <w:rsid w:val="00EF27B5"/>
    <w:rsid w:val="00EF3497"/>
    <w:rsid w:val="00EF49C2"/>
    <w:rsid w:val="00EF4DF8"/>
    <w:rsid w:val="00EF5335"/>
    <w:rsid w:val="00EF728A"/>
    <w:rsid w:val="00F01E00"/>
    <w:rsid w:val="00F11366"/>
    <w:rsid w:val="00F13C4A"/>
    <w:rsid w:val="00F1403B"/>
    <w:rsid w:val="00F15788"/>
    <w:rsid w:val="00F20BF6"/>
    <w:rsid w:val="00F257E5"/>
    <w:rsid w:val="00F314A7"/>
    <w:rsid w:val="00F31FF2"/>
    <w:rsid w:val="00F40714"/>
    <w:rsid w:val="00F42A74"/>
    <w:rsid w:val="00F44741"/>
    <w:rsid w:val="00F45B60"/>
    <w:rsid w:val="00F56E8C"/>
    <w:rsid w:val="00F62590"/>
    <w:rsid w:val="00F656D2"/>
    <w:rsid w:val="00F67117"/>
    <w:rsid w:val="00F67291"/>
    <w:rsid w:val="00F674E6"/>
    <w:rsid w:val="00F67C0F"/>
    <w:rsid w:val="00F70A66"/>
    <w:rsid w:val="00F7157E"/>
    <w:rsid w:val="00F722E8"/>
    <w:rsid w:val="00F735C8"/>
    <w:rsid w:val="00F74D30"/>
    <w:rsid w:val="00F762F9"/>
    <w:rsid w:val="00F80493"/>
    <w:rsid w:val="00F821F3"/>
    <w:rsid w:val="00F85E67"/>
    <w:rsid w:val="00F91063"/>
    <w:rsid w:val="00F91F2D"/>
    <w:rsid w:val="00F9265D"/>
    <w:rsid w:val="00F937E1"/>
    <w:rsid w:val="00F93A0E"/>
    <w:rsid w:val="00F95CE2"/>
    <w:rsid w:val="00F96ECA"/>
    <w:rsid w:val="00FA1F4B"/>
    <w:rsid w:val="00FA6D23"/>
    <w:rsid w:val="00FA7246"/>
    <w:rsid w:val="00FB27CD"/>
    <w:rsid w:val="00FB2CE9"/>
    <w:rsid w:val="00FB562D"/>
    <w:rsid w:val="00FB6E75"/>
    <w:rsid w:val="00FB7CD5"/>
    <w:rsid w:val="00FC0A96"/>
    <w:rsid w:val="00FC3E93"/>
    <w:rsid w:val="00FC502C"/>
    <w:rsid w:val="00FC50EA"/>
    <w:rsid w:val="00FC5357"/>
    <w:rsid w:val="00FC71F1"/>
    <w:rsid w:val="00FD1AD2"/>
    <w:rsid w:val="00FD1C71"/>
    <w:rsid w:val="00FE3446"/>
    <w:rsid w:val="00FE4E57"/>
    <w:rsid w:val="00FE6A42"/>
    <w:rsid w:val="00FF03A0"/>
    <w:rsid w:val="00FF0A94"/>
    <w:rsid w:val="00FF0D71"/>
    <w:rsid w:val="00FF1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C1BEA"/>
  <w15:docId w15:val="{48542701-0A02-41DA-A956-A4822B87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A55BEB"/>
    <w:pPr>
      <w:spacing w:after="0" w:line="240" w:lineRule="auto"/>
    </w:pPr>
  </w:style>
  <w:style w:type="paragraph" w:customStyle="1" w:styleId="infoem">
    <w:name w:val="infoem"/>
    <w:basedOn w:val="Sinespaciado"/>
    <w:qFormat/>
    <w:rsid w:val="00AB7C14"/>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06048670">
      <w:bodyDiv w:val="1"/>
      <w:marLeft w:val="0"/>
      <w:marRight w:val="0"/>
      <w:marTop w:val="0"/>
      <w:marBottom w:val="0"/>
      <w:divBdr>
        <w:top w:val="none" w:sz="0" w:space="0" w:color="auto"/>
        <w:left w:val="none" w:sz="0" w:space="0" w:color="auto"/>
        <w:bottom w:val="none" w:sz="0" w:space="0" w:color="auto"/>
        <w:right w:val="none" w:sz="0" w:space="0" w:color="auto"/>
      </w:divBdr>
      <w:divsChild>
        <w:div w:id="1692491332">
          <w:marLeft w:val="0"/>
          <w:marRight w:val="0"/>
          <w:marTop w:val="0"/>
          <w:marBottom w:val="94"/>
          <w:divBdr>
            <w:top w:val="none" w:sz="0" w:space="0" w:color="auto"/>
            <w:left w:val="none" w:sz="0" w:space="0" w:color="auto"/>
            <w:bottom w:val="none" w:sz="0" w:space="0" w:color="auto"/>
            <w:right w:val="none" w:sz="0" w:space="0" w:color="auto"/>
          </w:divBdr>
        </w:div>
        <w:div w:id="1979720377">
          <w:marLeft w:val="864"/>
          <w:marRight w:val="0"/>
          <w:marTop w:val="0"/>
          <w:marBottom w:val="94"/>
          <w:divBdr>
            <w:top w:val="none" w:sz="0" w:space="0" w:color="auto"/>
            <w:left w:val="none" w:sz="0" w:space="0" w:color="auto"/>
            <w:bottom w:val="none" w:sz="0" w:space="0" w:color="auto"/>
            <w:right w:val="none" w:sz="0" w:space="0" w:color="auto"/>
          </w:divBdr>
        </w:div>
        <w:div w:id="426076941">
          <w:marLeft w:val="864"/>
          <w:marRight w:val="0"/>
          <w:marTop w:val="0"/>
          <w:marBottom w:val="94"/>
          <w:divBdr>
            <w:top w:val="none" w:sz="0" w:space="0" w:color="auto"/>
            <w:left w:val="none" w:sz="0" w:space="0" w:color="auto"/>
            <w:bottom w:val="none" w:sz="0" w:space="0" w:color="auto"/>
            <w:right w:val="none" w:sz="0" w:space="0" w:color="auto"/>
          </w:divBdr>
        </w:div>
        <w:div w:id="37903268">
          <w:marLeft w:val="864"/>
          <w:marRight w:val="0"/>
          <w:marTop w:val="0"/>
          <w:marBottom w:val="94"/>
          <w:divBdr>
            <w:top w:val="none" w:sz="0" w:space="0" w:color="auto"/>
            <w:left w:val="none" w:sz="0" w:space="0" w:color="auto"/>
            <w:bottom w:val="none" w:sz="0" w:space="0" w:color="auto"/>
            <w:right w:val="none" w:sz="0" w:space="0" w:color="auto"/>
          </w:divBdr>
        </w:div>
        <w:div w:id="1247375361">
          <w:marLeft w:val="864"/>
          <w:marRight w:val="0"/>
          <w:marTop w:val="0"/>
          <w:marBottom w:val="94"/>
          <w:divBdr>
            <w:top w:val="none" w:sz="0" w:space="0" w:color="auto"/>
            <w:left w:val="none" w:sz="0" w:space="0" w:color="auto"/>
            <w:bottom w:val="none" w:sz="0" w:space="0" w:color="auto"/>
            <w:right w:val="none" w:sz="0" w:space="0" w:color="auto"/>
          </w:divBdr>
        </w:div>
        <w:div w:id="1870101299">
          <w:marLeft w:val="864"/>
          <w:marRight w:val="0"/>
          <w:marTop w:val="0"/>
          <w:marBottom w:val="94"/>
          <w:divBdr>
            <w:top w:val="none" w:sz="0" w:space="0" w:color="auto"/>
            <w:left w:val="none" w:sz="0" w:space="0" w:color="auto"/>
            <w:bottom w:val="none" w:sz="0" w:space="0" w:color="auto"/>
            <w:right w:val="none" w:sz="0" w:space="0" w:color="auto"/>
          </w:divBdr>
        </w:div>
      </w:divsChild>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33043546">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75850405">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912935030">
      <w:bodyDiv w:val="1"/>
      <w:marLeft w:val="0"/>
      <w:marRight w:val="0"/>
      <w:marTop w:val="0"/>
      <w:marBottom w:val="0"/>
      <w:divBdr>
        <w:top w:val="none" w:sz="0" w:space="0" w:color="auto"/>
        <w:left w:val="none" w:sz="0" w:space="0" w:color="auto"/>
        <w:bottom w:val="none" w:sz="0" w:space="0" w:color="auto"/>
        <w:right w:val="none" w:sz="0" w:space="0" w:color="auto"/>
      </w:divBdr>
    </w:div>
    <w:div w:id="1051222544">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18468152">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530">
      <w:bodyDiv w:val="1"/>
      <w:marLeft w:val="0"/>
      <w:marRight w:val="0"/>
      <w:marTop w:val="0"/>
      <w:marBottom w:val="0"/>
      <w:divBdr>
        <w:top w:val="none" w:sz="0" w:space="0" w:color="auto"/>
        <w:left w:val="none" w:sz="0" w:space="0" w:color="auto"/>
        <w:bottom w:val="none" w:sz="0" w:space="0" w:color="auto"/>
        <w:right w:val="none" w:sz="0" w:space="0" w:color="auto"/>
      </w:divBdr>
    </w:div>
    <w:div w:id="1412391478">
      <w:bodyDiv w:val="1"/>
      <w:marLeft w:val="0"/>
      <w:marRight w:val="0"/>
      <w:marTop w:val="0"/>
      <w:marBottom w:val="0"/>
      <w:divBdr>
        <w:top w:val="none" w:sz="0" w:space="0" w:color="auto"/>
        <w:left w:val="none" w:sz="0" w:space="0" w:color="auto"/>
        <w:bottom w:val="none" w:sz="0" w:space="0" w:color="auto"/>
        <w:right w:val="none" w:sz="0" w:space="0" w:color="auto"/>
      </w:divBdr>
      <w:divsChild>
        <w:div w:id="813716554">
          <w:marLeft w:val="0"/>
          <w:marRight w:val="0"/>
          <w:marTop w:val="0"/>
          <w:marBottom w:val="101"/>
          <w:divBdr>
            <w:top w:val="none" w:sz="0" w:space="0" w:color="auto"/>
            <w:left w:val="none" w:sz="0" w:space="0" w:color="auto"/>
            <w:bottom w:val="none" w:sz="0" w:space="0" w:color="auto"/>
            <w:right w:val="none" w:sz="0" w:space="0" w:color="auto"/>
          </w:divBdr>
        </w:div>
        <w:div w:id="718554504">
          <w:marLeft w:val="864"/>
          <w:marRight w:val="0"/>
          <w:marTop w:val="0"/>
          <w:marBottom w:val="101"/>
          <w:divBdr>
            <w:top w:val="none" w:sz="0" w:space="0" w:color="auto"/>
            <w:left w:val="none" w:sz="0" w:space="0" w:color="auto"/>
            <w:bottom w:val="none" w:sz="0" w:space="0" w:color="auto"/>
            <w:right w:val="none" w:sz="0" w:space="0" w:color="auto"/>
          </w:divBdr>
        </w:div>
        <w:div w:id="159467340">
          <w:marLeft w:val="864"/>
          <w:marRight w:val="0"/>
          <w:marTop w:val="0"/>
          <w:marBottom w:val="101"/>
          <w:divBdr>
            <w:top w:val="none" w:sz="0" w:space="0" w:color="auto"/>
            <w:left w:val="none" w:sz="0" w:space="0" w:color="auto"/>
            <w:bottom w:val="none" w:sz="0" w:space="0" w:color="auto"/>
            <w:right w:val="none" w:sz="0" w:space="0" w:color="auto"/>
          </w:divBdr>
        </w:div>
        <w:div w:id="1311783545">
          <w:marLeft w:val="0"/>
          <w:marRight w:val="0"/>
          <w:marTop w:val="0"/>
          <w:marBottom w:val="101"/>
          <w:divBdr>
            <w:top w:val="none" w:sz="0" w:space="0" w:color="auto"/>
            <w:left w:val="none" w:sz="0" w:space="0" w:color="auto"/>
            <w:bottom w:val="none" w:sz="0" w:space="0" w:color="auto"/>
            <w:right w:val="none" w:sz="0" w:space="0" w:color="auto"/>
          </w:divBdr>
        </w:div>
        <w:div w:id="990989281">
          <w:marLeft w:val="864"/>
          <w:marRight w:val="0"/>
          <w:marTop w:val="0"/>
          <w:marBottom w:val="101"/>
          <w:divBdr>
            <w:top w:val="none" w:sz="0" w:space="0" w:color="auto"/>
            <w:left w:val="none" w:sz="0" w:space="0" w:color="auto"/>
            <w:bottom w:val="none" w:sz="0" w:space="0" w:color="auto"/>
            <w:right w:val="none" w:sz="0" w:space="0" w:color="auto"/>
          </w:divBdr>
        </w:div>
        <w:div w:id="639573440">
          <w:marLeft w:val="864"/>
          <w:marRight w:val="0"/>
          <w:marTop w:val="0"/>
          <w:marBottom w:val="101"/>
          <w:divBdr>
            <w:top w:val="none" w:sz="0" w:space="0" w:color="auto"/>
            <w:left w:val="none" w:sz="0" w:space="0" w:color="auto"/>
            <w:bottom w:val="none" w:sz="0" w:space="0" w:color="auto"/>
            <w:right w:val="none" w:sz="0" w:space="0" w:color="auto"/>
          </w:divBdr>
        </w:div>
        <w:div w:id="1767074245">
          <w:marLeft w:val="864"/>
          <w:marRight w:val="0"/>
          <w:marTop w:val="0"/>
          <w:marBottom w:val="101"/>
          <w:divBdr>
            <w:top w:val="none" w:sz="0" w:space="0" w:color="auto"/>
            <w:left w:val="none" w:sz="0" w:space="0" w:color="auto"/>
            <w:bottom w:val="none" w:sz="0" w:space="0" w:color="auto"/>
            <w:right w:val="none" w:sz="0" w:space="0" w:color="auto"/>
          </w:divBdr>
        </w:div>
        <w:div w:id="1309090720">
          <w:marLeft w:val="864"/>
          <w:marRight w:val="0"/>
          <w:marTop w:val="0"/>
          <w:marBottom w:val="101"/>
          <w:divBdr>
            <w:top w:val="none" w:sz="0" w:space="0" w:color="auto"/>
            <w:left w:val="none" w:sz="0" w:space="0" w:color="auto"/>
            <w:bottom w:val="none" w:sz="0" w:space="0" w:color="auto"/>
            <w:right w:val="none" w:sz="0" w:space="0" w:color="auto"/>
          </w:divBdr>
        </w:div>
      </w:divsChild>
    </w:div>
    <w:div w:id="153757285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04805330">
      <w:bodyDiv w:val="1"/>
      <w:marLeft w:val="0"/>
      <w:marRight w:val="0"/>
      <w:marTop w:val="0"/>
      <w:marBottom w:val="0"/>
      <w:divBdr>
        <w:top w:val="none" w:sz="0" w:space="0" w:color="auto"/>
        <w:left w:val="none" w:sz="0" w:space="0" w:color="auto"/>
        <w:bottom w:val="none" w:sz="0" w:space="0" w:color="auto"/>
        <w:right w:val="none" w:sz="0" w:space="0" w:color="auto"/>
      </w:divBdr>
    </w:div>
    <w:div w:id="1806308515">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20073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3CBA-6A18-4E11-A38A-0F1AE398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10437</Words>
  <Characters>57407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5</cp:revision>
  <cp:lastPrinted>2021-05-18T01:30:00Z</cp:lastPrinted>
  <dcterms:created xsi:type="dcterms:W3CDTF">2021-11-25T16:19:00Z</dcterms:created>
  <dcterms:modified xsi:type="dcterms:W3CDTF">2022-01-11T17:15:00Z</dcterms:modified>
</cp:coreProperties>
</file>