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E15EA" w:rsidR="00994396" w:rsidP="00D17825" w:rsidRDefault="00994396" w14:paraId="4C0A85B8" w14:textId="67F09F81">
      <w:pPr>
        <w:spacing w:line="360" w:lineRule="auto"/>
        <w:jc w:val="both"/>
        <w:rPr>
          <w:rFonts w:ascii="Palatino Linotype" w:hAnsi="Palatino Linotype" w:cs="Tahoma"/>
          <w:sz w:val="22"/>
          <w:szCs w:val="22"/>
        </w:rPr>
      </w:pPr>
      <w:r w:rsidRPr="006E15EA">
        <w:rPr>
          <w:rFonts w:ascii="Palatino Linotype" w:hAnsi="Palatino Linotype" w:cs="Tahoma"/>
          <w:bCs/>
          <w:sz w:val="22"/>
          <w:szCs w:val="22"/>
        </w:rPr>
        <w:t xml:space="preserve">Resolución del Pleno del Instituto de Transparencia, Acceso a la Información Pública y Protección de Datos </w:t>
      </w:r>
      <w:r w:rsidRPr="006E15EA" w:rsidR="007460D7">
        <w:rPr>
          <w:rFonts w:ascii="Palatino Linotype" w:hAnsi="Palatino Linotype" w:cs="Tahoma"/>
          <w:bCs/>
          <w:sz w:val="22"/>
          <w:szCs w:val="22"/>
        </w:rPr>
        <w:t>Personales</w:t>
      </w:r>
      <w:r w:rsidRPr="006E15EA">
        <w:rPr>
          <w:rFonts w:ascii="Palatino Linotype" w:hAnsi="Palatino Linotype" w:cs="Tahoma"/>
          <w:bCs/>
          <w:sz w:val="22"/>
          <w:szCs w:val="22"/>
        </w:rPr>
        <w:t xml:space="preserve"> del Estado de México y Municipios, con domicilio en Metepec, Estado de México, de </w:t>
      </w:r>
      <w:r w:rsidRPr="006E15EA" w:rsidR="00CC34C5">
        <w:rPr>
          <w:rFonts w:ascii="Palatino Linotype" w:hAnsi="Palatino Linotype" w:cs="Tahoma"/>
          <w:bCs/>
          <w:sz w:val="22"/>
          <w:szCs w:val="22"/>
        </w:rPr>
        <w:t xml:space="preserve">fecha </w:t>
      </w:r>
      <w:r w:rsidR="00C5049F">
        <w:rPr>
          <w:rFonts w:ascii="Palatino Linotype" w:hAnsi="Palatino Linotype" w:cs="Tahoma"/>
          <w:bCs/>
          <w:sz w:val="22"/>
          <w:szCs w:val="22"/>
        </w:rPr>
        <w:t>veintiuno</w:t>
      </w:r>
      <w:r w:rsidR="00F62833">
        <w:rPr>
          <w:rFonts w:ascii="Palatino Linotype" w:hAnsi="Palatino Linotype" w:cs="Tahoma"/>
          <w:bCs/>
          <w:sz w:val="22"/>
          <w:szCs w:val="22"/>
        </w:rPr>
        <w:t xml:space="preserve"> de </w:t>
      </w:r>
      <w:r w:rsidR="00C5049F">
        <w:rPr>
          <w:rFonts w:ascii="Palatino Linotype" w:hAnsi="Palatino Linotype" w:cs="Tahoma"/>
          <w:bCs/>
          <w:sz w:val="22"/>
          <w:szCs w:val="22"/>
        </w:rPr>
        <w:t>abril</w:t>
      </w:r>
      <w:r w:rsidR="00C23359">
        <w:rPr>
          <w:rFonts w:ascii="Palatino Linotype" w:hAnsi="Palatino Linotype" w:cs="Tahoma"/>
          <w:bCs/>
          <w:sz w:val="22"/>
          <w:szCs w:val="22"/>
        </w:rPr>
        <w:t xml:space="preserve"> de dos mil veint</w:t>
      </w:r>
      <w:r w:rsidR="00E061EE">
        <w:rPr>
          <w:rFonts w:ascii="Palatino Linotype" w:hAnsi="Palatino Linotype" w:cs="Tahoma"/>
          <w:bCs/>
          <w:sz w:val="22"/>
          <w:szCs w:val="22"/>
        </w:rPr>
        <w:t>iuno</w:t>
      </w:r>
      <w:r w:rsidRPr="006E15EA">
        <w:rPr>
          <w:rFonts w:ascii="Palatino Linotype" w:hAnsi="Palatino Linotype" w:cs="Tahoma"/>
          <w:bCs/>
          <w:sz w:val="22"/>
          <w:szCs w:val="22"/>
        </w:rPr>
        <w:t>.</w:t>
      </w:r>
      <w:r w:rsidR="00B81835">
        <w:rPr>
          <w:rFonts w:ascii="Palatino Linotype" w:hAnsi="Palatino Linotype" w:cs="Tahoma"/>
          <w:bCs/>
          <w:sz w:val="22"/>
          <w:szCs w:val="22"/>
        </w:rPr>
        <w:t xml:space="preserve"> </w:t>
      </w:r>
    </w:p>
    <w:p w:rsidRPr="006E15EA" w:rsidR="00B31222" w:rsidP="00D17825" w:rsidRDefault="00B31222" w14:paraId="4AB8B092" w14:textId="77777777">
      <w:pPr>
        <w:spacing w:line="360" w:lineRule="auto"/>
        <w:rPr>
          <w:rFonts w:ascii="Palatino Linotype" w:hAnsi="Palatino Linotype" w:cs="Tahoma"/>
          <w:bCs/>
          <w:sz w:val="22"/>
          <w:szCs w:val="22"/>
        </w:rPr>
      </w:pPr>
    </w:p>
    <w:p w:rsidRPr="006E15EA" w:rsidR="00735915" w:rsidP="39ED7443" w:rsidRDefault="00994396" w14:paraId="2A5AAAE1" w14:textId="28207A48">
      <w:pPr>
        <w:spacing w:line="360" w:lineRule="auto"/>
        <w:jc w:val="both"/>
        <w:rPr>
          <w:rFonts w:ascii="Palatino Linotype" w:hAnsi="Palatino Linotype" w:cs="Tahoma"/>
          <w:sz w:val="22"/>
          <w:szCs w:val="22"/>
        </w:rPr>
      </w:pPr>
      <w:r w:rsidRPr="39ED7443" w:rsidR="39ED7443">
        <w:rPr>
          <w:rFonts w:ascii="Palatino Linotype" w:hAnsi="Palatino Linotype" w:cs="Tahoma"/>
          <w:b w:val="1"/>
          <w:bCs w:val="1"/>
          <w:color w:val="0D0D0D" w:themeColor="text1" w:themeTint="F2" w:themeShade="FF"/>
          <w:sz w:val="22"/>
          <w:szCs w:val="22"/>
        </w:rPr>
        <w:t xml:space="preserve">VISTO </w:t>
      </w:r>
      <w:r w:rsidRPr="39ED7443" w:rsidR="39ED7443">
        <w:rPr>
          <w:rFonts w:ascii="Palatino Linotype" w:hAnsi="Palatino Linotype" w:cs="Tahoma"/>
          <w:color w:val="0D0D0D" w:themeColor="text1" w:themeTint="F2" w:themeShade="FF"/>
          <w:sz w:val="22"/>
          <w:szCs w:val="22"/>
        </w:rPr>
        <w:t xml:space="preserve">el expediente conformado con motivo del Recurso de Revisión 00811/INFOEM/IP/RR/2021, interpuesto por </w:t>
      </w:r>
      <w:r w:rsidRPr="39ED7443" w:rsidR="39ED7443">
        <w:rPr>
          <w:rFonts w:ascii="Palatino Linotype" w:hAnsi="Palatino Linotype" w:cs="Tahoma"/>
          <w:b w:val="1"/>
          <w:bCs w:val="1"/>
          <w:color w:val="0D0D0D" w:themeColor="text1" w:themeTint="F2" w:themeShade="FF"/>
          <w:sz w:val="22"/>
          <w:szCs w:val="22"/>
          <w:highlight w:val="black"/>
        </w:rPr>
        <w:t>XXXXXXXXXXXXX</w:t>
      </w:r>
      <w:r w:rsidRPr="39ED7443" w:rsidR="39ED7443">
        <w:rPr>
          <w:rFonts w:ascii="Palatino Linotype" w:hAnsi="Palatino Linotype" w:cs="Tahoma"/>
          <w:color w:val="0D0D0D" w:themeColor="text1" w:themeTint="F2" w:themeShade="FF"/>
          <w:sz w:val="22"/>
          <w:szCs w:val="22"/>
        </w:rPr>
        <w:t xml:space="preserve"> a quien en lo sucesivo se le denominará Recurrente o Particular, en contra de la respuesta del Sujeto Obligado, Ayuntamiento de Ixtapan de la Sal se emite la presente Resolución, con base en los Antecedentes y C</w:t>
      </w:r>
      <w:r w:rsidRPr="39ED7443" w:rsidR="39ED7443">
        <w:rPr>
          <w:rFonts w:ascii="Palatino Linotype" w:hAnsi="Palatino Linotype" w:cs="Tahoma"/>
          <w:sz w:val="22"/>
          <w:szCs w:val="22"/>
        </w:rPr>
        <w:t xml:space="preserve">onsiderandos que se exponen a continuación:  </w:t>
      </w:r>
    </w:p>
    <w:p w:rsidRPr="006E15EA" w:rsidR="00F86997" w:rsidP="00D17825" w:rsidRDefault="00A82E4A" w14:paraId="735A4B68" w14:textId="308B93EF">
      <w:pPr>
        <w:spacing w:line="360" w:lineRule="auto"/>
        <w:jc w:val="both"/>
        <w:rPr>
          <w:rFonts w:ascii="Palatino Linotype" w:hAnsi="Palatino Linotype" w:cs="Tahoma"/>
          <w:sz w:val="22"/>
          <w:szCs w:val="22"/>
        </w:rPr>
      </w:pPr>
      <w:r>
        <w:rPr>
          <w:rFonts w:ascii="Palatino Linotype" w:hAnsi="Palatino Linotype" w:cs="Tahoma"/>
          <w:sz w:val="22"/>
          <w:szCs w:val="22"/>
        </w:rPr>
        <w:t xml:space="preserve"> </w:t>
      </w:r>
    </w:p>
    <w:p w:rsidRPr="006E15EA" w:rsidR="00B31222" w:rsidP="00D17825" w:rsidRDefault="00F86997" w14:paraId="6A0BD488" w14:textId="77777777">
      <w:pPr>
        <w:tabs>
          <w:tab w:val="center" w:pos="4522"/>
          <w:tab w:val="left" w:pos="7245"/>
        </w:tabs>
        <w:spacing w:line="360" w:lineRule="auto"/>
        <w:jc w:val="center"/>
        <w:rPr>
          <w:rFonts w:ascii="Palatino Linotype" w:hAnsi="Palatino Linotype" w:cs="Tahoma"/>
          <w:b/>
          <w:sz w:val="22"/>
          <w:szCs w:val="22"/>
        </w:rPr>
      </w:pPr>
      <w:r w:rsidRPr="006E15EA">
        <w:rPr>
          <w:rFonts w:ascii="Palatino Linotype" w:hAnsi="Palatino Linotype" w:cs="Tahoma"/>
          <w:b/>
          <w:sz w:val="22"/>
          <w:szCs w:val="22"/>
        </w:rPr>
        <w:t>ANTECEDENTES</w:t>
      </w:r>
    </w:p>
    <w:p w:rsidRPr="006E15EA" w:rsidR="00B31222" w:rsidP="00D17825" w:rsidRDefault="00B31222" w14:paraId="62E55A11" w14:textId="77777777">
      <w:pPr>
        <w:pStyle w:val="Prrafodelista"/>
        <w:tabs>
          <w:tab w:val="left" w:pos="567"/>
        </w:tabs>
        <w:spacing w:line="360" w:lineRule="auto"/>
        <w:ind w:left="0"/>
        <w:contextualSpacing w:val="0"/>
        <w:jc w:val="both"/>
        <w:rPr>
          <w:rFonts w:ascii="Palatino Linotype" w:hAnsi="Palatino Linotype" w:cs="Tahoma"/>
          <w:szCs w:val="22"/>
        </w:rPr>
      </w:pPr>
    </w:p>
    <w:p w:rsidRPr="006E15EA" w:rsidR="00DC1594" w:rsidP="00D17825" w:rsidRDefault="00B31222" w14:paraId="5CFDCD32" w14:textId="2845E09F">
      <w:pPr>
        <w:pStyle w:val="Prrafodelista"/>
        <w:tabs>
          <w:tab w:val="left" w:pos="567"/>
        </w:tabs>
        <w:spacing w:line="360" w:lineRule="auto"/>
        <w:ind w:left="0"/>
        <w:contextualSpacing w:val="0"/>
        <w:jc w:val="both"/>
        <w:rPr>
          <w:rFonts w:ascii="Palatino Linotype" w:hAnsi="Palatino Linotype" w:cs="Tahoma"/>
          <w:b/>
          <w:szCs w:val="22"/>
        </w:rPr>
      </w:pPr>
      <w:r w:rsidRPr="006E15EA">
        <w:rPr>
          <w:rFonts w:ascii="Palatino Linotype" w:hAnsi="Palatino Linotype" w:cs="Tahoma"/>
          <w:b/>
          <w:szCs w:val="22"/>
        </w:rPr>
        <w:t xml:space="preserve">I. Presentación de la solicitud de información. </w:t>
      </w:r>
    </w:p>
    <w:p w:rsidRPr="006E15EA" w:rsidR="00E7654C" w:rsidP="00D17825" w:rsidRDefault="00E7654C" w14:paraId="0E14692C" w14:textId="77777777">
      <w:pPr>
        <w:pStyle w:val="Prrafodelista"/>
        <w:tabs>
          <w:tab w:val="left" w:pos="567"/>
        </w:tabs>
        <w:spacing w:line="360" w:lineRule="auto"/>
        <w:ind w:left="0"/>
        <w:contextualSpacing w:val="0"/>
        <w:jc w:val="both"/>
        <w:rPr>
          <w:rFonts w:ascii="Palatino Linotype" w:hAnsi="Palatino Linotype" w:cs="Tahoma"/>
          <w:szCs w:val="22"/>
        </w:rPr>
      </w:pPr>
    </w:p>
    <w:p w:rsidRPr="006E15EA" w:rsidR="00B31222" w:rsidP="00D17825" w:rsidRDefault="00E7654C" w14:paraId="0FB5D86D" w14:textId="67F81FEF">
      <w:pPr>
        <w:pStyle w:val="Prrafodelista"/>
        <w:tabs>
          <w:tab w:val="left" w:pos="567"/>
        </w:tabs>
        <w:spacing w:line="360" w:lineRule="auto"/>
        <w:ind w:left="0"/>
        <w:contextualSpacing w:val="0"/>
        <w:jc w:val="both"/>
        <w:rPr>
          <w:rFonts w:ascii="Palatino Linotype" w:hAnsi="Palatino Linotype" w:cs="Tahoma"/>
          <w:szCs w:val="22"/>
        </w:rPr>
      </w:pPr>
      <w:r w:rsidRPr="006E15EA">
        <w:rPr>
          <w:rFonts w:ascii="Palatino Linotype" w:hAnsi="Palatino Linotype" w:cs="Tahoma"/>
          <w:szCs w:val="22"/>
        </w:rPr>
        <w:t>El</w:t>
      </w:r>
      <w:r w:rsidR="00DE7299">
        <w:rPr>
          <w:rFonts w:ascii="Palatino Linotype" w:hAnsi="Palatino Linotype" w:cs="Tahoma"/>
          <w:szCs w:val="22"/>
        </w:rPr>
        <w:t xml:space="preserve"> </w:t>
      </w:r>
      <w:r w:rsidR="00C5049F">
        <w:rPr>
          <w:rFonts w:ascii="Palatino Linotype" w:hAnsi="Palatino Linotype" w:cs="Tahoma"/>
          <w:szCs w:val="22"/>
        </w:rPr>
        <w:t>veinticinco</w:t>
      </w:r>
      <w:r w:rsidR="00817A79">
        <w:rPr>
          <w:rFonts w:ascii="Palatino Linotype" w:hAnsi="Palatino Linotype" w:cs="Tahoma"/>
          <w:szCs w:val="22"/>
        </w:rPr>
        <w:t xml:space="preserve"> de </w:t>
      </w:r>
      <w:r w:rsidR="00C5049F">
        <w:rPr>
          <w:rFonts w:ascii="Palatino Linotype" w:hAnsi="Palatino Linotype" w:cs="Tahoma"/>
          <w:szCs w:val="22"/>
        </w:rPr>
        <w:t>enero</w:t>
      </w:r>
      <w:r w:rsidRPr="006E15EA" w:rsidR="00D34402">
        <w:rPr>
          <w:rFonts w:ascii="Palatino Linotype" w:hAnsi="Palatino Linotype" w:cs="Tahoma"/>
          <w:szCs w:val="22"/>
        </w:rPr>
        <w:t xml:space="preserve"> de dos mil </w:t>
      </w:r>
      <w:r w:rsidR="00C5049F">
        <w:rPr>
          <w:rFonts w:ascii="Palatino Linotype" w:hAnsi="Palatino Linotype" w:cs="Tahoma"/>
          <w:szCs w:val="22"/>
        </w:rPr>
        <w:t>veintiuno</w:t>
      </w:r>
      <w:r w:rsidRPr="006E15EA" w:rsidR="00B31222">
        <w:rPr>
          <w:rFonts w:ascii="Palatino Linotype" w:hAnsi="Palatino Linotype" w:cs="Tahoma"/>
          <w:szCs w:val="22"/>
        </w:rPr>
        <w:t xml:space="preserve">, </w:t>
      </w:r>
      <w:r w:rsidRPr="006E15EA" w:rsidR="00463CB7">
        <w:rPr>
          <w:rFonts w:ascii="Palatino Linotype" w:hAnsi="Palatino Linotype" w:cs="Tahoma"/>
          <w:szCs w:val="22"/>
        </w:rPr>
        <w:t>el</w:t>
      </w:r>
      <w:r w:rsidRPr="006E15EA" w:rsidR="001171BD">
        <w:rPr>
          <w:rFonts w:ascii="Palatino Linotype" w:hAnsi="Palatino Linotype" w:cs="Tahoma"/>
          <w:szCs w:val="22"/>
        </w:rPr>
        <w:t xml:space="preserve"> </w:t>
      </w:r>
      <w:r w:rsidRPr="006E15EA" w:rsidR="00D34402">
        <w:rPr>
          <w:rFonts w:ascii="Palatino Linotype" w:hAnsi="Palatino Linotype" w:cs="Tahoma"/>
          <w:szCs w:val="22"/>
        </w:rPr>
        <w:t>P</w:t>
      </w:r>
      <w:r w:rsidRPr="006E15EA" w:rsidR="00B31222">
        <w:rPr>
          <w:rFonts w:ascii="Palatino Linotype" w:hAnsi="Palatino Linotype" w:cs="Tahoma"/>
          <w:szCs w:val="22"/>
        </w:rPr>
        <w:t xml:space="preserve">articular </w:t>
      </w:r>
      <w:r w:rsidRPr="006E15EA" w:rsidR="001171BD">
        <w:rPr>
          <w:rFonts w:ascii="Palatino Linotype" w:hAnsi="Palatino Linotype" w:cs="Tahoma"/>
          <w:szCs w:val="22"/>
        </w:rPr>
        <w:t>presentó</w:t>
      </w:r>
      <w:r w:rsidR="00F62833">
        <w:rPr>
          <w:rFonts w:ascii="Palatino Linotype" w:hAnsi="Palatino Linotype" w:cs="Tahoma"/>
          <w:szCs w:val="22"/>
        </w:rPr>
        <w:t xml:space="preserve"> su</w:t>
      </w:r>
      <w:r w:rsidRPr="006E15EA" w:rsidR="001171BD">
        <w:rPr>
          <w:rFonts w:ascii="Palatino Linotype" w:hAnsi="Palatino Linotype" w:cs="Tahoma"/>
          <w:szCs w:val="22"/>
        </w:rPr>
        <w:t xml:space="preserve"> solicitud de acceso a la información pública a través del Sistema de Acceso a la Información Mexiquense </w:t>
      </w:r>
      <w:r w:rsidRPr="006E15EA" w:rsidR="004100AA">
        <w:rPr>
          <w:rFonts w:ascii="Palatino Linotype" w:hAnsi="Palatino Linotype" w:cs="Tahoma"/>
          <w:szCs w:val="22"/>
          <w:lang w:val="es-ES"/>
        </w:rPr>
        <w:t>(SAIMEX)</w:t>
      </w:r>
      <w:r w:rsidRPr="006E15EA" w:rsidR="00B31222">
        <w:rPr>
          <w:rFonts w:ascii="Palatino Linotype" w:hAnsi="Palatino Linotype" w:cs="Tahoma"/>
          <w:szCs w:val="22"/>
        </w:rPr>
        <w:t xml:space="preserve">, </w:t>
      </w:r>
      <w:r w:rsidR="00CA7061">
        <w:rPr>
          <w:rFonts w:ascii="Palatino Linotype" w:hAnsi="Palatino Linotype" w:cs="Tahoma"/>
          <w:szCs w:val="22"/>
        </w:rPr>
        <w:t xml:space="preserve">ante </w:t>
      </w:r>
      <w:r w:rsidR="00C5049F">
        <w:rPr>
          <w:rFonts w:ascii="Palatino Linotype" w:hAnsi="Palatino Linotype" w:cs="Tahoma"/>
          <w:szCs w:val="22"/>
        </w:rPr>
        <w:t>el Ayuntamiento de Ixtapan de la Sal</w:t>
      </w:r>
      <w:r w:rsidRPr="006E15EA" w:rsidR="00B31222">
        <w:rPr>
          <w:rFonts w:ascii="Palatino Linotype" w:hAnsi="Palatino Linotype" w:cs="Tahoma"/>
          <w:szCs w:val="22"/>
        </w:rPr>
        <w:t xml:space="preserve">, </w:t>
      </w:r>
      <w:r w:rsidRPr="006E15EA" w:rsidR="00D43E69">
        <w:rPr>
          <w:rFonts w:ascii="Palatino Linotype" w:hAnsi="Palatino Linotype" w:cs="Tahoma"/>
          <w:szCs w:val="22"/>
        </w:rPr>
        <w:t xml:space="preserve">misma que fue registrada con el número de </w:t>
      </w:r>
      <w:r w:rsidR="00F62833">
        <w:rPr>
          <w:rFonts w:ascii="Palatino Linotype" w:hAnsi="Palatino Linotype" w:cs="Tahoma"/>
          <w:szCs w:val="22"/>
        </w:rPr>
        <w:t xml:space="preserve">folio </w:t>
      </w:r>
      <w:r w:rsidRPr="00C5049F" w:rsidR="00C5049F">
        <w:rPr>
          <w:rFonts w:ascii="Palatino Linotype" w:hAnsi="Palatino Linotype" w:cs="Tahoma"/>
          <w:b/>
          <w:bCs/>
          <w:szCs w:val="22"/>
        </w:rPr>
        <w:t>00149/IXTASAL/IP/2021</w:t>
      </w:r>
      <w:r w:rsidRPr="00DE7299" w:rsidR="00D43E69">
        <w:rPr>
          <w:rFonts w:ascii="Palatino Linotype" w:hAnsi="Palatino Linotype" w:cs="Tahoma"/>
          <w:bCs/>
          <w:szCs w:val="22"/>
        </w:rPr>
        <w:t>,</w:t>
      </w:r>
      <w:r w:rsidRPr="006E15EA" w:rsidR="00D43E69">
        <w:rPr>
          <w:rFonts w:ascii="Palatino Linotype" w:hAnsi="Palatino Linotype" w:cs="Tahoma"/>
          <w:b/>
          <w:bCs/>
          <w:szCs w:val="22"/>
        </w:rPr>
        <w:t xml:space="preserve"> </w:t>
      </w:r>
      <w:r w:rsidRPr="006E15EA" w:rsidR="00C55151">
        <w:rPr>
          <w:rFonts w:ascii="Palatino Linotype" w:hAnsi="Palatino Linotype" w:cs="Tahoma"/>
          <w:szCs w:val="22"/>
        </w:rPr>
        <w:t xml:space="preserve">mediante </w:t>
      </w:r>
      <w:r w:rsidR="008F37AD">
        <w:rPr>
          <w:rFonts w:ascii="Palatino Linotype" w:hAnsi="Palatino Linotype" w:cs="Tahoma"/>
          <w:szCs w:val="22"/>
        </w:rPr>
        <w:t>la</w:t>
      </w:r>
      <w:r w:rsidRPr="006E15EA" w:rsidR="001171BD">
        <w:rPr>
          <w:rFonts w:ascii="Palatino Linotype" w:hAnsi="Palatino Linotype" w:cs="Tahoma"/>
          <w:szCs w:val="22"/>
        </w:rPr>
        <w:t xml:space="preserve"> cual requirió</w:t>
      </w:r>
      <w:r w:rsidRPr="006E15EA" w:rsidR="00B31222">
        <w:rPr>
          <w:rFonts w:ascii="Palatino Linotype" w:hAnsi="Palatino Linotype" w:cs="Tahoma"/>
          <w:szCs w:val="22"/>
        </w:rPr>
        <w:t>:</w:t>
      </w:r>
      <w:r w:rsidR="00083520">
        <w:rPr>
          <w:rFonts w:ascii="Palatino Linotype" w:hAnsi="Palatino Linotype" w:cs="Tahoma"/>
          <w:szCs w:val="22"/>
        </w:rPr>
        <w:t xml:space="preserve"> </w:t>
      </w:r>
    </w:p>
    <w:p w:rsidRPr="006E15EA" w:rsidR="00637179" w:rsidP="00D17825" w:rsidRDefault="00637179" w14:paraId="4E3C783B" w14:textId="77777777">
      <w:pPr>
        <w:pStyle w:val="Prrafodelista"/>
        <w:tabs>
          <w:tab w:val="left" w:pos="567"/>
        </w:tabs>
        <w:spacing w:line="360" w:lineRule="auto"/>
        <w:ind w:left="0"/>
        <w:contextualSpacing w:val="0"/>
        <w:jc w:val="both"/>
        <w:rPr>
          <w:rFonts w:ascii="Palatino Linotype" w:hAnsi="Palatino Linotype" w:cs="Tahoma"/>
          <w:szCs w:val="22"/>
        </w:rPr>
      </w:pPr>
    </w:p>
    <w:p w:rsidRPr="006E15EA" w:rsidR="00D01F75" w:rsidP="00D17825" w:rsidRDefault="00D01F75" w14:paraId="00DD56D7" w14:textId="77777777">
      <w:pPr>
        <w:tabs>
          <w:tab w:val="left" w:pos="4667"/>
        </w:tabs>
        <w:spacing w:line="360" w:lineRule="auto"/>
        <w:ind w:left="567" w:right="567"/>
        <w:jc w:val="both"/>
        <w:rPr>
          <w:rFonts w:ascii="Palatino Linotype" w:hAnsi="Palatino Linotype" w:cs="Tahoma"/>
          <w:b/>
          <w:bCs/>
        </w:rPr>
      </w:pPr>
      <w:r w:rsidRPr="006E15EA">
        <w:rPr>
          <w:rFonts w:ascii="Palatino Linotype" w:hAnsi="Palatino Linotype" w:cs="Tahoma"/>
          <w:b/>
          <w:bCs/>
        </w:rPr>
        <w:t>DESCRIPCIÓN CLARA Y PRECISA DE LA INFORMACIÓN SOLICITADA</w:t>
      </w:r>
    </w:p>
    <w:p w:rsidR="00F62833" w:rsidP="00D17825" w:rsidRDefault="00C5049F" w14:paraId="40741DC7" w14:textId="26A0BF55">
      <w:pPr>
        <w:tabs>
          <w:tab w:val="left" w:pos="4667"/>
        </w:tabs>
        <w:spacing w:line="360" w:lineRule="auto"/>
        <w:ind w:left="567" w:right="567"/>
        <w:jc w:val="both"/>
        <w:rPr>
          <w:rFonts w:ascii="Palatino Linotype" w:hAnsi="Palatino Linotype" w:cs="Tahoma"/>
          <w:bCs/>
          <w:i/>
        </w:rPr>
      </w:pPr>
      <w:r w:rsidRPr="00C5049F">
        <w:rPr>
          <w:rFonts w:ascii="Palatino Linotype" w:hAnsi="Palatino Linotype" w:cs="Tahoma"/>
          <w:bCs/>
          <w:i/>
        </w:rPr>
        <w:t>Las convocatorias para otorgar apoyos gubernamentales emitidas por la Dirección de Desarrollo Agropecuario, así como, la documentación donde conste la relación de beneficiarios de algún apoyo en efectivo o especie, así como, los apoyos efectivamente otorgados durante 2020.</w:t>
      </w:r>
    </w:p>
    <w:p w:rsidR="00C5049F" w:rsidP="00D17825" w:rsidRDefault="00C5049F" w14:paraId="7FD8D560" w14:textId="77777777">
      <w:pPr>
        <w:tabs>
          <w:tab w:val="left" w:pos="4667"/>
        </w:tabs>
        <w:spacing w:line="360" w:lineRule="auto"/>
        <w:ind w:left="567" w:right="567"/>
        <w:jc w:val="both"/>
        <w:rPr>
          <w:rFonts w:ascii="Palatino Linotype" w:hAnsi="Palatino Linotype" w:cs="Tahoma"/>
          <w:b/>
          <w:bCs/>
          <w:szCs w:val="22"/>
        </w:rPr>
      </w:pPr>
    </w:p>
    <w:p w:rsidRPr="006E15EA" w:rsidR="00D01F75" w:rsidP="00D17825" w:rsidRDefault="00D01F75" w14:paraId="3D651A22" w14:textId="5C1CC85A">
      <w:pPr>
        <w:tabs>
          <w:tab w:val="left" w:pos="4667"/>
        </w:tabs>
        <w:spacing w:line="360" w:lineRule="auto"/>
        <w:ind w:left="567" w:right="567"/>
        <w:jc w:val="both"/>
        <w:rPr>
          <w:rFonts w:ascii="Palatino Linotype" w:hAnsi="Palatino Linotype" w:cs="Tahoma"/>
          <w:bCs/>
          <w:szCs w:val="22"/>
        </w:rPr>
      </w:pPr>
      <w:r w:rsidRPr="006E15EA">
        <w:rPr>
          <w:rFonts w:ascii="Palatino Linotype" w:hAnsi="Palatino Linotype" w:cs="Tahoma"/>
          <w:b/>
          <w:bCs/>
          <w:szCs w:val="22"/>
        </w:rPr>
        <w:t>MODALIDAD DE ENTREGA</w:t>
      </w:r>
    </w:p>
    <w:p w:rsidR="00417D66" w:rsidP="00D17825" w:rsidRDefault="006E477D" w14:paraId="5ED78F24" w14:textId="36724195">
      <w:pPr>
        <w:spacing w:line="360" w:lineRule="auto"/>
        <w:jc w:val="both"/>
        <w:rPr>
          <w:rFonts w:ascii="Palatino Linotype" w:hAnsi="Palatino Linotype" w:cs="Tahoma"/>
          <w:bCs/>
          <w:i/>
          <w:szCs w:val="22"/>
        </w:rPr>
      </w:pPr>
      <w:r w:rsidRPr="006E15EA">
        <w:rPr>
          <w:rFonts w:ascii="Palatino Linotype" w:hAnsi="Palatino Linotype" w:cs="Tahoma"/>
          <w:bCs/>
          <w:i/>
          <w:szCs w:val="22"/>
        </w:rPr>
        <w:t xml:space="preserve">           A través del SAIMEX</w:t>
      </w:r>
      <w:r w:rsidR="008F37AD">
        <w:rPr>
          <w:rFonts w:ascii="Palatino Linotype" w:hAnsi="Palatino Linotype" w:cs="Tahoma"/>
          <w:bCs/>
          <w:i/>
          <w:szCs w:val="22"/>
        </w:rPr>
        <w:t xml:space="preserve">. </w:t>
      </w:r>
    </w:p>
    <w:p w:rsidRPr="00CA7061" w:rsidR="00DE7299" w:rsidP="00D17825" w:rsidRDefault="00DE7299" w14:paraId="584ABBE8" w14:textId="77777777">
      <w:pPr>
        <w:spacing w:line="360" w:lineRule="auto"/>
        <w:jc w:val="both"/>
        <w:rPr>
          <w:rFonts w:ascii="Palatino Linotype" w:hAnsi="Palatino Linotype" w:cs="Tahoma"/>
          <w:bCs/>
          <w:i/>
          <w:szCs w:val="22"/>
        </w:rPr>
      </w:pPr>
    </w:p>
    <w:p w:rsidRPr="00C5049F" w:rsidR="00E7654C" w:rsidP="00C5049F" w:rsidRDefault="000527B4" w14:paraId="40136C1D" w14:textId="7330F227">
      <w:pPr>
        <w:spacing w:line="360" w:lineRule="auto"/>
        <w:jc w:val="both"/>
        <w:rPr>
          <w:rFonts w:ascii="Palatino Linotype" w:hAnsi="Palatino Linotype" w:eastAsia="Calibri" w:cs="Tahoma"/>
          <w:b/>
          <w:bCs/>
          <w:sz w:val="22"/>
          <w:szCs w:val="22"/>
          <w:lang w:eastAsia="en-US"/>
        </w:rPr>
      </w:pPr>
      <w:r w:rsidRPr="006E15EA">
        <w:rPr>
          <w:rFonts w:ascii="Palatino Linotype" w:hAnsi="Palatino Linotype" w:eastAsia="Calibri" w:cs="Tahoma"/>
          <w:b/>
          <w:bCs/>
          <w:sz w:val="22"/>
          <w:szCs w:val="22"/>
          <w:lang w:eastAsia="en-US"/>
        </w:rPr>
        <w:t>II</w:t>
      </w:r>
      <w:r w:rsidRPr="006E15EA">
        <w:rPr>
          <w:rFonts w:ascii="Palatino Linotype" w:hAnsi="Palatino Linotype" w:eastAsia="Calibri" w:cs="Tahoma"/>
          <w:bCs/>
          <w:sz w:val="22"/>
          <w:szCs w:val="22"/>
          <w:lang w:eastAsia="en-US"/>
        </w:rPr>
        <w:t>.</w:t>
      </w:r>
      <w:r w:rsidRPr="006E15EA">
        <w:rPr>
          <w:rFonts w:ascii="Palatino Linotype" w:hAnsi="Palatino Linotype" w:eastAsia="Calibri" w:cs="Tahoma"/>
          <w:b/>
          <w:bCs/>
          <w:sz w:val="22"/>
          <w:szCs w:val="22"/>
          <w:lang w:eastAsia="en-US"/>
        </w:rPr>
        <w:t xml:space="preserve"> </w:t>
      </w:r>
      <w:r w:rsidRPr="006E15EA">
        <w:rPr>
          <w:rFonts w:ascii="Palatino Linotype" w:hAnsi="Palatino Linotype" w:eastAsia="Calibri" w:cs="Tahoma"/>
          <w:b/>
          <w:sz w:val="22"/>
          <w:szCs w:val="22"/>
          <w:lang w:eastAsia="en-US"/>
        </w:rPr>
        <w:t>Respuesta</w:t>
      </w:r>
      <w:r w:rsidRPr="006E15EA">
        <w:rPr>
          <w:rFonts w:ascii="Palatino Linotype" w:hAnsi="Palatino Linotype" w:eastAsia="Calibri" w:cs="Tahoma"/>
          <w:b/>
          <w:bCs/>
          <w:sz w:val="22"/>
          <w:szCs w:val="22"/>
          <w:lang w:eastAsia="en-US"/>
        </w:rPr>
        <w:t xml:space="preserve"> del Sujeto Obligado.</w:t>
      </w:r>
    </w:p>
    <w:p w:rsidR="00360130" w:rsidP="00360130" w:rsidRDefault="00360130" w14:paraId="422213CA" w14:textId="00C4B868">
      <w:pPr>
        <w:autoSpaceDE w:val="0"/>
        <w:autoSpaceDN w:val="0"/>
        <w:adjustRightInd w:val="0"/>
        <w:spacing w:line="360" w:lineRule="auto"/>
        <w:ind w:right="-28"/>
        <w:jc w:val="both"/>
        <w:rPr>
          <w:rFonts w:ascii="Palatino Linotype" w:hAnsi="Palatino Linotype" w:cs="Tahoma"/>
          <w:bCs/>
          <w:sz w:val="22"/>
          <w:szCs w:val="22"/>
          <w:lang w:val="es-ES"/>
        </w:rPr>
      </w:pPr>
      <w:r w:rsidRPr="00360130">
        <w:rPr>
          <w:rFonts w:ascii="Palatino Linotype" w:hAnsi="Palatino Linotype" w:cs="Tahoma"/>
          <w:bCs/>
          <w:sz w:val="22"/>
          <w:szCs w:val="22"/>
          <w:lang w:val="es-ES"/>
        </w:rPr>
        <w:lastRenderedPageBreak/>
        <w:t xml:space="preserve">En </w:t>
      </w:r>
      <w:r w:rsidRPr="00360130" w:rsidR="00C5049F">
        <w:rPr>
          <w:rFonts w:ascii="Palatino Linotype" w:hAnsi="Palatino Linotype" w:cs="Tahoma"/>
          <w:bCs/>
          <w:sz w:val="22"/>
          <w:szCs w:val="22"/>
          <w:lang w:val="es-ES"/>
        </w:rPr>
        <w:t xml:space="preserve">fecha </w:t>
      </w:r>
      <w:r w:rsidR="00C5049F">
        <w:rPr>
          <w:rFonts w:ascii="Palatino Linotype" w:hAnsi="Palatino Linotype" w:cs="Tahoma"/>
          <w:bCs/>
          <w:sz w:val="22"/>
          <w:szCs w:val="22"/>
          <w:lang w:val="es-ES"/>
        </w:rPr>
        <w:t>veinticuatro</w:t>
      </w:r>
      <w:r w:rsidR="00DB5612">
        <w:rPr>
          <w:rFonts w:ascii="Palatino Linotype" w:hAnsi="Palatino Linotype" w:cs="Tahoma"/>
          <w:bCs/>
          <w:sz w:val="22"/>
          <w:szCs w:val="22"/>
          <w:lang w:val="es-ES"/>
        </w:rPr>
        <w:t xml:space="preserve"> de </w:t>
      </w:r>
      <w:r w:rsidR="00C5049F">
        <w:rPr>
          <w:rFonts w:ascii="Palatino Linotype" w:hAnsi="Palatino Linotype" w:cs="Tahoma"/>
          <w:bCs/>
          <w:sz w:val="22"/>
          <w:szCs w:val="22"/>
          <w:lang w:val="es-ES"/>
        </w:rPr>
        <w:t>febrero</w:t>
      </w:r>
      <w:r w:rsidRPr="00360130">
        <w:rPr>
          <w:rFonts w:ascii="Palatino Linotype" w:hAnsi="Palatino Linotype" w:cs="Tahoma"/>
          <w:bCs/>
          <w:sz w:val="22"/>
          <w:szCs w:val="22"/>
          <w:lang w:val="es-ES"/>
        </w:rPr>
        <w:t xml:space="preserve"> del </w:t>
      </w:r>
      <w:r w:rsidR="00B640B0">
        <w:rPr>
          <w:rFonts w:ascii="Palatino Linotype" w:hAnsi="Palatino Linotype" w:cs="Tahoma"/>
          <w:bCs/>
          <w:sz w:val="22"/>
          <w:szCs w:val="22"/>
          <w:lang w:val="es-ES"/>
        </w:rPr>
        <w:t xml:space="preserve">dos </w:t>
      </w:r>
      <w:proofErr w:type="gramStart"/>
      <w:r w:rsidR="00B640B0">
        <w:rPr>
          <w:rFonts w:ascii="Palatino Linotype" w:hAnsi="Palatino Linotype" w:cs="Tahoma"/>
          <w:bCs/>
          <w:sz w:val="22"/>
          <w:szCs w:val="22"/>
          <w:lang w:val="es-ES"/>
        </w:rPr>
        <w:t xml:space="preserve">mil </w:t>
      </w:r>
      <w:r w:rsidR="00C5049F">
        <w:rPr>
          <w:rFonts w:ascii="Palatino Linotype" w:hAnsi="Palatino Linotype" w:cs="Tahoma"/>
          <w:bCs/>
          <w:sz w:val="22"/>
          <w:szCs w:val="22"/>
          <w:lang w:val="es-ES"/>
        </w:rPr>
        <w:t>veintiuno</w:t>
      </w:r>
      <w:proofErr w:type="gramEnd"/>
      <w:r w:rsidR="00F018AD">
        <w:rPr>
          <w:rFonts w:ascii="Palatino Linotype" w:hAnsi="Palatino Linotype" w:cs="Tahoma"/>
          <w:bCs/>
          <w:sz w:val="22"/>
          <w:szCs w:val="22"/>
          <w:lang w:val="es-ES"/>
        </w:rPr>
        <w:t>,</w:t>
      </w:r>
      <w:r w:rsidRPr="00360130">
        <w:rPr>
          <w:rFonts w:ascii="Palatino Linotype" w:hAnsi="Palatino Linotype" w:cs="Tahoma"/>
          <w:bCs/>
          <w:sz w:val="22"/>
          <w:szCs w:val="22"/>
          <w:lang w:val="es-ES"/>
        </w:rPr>
        <w:t xml:space="preserve"> el Sujeto Obligado a través del </w:t>
      </w:r>
      <w:r w:rsidR="008203F9">
        <w:rPr>
          <w:rFonts w:ascii="Palatino Linotype" w:hAnsi="Palatino Linotype" w:cs="Tahoma"/>
          <w:bCs/>
          <w:sz w:val="22"/>
          <w:szCs w:val="22"/>
          <w:lang w:val="es-ES"/>
        </w:rPr>
        <w:t>Titular</w:t>
      </w:r>
      <w:r w:rsidRPr="00360130">
        <w:rPr>
          <w:rFonts w:ascii="Palatino Linotype" w:hAnsi="Palatino Linotype" w:cs="Tahoma"/>
          <w:bCs/>
          <w:sz w:val="22"/>
          <w:szCs w:val="22"/>
          <w:lang w:val="es-ES"/>
        </w:rPr>
        <w:t xml:space="preserve"> de la Unidad de Transparencia</w:t>
      </w:r>
      <w:r w:rsidR="00F018AD">
        <w:rPr>
          <w:rFonts w:ascii="Palatino Linotype" w:hAnsi="Palatino Linotype" w:cs="Tahoma"/>
          <w:bCs/>
          <w:sz w:val="22"/>
          <w:szCs w:val="22"/>
          <w:lang w:val="es-ES"/>
        </w:rPr>
        <w:t>,</w:t>
      </w:r>
      <w:r w:rsidRPr="00360130">
        <w:rPr>
          <w:rFonts w:ascii="Palatino Linotype" w:hAnsi="Palatino Linotype" w:cs="Tahoma"/>
          <w:bCs/>
          <w:sz w:val="22"/>
          <w:szCs w:val="22"/>
          <w:lang w:val="es-ES"/>
        </w:rPr>
        <w:t xml:space="preserve"> otorgó respuesta a la solicitud de información en los siguientes términos:</w:t>
      </w:r>
    </w:p>
    <w:p w:rsidR="00360130" w:rsidP="00360130" w:rsidRDefault="00360130" w14:paraId="1AF26E35" w14:textId="77777777">
      <w:pPr>
        <w:autoSpaceDE w:val="0"/>
        <w:autoSpaceDN w:val="0"/>
        <w:adjustRightInd w:val="0"/>
        <w:spacing w:line="360" w:lineRule="auto"/>
        <w:ind w:right="567"/>
        <w:jc w:val="both"/>
        <w:rPr>
          <w:rFonts w:ascii="Palatino Linotype" w:hAnsi="Palatino Linotype" w:cs="Tahoma"/>
          <w:bCs/>
          <w:sz w:val="22"/>
          <w:szCs w:val="22"/>
          <w:lang w:val="es-ES"/>
        </w:rPr>
      </w:pPr>
    </w:p>
    <w:p w:rsidR="00F018AD" w:rsidP="00B640B0" w:rsidRDefault="00C5049F" w14:paraId="08169F85" w14:textId="540A7DFD">
      <w:pPr>
        <w:autoSpaceDE w:val="0"/>
        <w:autoSpaceDN w:val="0"/>
        <w:adjustRightInd w:val="0"/>
        <w:spacing w:line="360" w:lineRule="auto"/>
        <w:ind w:left="567" w:right="567"/>
        <w:jc w:val="both"/>
        <w:rPr>
          <w:rFonts w:ascii="Palatino Linotype" w:hAnsi="Palatino Linotype"/>
          <w:i/>
          <w:color w:val="000000"/>
          <w:szCs w:val="18"/>
        </w:rPr>
      </w:pPr>
      <w:r w:rsidRPr="00C5049F">
        <w:rPr>
          <w:rFonts w:ascii="Palatino Linotype" w:hAnsi="Palatino Linotype"/>
          <w:i/>
          <w:color w:val="000000"/>
          <w:szCs w:val="18"/>
        </w:rPr>
        <w:t>Con fundamento en los artículos 3 fracciones XLIV, 12, 23 fracción IV, 50, 52, 53, fracción II y VI, 163 de la Ley de Transparencia y Acceso a la Información Pública del Estado de México y Municipios, en atención a la solicitud de información número 00149/IXTASAL/IP/2021, presentada mediante el Sistema de Acceso a la Información Mexiquense (SAIMEX), adjunto al presente, se servirá encontrar respuesta a su solicitud proporcionada con el Acta de la Décima Sesión Extraordinaria celebrada por el Comité de Transparencia. Se le hace de su conocimiento que el derecho a la información no es absoluto se encuentra limitado, y en caso de no estar conforme con la respuesta proporcionada, tiene derecho de interponer recurso de revisión dentro del pazo de 15 días hábiles contados a partir del día siguiente de la notificación del presente; de conformidad con lo dispuesto por el artículo 177 de la Ley de Transparencia y Acceso a la Información Pública del Estado de México y Municipios. No omito manifestarle que, nos ponemos a sus órdenes en la Unidad de Transparencia de este municipio, ubicada en Prolongación 16 de septiembre s/n, Colonia Ixtapita, cp. 51907, Ixtapan de la Sal, México, de lunes a viernes en un horario de 09:00 a 17:00 horas, para cualquier solicitud, aclaración, duda, sugerencia o asesoría.</w:t>
      </w:r>
    </w:p>
    <w:p w:rsidRPr="00360130" w:rsidR="00C5049F" w:rsidP="00B640B0" w:rsidRDefault="00C5049F" w14:paraId="31903D62" w14:textId="77777777">
      <w:pPr>
        <w:autoSpaceDE w:val="0"/>
        <w:autoSpaceDN w:val="0"/>
        <w:adjustRightInd w:val="0"/>
        <w:spacing w:line="360" w:lineRule="auto"/>
        <w:ind w:left="567" w:right="567"/>
        <w:jc w:val="both"/>
        <w:rPr>
          <w:rFonts w:ascii="Palatino Linotype" w:hAnsi="Palatino Linotype" w:cs="Tahoma"/>
          <w:bCs/>
          <w:i/>
          <w:lang w:val="es-ES"/>
        </w:rPr>
      </w:pPr>
    </w:p>
    <w:p w:rsidR="00857ECB" w:rsidP="00857ECB" w:rsidRDefault="00857ECB" w14:paraId="18432F59" w14:textId="26F431E0">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Además, a</w:t>
      </w:r>
      <w:r w:rsidR="00A52CF0">
        <w:rPr>
          <w:rFonts w:ascii="Palatino Linotype" w:hAnsi="Palatino Linotype" w:cs="Tahoma"/>
          <w:sz w:val="22"/>
          <w:szCs w:val="22"/>
        </w:rPr>
        <w:t xml:space="preserve"> su resp</w:t>
      </w:r>
      <w:r w:rsidR="001744E3">
        <w:rPr>
          <w:rFonts w:ascii="Palatino Linotype" w:hAnsi="Palatino Linotype" w:cs="Tahoma"/>
          <w:sz w:val="22"/>
          <w:szCs w:val="22"/>
        </w:rPr>
        <w:t>uesta el Sujeto Obligado adjuntó</w:t>
      </w:r>
      <w:r w:rsidR="00792C68">
        <w:rPr>
          <w:rFonts w:ascii="Palatino Linotype" w:hAnsi="Palatino Linotype" w:cs="Tahoma"/>
          <w:sz w:val="22"/>
          <w:szCs w:val="22"/>
        </w:rPr>
        <w:t xml:space="preserve"> lo siguiente: </w:t>
      </w:r>
    </w:p>
    <w:p w:rsidRPr="00792C68" w:rsidR="00792C68" w:rsidP="00857ECB" w:rsidRDefault="00792C68" w14:paraId="012A2FD4" w14:textId="77777777">
      <w:pPr>
        <w:autoSpaceDE w:val="0"/>
        <w:autoSpaceDN w:val="0"/>
        <w:adjustRightInd w:val="0"/>
        <w:spacing w:line="360" w:lineRule="auto"/>
        <w:jc w:val="both"/>
        <w:rPr>
          <w:rFonts w:ascii="Palatino Linotype" w:hAnsi="Palatino Linotype" w:cs="Tahoma"/>
          <w:sz w:val="22"/>
          <w:szCs w:val="22"/>
        </w:rPr>
      </w:pPr>
    </w:p>
    <w:p w:rsidRPr="00792C68" w:rsidR="00792C68" w:rsidP="00792C68" w:rsidRDefault="00792C68" w14:paraId="2BE4AE60" w14:textId="3C9D612C">
      <w:pPr>
        <w:autoSpaceDE w:val="0"/>
        <w:autoSpaceDN w:val="0"/>
        <w:adjustRightInd w:val="0"/>
        <w:spacing w:line="360" w:lineRule="auto"/>
        <w:ind w:right="-28"/>
        <w:jc w:val="both"/>
        <w:rPr>
          <w:rFonts w:ascii="Palatino Linotype" w:hAnsi="Palatino Linotype" w:cs="Tahoma"/>
          <w:sz w:val="22"/>
          <w:szCs w:val="22"/>
        </w:rPr>
      </w:pPr>
      <w:r w:rsidRPr="00792C68">
        <w:rPr>
          <w:rFonts w:ascii="Palatino Linotype" w:hAnsi="Palatino Linotype" w:cs="Tahoma"/>
          <w:sz w:val="22"/>
          <w:szCs w:val="22"/>
        </w:rPr>
        <w:t>El documento denominado: “</w:t>
      </w:r>
      <w:r w:rsidRPr="00792C68">
        <w:rPr>
          <w:rFonts w:ascii="Palatino Linotype" w:hAnsi="Palatino Linotype" w:cs="Tahoma"/>
          <w:b/>
          <w:sz w:val="22"/>
          <w:szCs w:val="22"/>
          <w:u w:val="single"/>
        </w:rPr>
        <w:t>10ma Sesi</w:t>
      </w:r>
      <w:r w:rsidR="00C9438D">
        <w:rPr>
          <w:rFonts w:ascii="Palatino Linotype" w:hAnsi="Palatino Linotype" w:cs="Tahoma"/>
          <w:b/>
          <w:sz w:val="22"/>
          <w:szCs w:val="22"/>
          <w:u w:val="single"/>
        </w:rPr>
        <w:t>ó</w:t>
      </w:r>
      <w:r w:rsidRPr="00792C68">
        <w:rPr>
          <w:rFonts w:ascii="Palatino Linotype" w:hAnsi="Palatino Linotype" w:cs="Tahoma"/>
          <w:b/>
          <w:sz w:val="22"/>
          <w:szCs w:val="22"/>
          <w:u w:val="single"/>
        </w:rPr>
        <w:t>n Extraordinaria Cambio de modalidad HANS SOTELO 2.pdf”</w:t>
      </w:r>
      <w:r w:rsidRPr="00792C68">
        <w:rPr>
          <w:rFonts w:ascii="Palatino Linotype" w:hAnsi="Palatino Linotype" w:cs="Tahoma"/>
          <w:sz w:val="22"/>
          <w:szCs w:val="22"/>
        </w:rPr>
        <w:t xml:space="preserve"> del cual se desprende el acta del Comité de Transparencia </w:t>
      </w:r>
      <w:r w:rsidRPr="00792C68">
        <w:rPr>
          <w:rFonts w:ascii="Palatino Linotype" w:hAnsi="Palatino Linotype" w:cs="Tahoma"/>
          <w:b/>
          <w:sz w:val="22"/>
          <w:szCs w:val="22"/>
        </w:rPr>
        <w:t xml:space="preserve">IXTASAL/CT/010/EXT/2021 </w:t>
      </w:r>
      <w:r w:rsidRPr="00792C68">
        <w:rPr>
          <w:rFonts w:ascii="Palatino Linotype" w:hAnsi="Palatino Linotype" w:cs="Tahoma"/>
          <w:sz w:val="22"/>
          <w:szCs w:val="22"/>
        </w:rPr>
        <w:t xml:space="preserve">de fecha veintidós de febrero de dos mil veintiuno, correspondiente a la Décima Sesión Extraordinaria de donde se autorizó el cambio de modalidad de entrega de la información requerida, dentro de la solicitud de información con folio </w:t>
      </w:r>
      <w:r w:rsidRPr="00792C68">
        <w:rPr>
          <w:rFonts w:ascii="Palatino Linotype" w:hAnsi="Palatino Linotype" w:cs="Tahoma"/>
          <w:bCs/>
          <w:sz w:val="22"/>
          <w:szCs w:val="22"/>
        </w:rPr>
        <w:t>00149/IXTASAL/IP/2021</w:t>
      </w:r>
      <w:r w:rsidRPr="00792C68">
        <w:rPr>
          <w:rFonts w:ascii="Palatino Linotype" w:hAnsi="Palatino Linotype" w:cs="Tahoma"/>
          <w:b/>
          <w:bCs/>
          <w:sz w:val="22"/>
          <w:szCs w:val="22"/>
        </w:rPr>
        <w:t xml:space="preserve">, </w:t>
      </w:r>
      <w:r w:rsidRPr="00792C68">
        <w:rPr>
          <w:rFonts w:ascii="Palatino Linotype" w:hAnsi="Palatino Linotype"/>
          <w:b/>
          <w:bCs/>
          <w:sz w:val="22"/>
        </w:rPr>
        <w:t xml:space="preserve">entre otras.  </w:t>
      </w:r>
    </w:p>
    <w:p w:rsidR="00F018AD" w:rsidP="00F018AD" w:rsidRDefault="00F018AD" w14:paraId="58993513" w14:textId="436143A7">
      <w:pPr>
        <w:autoSpaceDE w:val="0"/>
        <w:autoSpaceDN w:val="0"/>
        <w:adjustRightInd w:val="0"/>
        <w:spacing w:line="360" w:lineRule="auto"/>
        <w:jc w:val="both"/>
        <w:rPr>
          <w:rFonts w:ascii="Palatino Linotype" w:hAnsi="Palatino Linotype" w:cs="Tahoma"/>
          <w:b/>
          <w:szCs w:val="22"/>
        </w:rPr>
      </w:pPr>
    </w:p>
    <w:p w:rsidRPr="006E15EA" w:rsidR="00587F23" w:rsidP="00D17825" w:rsidRDefault="001D00D6" w14:paraId="469C11C4" w14:textId="1BCAE6AB">
      <w:pPr>
        <w:autoSpaceDE w:val="0"/>
        <w:autoSpaceDN w:val="0"/>
        <w:adjustRightInd w:val="0"/>
        <w:spacing w:line="360" w:lineRule="auto"/>
        <w:jc w:val="both"/>
        <w:rPr>
          <w:rFonts w:ascii="Palatino Linotype" w:hAnsi="Palatino Linotype" w:cs="Tahoma"/>
          <w:b/>
          <w:sz w:val="22"/>
          <w:szCs w:val="22"/>
        </w:rPr>
      </w:pPr>
      <w:r w:rsidRPr="006E15EA">
        <w:rPr>
          <w:rFonts w:ascii="Palatino Linotype" w:hAnsi="Palatino Linotype" w:cs="Tahoma"/>
          <w:b/>
          <w:sz w:val="22"/>
          <w:szCs w:val="22"/>
        </w:rPr>
        <w:lastRenderedPageBreak/>
        <w:t>I</w:t>
      </w:r>
      <w:r w:rsidRPr="006E15EA" w:rsidR="00433645">
        <w:rPr>
          <w:rFonts w:ascii="Palatino Linotype" w:hAnsi="Palatino Linotype" w:cs="Tahoma"/>
          <w:b/>
          <w:sz w:val="22"/>
          <w:szCs w:val="22"/>
        </w:rPr>
        <w:t>II</w:t>
      </w:r>
      <w:r w:rsidRPr="006E15EA" w:rsidR="00AA5A86">
        <w:rPr>
          <w:rFonts w:ascii="Palatino Linotype" w:hAnsi="Palatino Linotype" w:cs="Tahoma"/>
          <w:b/>
          <w:sz w:val="22"/>
          <w:szCs w:val="22"/>
        </w:rPr>
        <w:t xml:space="preserve">. </w:t>
      </w:r>
      <w:r w:rsidRPr="006E15EA" w:rsidR="004100AA">
        <w:rPr>
          <w:rFonts w:ascii="Palatino Linotype" w:hAnsi="Palatino Linotype" w:cs="Tahoma"/>
          <w:b/>
          <w:sz w:val="22"/>
          <w:szCs w:val="22"/>
        </w:rPr>
        <w:t>Interposición</w:t>
      </w:r>
      <w:r w:rsidRPr="006E15EA" w:rsidR="00C459A9">
        <w:rPr>
          <w:rFonts w:ascii="Palatino Linotype" w:hAnsi="Palatino Linotype" w:cs="Tahoma"/>
          <w:b/>
          <w:sz w:val="22"/>
          <w:szCs w:val="22"/>
        </w:rPr>
        <w:t xml:space="preserve"> del Recurso de R</w:t>
      </w:r>
      <w:r w:rsidRPr="006E15EA" w:rsidR="00C25238">
        <w:rPr>
          <w:rFonts w:ascii="Palatino Linotype" w:hAnsi="Palatino Linotype" w:cs="Tahoma"/>
          <w:b/>
          <w:sz w:val="22"/>
          <w:szCs w:val="22"/>
        </w:rPr>
        <w:t xml:space="preserve">evisión. </w:t>
      </w:r>
    </w:p>
    <w:p w:rsidRPr="006E15EA" w:rsidR="00E7654C" w:rsidP="00374683" w:rsidRDefault="00374683" w14:paraId="1BC1CDA2" w14:textId="51844996">
      <w:pPr>
        <w:tabs>
          <w:tab w:val="left" w:pos="2055"/>
        </w:tabs>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ab/>
      </w:r>
    </w:p>
    <w:p w:rsidRPr="006E15EA" w:rsidR="00BE4843" w:rsidP="00D17825" w:rsidRDefault="00E7654C" w14:paraId="6C627600" w14:textId="5E8D808D">
      <w:pPr>
        <w:autoSpaceDE w:val="0"/>
        <w:autoSpaceDN w:val="0"/>
        <w:adjustRightInd w:val="0"/>
        <w:spacing w:line="360" w:lineRule="auto"/>
        <w:jc w:val="both"/>
        <w:rPr>
          <w:rFonts w:ascii="Palatino Linotype" w:hAnsi="Palatino Linotype" w:cs="Tahoma"/>
          <w:sz w:val="22"/>
          <w:szCs w:val="22"/>
        </w:rPr>
      </w:pPr>
      <w:r w:rsidRPr="006E15EA">
        <w:rPr>
          <w:rFonts w:ascii="Palatino Linotype" w:hAnsi="Palatino Linotype" w:cs="Tahoma"/>
          <w:sz w:val="22"/>
          <w:szCs w:val="22"/>
        </w:rPr>
        <w:t>El</w:t>
      </w:r>
      <w:r w:rsidRPr="006E15EA" w:rsidR="004E401B">
        <w:rPr>
          <w:rFonts w:ascii="Palatino Linotype" w:hAnsi="Palatino Linotype" w:cs="Tahoma"/>
          <w:sz w:val="22"/>
          <w:szCs w:val="22"/>
        </w:rPr>
        <w:t xml:space="preserve"> </w:t>
      </w:r>
      <w:r w:rsidR="00EF0E79">
        <w:rPr>
          <w:rFonts w:ascii="Palatino Linotype" w:hAnsi="Palatino Linotype" w:cs="Tahoma"/>
          <w:sz w:val="22"/>
          <w:szCs w:val="22"/>
        </w:rPr>
        <w:t>tres</w:t>
      </w:r>
      <w:r w:rsidR="00263885">
        <w:rPr>
          <w:rFonts w:ascii="Palatino Linotype" w:hAnsi="Palatino Linotype" w:cs="Tahoma"/>
          <w:sz w:val="22"/>
          <w:szCs w:val="22"/>
        </w:rPr>
        <w:t xml:space="preserve"> de </w:t>
      </w:r>
      <w:r w:rsidR="00EF0E79">
        <w:rPr>
          <w:rFonts w:ascii="Palatino Linotype" w:hAnsi="Palatino Linotype" w:cs="Tahoma"/>
          <w:sz w:val="22"/>
          <w:szCs w:val="22"/>
        </w:rPr>
        <w:t>marzo</w:t>
      </w:r>
      <w:r w:rsidR="00263885">
        <w:rPr>
          <w:rFonts w:ascii="Palatino Linotype" w:hAnsi="Palatino Linotype" w:cs="Tahoma"/>
          <w:sz w:val="22"/>
          <w:szCs w:val="22"/>
        </w:rPr>
        <w:t xml:space="preserve"> de dos mil </w:t>
      </w:r>
      <w:r w:rsidR="00374683">
        <w:rPr>
          <w:rFonts w:ascii="Palatino Linotype" w:hAnsi="Palatino Linotype" w:cs="Tahoma"/>
          <w:sz w:val="22"/>
          <w:szCs w:val="22"/>
        </w:rPr>
        <w:t>veint</w:t>
      </w:r>
      <w:r w:rsidR="00CE4B6E">
        <w:rPr>
          <w:rFonts w:ascii="Palatino Linotype" w:hAnsi="Palatino Linotype" w:cs="Tahoma"/>
          <w:sz w:val="22"/>
          <w:szCs w:val="22"/>
        </w:rPr>
        <w:t>iuno</w:t>
      </w:r>
      <w:r w:rsidRPr="006E15EA" w:rsidR="00C25238">
        <w:rPr>
          <w:rFonts w:ascii="Palatino Linotype" w:hAnsi="Palatino Linotype" w:cs="Tahoma"/>
          <w:sz w:val="22"/>
          <w:szCs w:val="22"/>
        </w:rPr>
        <w:t xml:space="preserve">, </w:t>
      </w:r>
      <w:r w:rsidRPr="006E15EA" w:rsidR="00BE4843">
        <w:rPr>
          <w:rFonts w:ascii="Palatino Linotype" w:hAnsi="Palatino Linotype" w:cs="Tahoma"/>
          <w:sz w:val="22"/>
          <w:szCs w:val="22"/>
        </w:rPr>
        <w:t xml:space="preserve">se recibió en este Instituto, a través del </w:t>
      </w:r>
      <w:r w:rsidRPr="006E15EA" w:rsidR="00BE4843">
        <w:rPr>
          <w:rFonts w:ascii="Palatino Linotype" w:hAnsi="Palatino Linotype" w:cs="Tahoma"/>
          <w:sz w:val="22"/>
          <w:szCs w:val="22"/>
          <w:lang w:val="es-ES"/>
        </w:rPr>
        <w:t>Sistema de Acceso a la Información Mexiquense (SAIMEX)</w:t>
      </w:r>
      <w:r w:rsidRPr="006E15EA" w:rsidR="00BE4843">
        <w:rPr>
          <w:rFonts w:ascii="Palatino Linotype" w:hAnsi="Palatino Linotype" w:cs="Tahoma"/>
          <w:sz w:val="22"/>
          <w:szCs w:val="22"/>
        </w:rPr>
        <w:t>,</w:t>
      </w:r>
      <w:r w:rsidR="00374683">
        <w:rPr>
          <w:rFonts w:ascii="Palatino Linotype" w:hAnsi="Palatino Linotype" w:cs="Tahoma"/>
          <w:sz w:val="22"/>
          <w:szCs w:val="22"/>
        </w:rPr>
        <w:t xml:space="preserve"> un</w:t>
      </w:r>
      <w:r w:rsidRPr="006E15EA" w:rsidR="00BE4843">
        <w:rPr>
          <w:rFonts w:ascii="Palatino Linotype" w:hAnsi="Palatino Linotype" w:cs="Tahoma"/>
          <w:sz w:val="22"/>
          <w:szCs w:val="22"/>
        </w:rPr>
        <w:t xml:space="preserve"> Recurso de Revisión interpuesto por la parte </w:t>
      </w:r>
      <w:r w:rsidRPr="006E15EA" w:rsidR="0030032A">
        <w:rPr>
          <w:rFonts w:ascii="Palatino Linotype" w:hAnsi="Palatino Linotype" w:cs="Tahoma"/>
          <w:sz w:val="22"/>
          <w:szCs w:val="22"/>
        </w:rPr>
        <w:t>R</w:t>
      </w:r>
      <w:r w:rsidRPr="006E15EA" w:rsidR="00BE4843">
        <w:rPr>
          <w:rFonts w:ascii="Palatino Linotype" w:hAnsi="Palatino Linotype" w:cs="Tahoma"/>
          <w:sz w:val="22"/>
          <w:szCs w:val="22"/>
        </w:rPr>
        <w:t xml:space="preserve">ecurrente, en contra de la respuesta </w:t>
      </w:r>
      <w:r w:rsidRPr="006E15EA" w:rsidR="00630F94">
        <w:rPr>
          <w:rFonts w:ascii="Palatino Linotype" w:hAnsi="Palatino Linotype" w:cs="Tahoma"/>
          <w:sz w:val="22"/>
          <w:szCs w:val="22"/>
        </w:rPr>
        <w:t>d</w:t>
      </w:r>
      <w:r w:rsidRPr="006E15EA" w:rsidR="00BE4843">
        <w:rPr>
          <w:rFonts w:ascii="Palatino Linotype" w:hAnsi="Palatino Linotype" w:cs="Tahoma"/>
          <w:sz w:val="22"/>
          <w:szCs w:val="22"/>
        </w:rPr>
        <w:t xml:space="preserve">el Sujeto Obligado, en los </w:t>
      </w:r>
      <w:r w:rsidRPr="006E15EA" w:rsidR="004561E1">
        <w:rPr>
          <w:rFonts w:ascii="Palatino Linotype" w:hAnsi="Palatino Linotype" w:cs="Tahoma"/>
          <w:sz w:val="22"/>
          <w:szCs w:val="22"/>
        </w:rPr>
        <w:t xml:space="preserve">siguientes </w:t>
      </w:r>
      <w:r w:rsidRPr="006E15EA" w:rsidR="001D00D6">
        <w:rPr>
          <w:rFonts w:ascii="Palatino Linotype" w:hAnsi="Palatino Linotype" w:cs="Tahoma"/>
          <w:sz w:val="22"/>
          <w:szCs w:val="22"/>
        </w:rPr>
        <w:t>términos</w:t>
      </w:r>
      <w:r w:rsidRPr="006E15EA" w:rsidR="00BE4843">
        <w:rPr>
          <w:rFonts w:ascii="Palatino Linotype" w:hAnsi="Palatino Linotype" w:cs="Tahoma"/>
          <w:sz w:val="22"/>
          <w:szCs w:val="22"/>
        </w:rPr>
        <w:t>:</w:t>
      </w:r>
    </w:p>
    <w:p w:rsidRPr="006E15EA" w:rsidR="00511FCD" w:rsidP="00D17825" w:rsidRDefault="00511FCD" w14:paraId="757DF750" w14:textId="77777777">
      <w:pPr>
        <w:tabs>
          <w:tab w:val="left" w:pos="4667"/>
        </w:tabs>
        <w:spacing w:line="360" w:lineRule="auto"/>
        <w:ind w:left="567" w:right="567"/>
        <w:jc w:val="both"/>
        <w:rPr>
          <w:rFonts w:ascii="Palatino Linotype" w:hAnsi="Palatino Linotype" w:cs="Tahoma"/>
          <w:b/>
          <w:bCs/>
        </w:rPr>
      </w:pPr>
    </w:p>
    <w:p w:rsidRPr="000D7077" w:rsidR="000D7077" w:rsidP="000D7077" w:rsidRDefault="00C25238" w14:paraId="46D91AAF" w14:textId="78290D5B">
      <w:pPr>
        <w:tabs>
          <w:tab w:val="left" w:pos="4667"/>
        </w:tabs>
        <w:spacing w:line="360" w:lineRule="auto"/>
        <w:ind w:left="567" w:right="567"/>
        <w:jc w:val="both"/>
        <w:rPr>
          <w:rFonts w:ascii="Palatino Linotype" w:hAnsi="Palatino Linotype" w:cs="Tahoma"/>
          <w:b/>
          <w:bCs/>
        </w:rPr>
      </w:pPr>
      <w:r w:rsidRPr="006E15EA">
        <w:rPr>
          <w:rFonts w:ascii="Palatino Linotype" w:hAnsi="Palatino Linotype" w:cs="Tahoma"/>
          <w:b/>
          <w:bCs/>
        </w:rPr>
        <w:t>ACTO IMPUGNADO</w:t>
      </w:r>
    </w:p>
    <w:p w:rsidR="00BA2486" w:rsidP="00D17825" w:rsidRDefault="00792C68" w14:paraId="4C9D52C0" w14:textId="5C6E727B">
      <w:pPr>
        <w:autoSpaceDE w:val="0"/>
        <w:autoSpaceDN w:val="0"/>
        <w:adjustRightInd w:val="0"/>
        <w:spacing w:line="360" w:lineRule="auto"/>
        <w:ind w:left="567" w:right="567"/>
        <w:jc w:val="both"/>
        <w:rPr>
          <w:rFonts w:ascii="Palatino Linotype" w:hAnsi="Palatino Linotype" w:cs="Tahoma"/>
          <w:i/>
        </w:rPr>
      </w:pPr>
      <w:r w:rsidRPr="00792C68">
        <w:rPr>
          <w:rFonts w:ascii="Palatino Linotype" w:hAnsi="Palatino Linotype" w:cs="Tahoma"/>
          <w:i/>
        </w:rPr>
        <w:t>La indebida respuesta del obligado.</w:t>
      </w:r>
    </w:p>
    <w:p w:rsidRPr="006E15EA" w:rsidR="00792C68" w:rsidP="00D17825" w:rsidRDefault="00792C68" w14:paraId="142AB1DA" w14:textId="77777777">
      <w:pPr>
        <w:autoSpaceDE w:val="0"/>
        <w:autoSpaceDN w:val="0"/>
        <w:adjustRightInd w:val="0"/>
        <w:spacing w:line="360" w:lineRule="auto"/>
        <w:ind w:left="567" w:right="567"/>
        <w:jc w:val="both"/>
        <w:rPr>
          <w:rFonts w:ascii="Palatino Linotype" w:hAnsi="Palatino Linotype" w:cs="Tahoma"/>
          <w:i/>
        </w:rPr>
      </w:pPr>
    </w:p>
    <w:p w:rsidRPr="006E15EA" w:rsidR="00C25238" w:rsidP="00D17825" w:rsidRDefault="00C25238" w14:paraId="5E407C76" w14:textId="77777777">
      <w:pPr>
        <w:autoSpaceDE w:val="0"/>
        <w:autoSpaceDN w:val="0"/>
        <w:adjustRightInd w:val="0"/>
        <w:spacing w:line="360" w:lineRule="auto"/>
        <w:ind w:left="567" w:right="567"/>
        <w:jc w:val="both"/>
        <w:rPr>
          <w:rFonts w:ascii="Palatino Linotype" w:hAnsi="Palatino Linotype" w:cs="Tahoma"/>
          <w:b/>
        </w:rPr>
      </w:pPr>
      <w:r w:rsidRPr="006E15EA">
        <w:rPr>
          <w:rFonts w:ascii="Palatino Linotype" w:hAnsi="Palatino Linotype" w:cs="Tahoma"/>
          <w:b/>
        </w:rPr>
        <w:t>RAZONES O MOTIVOS DE LA INCONFORMIDAD</w:t>
      </w:r>
    </w:p>
    <w:p w:rsidR="00BA2486" w:rsidP="00792C68" w:rsidRDefault="00792C68" w14:paraId="715352F6" w14:textId="7AE573A5">
      <w:pPr>
        <w:spacing w:line="360" w:lineRule="auto"/>
        <w:ind w:left="567" w:right="539"/>
        <w:jc w:val="both"/>
        <w:rPr>
          <w:rFonts w:ascii="Palatino Linotype" w:hAnsi="Palatino Linotype" w:cs="Tahoma"/>
          <w:i/>
        </w:rPr>
      </w:pPr>
      <w:r w:rsidRPr="00792C68">
        <w:rPr>
          <w:rFonts w:ascii="Palatino Linotype" w:hAnsi="Palatino Linotype" w:cs="Tahoma"/>
          <w:i/>
        </w:rPr>
        <w:t xml:space="preserve">PRIMERA.- La resolución que se combate infringe en mi perjuicio las garantías individuales de legalidad, seguridad jurídica y debido proceso previstas en los artículos 1o, 14 y 16 del Pacto Federal, así como, mi derecho humano de acceso a la información establecido en el artículo 6o de dicha ley fundamental, toda vez que no se encuentra debidamente fundada y motivada, en virtud que no existe adecuación entre los motivos aducidos por el sujeto obligado y las normas aplicadas al caso concreto para cambiar la modalidad de entrega de la información. Efectivamente, el artículo 16 Constitucional mandata: “NADIE PUEDE SER MOLESTADO EN SU PERSONA, FAMILIA, DOMICILIO, PAPELES O POSESIONES, SINO EN VIRTUD DE MANDAMIENTO ESCRITO DE LA AUTORIDAD COMPETENTE, QUE FUNDE Y MOTIVE LA CAUSA LEGAL DEL PROCEDIMIENTO”; y por consecuencia, al ser dicha garantía de orden imperativo, toda autoridad está obligada a respetarla a favor de cualquier persona, lo cual en el caso en concreto no es así, por las siguientes razones: El sujeto obligado con la única finalidad de identificarme, unilateralmente, mediante acta del comité de transparencia cambió la modalidad de entrega de la información, aduciendo que debido al cúmulo de asuntos y a la pandemia por covid 19, no tiene el tiempo ni el personal suficiente para atender mi solicitud vía saimex, (aún y cuando, basta ver la fecha en que se formuló la solicitud y la fecha en que me responde para darse cuenta que ha contado con tiempo suficiente y basta que el INFOEM informe cuantos servidores públicos habilitados tiene registrados el sujeto obligado ante ellos para percatarse que cuenta con personal suficiente), pero, resulta </w:t>
      </w:r>
      <w:r w:rsidRPr="00792C68">
        <w:rPr>
          <w:rFonts w:ascii="Palatino Linotype" w:hAnsi="Palatino Linotype" w:cs="Tahoma"/>
          <w:i/>
        </w:rPr>
        <w:lastRenderedPageBreak/>
        <w:t xml:space="preserve">incongruente e ilógico que si cuenta con la información in situ, no me la pueda enviar vía saimex, es decir no existe adecuación entre los motivos aducidos y las normas aplicadas, ya que el Sujeto Obligado, no fundó, motivó ni justificó a cabalidad la imposibilidad de entregar documentos en formato electrónico a través de la plataforma digital; esto es, no acreditó el impedimento para proporcionar la información solicitada, a través del Sistema de Acceso a la Información Mexiquense SAIMEX. Lo anterior, contraviene lo expuesto en la “Relatoría Especial para la Libertad de Expresión Comisión de Derechos Humanos” </w:t>
      </w:r>
      <w:proofErr w:type="gramStart"/>
      <w:r w:rsidRPr="00792C68">
        <w:rPr>
          <w:rFonts w:ascii="Palatino Linotype" w:hAnsi="Palatino Linotype" w:cs="Tahoma"/>
          <w:i/>
        </w:rPr>
        <w:t>1 ,</w:t>
      </w:r>
      <w:proofErr w:type="gramEnd"/>
      <w:r w:rsidRPr="00792C68">
        <w:rPr>
          <w:rFonts w:ascii="Palatino Linotype" w:hAnsi="Palatino Linotype" w:cs="Tahoma"/>
          <w:i/>
        </w:rPr>
        <w:t xml:space="preserve"> que en su inciso “b”, punto 13 en el que se menciona: ‘b. Carga de la probatoria para el Estado en caso de establecer limitaciones al derecho de acceso a la información. Ello es así, en virtud, que el Sujeto Obligado pretende acreditar su imposibilidad técnica y humana para atender las solicitudes de información que nos ocupan, en la modalidad elegida por el suscrito, en virtud del número de solicitudes, el volumen de la información y el procesamiento de la misma, sin que explique y justifique como arriba a ésa conclusión, esto es, NO EXISTE CONGRUENCIA, NI ADECUACIÓN ENTRE LOS MOTIVOS ADUCIDOS Y LAS NORMAS APLICADAS, pues no justificó debidamente la imposibilidad de entregar documentos a través de la plataforma digital, es decir no acreditó el impedimento para proporcionar la información solicitada, a través del Sistema de Acceso a la Información Mexiquense (SAIMEX), adicional a lo anterior, el Sujeto Obligado omitió mencionar la cantidad de documentos que en su caso integran el soporte documental a expedir y en su caso, la imposibilidad técnica de enviar la información a través del SAIMEX, antes SICOSIEM, como lo establece el numeral Cincuenta y Cuatro de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que a la letra dispone: “CINCUENTA Y CUATRO.- De acuerdo a lo dispuesto por el párrafo segundo del artículo 48 de la Ley, la información podrá ser entregada vía electrónica a través del SICOSIEM. Es obligación del responsable de la Unidad de Información verificar que los archivos electrónicos que contengan la información entregada, se </w:t>
      </w:r>
      <w:proofErr w:type="gramStart"/>
      <w:r w:rsidRPr="00792C68">
        <w:rPr>
          <w:rFonts w:ascii="Palatino Linotype" w:hAnsi="Palatino Linotype" w:cs="Tahoma"/>
          <w:i/>
        </w:rPr>
        <w:t>encuentra</w:t>
      </w:r>
      <w:proofErr w:type="gramEnd"/>
      <w:r w:rsidRPr="00792C68">
        <w:rPr>
          <w:rFonts w:ascii="Palatino Linotype" w:hAnsi="Palatino Linotype" w:cs="Tahoma"/>
          <w:i/>
        </w:rPr>
        <w:t xml:space="preserve"> agregada al SICOSIEM. 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w:t>
      </w:r>
      <w:r w:rsidRPr="00792C68">
        <w:rPr>
          <w:rFonts w:ascii="Palatino Linotype" w:hAnsi="Palatino Linotype" w:cs="Tahoma"/>
          <w:i/>
        </w:rPr>
        <w:lastRenderedPageBreak/>
        <w:t xml:space="preserve">que reciba el apoyo técnico correspondiente. La Dirección de Sistemas e Informática del Instituto, debe llevar un registro de incidencias en el cual se asienten todas las llamas referentes al apoyo técnico para agregar los archivos electrónicos al SICOSIEM. La omisión por parte del responsable de la Unidad de Información del procedimiento antes descrito presume la negativa de la entrega de la Información. Cuando la información no pueda ser remitida vía electrónica, se deberá fundar y motivar la resolución respectiva, explicando en todo momento las causas que impiden el envío de la información de forma electrónica. En las relatadas condiciones, es inconcuso, que el acta del comité de transparencia del sujeto obligado, no se encuentra debidamente fundada y motivada, por lo tanto, lo procedente es revocar o modificar su respuesta. Aunado a todo ello, el comité de transparencia emisor de la respuesta con que cambia la modalidad de entrega de la información, carece de una atribución expresa y legalmente concedida a dicho órgano colegiado para cambiar la modalidad de la entrega de la información, ello es así, cuenta habida, que del contenido del artículo 49 de la Ley de Transparencia y acceso a la Información Pública del Estado de México y Municipios, que establece las atribuciones de los comités de transparencia, no se advierte atribución alguna para ordenar cambios en la modalidad de entrega de la información, y al hacerlo, como lo hizo en el caso que nos ocupa, violentó en mi agravio el principio de legalidad constitucional, conforme al cual “las autoridades sólo pueden hacer lo que la ley les faculta expresamente”. Por si fuera </w:t>
      </w:r>
      <w:proofErr w:type="gramStart"/>
      <w:r w:rsidRPr="00792C68">
        <w:rPr>
          <w:rFonts w:ascii="Palatino Linotype" w:hAnsi="Palatino Linotype" w:cs="Tahoma"/>
          <w:i/>
        </w:rPr>
        <w:t>poco</w:t>
      </w:r>
      <w:proofErr w:type="gramEnd"/>
      <w:r w:rsidRPr="00792C68">
        <w:rPr>
          <w:rFonts w:ascii="Palatino Linotype" w:hAnsi="Palatino Linotype" w:cs="Tahoma"/>
          <w:i/>
        </w:rPr>
        <w:t xml:space="preserve"> todo lo anterior, es pertinente señalar lo expuesto en la “Relatoría Especial para la Libertad de Expresión Comisión de Derechos Humanos”, que en su inciso “b”, punto 13 menciona: “b. Carga de la probatoria para el Estado en caso de establecer limitaciones al derecho de acceso a la información. 13. La jurisprudencia de la Corte Interamericana ha establecido que el Estado tiene la carga de la prueba de demostrar que las limitaciones al acceso a la información son compatibles con las normas interamericanas sobre libertad de expresión. Así también lo ha afirmado el Comité Jurídico Interamericano en su resolución sobre los “Principios sobre el Derecho de Acceso a la Información” al establecer que, la carga de la prueba para justificar cualquier negativa de acceso a la información debe recaer en el órgano al cual la información fue solicitada”. Lo anterior permite generar seguridad jurídica en el ejercicio del derecho de acceso a la información, pues, al estar la información en control del Estado debe evitarse al máximo la actuación discrecional y arbitraje del mismo en el establecimiento de las restricciones al derecho”’. Lo anterior, robustece que es el Sujeto Obligado </w:t>
      </w:r>
      <w:r w:rsidRPr="00792C68">
        <w:rPr>
          <w:rFonts w:ascii="Palatino Linotype" w:hAnsi="Palatino Linotype" w:cs="Tahoma"/>
          <w:i/>
        </w:rPr>
        <w:lastRenderedPageBreak/>
        <w:t xml:space="preserve">quien en todo caso debe demostrar el cambio de modalidad de acceso a la misma, otorgando con ello la debida seguridad jurídica a todo gobernado y con ello la garantía del derecho humano de acceso a la información pública al suscrito, en este sentido, válidamente se arriba a la conclusión que la respuesta impugnada, no se encuentra debidamente fundada y motivada, y no garantiza el pleno ejercicio del derecho de acceso a la información pública del suscrito, por lo que lo procedente será revocarla con el objeto que se me otorgue acceso a la información en la modalidad elegida. Así las cosas, el presente concepto de violación, constituye un considerando atendible y suficiente por sí sólo para declarar la nulidad e invalidez de los actos impugnados, por virtud de que con él se demuestra que los actos combatidos, se ubican en la hipótesis normativa prevista en las jurisprudencias que se transcriben a continuación y que se solicita se tengan en consideración al momento de resolver sobre el presente asunto. Jurisprudencia 260, visible en la página 175, del Tomo VI, Materia Común, del Apéndice al Semanario Judicial de la Federación de los años 1917-1995, que dice: FUNDAMENTACION Y MOTIVACION. De acuerdo con el artículo 16 de la Constitución Federal todo acto de autoridad debe estar adecuada y suficientemente fundado y motivado, entendiéndose por lo primero que ha de expresarse con precisión el precepto legal aplicable al caso y, por lo segundo, que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FUNDAMENTACION. CARACTERISTICAS DEL ACTO DE AUTORIDAD CORRECTAMENTE FUNDADO. FORMALIDAD ESENCIAL DEL ACTO ES EL CARACTER CON QUE LA AUTORIDAD RESPECTIVA LO SUSCRIBE Y EL DISPOSITIVO, ACUERDO O DECRETO QUE LE OTORGUE TAL LEGITIMACION. Para poder considerar un acto autoritario como correctamente fundado, es necesario que en él se citen: A) Los cuerpos legales y preceptos que se están aplicando al caso concreto, es decir los supuestos normativos en que encuadra la conducta del gobernado, que serán señalados con toda exactitud, precisándose los incisos, subincisos y fracciones. B) Los cuerpos legales y preceptos que otorgan competencia o facultades a las autoridades, para emitir el acto en agravio del gobernado. Ahora bien, siguiendo una secuencia lógica, este tribunal considera que la citación de los artículos que otorgan competencia, debe realizarse también con toda exactitud, señalándose el inciso, subinciso </w:t>
      </w:r>
      <w:r w:rsidRPr="00792C68">
        <w:rPr>
          <w:rFonts w:ascii="Palatino Linotype" w:hAnsi="Palatino Linotype" w:cs="Tahoma"/>
          <w:i/>
        </w:rPr>
        <w:lastRenderedPageBreak/>
        <w:t xml:space="preserve">y fracción o fracciones que establezcan las facultades </w:t>
      </w:r>
      <w:proofErr w:type="gramStart"/>
      <w:r w:rsidRPr="00792C68">
        <w:rPr>
          <w:rFonts w:ascii="Palatino Linotype" w:hAnsi="Palatino Linotype" w:cs="Tahoma"/>
          <w:i/>
        </w:rPr>
        <w:t>que</w:t>
      </w:r>
      <w:proofErr w:type="gramEnd"/>
      <w:r w:rsidRPr="00792C68">
        <w:rPr>
          <w:rFonts w:ascii="Palatino Linotype" w:hAnsi="Palatino Linotype" w:cs="Tahoma"/>
          <w:i/>
        </w:rPr>
        <w:t xml:space="preserve"> en el caso concreto, la autoridad está ejercitando al emitir el acto de poder en perjuicio del gobernado. En efecto, la garantía de fundamentación consagrada en el artículo 16 constitucional lleva implícita la idea de exactitud y precisión en la citación de los cuerpos legales, preceptos, incisos, subincisos y fracciones de los mismos que se están aplicando al particular en el caso concreto, y no es posible abrigar en la garantía individual comentada, ninguna clase de ambigüedad, o imprecisión, puesto que el objetivo de la misma primordialmente se constituye por una exacta individualización del acto autoritario, de acuerdo a la conducta realizada por el particular, la aplicación de las leyes a la misma y desde luego, la exacta citación de los preceptos competenciales, que permiten a las autoridades la emisión del acto de poder. TERCER TRIBUNAL COLEGIADO EN MATERIA ADMINISTRATIVA DEL PRIMER CIRCUITO. Amparo directo 16/83. Jorge León Rodal Flores. 12 de julio de 1983. Unanimidad de votos. Ponente: Genaro David Góngora Pimentel. Secretario: Roberto Terrazas Salgado. Sexta Época Instancia: Segunda Sala Fuente: Semanario Judicial de la Federación Tomo: Tercera Parte, CXXIV Página: 30 SEGUNDA.- Los sujetos obligados deben seguir el procedimiento para la atención a las solicitudes de acceso a la información, establecido en los artículos 151, 160, 162, 163, 164, 165 y 166, de la Ley de Transparencia y Acceso a la Información Pública del Estado de México y Municipios; empero, en el asunto a estudio el sujeto obligado, hoy tercero interesado, no lo hizo, porqué en ningún momento privilegia la entrega de la información en la modalidad solicitada, al contrario, unilateralmente, sin que tenga dicha potestad, la cambia, sin ofrecerme todas las alternativas o modalidades para entregarme la información, con el único propósito de identificarme para tomar represalias en mi contra y evitar que siga interponiendo solicitudes de información, razón por la cual, se debe revocar la respuesta, toda vez, que la misma me causa agravio e irroga perjuicios en la medida que permite que el obligado infundadamente cambiar la modalidad de entrega de la información, con el único objeto de inhibir el derecho de acceso a la información, cuando dicha potestad es del solicitante, no del obligado.</w:t>
      </w:r>
    </w:p>
    <w:p w:rsidRPr="006E15EA" w:rsidR="00AA76BC" w:rsidP="00374683" w:rsidRDefault="00AA76BC" w14:paraId="6B28060E" w14:textId="77777777">
      <w:pPr>
        <w:spacing w:line="360" w:lineRule="auto"/>
        <w:ind w:left="567"/>
        <w:jc w:val="both"/>
        <w:rPr>
          <w:rFonts w:ascii="Palatino Linotype" w:hAnsi="Palatino Linotype" w:cs="Tahoma"/>
          <w:b/>
          <w:sz w:val="22"/>
          <w:szCs w:val="22"/>
        </w:rPr>
      </w:pPr>
    </w:p>
    <w:p w:rsidRPr="006E15EA" w:rsidR="00B31222" w:rsidP="00D17825" w:rsidRDefault="00BE4843" w14:paraId="155A0967" w14:textId="77777777">
      <w:pPr>
        <w:spacing w:line="360" w:lineRule="auto"/>
        <w:jc w:val="both"/>
        <w:rPr>
          <w:rFonts w:ascii="Palatino Linotype" w:hAnsi="Palatino Linotype" w:eastAsia="Batang" w:cs="Tahoma"/>
          <w:b/>
          <w:bCs/>
          <w:sz w:val="22"/>
          <w:szCs w:val="22"/>
        </w:rPr>
      </w:pPr>
      <w:r w:rsidRPr="006E15EA">
        <w:rPr>
          <w:rFonts w:ascii="Palatino Linotype" w:hAnsi="Palatino Linotype" w:cs="Tahoma"/>
          <w:b/>
          <w:sz w:val="22"/>
          <w:szCs w:val="22"/>
        </w:rPr>
        <w:t>I</w:t>
      </w:r>
      <w:r w:rsidRPr="006E15EA" w:rsidR="0030032A">
        <w:rPr>
          <w:rFonts w:ascii="Palatino Linotype" w:hAnsi="Palatino Linotype" w:cs="Tahoma"/>
          <w:b/>
          <w:sz w:val="22"/>
          <w:szCs w:val="22"/>
        </w:rPr>
        <w:t>V</w:t>
      </w:r>
      <w:r w:rsidRPr="006E15EA" w:rsidR="00B31222">
        <w:rPr>
          <w:rFonts w:ascii="Palatino Linotype" w:hAnsi="Palatino Linotype" w:cs="Tahoma"/>
          <w:b/>
          <w:sz w:val="22"/>
          <w:szCs w:val="22"/>
        </w:rPr>
        <w:t xml:space="preserve">. </w:t>
      </w:r>
      <w:r w:rsidRPr="006E15EA" w:rsidR="00B31222">
        <w:rPr>
          <w:rFonts w:ascii="Palatino Linotype" w:hAnsi="Palatino Linotype" w:eastAsia="Batang" w:cs="Tahoma"/>
          <w:b/>
          <w:bCs/>
          <w:sz w:val="22"/>
          <w:szCs w:val="22"/>
        </w:rPr>
        <w:t xml:space="preserve">Trámite del </w:t>
      </w:r>
      <w:r w:rsidRPr="006E15EA" w:rsidR="00C459A9">
        <w:rPr>
          <w:rFonts w:ascii="Palatino Linotype" w:hAnsi="Palatino Linotype" w:cs="Tahoma"/>
          <w:b/>
          <w:sz w:val="22"/>
          <w:szCs w:val="22"/>
        </w:rPr>
        <w:t>Recurso de Revisión</w:t>
      </w:r>
      <w:r w:rsidRPr="006E15EA" w:rsidR="00AE489D">
        <w:rPr>
          <w:rFonts w:ascii="Palatino Linotype" w:hAnsi="Palatino Linotype" w:cs="Tahoma"/>
          <w:b/>
          <w:sz w:val="22"/>
          <w:szCs w:val="22"/>
        </w:rPr>
        <w:t xml:space="preserve"> </w:t>
      </w:r>
      <w:r w:rsidRPr="006E15EA" w:rsidR="00B31222">
        <w:rPr>
          <w:rFonts w:ascii="Palatino Linotype" w:hAnsi="Palatino Linotype" w:eastAsia="Batang" w:cs="Tahoma"/>
          <w:b/>
          <w:bCs/>
          <w:sz w:val="22"/>
          <w:szCs w:val="22"/>
        </w:rPr>
        <w:t>ante el Instituto</w:t>
      </w:r>
      <w:r w:rsidRPr="006E15EA" w:rsidR="00E445DA">
        <w:rPr>
          <w:rFonts w:ascii="Palatino Linotype" w:hAnsi="Palatino Linotype" w:eastAsia="Batang" w:cs="Tahoma"/>
          <w:b/>
          <w:bCs/>
          <w:sz w:val="22"/>
          <w:szCs w:val="22"/>
        </w:rPr>
        <w:t>.</w:t>
      </w:r>
    </w:p>
    <w:p w:rsidRPr="006E15EA" w:rsidR="00E445DA" w:rsidP="00D17825" w:rsidRDefault="00E445DA" w14:paraId="3A277395" w14:textId="77777777">
      <w:pPr>
        <w:spacing w:line="360" w:lineRule="auto"/>
        <w:jc w:val="both"/>
        <w:rPr>
          <w:rFonts w:ascii="Palatino Linotype" w:hAnsi="Palatino Linotype" w:eastAsia="Batang" w:cs="Tahoma"/>
          <w:b/>
          <w:bCs/>
          <w:sz w:val="22"/>
          <w:szCs w:val="22"/>
        </w:rPr>
      </w:pPr>
    </w:p>
    <w:p w:rsidRPr="00AB5725" w:rsidR="00056D2E" w:rsidP="00D17825" w:rsidRDefault="00A90F9B" w14:paraId="7B9950F4" w14:textId="1925E489">
      <w:pPr>
        <w:spacing w:line="360" w:lineRule="auto"/>
        <w:jc w:val="both"/>
        <w:rPr>
          <w:rFonts w:ascii="Palatino Linotype" w:hAnsi="Palatino Linotype" w:eastAsia="Batang" w:cs="Tahoma"/>
          <w:b/>
          <w:bCs/>
          <w:sz w:val="22"/>
          <w:szCs w:val="22"/>
        </w:rPr>
      </w:pPr>
      <w:r w:rsidRPr="006E15EA">
        <w:rPr>
          <w:rFonts w:ascii="Palatino Linotype" w:hAnsi="Palatino Linotype" w:eastAsia="Batang" w:cs="Tahoma"/>
          <w:b/>
          <w:bCs/>
          <w:sz w:val="22"/>
          <w:szCs w:val="22"/>
        </w:rPr>
        <w:t xml:space="preserve">a) </w:t>
      </w:r>
      <w:r w:rsidRPr="006E15EA" w:rsidR="00B31222">
        <w:rPr>
          <w:rFonts w:ascii="Palatino Linotype" w:hAnsi="Palatino Linotype" w:eastAsia="Batang" w:cs="Tahoma"/>
          <w:b/>
          <w:bCs/>
          <w:sz w:val="22"/>
          <w:szCs w:val="22"/>
        </w:rPr>
        <w:t xml:space="preserve">Turno del </w:t>
      </w:r>
      <w:r w:rsidRPr="006E15EA" w:rsidR="00C459A9">
        <w:rPr>
          <w:rFonts w:ascii="Palatino Linotype" w:hAnsi="Palatino Linotype" w:cs="Tahoma"/>
          <w:b/>
          <w:sz w:val="22"/>
          <w:szCs w:val="22"/>
        </w:rPr>
        <w:t>Recurso de Revisión</w:t>
      </w:r>
      <w:r w:rsidRPr="006E15EA">
        <w:rPr>
          <w:rFonts w:ascii="Palatino Linotype" w:hAnsi="Palatino Linotype" w:eastAsia="Batang" w:cs="Tahoma"/>
          <w:b/>
          <w:bCs/>
          <w:sz w:val="22"/>
          <w:szCs w:val="22"/>
        </w:rPr>
        <w:t>.</w:t>
      </w:r>
    </w:p>
    <w:p w:rsidR="00BE4843" w:rsidP="006C2ACC" w:rsidRDefault="00BE4843" w14:paraId="463CB79E" w14:textId="11E89108">
      <w:pPr>
        <w:spacing w:line="360" w:lineRule="auto"/>
        <w:jc w:val="both"/>
        <w:rPr>
          <w:rFonts w:ascii="Palatino Linotype" w:hAnsi="Palatino Linotype" w:eastAsia="Batang" w:cs="Tahoma"/>
          <w:bCs/>
          <w:sz w:val="22"/>
          <w:szCs w:val="22"/>
        </w:rPr>
      </w:pPr>
      <w:r w:rsidRPr="006E15EA">
        <w:rPr>
          <w:rFonts w:ascii="Palatino Linotype" w:hAnsi="Palatino Linotype" w:eastAsia="Batang" w:cs="Tahoma"/>
          <w:bCs/>
          <w:sz w:val="22"/>
          <w:szCs w:val="22"/>
        </w:rPr>
        <w:lastRenderedPageBreak/>
        <w:t xml:space="preserve">El </w:t>
      </w:r>
      <w:r w:rsidR="00792C68">
        <w:rPr>
          <w:rFonts w:ascii="Palatino Linotype" w:hAnsi="Palatino Linotype" w:eastAsia="Batang" w:cs="Tahoma"/>
          <w:bCs/>
          <w:sz w:val="22"/>
          <w:szCs w:val="22"/>
        </w:rPr>
        <w:t>tres</w:t>
      </w:r>
      <w:r w:rsidR="002424C2">
        <w:rPr>
          <w:rFonts w:ascii="Palatino Linotype" w:hAnsi="Palatino Linotype" w:eastAsia="Batang" w:cs="Tahoma"/>
          <w:bCs/>
          <w:sz w:val="22"/>
          <w:szCs w:val="22"/>
        </w:rPr>
        <w:t xml:space="preserve"> de </w:t>
      </w:r>
      <w:r w:rsidR="00792C68">
        <w:rPr>
          <w:rFonts w:ascii="Palatino Linotype" w:hAnsi="Palatino Linotype" w:eastAsia="Batang" w:cs="Tahoma"/>
          <w:bCs/>
          <w:sz w:val="22"/>
          <w:szCs w:val="22"/>
        </w:rPr>
        <w:t>marzo</w:t>
      </w:r>
      <w:r w:rsidR="002C2524">
        <w:rPr>
          <w:rFonts w:ascii="Palatino Linotype" w:hAnsi="Palatino Linotype" w:eastAsia="Batang" w:cs="Tahoma"/>
          <w:bCs/>
          <w:sz w:val="22"/>
          <w:szCs w:val="22"/>
        </w:rPr>
        <w:t xml:space="preserve"> de dos mil </w:t>
      </w:r>
      <w:r w:rsidR="00374683">
        <w:rPr>
          <w:rFonts w:ascii="Palatino Linotype" w:hAnsi="Palatino Linotype" w:eastAsia="Batang" w:cs="Tahoma"/>
          <w:bCs/>
          <w:sz w:val="22"/>
          <w:szCs w:val="22"/>
        </w:rPr>
        <w:t>veint</w:t>
      </w:r>
      <w:r w:rsidR="00A507DD">
        <w:rPr>
          <w:rFonts w:ascii="Palatino Linotype" w:hAnsi="Palatino Linotype" w:eastAsia="Batang" w:cs="Tahoma"/>
          <w:bCs/>
          <w:sz w:val="22"/>
          <w:szCs w:val="22"/>
        </w:rPr>
        <w:t>iuno</w:t>
      </w:r>
      <w:r w:rsidRPr="006E15EA">
        <w:rPr>
          <w:rFonts w:ascii="Palatino Linotype" w:hAnsi="Palatino Linotype" w:eastAsia="Batang" w:cs="Tahoma"/>
          <w:bCs/>
          <w:sz w:val="22"/>
          <w:szCs w:val="22"/>
        </w:rPr>
        <w:t xml:space="preserve">, el </w:t>
      </w:r>
      <w:r w:rsidRPr="006E15EA">
        <w:rPr>
          <w:rFonts w:ascii="Palatino Linotype" w:hAnsi="Palatino Linotype" w:cs="Tahoma"/>
          <w:sz w:val="22"/>
          <w:szCs w:val="22"/>
          <w:lang w:val="es-ES"/>
        </w:rPr>
        <w:t>Sistema de Acceso a la Información Mexiquense (SAIMEX),</w:t>
      </w:r>
      <w:r w:rsidRPr="006E15EA">
        <w:rPr>
          <w:rFonts w:ascii="Palatino Linotype" w:hAnsi="Palatino Linotype" w:eastAsia="Batang" w:cs="Tahoma"/>
          <w:bCs/>
          <w:sz w:val="22"/>
          <w:szCs w:val="22"/>
        </w:rPr>
        <w:t xml:space="preserve"> asignó el número de </w:t>
      </w:r>
      <w:r w:rsidR="00AA76BC">
        <w:rPr>
          <w:rFonts w:ascii="Palatino Linotype" w:hAnsi="Palatino Linotype" w:eastAsia="Batang" w:cs="Tahoma"/>
          <w:bCs/>
          <w:sz w:val="22"/>
          <w:szCs w:val="22"/>
        </w:rPr>
        <w:t xml:space="preserve">expediente </w:t>
      </w:r>
      <w:r w:rsidR="00792C68">
        <w:rPr>
          <w:rFonts w:ascii="Palatino Linotype" w:hAnsi="Palatino Linotype" w:eastAsia="Batang" w:cs="Tahoma"/>
          <w:bCs/>
          <w:sz w:val="22"/>
          <w:szCs w:val="22"/>
        </w:rPr>
        <w:t>00811</w:t>
      </w:r>
      <w:r w:rsidRPr="00AA76BC" w:rsidR="00A507DD">
        <w:rPr>
          <w:rFonts w:ascii="Palatino Linotype" w:hAnsi="Palatino Linotype" w:eastAsia="Batang" w:cs="Tahoma"/>
          <w:bCs/>
          <w:sz w:val="22"/>
          <w:szCs w:val="22"/>
        </w:rPr>
        <w:t>/INFOEM/IP/RR/2021</w:t>
      </w:r>
      <w:r w:rsidRPr="00AA76BC">
        <w:rPr>
          <w:rFonts w:ascii="Palatino Linotype" w:hAnsi="Palatino Linotype" w:eastAsia="Batang" w:cs="Tahoma"/>
          <w:bCs/>
          <w:sz w:val="22"/>
          <w:szCs w:val="22"/>
        </w:rPr>
        <w:t>,</w:t>
      </w:r>
      <w:r w:rsidRPr="006E15EA" w:rsidR="00AE489D">
        <w:rPr>
          <w:rFonts w:ascii="Palatino Linotype" w:hAnsi="Palatino Linotype" w:eastAsia="Batang" w:cs="Tahoma"/>
          <w:bCs/>
          <w:sz w:val="22"/>
          <w:szCs w:val="22"/>
        </w:rPr>
        <w:t xml:space="preserve"> </w:t>
      </w:r>
      <w:r w:rsidRPr="006E15EA">
        <w:rPr>
          <w:rFonts w:ascii="Palatino Linotype" w:hAnsi="Palatino Linotype" w:eastAsia="Batang"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r w:rsidR="00EF665D">
        <w:rPr>
          <w:rFonts w:ascii="Palatino Linotype" w:hAnsi="Palatino Linotype" w:eastAsia="Batang" w:cs="Tahoma"/>
          <w:bCs/>
          <w:sz w:val="22"/>
          <w:szCs w:val="22"/>
        </w:rPr>
        <w:t xml:space="preserve"> </w:t>
      </w:r>
    </w:p>
    <w:p w:rsidRPr="006E15EA" w:rsidR="00417D66" w:rsidP="006C2ACC" w:rsidRDefault="00417D66" w14:paraId="76B3A98D" w14:textId="77777777">
      <w:pPr>
        <w:spacing w:line="360" w:lineRule="auto"/>
        <w:jc w:val="both"/>
        <w:rPr>
          <w:rFonts w:ascii="Palatino Linotype" w:hAnsi="Palatino Linotype" w:eastAsia="Batang" w:cs="Tahoma"/>
          <w:bCs/>
          <w:sz w:val="22"/>
          <w:szCs w:val="22"/>
        </w:rPr>
      </w:pPr>
    </w:p>
    <w:p w:rsidR="005D349B" w:rsidP="00D17825" w:rsidRDefault="00625DFB" w14:paraId="43A655EB" w14:textId="77777777">
      <w:pPr>
        <w:spacing w:line="360" w:lineRule="auto"/>
        <w:jc w:val="both"/>
        <w:rPr>
          <w:rFonts w:ascii="Palatino Linotype" w:hAnsi="Palatino Linotype" w:eastAsia="Batang" w:cs="Tahoma"/>
          <w:b/>
          <w:bCs/>
          <w:sz w:val="22"/>
          <w:szCs w:val="22"/>
          <w:lang w:val="es-ES_tradnl"/>
        </w:rPr>
      </w:pPr>
      <w:r w:rsidRPr="006E15EA">
        <w:rPr>
          <w:rFonts w:ascii="Palatino Linotype" w:hAnsi="Palatino Linotype" w:eastAsia="Batang" w:cs="Tahoma"/>
          <w:b/>
          <w:bCs/>
          <w:sz w:val="22"/>
          <w:szCs w:val="22"/>
        </w:rPr>
        <w:t>b</w:t>
      </w:r>
      <w:r w:rsidRPr="006E15EA" w:rsidR="009F46DC">
        <w:rPr>
          <w:rFonts w:ascii="Palatino Linotype" w:hAnsi="Palatino Linotype" w:eastAsia="Batang" w:cs="Tahoma"/>
          <w:b/>
          <w:bCs/>
          <w:sz w:val="22"/>
          <w:szCs w:val="22"/>
        </w:rPr>
        <w:t xml:space="preserve">) </w:t>
      </w:r>
      <w:r w:rsidRPr="006E15EA" w:rsidR="00B31222">
        <w:rPr>
          <w:rFonts w:ascii="Palatino Linotype" w:hAnsi="Palatino Linotype" w:eastAsia="Batang" w:cs="Tahoma"/>
          <w:b/>
          <w:bCs/>
          <w:sz w:val="22"/>
          <w:szCs w:val="22"/>
        </w:rPr>
        <w:t>Admisión del</w:t>
      </w:r>
      <w:r w:rsidRPr="006E15EA" w:rsidR="00AE489D">
        <w:rPr>
          <w:rFonts w:ascii="Palatino Linotype" w:hAnsi="Palatino Linotype" w:eastAsia="Batang" w:cs="Tahoma"/>
          <w:b/>
          <w:bCs/>
          <w:sz w:val="22"/>
          <w:szCs w:val="22"/>
        </w:rPr>
        <w:t xml:space="preserve"> </w:t>
      </w:r>
      <w:r w:rsidRPr="006E15EA" w:rsidR="00C459A9">
        <w:rPr>
          <w:rFonts w:ascii="Palatino Linotype" w:hAnsi="Palatino Linotype" w:cs="Tahoma"/>
          <w:b/>
          <w:sz w:val="22"/>
          <w:szCs w:val="22"/>
        </w:rPr>
        <w:t>Recurso de Revisión</w:t>
      </w:r>
      <w:r w:rsidRPr="006E15EA" w:rsidR="00B31222">
        <w:rPr>
          <w:rFonts w:ascii="Palatino Linotype" w:hAnsi="Palatino Linotype" w:eastAsia="Batang" w:cs="Tahoma"/>
          <w:b/>
          <w:bCs/>
          <w:sz w:val="22"/>
          <w:szCs w:val="22"/>
          <w:lang w:val="es-ES_tradnl"/>
        </w:rPr>
        <w:t xml:space="preserve">. </w:t>
      </w:r>
    </w:p>
    <w:p w:rsidR="005D349B" w:rsidP="00D17825" w:rsidRDefault="005D349B" w14:paraId="755C1CEA" w14:textId="77777777">
      <w:pPr>
        <w:spacing w:line="360" w:lineRule="auto"/>
        <w:jc w:val="both"/>
        <w:rPr>
          <w:rFonts w:ascii="Palatino Linotype" w:hAnsi="Palatino Linotype" w:eastAsia="Batang" w:cs="Tahoma"/>
          <w:b/>
          <w:bCs/>
          <w:sz w:val="22"/>
          <w:szCs w:val="22"/>
          <w:lang w:val="es-ES_tradnl"/>
        </w:rPr>
      </w:pPr>
    </w:p>
    <w:p w:rsidR="004C0800" w:rsidP="00AA76BC" w:rsidRDefault="00AA76BC" w14:paraId="0FD30384" w14:textId="1A886B3E">
      <w:pPr>
        <w:spacing w:line="360" w:lineRule="auto"/>
        <w:jc w:val="both"/>
        <w:rPr>
          <w:rFonts w:ascii="Palatino Linotype" w:hAnsi="Palatino Linotype" w:eastAsia="Batang" w:cs="Tahoma"/>
          <w:bCs/>
          <w:sz w:val="22"/>
          <w:szCs w:val="22"/>
          <w:lang w:val="es-ES_tradnl"/>
        </w:rPr>
      </w:pPr>
      <w:r>
        <w:rPr>
          <w:rFonts w:ascii="Palatino Linotype" w:hAnsi="Palatino Linotype" w:eastAsia="Batang" w:cs="Tahoma"/>
          <w:bCs/>
          <w:sz w:val="22"/>
          <w:szCs w:val="22"/>
          <w:lang w:val="es-ES_tradnl"/>
        </w:rPr>
        <w:t xml:space="preserve">El </w:t>
      </w:r>
      <w:r w:rsidR="00792C68">
        <w:rPr>
          <w:rFonts w:ascii="Palatino Linotype" w:hAnsi="Palatino Linotype" w:eastAsia="Batang" w:cs="Tahoma"/>
          <w:bCs/>
          <w:sz w:val="22"/>
          <w:szCs w:val="22"/>
          <w:lang w:val="es-ES_tradnl"/>
        </w:rPr>
        <w:t>ocho</w:t>
      </w:r>
      <w:r w:rsidR="00A35C23">
        <w:rPr>
          <w:rFonts w:ascii="Palatino Linotype" w:hAnsi="Palatino Linotype" w:eastAsia="Batang" w:cs="Tahoma"/>
          <w:bCs/>
          <w:sz w:val="22"/>
          <w:szCs w:val="22"/>
          <w:lang w:val="es-ES_tradnl"/>
        </w:rPr>
        <w:t xml:space="preserve"> de </w:t>
      </w:r>
      <w:r w:rsidR="00792C68">
        <w:rPr>
          <w:rFonts w:ascii="Palatino Linotype" w:hAnsi="Palatino Linotype" w:eastAsia="Batang" w:cs="Tahoma"/>
          <w:bCs/>
          <w:sz w:val="22"/>
          <w:szCs w:val="22"/>
          <w:lang w:val="es-ES_tradnl"/>
        </w:rPr>
        <w:t>marzo</w:t>
      </w:r>
      <w:r w:rsidR="00A35C23">
        <w:rPr>
          <w:rFonts w:ascii="Palatino Linotype" w:hAnsi="Palatino Linotype" w:eastAsia="Batang" w:cs="Tahoma"/>
          <w:bCs/>
          <w:sz w:val="22"/>
          <w:szCs w:val="22"/>
          <w:lang w:val="es-ES_tradnl"/>
        </w:rPr>
        <w:t xml:space="preserve"> de dos mil veint</w:t>
      </w:r>
      <w:r w:rsidR="00A507DD">
        <w:rPr>
          <w:rFonts w:ascii="Palatino Linotype" w:hAnsi="Palatino Linotype" w:eastAsia="Batang" w:cs="Tahoma"/>
          <w:bCs/>
          <w:sz w:val="22"/>
          <w:szCs w:val="22"/>
          <w:lang w:val="es-ES_tradnl"/>
        </w:rPr>
        <w:t>iuno</w:t>
      </w:r>
      <w:r w:rsidRPr="006E15EA" w:rsidR="00BE4843">
        <w:rPr>
          <w:rFonts w:ascii="Palatino Linotype" w:hAnsi="Palatino Linotype" w:eastAsia="Batang" w:cs="Tahoma"/>
          <w:bCs/>
          <w:sz w:val="22"/>
          <w:szCs w:val="22"/>
          <w:lang w:val="es-ES_tradnl"/>
        </w:rPr>
        <w:t xml:space="preserve">, se acordó la admisión del Recurso de Revisión interpuesto por </w:t>
      </w:r>
      <w:r w:rsidRPr="006E15EA" w:rsidR="00630F94">
        <w:rPr>
          <w:rFonts w:ascii="Palatino Linotype" w:hAnsi="Palatino Linotype" w:eastAsia="Batang" w:cs="Tahoma"/>
          <w:bCs/>
          <w:sz w:val="22"/>
          <w:szCs w:val="22"/>
          <w:lang w:val="es-ES_tradnl"/>
        </w:rPr>
        <w:t>el</w:t>
      </w:r>
      <w:r w:rsidRPr="006E15EA" w:rsidR="00BE4843">
        <w:rPr>
          <w:rFonts w:ascii="Palatino Linotype" w:hAnsi="Palatino Linotype" w:eastAsia="Batang" w:cs="Tahoma"/>
          <w:bCs/>
          <w:sz w:val="22"/>
          <w:szCs w:val="22"/>
          <w:lang w:val="es-ES_tradnl"/>
        </w:rPr>
        <w:t xml:space="preserve"> Recurrente en contra del </w:t>
      </w:r>
      <w:r w:rsidRPr="006E15EA" w:rsidR="00141895">
        <w:rPr>
          <w:rFonts w:ascii="Palatino Linotype" w:hAnsi="Palatino Linotype" w:eastAsia="Batang" w:cs="Tahoma"/>
          <w:bCs/>
          <w:sz w:val="22"/>
          <w:szCs w:val="22"/>
          <w:lang w:val="es-ES_tradnl"/>
        </w:rPr>
        <w:t>Sujeto Obligado</w:t>
      </w:r>
      <w:r w:rsidRPr="006E15EA" w:rsidR="00BE4843">
        <w:rPr>
          <w:rFonts w:ascii="Palatino Linotype" w:hAnsi="Palatino Linotype" w:eastAsia="Batang"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AA76BC" w:rsidR="00792C68" w:rsidP="00AA76BC" w:rsidRDefault="00792C68" w14:paraId="7E86D6A0" w14:textId="77777777">
      <w:pPr>
        <w:spacing w:line="360" w:lineRule="auto"/>
        <w:jc w:val="both"/>
        <w:rPr>
          <w:rFonts w:ascii="Palatino Linotype" w:hAnsi="Palatino Linotype" w:eastAsia="Batang" w:cs="Tahoma"/>
          <w:bCs/>
          <w:sz w:val="22"/>
          <w:szCs w:val="22"/>
          <w:lang w:val="es-ES_tradnl"/>
        </w:rPr>
      </w:pPr>
    </w:p>
    <w:p w:rsidRPr="00205439" w:rsidR="00792C68" w:rsidP="00792C68" w:rsidRDefault="00792C68" w14:paraId="031DBC18" w14:textId="77777777">
      <w:pPr>
        <w:spacing w:line="360" w:lineRule="auto"/>
        <w:jc w:val="both"/>
        <w:rPr>
          <w:rFonts w:ascii="Palatino Linotype" w:hAnsi="Palatino Linotype" w:eastAsia="Batang" w:cs="Tahoma"/>
          <w:bCs/>
          <w:sz w:val="24"/>
          <w:szCs w:val="22"/>
          <w:lang w:val="es-ES_tradnl"/>
        </w:rPr>
      </w:pPr>
      <w:r w:rsidRPr="00205439">
        <w:rPr>
          <w:rFonts w:ascii="Palatino Linotype" w:hAnsi="Palatino Linotype" w:cs="Tahoma"/>
          <w:b/>
          <w:bCs/>
          <w:sz w:val="22"/>
          <w:szCs w:val="22"/>
        </w:rPr>
        <w:t>Es de precisar que, transcurrido el plazo establecido, ni el Recurrente ni el Sujeto Obligado presentaron ningún tipo de manifestaciones o alegatos</w:t>
      </w:r>
      <w:r>
        <w:rPr>
          <w:rFonts w:ascii="Palatino Linotype" w:hAnsi="Palatino Linotype" w:cs="Tahoma"/>
          <w:b/>
          <w:bCs/>
          <w:sz w:val="22"/>
          <w:szCs w:val="22"/>
        </w:rPr>
        <w:t xml:space="preserve">. </w:t>
      </w:r>
    </w:p>
    <w:p w:rsidRPr="00EF665D" w:rsidR="001D7B82" w:rsidP="00EF665D" w:rsidRDefault="001D7B82" w14:paraId="094F2031" w14:textId="585A7FC9">
      <w:pPr>
        <w:widowControl w:val="0"/>
        <w:spacing w:line="360" w:lineRule="auto"/>
        <w:jc w:val="both"/>
        <w:rPr>
          <w:rFonts w:ascii="Palatino Linotype" w:hAnsi="Palatino Linotype" w:cs="Tahoma"/>
          <w:b/>
          <w:bCs/>
          <w:iCs/>
          <w:sz w:val="22"/>
          <w:szCs w:val="22"/>
          <w:lang w:val="es-ES"/>
        </w:rPr>
      </w:pPr>
    </w:p>
    <w:p w:rsidR="001D7B82" w:rsidP="006C2ACC" w:rsidRDefault="007013CB" w14:paraId="210F7D55" w14:textId="36668711">
      <w:pPr>
        <w:spacing w:line="360" w:lineRule="auto"/>
        <w:jc w:val="both"/>
        <w:rPr>
          <w:rFonts w:ascii="Palatino Linotype" w:hAnsi="Palatino Linotype" w:cs="Tahoma"/>
          <w:sz w:val="22"/>
          <w:szCs w:val="22"/>
        </w:rPr>
      </w:pPr>
      <w:r>
        <w:rPr>
          <w:rFonts w:ascii="Palatino Linotype" w:hAnsi="Palatino Linotype" w:cs="Tahoma"/>
          <w:b/>
          <w:sz w:val="22"/>
          <w:szCs w:val="22"/>
        </w:rPr>
        <w:t>f</w:t>
      </w:r>
      <w:r w:rsidRPr="006E15EA" w:rsidR="00991FA0">
        <w:rPr>
          <w:rFonts w:ascii="Palatino Linotype" w:hAnsi="Palatino Linotype" w:cs="Tahoma"/>
          <w:b/>
          <w:sz w:val="22"/>
          <w:szCs w:val="22"/>
        </w:rPr>
        <w:t xml:space="preserve">) </w:t>
      </w:r>
      <w:r w:rsidRPr="006E15EA" w:rsidR="00B31222">
        <w:rPr>
          <w:rFonts w:ascii="Palatino Linotype" w:hAnsi="Palatino Linotype" w:cs="Tahoma"/>
          <w:b/>
          <w:sz w:val="22"/>
          <w:szCs w:val="22"/>
        </w:rPr>
        <w:t>Cierre de instrucción</w:t>
      </w:r>
      <w:r w:rsidRPr="006E15EA" w:rsidR="008E5077">
        <w:rPr>
          <w:rFonts w:ascii="Palatino Linotype" w:hAnsi="Palatino Linotype" w:cs="Tahoma"/>
          <w:b/>
          <w:sz w:val="22"/>
          <w:szCs w:val="22"/>
        </w:rPr>
        <w:t>.</w:t>
      </w:r>
      <w:r w:rsidRPr="006E15EA" w:rsidR="00B31222">
        <w:rPr>
          <w:rFonts w:ascii="Palatino Linotype" w:hAnsi="Palatino Linotype" w:cs="Tahoma"/>
          <w:sz w:val="22"/>
          <w:szCs w:val="22"/>
        </w:rPr>
        <w:t xml:space="preserve"> </w:t>
      </w:r>
    </w:p>
    <w:p w:rsidRPr="007013CB" w:rsidR="007013CB" w:rsidP="006C2ACC" w:rsidRDefault="007013CB" w14:paraId="16586A20" w14:textId="77777777">
      <w:pPr>
        <w:spacing w:line="360" w:lineRule="auto"/>
        <w:jc w:val="both"/>
        <w:rPr>
          <w:rFonts w:ascii="Palatino Linotype" w:hAnsi="Palatino Linotype" w:cs="Tahoma"/>
          <w:sz w:val="22"/>
          <w:szCs w:val="22"/>
        </w:rPr>
      </w:pPr>
    </w:p>
    <w:p w:rsidRPr="006C2ACC" w:rsidR="006C2ACC" w:rsidP="006C2ACC" w:rsidRDefault="006C2ACC" w14:paraId="1B4BBA95" w14:textId="05FBC813">
      <w:pPr>
        <w:spacing w:line="360" w:lineRule="auto"/>
        <w:jc w:val="both"/>
        <w:rPr>
          <w:rFonts w:ascii="Palatino Linotype" w:hAnsi="Palatino Linotype" w:cs="Tahoma"/>
          <w:b/>
          <w:sz w:val="22"/>
          <w:szCs w:val="22"/>
        </w:rPr>
      </w:pPr>
      <w:r w:rsidRPr="00792C68">
        <w:rPr>
          <w:rFonts w:ascii="Palatino Linotype" w:hAnsi="Palatino Linotype" w:cs="Tahoma"/>
          <w:sz w:val="22"/>
          <w:szCs w:val="22"/>
        </w:rPr>
        <w:t xml:space="preserve">Con fecha </w:t>
      </w:r>
      <w:r w:rsidR="00792C68">
        <w:rPr>
          <w:rFonts w:ascii="Palatino Linotype" w:hAnsi="Palatino Linotype" w:cs="Tahoma"/>
          <w:sz w:val="22"/>
          <w:szCs w:val="22"/>
        </w:rPr>
        <w:t>diecinueve</w:t>
      </w:r>
      <w:r w:rsidRPr="00792C68">
        <w:rPr>
          <w:rFonts w:ascii="Palatino Linotype" w:hAnsi="Palatino Linotype" w:cs="Tahoma"/>
          <w:sz w:val="22"/>
          <w:szCs w:val="22"/>
        </w:rPr>
        <w:t xml:space="preserve"> de </w:t>
      </w:r>
      <w:r w:rsidR="00792C68">
        <w:rPr>
          <w:rFonts w:ascii="Palatino Linotype" w:hAnsi="Palatino Linotype" w:cs="Tahoma"/>
          <w:sz w:val="22"/>
          <w:szCs w:val="22"/>
        </w:rPr>
        <w:t>abril</w:t>
      </w:r>
      <w:r w:rsidRPr="00792C68">
        <w:rPr>
          <w:rFonts w:ascii="Palatino Linotype" w:hAnsi="Palatino Linotype" w:cs="Tahoma"/>
          <w:sz w:val="22"/>
          <w:szCs w:val="22"/>
        </w:rPr>
        <w:t xml:space="preserve"> de dos mil </w:t>
      </w:r>
      <w:r w:rsidRPr="00792C68" w:rsidR="00674998">
        <w:rPr>
          <w:rFonts w:ascii="Palatino Linotype" w:hAnsi="Palatino Linotype" w:cs="Tahoma"/>
          <w:sz w:val="22"/>
          <w:szCs w:val="22"/>
        </w:rPr>
        <w:t>veintiuno</w:t>
      </w:r>
      <w:r w:rsidRPr="00792C68">
        <w:rPr>
          <w:rFonts w:ascii="Palatino Linotype" w:hAnsi="Palatino Linotype" w:cs="Tahoma"/>
          <w:sz w:val="22"/>
          <w:szCs w:val="22"/>
        </w:rPr>
        <w:t>, al no</w:t>
      </w:r>
      <w:r w:rsidRPr="006C2ACC">
        <w:rPr>
          <w:rFonts w:ascii="Palatino Linotype" w:hAnsi="Palatino Linotype" w:cs="Tahoma"/>
          <w:sz w:val="22"/>
          <w:szCs w:val="22"/>
        </w:rPr>
        <w:t xml:space="preserve">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w:t>
      </w:r>
      <w:r w:rsidRPr="006C2ACC">
        <w:rPr>
          <w:rFonts w:ascii="Palatino Linotype" w:hAnsi="Palatino Linotype" w:cs="Tahoma"/>
          <w:sz w:val="22"/>
          <w:szCs w:val="22"/>
        </w:rPr>
        <w:lastRenderedPageBreak/>
        <w:t xml:space="preserve">de México y Municipios, mismo que fue notificado a las partes el mismo día, a través del </w:t>
      </w:r>
      <w:r w:rsidRPr="006C2ACC">
        <w:rPr>
          <w:rFonts w:ascii="Palatino Linotype" w:hAnsi="Palatino Linotype" w:cs="Tahoma"/>
          <w:sz w:val="22"/>
          <w:szCs w:val="22"/>
          <w:lang w:val="es-ES"/>
        </w:rPr>
        <w:t>Sistema de Acceso a la Información Mexiquense (SAIMEX)</w:t>
      </w:r>
      <w:r w:rsidRPr="006C2ACC">
        <w:rPr>
          <w:rFonts w:ascii="Palatino Linotype" w:hAnsi="Palatino Linotype" w:cs="Tahoma"/>
          <w:sz w:val="22"/>
          <w:szCs w:val="22"/>
        </w:rPr>
        <w:t>.</w:t>
      </w:r>
    </w:p>
    <w:p w:rsidRPr="006C2ACC" w:rsidR="006C2ACC" w:rsidP="006C2ACC" w:rsidRDefault="006C2ACC" w14:paraId="4341A7C4" w14:textId="77777777">
      <w:pPr>
        <w:spacing w:line="360" w:lineRule="auto"/>
        <w:jc w:val="both"/>
        <w:rPr>
          <w:rFonts w:ascii="Palatino Linotype" w:hAnsi="Palatino Linotype" w:cs="Tahoma"/>
          <w:sz w:val="22"/>
          <w:szCs w:val="22"/>
          <w:lang w:val="es-ES"/>
        </w:rPr>
      </w:pPr>
    </w:p>
    <w:p w:rsidR="00A56F39" w:rsidP="006C2ACC" w:rsidRDefault="006C2ACC" w14:paraId="756E90A0" w14:textId="04967D13">
      <w:pPr>
        <w:spacing w:line="360" w:lineRule="auto"/>
        <w:jc w:val="both"/>
        <w:rPr>
          <w:rFonts w:ascii="Palatino Linotype" w:hAnsi="Palatino Linotype" w:cs="Tahoma"/>
          <w:color w:val="000000"/>
          <w:sz w:val="22"/>
          <w:szCs w:val="22"/>
        </w:rPr>
      </w:pPr>
      <w:r w:rsidRPr="006C2ACC">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Pr="006C2ACC" w:rsidR="000678EA" w:rsidP="006C2ACC" w:rsidRDefault="000678EA" w14:paraId="1C48FDC6" w14:textId="77777777">
      <w:pPr>
        <w:spacing w:line="360" w:lineRule="auto"/>
        <w:jc w:val="both"/>
        <w:rPr>
          <w:rFonts w:ascii="Palatino Linotype" w:hAnsi="Palatino Linotype" w:cs="Tahoma"/>
          <w:color w:val="000000"/>
          <w:sz w:val="22"/>
          <w:szCs w:val="22"/>
        </w:rPr>
      </w:pPr>
    </w:p>
    <w:p w:rsidRPr="006E15EA" w:rsidR="004F2D88" w:rsidP="00D17825" w:rsidRDefault="009A620E" w14:paraId="2DAF3859" w14:textId="77777777">
      <w:pPr>
        <w:spacing w:line="360" w:lineRule="auto"/>
        <w:jc w:val="center"/>
        <w:rPr>
          <w:rFonts w:ascii="Palatino Linotype" w:hAnsi="Palatino Linotype" w:cs="Tahoma"/>
          <w:b/>
          <w:sz w:val="22"/>
          <w:szCs w:val="22"/>
          <w:lang w:val="es-ES"/>
        </w:rPr>
      </w:pPr>
      <w:r w:rsidRPr="006E15EA">
        <w:rPr>
          <w:rFonts w:ascii="Palatino Linotype" w:hAnsi="Palatino Linotype" w:cs="Tahoma"/>
          <w:b/>
          <w:sz w:val="22"/>
          <w:szCs w:val="22"/>
          <w:lang w:val="es-ES"/>
        </w:rPr>
        <w:t>CONSIDERANDOS</w:t>
      </w:r>
    </w:p>
    <w:p w:rsidRPr="006E15EA" w:rsidR="004F2D88" w:rsidP="00D17825" w:rsidRDefault="004F2D88" w14:paraId="361174D7" w14:textId="77777777">
      <w:pPr>
        <w:spacing w:line="360" w:lineRule="auto"/>
        <w:rPr>
          <w:rFonts w:ascii="Palatino Linotype" w:hAnsi="Palatino Linotype" w:cs="Tahoma"/>
          <w:b/>
          <w:sz w:val="22"/>
          <w:szCs w:val="22"/>
          <w:lang w:val="es-ES"/>
        </w:rPr>
      </w:pPr>
    </w:p>
    <w:p w:rsidR="00B727C5" w:rsidP="00D17825" w:rsidRDefault="00B64641" w14:paraId="0CFE3BA2" w14:textId="49C1743D">
      <w:pPr>
        <w:autoSpaceDE w:val="0"/>
        <w:autoSpaceDN w:val="0"/>
        <w:adjustRightInd w:val="0"/>
        <w:spacing w:line="360" w:lineRule="auto"/>
        <w:jc w:val="both"/>
        <w:rPr>
          <w:rFonts w:ascii="Palatino Linotype" w:hAnsi="Palatino Linotype" w:cs="Tahoma"/>
          <w:b/>
          <w:sz w:val="22"/>
          <w:szCs w:val="22"/>
          <w:lang w:val="es-ES"/>
        </w:rPr>
      </w:pPr>
      <w:r w:rsidRPr="006E15EA">
        <w:rPr>
          <w:rFonts w:ascii="Palatino Linotype" w:hAnsi="Palatino Linotype" w:eastAsia="Calibri" w:cs="Tahoma"/>
          <w:b/>
          <w:color w:val="000000"/>
          <w:sz w:val="22"/>
          <w:szCs w:val="22"/>
          <w:lang w:val="es-ES" w:eastAsia="es-MX"/>
        </w:rPr>
        <w:t>PRIMER</w:t>
      </w:r>
      <w:r w:rsidRPr="006E15EA" w:rsidR="002241A6">
        <w:rPr>
          <w:rFonts w:ascii="Palatino Linotype" w:hAnsi="Palatino Linotype" w:eastAsia="Calibri" w:cs="Tahoma"/>
          <w:b/>
          <w:color w:val="000000"/>
          <w:sz w:val="22"/>
          <w:szCs w:val="22"/>
          <w:lang w:val="es-ES" w:eastAsia="es-MX"/>
        </w:rPr>
        <w:t>O</w:t>
      </w:r>
      <w:r w:rsidRPr="006E15EA">
        <w:rPr>
          <w:rFonts w:ascii="Palatino Linotype" w:hAnsi="Palatino Linotype" w:eastAsia="Calibri" w:cs="Tahoma"/>
          <w:color w:val="000000"/>
          <w:sz w:val="22"/>
          <w:szCs w:val="22"/>
          <w:lang w:val="es-ES" w:eastAsia="es-MX"/>
        </w:rPr>
        <w:t xml:space="preserve">. </w:t>
      </w:r>
      <w:r w:rsidRPr="006E15EA">
        <w:rPr>
          <w:rFonts w:ascii="Palatino Linotype" w:hAnsi="Palatino Linotype" w:cs="Tahoma"/>
          <w:b/>
          <w:sz w:val="22"/>
          <w:szCs w:val="22"/>
          <w:lang w:val="es-ES"/>
        </w:rPr>
        <w:t>Competencia.</w:t>
      </w:r>
    </w:p>
    <w:p w:rsidRPr="006C2ACC" w:rsidR="006C2ACC" w:rsidP="00D17825" w:rsidRDefault="006C2ACC" w14:paraId="1D951963" w14:textId="77777777">
      <w:pPr>
        <w:autoSpaceDE w:val="0"/>
        <w:autoSpaceDN w:val="0"/>
        <w:adjustRightInd w:val="0"/>
        <w:spacing w:line="360" w:lineRule="auto"/>
        <w:jc w:val="both"/>
        <w:rPr>
          <w:rFonts w:ascii="Palatino Linotype" w:hAnsi="Palatino Linotype" w:cs="Tahoma"/>
          <w:b/>
          <w:sz w:val="22"/>
          <w:szCs w:val="22"/>
          <w:lang w:val="es-ES"/>
        </w:rPr>
      </w:pPr>
    </w:p>
    <w:p w:rsidR="00BB545D" w:rsidP="00D17825" w:rsidRDefault="00CD1770" w14:paraId="5FD5216B" w14:textId="620E4067">
      <w:pPr>
        <w:spacing w:line="360" w:lineRule="auto"/>
        <w:jc w:val="both"/>
        <w:rPr>
          <w:rFonts w:ascii="Palatino Linotype" w:hAnsi="Palatino Linotype" w:cs="Tahoma"/>
          <w:sz w:val="22"/>
          <w:szCs w:val="22"/>
          <w:shd w:val="clear" w:color="auto" w:fill="FFFFFF"/>
        </w:rPr>
      </w:pPr>
      <w:r w:rsidRPr="006E15EA">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w:t>
      </w:r>
      <w:r w:rsidRPr="006E15EA" w:rsidR="005B290B">
        <w:rPr>
          <w:rFonts w:ascii="Palatino Linotype" w:hAnsi="Palatino Linotype" w:cs="Tahoma"/>
          <w:sz w:val="22"/>
          <w:szCs w:val="22"/>
          <w:shd w:val="clear" w:color="auto" w:fill="FFFFFF"/>
        </w:rPr>
        <w:t>conocer y resolver el presente Recurso de R</w:t>
      </w:r>
      <w:r w:rsidRPr="006E15EA">
        <w:rPr>
          <w:rFonts w:ascii="Palatino Linotype" w:hAnsi="Palatino Linotype" w:cs="Tahoma"/>
          <w:sz w:val="22"/>
          <w:szCs w:val="22"/>
          <w:shd w:val="clear" w:color="auto" w:fill="FFFFFF"/>
        </w:rPr>
        <w:t>evisión interpuesto por la parte recurrente, conforme a lo dispuesto en los artículos 6°, apartado A de la Constitución Política de los Estados Unidos Mexicanos; 5°, párrafos vigésimo</w:t>
      </w:r>
      <w:r w:rsidRPr="006E15EA" w:rsidR="0054404F">
        <w:rPr>
          <w:rFonts w:ascii="Palatino Linotype" w:hAnsi="Palatino Linotype" w:cs="Tahoma"/>
          <w:sz w:val="22"/>
          <w:szCs w:val="22"/>
          <w:shd w:val="clear" w:color="auto" w:fill="FFFFFF"/>
        </w:rPr>
        <w:t xml:space="preserve"> segundo</w:t>
      </w:r>
      <w:r w:rsidRPr="006E15EA">
        <w:rPr>
          <w:rFonts w:ascii="Palatino Linotype" w:hAnsi="Palatino Linotype" w:cs="Tahoma"/>
          <w:sz w:val="22"/>
          <w:szCs w:val="22"/>
          <w:shd w:val="clear" w:color="auto" w:fill="FFFFFF"/>
        </w:rPr>
        <w:t xml:space="preserve">, vigésimo </w:t>
      </w:r>
      <w:r w:rsidRPr="006E15EA" w:rsidR="0054404F">
        <w:rPr>
          <w:rFonts w:ascii="Palatino Linotype" w:hAnsi="Palatino Linotype" w:cs="Tahoma"/>
          <w:sz w:val="22"/>
          <w:szCs w:val="22"/>
          <w:shd w:val="clear" w:color="auto" w:fill="FFFFFF"/>
        </w:rPr>
        <w:t>tercero</w:t>
      </w:r>
      <w:r w:rsidRPr="006E15EA">
        <w:rPr>
          <w:rFonts w:ascii="Palatino Linotype" w:hAnsi="Palatino Linotype" w:cs="Tahoma"/>
          <w:sz w:val="22"/>
          <w:szCs w:val="22"/>
          <w:shd w:val="clear" w:color="auto" w:fill="FFFFFF"/>
        </w:rPr>
        <w:t xml:space="preserve"> y vigésimo </w:t>
      </w:r>
      <w:r w:rsidRPr="006E15EA" w:rsidR="0054404F">
        <w:rPr>
          <w:rFonts w:ascii="Palatino Linotype" w:hAnsi="Palatino Linotype" w:cs="Tahoma"/>
          <w:sz w:val="22"/>
          <w:szCs w:val="22"/>
          <w:shd w:val="clear" w:color="auto" w:fill="FFFFFF"/>
        </w:rPr>
        <w:t>cuarto</w:t>
      </w:r>
      <w:r w:rsidRPr="006E15EA">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6E15EA">
        <w:rPr>
          <w:rStyle w:val="apple-converted-space"/>
          <w:rFonts w:ascii="Palatino Linotype" w:hAnsi="Palatino Linotype" w:cs="Tahoma"/>
          <w:sz w:val="22"/>
          <w:szCs w:val="22"/>
          <w:shd w:val="clear" w:color="auto" w:fill="FFFFFF"/>
        </w:rPr>
        <w:t xml:space="preserve"> 7°, </w:t>
      </w:r>
      <w:r w:rsidRPr="006E15EA">
        <w:rPr>
          <w:rFonts w:ascii="Palatino Linotype" w:hAnsi="Palatino Linotype" w:cs="Tahoma"/>
          <w:sz w:val="22"/>
          <w:szCs w:val="22"/>
        </w:rPr>
        <w:t xml:space="preserve">9°, fracciones I y XXIV y 11 </w:t>
      </w:r>
      <w:r w:rsidRPr="006E15EA">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004C0800" w:rsidP="00D17825" w:rsidRDefault="004C0800" w14:paraId="57C993BF" w14:textId="77777777">
      <w:pPr>
        <w:spacing w:line="360" w:lineRule="auto"/>
        <w:jc w:val="both"/>
        <w:rPr>
          <w:rFonts w:ascii="Palatino Linotype" w:hAnsi="Palatino Linotype" w:cs="Tahoma"/>
          <w:sz w:val="22"/>
          <w:szCs w:val="22"/>
          <w:shd w:val="clear" w:color="auto" w:fill="FFFFFF"/>
        </w:rPr>
      </w:pPr>
    </w:p>
    <w:p w:rsidRPr="003A3A5A" w:rsidR="003A3A5A" w:rsidP="003A3A5A" w:rsidRDefault="003A3A5A" w14:paraId="2FCFA477" w14:textId="77777777">
      <w:pPr>
        <w:spacing w:line="360" w:lineRule="auto"/>
        <w:jc w:val="both"/>
        <w:rPr>
          <w:rFonts w:ascii="Palatino Linotype" w:hAnsi="Palatino Linotype" w:cs="Tahoma"/>
          <w:sz w:val="22"/>
          <w:szCs w:val="22"/>
          <w:shd w:val="clear" w:color="auto" w:fill="FFFFFF"/>
          <w:lang w:val="es-ES"/>
        </w:rPr>
      </w:pPr>
      <w:r w:rsidRPr="003A3A5A">
        <w:rPr>
          <w:rFonts w:ascii="Palatino Linotype" w:hAnsi="Palatino Linotype" w:cs="Tahoma"/>
          <w:b/>
          <w:sz w:val="22"/>
          <w:szCs w:val="22"/>
          <w:shd w:val="clear" w:color="auto" w:fill="FFFFFF"/>
          <w:lang w:val="es-ES"/>
        </w:rPr>
        <w:t>SEGUNDO</w:t>
      </w:r>
      <w:r w:rsidRPr="003A3A5A">
        <w:rPr>
          <w:rFonts w:ascii="Palatino Linotype" w:hAnsi="Palatino Linotype" w:cs="Tahoma"/>
          <w:sz w:val="22"/>
          <w:szCs w:val="22"/>
          <w:shd w:val="clear" w:color="auto" w:fill="FFFFFF"/>
          <w:lang w:val="es-ES"/>
        </w:rPr>
        <w:t xml:space="preserve">. </w:t>
      </w:r>
      <w:r w:rsidRPr="003A3A5A">
        <w:rPr>
          <w:rFonts w:ascii="Palatino Linotype" w:hAnsi="Palatino Linotype" w:cs="Tahoma"/>
          <w:b/>
          <w:sz w:val="22"/>
          <w:szCs w:val="22"/>
          <w:shd w:val="clear" w:color="auto" w:fill="FFFFFF"/>
          <w:lang w:val="es-ES"/>
        </w:rPr>
        <w:t>Metodología de estudio.</w:t>
      </w:r>
    </w:p>
    <w:p w:rsidRPr="003A3A5A" w:rsidR="003A3A5A" w:rsidP="003A3A5A" w:rsidRDefault="003A3A5A" w14:paraId="4BE52A0B" w14:textId="77777777">
      <w:pPr>
        <w:spacing w:line="360" w:lineRule="auto"/>
        <w:jc w:val="both"/>
        <w:rPr>
          <w:rFonts w:ascii="Palatino Linotype" w:hAnsi="Palatino Linotype" w:cs="Tahoma"/>
          <w:sz w:val="22"/>
          <w:szCs w:val="22"/>
          <w:shd w:val="clear" w:color="auto" w:fill="FFFFFF"/>
          <w:lang w:val="es-ES"/>
        </w:rPr>
      </w:pPr>
    </w:p>
    <w:p w:rsidR="003A3A5A" w:rsidP="003A3A5A" w:rsidRDefault="003A3A5A" w14:paraId="33EA5887" w14:textId="52467469">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3A3A5A" w:rsidR="00674998" w:rsidP="003A3A5A" w:rsidRDefault="00674998" w14:paraId="73ECCF56" w14:textId="77777777">
      <w:pPr>
        <w:spacing w:line="360" w:lineRule="auto"/>
        <w:jc w:val="both"/>
        <w:rPr>
          <w:rFonts w:ascii="Palatino Linotype" w:hAnsi="Palatino Linotype" w:cs="Tahoma"/>
          <w:sz w:val="22"/>
          <w:szCs w:val="22"/>
          <w:shd w:val="clear" w:color="auto" w:fill="FFFFFF"/>
        </w:rPr>
      </w:pPr>
    </w:p>
    <w:p w:rsidRPr="003A3A5A" w:rsidR="003A3A5A" w:rsidP="003A3A5A" w:rsidRDefault="003A3A5A" w14:paraId="4052F73A" w14:textId="77777777">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En el presente caso, </w:t>
      </w:r>
      <w:r w:rsidRPr="003A3A5A">
        <w:rPr>
          <w:rFonts w:ascii="Palatino Linotype" w:hAnsi="Palatino Linotype" w:cs="Tahoma"/>
          <w:b/>
          <w:bCs/>
          <w:sz w:val="22"/>
          <w:szCs w:val="22"/>
          <w:shd w:val="clear" w:color="auto" w:fill="FFFFFF"/>
        </w:rPr>
        <w:t>no se actualiza ninguna de las causales de improcedencia</w:t>
      </w:r>
      <w:r w:rsidRPr="003A3A5A">
        <w:rPr>
          <w:rFonts w:ascii="Palatino Linotype" w:hAnsi="Palatino Linotype" w:cs="Tahoma"/>
          <w:sz w:val="22"/>
          <w:szCs w:val="22"/>
          <w:shd w:val="clear" w:color="auto" w:fill="FFFFFF"/>
        </w:rPr>
        <w:t>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3A3A5A" w:rsidR="003A3A5A" w:rsidP="003A3A5A" w:rsidRDefault="003A3A5A" w14:paraId="76FC8169" w14:textId="16F29CD4">
      <w:pPr>
        <w:spacing w:line="360" w:lineRule="auto"/>
        <w:jc w:val="both"/>
        <w:rPr>
          <w:rFonts w:ascii="Palatino Linotype" w:hAnsi="Palatino Linotype" w:cs="Tahoma"/>
          <w:sz w:val="22"/>
          <w:szCs w:val="22"/>
          <w:shd w:val="clear" w:color="auto" w:fill="FFFFFF"/>
          <w:lang w:val="es-ES"/>
        </w:rPr>
      </w:pPr>
      <w:r w:rsidRPr="003A3A5A">
        <w:rPr>
          <w:rFonts w:ascii="Palatino Linotype" w:hAnsi="Palatino Linotype" w:cs="Tahoma"/>
          <w:sz w:val="22"/>
          <w:szCs w:val="22"/>
          <w:shd w:val="clear" w:color="auto" w:fill="FFFFFF"/>
          <w:lang w:val="es-ES"/>
        </w:rPr>
        <w:t> </w:t>
      </w:r>
    </w:p>
    <w:p w:rsidRPr="003A3A5A" w:rsidR="003A3A5A" w:rsidP="003A3A5A" w:rsidRDefault="003A3A5A" w14:paraId="4FFD9F91" w14:textId="77777777">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b/>
          <w:bCs/>
          <w:sz w:val="22"/>
          <w:szCs w:val="22"/>
          <w:shd w:val="clear" w:color="auto" w:fill="FFFFFF"/>
        </w:rPr>
        <w:t>Causales de sobreseimiento.</w:t>
      </w:r>
    </w:p>
    <w:p w:rsidRPr="003A3A5A" w:rsidR="003A3A5A" w:rsidP="003A3A5A" w:rsidRDefault="003A3A5A" w14:paraId="4FDF526B" w14:textId="77777777">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 </w:t>
      </w:r>
    </w:p>
    <w:p w:rsidRPr="003A3A5A" w:rsidR="003A3A5A" w:rsidP="003A3A5A" w:rsidRDefault="003A3A5A" w14:paraId="4569BD6B" w14:textId="77777777">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Por ser de previo y especial pronunciamiento, este Instituto analiza si se actualiza alguna causal de sobreseimiento.</w:t>
      </w:r>
    </w:p>
    <w:p w:rsidRPr="003A3A5A" w:rsidR="003A3A5A" w:rsidP="003A3A5A" w:rsidRDefault="003A3A5A" w14:paraId="049496F4" w14:textId="77777777">
      <w:pPr>
        <w:spacing w:line="360" w:lineRule="auto"/>
        <w:jc w:val="both"/>
        <w:rPr>
          <w:rFonts w:ascii="Palatino Linotype" w:hAnsi="Palatino Linotype" w:cs="Tahoma"/>
          <w:sz w:val="22"/>
          <w:szCs w:val="22"/>
          <w:shd w:val="clear" w:color="auto" w:fill="FFFFFF"/>
        </w:rPr>
      </w:pPr>
    </w:p>
    <w:p w:rsidRPr="00056D2E" w:rsidR="003A3A5A" w:rsidP="003A3A5A" w:rsidRDefault="003A3A5A" w14:paraId="01A7A860" w14:textId="2D03BBFB">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w:t>
      </w:r>
      <w:r w:rsidRPr="003A3A5A">
        <w:rPr>
          <w:rFonts w:ascii="Palatino Linotype" w:hAnsi="Palatino Linotype" w:cs="Tahoma"/>
          <w:sz w:val="22"/>
          <w:szCs w:val="22"/>
          <w:shd w:val="clear" w:color="auto" w:fill="FFFFFF"/>
        </w:rPr>
        <w:lastRenderedPageBreak/>
        <w:t xml:space="preserve">en el expediente en que se actúa, de que el Recurrente se haya desistido del recurso, haya fallecido, sobreviniera alguna causal de improcedencia, que el Sujeto Obligado hubiese modificado o revocado el acto impugnado o </w:t>
      </w:r>
      <w:r w:rsidR="00056D2E">
        <w:rPr>
          <w:rFonts w:ascii="Palatino Linotype" w:hAnsi="Palatino Linotype" w:cs="Tahoma"/>
          <w:sz w:val="22"/>
          <w:szCs w:val="22"/>
          <w:shd w:val="clear" w:color="auto" w:fill="FFFFFF"/>
        </w:rPr>
        <w:t>bien, haya quedado sin materia.</w:t>
      </w:r>
    </w:p>
    <w:p w:rsidR="003A3A5A" w:rsidP="00D17825" w:rsidRDefault="003A3A5A" w14:paraId="2EBE75BB" w14:textId="1A9CAFC4">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En ese orden de ideas, toda vez que no ha quedado por completo sin materia el Recurso de Revisión, se considera procedente entrar al fondo del presente asunto, al no quedar sin materia.</w:t>
      </w:r>
    </w:p>
    <w:p w:rsidRPr="00FE7D9A" w:rsidR="00374D97" w:rsidP="00D17825" w:rsidRDefault="00374D97" w14:paraId="080FAA7A" w14:textId="77777777">
      <w:pPr>
        <w:spacing w:line="360" w:lineRule="auto"/>
        <w:jc w:val="both"/>
        <w:rPr>
          <w:rFonts w:ascii="Palatino Linotype" w:hAnsi="Palatino Linotype" w:cs="Tahoma"/>
          <w:b/>
          <w:sz w:val="22"/>
          <w:szCs w:val="22"/>
          <w:shd w:val="clear" w:color="auto" w:fill="FFFFFF"/>
          <w:lang w:val="es-ES"/>
        </w:rPr>
      </w:pPr>
    </w:p>
    <w:p w:rsidR="003A3A5A" w:rsidP="003A3A5A" w:rsidRDefault="003A3A5A" w14:paraId="75C2BDF4" w14:textId="5D2AB4E8">
      <w:pPr>
        <w:spacing w:line="360" w:lineRule="auto"/>
        <w:jc w:val="both"/>
        <w:rPr>
          <w:rFonts w:ascii="Palatino Linotype" w:hAnsi="Palatino Linotype" w:cs="Tahoma"/>
          <w:b/>
          <w:iCs/>
          <w:sz w:val="22"/>
          <w:szCs w:val="22"/>
          <w:shd w:val="clear" w:color="auto" w:fill="FFFFFF"/>
          <w:lang w:val="es-ES"/>
        </w:rPr>
      </w:pPr>
      <w:r w:rsidRPr="003A3A5A">
        <w:rPr>
          <w:rFonts w:ascii="Palatino Linotype" w:hAnsi="Palatino Linotype" w:cs="Tahoma"/>
          <w:b/>
          <w:iCs/>
          <w:sz w:val="22"/>
          <w:szCs w:val="22"/>
          <w:shd w:val="clear" w:color="auto" w:fill="FFFFFF"/>
          <w:lang w:val="es-ES"/>
        </w:rPr>
        <w:t xml:space="preserve">TERCERO. Determinación de la Controversia. </w:t>
      </w:r>
    </w:p>
    <w:p w:rsidRPr="003A3A5A" w:rsidR="00792C68" w:rsidP="003A3A5A" w:rsidRDefault="00792C68" w14:paraId="4A6B1B4C" w14:textId="77777777">
      <w:pPr>
        <w:spacing w:line="360" w:lineRule="auto"/>
        <w:jc w:val="both"/>
        <w:rPr>
          <w:rFonts w:ascii="Palatino Linotype" w:hAnsi="Palatino Linotype" w:cs="Tahoma"/>
          <w:b/>
          <w:iCs/>
          <w:sz w:val="22"/>
          <w:szCs w:val="22"/>
          <w:shd w:val="clear" w:color="auto" w:fill="FFFFFF"/>
          <w:lang w:val="es-ES"/>
        </w:rPr>
      </w:pPr>
    </w:p>
    <w:p w:rsidR="00374D97" w:rsidP="00B33D0A" w:rsidRDefault="003A3A5A" w14:paraId="3CD78721" w14:textId="2018AC4C">
      <w:pPr>
        <w:spacing w:line="360" w:lineRule="auto"/>
        <w:jc w:val="both"/>
        <w:rPr>
          <w:rFonts w:ascii="Palatino Linotype" w:hAnsi="Palatino Linotype" w:cs="Tahoma"/>
          <w:bCs/>
          <w:iCs/>
          <w:sz w:val="22"/>
          <w:szCs w:val="22"/>
          <w:u w:val="single"/>
          <w:shd w:val="clear" w:color="auto" w:fill="FFFFFF"/>
        </w:rPr>
      </w:pPr>
      <w:r w:rsidRPr="003A3A5A">
        <w:rPr>
          <w:rFonts w:ascii="Palatino Linotype" w:hAnsi="Palatino Linotype" w:cs="Tahoma"/>
          <w:iCs/>
          <w:sz w:val="22"/>
          <w:szCs w:val="22"/>
          <w:shd w:val="clear" w:color="auto" w:fill="FFFFFF"/>
          <w:lang w:val="es-ES"/>
        </w:rPr>
        <w:t xml:space="preserve">Una vez realizado el estudio de las constancias que integran el expediente en que se actúa, se desprende que el Particular, solicitó </w:t>
      </w:r>
      <w:r w:rsidRPr="00140643" w:rsidR="00140643">
        <w:rPr>
          <w:rFonts w:ascii="Palatino Linotype" w:hAnsi="Palatino Linotype" w:cs="Tahoma"/>
          <w:bCs/>
          <w:iCs/>
          <w:sz w:val="22"/>
          <w:szCs w:val="22"/>
          <w:shd w:val="clear" w:color="auto" w:fill="FFFFFF"/>
        </w:rPr>
        <w:t xml:space="preserve">al Sujeto </w:t>
      </w:r>
      <w:r w:rsidRPr="00374D97" w:rsidR="00140643">
        <w:rPr>
          <w:rFonts w:ascii="Palatino Linotype" w:hAnsi="Palatino Linotype" w:cs="Tahoma"/>
          <w:bCs/>
          <w:iCs/>
          <w:sz w:val="22"/>
          <w:szCs w:val="22"/>
          <w:shd w:val="clear" w:color="auto" w:fill="FFFFFF"/>
        </w:rPr>
        <w:t>Obligado</w:t>
      </w:r>
      <w:r w:rsidR="00570067">
        <w:rPr>
          <w:rFonts w:ascii="Palatino Linotype" w:hAnsi="Palatino Linotype" w:cs="Tahoma"/>
          <w:bCs/>
          <w:iCs/>
          <w:sz w:val="22"/>
          <w:szCs w:val="22"/>
          <w:shd w:val="clear" w:color="auto" w:fill="FFFFFF"/>
        </w:rPr>
        <w:t xml:space="preserve"> </w:t>
      </w:r>
      <w:r w:rsidR="00792C68">
        <w:rPr>
          <w:rFonts w:ascii="Palatino Linotype" w:hAnsi="Palatino Linotype" w:cs="Tahoma"/>
          <w:bCs/>
          <w:iCs/>
          <w:sz w:val="22"/>
          <w:szCs w:val="22"/>
          <w:shd w:val="clear" w:color="auto" w:fill="FFFFFF"/>
        </w:rPr>
        <w:t xml:space="preserve">lo siguiente: </w:t>
      </w:r>
    </w:p>
    <w:p w:rsidR="001C1FE2" w:rsidP="00B33D0A" w:rsidRDefault="001C1FE2" w14:paraId="7881ECE4" w14:textId="77777777">
      <w:pPr>
        <w:spacing w:line="360" w:lineRule="auto"/>
        <w:jc w:val="both"/>
        <w:rPr>
          <w:rFonts w:ascii="Palatino Linotype" w:hAnsi="Palatino Linotype" w:cs="Tahoma"/>
          <w:bCs/>
          <w:iCs/>
          <w:sz w:val="22"/>
          <w:szCs w:val="22"/>
          <w:u w:val="single"/>
          <w:shd w:val="clear" w:color="auto" w:fill="FFFFFF"/>
        </w:rPr>
      </w:pPr>
    </w:p>
    <w:p w:rsidR="0075344A" w:rsidP="004C3B7D" w:rsidRDefault="00AC7E85" w14:paraId="6099AB26" w14:textId="39C1C8F0">
      <w:pPr>
        <w:pStyle w:val="Prrafodelista"/>
        <w:numPr>
          <w:ilvl w:val="0"/>
          <w:numId w:val="21"/>
        </w:numPr>
        <w:spacing w:line="360" w:lineRule="auto"/>
        <w:ind w:right="539"/>
        <w:jc w:val="both"/>
        <w:rPr>
          <w:rFonts w:ascii="Palatino Linotype" w:hAnsi="Palatino Linotype"/>
          <w:szCs w:val="14"/>
          <w:lang w:eastAsia="es-MX"/>
        </w:rPr>
      </w:pPr>
      <w:r>
        <w:rPr>
          <w:rFonts w:ascii="Palatino Linotype" w:hAnsi="Palatino Linotype"/>
          <w:szCs w:val="14"/>
          <w:lang w:eastAsia="es-MX"/>
        </w:rPr>
        <w:t>Convocatorias para otorgar apoyos emitidos por la Dirección de Desarrollo Agropecuario</w:t>
      </w:r>
      <w:r w:rsidR="0075344A">
        <w:rPr>
          <w:rFonts w:ascii="Palatino Linotype" w:hAnsi="Palatino Linotype"/>
          <w:szCs w:val="14"/>
          <w:lang w:eastAsia="es-MX"/>
        </w:rPr>
        <w:t>.</w:t>
      </w:r>
    </w:p>
    <w:p w:rsidR="00AF5FE9" w:rsidP="004C3B7D" w:rsidRDefault="00AC7E85" w14:paraId="7F9F1FA4" w14:textId="658F8EFF">
      <w:pPr>
        <w:pStyle w:val="Prrafodelista"/>
        <w:numPr>
          <w:ilvl w:val="0"/>
          <w:numId w:val="21"/>
        </w:numPr>
        <w:spacing w:line="360" w:lineRule="auto"/>
        <w:ind w:right="539"/>
        <w:jc w:val="both"/>
        <w:rPr>
          <w:rFonts w:ascii="Palatino Linotype" w:hAnsi="Palatino Linotype"/>
          <w:szCs w:val="14"/>
          <w:lang w:eastAsia="es-MX"/>
        </w:rPr>
      </w:pPr>
      <w:r>
        <w:rPr>
          <w:rFonts w:ascii="Palatino Linotype" w:hAnsi="Palatino Linotype"/>
          <w:szCs w:val="14"/>
          <w:lang w:eastAsia="es-MX"/>
        </w:rPr>
        <w:t>Padrón de beneficiarios de 2020</w:t>
      </w:r>
      <w:r w:rsidR="00AA140E">
        <w:rPr>
          <w:rFonts w:ascii="Palatino Linotype" w:hAnsi="Palatino Linotype"/>
          <w:szCs w:val="14"/>
          <w:lang w:eastAsia="es-MX"/>
        </w:rPr>
        <w:t xml:space="preserve">, por los apoyos entregados por la Dirección de Desarrollo Agropecuario. </w:t>
      </w:r>
    </w:p>
    <w:p w:rsidRPr="004C3B7D" w:rsidR="00570067" w:rsidP="004C3B7D" w:rsidRDefault="00570067" w14:paraId="6E09D3F8" w14:textId="73149B5B">
      <w:pPr>
        <w:spacing w:line="360" w:lineRule="auto"/>
        <w:ind w:right="539"/>
        <w:jc w:val="both"/>
        <w:rPr>
          <w:rFonts w:ascii="Palatino Linotype" w:hAnsi="Palatino Linotype"/>
          <w:szCs w:val="14"/>
          <w:lang w:eastAsia="es-MX"/>
        </w:rPr>
      </w:pPr>
    </w:p>
    <w:p w:rsidRPr="0089090D" w:rsidR="00AC7E85" w:rsidP="00AC7E85" w:rsidRDefault="00AC7E85" w14:paraId="27538C9A" w14:textId="77777777">
      <w:pPr>
        <w:spacing w:line="360" w:lineRule="auto"/>
        <w:jc w:val="both"/>
        <w:rPr>
          <w:rFonts w:ascii="Palatino Linotype" w:hAnsi="Palatino Linotype" w:eastAsia="Calibri" w:cs="Tahoma"/>
          <w:bCs/>
          <w:sz w:val="22"/>
          <w:szCs w:val="22"/>
          <w:lang w:val="es-ES_tradnl" w:eastAsia="en-US"/>
        </w:rPr>
      </w:pPr>
      <w:r w:rsidRPr="0089090D">
        <w:rPr>
          <w:rFonts w:ascii="Palatino Linotype" w:hAnsi="Palatino Linotype" w:eastAsia="Calibri" w:cs="Tahoma"/>
          <w:bCs/>
          <w:sz w:val="22"/>
          <w:szCs w:val="22"/>
          <w:lang w:val="es-ES_tradnl" w:eastAsia="en-US"/>
        </w:rPr>
        <w:t xml:space="preserve">El Sujeto Obligado en respuesta indicó que, su Comité de Transparencia acordó la entrega de la información en las instalaciones del Sujeto Obligado, por lo que envió el acta del Comité de Transparencia como soporte; e indicó el horario, dirección y el servidor público que atendería. </w:t>
      </w:r>
    </w:p>
    <w:p w:rsidRPr="0089090D" w:rsidR="00AC7E85" w:rsidP="00AC7E85" w:rsidRDefault="00AC7E85" w14:paraId="4B45B3FB" w14:textId="77777777">
      <w:pPr>
        <w:spacing w:line="360" w:lineRule="auto"/>
        <w:jc w:val="both"/>
        <w:rPr>
          <w:rFonts w:ascii="Palatino Linotype" w:hAnsi="Palatino Linotype" w:eastAsia="Calibri" w:cs="Tahoma"/>
          <w:bCs/>
          <w:sz w:val="22"/>
          <w:szCs w:val="22"/>
          <w:lang w:val="es-ES_tradnl" w:eastAsia="en-US"/>
        </w:rPr>
      </w:pPr>
    </w:p>
    <w:p w:rsidR="00AC7E85" w:rsidP="00AC7E85" w:rsidRDefault="00AC7E85" w14:paraId="4C167B53" w14:textId="77777777">
      <w:pPr>
        <w:spacing w:line="360" w:lineRule="auto"/>
        <w:jc w:val="both"/>
        <w:rPr>
          <w:rFonts w:ascii="Palatino Linotype" w:hAnsi="Palatino Linotype" w:eastAsia="Calibri" w:cs="Tahoma"/>
          <w:bCs/>
          <w:sz w:val="22"/>
          <w:szCs w:val="22"/>
          <w:lang w:val="es-ES_tradnl" w:eastAsia="en-US"/>
        </w:rPr>
      </w:pPr>
      <w:r w:rsidRPr="0089090D">
        <w:rPr>
          <w:rFonts w:ascii="Palatino Linotype" w:hAnsi="Palatino Linotype" w:eastAsia="Calibri" w:cs="Tahoma"/>
          <w:bCs/>
          <w:sz w:val="22"/>
          <w:szCs w:val="22"/>
          <w:lang w:val="es-ES_tradnl" w:eastAsia="en-US"/>
        </w:rPr>
        <w:t>Ante la respuesta, el Particular interpuso el presente Recurso de Revisión en el que indicó como motivo de agravió el cambio de modalidad e indicó su descontento con que no se le remitiera la información vía Sistema de Acceso a la Información Mexiquense (SAIMEX).</w:t>
      </w:r>
      <w:r>
        <w:rPr>
          <w:rFonts w:ascii="Palatino Linotype" w:hAnsi="Palatino Linotype" w:eastAsia="Calibri" w:cs="Tahoma"/>
          <w:bCs/>
          <w:sz w:val="22"/>
          <w:szCs w:val="22"/>
          <w:lang w:val="es-ES_tradnl" w:eastAsia="en-US"/>
        </w:rPr>
        <w:t xml:space="preserve"> Así entonces, transcurrido el plazo de ley el sujeto obligado fue omiso en presentar su informe justificado. </w:t>
      </w:r>
    </w:p>
    <w:p w:rsidRPr="0089090D" w:rsidR="00AC7E85" w:rsidP="00AC7E85" w:rsidRDefault="00AC7E85" w14:paraId="511B0985" w14:textId="77777777">
      <w:pPr>
        <w:autoSpaceDE w:val="0"/>
        <w:autoSpaceDN w:val="0"/>
        <w:adjustRightInd w:val="0"/>
        <w:spacing w:line="360" w:lineRule="auto"/>
        <w:jc w:val="both"/>
        <w:rPr>
          <w:rFonts w:ascii="Palatino Linotype" w:hAnsi="Palatino Linotype" w:eastAsia="Calibri" w:cs="Tahoma"/>
          <w:bCs/>
          <w:color w:val="000000"/>
          <w:sz w:val="22"/>
          <w:szCs w:val="22"/>
        </w:rPr>
      </w:pPr>
      <w:r w:rsidRPr="0089090D">
        <w:rPr>
          <w:rFonts w:ascii="Palatino Linotype" w:hAnsi="Palatino Linotype" w:eastAsia="Calibri" w:cs="Tahoma"/>
          <w:color w:val="000000"/>
          <w:sz w:val="22"/>
          <w:szCs w:val="22"/>
        </w:rPr>
        <w:lastRenderedPageBreak/>
        <w:t xml:space="preserve">Finalmente, en el asunto que nos ocupa se actualiza la causal de procedencia señalada en el </w:t>
      </w:r>
      <w:r w:rsidRPr="0089090D">
        <w:rPr>
          <w:rFonts w:ascii="Palatino Linotype" w:hAnsi="Palatino Linotype" w:eastAsia="Calibri" w:cs="Tahoma"/>
          <w:b/>
          <w:sz w:val="22"/>
          <w:szCs w:val="22"/>
        </w:rPr>
        <w:t>artículo 179, fracción VIII, de la Ley de la materia</w:t>
      </w:r>
      <w:r w:rsidRPr="0089090D">
        <w:rPr>
          <w:rFonts w:ascii="Palatino Linotype" w:hAnsi="Palatino Linotype" w:eastAsia="Calibri" w:cs="Tahoma"/>
          <w:b/>
          <w:bCs/>
          <w:sz w:val="22"/>
          <w:szCs w:val="22"/>
        </w:rPr>
        <w:t xml:space="preserve">, toda vez que la parte solicitante se inconformó </w:t>
      </w:r>
      <w:r>
        <w:rPr>
          <w:rFonts w:ascii="Palatino Linotype" w:hAnsi="Palatino Linotype" w:eastAsia="Calibri" w:cs="Tahoma"/>
          <w:b/>
          <w:bCs/>
          <w:sz w:val="22"/>
          <w:szCs w:val="22"/>
        </w:rPr>
        <w:t>por la puesta</w:t>
      </w:r>
      <w:r w:rsidRPr="0089090D">
        <w:rPr>
          <w:rFonts w:ascii="Palatino Linotype" w:hAnsi="Palatino Linotype" w:eastAsia="Calibri" w:cs="Tahoma"/>
          <w:b/>
          <w:bCs/>
          <w:sz w:val="22"/>
          <w:szCs w:val="22"/>
        </w:rPr>
        <w:t xml:space="preserve"> a disposición de la información en una modalidad o formato distinto al solicitado.</w:t>
      </w:r>
    </w:p>
    <w:p w:rsidRPr="00D01A61" w:rsidR="00D01A61" w:rsidP="00D01A61" w:rsidRDefault="00D01A61" w14:paraId="1DC2D886" w14:textId="77777777">
      <w:pPr>
        <w:tabs>
          <w:tab w:val="left" w:pos="2834"/>
          <w:tab w:val="right" w:pos="8838"/>
        </w:tabs>
        <w:spacing w:line="360" w:lineRule="auto"/>
        <w:ind w:right="171"/>
        <w:jc w:val="both"/>
        <w:rPr>
          <w:rFonts w:ascii="Palatino Linotype" w:hAnsi="Palatino Linotype" w:eastAsia="Calibri" w:cs="Tahoma"/>
          <w:b/>
          <w:sz w:val="24"/>
          <w:szCs w:val="24"/>
          <w:lang w:eastAsia="en-US"/>
        </w:rPr>
      </w:pPr>
    </w:p>
    <w:p w:rsidR="00DA0D92" w:rsidP="00DA0D92" w:rsidRDefault="00DA0D92" w14:paraId="60362E39" w14:textId="4508DC45">
      <w:pPr>
        <w:spacing w:line="360" w:lineRule="auto"/>
        <w:jc w:val="both"/>
        <w:rPr>
          <w:rFonts w:ascii="Palatino Linotype" w:hAnsi="Palatino Linotype" w:cs="Tahoma"/>
          <w:b/>
          <w:sz w:val="22"/>
          <w:szCs w:val="22"/>
          <w:shd w:val="clear" w:color="auto" w:fill="FFFFFF"/>
        </w:rPr>
      </w:pPr>
      <w:r>
        <w:rPr>
          <w:rFonts w:ascii="Palatino Linotype" w:hAnsi="Palatino Linotype" w:cs="Tahoma"/>
          <w:sz w:val="22"/>
          <w:szCs w:val="22"/>
          <w:shd w:val="clear" w:color="auto" w:fill="FFFFFF"/>
        </w:rPr>
        <w:t xml:space="preserve"> </w:t>
      </w:r>
      <w:r w:rsidRPr="00FF0A9B">
        <w:rPr>
          <w:rFonts w:ascii="Palatino Linotype" w:hAnsi="Palatino Linotype" w:cs="Tahoma"/>
          <w:b/>
          <w:sz w:val="22"/>
          <w:szCs w:val="22"/>
          <w:shd w:val="clear" w:color="auto" w:fill="FFFFFF"/>
          <w:lang w:val="es-ES"/>
        </w:rPr>
        <w:t xml:space="preserve">CUARTO. </w:t>
      </w:r>
      <w:r w:rsidRPr="00FF0A9B">
        <w:rPr>
          <w:rFonts w:ascii="Palatino Linotype" w:hAnsi="Palatino Linotype" w:cs="Tahoma"/>
          <w:b/>
          <w:sz w:val="22"/>
          <w:szCs w:val="22"/>
          <w:shd w:val="clear" w:color="auto" w:fill="FFFFFF"/>
        </w:rPr>
        <w:t>Marco normativo aplicable en materia de transparencia y a</w:t>
      </w:r>
      <w:r w:rsidR="00056D2E">
        <w:rPr>
          <w:rFonts w:ascii="Palatino Linotype" w:hAnsi="Palatino Linotype" w:cs="Tahoma"/>
          <w:b/>
          <w:sz w:val="22"/>
          <w:szCs w:val="22"/>
          <w:shd w:val="clear" w:color="auto" w:fill="FFFFFF"/>
        </w:rPr>
        <w:t>cceso a la información pública.</w:t>
      </w:r>
    </w:p>
    <w:p w:rsidRPr="00056D2E" w:rsidR="00056D2E" w:rsidP="00DA0D92" w:rsidRDefault="00056D2E" w14:paraId="5253758E" w14:textId="77777777">
      <w:pPr>
        <w:spacing w:line="360" w:lineRule="auto"/>
        <w:jc w:val="both"/>
        <w:rPr>
          <w:rFonts w:ascii="Palatino Linotype" w:hAnsi="Palatino Linotype" w:cs="Tahoma"/>
          <w:b/>
          <w:sz w:val="22"/>
          <w:szCs w:val="22"/>
          <w:shd w:val="clear" w:color="auto" w:fill="FFFFFF"/>
        </w:rPr>
      </w:pPr>
    </w:p>
    <w:p w:rsidR="00DA0D92" w:rsidP="00DA0D92" w:rsidRDefault="00DA0D92" w14:paraId="7F4FDB2D" w14:textId="4B97C44D">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FF0A9B" w:rsidR="00275D99" w:rsidP="00DA0D92" w:rsidRDefault="00275D99" w14:paraId="1852A933" w14:textId="77777777">
      <w:pPr>
        <w:spacing w:line="360" w:lineRule="auto"/>
        <w:jc w:val="both"/>
        <w:rPr>
          <w:rFonts w:ascii="Palatino Linotype" w:hAnsi="Palatino Linotype" w:cs="Tahoma"/>
          <w:sz w:val="22"/>
          <w:szCs w:val="22"/>
          <w:shd w:val="clear" w:color="auto" w:fill="FFFFFF"/>
        </w:rPr>
      </w:pPr>
    </w:p>
    <w:p w:rsidRPr="00FF0A9B" w:rsidR="00DA0D92" w:rsidP="00DA0D92" w:rsidRDefault="00DA0D92" w14:paraId="3598496E" w14:textId="77777777">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FF0A9B" w:rsidR="00DA0D92" w:rsidP="00DA0D92" w:rsidRDefault="00DA0D92" w14:paraId="2E45D302" w14:textId="77777777">
      <w:pPr>
        <w:spacing w:line="360" w:lineRule="auto"/>
        <w:jc w:val="both"/>
        <w:rPr>
          <w:rFonts w:ascii="Palatino Linotype" w:hAnsi="Palatino Linotype" w:cs="Tahoma"/>
          <w:sz w:val="22"/>
          <w:szCs w:val="22"/>
          <w:shd w:val="clear" w:color="auto" w:fill="FFFFFF"/>
        </w:rPr>
      </w:pPr>
    </w:p>
    <w:p w:rsidRPr="00FF0A9B" w:rsidR="00DA0D92" w:rsidP="00DA0D92" w:rsidRDefault="00DA0D92" w14:paraId="47BCC998" w14:textId="77777777">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FF0A9B" w:rsidR="00DA0D92" w:rsidP="00DA0D92" w:rsidRDefault="00DA0D92" w14:paraId="308EAC34" w14:textId="77777777">
      <w:pPr>
        <w:spacing w:line="360" w:lineRule="auto"/>
        <w:jc w:val="both"/>
        <w:rPr>
          <w:rFonts w:ascii="Palatino Linotype" w:hAnsi="Palatino Linotype" w:cs="Tahoma"/>
          <w:sz w:val="22"/>
          <w:szCs w:val="22"/>
          <w:shd w:val="clear" w:color="auto" w:fill="FFFFFF"/>
        </w:rPr>
      </w:pPr>
    </w:p>
    <w:p w:rsidRPr="00FF0A9B" w:rsidR="00DA0D92" w:rsidP="00DA0D92" w:rsidRDefault="00DA0D92" w14:paraId="6C711484" w14:textId="77777777">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 xml:space="preserve">Por su parte, en materia local, el artículo 5°, fracción I de la Constitución Política del Estado Libre y Soberano de México, es coincidente con la Constitución Federal, en el sentido de la </w:t>
      </w:r>
      <w:r w:rsidRPr="00FF0A9B">
        <w:rPr>
          <w:rFonts w:ascii="Palatino Linotype" w:hAnsi="Palatino Linotype" w:cs="Tahoma"/>
          <w:sz w:val="22"/>
          <w:szCs w:val="22"/>
          <w:shd w:val="clear" w:color="auto" w:fill="FFFFFF"/>
        </w:rPr>
        <w:lastRenderedPageBreak/>
        <w:t>publicidad de toda la información, con la única restricción de proteger el interés público, así como la información referente a la intimidad de la vida privada y la imagen de las personas, con las excepciones que establezca la ley reglamentaria.</w:t>
      </w:r>
    </w:p>
    <w:p w:rsidRPr="00FF0A9B" w:rsidR="00FF0A9B" w:rsidP="00FF0A9B" w:rsidRDefault="00FF0A9B" w14:paraId="3D53B469" w14:textId="77777777">
      <w:pPr>
        <w:spacing w:line="360" w:lineRule="auto"/>
        <w:jc w:val="both"/>
        <w:rPr>
          <w:rFonts w:ascii="Palatino Linotype" w:hAnsi="Palatino Linotype" w:cs="Tahoma"/>
          <w:sz w:val="22"/>
          <w:szCs w:val="22"/>
          <w:shd w:val="clear" w:color="auto" w:fill="FFFFFF"/>
        </w:rPr>
      </w:pPr>
    </w:p>
    <w:p w:rsidRPr="00FF0A9B" w:rsidR="00FF0A9B" w:rsidP="00FF0A9B" w:rsidRDefault="00FF0A9B" w14:paraId="4F3CF304" w14:textId="77777777">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Por su parte, la Ley de Transparencia y Acceso a la Información Pública del Estado de México y Municipios (Reglamentaria del artículo 5° de la Constitución Local), establece lo siguiente:</w:t>
      </w:r>
    </w:p>
    <w:p w:rsidRPr="00FF0A9B" w:rsidR="00FF0A9B" w:rsidP="00FF0A9B" w:rsidRDefault="00FF0A9B" w14:paraId="7043B63E" w14:textId="77777777">
      <w:pPr>
        <w:spacing w:line="360" w:lineRule="auto"/>
        <w:jc w:val="both"/>
        <w:rPr>
          <w:rFonts w:ascii="Palatino Linotype" w:hAnsi="Palatino Linotype" w:cs="Tahoma"/>
          <w:sz w:val="22"/>
          <w:szCs w:val="22"/>
          <w:shd w:val="clear" w:color="auto" w:fill="FFFFFF"/>
        </w:rPr>
      </w:pPr>
    </w:p>
    <w:p w:rsidRPr="00FF0A9B" w:rsidR="00FF0A9B" w:rsidP="00FF0A9B" w:rsidRDefault="00FF0A9B" w14:paraId="70B367E6" w14:textId="77777777">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El artículo 12, que, quienes generen, recopilen, administren, manejen, procesen, archiven o conserven información pública serán responsables de la misma.</w:t>
      </w:r>
    </w:p>
    <w:p w:rsidRPr="00FF0A9B" w:rsidR="00FF0A9B" w:rsidP="00FF0A9B" w:rsidRDefault="00FF0A9B" w14:paraId="2DA5DAAB" w14:textId="77777777">
      <w:pPr>
        <w:spacing w:line="360" w:lineRule="auto"/>
        <w:jc w:val="both"/>
        <w:rPr>
          <w:rFonts w:ascii="Palatino Linotype" w:hAnsi="Palatino Linotype" w:cs="Tahoma"/>
          <w:sz w:val="22"/>
          <w:szCs w:val="22"/>
          <w:shd w:val="clear" w:color="auto" w:fill="FFFFFF"/>
        </w:rPr>
      </w:pPr>
    </w:p>
    <w:p w:rsidRPr="00FF0A9B" w:rsidR="00FF0A9B" w:rsidP="00FF0A9B" w:rsidRDefault="00FF0A9B" w14:paraId="4EC28C31" w14:textId="77777777">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El artículo 18, que, los Sujetos Obligados deberán documentar todo acto que derive del ejercicio de sus facultades, competencias o funciones, considerando desde su origen la eventual publicidad y reutilización de la información que generen.</w:t>
      </w:r>
    </w:p>
    <w:p w:rsidRPr="00FF0A9B" w:rsidR="00FF0A9B" w:rsidP="00FF0A9B" w:rsidRDefault="00FF0A9B" w14:paraId="188904E0" w14:textId="77777777">
      <w:pPr>
        <w:spacing w:line="360" w:lineRule="auto"/>
        <w:jc w:val="both"/>
        <w:rPr>
          <w:rFonts w:ascii="Palatino Linotype" w:hAnsi="Palatino Linotype" w:cs="Tahoma"/>
          <w:sz w:val="22"/>
          <w:szCs w:val="22"/>
          <w:shd w:val="clear" w:color="auto" w:fill="FFFFFF"/>
        </w:rPr>
      </w:pPr>
    </w:p>
    <w:p w:rsidRPr="00FF0A9B" w:rsidR="00FF0A9B" w:rsidP="00FF0A9B" w:rsidRDefault="00FF0A9B" w14:paraId="5B8CCD61" w14:textId="77777777">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3A3A5A" w:rsidP="00D17825" w:rsidRDefault="003A3A5A" w14:paraId="21C3E33D" w14:textId="77777777">
      <w:pPr>
        <w:spacing w:line="360" w:lineRule="auto"/>
        <w:jc w:val="both"/>
        <w:rPr>
          <w:rFonts w:ascii="Palatino Linotype" w:hAnsi="Palatino Linotype" w:cs="Tahoma"/>
          <w:sz w:val="22"/>
          <w:szCs w:val="22"/>
          <w:shd w:val="clear" w:color="auto" w:fill="FFFFFF"/>
        </w:rPr>
      </w:pPr>
    </w:p>
    <w:p w:rsidR="009D395E" w:rsidP="009D395E" w:rsidRDefault="002E01AA" w14:paraId="4C2A3669" w14:textId="2F5F7FF1">
      <w:pPr>
        <w:spacing w:line="360" w:lineRule="auto"/>
        <w:ind w:right="-93"/>
        <w:jc w:val="both"/>
        <w:rPr>
          <w:rFonts w:ascii="Palatino Linotype" w:hAnsi="Palatino Linotype" w:cs="Tahoma"/>
          <w:b/>
          <w:sz w:val="22"/>
          <w:szCs w:val="22"/>
          <w:lang w:val="es-ES"/>
        </w:rPr>
      </w:pPr>
      <w:r w:rsidRPr="00D92D68">
        <w:rPr>
          <w:rFonts w:ascii="Palatino Linotype" w:hAnsi="Palatino Linotype" w:cs="Tahoma"/>
          <w:b/>
          <w:sz w:val="22"/>
          <w:szCs w:val="22"/>
          <w:lang w:val="es-ES"/>
        </w:rPr>
        <w:t>QUINTO. Estudio de Fondo.</w:t>
      </w:r>
    </w:p>
    <w:p w:rsidR="00AC7E85" w:rsidP="009D395E" w:rsidRDefault="00AC7E85" w14:paraId="7DBC0063" w14:textId="77777777">
      <w:pPr>
        <w:spacing w:line="360" w:lineRule="auto"/>
        <w:ind w:right="-93"/>
        <w:jc w:val="both"/>
        <w:rPr>
          <w:rFonts w:ascii="Palatino Linotype" w:hAnsi="Palatino Linotype" w:cs="Tahoma"/>
          <w:b/>
          <w:sz w:val="22"/>
          <w:szCs w:val="22"/>
          <w:lang w:val="es-ES"/>
        </w:rPr>
      </w:pPr>
    </w:p>
    <w:p w:rsidRPr="003416B7" w:rsidR="002E01AA" w:rsidP="003416B7" w:rsidRDefault="002E01AA" w14:paraId="5460CC71" w14:textId="4D145EC2">
      <w:pPr>
        <w:spacing w:line="360" w:lineRule="auto"/>
        <w:ind w:right="-93"/>
        <w:jc w:val="both"/>
        <w:rPr>
          <w:rFonts w:ascii="Palatino Linotype" w:hAnsi="Palatino Linotype" w:cs="Tahoma"/>
          <w:b/>
          <w:sz w:val="22"/>
          <w:szCs w:val="22"/>
          <w:lang w:val="es-ES"/>
        </w:rPr>
      </w:pPr>
      <w:r w:rsidRPr="00D92D68">
        <w:rPr>
          <w:rFonts w:ascii="Palatino Linotype" w:hAnsi="Palatino Linotype" w:eastAsia="Calibri" w:cs="Tahoma"/>
          <w:bCs/>
          <w:iCs/>
          <w:sz w:val="22"/>
          <w:szCs w:val="22"/>
          <w:lang w:eastAsia="es-ES_tradnl"/>
        </w:rPr>
        <w:t>Expuestas las posturas de las partes, este Órgano Colegiado procede al análisis de los agravios hechos valer por el ahora Recurrente, a la luz de la respuesta otorgada</w:t>
      </w:r>
      <w:r>
        <w:rPr>
          <w:rFonts w:ascii="Palatino Linotype" w:hAnsi="Palatino Linotype" w:eastAsia="Calibri" w:cs="Tahoma"/>
          <w:bCs/>
          <w:iCs/>
          <w:sz w:val="22"/>
          <w:szCs w:val="22"/>
          <w:lang w:eastAsia="es-ES_tradnl"/>
        </w:rPr>
        <w:t xml:space="preserve"> por</w:t>
      </w:r>
      <w:r>
        <w:rPr>
          <w:rFonts w:ascii="Palatino Linotype" w:hAnsi="Palatino Linotype" w:eastAsia="Calibri" w:cs="Tahoma"/>
          <w:b/>
          <w:bCs/>
          <w:iCs/>
          <w:sz w:val="22"/>
          <w:szCs w:val="22"/>
          <w:lang w:eastAsia="es-ES_tradnl"/>
        </w:rPr>
        <w:t xml:space="preserve"> </w:t>
      </w:r>
      <w:r w:rsidR="00244B2C">
        <w:rPr>
          <w:rFonts w:ascii="Palatino Linotype" w:hAnsi="Palatino Linotype" w:eastAsia="Calibri" w:cs="Tahoma"/>
          <w:b/>
          <w:bCs/>
          <w:iCs/>
          <w:sz w:val="22"/>
          <w:szCs w:val="22"/>
          <w:lang w:eastAsia="es-ES_tradnl"/>
        </w:rPr>
        <w:t xml:space="preserve">el </w:t>
      </w:r>
      <w:r w:rsidR="003416B7">
        <w:rPr>
          <w:rFonts w:ascii="Palatino Linotype" w:hAnsi="Palatino Linotype" w:eastAsia="Calibri" w:cs="Tahoma"/>
          <w:b/>
          <w:bCs/>
          <w:iCs/>
          <w:sz w:val="22"/>
          <w:szCs w:val="22"/>
          <w:lang w:eastAsia="es-ES_tradnl"/>
        </w:rPr>
        <w:t>Ayuntamiento de Ixtapan de la Sal</w:t>
      </w:r>
      <w:r w:rsidRPr="00D92D68">
        <w:rPr>
          <w:rFonts w:ascii="Palatino Linotype" w:hAnsi="Palatino Linotype" w:eastAsia="Calibri" w:cs="Tahoma"/>
          <w:b/>
          <w:bCs/>
          <w:iCs/>
          <w:sz w:val="22"/>
          <w:szCs w:val="22"/>
          <w:lang w:eastAsia="es-ES_tradnl"/>
        </w:rPr>
        <w:t>,</w:t>
      </w:r>
      <w:r w:rsidRPr="00D92D68">
        <w:rPr>
          <w:rFonts w:ascii="Palatino Linotype" w:hAnsi="Palatino Linotype" w:eastAsia="Calibri" w:cs="Tahoma"/>
          <w:bCs/>
          <w:iCs/>
          <w:sz w:val="22"/>
          <w:szCs w:val="22"/>
          <w:lang w:eastAsia="es-ES_tradnl"/>
        </w:rPr>
        <w:t xml:space="preserve"> de conformidad con la Ley de Transparencia y Acceso a la Información Pública del Estado de México y Municipios y demás normativa aplicable a la materia que se resuelve.</w:t>
      </w:r>
    </w:p>
    <w:p w:rsidRPr="00D92D68" w:rsidR="002E01AA" w:rsidP="002E01AA" w:rsidRDefault="002E01AA" w14:paraId="208FDFCC" w14:textId="77777777">
      <w:pPr>
        <w:spacing w:line="360" w:lineRule="auto"/>
        <w:ind w:right="-93"/>
        <w:jc w:val="both"/>
        <w:rPr>
          <w:rFonts w:ascii="Palatino Linotype" w:hAnsi="Palatino Linotype" w:eastAsia="Calibri" w:cs="Tahoma"/>
          <w:bCs/>
          <w:sz w:val="22"/>
          <w:szCs w:val="22"/>
          <w:lang w:eastAsia="en-US"/>
        </w:rPr>
      </w:pPr>
      <w:r w:rsidRPr="00D92D68">
        <w:rPr>
          <w:rFonts w:ascii="Palatino Linotype" w:hAnsi="Palatino Linotype" w:eastAsia="Calibri" w:cs="Tahoma"/>
          <w:bCs/>
          <w:sz w:val="22"/>
          <w:szCs w:val="22"/>
          <w:lang w:eastAsia="en-US"/>
        </w:rPr>
        <w:lastRenderedPageBreak/>
        <w:t>En principio, es de suma importancia señalar los objetivos de la Ley de Transparencia y Acceso a la Información Pública del Estado de México y Municipios, con relación a la obligación de acceso por parte de los Sujetos Obligados, los cuales se encuentran establecidos en el artículo 2° de dicho ordenamiento jurídico y son los siguientes:</w:t>
      </w:r>
    </w:p>
    <w:p w:rsidRPr="00D92D68" w:rsidR="002E01AA" w:rsidP="002E01AA" w:rsidRDefault="002E01AA" w14:paraId="4A89594B" w14:textId="77777777">
      <w:pPr>
        <w:spacing w:line="360" w:lineRule="auto"/>
        <w:ind w:right="-93"/>
        <w:jc w:val="both"/>
        <w:rPr>
          <w:rFonts w:ascii="Palatino Linotype" w:hAnsi="Palatino Linotype" w:eastAsia="Calibri" w:cs="Tahoma"/>
          <w:bCs/>
          <w:sz w:val="22"/>
          <w:szCs w:val="22"/>
          <w:lang w:eastAsia="en-US"/>
        </w:rPr>
      </w:pPr>
    </w:p>
    <w:p w:rsidRPr="00D92D68" w:rsidR="002E01AA" w:rsidP="002E01AA" w:rsidRDefault="002E01AA" w14:paraId="12337754" w14:textId="77777777">
      <w:pPr>
        <w:pStyle w:val="Prrafodelista"/>
        <w:numPr>
          <w:ilvl w:val="0"/>
          <w:numId w:val="2"/>
        </w:numPr>
        <w:spacing w:line="360" w:lineRule="auto"/>
        <w:ind w:right="-93"/>
        <w:jc w:val="both"/>
        <w:rPr>
          <w:rFonts w:ascii="Palatino Linotype" w:hAnsi="Palatino Linotype" w:eastAsia="Calibri" w:cs="Tahoma"/>
          <w:bCs/>
          <w:szCs w:val="22"/>
          <w:lang w:eastAsia="en-US"/>
        </w:rPr>
      </w:pPr>
      <w:r w:rsidRPr="00D92D68">
        <w:rPr>
          <w:rFonts w:ascii="Palatino Linotype" w:hAnsi="Palatino Linotype" w:eastAsia="Calibri" w:cs="Tahoma"/>
          <w:bCs/>
          <w:szCs w:val="22"/>
          <w:lang w:eastAsia="en-US"/>
        </w:rPr>
        <w:t>Proveer lo necesario para garantizar a toda persona el derecho de acceso a la información pública, a través de procedimientos sencillos, expeditos, oportunos y gratuitos;</w:t>
      </w:r>
    </w:p>
    <w:p w:rsidRPr="00D92D68" w:rsidR="002E01AA" w:rsidP="002E01AA" w:rsidRDefault="002E01AA" w14:paraId="5B758644" w14:textId="77777777">
      <w:pPr>
        <w:spacing w:line="360" w:lineRule="auto"/>
        <w:ind w:left="360" w:right="-93"/>
        <w:jc w:val="both"/>
        <w:rPr>
          <w:rFonts w:ascii="Palatino Linotype" w:hAnsi="Palatino Linotype" w:eastAsia="Calibri" w:cs="Tahoma"/>
          <w:bCs/>
          <w:sz w:val="22"/>
          <w:szCs w:val="22"/>
          <w:lang w:eastAsia="en-US"/>
        </w:rPr>
      </w:pPr>
    </w:p>
    <w:p w:rsidRPr="00D92D68" w:rsidR="002E01AA" w:rsidP="002E01AA" w:rsidRDefault="002E01AA" w14:paraId="46ACB3BF" w14:textId="77777777">
      <w:pPr>
        <w:pStyle w:val="Prrafodelista"/>
        <w:numPr>
          <w:ilvl w:val="0"/>
          <w:numId w:val="2"/>
        </w:numPr>
        <w:spacing w:line="360" w:lineRule="auto"/>
        <w:ind w:right="-93"/>
        <w:jc w:val="both"/>
        <w:rPr>
          <w:rFonts w:ascii="Palatino Linotype" w:hAnsi="Palatino Linotype" w:eastAsia="Calibri" w:cs="Tahoma"/>
          <w:bCs/>
          <w:szCs w:val="22"/>
          <w:lang w:eastAsia="en-US"/>
        </w:rPr>
      </w:pPr>
      <w:r w:rsidRPr="00D92D68">
        <w:rPr>
          <w:rFonts w:ascii="Palatino Linotype" w:hAnsi="Palatino Linotype" w:eastAsia="Calibri" w:cs="Tahoma"/>
          <w:bCs/>
          <w:szCs w:val="22"/>
          <w:lang w:eastAsia="en-US"/>
        </w:rPr>
        <w:t>Transparentar la gestión pública, mediante la difusión de la información generada por los Sujetos Obligados, y</w:t>
      </w:r>
    </w:p>
    <w:p w:rsidRPr="00D92D68" w:rsidR="002E01AA" w:rsidP="002E01AA" w:rsidRDefault="002E01AA" w14:paraId="6A788671" w14:textId="77777777">
      <w:pPr>
        <w:spacing w:line="360" w:lineRule="auto"/>
        <w:ind w:right="-93"/>
        <w:jc w:val="both"/>
        <w:rPr>
          <w:rFonts w:ascii="Palatino Linotype" w:hAnsi="Palatino Linotype" w:eastAsia="Calibri" w:cs="Tahoma"/>
          <w:bCs/>
          <w:szCs w:val="22"/>
          <w:lang w:eastAsia="en-US"/>
        </w:rPr>
      </w:pPr>
    </w:p>
    <w:p w:rsidRPr="00D92D68" w:rsidR="002E01AA" w:rsidP="002E01AA" w:rsidRDefault="002E01AA" w14:paraId="2CCA9802" w14:textId="77777777">
      <w:pPr>
        <w:pStyle w:val="Prrafodelista"/>
        <w:numPr>
          <w:ilvl w:val="0"/>
          <w:numId w:val="2"/>
        </w:numPr>
        <w:spacing w:line="360" w:lineRule="auto"/>
        <w:ind w:right="-93"/>
        <w:jc w:val="both"/>
        <w:rPr>
          <w:rFonts w:ascii="Palatino Linotype" w:hAnsi="Palatino Linotype" w:eastAsia="Calibri" w:cs="Tahoma"/>
          <w:bCs/>
          <w:szCs w:val="22"/>
          <w:lang w:eastAsia="en-US"/>
        </w:rPr>
      </w:pPr>
      <w:r w:rsidRPr="00D92D68">
        <w:rPr>
          <w:rFonts w:ascii="Palatino Linotype" w:hAnsi="Palatino Linotype" w:eastAsia="Calibri" w:cs="Tahoma"/>
          <w:bCs/>
          <w:szCs w:val="22"/>
          <w:lang w:eastAsia="en-US"/>
        </w:rPr>
        <w:t>Promover, fomentar y difundir la cultura de la transparencia en el ejercicio de la función pública, el acceso a la información y la participación ciudadana, así como, la rendición de cuentas.</w:t>
      </w:r>
    </w:p>
    <w:p w:rsidRPr="00D92D68" w:rsidR="002E01AA" w:rsidP="002E01AA" w:rsidRDefault="002E01AA" w14:paraId="73366156" w14:textId="77777777">
      <w:pPr>
        <w:spacing w:line="360" w:lineRule="auto"/>
        <w:ind w:right="-93"/>
        <w:jc w:val="both"/>
        <w:rPr>
          <w:rFonts w:ascii="Palatino Linotype" w:hAnsi="Palatino Linotype" w:eastAsia="Calibri" w:cs="Tahoma"/>
          <w:bCs/>
          <w:sz w:val="22"/>
          <w:szCs w:val="22"/>
          <w:lang w:eastAsia="en-US"/>
        </w:rPr>
      </w:pPr>
    </w:p>
    <w:p w:rsidRPr="00D92D68" w:rsidR="002E01AA" w:rsidP="002E01AA" w:rsidRDefault="002E01AA" w14:paraId="08410D91" w14:textId="77777777">
      <w:pPr>
        <w:spacing w:line="360" w:lineRule="auto"/>
        <w:ind w:right="-93"/>
        <w:jc w:val="both"/>
        <w:rPr>
          <w:rFonts w:ascii="Palatino Linotype" w:hAnsi="Palatino Linotype" w:eastAsia="Calibri" w:cs="Tahoma"/>
          <w:bCs/>
          <w:sz w:val="22"/>
          <w:szCs w:val="22"/>
          <w:lang w:eastAsia="en-US"/>
        </w:rPr>
      </w:pPr>
      <w:r w:rsidRPr="00D92D68">
        <w:rPr>
          <w:rFonts w:ascii="Palatino Linotype" w:hAnsi="Palatino Linotype" w:eastAsia="Calibri" w:cs="Tahoma"/>
          <w:bCs/>
          <w:sz w:val="22"/>
          <w:szCs w:val="22"/>
          <w:lang w:eastAsia="en-US"/>
        </w:rPr>
        <w:t xml:space="preserve">Conforme a lo anterior, se deprende que </w:t>
      </w:r>
      <w:r w:rsidRPr="00D92D68">
        <w:rPr>
          <w:rFonts w:ascii="Palatino Linotype" w:hAnsi="Palatino Linotype" w:eastAsia="Calibri" w:cs="Tahoma"/>
          <w:b/>
          <w:bCs/>
          <w:sz w:val="22"/>
          <w:szCs w:val="22"/>
          <w:lang w:eastAsia="en-US"/>
        </w:rPr>
        <w:t>los objetivos de la Ley de la materia,</w:t>
      </w:r>
      <w:r w:rsidRPr="00D92D68">
        <w:rPr>
          <w:rFonts w:ascii="Palatino Linotype" w:hAnsi="Palatino Linotype" w:eastAsia="Calibri"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D92D68" w:rsidR="002E01AA" w:rsidP="002E01AA" w:rsidRDefault="002E01AA" w14:paraId="42B227C0" w14:textId="77777777">
      <w:pPr>
        <w:spacing w:line="360" w:lineRule="auto"/>
        <w:ind w:right="-93"/>
        <w:jc w:val="both"/>
        <w:rPr>
          <w:rFonts w:ascii="Palatino Linotype" w:hAnsi="Palatino Linotype" w:eastAsia="Calibri" w:cs="Tahoma"/>
          <w:bCs/>
          <w:sz w:val="22"/>
          <w:szCs w:val="22"/>
          <w:lang w:eastAsia="en-US"/>
        </w:rPr>
      </w:pPr>
    </w:p>
    <w:p w:rsidRPr="00D92D68" w:rsidR="002E01AA" w:rsidP="002E01AA" w:rsidRDefault="002E01AA" w14:paraId="47ABD3CE" w14:textId="77777777">
      <w:pPr>
        <w:spacing w:line="360" w:lineRule="auto"/>
        <w:ind w:right="-93"/>
        <w:jc w:val="both"/>
        <w:rPr>
          <w:rFonts w:ascii="Palatino Linotype" w:hAnsi="Palatino Linotype" w:eastAsia="Calibri" w:cs="Tahoma"/>
          <w:bCs/>
          <w:sz w:val="22"/>
          <w:szCs w:val="22"/>
          <w:lang w:eastAsia="en-US"/>
        </w:rPr>
      </w:pPr>
      <w:r w:rsidRPr="00D92D68">
        <w:rPr>
          <w:rFonts w:ascii="Palatino Linotype" w:hAnsi="Palatino Linotype" w:eastAsia="Calibri" w:cs="Tahoma"/>
          <w:bCs/>
          <w:sz w:val="22"/>
          <w:szCs w:val="22"/>
          <w:lang w:eastAsia="en-US"/>
        </w:rPr>
        <w:t xml:space="preserve">En ese orden de ideas, para la atención de las solicitudes de acceso a la información, debe privilegiarse el </w:t>
      </w:r>
      <w:r w:rsidRPr="00D92D68">
        <w:rPr>
          <w:rFonts w:ascii="Palatino Linotype" w:hAnsi="Palatino Linotype" w:eastAsia="Calibri" w:cs="Tahoma"/>
          <w:sz w:val="22"/>
          <w:szCs w:val="22"/>
          <w:lang w:eastAsia="en-US"/>
        </w:rPr>
        <w:t>principio de máxima publicidad</w:t>
      </w:r>
      <w:r w:rsidRPr="00D92D68">
        <w:rPr>
          <w:rFonts w:ascii="Palatino Linotype" w:hAnsi="Palatino Linotype" w:eastAsia="Calibri" w:cs="Tahoma"/>
          <w:bCs/>
          <w:sz w:val="22"/>
          <w:szCs w:val="22"/>
          <w:lang w:eastAsia="en-US"/>
        </w:rPr>
        <w:t xml:space="preserve"> el cual dispone que toda la información en posesión de los Sujetos Obligados será pública, completa, oportuna y accesible, sujeta a un claro </w:t>
      </w:r>
      <w:r w:rsidRPr="00D92D68">
        <w:rPr>
          <w:rFonts w:ascii="Palatino Linotype" w:hAnsi="Palatino Linotype" w:eastAsia="Calibri" w:cs="Tahoma"/>
          <w:bCs/>
          <w:sz w:val="22"/>
          <w:szCs w:val="22"/>
          <w:lang w:eastAsia="en-US"/>
        </w:rPr>
        <w:lastRenderedPageBreak/>
        <w:t>régimen de excepciones que deberán estar definidas y ser legítimas y estrictamente necesarias en una sociedad democrática.</w:t>
      </w:r>
    </w:p>
    <w:p w:rsidRPr="00D92D68" w:rsidR="002E01AA" w:rsidP="002E01AA" w:rsidRDefault="002E01AA" w14:paraId="25E9649F" w14:textId="77777777">
      <w:pPr>
        <w:spacing w:line="360" w:lineRule="auto"/>
        <w:ind w:right="-93"/>
        <w:jc w:val="both"/>
        <w:rPr>
          <w:rFonts w:ascii="Palatino Linotype" w:hAnsi="Palatino Linotype" w:eastAsia="Calibri" w:cs="Tahoma"/>
          <w:bCs/>
          <w:sz w:val="22"/>
          <w:szCs w:val="22"/>
          <w:lang w:eastAsia="en-US"/>
        </w:rPr>
      </w:pPr>
    </w:p>
    <w:p w:rsidRPr="00D92D68" w:rsidR="002E01AA" w:rsidP="002E01AA" w:rsidRDefault="002E01AA" w14:paraId="05C5F8FD" w14:textId="77777777">
      <w:pPr>
        <w:spacing w:line="360" w:lineRule="auto"/>
        <w:ind w:right="-93"/>
        <w:jc w:val="both"/>
        <w:rPr>
          <w:rFonts w:ascii="Palatino Linotype" w:hAnsi="Palatino Linotype" w:eastAsia="Calibri" w:cs="Tahoma"/>
          <w:bCs/>
          <w:sz w:val="22"/>
          <w:szCs w:val="22"/>
          <w:lang w:eastAsia="en-US"/>
        </w:rPr>
      </w:pPr>
      <w:r w:rsidRPr="00D92D68">
        <w:rPr>
          <w:rFonts w:ascii="Palatino Linotype" w:hAnsi="Palatino Linotype" w:eastAsia="Calibri"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D92D68" w:rsidR="002E01AA" w:rsidP="002E01AA" w:rsidRDefault="002E01AA" w14:paraId="16EDB17E" w14:textId="77777777">
      <w:pPr>
        <w:spacing w:line="360" w:lineRule="auto"/>
        <w:ind w:right="-93"/>
        <w:jc w:val="both"/>
        <w:rPr>
          <w:rFonts w:ascii="Palatino Linotype" w:hAnsi="Palatino Linotype" w:eastAsia="Calibri" w:cs="Tahoma"/>
          <w:bCs/>
          <w:sz w:val="22"/>
          <w:szCs w:val="22"/>
          <w:lang w:eastAsia="en-US"/>
        </w:rPr>
      </w:pPr>
    </w:p>
    <w:p w:rsidRPr="00D92D68" w:rsidR="002E01AA" w:rsidP="002E01AA" w:rsidRDefault="002E01AA" w14:paraId="37BEEF5D" w14:textId="77777777">
      <w:pPr>
        <w:pStyle w:val="Prrafodelista"/>
        <w:numPr>
          <w:ilvl w:val="0"/>
          <w:numId w:val="3"/>
        </w:numPr>
        <w:spacing w:line="360" w:lineRule="auto"/>
        <w:ind w:right="-93"/>
        <w:jc w:val="both"/>
        <w:rPr>
          <w:rFonts w:ascii="Palatino Linotype" w:hAnsi="Palatino Linotype" w:eastAsia="Calibri" w:cs="Tahoma"/>
          <w:bCs/>
          <w:szCs w:val="22"/>
          <w:lang w:eastAsia="en-US"/>
        </w:rPr>
      </w:pPr>
      <w:r w:rsidRPr="00D92D68">
        <w:rPr>
          <w:rFonts w:ascii="Palatino Linotype" w:hAnsi="Palatino Linotype" w:eastAsia="Calibri"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D92D68" w:rsidR="002E01AA" w:rsidP="002E01AA" w:rsidRDefault="002E01AA" w14:paraId="32F18C4A" w14:textId="77777777">
      <w:pPr>
        <w:pStyle w:val="Prrafodelista"/>
        <w:spacing w:line="360" w:lineRule="auto"/>
        <w:ind w:right="-93"/>
        <w:jc w:val="both"/>
        <w:rPr>
          <w:rFonts w:ascii="Palatino Linotype" w:hAnsi="Palatino Linotype" w:eastAsia="Calibri" w:cs="Tahoma"/>
          <w:bCs/>
          <w:szCs w:val="22"/>
          <w:lang w:eastAsia="en-US"/>
        </w:rPr>
      </w:pPr>
    </w:p>
    <w:p w:rsidR="002E01AA" w:rsidP="002E01AA" w:rsidRDefault="002E01AA" w14:paraId="779FD3FD" w14:textId="4373A78D">
      <w:pPr>
        <w:pStyle w:val="Prrafodelista"/>
        <w:numPr>
          <w:ilvl w:val="0"/>
          <w:numId w:val="3"/>
        </w:numPr>
        <w:spacing w:line="360" w:lineRule="auto"/>
        <w:ind w:right="-93"/>
        <w:jc w:val="both"/>
        <w:rPr>
          <w:rFonts w:ascii="Palatino Linotype" w:hAnsi="Palatino Linotype" w:eastAsia="Calibri" w:cs="Tahoma"/>
          <w:bCs/>
          <w:szCs w:val="22"/>
          <w:lang w:eastAsia="en-US"/>
        </w:rPr>
      </w:pPr>
      <w:r w:rsidRPr="00D92D68">
        <w:rPr>
          <w:rFonts w:ascii="Palatino Linotype" w:hAnsi="Palatino Linotype" w:eastAsia="Calibri" w:cs="Tahoma"/>
          <w:bCs/>
          <w:szCs w:val="22"/>
          <w:lang w:eastAsia="en-US"/>
        </w:rPr>
        <w:t xml:space="preserve">La respuesta a los requerimientos informativos, deberán notificarse al interesado en el menor tiempo posible, que no podrá exceder de </w:t>
      </w:r>
      <w:r w:rsidRPr="00D92D68">
        <w:rPr>
          <w:rFonts w:ascii="Palatino Linotype" w:hAnsi="Palatino Linotype" w:eastAsia="Calibri" w:cs="Tahoma"/>
          <w:b/>
          <w:bCs/>
          <w:szCs w:val="22"/>
          <w:lang w:eastAsia="en-US"/>
        </w:rPr>
        <w:t>quince días, contados a partir del día siguiente a la presentación de esta.</w:t>
      </w:r>
      <w:r w:rsidRPr="00D92D68">
        <w:rPr>
          <w:rFonts w:ascii="Palatino Linotype" w:hAnsi="Palatino Linotype" w:eastAsia="Calibri" w:cs="Tahoma"/>
          <w:bCs/>
          <w:szCs w:val="22"/>
          <w:lang w:eastAsia="en-US"/>
        </w:rPr>
        <w:t xml:space="preserve"> Excepcionalmente, el plazo referido podrá ampliarse por siete días hábiles más, cuando existan razones fundadas y motivadas, a través del Comité de Transparencia;</w:t>
      </w:r>
    </w:p>
    <w:p w:rsidRPr="003416B7" w:rsidR="003416B7" w:rsidP="003416B7" w:rsidRDefault="003416B7" w14:paraId="46EFA277" w14:textId="7C9A3A4F">
      <w:pPr>
        <w:spacing w:line="360" w:lineRule="auto"/>
        <w:ind w:right="-93"/>
        <w:jc w:val="both"/>
        <w:rPr>
          <w:rFonts w:ascii="Palatino Linotype" w:hAnsi="Palatino Linotype" w:eastAsia="Calibri" w:cs="Tahoma"/>
          <w:bCs/>
          <w:szCs w:val="22"/>
          <w:lang w:eastAsia="en-US"/>
        </w:rPr>
      </w:pPr>
    </w:p>
    <w:p w:rsidRPr="003416B7" w:rsidR="002E01AA" w:rsidP="003416B7" w:rsidRDefault="002E01AA" w14:paraId="6025FE98" w14:textId="46B6B4B4">
      <w:pPr>
        <w:pStyle w:val="Prrafodelista"/>
        <w:numPr>
          <w:ilvl w:val="0"/>
          <w:numId w:val="3"/>
        </w:numPr>
        <w:spacing w:line="360" w:lineRule="auto"/>
        <w:ind w:right="-93"/>
        <w:jc w:val="both"/>
        <w:rPr>
          <w:rFonts w:ascii="Palatino Linotype" w:hAnsi="Palatino Linotype" w:eastAsia="Calibri" w:cs="Tahoma"/>
          <w:bCs/>
          <w:szCs w:val="22"/>
          <w:lang w:eastAsia="en-US"/>
        </w:rPr>
      </w:pPr>
      <w:r w:rsidRPr="00D92D68">
        <w:rPr>
          <w:rFonts w:ascii="Palatino Linotype" w:hAnsi="Palatino Linotype" w:eastAsia="Calibri" w:cs="Tahoma"/>
          <w:bCs/>
          <w:szCs w:val="22"/>
          <w:lang w:eastAsia="en-US"/>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rsidRPr="00D92D68" w:rsidR="002E01AA" w:rsidP="002E01AA" w:rsidRDefault="002E01AA" w14:paraId="2CA506C1" w14:textId="77777777">
      <w:pPr>
        <w:pStyle w:val="Prrafodelista"/>
        <w:numPr>
          <w:ilvl w:val="0"/>
          <w:numId w:val="3"/>
        </w:numPr>
        <w:spacing w:line="360" w:lineRule="auto"/>
        <w:ind w:right="-93"/>
        <w:jc w:val="both"/>
        <w:rPr>
          <w:rFonts w:ascii="Palatino Linotype" w:hAnsi="Palatino Linotype" w:eastAsia="Calibri" w:cs="Tahoma"/>
          <w:b/>
          <w:bCs/>
          <w:szCs w:val="22"/>
          <w:lang w:eastAsia="en-US"/>
        </w:rPr>
      </w:pPr>
      <w:r w:rsidRPr="00D92D68">
        <w:rPr>
          <w:rFonts w:ascii="Palatino Linotype" w:hAnsi="Palatino Linotype" w:eastAsia="Calibri" w:cs="Tahoma"/>
          <w:bCs/>
          <w:szCs w:val="22"/>
          <w:lang w:eastAsia="en-US"/>
        </w:rPr>
        <w:lastRenderedPageBreak/>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D92D68" w:rsidR="002E01AA" w:rsidP="002E01AA" w:rsidRDefault="002E01AA" w14:paraId="5200E56A" w14:textId="77777777">
      <w:pPr>
        <w:spacing w:line="360" w:lineRule="auto"/>
        <w:ind w:right="-93"/>
        <w:jc w:val="both"/>
        <w:rPr>
          <w:rFonts w:ascii="Palatino Linotype" w:hAnsi="Palatino Linotype" w:eastAsia="Calibri" w:cs="Tahoma"/>
          <w:b/>
          <w:bCs/>
          <w:szCs w:val="22"/>
          <w:lang w:eastAsia="en-US"/>
        </w:rPr>
      </w:pPr>
    </w:p>
    <w:p w:rsidRPr="003416B7" w:rsidR="002E01AA" w:rsidP="002E01AA" w:rsidRDefault="002E01AA" w14:paraId="076E0268" w14:textId="4D843020">
      <w:pPr>
        <w:pStyle w:val="Prrafodelista"/>
        <w:numPr>
          <w:ilvl w:val="0"/>
          <w:numId w:val="3"/>
        </w:numPr>
        <w:spacing w:line="360" w:lineRule="auto"/>
        <w:ind w:right="-28"/>
        <w:jc w:val="both"/>
        <w:rPr>
          <w:rFonts w:ascii="Palatino Linotype" w:hAnsi="Palatino Linotype" w:eastAsia="Calibri" w:cs="Tahoma"/>
          <w:b/>
          <w:bCs/>
          <w:szCs w:val="22"/>
          <w:lang w:eastAsia="en-US"/>
        </w:rPr>
      </w:pPr>
      <w:r w:rsidRPr="00D92D68">
        <w:rPr>
          <w:rFonts w:ascii="Palatino Linotype" w:hAnsi="Palatino Linotype" w:eastAsia="Calibri"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3416B7" w:rsidR="003416B7" w:rsidP="003416B7" w:rsidRDefault="003416B7" w14:paraId="79A4B48F" w14:textId="77777777">
      <w:pPr>
        <w:pStyle w:val="Prrafodelista"/>
        <w:rPr>
          <w:rFonts w:ascii="Palatino Linotype" w:hAnsi="Palatino Linotype" w:eastAsia="Calibri" w:cs="Tahoma"/>
          <w:b/>
          <w:bCs/>
          <w:szCs w:val="22"/>
          <w:lang w:eastAsia="en-US"/>
        </w:rPr>
      </w:pPr>
    </w:p>
    <w:p w:rsidR="003416B7" w:rsidP="003416B7" w:rsidRDefault="003416B7" w14:paraId="018F9789" w14:textId="11080B5E">
      <w:pPr>
        <w:spacing w:line="360" w:lineRule="auto"/>
        <w:ind w:right="-28"/>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Asentado lo anterior, resulta necesario señalar que conforme a la Ley de Transparencia y Acceso a la Información Pública del Estado de México y Municipios, existe información que los sujetos obligados deben poner a disposición del público, de manera permanente y actualizada, en medios electrónicos, conocida como obligaciones de transparencia comunes y específicas, las cuales se encuentran establecidas del artículo 92 a 102 del ordenamiento jurídico referido; así, se precisa que lo requerido por el Particular se encuentra</w:t>
      </w:r>
      <w:r w:rsidR="00AA140E">
        <w:rPr>
          <w:rFonts w:ascii="Palatino Linotype" w:hAnsi="Palatino Linotype" w:eastAsia="Calibri" w:cs="Tahoma"/>
          <w:bCs/>
          <w:sz w:val="22"/>
          <w:szCs w:val="22"/>
          <w:lang w:eastAsia="en-US"/>
        </w:rPr>
        <w:t xml:space="preserve"> listado</w:t>
      </w:r>
      <w:r>
        <w:rPr>
          <w:rFonts w:ascii="Palatino Linotype" w:hAnsi="Palatino Linotype" w:eastAsia="Calibri" w:cs="Tahoma"/>
          <w:bCs/>
          <w:sz w:val="22"/>
          <w:szCs w:val="22"/>
          <w:lang w:eastAsia="en-US"/>
        </w:rPr>
        <w:t xml:space="preserve"> dentro del numeral 92, en específico en la fracción XIV, la cual a la letra reza lo siguiente:</w:t>
      </w:r>
    </w:p>
    <w:p w:rsidR="003416B7" w:rsidP="003416B7" w:rsidRDefault="003416B7" w14:paraId="2028C282" w14:textId="54F2D835">
      <w:pPr>
        <w:spacing w:line="360" w:lineRule="auto"/>
        <w:ind w:right="-28"/>
        <w:jc w:val="both"/>
        <w:rPr>
          <w:rFonts w:ascii="Palatino Linotype" w:hAnsi="Palatino Linotype" w:eastAsia="Calibri" w:cs="Tahoma"/>
          <w:bCs/>
          <w:sz w:val="22"/>
          <w:szCs w:val="22"/>
          <w:lang w:eastAsia="en-US"/>
        </w:rPr>
      </w:pPr>
    </w:p>
    <w:p w:rsidR="003416B7" w:rsidP="003416B7" w:rsidRDefault="003416B7" w14:paraId="0B0A14C6" w14:textId="77777777">
      <w:pPr>
        <w:spacing w:line="360" w:lineRule="auto"/>
        <w:ind w:left="567" w:right="539"/>
        <w:jc w:val="both"/>
        <w:rPr>
          <w:rFonts w:ascii="Palatino Linotype" w:hAnsi="Palatino Linotype"/>
          <w:i/>
        </w:rPr>
      </w:pPr>
      <w:r w:rsidRPr="003416B7">
        <w:rPr>
          <w:rFonts w:ascii="Palatino Linotype" w:hAnsi="Palatino Linotype"/>
          <w:b/>
          <w:i/>
        </w:rPr>
        <w:t>XIV</w:t>
      </w:r>
      <w:r w:rsidRPr="003416B7">
        <w:rPr>
          <w:rFonts w:ascii="Palatino Linotype" w:hAnsi="Palatino Linotype"/>
          <w:i/>
        </w:rPr>
        <w:t xml:space="preserve">. La información de los </w:t>
      </w:r>
      <w:r w:rsidRPr="003416B7">
        <w:rPr>
          <w:rFonts w:ascii="Palatino Linotype" w:hAnsi="Palatino Linotype"/>
          <w:b/>
          <w:i/>
          <w:u w:val="single"/>
        </w:rPr>
        <w:t>programas de subsidios, estímulos y apoyos</w:t>
      </w:r>
      <w:r w:rsidRPr="003416B7">
        <w:rPr>
          <w:rFonts w:ascii="Palatino Linotype" w:hAnsi="Palatino Linotype"/>
          <w:i/>
        </w:rPr>
        <w:t>, en el que se deberá informar respecto de los programas de transferencia, de servicios, de infraestructura social y de subsidio, en los que se deberá contener lo siguiente:</w:t>
      </w:r>
    </w:p>
    <w:p w:rsidR="003416B7" w:rsidP="003416B7" w:rsidRDefault="003416B7" w14:paraId="4C62EA11" w14:textId="77777777">
      <w:pPr>
        <w:spacing w:line="360" w:lineRule="auto"/>
        <w:ind w:left="567" w:right="539"/>
        <w:jc w:val="both"/>
        <w:rPr>
          <w:rFonts w:ascii="Palatino Linotype" w:hAnsi="Palatino Linotype"/>
          <w:i/>
        </w:rPr>
      </w:pPr>
      <w:r w:rsidRPr="003416B7">
        <w:rPr>
          <w:rFonts w:ascii="Palatino Linotype" w:hAnsi="Palatino Linotype"/>
          <w:i/>
        </w:rPr>
        <w:t xml:space="preserve"> a) Área; </w:t>
      </w:r>
    </w:p>
    <w:p w:rsidR="003416B7" w:rsidP="003416B7" w:rsidRDefault="003416B7" w14:paraId="4482B74D" w14:textId="77777777">
      <w:pPr>
        <w:spacing w:line="360" w:lineRule="auto"/>
        <w:ind w:left="567" w:right="539"/>
        <w:jc w:val="both"/>
        <w:rPr>
          <w:rFonts w:ascii="Palatino Linotype" w:hAnsi="Palatino Linotype"/>
          <w:i/>
        </w:rPr>
      </w:pPr>
      <w:r w:rsidRPr="003416B7">
        <w:rPr>
          <w:rFonts w:ascii="Palatino Linotype" w:hAnsi="Palatino Linotype"/>
          <w:i/>
        </w:rPr>
        <w:t xml:space="preserve">b) Denominación del programa; </w:t>
      </w:r>
    </w:p>
    <w:p w:rsidR="003416B7" w:rsidP="003416B7" w:rsidRDefault="003416B7" w14:paraId="107BBE22" w14:textId="77777777">
      <w:pPr>
        <w:spacing w:line="360" w:lineRule="auto"/>
        <w:ind w:left="567" w:right="539"/>
        <w:jc w:val="both"/>
        <w:rPr>
          <w:rFonts w:ascii="Palatino Linotype" w:hAnsi="Palatino Linotype"/>
          <w:i/>
        </w:rPr>
      </w:pPr>
      <w:r w:rsidRPr="003416B7">
        <w:rPr>
          <w:rFonts w:ascii="Palatino Linotype" w:hAnsi="Palatino Linotype"/>
          <w:i/>
        </w:rPr>
        <w:t xml:space="preserve">c) Periodo de vigencia; </w:t>
      </w:r>
    </w:p>
    <w:p w:rsidR="003416B7" w:rsidP="003416B7" w:rsidRDefault="003416B7" w14:paraId="6ACDC15D" w14:textId="77777777">
      <w:pPr>
        <w:spacing w:line="360" w:lineRule="auto"/>
        <w:ind w:left="567" w:right="539"/>
        <w:jc w:val="both"/>
        <w:rPr>
          <w:rFonts w:ascii="Palatino Linotype" w:hAnsi="Palatino Linotype"/>
          <w:i/>
        </w:rPr>
      </w:pPr>
      <w:r w:rsidRPr="003416B7">
        <w:rPr>
          <w:rFonts w:ascii="Palatino Linotype" w:hAnsi="Palatino Linotype"/>
          <w:i/>
        </w:rPr>
        <w:t xml:space="preserve">d) Diseño, objetivos y alcances; </w:t>
      </w:r>
    </w:p>
    <w:p w:rsidR="003416B7" w:rsidP="003416B7" w:rsidRDefault="003416B7" w14:paraId="2CA8DF25" w14:textId="77777777">
      <w:pPr>
        <w:spacing w:line="360" w:lineRule="auto"/>
        <w:ind w:left="567" w:right="539"/>
        <w:jc w:val="both"/>
        <w:rPr>
          <w:rFonts w:ascii="Palatino Linotype" w:hAnsi="Palatino Linotype"/>
          <w:i/>
        </w:rPr>
      </w:pPr>
      <w:r w:rsidRPr="003416B7">
        <w:rPr>
          <w:rFonts w:ascii="Palatino Linotype" w:hAnsi="Palatino Linotype"/>
          <w:i/>
        </w:rPr>
        <w:lastRenderedPageBreak/>
        <w:t xml:space="preserve">e) Metas físicas; </w:t>
      </w:r>
    </w:p>
    <w:p w:rsidR="003416B7" w:rsidP="003416B7" w:rsidRDefault="003416B7" w14:paraId="691EA947" w14:textId="77777777">
      <w:pPr>
        <w:spacing w:line="360" w:lineRule="auto"/>
        <w:ind w:left="567" w:right="539"/>
        <w:jc w:val="both"/>
        <w:rPr>
          <w:rFonts w:ascii="Palatino Linotype" w:hAnsi="Palatino Linotype"/>
          <w:i/>
        </w:rPr>
      </w:pPr>
      <w:r w:rsidRPr="003416B7">
        <w:rPr>
          <w:rFonts w:ascii="Palatino Linotype" w:hAnsi="Palatino Linotype"/>
          <w:i/>
        </w:rPr>
        <w:t xml:space="preserve">f) Población beneficiada estimada; </w:t>
      </w:r>
    </w:p>
    <w:p w:rsidR="003416B7" w:rsidP="003416B7" w:rsidRDefault="003416B7" w14:paraId="447E9341" w14:textId="77777777">
      <w:pPr>
        <w:spacing w:line="360" w:lineRule="auto"/>
        <w:ind w:left="567" w:right="539"/>
        <w:jc w:val="both"/>
        <w:rPr>
          <w:rFonts w:ascii="Palatino Linotype" w:hAnsi="Palatino Linotype"/>
          <w:i/>
        </w:rPr>
      </w:pPr>
      <w:r w:rsidRPr="003416B7">
        <w:rPr>
          <w:rFonts w:ascii="Palatino Linotype" w:hAnsi="Palatino Linotype"/>
          <w:i/>
        </w:rPr>
        <w:t xml:space="preserve">g) Monto aprobado, modificado y ejercido, así como los calendarios de su programación presupuestal; </w:t>
      </w:r>
      <w:r w:rsidRPr="003416B7">
        <w:rPr>
          <w:rFonts w:ascii="Palatino Linotype" w:hAnsi="Palatino Linotype"/>
          <w:b/>
          <w:i/>
          <w:u w:val="single"/>
        </w:rPr>
        <w:t>h) Requisitos y procedimientos de acceso</w:t>
      </w:r>
      <w:r w:rsidRPr="003416B7">
        <w:rPr>
          <w:rFonts w:ascii="Palatino Linotype" w:hAnsi="Palatino Linotype"/>
          <w:i/>
        </w:rPr>
        <w:t xml:space="preserve">; </w:t>
      </w:r>
    </w:p>
    <w:p w:rsidR="003416B7" w:rsidP="003416B7" w:rsidRDefault="003416B7" w14:paraId="692D58C6" w14:textId="77777777">
      <w:pPr>
        <w:spacing w:line="360" w:lineRule="auto"/>
        <w:ind w:left="567" w:right="539"/>
        <w:jc w:val="both"/>
        <w:rPr>
          <w:rFonts w:ascii="Palatino Linotype" w:hAnsi="Palatino Linotype"/>
          <w:i/>
        </w:rPr>
      </w:pPr>
      <w:r w:rsidRPr="003416B7">
        <w:rPr>
          <w:rFonts w:ascii="Palatino Linotype" w:hAnsi="Palatino Linotype"/>
          <w:i/>
        </w:rPr>
        <w:t xml:space="preserve">i) Procedimiento de queja o inconformidad ciudadana; </w:t>
      </w:r>
    </w:p>
    <w:p w:rsidR="003416B7" w:rsidP="003416B7" w:rsidRDefault="003416B7" w14:paraId="56941A96" w14:textId="77777777">
      <w:pPr>
        <w:spacing w:line="360" w:lineRule="auto"/>
        <w:ind w:left="567" w:right="539"/>
        <w:jc w:val="both"/>
        <w:rPr>
          <w:rFonts w:ascii="Palatino Linotype" w:hAnsi="Palatino Linotype"/>
          <w:i/>
        </w:rPr>
      </w:pPr>
      <w:r w:rsidRPr="003416B7">
        <w:rPr>
          <w:rFonts w:ascii="Palatino Linotype" w:hAnsi="Palatino Linotype"/>
          <w:i/>
        </w:rPr>
        <w:t xml:space="preserve">j) Mecanismos de exigibilidad; </w:t>
      </w:r>
    </w:p>
    <w:p w:rsidR="003416B7" w:rsidP="003416B7" w:rsidRDefault="003416B7" w14:paraId="4C7AC060" w14:textId="77777777">
      <w:pPr>
        <w:spacing w:line="360" w:lineRule="auto"/>
        <w:ind w:left="567" w:right="539"/>
        <w:jc w:val="both"/>
        <w:rPr>
          <w:rFonts w:ascii="Palatino Linotype" w:hAnsi="Palatino Linotype"/>
          <w:i/>
        </w:rPr>
      </w:pPr>
      <w:r w:rsidRPr="003416B7">
        <w:rPr>
          <w:rFonts w:ascii="Palatino Linotype" w:hAnsi="Palatino Linotype"/>
          <w:i/>
        </w:rPr>
        <w:t xml:space="preserve">k) Mecanismos e informes de evaluación y seguimiento de recomendaciones; </w:t>
      </w:r>
    </w:p>
    <w:p w:rsidR="003416B7" w:rsidP="003416B7" w:rsidRDefault="003416B7" w14:paraId="1EF249F5" w14:textId="77777777">
      <w:pPr>
        <w:spacing w:line="360" w:lineRule="auto"/>
        <w:ind w:left="567" w:right="539"/>
        <w:jc w:val="both"/>
        <w:rPr>
          <w:rFonts w:ascii="Palatino Linotype" w:hAnsi="Palatino Linotype"/>
          <w:i/>
        </w:rPr>
      </w:pPr>
      <w:r w:rsidRPr="003416B7">
        <w:rPr>
          <w:rFonts w:ascii="Palatino Linotype" w:hAnsi="Palatino Linotype"/>
          <w:i/>
        </w:rPr>
        <w:t xml:space="preserve">l) Indicadores con nombre, definición, método de cálculo, unidad de medida; dimensión, frecuencia de medición, nombre de las bases de datos utilizadas para su cálculo; </w:t>
      </w:r>
    </w:p>
    <w:p w:rsidR="003416B7" w:rsidP="003416B7" w:rsidRDefault="003416B7" w14:paraId="7EBF13FD" w14:textId="77777777">
      <w:pPr>
        <w:spacing w:line="360" w:lineRule="auto"/>
        <w:ind w:left="567" w:right="539"/>
        <w:jc w:val="both"/>
        <w:rPr>
          <w:rFonts w:ascii="Palatino Linotype" w:hAnsi="Palatino Linotype"/>
          <w:i/>
        </w:rPr>
      </w:pPr>
      <w:r w:rsidRPr="003416B7">
        <w:rPr>
          <w:rFonts w:ascii="Palatino Linotype" w:hAnsi="Palatino Linotype"/>
          <w:i/>
        </w:rPr>
        <w:t xml:space="preserve">m)Formas de participación social; </w:t>
      </w:r>
    </w:p>
    <w:p w:rsidR="003416B7" w:rsidP="003416B7" w:rsidRDefault="003416B7" w14:paraId="7663F496" w14:textId="77777777">
      <w:pPr>
        <w:spacing w:line="360" w:lineRule="auto"/>
        <w:ind w:left="567" w:right="539"/>
        <w:jc w:val="both"/>
        <w:rPr>
          <w:rFonts w:ascii="Palatino Linotype" w:hAnsi="Palatino Linotype"/>
          <w:i/>
        </w:rPr>
      </w:pPr>
      <w:r w:rsidRPr="003416B7">
        <w:rPr>
          <w:rFonts w:ascii="Palatino Linotype" w:hAnsi="Palatino Linotype"/>
          <w:i/>
        </w:rPr>
        <w:t xml:space="preserve">n) Articulación con otros programas sociales; </w:t>
      </w:r>
    </w:p>
    <w:p w:rsidR="003416B7" w:rsidP="003416B7" w:rsidRDefault="003416B7" w14:paraId="47F4BF67" w14:textId="77777777">
      <w:pPr>
        <w:spacing w:line="360" w:lineRule="auto"/>
        <w:ind w:left="567" w:right="539"/>
        <w:jc w:val="both"/>
        <w:rPr>
          <w:rFonts w:ascii="Palatino Linotype" w:hAnsi="Palatino Linotype"/>
          <w:i/>
        </w:rPr>
      </w:pPr>
      <w:r w:rsidRPr="003416B7">
        <w:rPr>
          <w:rFonts w:ascii="Palatino Linotype" w:hAnsi="Palatino Linotype"/>
          <w:i/>
        </w:rPr>
        <w:t xml:space="preserve">ñ) Vínculo a las reglas de operación o documento equivalente; </w:t>
      </w:r>
    </w:p>
    <w:p w:rsidR="003416B7" w:rsidP="003416B7" w:rsidRDefault="003416B7" w14:paraId="5CD8617F" w14:textId="77777777">
      <w:pPr>
        <w:spacing w:line="360" w:lineRule="auto"/>
        <w:ind w:left="567" w:right="539"/>
        <w:jc w:val="both"/>
        <w:rPr>
          <w:rFonts w:ascii="Palatino Linotype" w:hAnsi="Palatino Linotype"/>
          <w:i/>
        </w:rPr>
      </w:pPr>
      <w:r w:rsidRPr="003416B7">
        <w:rPr>
          <w:rFonts w:ascii="Palatino Linotype" w:hAnsi="Palatino Linotype"/>
          <w:i/>
        </w:rPr>
        <w:t xml:space="preserve">o) Informes periódicos sobre la ejecución y los resultados de las evaluaciones realizadas; y </w:t>
      </w:r>
    </w:p>
    <w:p w:rsidRPr="003416B7" w:rsidR="003416B7" w:rsidP="003416B7" w:rsidRDefault="003416B7" w14:paraId="06CF7FD5" w14:textId="77777777">
      <w:pPr>
        <w:spacing w:line="360" w:lineRule="auto"/>
        <w:ind w:left="567" w:right="539"/>
        <w:jc w:val="both"/>
        <w:rPr>
          <w:rFonts w:ascii="Palatino Linotype" w:hAnsi="Palatino Linotype"/>
          <w:b/>
          <w:i/>
          <w:u w:val="single"/>
        </w:rPr>
      </w:pPr>
      <w:r w:rsidRPr="003416B7">
        <w:rPr>
          <w:rFonts w:ascii="Palatino Linotype" w:hAnsi="Palatino Linotype"/>
          <w:b/>
          <w:i/>
          <w:u w:val="single"/>
        </w:rPr>
        <w:t>p) Padrón de beneficiarios mismo que deberá contener los siguientes datos: nombre de la persona física o denominación social de las personas juríd</w:t>
      </w:r>
      <w:r>
        <w:rPr>
          <w:rFonts w:ascii="Palatino Linotype" w:hAnsi="Palatino Linotype"/>
          <w:b/>
          <w:i/>
          <w:u w:val="single"/>
        </w:rPr>
        <w:t xml:space="preserve">icas colectivas beneficiadas, </w:t>
      </w:r>
      <w:r w:rsidRPr="003416B7">
        <w:rPr>
          <w:rFonts w:ascii="Palatino Linotype" w:hAnsi="Palatino Linotype"/>
          <w:b/>
          <w:i/>
          <w:u w:val="single"/>
        </w:rPr>
        <w:t>monto, recurso, beneficio o apoyo otorgado para cada una de ellas, unidad territorial, en</w:t>
      </w:r>
    </w:p>
    <w:p w:rsidR="003416B7" w:rsidP="003416B7" w:rsidRDefault="003416B7" w14:paraId="035D395B" w14:textId="4F4203FC">
      <w:pPr>
        <w:spacing w:line="360" w:lineRule="auto"/>
        <w:ind w:left="567" w:right="539"/>
        <w:jc w:val="both"/>
        <w:rPr>
          <w:rFonts w:ascii="Palatino Linotype" w:hAnsi="Palatino Linotype"/>
          <w:b/>
          <w:i/>
          <w:u w:val="single"/>
        </w:rPr>
      </w:pPr>
      <w:r w:rsidRPr="003416B7">
        <w:rPr>
          <w:rFonts w:ascii="Palatino Linotype" w:hAnsi="Palatino Linotype"/>
          <w:b/>
          <w:i/>
          <w:u w:val="single"/>
        </w:rPr>
        <w:t>su caso, edad y sexo.</w:t>
      </w:r>
      <w:r>
        <w:rPr>
          <w:rFonts w:ascii="Palatino Linotype" w:hAnsi="Palatino Linotype"/>
          <w:b/>
          <w:i/>
          <w:u w:val="single"/>
        </w:rPr>
        <w:t xml:space="preserve"> </w:t>
      </w:r>
    </w:p>
    <w:p w:rsidR="003416B7" w:rsidP="003416B7" w:rsidRDefault="003416B7" w14:paraId="7B6CA865" w14:textId="7A5E2A85">
      <w:pPr>
        <w:spacing w:line="360" w:lineRule="auto"/>
        <w:ind w:right="539"/>
        <w:jc w:val="both"/>
        <w:rPr>
          <w:rFonts w:ascii="Palatino Linotype" w:hAnsi="Palatino Linotype"/>
          <w:b/>
          <w:i/>
          <w:u w:val="single"/>
        </w:rPr>
      </w:pPr>
    </w:p>
    <w:p w:rsidR="003416B7" w:rsidP="00AA140E" w:rsidRDefault="00B177FF" w14:paraId="0992279B" w14:textId="7C10B0C0">
      <w:pPr>
        <w:spacing w:line="360" w:lineRule="auto"/>
        <w:ind w:right="-28"/>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Como se logra observar, lo solicitado por el Particular se trata de información pública de oficio, es decir, que debe estar de manera electrónica y a disposición de los Ciudadanos; </w:t>
      </w:r>
      <w:r w:rsidR="00AA140E">
        <w:rPr>
          <w:rFonts w:ascii="Palatino Linotype" w:hAnsi="Palatino Linotype" w:eastAsia="Calibri" w:cs="Tahoma"/>
          <w:bCs/>
          <w:sz w:val="22"/>
          <w:szCs w:val="22"/>
          <w:lang w:eastAsia="en-US"/>
        </w:rPr>
        <w:t xml:space="preserve">por ende, se entiende que la información de mérito, </w:t>
      </w:r>
      <w:r>
        <w:rPr>
          <w:rFonts w:ascii="Palatino Linotype" w:hAnsi="Palatino Linotype" w:eastAsia="Calibri" w:cs="Tahoma"/>
          <w:bCs/>
          <w:sz w:val="22"/>
          <w:szCs w:val="22"/>
          <w:lang w:eastAsia="en-US"/>
        </w:rPr>
        <w:t>dentro</w:t>
      </w:r>
      <w:r w:rsidR="00AA140E">
        <w:rPr>
          <w:rFonts w:ascii="Palatino Linotype" w:hAnsi="Palatino Linotype" w:eastAsia="Calibri" w:cs="Tahoma"/>
          <w:bCs/>
          <w:sz w:val="22"/>
          <w:szCs w:val="22"/>
          <w:lang w:eastAsia="en-US"/>
        </w:rPr>
        <w:t xml:space="preserve"> obrar</w:t>
      </w:r>
      <w:r>
        <w:rPr>
          <w:rFonts w:ascii="Palatino Linotype" w:hAnsi="Palatino Linotype" w:eastAsia="Calibri" w:cs="Tahoma"/>
          <w:bCs/>
          <w:sz w:val="22"/>
          <w:szCs w:val="22"/>
          <w:lang w:eastAsia="en-US"/>
        </w:rPr>
        <w:t xml:space="preserve"> </w:t>
      </w:r>
      <w:r w:rsidR="00AA140E">
        <w:rPr>
          <w:rFonts w:ascii="Palatino Linotype" w:hAnsi="Palatino Linotype" w:eastAsia="Calibri" w:cs="Tahoma"/>
          <w:bCs/>
          <w:sz w:val="22"/>
          <w:szCs w:val="22"/>
          <w:lang w:eastAsia="en-US"/>
        </w:rPr>
        <w:t>en</w:t>
      </w:r>
      <w:r>
        <w:rPr>
          <w:rFonts w:ascii="Palatino Linotype" w:hAnsi="Palatino Linotype" w:eastAsia="Calibri" w:cs="Tahoma"/>
          <w:bCs/>
          <w:sz w:val="22"/>
          <w:szCs w:val="22"/>
          <w:lang w:eastAsia="en-US"/>
        </w:rPr>
        <w:t xml:space="preserve"> los archivos del Sujeto Obligado. </w:t>
      </w:r>
    </w:p>
    <w:p w:rsidR="00B177FF" w:rsidP="003416B7" w:rsidRDefault="00B177FF" w14:paraId="0B7E9B2F" w14:textId="2DD5DB26">
      <w:pPr>
        <w:spacing w:line="360" w:lineRule="auto"/>
        <w:ind w:right="539"/>
        <w:jc w:val="both"/>
        <w:rPr>
          <w:rFonts w:ascii="Palatino Linotype" w:hAnsi="Palatino Linotype" w:eastAsia="Calibri" w:cs="Tahoma"/>
          <w:bCs/>
          <w:sz w:val="22"/>
          <w:szCs w:val="22"/>
          <w:lang w:eastAsia="en-US"/>
        </w:rPr>
      </w:pPr>
    </w:p>
    <w:p w:rsidRPr="00FA4C72" w:rsidR="00B177FF" w:rsidP="00B177FF" w:rsidRDefault="00B177FF" w14:paraId="1C7FA05E" w14:textId="77777777">
      <w:pPr>
        <w:spacing w:line="360" w:lineRule="auto"/>
        <w:jc w:val="both"/>
        <w:rPr>
          <w:rFonts w:ascii="Palatino Linotype" w:hAnsi="Palatino Linotype" w:cs="Tahoma"/>
          <w:bCs/>
          <w:sz w:val="22"/>
          <w:szCs w:val="22"/>
        </w:rPr>
      </w:pPr>
      <w:r w:rsidRPr="00FA4C72">
        <w:rPr>
          <w:rFonts w:ascii="Palatino Linotype" w:hAnsi="Palatino Linotype" w:eastAsia="Calibri"/>
          <w:color w:val="000000"/>
          <w:sz w:val="22"/>
          <w:szCs w:val="22"/>
          <w:lang w:eastAsia="en-US"/>
        </w:rPr>
        <w:t xml:space="preserve">Establecido lo anterior, </w:t>
      </w:r>
      <w:r w:rsidRPr="00FA4C72">
        <w:rPr>
          <w:rFonts w:ascii="Palatino Linotype" w:hAnsi="Palatino Linotype" w:cs="Tahoma"/>
          <w:iCs/>
          <w:sz w:val="22"/>
          <w:szCs w:val="22"/>
        </w:rPr>
        <w:t>se procede analizar el agravió hecho valer por el Particular, referente al cambio de modalidad realizada por el Ayuntamiento de Ixtapan de la Sal</w:t>
      </w:r>
      <w:r w:rsidRPr="00FA4C72">
        <w:rPr>
          <w:rFonts w:ascii="Palatino Linotype" w:hAnsi="Palatino Linotype" w:cs="Tahoma"/>
          <w:b/>
          <w:iCs/>
          <w:sz w:val="22"/>
          <w:szCs w:val="22"/>
        </w:rPr>
        <w:t xml:space="preserve">; </w:t>
      </w:r>
      <w:r w:rsidRPr="00FA4C72">
        <w:rPr>
          <w:rFonts w:ascii="Palatino Linotype" w:hAnsi="Palatino Linotype" w:cs="Tahoma"/>
          <w:bCs/>
          <w:iCs/>
          <w:sz w:val="22"/>
          <w:szCs w:val="22"/>
        </w:rPr>
        <w:t xml:space="preserve">al respecto, </w:t>
      </w:r>
      <w:r w:rsidRPr="00FA4C72">
        <w:rPr>
          <w:rFonts w:ascii="Palatino Linotype" w:hAnsi="Palatino Linotype" w:cs="Tahoma"/>
          <w:bCs/>
          <w:sz w:val="22"/>
          <w:szCs w:val="22"/>
        </w:rPr>
        <w:t>cabe recordar que se requirió la información, a través del Sistema de Acceso a Información Mexiquense (SAIMEX).</w:t>
      </w:r>
    </w:p>
    <w:p w:rsidR="00B177FF" w:rsidP="003416B7" w:rsidRDefault="00B177FF" w14:paraId="0045091D" w14:textId="356F95D9">
      <w:pPr>
        <w:spacing w:line="360" w:lineRule="auto"/>
        <w:ind w:right="539"/>
        <w:jc w:val="both"/>
        <w:rPr>
          <w:rFonts w:ascii="Palatino Linotype" w:hAnsi="Palatino Linotype"/>
          <w:sz w:val="22"/>
        </w:rPr>
      </w:pPr>
    </w:p>
    <w:p w:rsidRPr="00FA4C72" w:rsidR="00B177FF" w:rsidP="00B177FF" w:rsidRDefault="00B177FF" w14:paraId="5AA630E9" w14:textId="77777777">
      <w:pPr>
        <w:spacing w:line="360" w:lineRule="auto"/>
        <w:jc w:val="both"/>
        <w:rPr>
          <w:rFonts w:ascii="Palatino Linotype" w:hAnsi="Palatino Linotype" w:eastAsia="Calibri" w:cs="Tahoma"/>
          <w:bCs/>
          <w:sz w:val="22"/>
          <w:szCs w:val="22"/>
          <w:lang w:eastAsia="en-US"/>
        </w:rPr>
      </w:pPr>
      <w:r w:rsidRPr="00FA4C72">
        <w:rPr>
          <w:rFonts w:ascii="Palatino Linotype" w:hAnsi="Palatino Linotype" w:eastAsia="Calibri" w:cs="Tahoma"/>
          <w:bCs/>
          <w:sz w:val="22"/>
          <w:szCs w:val="22"/>
          <w:lang w:val="es-ES" w:eastAsia="en-US"/>
        </w:rPr>
        <w:lastRenderedPageBreak/>
        <w:t xml:space="preserve">Al respecto, el artículo 155, fracción V, de la Ley de Transparencia y Acceso a la Información Pública del Estado de México y Municipios, precisa que </w:t>
      </w:r>
      <w:r w:rsidRPr="00FA4C72">
        <w:rPr>
          <w:rFonts w:ascii="Palatino Linotype" w:hAnsi="Palatino Linotype" w:eastAsia="Calibri" w:cs="Tahoma"/>
          <w:bCs/>
          <w:sz w:val="22"/>
          <w:szCs w:val="22"/>
          <w:lang w:eastAsia="en-US"/>
        </w:rPr>
        <w:t xml:space="preserve">para presentar una solicitud, la particular podrá señalar </w:t>
      </w:r>
      <w:r w:rsidRPr="00FA4C72">
        <w:rPr>
          <w:rFonts w:ascii="Palatino Linotype" w:hAnsi="Palatino Linotype" w:eastAsia="Calibri" w:cs="Tahoma"/>
          <w:b/>
          <w:bCs/>
          <w:sz w:val="22"/>
          <w:szCs w:val="22"/>
          <w:lang w:eastAsia="en-US"/>
        </w:rPr>
        <w:t>la modalidad en la que prefiere se otorgue el acceso a la información</w:t>
      </w:r>
      <w:r w:rsidRPr="00FA4C72">
        <w:rPr>
          <w:rFonts w:ascii="Palatino Linotype" w:hAnsi="Palatino Linotype" w:eastAsia="Calibri" w:cs="Tahoma"/>
          <w:bCs/>
          <w:sz w:val="22"/>
          <w:szCs w:val="22"/>
          <w:lang w:eastAsia="en-US"/>
        </w:rPr>
        <w:t>, la cual podrá ser verbal, siempre y cuando sea para fines de orientación, mediante consulta directa, mediante la expedición de copias simples o certificadas o la reproducción en cualquier otro medio, incluidos los electrónicos.</w:t>
      </w:r>
    </w:p>
    <w:p w:rsidRPr="00FA4C72" w:rsidR="00B177FF" w:rsidP="00B177FF" w:rsidRDefault="00B177FF" w14:paraId="34AF2E44" w14:textId="77777777">
      <w:pPr>
        <w:spacing w:line="360" w:lineRule="auto"/>
        <w:jc w:val="both"/>
        <w:rPr>
          <w:rFonts w:ascii="Palatino Linotype" w:hAnsi="Palatino Linotype" w:eastAsia="Calibri" w:cs="Tahoma"/>
          <w:bCs/>
          <w:sz w:val="22"/>
          <w:szCs w:val="22"/>
          <w:lang w:val="es-ES" w:eastAsia="en-US"/>
        </w:rPr>
      </w:pPr>
    </w:p>
    <w:p w:rsidR="00B177FF" w:rsidP="00B177FF" w:rsidRDefault="00B177FF" w14:paraId="3F8EB574" w14:textId="77777777">
      <w:pPr>
        <w:spacing w:line="360" w:lineRule="auto"/>
        <w:jc w:val="both"/>
        <w:rPr>
          <w:rFonts w:ascii="Palatino Linotype" w:hAnsi="Palatino Linotype" w:eastAsia="Calibri" w:cs="Tahoma"/>
          <w:b/>
          <w:bCs/>
          <w:sz w:val="22"/>
          <w:szCs w:val="22"/>
          <w:lang w:val="es-ES" w:eastAsia="en-US"/>
        </w:rPr>
      </w:pPr>
      <w:r w:rsidRPr="00FA4C72">
        <w:rPr>
          <w:rFonts w:ascii="Palatino Linotype" w:hAnsi="Palatino Linotype" w:eastAsia="Calibri" w:cs="Tahoma"/>
          <w:bCs/>
          <w:sz w:val="22"/>
          <w:szCs w:val="22"/>
          <w:lang w:val="es-ES" w:eastAsia="en-US"/>
        </w:rPr>
        <w:t xml:space="preserve">El artículo 158, dispone que, de manera excepcional, cuando de manera fundada y motivada lo determine el Sujeto Obligado, </w:t>
      </w:r>
      <w:r w:rsidRPr="00FA4C72">
        <w:rPr>
          <w:rFonts w:ascii="Palatino Linotype" w:hAnsi="Palatino Linotype" w:eastAsia="Calibri" w:cs="Tahoma"/>
          <w:b/>
          <w:bCs/>
          <w:sz w:val="22"/>
          <w:szCs w:val="22"/>
          <w:lang w:val="es-ES" w:eastAsia="en-U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rsidRPr="00FA4C72" w:rsidR="00B177FF" w:rsidP="00B177FF" w:rsidRDefault="00B177FF" w14:paraId="60D3F94E" w14:textId="77777777">
      <w:pPr>
        <w:spacing w:line="360" w:lineRule="auto"/>
        <w:jc w:val="both"/>
        <w:rPr>
          <w:rFonts w:ascii="Palatino Linotype" w:hAnsi="Palatino Linotype" w:eastAsia="Calibri" w:cs="Tahoma"/>
          <w:b/>
          <w:bCs/>
          <w:sz w:val="22"/>
          <w:szCs w:val="22"/>
          <w:lang w:val="es-ES" w:eastAsia="en-US"/>
        </w:rPr>
      </w:pPr>
    </w:p>
    <w:p w:rsidRPr="00FA4C72" w:rsidR="00B177FF" w:rsidP="00B177FF" w:rsidRDefault="00B177FF" w14:paraId="3F102131" w14:textId="77777777">
      <w:pPr>
        <w:spacing w:line="360" w:lineRule="auto"/>
        <w:jc w:val="both"/>
        <w:rPr>
          <w:rFonts w:ascii="Palatino Linotype" w:hAnsi="Palatino Linotype" w:eastAsia="Calibri" w:cs="Tahoma"/>
          <w:bCs/>
          <w:sz w:val="22"/>
          <w:szCs w:val="22"/>
          <w:lang w:eastAsia="en-US"/>
        </w:rPr>
      </w:pPr>
      <w:r w:rsidRPr="00FA4C72">
        <w:rPr>
          <w:rFonts w:ascii="Palatino Linotype" w:hAnsi="Palatino Linotype" w:eastAsia="Calibri" w:cs="Tahoma"/>
          <w:bCs/>
          <w:sz w:val="22"/>
          <w:szCs w:val="22"/>
          <w:lang w:val="es-ES" w:eastAsia="en-US"/>
        </w:rPr>
        <w:t xml:space="preserve"> En ese orden de ideas, el artículo 164 de dicho ordenamiento jurídico, prevé que </w:t>
      </w:r>
      <w:r w:rsidRPr="00FA4C72">
        <w:rPr>
          <w:rFonts w:ascii="Palatino Linotype" w:hAnsi="Palatino Linotype" w:eastAsia="Calibri" w:cs="Tahoma"/>
          <w:bCs/>
          <w:sz w:val="22"/>
          <w:szCs w:val="22"/>
          <w:lang w:eastAsia="en-US"/>
        </w:rPr>
        <w:t xml:space="preserve">el acceso se dará en la modalidad de entrega y, en su caso, de envío elegidos por al solicitante. </w:t>
      </w:r>
      <w:r w:rsidRPr="00FA4C72">
        <w:rPr>
          <w:rFonts w:ascii="Palatino Linotype" w:hAnsi="Palatino Linotype" w:eastAsia="Calibri" w:cs="Tahoma"/>
          <w:b/>
          <w:bCs/>
          <w:sz w:val="22"/>
          <w:szCs w:val="22"/>
          <w:lang w:eastAsia="en-US"/>
        </w:rPr>
        <w:t>Cuando la información no pueda entregarse o enviarse en la modalidad elegida, el sujeto obligado deberá ofrecer otra u otras modalidades de entrega.</w:t>
      </w:r>
      <w:r w:rsidRPr="00FA4C72">
        <w:rPr>
          <w:rFonts w:ascii="Palatino Linotype" w:hAnsi="Palatino Linotype" w:eastAsia="Calibri" w:cs="Tahoma"/>
          <w:bCs/>
          <w:sz w:val="22"/>
          <w:szCs w:val="22"/>
          <w:lang w:eastAsia="en-US"/>
        </w:rPr>
        <w:t xml:space="preserve"> En cualquier caso, </w:t>
      </w:r>
      <w:r w:rsidRPr="00FA4C72">
        <w:rPr>
          <w:rFonts w:ascii="Palatino Linotype" w:hAnsi="Palatino Linotype" w:eastAsia="Calibri" w:cs="Tahoma"/>
          <w:b/>
          <w:bCs/>
          <w:sz w:val="22"/>
          <w:szCs w:val="22"/>
          <w:lang w:eastAsia="en-US"/>
        </w:rPr>
        <w:t>se deberá fundar y motivar</w:t>
      </w:r>
      <w:r w:rsidRPr="00FA4C72">
        <w:rPr>
          <w:rFonts w:ascii="Palatino Linotype" w:hAnsi="Palatino Linotype" w:eastAsia="Calibri" w:cs="Tahoma"/>
          <w:bCs/>
          <w:sz w:val="22"/>
          <w:szCs w:val="22"/>
          <w:lang w:eastAsia="en-US"/>
        </w:rPr>
        <w:t xml:space="preserve"> la necesidad de ofrecer otras modalidades.</w:t>
      </w:r>
    </w:p>
    <w:p w:rsidR="00B177FF" w:rsidP="003416B7" w:rsidRDefault="00B177FF" w14:paraId="14D46DFE" w14:textId="77777777">
      <w:pPr>
        <w:spacing w:line="360" w:lineRule="auto"/>
        <w:ind w:right="539"/>
        <w:jc w:val="both"/>
        <w:rPr>
          <w:rFonts w:ascii="Palatino Linotype" w:hAnsi="Palatino Linotype"/>
          <w:sz w:val="22"/>
        </w:rPr>
      </w:pPr>
    </w:p>
    <w:p w:rsidRPr="00FA4C72" w:rsidR="00B177FF" w:rsidP="00B177FF" w:rsidRDefault="00B177FF" w14:paraId="47D0D054" w14:textId="77777777">
      <w:pPr>
        <w:spacing w:line="360" w:lineRule="auto"/>
        <w:jc w:val="both"/>
        <w:rPr>
          <w:rFonts w:ascii="Palatino Linotype" w:hAnsi="Palatino Linotype" w:eastAsia="Calibri" w:cs="Tahoma"/>
          <w:bCs/>
          <w:sz w:val="22"/>
          <w:szCs w:val="22"/>
          <w:lang w:val="es-ES" w:eastAsia="en-US"/>
        </w:rPr>
      </w:pPr>
      <w:r w:rsidRPr="00FA4C72">
        <w:rPr>
          <w:rFonts w:ascii="Palatino Linotype" w:hAnsi="Palatino Linotype" w:eastAsia="Calibri" w:cs="Tahoma"/>
          <w:bCs/>
          <w:sz w:val="22"/>
          <w:szCs w:val="22"/>
          <w:lang w:val="es-ES" w:eastAsia="en-US"/>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FA4C72">
        <w:rPr>
          <w:rFonts w:ascii="Palatino Linotype" w:hAnsi="Palatino Linotype" w:eastAsia="Calibri" w:cs="Tahoma"/>
          <w:b/>
          <w:bCs/>
          <w:sz w:val="22"/>
          <w:szCs w:val="22"/>
          <w:lang w:val="es-ES" w:eastAsia="en-US"/>
        </w:rPr>
        <w:t>en la medida de lo posible, en la forma solicitada por el interesado, salvo que exista un impedimento justificado para atenderla</w:t>
      </w:r>
      <w:r w:rsidRPr="00FA4C72">
        <w:rPr>
          <w:rFonts w:ascii="Palatino Linotype" w:hAnsi="Palatino Linotype" w:eastAsia="Calibri" w:cs="Tahoma"/>
          <w:bCs/>
          <w:sz w:val="22"/>
          <w:szCs w:val="22"/>
          <w:lang w:val="es-ES" w:eastAsia="en-US"/>
        </w:rPr>
        <w:t xml:space="preserve">, en cuyo caso, deberán exponerse las razones por las cuales no es posible utilizar el medio de reproducción </w:t>
      </w:r>
      <w:r w:rsidRPr="00FA4C72">
        <w:rPr>
          <w:rFonts w:ascii="Palatino Linotype" w:hAnsi="Palatino Linotype" w:eastAsia="Calibri" w:cs="Tahoma"/>
          <w:bCs/>
          <w:sz w:val="22"/>
          <w:szCs w:val="22"/>
          <w:lang w:val="es-ES" w:eastAsia="en-US"/>
        </w:rPr>
        <w:lastRenderedPageBreak/>
        <w:t xml:space="preserve">solicitado; en este sentido, la entrega de la información en una modalidad distinta a la elegida por la particular </w:t>
      </w:r>
      <w:r w:rsidRPr="00FA4C72">
        <w:rPr>
          <w:rFonts w:ascii="Palatino Linotype" w:hAnsi="Palatino Linotype" w:eastAsia="Calibri" w:cs="Tahoma"/>
          <w:b/>
          <w:bCs/>
          <w:sz w:val="22"/>
          <w:szCs w:val="22"/>
          <w:lang w:val="es-ES" w:eastAsia="en-US"/>
        </w:rPr>
        <w:t>sólo procede, en caso de que se acredite la imposibilidad de atenderla.</w:t>
      </w:r>
      <w:r w:rsidRPr="00FA4C72">
        <w:rPr>
          <w:rFonts w:ascii="Palatino Linotype" w:hAnsi="Palatino Linotype" w:eastAsia="Calibri" w:cs="Tahoma"/>
          <w:bCs/>
          <w:sz w:val="22"/>
          <w:szCs w:val="22"/>
          <w:lang w:val="es-ES" w:eastAsia="en-US"/>
        </w:rPr>
        <w:t xml:space="preserve"> </w:t>
      </w:r>
    </w:p>
    <w:p w:rsidRPr="00FA4C72" w:rsidR="00B177FF" w:rsidP="00B177FF" w:rsidRDefault="00B177FF" w14:paraId="30D4F20B" w14:textId="77777777">
      <w:pPr>
        <w:spacing w:line="360" w:lineRule="auto"/>
        <w:jc w:val="both"/>
        <w:rPr>
          <w:rFonts w:ascii="Palatino Linotype" w:hAnsi="Palatino Linotype" w:eastAsia="Calibri" w:cs="Tahoma"/>
          <w:bCs/>
          <w:sz w:val="22"/>
          <w:szCs w:val="22"/>
          <w:lang w:val="es-ES" w:eastAsia="en-US"/>
        </w:rPr>
      </w:pPr>
    </w:p>
    <w:p w:rsidRPr="00FA4C72" w:rsidR="00B177FF" w:rsidP="00B177FF" w:rsidRDefault="00B177FF" w14:paraId="74566D6E" w14:textId="77777777">
      <w:pPr>
        <w:spacing w:line="360" w:lineRule="auto"/>
        <w:jc w:val="both"/>
        <w:rPr>
          <w:rFonts w:ascii="Palatino Linotype" w:hAnsi="Palatino Linotype" w:eastAsia="Calibri" w:cs="Tahoma"/>
          <w:bCs/>
          <w:sz w:val="22"/>
          <w:szCs w:val="22"/>
          <w:lang w:val="es-ES" w:eastAsia="en-US"/>
        </w:rPr>
      </w:pPr>
      <w:r w:rsidRPr="00FA4C72">
        <w:rPr>
          <w:rFonts w:ascii="Palatino Linotype" w:hAnsi="Palatino Linotype" w:eastAsia="Calibri" w:cs="Tahoma"/>
          <w:bCs/>
          <w:sz w:val="22"/>
          <w:szCs w:val="22"/>
          <w:lang w:val="es-ES" w:eastAsia="en-US"/>
        </w:rPr>
        <w:t xml:space="preserve">Así, cuando se justifique el impedimento, </w:t>
      </w:r>
      <w:r w:rsidRPr="00FA4C72">
        <w:rPr>
          <w:rFonts w:ascii="Palatino Linotype" w:hAnsi="Palatino Linotype" w:eastAsia="Calibri" w:cs="Tahoma"/>
          <w:b/>
          <w:bCs/>
          <w:sz w:val="22"/>
          <w:szCs w:val="22"/>
          <w:lang w:val="es-ES" w:eastAsia="en-US"/>
        </w:rPr>
        <w:t>los Sujetos Obligados deberán ofrecer al particular otras modalidades de entrega que permita la información</w:t>
      </w:r>
      <w:r w:rsidRPr="00FA4C72">
        <w:rPr>
          <w:rFonts w:ascii="Palatino Linotype" w:hAnsi="Palatino Linotype" w:eastAsia="Calibri" w:cs="Tahoma"/>
          <w:bCs/>
          <w:sz w:val="22"/>
          <w:szCs w:val="22"/>
          <w:lang w:val="es-ES" w:eastAsia="en-U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rsidRPr="00FA4C72" w:rsidR="00B177FF" w:rsidP="00B177FF" w:rsidRDefault="00B177FF" w14:paraId="32B10235" w14:textId="77777777">
      <w:pPr>
        <w:spacing w:line="360" w:lineRule="auto"/>
        <w:jc w:val="both"/>
        <w:rPr>
          <w:rFonts w:ascii="Palatino Linotype" w:hAnsi="Palatino Linotype" w:eastAsia="Calibri" w:cs="Tahoma"/>
          <w:bCs/>
          <w:lang w:val="es-ES" w:eastAsia="en-US"/>
        </w:rPr>
      </w:pPr>
    </w:p>
    <w:p w:rsidRPr="00FA4C72" w:rsidR="00B177FF" w:rsidP="00B177FF" w:rsidRDefault="00B177FF" w14:paraId="4BAE7ECC" w14:textId="77777777">
      <w:pPr>
        <w:spacing w:line="360" w:lineRule="auto"/>
        <w:ind w:left="567" w:right="616"/>
        <w:jc w:val="both"/>
        <w:rPr>
          <w:rFonts w:ascii="Palatino Linotype" w:hAnsi="Palatino Linotype" w:eastAsia="Calibri" w:cs="Tahoma"/>
          <w:bCs/>
          <w:i/>
          <w:lang w:val="es-ES" w:eastAsia="en-US"/>
        </w:rPr>
      </w:pPr>
      <w:r w:rsidRPr="00FA4C72">
        <w:rPr>
          <w:rFonts w:ascii="Palatino Linotype" w:hAnsi="Palatino Linotype" w:eastAsia="Calibri" w:cs="Tahoma"/>
          <w:b/>
          <w:bCs/>
          <w:i/>
          <w:lang w:val="es-ES" w:eastAsia="en-US"/>
        </w:rPr>
        <w:t>Modalidad de entrega. Procedencia de proporcionar la información solicitada en una diversa a la elegida por el solicitante.</w:t>
      </w:r>
      <w:r w:rsidRPr="00FA4C72">
        <w:rPr>
          <w:rFonts w:ascii="Palatino Linotype" w:hAnsi="Palatino Linotype" w:eastAsia="Calibri" w:cs="Tahoma"/>
          <w:bCs/>
          <w:i/>
          <w:lang w:val="es-ES"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w:t>
      </w:r>
      <w:r>
        <w:rPr>
          <w:rFonts w:ascii="Palatino Linotype" w:hAnsi="Palatino Linotype" w:eastAsia="Calibri" w:cs="Tahoma"/>
          <w:bCs/>
          <w:i/>
          <w:lang w:val="es-ES" w:eastAsia="en-US"/>
        </w:rPr>
        <w:t>momento, los costos de entrega.</w:t>
      </w:r>
    </w:p>
    <w:p w:rsidRPr="00FA4C72" w:rsidR="00B177FF" w:rsidP="00B177FF" w:rsidRDefault="00B177FF" w14:paraId="00434642" w14:textId="77777777">
      <w:pPr>
        <w:spacing w:line="360" w:lineRule="auto"/>
        <w:jc w:val="both"/>
        <w:rPr>
          <w:rFonts w:ascii="Palatino Linotype" w:hAnsi="Palatino Linotype" w:eastAsia="Calibri" w:cs="Tahoma"/>
          <w:bCs/>
          <w:sz w:val="22"/>
          <w:szCs w:val="22"/>
          <w:lang w:val="es-ES" w:eastAsia="en-US"/>
        </w:rPr>
      </w:pPr>
    </w:p>
    <w:p w:rsidR="00B177FF" w:rsidP="00B177FF" w:rsidRDefault="00B177FF" w14:paraId="2FEB05E7" w14:textId="615B3A96">
      <w:pPr>
        <w:spacing w:line="360" w:lineRule="auto"/>
        <w:jc w:val="both"/>
        <w:rPr>
          <w:rFonts w:ascii="Palatino Linotype" w:hAnsi="Palatino Linotype" w:eastAsia="Calibri" w:cs="Tahoma"/>
          <w:b/>
          <w:sz w:val="22"/>
          <w:szCs w:val="22"/>
          <w:lang w:val="es-ES" w:eastAsia="en-US"/>
        </w:rPr>
      </w:pPr>
      <w:r w:rsidRPr="00FA4C72">
        <w:rPr>
          <w:rFonts w:ascii="Palatino Linotype" w:hAnsi="Palatino Linotype" w:eastAsia="Calibri" w:cs="Tahoma"/>
          <w:bCs/>
          <w:sz w:val="22"/>
          <w:szCs w:val="22"/>
          <w:lang w:val="es-ES" w:eastAsia="en-US"/>
        </w:rPr>
        <w:t>Del citado criterio, se desprende que cuando no sea posible aten</w:t>
      </w:r>
      <w:r>
        <w:rPr>
          <w:rFonts w:ascii="Palatino Linotype" w:hAnsi="Palatino Linotype" w:eastAsia="Calibri" w:cs="Tahoma"/>
          <w:bCs/>
          <w:sz w:val="22"/>
          <w:szCs w:val="22"/>
          <w:lang w:val="es-ES" w:eastAsia="en-US"/>
        </w:rPr>
        <w:t>d</w:t>
      </w:r>
      <w:r w:rsidRPr="00FA4C72">
        <w:rPr>
          <w:rFonts w:ascii="Palatino Linotype" w:hAnsi="Palatino Linotype" w:eastAsia="Calibri" w:cs="Tahoma"/>
          <w:bCs/>
          <w:sz w:val="22"/>
          <w:szCs w:val="22"/>
          <w:lang w:val="es-ES" w:eastAsia="en-US"/>
        </w:rPr>
        <w:t xml:space="preserve">er la modalidad elegida por los solicitantes, la obligación de acceso a la información se tendrá por cumplida cuando el Sujeto Obligado justifique el impedimento para atender la misma y se notifique al particular la puesta a disposición de la </w:t>
      </w:r>
      <w:r w:rsidRPr="00535012">
        <w:rPr>
          <w:rFonts w:ascii="Palatino Linotype" w:hAnsi="Palatino Linotype" w:eastAsia="Calibri" w:cs="Tahoma"/>
          <w:bCs/>
          <w:sz w:val="22"/>
          <w:szCs w:val="22"/>
          <w:lang w:val="es-ES" w:eastAsia="en-US"/>
        </w:rPr>
        <w:t>información en todas las modalidades que lo permitan, procurando reducir los costos de entrega.</w:t>
      </w:r>
    </w:p>
    <w:p w:rsidR="00B177FF" w:rsidP="00B177FF" w:rsidRDefault="00B177FF" w14:paraId="03E37B3D" w14:textId="2266457F">
      <w:pPr>
        <w:spacing w:line="360" w:lineRule="auto"/>
        <w:jc w:val="both"/>
        <w:rPr>
          <w:rFonts w:ascii="Palatino Linotype" w:hAnsi="Palatino Linotype" w:eastAsia="Calibri" w:cs="Tahoma"/>
          <w:b/>
          <w:sz w:val="22"/>
          <w:szCs w:val="22"/>
          <w:lang w:val="es-ES" w:eastAsia="en-US"/>
        </w:rPr>
      </w:pPr>
    </w:p>
    <w:p w:rsidRPr="00FA4C72" w:rsidR="00B177FF" w:rsidP="00B177FF" w:rsidRDefault="00B177FF" w14:paraId="2777D226" w14:textId="77777777">
      <w:pPr>
        <w:spacing w:line="360" w:lineRule="auto"/>
        <w:jc w:val="both"/>
        <w:rPr>
          <w:rFonts w:ascii="Palatino Linotype" w:hAnsi="Palatino Linotype" w:eastAsia="Calibri" w:cs="Tahoma"/>
          <w:bCs/>
          <w:sz w:val="22"/>
          <w:szCs w:val="22"/>
          <w:lang w:val="es-ES" w:eastAsia="en-US"/>
        </w:rPr>
      </w:pPr>
      <w:r w:rsidRPr="00FA4C72">
        <w:rPr>
          <w:rFonts w:ascii="Palatino Linotype" w:hAnsi="Palatino Linotype" w:eastAsia="Calibri" w:cs="Tahoma"/>
          <w:bCs/>
          <w:sz w:val="22"/>
          <w:szCs w:val="22"/>
          <w:lang w:val="es-ES" w:eastAsia="en-US"/>
        </w:rPr>
        <w:t>Además, según</w:t>
      </w:r>
      <w:r>
        <w:rPr>
          <w:rFonts w:ascii="Palatino Linotype" w:hAnsi="Palatino Linotype" w:eastAsia="Calibri" w:cs="Tahoma"/>
          <w:bCs/>
          <w:sz w:val="22"/>
          <w:szCs w:val="22"/>
          <w:lang w:val="es-ES" w:eastAsia="en-US"/>
        </w:rPr>
        <w:t xml:space="preserve"> Calero, Natalia (2016), en la </w:t>
      </w:r>
      <w:r w:rsidRPr="00974DBB">
        <w:rPr>
          <w:rFonts w:ascii="Palatino Linotype" w:hAnsi="Palatino Linotype" w:eastAsia="Calibri" w:cs="Tahoma"/>
          <w:bCs/>
          <w:i/>
          <w:sz w:val="22"/>
          <w:szCs w:val="22"/>
          <w:lang w:val="es-ES" w:eastAsia="en-US"/>
        </w:rPr>
        <w:t>Ley General de Transparencia y Acceso a l</w:t>
      </w:r>
      <w:r>
        <w:rPr>
          <w:rFonts w:ascii="Palatino Linotype" w:hAnsi="Palatino Linotype" w:eastAsia="Calibri" w:cs="Tahoma"/>
          <w:bCs/>
          <w:i/>
          <w:sz w:val="22"/>
          <w:szCs w:val="22"/>
          <w:lang w:val="es-ES" w:eastAsia="en-US"/>
        </w:rPr>
        <w:t>a Información Pública Comentada</w:t>
      </w:r>
      <w:r w:rsidRPr="00974DBB">
        <w:rPr>
          <w:rFonts w:ascii="Palatino Linotype" w:hAnsi="Palatino Linotype" w:eastAsia="Calibri" w:cs="Tahoma"/>
          <w:bCs/>
          <w:i/>
          <w:sz w:val="22"/>
          <w:szCs w:val="22"/>
          <w:lang w:val="es-ES" w:eastAsia="en-US"/>
        </w:rPr>
        <w:t xml:space="preserve">, </w:t>
      </w:r>
      <w:r w:rsidRPr="00FA4C72">
        <w:rPr>
          <w:rFonts w:ascii="Palatino Linotype" w:hAnsi="Palatino Linotype" w:eastAsia="Calibri" w:cs="Tahoma"/>
          <w:bCs/>
          <w:sz w:val="22"/>
          <w:szCs w:val="22"/>
          <w:lang w:val="es-ES" w:eastAsia="en-US"/>
        </w:rPr>
        <w:t xml:space="preserve">cuando los Sujetos Obligados ofrezcan como modalidad de entrega de la información, consulta directa, estos deberán fundar y motivar las razones por </w:t>
      </w:r>
      <w:r w:rsidRPr="00FA4C72">
        <w:rPr>
          <w:rFonts w:ascii="Palatino Linotype" w:hAnsi="Palatino Linotype" w:eastAsia="Calibri" w:cs="Tahoma"/>
          <w:bCs/>
          <w:sz w:val="22"/>
          <w:szCs w:val="22"/>
          <w:lang w:val="es-ES" w:eastAsia="en-US"/>
        </w:rPr>
        <w:lastRenderedPageBreak/>
        <w:t>las cuales no es posible otorgar el acceso a los documentos de otra forma; además que se deberá explicar de manera detallada lo siguiente:</w:t>
      </w:r>
    </w:p>
    <w:p w:rsidRPr="00FA4C72" w:rsidR="00B177FF" w:rsidP="00B177FF" w:rsidRDefault="00B177FF" w14:paraId="3AC5B87F" w14:textId="77777777">
      <w:pPr>
        <w:spacing w:line="360" w:lineRule="auto"/>
        <w:jc w:val="both"/>
        <w:rPr>
          <w:rFonts w:ascii="Palatino Linotype" w:hAnsi="Palatino Linotype" w:eastAsia="Calibri" w:cs="Tahoma"/>
          <w:bCs/>
          <w:sz w:val="22"/>
          <w:szCs w:val="22"/>
          <w:lang w:val="es-ES" w:eastAsia="en-US"/>
        </w:rPr>
      </w:pPr>
    </w:p>
    <w:p w:rsidRPr="00FA4C72" w:rsidR="00B177FF" w:rsidP="00B177FF" w:rsidRDefault="00B177FF" w14:paraId="4E43BEEC" w14:textId="77777777">
      <w:pPr>
        <w:numPr>
          <w:ilvl w:val="0"/>
          <w:numId w:val="31"/>
        </w:numPr>
        <w:spacing w:line="360" w:lineRule="auto"/>
        <w:contextualSpacing/>
        <w:jc w:val="both"/>
        <w:rPr>
          <w:rFonts w:ascii="Palatino Linotype" w:hAnsi="Palatino Linotype" w:eastAsia="Calibri" w:cs="Tahoma"/>
          <w:bCs/>
          <w:sz w:val="22"/>
          <w:lang w:val="es-ES"/>
        </w:rPr>
      </w:pPr>
      <w:r w:rsidRPr="00FA4C72">
        <w:rPr>
          <w:rFonts w:ascii="Palatino Linotype" w:hAnsi="Palatino Linotype" w:eastAsia="Calibri" w:cs="Tahoma"/>
          <w:bCs/>
          <w:sz w:val="22"/>
          <w:lang w:val="es-ES"/>
        </w:rPr>
        <w:t>Las razones por las cuales la información implicaba un análisis, estudio o procesamiento de datos;</w:t>
      </w:r>
    </w:p>
    <w:p w:rsidRPr="00FA4C72" w:rsidR="00B177FF" w:rsidP="00B177FF" w:rsidRDefault="00B177FF" w14:paraId="180034F6" w14:textId="77777777">
      <w:pPr>
        <w:spacing w:line="360" w:lineRule="auto"/>
        <w:ind w:left="720"/>
        <w:contextualSpacing/>
        <w:jc w:val="both"/>
        <w:rPr>
          <w:rFonts w:ascii="Palatino Linotype" w:hAnsi="Palatino Linotype" w:eastAsia="Calibri" w:cs="Tahoma"/>
          <w:bCs/>
          <w:sz w:val="22"/>
          <w:lang w:val="es-ES"/>
        </w:rPr>
      </w:pPr>
    </w:p>
    <w:p w:rsidR="00B177FF" w:rsidP="00B177FF" w:rsidRDefault="00B177FF" w14:paraId="5AFC70F2" w14:textId="77777777">
      <w:pPr>
        <w:numPr>
          <w:ilvl w:val="0"/>
          <w:numId w:val="31"/>
        </w:numPr>
        <w:spacing w:line="360" w:lineRule="auto"/>
        <w:contextualSpacing/>
        <w:jc w:val="both"/>
        <w:rPr>
          <w:rFonts w:ascii="Palatino Linotype" w:hAnsi="Palatino Linotype" w:eastAsia="Calibri" w:cs="Tahoma"/>
          <w:bCs/>
          <w:sz w:val="22"/>
          <w:lang w:val="es-ES"/>
        </w:rPr>
      </w:pPr>
      <w:r w:rsidRPr="00FA4C72">
        <w:rPr>
          <w:rFonts w:ascii="Palatino Linotype" w:hAnsi="Palatino Linotype" w:eastAsia="Calibri" w:cs="Tahoma"/>
          <w:bCs/>
          <w:sz w:val="22"/>
          <w:lang w:val="es-ES"/>
        </w:rPr>
        <w:t>El tiempo no es suficiente para atender la solicitud en la modalidad elegida, y</w:t>
      </w:r>
    </w:p>
    <w:p w:rsidR="00B177FF" w:rsidP="00B177FF" w:rsidRDefault="00B177FF" w14:paraId="2185DADE" w14:textId="77777777">
      <w:pPr>
        <w:pStyle w:val="Prrafodelista"/>
        <w:spacing w:line="360" w:lineRule="auto"/>
        <w:rPr>
          <w:rFonts w:ascii="Palatino Linotype" w:hAnsi="Palatino Linotype" w:eastAsia="Calibri" w:cs="Tahoma"/>
          <w:bCs/>
          <w:lang w:val="es-ES"/>
        </w:rPr>
      </w:pPr>
    </w:p>
    <w:p w:rsidRPr="00160C18" w:rsidR="00B177FF" w:rsidP="00B177FF" w:rsidRDefault="00B177FF" w14:paraId="272A4028" w14:textId="77777777">
      <w:pPr>
        <w:numPr>
          <w:ilvl w:val="0"/>
          <w:numId w:val="31"/>
        </w:numPr>
        <w:spacing w:line="360" w:lineRule="auto"/>
        <w:contextualSpacing/>
        <w:jc w:val="both"/>
        <w:rPr>
          <w:rFonts w:ascii="Palatino Linotype" w:hAnsi="Palatino Linotype" w:eastAsia="Calibri" w:cs="Tahoma"/>
          <w:bCs/>
          <w:sz w:val="22"/>
          <w:lang w:val="es-ES"/>
        </w:rPr>
      </w:pPr>
      <w:r w:rsidRPr="00160C18">
        <w:rPr>
          <w:rFonts w:ascii="Palatino Linotype" w:hAnsi="Palatino Linotype" w:eastAsia="Calibri" w:cs="Tahoma"/>
          <w:bCs/>
          <w:sz w:val="22"/>
          <w:lang w:val="es-ES"/>
        </w:rPr>
        <w:t>La cantidad de recursos humanos y materiales con los que cuenta el Sujeto Obligado son insuficientes.</w:t>
      </w:r>
    </w:p>
    <w:p w:rsidR="00B177FF" w:rsidP="00B177FF" w:rsidRDefault="00B177FF" w14:paraId="1AEBF947" w14:textId="77777777">
      <w:pPr>
        <w:spacing w:line="360" w:lineRule="auto"/>
        <w:jc w:val="both"/>
        <w:rPr>
          <w:rFonts w:ascii="Palatino Linotype" w:hAnsi="Palatino Linotype" w:eastAsia="Calibri" w:cs="Tahoma"/>
          <w:bCs/>
          <w:sz w:val="22"/>
          <w:szCs w:val="22"/>
          <w:lang w:eastAsia="en-US"/>
        </w:rPr>
      </w:pPr>
    </w:p>
    <w:p w:rsidR="00B177FF" w:rsidP="00B177FF" w:rsidRDefault="00B177FF" w14:paraId="69C6DBDA" w14:textId="1D4337D1">
      <w:pPr>
        <w:spacing w:line="360" w:lineRule="auto"/>
        <w:jc w:val="both"/>
        <w:rPr>
          <w:rFonts w:ascii="Palatino Linotype" w:hAnsi="Palatino Linotype" w:eastAsia="Calibri" w:cs="Tahoma"/>
          <w:bCs/>
          <w:color w:val="000000"/>
          <w:sz w:val="22"/>
          <w:szCs w:val="22"/>
          <w:lang w:eastAsia="en-US"/>
        </w:rPr>
      </w:pPr>
      <w:r w:rsidRPr="00FA4C72">
        <w:rPr>
          <w:rFonts w:ascii="Palatino Linotype" w:hAnsi="Palatino Linotype" w:cs="Tahoma"/>
          <w:iCs/>
          <w:sz w:val="22"/>
          <w:szCs w:val="22"/>
        </w:rPr>
        <w:t xml:space="preserve">Ahora bien, el Sujeto Obligado, a través del </w:t>
      </w:r>
      <w:r w:rsidRPr="00BF4B6A">
        <w:rPr>
          <w:rFonts w:ascii="Palatino Linotype" w:hAnsi="Palatino Linotype" w:cs="Tahoma"/>
          <w:bCs/>
          <w:sz w:val="22"/>
          <w:szCs w:val="22"/>
        </w:rPr>
        <w:t>Acta número IXTASAL/CT/</w:t>
      </w:r>
      <w:r>
        <w:rPr>
          <w:rFonts w:ascii="Palatino Linotype" w:hAnsi="Palatino Linotype" w:cs="Tahoma"/>
          <w:bCs/>
          <w:sz w:val="22"/>
          <w:szCs w:val="22"/>
        </w:rPr>
        <w:t>010/EXT/2021</w:t>
      </w:r>
      <w:r w:rsidRPr="00BF4B6A">
        <w:rPr>
          <w:rFonts w:ascii="Palatino Linotype" w:hAnsi="Palatino Linotype" w:cs="Tahoma"/>
          <w:bCs/>
          <w:sz w:val="22"/>
          <w:szCs w:val="22"/>
        </w:rPr>
        <w:t xml:space="preserve">, de la </w:t>
      </w:r>
      <w:r>
        <w:rPr>
          <w:rFonts w:ascii="Palatino Linotype" w:hAnsi="Palatino Linotype" w:cs="Tahoma"/>
          <w:bCs/>
          <w:sz w:val="22"/>
          <w:szCs w:val="22"/>
        </w:rPr>
        <w:t>Décima</w:t>
      </w:r>
      <w:r w:rsidRPr="00BF4B6A">
        <w:rPr>
          <w:rFonts w:ascii="Palatino Linotype" w:hAnsi="Palatino Linotype" w:cs="Tahoma"/>
          <w:bCs/>
          <w:sz w:val="22"/>
          <w:szCs w:val="22"/>
        </w:rPr>
        <w:t xml:space="preserve"> Sesión Extraordinaria, del </w:t>
      </w:r>
      <w:r>
        <w:rPr>
          <w:rFonts w:ascii="Palatino Linotype" w:hAnsi="Palatino Linotype" w:cs="Tahoma"/>
          <w:bCs/>
          <w:sz w:val="22"/>
          <w:szCs w:val="22"/>
        </w:rPr>
        <w:t>veintidós</w:t>
      </w:r>
      <w:r w:rsidRPr="00BF4B6A">
        <w:rPr>
          <w:rFonts w:ascii="Palatino Linotype" w:hAnsi="Palatino Linotype" w:cs="Tahoma"/>
          <w:bCs/>
          <w:sz w:val="22"/>
          <w:szCs w:val="22"/>
        </w:rPr>
        <w:t xml:space="preserve"> de </w:t>
      </w:r>
      <w:r>
        <w:rPr>
          <w:rFonts w:ascii="Palatino Linotype" w:hAnsi="Palatino Linotype" w:cs="Tahoma"/>
          <w:bCs/>
          <w:sz w:val="22"/>
          <w:szCs w:val="22"/>
        </w:rPr>
        <w:t>febrero</w:t>
      </w:r>
      <w:r w:rsidRPr="00BF4B6A">
        <w:rPr>
          <w:rFonts w:ascii="Palatino Linotype" w:hAnsi="Palatino Linotype" w:cs="Tahoma"/>
          <w:bCs/>
          <w:sz w:val="22"/>
          <w:szCs w:val="22"/>
        </w:rPr>
        <w:t xml:space="preserve"> de dos mil vei</w:t>
      </w:r>
      <w:r>
        <w:rPr>
          <w:rFonts w:ascii="Palatino Linotype" w:hAnsi="Palatino Linotype" w:cs="Tahoma"/>
          <w:bCs/>
          <w:sz w:val="22"/>
          <w:szCs w:val="22"/>
        </w:rPr>
        <w:t>ntiuno</w:t>
      </w:r>
      <w:r w:rsidRPr="00BF4B6A">
        <w:rPr>
          <w:rFonts w:ascii="Palatino Linotype" w:hAnsi="Palatino Linotype" w:cs="Tahoma"/>
          <w:bCs/>
          <w:sz w:val="22"/>
          <w:szCs w:val="22"/>
        </w:rPr>
        <w:t>, suscrita por el Comité de Transparencia</w:t>
      </w:r>
      <w:r w:rsidR="00960AC3">
        <w:rPr>
          <w:rFonts w:ascii="Palatino Linotype" w:hAnsi="Palatino Linotype" w:eastAsia="Calibri" w:cs="Tahoma"/>
          <w:bCs/>
          <w:color w:val="000000"/>
          <w:sz w:val="22"/>
          <w:szCs w:val="22"/>
          <w:lang w:eastAsia="en-US"/>
        </w:rPr>
        <w:t xml:space="preserve">, por medio de la </w:t>
      </w:r>
      <w:r w:rsidRPr="00FA4C72">
        <w:rPr>
          <w:rFonts w:ascii="Palatino Linotype" w:hAnsi="Palatino Linotype" w:eastAsia="Calibri" w:cs="Tahoma"/>
          <w:bCs/>
          <w:color w:val="000000"/>
          <w:sz w:val="22"/>
          <w:szCs w:val="22"/>
          <w:lang w:eastAsia="en-US"/>
        </w:rPr>
        <w:t>cual, aprobó el cambio de modalidad de la solicitud, al considerar lo siguiente:</w:t>
      </w:r>
    </w:p>
    <w:p w:rsidR="00960AC3" w:rsidP="00B177FF" w:rsidRDefault="00960AC3" w14:paraId="43FC6A2E" w14:textId="401566C7">
      <w:pPr>
        <w:spacing w:line="360" w:lineRule="auto"/>
        <w:jc w:val="both"/>
        <w:rPr>
          <w:rFonts w:ascii="Palatino Linotype" w:hAnsi="Palatino Linotype" w:eastAsia="Calibri" w:cs="Tahoma"/>
          <w:bCs/>
          <w:color w:val="000000"/>
          <w:sz w:val="22"/>
          <w:szCs w:val="22"/>
          <w:lang w:eastAsia="en-US"/>
        </w:rPr>
      </w:pPr>
    </w:p>
    <w:p w:rsidRPr="00FA4C72" w:rsidR="00960AC3" w:rsidP="00960AC3" w:rsidRDefault="00960AC3" w14:paraId="4CCFFDB4" w14:textId="77777777">
      <w:pPr>
        <w:numPr>
          <w:ilvl w:val="0"/>
          <w:numId w:val="32"/>
        </w:numPr>
        <w:spacing w:line="360" w:lineRule="auto"/>
        <w:contextualSpacing/>
        <w:jc w:val="both"/>
        <w:rPr>
          <w:rFonts w:ascii="Century Gothic" w:hAnsi="Century Gothic" w:cs="Tahoma"/>
          <w:iCs/>
          <w:sz w:val="22"/>
        </w:rPr>
      </w:pPr>
      <w:r w:rsidRPr="00FA4C72">
        <w:rPr>
          <w:rFonts w:ascii="Palatino Linotype" w:hAnsi="Palatino Linotype" w:cs="Tahoma"/>
          <w:iCs/>
          <w:sz w:val="22"/>
        </w:rPr>
        <w:t>Que la información implicaba un análisis, estudio y procesamiento de documentos, así como, elaboración de versiones públicas y proyectos para su clasificación;</w:t>
      </w:r>
    </w:p>
    <w:p w:rsidRPr="00FA4C72" w:rsidR="00960AC3" w:rsidP="00960AC3" w:rsidRDefault="00960AC3" w14:paraId="6244C4D8" w14:textId="77777777">
      <w:pPr>
        <w:spacing w:line="360" w:lineRule="auto"/>
        <w:ind w:left="720"/>
        <w:contextualSpacing/>
        <w:jc w:val="both"/>
        <w:rPr>
          <w:rFonts w:ascii="Century Gothic" w:hAnsi="Century Gothic" w:cs="Tahoma"/>
          <w:iCs/>
          <w:sz w:val="22"/>
        </w:rPr>
      </w:pPr>
    </w:p>
    <w:p w:rsidRPr="00FA4C72" w:rsidR="00960AC3" w:rsidP="00960AC3" w:rsidRDefault="00960AC3" w14:paraId="0340863D" w14:textId="77777777">
      <w:pPr>
        <w:numPr>
          <w:ilvl w:val="0"/>
          <w:numId w:val="32"/>
        </w:numPr>
        <w:spacing w:line="360" w:lineRule="auto"/>
        <w:contextualSpacing/>
        <w:jc w:val="both"/>
        <w:rPr>
          <w:rFonts w:ascii="Century Gothic" w:hAnsi="Century Gothic" w:cs="Tahoma"/>
          <w:iCs/>
          <w:sz w:val="22"/>
        </w:rPr>
      </w:pPr>
      <w:r w:rsidRPr="00FA4C72">
        <w:rPr>
          <w:rFonts w:ascii="Palatino Linotype" w:hAnsi="Palatino Linotype" w:cs="Tahoma"/>
          <w:iCs/>
          <w:sz w:val="22"/>
        </w:rPr>
        <w:t xml:space="preserve">Que, para atender a todas las solicitudes de información, implicaba destinar un número significativo de días, horas y personal exclusivo para atender las solicitudes; </w:t>
      </w:r>
    </w:p>
    <w:p w:rsidRPr="00FA4C72" w:rsidR="00960AC3" w:rsidP="00960AC3" w:rsidRDefault="00960AC3" w14:paraId="5D6A779F" w14:textId="77777777">
      <w:pPr>
        <w:spacing w:line="360" w:lineRule="auto"/>
        <w:ind w:left="720"/>
        <w:contextualSpacing/>
        <w:rPr>
          <w:rFonts w:ascii="Century Gothic" w:hAnsi="Century Gothic" w:cs="Tahoma"/>
          <w:iCs/>
          <w:sz w:val="22"/>
        </w:rPr>
      </w:pPr>
    </w:p>
    <w:p w:rsidRPr="00960AC3" w:rsidR="00960AC3" w:rsidP="00960AC3" w:rsidRDefault="00960AC3" w14:paraId="294E8E4E" w14:textId="4E32ECF1">
      <w:pPr>
        <w:numPr>
          <w:ilvl w:val="0"/>
          <w:numId w:val="32"/>
        </w:numPr>
        <w:spacing w:line="360" w:lineRule="auto"/>
        <w:contextualSpacing/>
        <w:jc w:val="both"/>
        <w:rPr>
          <w:rFonts w:ascii="Palatino Linotype" w:hAnsi="Palatino Linotype" w:cs="Tahoma"/>
          <w:iCs/>
          <w:sz w:val="22"/>
        </w:rPr>
      </w:pPr>
      <w:r w:rsidRPr="00FA4C72">
        <w:rPr>
          <w:rFonts w:ascii="Palatino Linotype" w:hAnsi="Palatino Linotype" w:cs="Tahoma"/>
          <w:iCs/>
          <w:sz w:val="22"/>
        </w:rPr>
        <w:t>Que la Unidad de Transparencia contaba únicamente con tres servidores públicos para dar atención a las solicitudes de información, por lo que, entregar la información en la modalidad, impediría la realización de las actividades o atribuciones esenciales del Sujeto Obligado;</w:t>
      </w:r>
    </w:p>
    <w:p w:rsidRPr="00FA4C72" w:rsidR="00960AC3" w:rsidP="00960AC3" w:rsidRDefault="00960AC3" w14:paraId="45B6122A" w14:textId="77777777">
      <w:pPr>
        <w:numPr>
          <w:ilvl w:val="0"/>
          <w:numId w:val="32"/>
        </w:numPr>
        <w:spacing w:line="360" w:lineRule="auto"/>
        <w:contextualSpacing/>
        <w:jc w:val="both"/>
        <w:rPr>
          <w:rFonts w:ascii="Palatino Linotype" w:hAnsi="Palatino Linotype" w:cs="Tahoma"/>
          <w:iCs/>
          <w:sz w:val="22"/>
        </w:rPr>
      </w:pPr>
      <w:r w:rsidRPr="00FA4C72">
        <w:rPr>
          <w:rFonts w:ascii="Palatino Linotype" w:hAnsi="Palatino Linotype" w:cs="Tahoma"/>
          <w:iCs/>
          <w:sz w:val="22"/>
        </w:rPr>
        <w:lastRenderedPageBreak/>
        <w:t xml:space="preserve">Que no contaba con la estructura humana y material para dar atención exclusiva a todas las solicitudes; por lo que, para su atención implicaría que el personal del Ayuntamiento se distrajera de sus funciones sustantivas, y </w:t>
      </w:r>
    </w:p>
    <w:p w:rsidRPr="00FA4C72" w:rsidR="00960AC3" w:rsidP="00960AC3" w:rsidRDefault="00960AC3" w14:paraId="74E3A833" w14:textId="77777777">
      <w:pPr>
        <w:spacing w:line="360" w:lineRule="auto"/>
        <w:ind w:left="720"/>
        <w:contextualSpacing/>
        <w:rPr>
          <w:rFonts w:ascii="Palatino Linotype" w:hAnsi="Palatino Linotype" w:cs="Tahoma"/>
          <w:iCs/>
          <w:sz w:val="22"/>
        </w:rPr>
      </w:pPr>
    </w:p>
    <w:p w:rsidRPr="00FA4C72" w:rsidR="00960AC3" w:rsidP="00960AC3" w:rsidRDefault="00960AC3" w14:paraId="5CB8AFA7" w14:textId="77777777">
      <w:pPr>
        <w:numPr>
          <w:ilvl w:val="0"/>
          <w:numId w:val="32"/>
        </w:numPr>
        <w:spacing w:line="360" w:lineRule="auto"/>
        <w:contextualSpacing/>
        <w:jc w:val="both"/>
        <w:rPr>
          <w:rFonts w:ascii="Palatino Linotype" w:hAnsi="Palatino Linotype" w:cs="Tahoma"/>
          <w:iCs/>
          <w:sz w:val="22"/>
        </w:rPr>
      </w:pPr>
      <w:r w:rsidRPr="00FA4C72">
        <w:rPr>
          <w:rFonts w:ascii="Palatino Linotype" w:hAnsi="Palatino Linotype" w:cs="Tahoma"/>
          <w:iCs/>
          <w:sz w:val="22"/>
        </w:rPr>
        <w:t>Que derivado a la pandemia generada por el virus SARX.CoV2, el Ayuntamiento estaba laborando con el personal mínimo e indispensable para cumplir con las funciones esenciales.</w:t>
      </w:r>
    </w:p>
    <w:p w:rsidRPr="00FA4C72" w:rsidR="00960AC3" w:rsidP="00960AC3" w:rsidRDefault="00960AC3" w14:paraId="34376EB6" w14:textId="77777777">
      <w:pPr>
        <w:spacing w:line="360" w:lineRule="auto"/>
        <w:jc w:val="both"/>
        <w:rPr>
          <w:rFonts w:ascii="Palatino Linotype" w:hAnsi="Palatino Linotype" w:cs="Tahoma"/>
          <w:iCs/>
          <w:sz w:val="22"/>
          <w:szCs w:val="22"/>
        </w:rPr>
      </w:pPr>
    </w:p>
    <w:p w:rsidRPr="00FA4C72" w:rsidR="00960AC3" w:rsidP="00960AC3" w:rsidRDefault="00960AC3" w14:paraId="4D9F1C2D" w14:textId="77777777">
      <w:pPr>
        <w:spacing w:line="360" w:lineRule="auto"/>
        <w:jc w:val="both"/>
        <w:rPr>
          <w:rFonts w:ascii="Palatino Linotype" w:hAnsi="Palatino Linotype" w:cs="Tahoma"/>
          <w:bCs/>
          <w:sz w:val="22"/>
          <w:szCs w:val="22"/>
          <w:shd w:val="clear" w:color="auto" w:fill="FFFFFF"/>
        </w:rPr>
      </w:pPr>
      <w:r w:rsidRPr="00FA4C72">
        <w:rPr>
          <w:rFonts w:ascii="Palatino Linotype" w:hAnsi="Palatino Linotype" w:cs="Tahoma"/>
          <w:bCs/>
          <w:sz w:val="22"/>
          <w:szCs w:val="22"/>
        </w:rPr>
        <w:t>A</w:t>
      </w:r>
      <w:r w:rsidRPr="00FA4C72">
        <w:rPr>
          <w:rFonts w:ascii="Palatino Linotype" w:hAnsi="Palatino Linotype" w:cs="Tahoma"/>
          <w:bCs/>
          <w:sz w:val="22"/>
          <w:szCs w:val="22"/>
          <w:shd w:val="clear" w:color="auto" w:fill="FFFFFF"/>
        </w:rPr>
        <w:t xml:space="preserve">l respecto, cabe precisar </w:t>
      </w:r>
      <w:r w:rsidRPr="00974DBB">
        <w:rPr>
          <w:rFonts w:ascii="Palatino Linotype" w:hAnsi="Palatino Linotype" w:cs="Tahoma"/>
          <w:bCs/>
          <w:sz w:val="22"/>
          <w:szCs w:val="22"/>
        </w:rPr>
        <w:t>que este Instituto, no tiene atribuciones para pronunciarse sobre la veracidad de lo señalado por el Sujeto Obligado; apoya lo anterior, el Criterio 31/10, emitido por el Pleno del entonces Instituto Federal de Acceso a la Información y Protección</w:t>
      </w:r>
      <w:r w:rsidRPr="00FA4C72">
        <w:rPr>
          <w:rFonts w:ascii="Palatino Linotype" w:hAnsi="Palatino Linotype" w:cs="Tahoma"/>
          <w:bCs/>
          <w:sz w:val="22"/>
          <w:szCs w:val="22"/>
          <w:shd w:val="clear" w:color="auto" w:fill="FFFFFF"/>
        </w:rPr>
        <w:t xml:space="preserve"> de Datos, que a continuación se cita:</w:t>
      </w:r>
    </w:p>
    <w:p w:rsidRPr="00FA4C72" w:rsidR="00960AC3" w:rsidP="00960AC3" w:rsidRDefault="00960AC3" w14:paraId="6C08BEF0" w14:textId="77777777">
      <w:pPr>
        <w:spacing w:line="360" w:lineRule="auto"/>
        <w:ind w:right="49"/>
        <w:jc w:val="both"/>
        <w:rPr>
          <w:rFonts w:ascii="Palatino Linotype" w:hAnsi="Palatino Linotype" w:cs="Tahoma"/>
          <w:bCs/>
          <w:sz w:val="22"/>
          <w:szCs w:val="22"/>
          <w:shd w:val="clear" w:color="auto" w:fill="FFFFFF"/>
        </w:rPr>
      </w:pPr>
    </w:p>
    <w:p w:rsidRPr="00FA4C72" w:rsidR="00960AC3" w:rsidP="00960AC3" w:rsidRDefault="00960AC3" w14:paraId="2692002A" w14:textId="77777777">
      <w:pPr>
        <w:spacing w:line="360" w:lineRule="auto"/>
        <w:ind w:left="567" w:right="616"/>
        <w:jc w:val="both"/>
        <w:rPr>
          <w:rFonts w:ascii="Palatino Linotype" w:hAnsi="Palatino Linotype" w:cs="Tahoma"/>
          <w:bCs/>
          <w:i/>
          <w:iCs/>
          <w:shd w:val="clear" w:color="auto" w:fill="FFFFFF"/>
        </w:rPr>
      </w:pPr>
      <w:r w:rsidRPr="00FA4C72">
        <w:rPr>
          <w:rFonts w:ascii="Palatino Linotype" w:hAnsi="Palatino Linotype" w:cs="Tahoma"/>
          <w:b/>
          <w:i/>
          <w:iCs/>
          <w:shd w:val="clear" w:color="auto" w:fill="FFFFFF"/>
        </w:rPr>
        <w:t xml:space="preserve">El </w:t>
      </w:r>
      <w:r w:rsidRPr="00974DBB">
        <w:rPr>
          <w:rFonts w:ascii="Palatino Linotype" w:hAnsi="Palatino Linotype" w:cs="Tahoma"/>
          <w:b/>
          <w:i/>
          <w:iCs/>
        </w:rPr>
        <w:t>Instituto Federal de Acceso a la Información y Protección de Datos no cuenta con facultades para pronunciarse respecto de la veracidad de los documentos proporcionados por los sujetos obligados.</w:t>
      </w:r>
      <w:r w:rsidRPr="00974DBB">
        <w:rPr>
          <w:rFonts w:ascii="Palatino Linotype" w:hAnsi="Palatino Linotype" w:cs="Tahoma"/>
          <w:bCs/>
          <w:i/>
          <w:iC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w:t>
      </w:r>
      <w:r w:rsidRPr="00FA4C72">
        <w:rPr>
          <w:rFonts w:ascii="Palatino Linotype" w:hAnsi="Palatino Linotype" w:cs="Tahoma"/>
          <w:bCs/>
          <w:i/>
          <w:iCs/>
          <w:shd w:val="clear" w:color="auto" w:fill="FFFFFF"/>
        </w:rPr>
        <w:t xml:space="preserve"> Gubernamental no se prevé una causal que permita al Instituto Federal de Acceso a la Información y Protección de Datos conocer, vía</w:t>
      </w:r>
      <w:r>
        <w:rPr>
          <w:rFonts w:ascii="Palatino Linotype" w:hAnsi="Palatino Linotype" w:cs="Tahoma"/>
          <w:bCs/>
          <w:i/>
          <w:iCs/>
          <w:shd w:val="clear" w:color="auto" w:fill="FFFFFF"/>
        </w:rPr>
        <w:t xml:space="preserve"> recurso revisión, al respecto.</w:t>
      </w:r>
    </w:p>
    <w:p w:rsidRPr="00FA4C72" w:rsidR="00960AC3" w:rsidP="00960AC3" w:rsidRDefault="00960AC3" w14:paraId="4A1D1237" w14:textId="77777777">
      <w:pPr>
        <w:spacing w:line="360" w:lineRule="auto"/>
        <w:jc w:val="both"/>
        <w:rPr>
          <w:rFonts w:ascii="Palatino Linotype" w:hAnsi="Palatino Linotype" w:eastAsia="Calibri"/>
          <w:bCs/>
          <w:color w:val="000000"/>
          <w:sz w:val="22"/>
          <w:szCs w:val="22"/>
          <w:lang w:eastAsia="en-US"/>
        </w:rPr>
      </w:pPr>
    </w:p>
    <w:p w:rsidR="00960AC3" w:rsidP="00960AC3" w:rsidRDefault="00960AC3" w14:paraId="1014A455" w14:textId="7EE1642E">
      <w:pPr>
        <w:spacing w:line="360" w:lineRule="auto"/>
        <w:jc w:val="both"/>
        <w:rPr>
          <w:rFonts w:ascii="Palatino Linotype" w:hAnsi="Palatino Linotype" w:eastAsia="Calibri" w:cs="Tahoma"/>
          <w:bCs/>
          <w:color w:val="000000"/>
          <w:sz w:val="22"/>
          <w:szCs w:val="22"/>
          <w:lang w:val="es-ES" w:eastAsia="en-US"/>
        </w:rPr>
      </w:pPr>
      <w:r w:rsidRPr="00FA4C72">
        <w:rPr>
          <w:rFonts w:ascii="Palatino Linotype" w:hAnsi="Palatino Linotype" w:eastAsia="Calibri"/>
          <w:bCs/>
          <w:color w:val="000000"/>
          <w:sz w:val="22"/>
          <w:szCs w:val="22"/>
          <w:lang w:eastAsia="en-US"/>
        </w:rPr>
        <w:lastRenderedPageBreak/>
        <w:t>En ese contexto, este Instituto considera que el Sujeto Obligado precisó las razones por las cuales la información solicitada implicaba un análisis</w:t>
      </w:r>
      <w:r w:rsidRPr="00FA4C72">
        <w:rPr>
          <w:rFonts w:ascii="Palatino Linotype" w:hAnsi="Palatino Linotype" w:eastAsia="Calibri" w:cs="Tahoma"/>
          <w:bCs/>
          <w:color w:val="000000"/>
          <w:sz w:val="22"/>
          <w:szCs w:val="22"/>
          <w:lang w:val="es-ES" w:eastAsia="en-US"/>
        </w:rPr>
        <w:t>, estudio y procesamiento de información, que sobrepasaba el plazo para emitir respuesta, así como, que contaba con recursos humanos y materiales insuficientes para atender el requerimiento; a saber,</w:t>
      </w:r>
      <w:r w:rsidRPr="00960AC3">
        <w:rPr>
          <w:rFonts w:ascii="Palatino Linotype" w:hAnsi="Palatino Linotype" w:eastAsia="Calibri" w:cs="Tahoma"/>
          <w:bCs/>
          <w:color w:val="000000"/>
          <w:sz w:val="22"/>
          <w:szCs w:val="22"/>
          <w:lang w:val="es-ES" w:eastAsia="en-US"/>
        </w:rPr>
        <w:t xml:space="preserve"> </w:t>
      </w:r>
      <w:r w:rsidRPr="00FA4C72">
        <w:rPr>
          <w:rFonts w:ascii="Palatino Linotype" w:hAnsi="Palatino Linotype" w:eastAsia="Calibri" w:cs="Tahoma"/>
          <w:bCs/>
          <w:color w:val="000000"/>
          <w:sz w:val="22"/>
          <w:szCs w:val="22"/>
          <w:lang w:val="es-ES" w:eastAsia="en-US"/>
        </w:rPr>
        <w:t>que por el número de solicitudes recibidas por el Sistema de Acceso a la Información Mexiquense (SAIMEX), implicaban un análisis para localizar la información, elaborar las versión públicas y los proyectos de clasificación, lo cual implicaba destinar un número significativo de días, horas y personal exclusivo para la atención de las solicitudes; situación que se complicaba pues el Ayuntamiento de Ixtapan de la Sal, se encontraba, laborando con el personal mínimo en las oficinas del Ayuntamiento, lugar donde se localizan los archivos del Sujeto Obligado y que los servidores públicos, únicamente estaban realizando funciones esenciales.</w:t>
      </w:r>
    </w:p>
    <w:p w:rsidR="00960AC3" w:rsidP="00960AC3" w:rsidRDefault="00960AC3" w14:paraId="27CD25E2" w14:textId="7FCBC3BE">
      <w:pPr>
        <w:spacing w:line="360" w:lineRule="auto"/>
        <w:jc w:val="both"/>
        <w:rPr>
          <w:rFonts w:ascii="Palatino Linotype" w:hAnsi="Palatino Linotype" w:eastAsia="Calibri" w:cs="Tahoma"/>
          <w:bCs/>
          <w:color w:val="000000"/>
          <w:sz w:val="22"/>
          <w:szCs w:val="22"/>
          <w:lang w:val="es-ES" w:eastAsia="en-US"/>
        </w:rPr>
      </w:pPr>
    </w:p>
    <w:p w:rsidRPr="00FA4C72" w:rsidR="00960AC3" w:rsidP="00960AC3" w:rsidRDefault="00960AC3" w14:paraId="04CE8DCB" w14:textId="77777777">
      <w:pPr>
        <w:spacing w:line="360" w:lineRule="auto"/>
        <w:jc w:val="both"/>
        <w:rPr>
          <w:rFonts w:ascii="Palatino Linotype" w:hAnsi="Palatino Linotype" w:eastAsia="Calibri" w:cs="Tahoma"/>
          <w:bCs/>
          <w:sz w:val="22"/>
          <w:szCs w:val="22"/>
          <w:lang w:val="es-ES" w:eastAsia="en-US"/>
        </w:rPr>
      </w:pPr>
      <w:r w:rsidRPr="00FA4C72">
        <w:rPr>
          <w:rFonts w:ascii="Palatino Linotype" w:hAnsi="Palatino Linotype" w:eastAsia="Calibri" w:cs="Tahoma"/>
          <w:bCs/>
          <w:color w:val="000000"/>
          <w:sz w:val="22"/>
          <w:szCs w:val="22"/>
          <w:lang w:val="es-ES" w:eastAsia="en-US"/>
        </w:rPr>
        <w:t>En ese contexto, caber recordar que el artículo 158 de la Ley de la materia, dispone que cuando la información implique un análisis, estudio o procesamiento de documentos, cuya entrega o reproducción sobrepase las capacidades técnicas, administrativas y humanas del Sujeto Obligado, deberá poner la información a disposición del Solicitante en consulta directa.</w:t>
      </w:r>
    </w:p>
    <w:p w:rsidRPr="00FA4C72" w:rsidR="00960AC3" w:rsidP="00960AC3" w:rsidRDefault="00960AC3" w14:paraId="032259B9" w14:textId="77777777">
      <w:pPr>
        <w:spacing w:line="360" w:lineRule="auto"/>
        <w:jc w:val="both"/>
        <w:rPr>
          <w:rFonts w:ascii="Palatino Linotype" w:hAnsi="Palatino Linotype" w:cs="Tahoma"/>
          <w:iCs/>
          <w:sz w:val="22"/>
          <w:szCs w:val="22"/>
        </w:rPr>
      </w:pPr>
    </w:p>
    <w:p w:rsidRPr="00FA4C72" w:rsidR="00960AC3" w:rsidP="00960AC3" w:rsidRDefault="00960AC3" w14:paraId="57D8D1CB" w14:textId="77777777">
      <w:pPr>
        <w:spacing w:line="360" w:lineRule="auto"/>
        <w:jc w:val="both"/>
        <w:rPr>
          <w:rFonts w:ascii="Palatino Linotype" w:hAnsi="Palatino Linotype" w:cs="Tahoma"/>
          <w:iCs/>
          <w:sz w:val="22"/>
          <w:szCs w:val="22"/>
        </w:rPr>
      </w:pPr>
      <w:r w:rsidRPr="00FA4C72">
        <w:rPr>
          <w:rFonts w:ascii="Palatino Linotype" w:hAnsi="Palatino Linotype" w:cs="Tahoma"/>
          <w:iCs/>
          <w:sz w:val="22"/>
          <w:szCs w:val="22"/>
        </w:rPr>
        <w:t>Además, es de señalar que si bien, el Comité de Transparencia no tiene la atribución expresa de confirmar o revocar un cambio de modalidad, conforme al artículo 47 y 49, fracción XII, de la Ley de Transparencia y Acceso a la Información Pública del Estado de México y Municipios, dicho órgano colegiado, es la autoridad máxima al interior de los sujetos obligados, en materia de acceso a la información y es el encargado de emitir las resoluciones que correspondan para satisfacer el derecho de acceso a la información.</w:t>
      </w:r>
    </w:p>
    <w:p w:rsidRPr="00FA4C72" w:rsidR="00960AC3" w:rsidP="00960AC3" w:rsidRDefault="00960AC3" w14:paraId="33F52C72" w14:textId="77777777">
      <w:pPr>
        <w:spacing w:line="360" w:lineRule="auto"/>
        <w:jc w:val="both"/>
        <w:rPr>
          <w:rFonts w:ascii="Palatino Linotype" w:hAnsi="Palatino Linotype" w:cs="Tahoma"/>
          <w:iCs/>
          <w:sz w:val="22"/>
          <w:szCs w:val="22"/>
        </w:rPr>
      </w:pPr>
    </w:p>
    <w:p w:rsidR="00960AC3" w:rsidP="00960AC3" w:rsidRDefault="00960AC3" w14:paraId="5FB6D7C5" w14:textId="77777777">
      <w:pPr>
        <w:spacing w:line="360" w:lineRule="auto"/>
        <w:jc w:val="both"/>
        <w:rPr>
          <w:rFonts w:ascii="Palatino Linotype" w:hAnsi="Palatino Linotype" w:cs="Tahoma"/>
          <w:iCs/>
          <w:sz w:val="22"/>
          <w:szCs w:val="22"/>
        </w:rPr>
      </w:pPr>
      <w:r w:rsidRPr="00FA4C72">
        <w:rPr>
          <w:rFonts w:ascii="Palatino Linotype" w:hAnsi="Palatino Linotype" w:cs="Tahoma"/>
          <w:iCs/>
          <w:sz w:val="22"/>
          <w:szCs w:val="22"/>
        </w:rPr>
        <w:t xml:space="preserve">Por lo cual, no existe algún impedimento legal, para que el Comité de Transparencia del Ayuntamiento de Ixtapan de la Sal, no pueda llevar a cabo un cambio de modalidad; pues, al </w:t>
      </w:r>
      <w:r w:rsidRPr="00FA4C72">
        <w:rPr>
          <w:rFonts w:ascii="Palatino Linotype" w:hAnsi="Palatino Linotype" w:cs="Tahoma"/>
          <w:iCs/>
          <w:sz w:val="22"/>
          <w:szCs w:val="22"/>
        </w:rPr>
        <w:lastRenderedPageBreak/>
        <w:t>contrario, efectuarlo ante dicho órgano, da certeza y robustece la</w:t>
      </w:r>
      <w:r>
        <w:rPr>
          <w:rFonts w:ascii="Palatino Linotype" w:hAnsi="Palatino Linotype" w:cs="Tahoma"/>
          <w:iCs/>
          <w:sz w:val="22"/>
          <w:szCs w:val="22"/>
        </w:rPr>
        <w:t xml:space="preserve"> </w:t>
      </w:r>
      <w:r w:rsidRPr="00FA4C72">
        <w:rPr>
          <w:rFonts w:ascii="Palatino Linotype" w:hAnsi="Palatino Linotype" w:cs="Tahoma"/>
          <w:iCs/>
          <w:sz w:val="22"/>
          <w:szCs w:val="22"/>
        </w:rPr>
        <w:t>imposibilidad de proporcionar la información en el medio señalado en la solicitud.</w:t>
      </w:r>
    </w:p>
    <w:p w:rsidR="00960AC3" w:rsidP="00960AC3" w:rsidRDefault="00960AC3" w14:paraId="04808FEA" w14:textId="77777777">
      <w:pPr>
        <w:spacing w:line="360" w:lineRule="auto"/>
        <w:jc w:val="both"/>
        <w:rPr>
          <w:rFonts w:ascii="Palatino Linotype" w:hAnsi="Palatino Linotype" w:cs="Tahoma"/>
          <w:iCs/>
          <w:sz w:val="22"/>
          <w:szCs w:val="22"/>
        </w:rPr>
      </w:pPr>
    </w:p>
    <w:p w:rsidR="00960AC3" w:rsidP="00960AC3" w:rsidRDefault="00960AC3" w14:paraId="531DB456" w14:textId="77777777">
      <w:pPr>
        <w:spacing w:line="360" w:lineRule="auto"/>
        <w:jc w:val="both"/>
        <w:rPr>
          <w:rFonts w:ascii="Palatino Linotype" w:hAnsi="Palatino Linotype" w:cs="Tahoma"/>
          <w:iCs/>
          <w:sz w:val="22"/>
          <w:szCs w:val="22"/>
        </w:rPr>
      </w:pPr>
      <w:r w:rsidRPr="005F36E6">
        <w:rPr>
          <w:rFonts w:ascii="Palatino Linotype" w:hAnsi="Palatino Linotype" w:cs="Tahoma"/>
          <w:iCs/>
          <w:sz w:val="22"/>
          <w:szCs w:val="22"/>
        </w:rPr>
        <w:t>Conforme a lo anterior, se considera que el Sujeto Obligado, si acreditó de manera fundada y motivada, el cambio de modalidad a consulta directa, para atender la presente el requerimiento de información, materia del presente; sin embargo, es de señalar que el Órgano Garante Nacional,</w:t>
      </w:r>
      <w:r>
        <w:rPr>
          <w:rFonts w:ascii="Palatino Linotype" w:hAnsi="Palatino Linotype" w:cs="Tahoma"/>
          <w:iCs/>
          <w:sz w:val="22"/>
          <w:szCs w:val="22"/>
        </w:rPr>
        <w:t xml:space="preserve"> a través de diversas resoluciones de los Recursos de Inconformidad, entre las cuales se encuentran el RIA 136/20, RIA 140/20, RIA 153/20 RIA 237/20, RIA 257/20, RIA 258/20, entre otros, ha considerado que no resultaba suficiente </w:t>
      </w:r>
      <w:r w:rsidRPr="00BF4E17">
        <w:rPr>
          <w:rFonts w:ascii="Palatino Linotype" w:hAnsi="Palatino Linotype" w:cs="Tahoma"/>
          <w:iCs/>
          <w:sz w:val="22"/>
          <w:szCs w:val="22"/>
        </w:rPr>
        <w:t xml:space="preserve">justificar una imposibilidad técnica y humana para acreditar un cambio de modalidad, sino que era necesario demostrar otros impedimentos, como que la información se encontrará en un formato diverso a lo solicitado, que fuera de imposible reproducción en el medio elegido por </w:t>
      </w:r>
      <w:r>
        <w:rPr>
          <w:rFonts w:ascii="Palatino Linotype" w:hAnsi="Palatino Linotype" w:cs="Tahoma"/>
          <w:iCs/>
          <w:sz w:val="22"/>
          <w:szCs w:val="22"/>
        </w:rPr>
        <w:t>la</w:t>
      </w:r>
      <w:r w:rsidRPr="00BF4E17">
        <w:rPr>
          <w:rFonts w:ascii="Palatino Linotype" w:hAnsi="Palatino Linotype" w:cs="Tahoma"/>
          <w:iCs/>
          <w:sz w:val="22"/>
          <w:szCs w:val="22"/>
        </w:rPr>
        <w:t xml:space="preserve"> Solicitante, que la información ameritara el cruce de información en los sistemas de datos, entre otros</w:t>
      </w:r>
      <w:r>
        <w:rPr>
          <w:rFonts w:ascii="Palatino Linotype" w:hAnsi="Palatino Linotype" w:cs="Tahoma"/>
          <w:iCs/>
          <w:sz w:val="22"/>
          <w:szCs w:val="22"/>
        </w:rPr>
        <w:t>.</w:t>
      </w:r>
    </w:p>
    <w:p w:rsidR="00960AC3" w:rsidP="00960AC3" w:rsidRDefault="00960AC3" w14:paraId="359C2727" w14:textId="77777777">
      <w:pPr>
        <w:spacing w:line="360" w:lineRule="auto"/>
        <w:jc w:val="both"/>
        <w:rPr>
          <w:rFonts w:ascii="Palatino Linotype" w:hAnsi="Palatino Linotype" w:cs="Tahoma"/>
          <w:iCs/>
          <w:sz w:val="22"/>
          <w:szCs w:val="22"/>
        </w:rPr>
      </w:pPr>
    </w:p>
    <w:p w:rsidRPr="00BF4E17" w:rsidR="00960AC3" w:rsidP="00960AC3" w:rsidRDefault="00960AC3" w14:paraId="4296C9D3" w14:textId="77777777">
      <w:p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Además, indicó </w:t>
      </w:r>
      <w:r w:rsidRPr="00BF4E17">
        <w:rPr>
          <w:rFonts w:ascii="Palatino Linotype" w:hAnsi="Palatino Linotype" w:cs="Tahoma"/>
          <w:iCs/>
          <w:sz w:val="22"/>
          <w:szCs w:val="22"/>
        </w:rPr>
        <w:t>que el Sujeto Obligado, había sido omiso en poner a disposición de la Recurrente, la información en todas las modalidades que los documentos solicitados permitiera, tales como copia simple o certificada, en disco compacto, medios de almacenamiento, e incluso para su envió a través de correo certificado, previo pago de los costos de reproducción, y en su caso, envío.</w:t>
      </w:r>
    </w:p>
    <w:p w:rsidR="00960AC3" w:rsidP="00960AC3" w:rsidRDefault="00960AC3" w14:paraId="2DC98882" w14:textId="77777777">
      <w:pPr>
        <w:spacing w:line="360" w:lineRule="auto"/>
        <w:jc w:val="both"/>
        <w:rPr>
          <w:rFonts w:ascii="Palatino Linotype" w:hAnsi="Palatino Linotype" w:cs="Tahoma"/>
          <w:iCs/>
          <w:sz w:val="22"/>
          <w:szCs w:val="22"/>
        </w:rPr>
      </w:pPr>
    </w:p>
    <w:p w:rsidR="00960AC3" w:rsidP="00960AC3" w:rsidRDefault="00960AC3" w14:paraId="2786A970" w14:textId="3F59CB82">
      <w:pPr>
        <w:spacing w:line="360" w:lineRule="auto"/>
        <w:jc w:val="both"/>
        <w:rPr>
          <w:rFonts w:ascii="Palatino Linotype" w:hAnsi="Palatino Linotype" w:cs="Tahoma"/>
          <w:iCs/>
          <w:sz w:val="22"/>
          <w:szCs w:val="22"/>
        </w:rPr>
      </w:pPr>
      <w:r>
        <w:rPr>
          <w:rFonts w:ascii="Palatino Linotype" w:hAnsi="Palatino Linotype" w:cs="Tahoma"/>
          <w:iCs/>
          <w:sz w:val="22"/>
          <w:szCs w:val="22"/>
        </w:rPr>
        <w:t>Es necesario hacer hincapié que, entre las resoluciones mencionadas, el Instituto Nacional de Transparencia, Acceso a la Información y Protección de Datos Personales, ha determinado darle la razón al ahora Recurrente, al señalar que era improcedente el cambio de modalidad.</w:t>
      </w:r>
    </w:p>
    <w:p w:rsidR="00960AC3" w:rsidP="00960AC3" w:rsidRDefault="00960AC3" w14:paraId="47214BBB" w14:textId="17D053A0">
      <w:pPr>
        <w:spacing w:line="360" w:lineRule="auto"/>
        <w:jc w:val="both"/>
        <w:rPr>
          <w:rFonts w:ascii="Palatino Linotype" w:hAnsi="Palatino Linotype" w:eastAsia="Calibri" w:cs="Tahoma"/>
          <w:bCs/>
          <w:color w:val="000000"/>
          <w:sz w:val="22"/>
          <w:szCs w:val="22"/>
          <w:lang w:eastAsia="en-US"/>
        </w:rPr>
      </w:pPr>
    </w:p>
    <w:p w:rsidRPr="00BF4E17" w:rsidR="00960AC3" w:rsidP="00960AC3" w:rsidRDefault="00960AC3" w14:paraId="260AA34A" w14:textId="66C9919F">
      <w:pPr>
        <w:spacing w:line="360" w:lineRule="auto"/>
        <w:jc w:val="both"/>
        <w:rPr>
          <w:rFonts w:ascii="Palatino Linotype" w:hAnsi="Palatino Linotype" w:cs="Tahoma"/>
          <w:b/>
          <w:bCs/>
          <w:iCs/>
          <w:sz w:val="22"/>
          <w:szCs w:val="22"/>
        </w:rPr>
      </w:pPr>
      <w:r w:rsidRPr="00BF4E17">
        <w:rPr>
          <w:rFonts w:ascii="Palatino Linotype" w:hAnsi="Palatino Linotype" w:cs="Tahoma"/>
          <w:iCs/>
          <w:sz w:val="22"/>
          <w:szCs w:val="22"/>
        </w:rPr>
        <w:t xml:space="preserve">En ese orden de ideas y toda vez que, en contra del artículo 158 de la Ley de Transparencia y Acceso a la Información, el Órgano Garante Nacional, </w:t>
      </w:r>
      <w:r>
        <w:rPr>
          <w:rFonts w:ascii="Palatino Linotype" w:hAnsi="Palatino Linotype" w:cs="Tahoma"/>
          <w:iCs/>
          <w:sz w:val="22"/>
          <w:szCs w:val="22"/>
        </w:rPr>
        <w:t xml:space="preserve">ha </w:t>
      </w:r>
      <w:r w:rsidRPr="00BF4E17">
        <w:rPr>
          <w:rFonts w:ascii="Palatino Linotype" w:hAnsi="Palatino Linotype" w:cs="Tahoma"/>
          <w:iCs/>
          <w:sz w:val="22"/>
          <w:szCs w:val="22"/>
        </w:rPr>
        <w:t>determin</w:t>
      </w:r>
      <w:r>
        <w:rPr>
          <w:rFonts w:ascii="Palatino Linotype" w:hAnsi="Palatino Linotype" w:cs="Tahoma"/>
          <w:iCs/>
          <w:sz w:val="22"/>
          <w:szCs w:val="22"/>
        </w:rPr>
        <w:t>ado</w:t>
      </w:r>
      <w:r w:rsidRPr="00BF4E17">
        <w:rPr>
          <w:rFonts w:ascii="Palatino Linotype" w:hAnsi="Palatino Linotype" w:cs="Tahoma"/>
          <w:iCs/>
          <w:sz w:val="22"/>
          <w:szCs w:val="22"/>
        </w:rPr>
        <w:t xml:space="preserve"> que no resultaba </w:t>
      </w:r>
      <w:r w:rsidRPr="00BF4E17">
        <w:rPr>
          <w:rFonts w:ascii="Palatino Linotype" w:hAnsi="Palatino Linotype" w:cs="Tahoma"/>
          <w:iCs/>
          <w:sz w:val="22"/>
          <w:szCs w:val="22"/>
        </w:rPr>
        <w:lastRenderedPageBreak/>
        <w:t xml:space="preserve">procedente el cambio de modalidad, pues a su consideración, la imposibilidad humana, para atender el requerimiento de información no </w:t>
      </w:r>
      <w:r>
        <w:rPr>
          <w:rFonts w:ascii="Palatino Linotype" w:hAnsi="Palatino Linotype" w:cs="Tahoma"/>
          <w:iCs/>
          <w:sz w:val="22"/>
          <w:szCs w:val="22"/>
        </w:rPr>
        <w:t>era</w:t>
      </w:r>
      <w:r w:rsidRPr="00BF4E17">
        <w:rPr>
          <w:rFonts w:ascii="Palatino Linotype" w:hAnsi="Palatino Linotype" w:cs="Tahoma"/>
          <w:iCs/>
          <w:sz w:val="22"/>
          <w:szCs w:val="22"/>
        </w:rPr>
        <w:t xml:space="preserve"> suficiente, para cambiar la modalidad; se advierte que el agravio hecho valer por el Particular resulta </w:t>
      </w:r>
      <w:r w:rsidR="005D1C1F">
        <w:rPr>
          <w:rFonts w:ascii="Palatino Linotype" w:hAnsi="Palatino Linotype" w:cs="Tahoma"/>
          <w:iCs/>
          <w:sz w:val="22"/>
          <w:szCs w:val="22"/>
        </w:rPr>
        <w:t>fundado</w:t>
      </w:r>
      <w:r w:rsidRPr="00BF4E17">
        <w:rPr>
          <w:rFonts w:ascii="Palatino Linotype" w:hAnsi="Palatino Linotype" w:cs="Tahoma"/>
          <w:b/>
          <w:bCs/>
          <w:iCs/>
          <w:sz w:val="22"/>
          <w:szCs w:val="22"/>
        </w:rPr>
        <w:t>.</w:t>
      </w:r>
    </w:p>
    <w:p w:rsidR="00960AC3" w:rsidP="00960AC3" w:rsidRDefault="00960AC3" w14:paraId="2E24DDD1" w14:textId="728D333A">
      <w:pPr>
        <w:spacing w:line="360" w:lineRule="auto"/>
        <w:jc w:val="both"/>
        <w:rPr>
          <w:rFonts w:ascii="Palatino Linotype" w:hAnsi="Palatino Linotype" w:eastAsia="Calibri" w:cs="Tahoma"/>
          <w:bCs/>
          <w:color w:val="000000"/>
          <w:sz w:val="22"/>
          <w:szCs w:val="22"/>
          <w:lang w:eastAsia="en-US"/>
        </w:rPr>
      </w:pPr>
    </w:p>
    <w:p w:rsidRPr="00FA4C72" w:rsidR="00960AC3" w:rsidP="00960AC3" w:rsidRDefault="00960AC3" w14:paraId="51076A38" w14:textId="77777777">
      <w:pPr>
        <w:spacing w:line="360" w:lineRule="auto"/>
        <w:jc w:val="both"/>
        <w:rPr>
          <w:rFonts w:ascii="Palatino Linotype" w:hAnsi="Palatino Linotype" w:eastAsia="Calibri"/>
          <w:color w:val="000000"/>
          <w:sz w:val="22"/>
          <w:szCs w:val="22"/>
          <w:lang w:eastAsia="en-US"/>
        </w:rPr>
      </w:pPr>
      <w:r w:rsidRPr="00FA4C72">
        <w:rPr>
          <w:rFonts w:ascii="Palatino Linotype" w:hAnsi="Palatino Linotype" w:cs="Tahoma"/>
          <w:iCs/>
          <w:sz w:val="22"/>
          <w:szCs w:val="22"/>
        </w:rPr>
        <w:t>Conforme a lo anterior</w:t>
      </w:r>
      <w:r>
        <w:rPr>
          <w:rFonts w:ascii="Palatino Linotype" w:hAnsi="Palatino Linotype" w:cs="Tahoma"/>
          <w:iCs/>
          <w:sz w:val="22"/>
          <w:szCs w:val="22"/>
        </w:rPr>
        <w:t>,</w:t>
      </w:r>
      <w:r w:rsidRPr="00FA4C72">
        <w:rPr>
          <w:rFonts w:ascii="Palatino Linotype" w:hAnsi="Palatino Linotype" w:cs="Tahoma"/>
          <w:iCs/>
          <w:sz w:val="22"/>
          <w:szCs w:val="22"/>
        </w:rPr>
        <w:t xml:space="preserve"> para atender el requerimiento de información, el Ayuntamiento de Ixtapan de la Sal, deberá realizar una búsqueda exhaustiva y razonable </w:t>
      </w:r>
      <w:r>
        <w:rPr>
          <w:rFonts w:ascii="Palatino Linotype" w:hAnsi="Palatino Linotype" w:cs="Tahoma"/>
          <w:iCs/>
          <w:sz w:val="22"/>
          <w:szCs w:val="22"/>
        </w:rPr>
        <w:t>en las áreas competentes</w:t>
      </w:r>
      <w:r w:rsidRPr="00FA4C72">
        <w:rPr>
          <w:rFonts w:ascii="Palatino Linotype" w:hAnsi="Palatino Linotype" w:cs="Tahoma"/>
          <w:iCs/>
          <w:sz w:val="22"/>
          <w:szCs w:val="22"/>
        </w:rPr>
        <w:t xml:space="preserve">, a efecto de que proporcionen los documentos que obren en sus archivos y den cuenta de la información solicitada. Lo anterior, para cumplir con el procedimiento establecido en los artículos </w:t>
      </w:r>
      <w:r w:rsidRPr="00FA4C72">
        <w:rPr>
          <w:rFonts w:ascii="Palatino Linotype" w:hAnsi="Palatino Linotype" w:cs="Tahoma"/>
          <w:bCs/>
          <w:sz w:val="22"/>
          <w:szCs w:val="22"/>
        </w:rPr>
        <w:t>los artículos 160 y 162 de la Ley de Transparencia y Acceso a la Información Pública del Estado de México y Municipios, mismo que es el siguiente:</w:t>
      </w:r>
    </w:p>
    <w:p w:rsidRPr="00FA4C72" w:rsidR="00960AC3" w:rsidP="00960AC3" w:rsidRDefault="00960AC3" w14:paraId="2482B6F8" w14:textId="77777777">
      <w:pPr>
        <w:spacing w:line="360" w:lineRule="auto"/>
        <w:jc w:val="both"/>
        <w:rPr>
          <w:rFonts w:ascii="Palatino Linotype" w:hAnsi="Palatino Linotype" w:eastAsia="Calibri"/>
          <w:color w:val="000000"/>
          <w:sz w:val="22"/>
          <w:szCs w:val="22"/>
          <w:lang w:eastAsia="en-US"/>
        </w:rPr>
      </w:pPr>
    </w:p>
    <w:p w:rsidRPr="00FA4C72" w:rsidR="00960AC3" w:rsidP="00960AC3" w:rsidRDefault="00960AC3" w14:paraId="45B20CA7" w14:textId="77777777">
      <w:pPr>
        <w:numPr>
          <w:ilvl w:val="0"/>
          <w:numId w:val="33"/>
        </w:numPr>
        <w:spacing w:line="360" w:lineRule="auto"/>
        <w:jc w:val="both"/>
        <w:rPr>
          <w:rFonts w:ascii="Palatino Linotype" w:hAnsi="Palatino Linotype" w:cs="Tahoma"/>
          <w:bCs/>
          <w:sz w:val="22"/>
          <w:szCs w:val="22"/>
          <w:lang w:val="es-ES"/>
        </w:rPr>
      </w:pPr>
      <w:r w:rsidRPr="00FA4C72">
        <w:rPr>
          <w:rFonts w:ascii="Palatino Linotype" w:hAnsi="Palatino Linotype" w:cs="Tahoma"/>
          <w:b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FA4C72" w:rsidR="00960AC3" w:rsidP="00960AC3" w:rsidRDefault="00960AC3" w14:paraId="5A9C4439" w14:textId="77777777">
      <w:pPr>
        <w:spacing w:line="360" w:lineRule="auto"/>
        <w:jc w:val="both"/>
        <w:rPr>
          <w:rFonts w:ascii="Palatino Linotype" w:hAnsi="Palatino Linotype" w:cs="Tahoma"/>
          <w:bCs/>
          <w:sz w:val="22"/>
          <w:szCs w:val="22"/>
          <w:lang w:val="es-ES"/>
        </w:rPr>
      </w:pPr>
    </w:p>
    <w:p w:rsidRPr="00FA4C72" w:rsidR="00960AC3" w:rsidP="00960AC3" w:rsidRDefault="00960AC3" w14:paraId="37F22B94" w14:textId="77777777">
      <w:pPr>
        <w:numPr>
          <w:ilvl w:val="0"/>
          <w:numId w:val="33"/>
        </w:numPr>
        <w:spacing w:line="360" w:lineRule="auto"/>
        <w:jc w:val="both"/>
        <w:rPr>
          <w:rFonts w:ascii="Palatino Linotype" w:hAnsi="Palatino Linotype" w:cs="Tahoma"/>
          <w:bCs/>
          <w:sz w:val="22"/>
          <w:szCs w:val="22"/>
          <w:lang w:val="es-ES"/>
        </w:rPr>
      </w:pPr>
      <w:r w:rsidRPr="00FA4C72">
        <w:rPr>
          <w:rFonts w:ascii="Palatino Linotype" w:hAnsi="Palatino Linotype" w:cs="Tahoma"/>
          <w:bCs/>
          <w:sz w:val="22"/>
          <w:szCs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00960AC3" w:rsidP="00960AC3" w:rsidRDefault="00960AC3" w14:paraId="607EA3AE" w14:textId="77777777">
      <w:pPr>
        <w:spacing w:line="360" w:lineRule="auto"/>
        <w:jc w:val="both"/>
        <w:rPr>
          <w:rFonts w:ascii="Palatino Linotype" w:hAnsi="Palatino Linotype" w:eastAsia="Calibri"/>
          <w:color w:val="000000"/>
          <w:sz w:val="22"/>
          <w:szCs w:val="22"/>
          <w:lang w:eastAsia="en-US"/>
        </w:rPr>
      </w:pPr>
    </w:p>
    <w:p w:rsidR="00960AC3" w:rsidP="00960AC3" w:rsidRDefault="00960AC3" w14:paraId="755A3F05" w14:textId="77777777">
      <w:pPr>
        <w:spacing w:line="360" w:lineRule="auto"/>
        <w:jc w:val="both"/>
        <w:rPr>
          <w:rFonts w:ascii="Palatino Linotype" w:hAnsi="Palatino Linotype" w:cs="Tahoma" w:eastAsiaTheme="minorHAnsi"/>
          <w:iCs/>
          <w:color w:val="000000" w:themeColor="text1"/>
          <w:sz w:val="22"/>
          <w:szCs w:val="22"/>
          <w:lang w:eastAsia="en-US"/>
        </w:rPr>
      </w:pPr>
      <w:r w:rsidRPr="00CD06EB">
        <w:rPr>
          <w:rFonts w:ascii="Palatino Linotype" w:hAnsi="Palatino Linotype" w:cs="Tahoma" w:eastAsiaTheme="minorHAnsi"/>
          <w:iCs/>
          <w:color w:val="000000" w:themeColor="text1"/>
          <w:sz w:val="22"/>
          <w:szCs w:val="22"/>
          <w:lang w:eastAsia="en-US"/>
        </w:rPr>
        <w:t xml:space="preserve">Conforme a lo anterior, se infiere que el Sujeto Obligado deberá realizar una búsqueda exhaustiva y razonable, en todas las unidades administrativas idóneas, a efecto de que proporcionen </w:t>
      </w:r>
      <w:r>
        <w:rPr>
          <w:rFonts w:ascii="Palatino Linotype" w:hAnsi="Palatino Linotype" w:cs="Tahoma" w:eastAsiaTheme="minorHAnsi"/>
          <w:iCs/>
          <w:color w:val="000000" w:themeColor="text1"/>
          <w:sz w:val="22"/>
          <w:szCs w:val="22"/>
          <w:lang w:eastAsia="en-US"/>
        </w:rPr>
        <w:t>los documentos que den cuenta de la información solicitada</w:t>
      </w:r>
      <w:r w:rsidRPr="00CD06EB">
        <w:rPr>
          <w:rFonts w:ascii="Palatino Linotype" w:hAnsi="Palatino Linotype" w:cs="Tahoma" w:eastAsiaTheme="minorHAnsi"/>
          <w:iCs/>
          <w:color w:val="000000" w:themeColor="text1"/>
          <w:sz w:val="22"/>
          <w:szCs w:val="22"/>
          <w:lang w:eastAsia="en-US"/>
        </w:rPr>
        <w:t xml:space="preserve">, para cumplir con </w:t>
      </w:r>
      <w:r w:rsidRPr="00CD06EB">
        <w:rPr>
          <w:rFonts w:ascii="Palatino Linotype" w:hAnsi="Palatino Linotype" w:cs="Tahoma" w:eastAsiaTheme="minorHAnsi"/>
          <w:iCs/>
          <w:color w:val="000000" w:themeColor="text1"/>
          <w:sz w:val="22"/>
          <w:szCs w:val="22"/>
          <w:lang w:eastAsia="en-US"/>
        </w:rPr>
        <w:lastRenderedPageBreak/>
        <w:t>lo establecido en los artículos 12, 160 y 162 de la Ley de Transparencia y Acceso a la Información Pública del Estado de México y Municipios.</w:t>
      </w:r>
    </w:p>
    <w:p w:rsidR="00960AC3" w:rsidP="00960AC3" w:rsidRDefault="00960AC3" w14:paraId="2DF31B34" w14:textId="3584A3A7">
      <w:pPr>
        <w:spacing w:line="360" w:lineRule="auto"/>
        <w:jc w:val="both"/>
        <w:rPr>
          <w:rFonts w:ascii="Palatino Linotype" w:hAnsi="Palatino Linotype" w:eastAsia="Calibri" w:cs="Tahoma"/>
          <w:bCs/>
          <w:color w:val="000000"/>
          <w:sz w:val="22"/>
          <w:szCs w:val="22"/>
          <w:lang w:eastAsia="en-US"/>
        </w:rPr>
      </w:pPr>
    </w:p>
    <w:p w:rsidR="00751565" w:rsidP="00751565" w:rsidRDefault="00960AC3" w14:paraId="1F55405D" w14:textId="373B167E">
      <w:pPr>
        <w:spacing w:line="360" w:lineRule="auto"/>
        <w:jc w:val="both"/>
        <w:rPr>
          <w:rFonts w:ascii="Palatino Linotype" w:hAnsi="Palatino Linotype" w:eastAsia="Calibri" w:cs="Tahoma"/>
          <w:bCs/>
          <w:sz w:val="22"/>
          <w:szCs w:val="22"/>
          <w:lang w:eastAsia="en-US"/>
        </w:rPr>
      </w:pPr>
      <w:r>
        <w:rPr>
          <w:rFonts w:ascii="Palatino Linotype" w:hAnsi="Palatino Linotype" w:cs="Tahoma" w:eastAsiaTheme="minorHAnsi"/>
          <w:iCs/>
          <w:color w:val="000000" w:themeColor="text1"/>
          <w:sz w:val="22"/>
          <w:szCs w:val="22"/>
          <w:lang w:eastAsia="en-US"/>
        </w:rPr>
        <w:t xml:space="preserve">En ese sentido, este Instituto realizó una búsqueda en el Portal de Información Pública de Oficio Mexiquense del Ayuntamiento de Ixtapan de la Sal, en la fracción XIV, </w:t>
      </w:r>
      <w:r w:rsidR="00751565">
        <w:rPr>
          <w:rFonts w:ascii="Palatino Linotype" w:hAnsi="Palatino Linotype" w:cs="Tahoma" w:eastAsiaTheme="minorHAnsi"/>
          <w:iCs/>
          <w:color w:val="000000" w:themeColor="text1"/>
          <w:sz w:val="22"/>
          <w:szCs w:val="22"/>
          <w:lang w:eastAsia="en-US"/>
        </w:rPr>
        <w:t xml:space="preserve">(consultado el día dieciséis de abril de dos mil veintiuno) en la siguiente liga: </w:t>
      </w:r>
      <w:hyperlink w:history="1" r:id="rId8">
        <w:r w:rsidRPr="00E00AAD" w:rsidR="00751565">
          <w:rPr>
            <w:rStyle w:val="Hipervnculo"/>
            <w:rFonts w:ascii="Palatino Linotype" w:hAnsi="Palatino Linotype" w:cs="Tahoma" w:eastAsiaTheme="minorHAnsi"/>
            <w:iCs/>
            <w:sz w:val="22"/>
            <w:szCs w:val="22"/>
            <w:lang w:eastAsia="en-US"/>
          </w:rPr>
          <w:t>https://www.ipomex.org.mx/ipo3/lgt/indice/IXTAPANDELASAL/art_92_xiv_b/2.web</w:t>
        </w:r>
      </w:hyperlink>
      <w:r w:rsidR="00751565">
        <w:rPr>
          <w:rFonts w:ascii="Palatino Linotype" w:hAnsi="Palatino Linotype" w:cs="Tahoma" w:eastAsiaTheme="minorHAnsi"/>
          <w:iCs/>
          <w:color w:val="000000" w:themeColor="text1"/>
          <w:sz w:val="22"/>
          <w:szCs w:val="22"/>
          <w:lang w:eastAsia="en-US"/>
        </w:rPr>
        <w:t xml:space="preserve"> y de ello, localizó que el Ente Recurrido </w:t>
      </w:r>
      <w:r w:rsidR="00751565">
        <w:rPr>
          <w:rFonts w:ascii="Palatino Linotype" w:hAnsi="Palatino Linotype" w:eastAsia="Calibri" w:cs="Tahoma"/>
          <w:bCs/>
          <w:sz w:val="22"/>
          <w:szCs w:val="22"/>
          <w:lang w:eastAsia="en-US"/>
        </w:rPr>
        <w:t>cuenta con información publicada respecto a los ejercicios fiscales del dos mil dieciocho, diecinueve y dos mil veinte.</w:t>
      </w:r>
    </w:p>
    <w:p w:rsidR="00751565" w:rsidP="00751565" w:rsidRDefault="00751565" w14:paraId="70DAC107" w14:textId="45930945">
      <w:pPr>
        <w:spacing w:line="360" w:lineRule="auto"/>
        <w:jc w:val="both"/>
        <w:rPr>
          <w:rFonts w:ascii="Palatino Linotype" w:hAnsi="Palatino Linotype" w:eastAsia="Calibri" w:cs="Tahoma"/>
          <w:bCs/>
          <w:sz w:val="22"/>
          <w:szCs w:val="22"/>
          <w:lang w:eastAsia="en-US"/>
        </w:rPr>
      </w:pPr>
    </w:p>
    <w:p w:rsidR="00751565" w:rsidP="00751565" w:rsidRDefault="00751565" w14:paraId="1FEA94E9" w14:textId="448CDB0E">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Por lo que, para el caso de que toda la información solicitada, se encuentre en el portal mencionado, podrá informarle, de conformidad con el artículo 161 de la Ley de Transparencia y Acceso a la Información Pública del Estado de México y Municipios, el procedimiento para acceder a la documentación, es decir, la fuente, </w:t>
      </w:r>
      <w:r w:rsidRPr="009D7477">
        <w:rPr>
          <w:rFonts w:ascii="Palatino Linotype" w:hAnsi="Palatino Linotype" w:eastAsia="Calibri" w:cs="Tahoma"/>
          <w:bCs/>
          <w:sz w:val="22"/>
          <w:szCs w:val="22"/>
          <w:lang w:eastAsia="en-US"/>
        </w:rPr>
        <w:t xml:space="preserve">el lugar y la forma en que puede consultar, reproducir o adquirir </w:t>
      </w:r>
      <w:r>
        <w:rPr>
          <w:rFonts w:ascii="Palatino Linotype" w:hAnsi="Palatino Linotype" w:eastAsia="Calibri" w:cs="Tahoma"/>
          <w:bCs/>
          <w:sz w:val="22"/>
          <w:szCs w:val="22"/>
          <w:lang w:eastAsia="en-US"/>
        </w:rPr>
        <w:t>la documentación que dé cuenta de la información solicitada.</w:t>
      </w:r>
    </w:p>
    <w:p w:rsidR="00751565" w:rsidP="00751565" w:rsidRDefault="00751565" w14:paraId="6AA3CACA" w14:textId="78189B13">
      <w:pPr>
        <w:spacing w:line="360" w:lineRule="auto"/>
        <w:jc w:val="both"/>
        <w:rPr>
          <w:rFonts w:ascii="Palatino Linotype" w:hAnsi="Palatino Linotype" w:eastAsia="Calibri" w:cs="Tahoma"/>
          <w:bCs/>
          <w:sz w:val="22"/>
          <w:szCs w:val="22"/>
          <w:lang w:eastAsia="en-US"/>
        </w:rPr>
      </w:pPr>
    </w:p>
    <w:p w:rsidRPr="008E3507" w:rsidR="00845F6C" w:rsidP="00845F6C" w:rsidRDefault="00751565" w14:paraId="0A2E6207" w14:textId="3BDE1D93">
      <w:pPr>
        <w:spacing w:line="360" w:lineRule="auto"/>
        <w:contextualSpacing/>
        <w:jc w:val="both"/>
        <w:rPr>
          <w:rFonts w:ascii="Palatino Linotype" w:hAnsi="Palatino Linotype" w:eastAsia="Calibri" w:cs="Tahoma"/>
          <w:b/>
          <w:bCs/>
          <w:sz w:val="22"/>
          <w:szCs w:val="22"/>
          <w:lang w:eastAsia="es-ES_tradnl"/>
        </w:rPr>
      </w:pPr>
      <w:r>
        <w:rPr>
          <w:rFonts w:ascii="Palatino Linotype" w:hAnsi="Palatino Linotype" w:eastAsia="Calibri" w:cs="Tahoma"/>
          <w:bCs/>
          <w:iCs/>
          <w:sz w:val="22"/>
          <w:szCs w:val="22"/>
          <w:lang w:eastAsia="en-US"/>
        </w:rPr>
        <w:t>Por lo anterior,</w:t>
      </w:r>
      <w:r w:rsidRPr="005D3340">
        <w:rPr>
          <w:rFonts w:ascii="Palatino Linotype" w:hAnsi="Palatino Linotype" w:eastAsia="Calibri" w:cs="Tahoma"/>
          <w:bCs/>
          <w:iCs/>
          <w:sz w:val="22"/>
          <w:szCs w:val="22"/>
          <w:lang w:eastAsia="en-US"/>
        </w:rPr>
        <w:t xml:space="preserve"> con el fin de privilegiar el Principio de Gratuidad y Máxima Publicidad, se considera procedente ordenar la entrega, a través del Sistema de Acceso a la Información Mexiquense (SAIMEX); </w:t>
      </w:r>
      <w:r w:rsidR="00520B29">
        <w:rPr>
          <w:rFonts w:ascii="Palatino Linotype" w:hAnsi="Palatino Linotype" w:eastAsia="Calibri" w:cs="Tahoma"/>
          <w:bCs/>
          <w:iCs/>
          <w:sz w:val="22"/>
          <w:szCs w:val="22"/>
          <w:lang w:eastAsia="en-US"/>
        </w:rPr>
        <w:t xml:space="preserve">por tratarse de información que corresponde a las obligaciones de transparencia, por lo que el cumplimiento de la respuesta </w:t>
      </w:r>
      <w:r w:rsidR="00955E0B">
        <w:rPr>
          <w:rFonts w:ascii="Palatino Linotype" w:hAnsi="Palatino Linotype" w:eastAsia="Calibri" w:cs="Tahoma"/>
          <w:bCs/>
          <w:iCs/>
          <w:sz w:val="22"/>
          <w:szCs w:val="22"/>
          <w:lang w:eastAsia="en-US"/>
        </w:rPr>
        <w:t>se pudo haber satisfecho con la remisión al Portal, por lo que,</w:t>
      </w:r>
      <w:r w:rsidR="00845F6C">
        <w:rPr>
          <w:rFonts w:ascii="Palatino Linotype" w:hAnsi="Palatino Linotype" w:eastAsia="Calibri" w:cs="Tahoma"/>
          <w:bCs/>
          <w:iCs/>
          <w:sz w:val="22"/>
          <w:szCs w:val="22"/>
          <w:lang w:eastAsia="en-US"/>
        </w:rPr>
        <w:t xml:space="preserve"> </w:t>
      </w:r>
      <w:bookmarkStart w:name="_Hlk62761430" w:id="0"/>
      <w:r w:rsidR="00845F6C">
        <w:rPr>
          <w:rFonts w:ascii="Palatino Linotype" w:hAnsi="Palatino Linotype" w:eastAsia="Calibri" w:cs="Tahoma"/>
          <w:b/>
          <w:bCs/>
          <w:sz w:val="22"/>
          <w:szCs w:val="22"/>
          <w:lang w:eastAsia="es-ES_tradnl"/>
        </w:rPr>
        <w:t>c</w:t>
      </w:r>
      <w:r w:rsidRPr="008E3507" w:rsidR="00845F6C">
        <w:rPr>
          <w:rFonts w:ascii="Palatino Linotype" w:hAnsi="Palatino Linotype" w:eastAsia="Calibri" w:cs="Tahoma"/>
          <w:bCs/>
          <w:sz w:val="22"/>
          <w:szCs w:val="22"/>
          <w:lang w:eastAsia="es-ES_tradnl"/>
        </w:rPr>
        <w:t xml:space="preserve">on fundamento en lo dispuesto en el artículo 23, fracciones XII y XIV del Reglamento Interior del Instituto de Transparencia, Acceso a la Información Pública y Protección de Datos Personales del Estado de México y Municipios, </w:t>
      </w:r>
      <w:r w:rsidR="00845F6C">
        <w:rPr>
          <w:rFonts w:ascii="Palatino Linotype" w:hAnsi="Palatino Linotype" w:eastAsia="Calibri" w:cs="Tahoma"/>
          <w:bCs/>
          <w:sz w:val="22"/>
          <w:szCs w:val="22"/>
          <w:lang w:eastAsia="es-ES_tradnl"/>
        </w:rPr>
        <w:t xml:space="preserve">es procedente </w:t>
      </w:r>
      <w:r w:rsidRPr="008E3507" w:rsidR="00845F6C">
        <w:rPr>
          <w:rFonts w:ascii="Palatino Linotype" w:hAnsi="Palatino Linotype" w:eastAsia="Calibri" w:cs="Tahoma"/>
          <w:bCs/>
          <w:sz w:val="22"/>
          <w:szCs w:val="22"/>
          <w:lang w:eastAsia="es-ES_tradnl"/>
        </w:rPr>
        <w:t>g</w:t>
      </w:r>
      <w:r w:rsidR="00845F6C">
        <w:rPr>
          <w:rFonts w:ascii="Palatino Linotype" w:hAnsi="Palatino Linotype" w:eastAsia="Calibri" w:cs="Tahoma"/>
          <w:bCs/>
          <w:sz w:val="22"/>
          <w:szCs w:val="22"/>
          <w:lang w:eastAsia="es-ES_tradnl"/>
        </w:rPr>
        <w:t>i</w:t>
      </w:r>
      <w:r w:rsidRPr="008E3507" w:rsidR="00845F6C">
        <w:rPr>
          <w:rFonts w:ascii="Palatino Linotype" w:hAnsi="Palatino Linotype" w:eastAsia="Calibri" w:cs="Tahoma"/>
          <w:bCs/>
          <w:sz w:val="22"/>
          <w:szCs w:val="22"/>
          <w:lang w:eastAsia="es-ES_tradnl"/>
        </w:rPr>
        <w:t>r</w:t>
      </w:r>
      <w:r w:rsidR="00845F6C">
        <w:rPr>
          <w:rFonts w:ascii="Palatino Linotype" w:hAnsi="Palatino Linotype" w:eastAsia="Calibri" w:cs="Tahoma"/>
          <w:bCs/>
          <w:sz w:val="22"/>
          <w:szCs w:val="22"/>
          <w:lang w:eastAsia="es-ES_tradnl"/>
        </w:rPr>
        <w:t>ar</w:t>
      </w:r>
      <w:r w:rsidRPr="008E3507" w:rsidR="00845F6C">
        <w:rPr>
          <w:rFonts w:ascii="Palatino Linotype" w:hAnsi="Palatino Linotype" w:eastAsia="Calibri" w:cs="Tahoma"/>
          <w:bCs/>
          <w:sz w:val="22"/>
          <w:szCs w:val="22"/>
          <w:lang w:eastAsia="es-ES_tradnl"/>
        </w:rPr>
        <w:t xml:space="preserve"> oficio a la Dirección General Jurídica y de Verificación de este Instituto, </w:t>
      </w:r>
      <w:bookmarkEnd w:id="0"/>
      <w:r w:rsidR="00845F6C">
        <w:rPr>
          <w:rFonts w:ascii="Palatino Linotype" w:hAnsi="Palatino Linotype" w:eastAsia="Calibri" w:cs="Tahoma"/>
          <w:bCs/>
          <w:sz w:val="22"/>
          <w:szCs w:val="22"/>
          <w:lang w:eastAsia="es-ES_tradnl"/>
        </w:rPr>
        <w:t>a efecto de que revise el cumplimiento de la publicación de esta información.</w:t>
      </w:r>
    </w:p>
    <w:p w:rsidR="00751565" w:rsidP="00751565" w:rsidRDefault="00751565" w14:paraId="16FC3DD0" w14:textId="30735CF1">
      <w:pPr>
        <w:spacing w:line="360" w:lineRule="auto"/>
        <w:jc w:val="both"/>
        <w:rPr>
          <w:rFonts w:ascii="Palatino Linotype" w:hAnsi="Palatino Linotype" w:eastAsia="Calibri" w:cs="Tahoma"/>
          <w:bCs/>
          <w:iCs/>
          <w:sz w:val="22"/>
          <w:szCs w:val="22"/>
          <w:lang w:eastAsia="en-US"/>
        </w:rPr>
      </w:pPr>
    </w:p>
    <w:p w:rsidR="00751565" w:rsidP="00751565" w:rsidRDefault="00751565" w14:paraId="527D5901" w14:textId="79DF71B1">
      <w:pPr>
        <w:spacing w:line="360" w:lineRule="auto"/>
        <w:jc w:val="both"/>
        <w:rPr>
          <w:rFonts w:ascii="Palatino Linotype" w:hAnsi="Palatino Linotype" w:cs="Tahoma"/>
          <w:b/>
          <w:sz w:val="22"/>
          <w:szCs w:val="22"/>
          <w:lang w:val="es-ES"/>
        </w:rPr>
      </w:pPr>
      <w:r>
        <w:rPr>
          <w:rFonts w:ascii="Palatino Linotype" w:hAnsi="Palatino Linotype" w:cs="Tahoma"/>
          <w:b/>
          <w:sz w:val="22"/>
          <w:szCs w:val="22"/>
          <w:lang w:val="es-ES"/>
        </w:rPr>
        <w:lastRenderedPageBreak/>
        <w:t xml:space="preserve">SEXTO. Decisión. </w:t>
      </w:r>
    </w:p>
    <w:p w:rsidR="00751565" w:rsidP="00751565" w:rsidRDefault="00751565" w14:paraId="2DCC5521" w14:textId="77777777">
      <w:pPr>
        <w:spacing w:line="360" w:lineRule="auto"/>
        <w:jc w:val="both"/>
        <w:rPr>
          <w:rFonts w:ascii="Palatino Linotype" w:hAnsi="Palatino Linotype" w:cs="Tahoma"/>
          <w:b/>
          <w:sz w:val="22"/>
          <w:szCs w:val="22"/>
          <w:lang w:val="es-ES"/>
        </w:rPr>
      </w:pPr>
    </w:p>
    <w:p w:rsidR="00751565" w:rsidP="00751565" w:rsidRDefault="00751565" w14:paraId="12EA9DB2" w14:textId="46B6EAE0">
      <w:pPr>
        <w:autoSpaceDE w:val="0"/>
        <w:autoSpaceDN w:val="0"/>
        <w:adjustRightInd w:val="0"/>
        <w:spacing w:line="360" w:lineRule="auto"/>
        <w:jc w:val="both"/>
        <w:rPr>
          <w:rFonts w:ascii="Palatino Linotype" w:hAnsi="Palatino Linotype" w:eastAsia="Calibri" w:cs="Tahoma"/>
          <w:bCs/>
          <w:color w:val="000000"/>
          <w:sz w:val="22"/>
          <w:szCs w:val="22"/>
          <w:lang w:eastAsia="en-US"/>
        </w:rPr>
      </w:pPr>
      <w:r w:rsidRPr="00FA4C72">
        <w:rPr>
          <w:rFonts w:ascii="Palatino Linotype" w:hAnsi="Palatino Linotype" w:eastAsia="Calibri" w:cs="Arial"/>
          <w:color w:val="000000"/>
          <w:sz w:val="22"/>
          <w:szCs w:val="22"/>
          <w:lang w:eastAsia="en-US"/>
        </w:rPr>
        <w:t xml:space="preserve">De acuerdo con lo expuesto y, </w:t>
      </w:r>
      <w:r w:rsidRPr="00FA4C72">
        <w:rPr>
          <w:rFonts w:ascii="Palatino Linotype" w:hAnsi="Palatino Linotype" w:eastAsia="Calibri" w:cs="Tahoma"/>
          <w:color w:val="000000"/>
          <w:sz w:val="22"/>
          <w:szCs w:val="22"/>
          <w:lang w:eastAsia="en-US"/>
        </w:rPr>
        <w:t xml:space="preserve">con fundamento en el artículo 186, fracción III, de la Ley de Transparencia y Acceso a la Información Pública del Estado de México y Municipios, este Instituto considera procedente </w:t>
      </w:r>
      <w:r w:rsidRPr="00FA4C72">
        <w:rPr>
          <w:rFonts w:ascii="Palatino Linotype" w:hAnsi="Palatino Linotype" w:eastAsia="Calibri" w:cs="Tahoma"/>
          <w:b/>
          <w:color w:val="000000"/>
          <w:sz w:val="22"/>
          <w:szCs w:val="22"/>
          <w:lang w:eastAsia="en-US"/>
        </w:rPr>
        <w:t xml:space="preserve">REVOCAR </w:t>
      </w:r>
      <w:r w:rsidRPr="00FA4C72">
        <w:rPr>
          <w:rFonts w:ascii="Palatino Linotype" w:hAnsi="Palatino Linotype" w:eastAsia="Calibri" w:cs="Tahoma"/>
          <w:bCs/>
          <w:color w:val="000000"/>
          <w:sz w:val="22"/>
          <w:szCs w:val="22"/>
          <w:lang w:eastAsia="en-US"/>
        </w:rPr>
        <w:t>la repuesta otorgada a la solicitud de información</w:t>
      </w:r>
      <w:r w:rsidRPr="00FA4C72">
        <w:rPr>
          <w:rFonts w:ascii="Palatino Linotype" w:hAnsi="Palatino Linotype" w:eastAsia="Calibri" w:cs="Tahoma"/>
          <w:color w:val="000000"/>
          <w:sz w:val="22"/>
          <w:szCs w:val="22"/>
          <w:lang w:eastAsia="en-US"/>
        </w:rPr>
        <w:t xml:space="preserve">, a efecto de que, previa búsqueda exhaustiva y razonable en todas las unidades administrativas competentes, </w:t>
      </w:r>
      <w:r w:rsidRPr="00FA4C72">
        <w:rPr>
          <w:rFonts w:ascii="Palatino Linotype" w:hAnsi="Palatino Linotype" w:eastAsia="Calibri" w:cs="Tahoma"/>
          <w:bCs/>
          <w:color w:val="000000"/>
          <w:sz w:val="22"/>
          <w:szCs w:val="22"/>
          <w:lang w:val="es-ES" w:eastAsia="en-US"/>
        </w:rPr>
        <w:t>entregue, a través del Sistema de Acceso a la Información Mexiquense (SAIMEX),</w:t>
      </w:r>
      <w:r>
        <w:rPr>
          <w:rFonts w:ascii="Palatino Linotype" w:hAnsi="Palatino Linotype" w:eastAsia="Calibri" w:cs="Tahoma"/>
          <w:bCs/>
          <w:color w:val="000000"/>
          <w:sz w:val="22"/>
          <w:szCs w:val="22"/>
          <w:lang w:val="es-ES" w:eastAsia="en-US"/>
        </w:rPr>
        <w:t xml:space="preserve"> en su caso en versión pública, los documentos donde conste</w:t>
      </w:r>
      <w:r w:rsidRPr="00FA4C72">
        <w:rPr>
          <w:rFonts w:ascii="Palatino Linotype" w:hAnsi="Palatino Linotype" w:eastAsia="Calibri" w:cs="Tahoma"/>
          <w:bCs/>
          <w:color w:val="000000"/>
          <w:sz w:val="22"/>
          <w:szCs w:val="22"/>
          <w:lang w:val="es-ES" w:eastAsia="en-US"/>
        </w:rPr>
        <w:t xml:space="preserve"> </w:t>
      </w:r>
      <w:r>
        <w:rPr>
          <w:rFonts w:ascii="Palatino Linotype" w:hAnsi="Palatino Linotype" w:eastAsia="Calibri" w:cs="Tahoma"/>
          <w:bCs/>
          <w:color w:val="000000"/>
          <w:sz w:val="22"/>
          <w:szCs w:val="22"/>
          <w:lang w:eastAsia="en-US"/>
        </w:rPr>
        <w:t>lo siguiente:</w:t>
      </w:r>
    </w:p>
    <w:p w:rsidR="00AA140E" w:rsidP="00AA140E" w:rsidRDefault="00AA140E" w14:paraId="17E24A5A" w14:textId="40279E4F">
      <w:pPr>
        <w:spacing w:line="360" w:lineRule="auto"/>
        <w:jc w:val="both"/>
        <w:rPr>
          <w:rFonts w:ascii="Palatino Linotype" w:hAnsi="Palatino Linotype" w:cs="Tahoma"/>
          <w:bCs/>
          <w:iCs/>
          <w:sz w:val="22"/>
          <w:szCs w:val="22"/>
          <w:u w:val="single"/>
          <w:shd w:val="clear" w:color="auto" w:fill="FFFFFF"/>
        </w:rPr>
      </w:pPr>
    </w:p>
    <w:p w:rsidR="00AA140E" w:rsidP="00AA140E" w:rsidRDefault="00AA140E" w14:paraId="5F4B129E" w14:textId="77777777">
      <w:pPr>
        <w:pStyle w:val="Prrafodelista"/>
        <w:numPr>
          <w:ilvl w:val="0"/>
          <w:numId w:val="36"/>
        </w:numPr>
        <w:spacing w:line="360" w:lineRule="auto"/>
        <w:ind w:right="539"/>
        <w:jc w:val="both"/>
        <w:rPr>
          <w:rFonts w:ascii="Palatino Linotype" w:hAnsi="Palatino Linotype"/>
          <w:szCs w:val="14"/>
          <w:lang w:eastAsia="es-MX"/>
        </w:rPr>
      </w:pPr>
      <w:r>
        <w:rPr>
          <w:rFonts w:ascii="Palatino Linotype" w:hAnsi="Palatino Linotype"/>
          <w:szCs w:val="14"/>
          <w:lang w:eastAsia="es-MX"/>
        </w:rPr>
        <w:t>Convocatorias para otorgar apoyos emitidos por la Dirección de Desarrollo Agropecuario.</w:t>
      </w:r>
    </w:p>
    <w:p w:rsidR="00AA140E" w:rsidP="00AA140E" w:rsidRDefault="00AA140E" w14:paraId="5E1632E1" w14:textId="16936BA3">
      <w:pPr>
        <w:pStyle w:val="Prrafodelista"/>
        <w:numPr>
          <w:ilvl w:val="0"/>
          <w:numId w:val="36"/>
        </w:numPr>
        <w:spacing w:line="360" w:lineRule="auto"/>
        <w:ind w:right="539"/>
        <w:jc w:val="both"/>
        <w:rPr>
          <w:rFonts w:ascii="Palatino Linotype" w:hAnsi="Palatino Linotype"/>
          <w:szCs w:val="14"/>
          <w:lang w:eastAsia="es-MX"/>
        </w:rPr>
      </w:pPr>
      <w:r>
        <w:rPr>
          <w:rFonts w:ascii="Palatino Linotype" w:hAnsi="Palatino Linotype"/>
          <w:szCs w:val="14"/>
          <w:lang w:eastAsia="es-MX"/>
        </w:rPr>
        <w:t xml:space="preserve">Padrón de beneficiarios de 2020. </w:t>
      </w:r>
    </w:p>
    <w:p w:rsidR="00751565" w:rsidP="00751565" w:rsidRDefault="00751565" w14:paraId="2D865431" w14:textId="37FA41D3">
      <w:pPr>
        <w:autoSpaceDE w:val="0"/>
        <w:autoSpaceDN w:val="0"/>
        <w:adjustRightInd w:val="0"/>
        <w:spacing w:line="360" w:lineRule="auto"/>
        <w:jc w:val="both"/>
        <w:rPr>
          <w:rFonts w:ascii="Palatino Linotype" w:hAnsi="Palatino Linotype" w:eastAsia="Calibri" w:cs="Tahoma"/>
          <w:bCs/>
          <w:color w:val="000000"/>
          <w:szCs w:val="22"/>
          <w:lang w:eastAsia="en-US"/>
        </w:rPr>
      </w:pPr>
    </w:p>
    <w:p w:rsidRPr="00FA4C72" w:rsidR="00751565" w:rsidP="00751565" w:rsidRDefault="00751565" w14:paraId="76328A91" w14:textId="77777777">
      <w:pPr>
        <w:spacing w:line="360" w:lineRule="auto"/>
        <w:jc w:val="both"/>
        <w:rPr>
          <w:rFonts w:ascii="Palatino Linotype" w:hAnsi="Palatino Linotype" w:cs="Tahoma"/>
          <w:sz w:val="22"/>
          <w:szCs w:val="22"/>
        </w:rPr>
      </w:pPr>
      <w:r w:rsidRPr="00FA4C72">
        <w:rPr>
          <w:rFonts w:ascii="Palatino Linotype" w:hAnsi="Palatino Linotype" w:cs="Tahoma"/>
          <w:sz w:val="22"/>
          <w:szCs w:val="22"/>
          <w:lang w:val="es-ES"/>
        </w:rPr>
        <w:t>Además, en su caso, deberá proporcionar el Acuerdo de Clasificación donde el Comité de Transparencia, confirme la eliminación de los datos confidenciales, en la versión pública, de conformidad con los artículos 49, fracciones II y VIII, 143, fracción I y 149 de la Ley de Transparencia y Acceso a la Información Pública del Estado de México y Municipios.</w:t>
      </w:r>
    </w:p>
    <w:p w:rsidR="00751565" w:rsidP="00751565" w:rsidRDefault="00751565" w14:paraId="16BBFF77" w14:textId="265611D3">
      <w:pPr>
        <w:autoSpaceDE w:val="0"/>
        <w:autoSpaceDN w:val="0"/>
        <w:adjustRightInd w:val="0"/>
        <w:spacing w:line="360" w:lineRule="auto"/>
        <w:jc w:val="both"/>
        <w:rPr>
          <w:rFonts w:ascii="Palatino Linotype" w:hAnsi="Palatino Linotype" w:eastAsia="Calibri" w:cs="Tahoma"/>
          <w:bCs/>
          <w:color w:val="000000"/>
          <w:szCs w:val="22"/>
          <w:lang w:eastAsia="en-US"/>
        </w:rPr>
      </w:pPr>
    </w:p>
    <w:p w:rsidR="00751565" w:rsidP="00751565" w:rsidRDefault="00751565" w14:paraId="4EF6A557" w14:textId="55FE5CAE">
      <w:pPr>
        <w:autoSpaceDE w:val="0"/>
        <w:autoSpaceDN w:val="0"/>
        <w:adjustRightInd w:val="0"/>
        <w:spacing w:line="360" w:lineRule="auto"/>
        <w:jc w:val="both"/>
        <w:rPr>
          <w:rFonts w:ascii="Palatino Linotype" w:hAnsi="Palatino Linotype" w:eastAsia="Calibri"/>
          <w:color w:val="000000"/>
          <w:sz w:val="22"/>
          <w:szCs w:val="22"/>
          <w:lang w:eastAsia="en-US"/>
        </w:rPr>
      </w:pPr>
      <w:r>
        <w:rPr>
          <w:rFonts w:ascii="Palatino Linotype" w:hAnsi="Palatino Linotype" w:cs="Tahoma"/>
          <w:sz w:val="22"/>
          <w:szCs w:val="22"/>
          <w:lang w:val="es-ES"/>
        </w:rPr>
        <w:t>Para el caso de que la información</w:t>
      </w:r>
      <w:r w:rsidRPr="00751565">
        <w:rPr>
          <w:rFonts w:ascii="Palatino Linotype" w:hAnsi="Palatino Linotype" w:cs="Tahoma"/>
          <w:sz w:val="22"/>
          <w:szCs w:val="22"/>
          <w:lang w:val="es-ES"/>
        </w:rPr>
        <w:t xml:space="preserve"> </w:t>
      </w:r>
      <w:r>
        <w:rPr>
          <w:rFonts w:ascii="Palatino Linotype" w:hAnsi="Palatino Linotype" w:cs="Tahoma"/>
          <w:sz w:val="22"/>
          <w:szCs w:val="22"/>
          <w:lang w:val="es-ES"/>
        </w:rPr>
        <w:t xml:space="preserve">se encuentre publicada en formatos </w:t>
      </w:r>
      <w:r w:rsidRPr="00ED4BE8">
        <w:rPr>
          <w:rFonts w:ascii="Palatino Linotype" w:hAnsi="Palatino Linotype" w:cs="Tahoma"/>
          <w:sz w:val="22"/>
          <w:szCs w:val="22"/>
          <w:lang w:val="es-ES"/>
        </w:rPr>
        <w:t xml:space="preserve">electrónicos disponibles en </w:t>
      </w:r>
      <w:r w:rsidRPr="008E29E5">
        <w:rPr>
          <w:rFonts w:ascii="Palatino Linotype" w:hAnsi="Palatino Linotype" w:cs="Tahoma"/>
          <w:iCs/>
          <w:sz w:val="22"/>
          <w:szCs w:val="22"/>
          <w:lang w:val="es-ES"/>
        </w:rPr>
        <w:t>Internet</w:t>
      </w:r>
      <w:r>
        <w:rPr>
          <w:rFonts w:ascii="Palatino Linotype" w:hAnsi="Palatino Linotype" w:cs="Tahoma"/>
          <w:iCs/>
          <w:sz w:val="22"/>
          <w:szCs w:val="22"/>
          <w:lang w:val="es-ES"/>
        </w:rPr>
        <w:t xml:space="preserve">, el Sujeto Obligado </w:t>
      </w:r>
      <w:r>
        <w:rPr>
          <w:rFonts w:ascii="Palatino Linotype" w:hAnsi="Palatino Linotype" w:cs="Tahoma"/>
          <w:sz w:val="22"/>
          <w:szCs w:val="22"/>
          <w:lang w:val="es-ES"/>
        </w:rPr>
        <w:t xml:space="preserve">podrá informar </w:t>
      </w:r>
      <w:r w:rsidRPr="00FA4C72">
        <w:rPr>
          <w:rFonts w:ascii="Palatino Linotype" w:hAnsi="Palatino Linotype" w:eastAsia="Calibri"/>
          <w:color w:val="000000"/>
          <w:sz w:val="22"/>
          <w:szCs w:val="22"/>
          <w:lang w:eastAsia="en-US"/>
        </w:rPr>
        <w:t>a través del Sistema de Acceso a la Información Mexiquense (SAIMEX</w:t>
      </w:r>
      <w:r>
        <w:rPr>
          <w:rFonts w:ascii="Palatino Linotype" w:hAnsi="Palatino Linotype" w:cs="Tahoma"/>
          <w:sz w:val="22"/>
          <w:szCs w:val="22"/>
          <w:lang w:val="es-ES"/>
        </w:rPr>
        <w:t xml:space="preserve">) </w:t>
      </w:r>
      <w:r w:rsidRPr="00FA4C72">
        <w:rPr>
          <w:rFonts w:ascii="Palatino Linotype" w:hAnsi="Palatino Linotype" w:eastAsia="Calibri"/>
          <w:color w:val="000000"/>
          <w:sz w:val="22"/>
          <w:szCs w:val="22"/>
          <w:lang w:eastAsia="en-US"/>
        </w:rPr>
        <w:t>el procedimiento que tendrá que seguir la Particular, para acceder a la información</w:t>
      </w:r>
      <w:r>
        <w:rPr>
          <w:rFonts w:ascii="Palatino Linotype" w:hAnsi="Palatino Linotype" w:eastAsia="Calibri"/>
          <w:color w:val="000000"/>
          <w:sz w:val="22"/>
          <w:szCs w:val="22"/>
          <w:lang w:eastAsia="en-US"/>
        </w:rPr>
        <w:t xml:space="preserve">, en términos del artículo 161 de la </w:t>
      </w:r>
      <w:r w:rsidRPr="00ED4BE8">
        <w:rPr>
          <w:rFonts w:ascii="Palatino Linotype" w:hAnsi="Palatino Linotype" w:eastAsia="Batang" w:cs="Tahoma"/>
          <w:bCs/>
          <w:color w:val="000000"/>
          <w:sz w:val="22"/>
          <w:szCs w:val="22"/>
          <w:lang w:val="es-ES_tradnl" w:eastAsia="en-US"/>
        </w:rPr>
        <w:t>Ley de Transparencia y Acceso a la Información Pública del Estado de México y Municipios</w:t>
      </w:r>
      <w:r>
        <w:rPr>
          <w:rFonts w:ascii="Palatino Linotype" w:hAnsi="Palatino Linotype" w:eastAsia="Calibri"/>
          <w:color w:val="000000"/>
          <w:sz w:val="22"/>
          <w:szCs w:val="22"/>
          <w:lang w:eastAsia="en-US"/>
        </w:rPr>
        <w:t>.</w:t>
      </w:r>
    </w:p>
    <w:p w:rsidR="00751565" w:rsidP="00751565" w:rsidRDefault="00751565" w14:paraId="1A36589A" w14:textId="4D3F0454">
      <w:pPr>
        <w:autoSpaceDE w:val="0"/>
        <w:autoSpaceDN w:val="0"/>
        <w:adjustRightInd w:val="0"/>
        <w:spacing w:line="360" w:lineRule="auto"/>
        <w:jc w:val="both"/>
        <w:rPr>
          <w:rFonts w:ascii="Palatino Linotype" w:hAnsi="Palatino Linotype" w:eastAsia="Calibri"/>
          <w:color w:val="000000"/>
          <w:sz w:val="22"/>
          <w:szCs w:val="22"/>
          <w:lang w:eastAsia="en-US"/>
        </w:rPr>
      </w:pPr>
    </w:p>
    <w:p w:rsidR="00E15926" w:rsidP="00AA140E" w:rsidRDefault="00AA140E" w14:paraId="4DD57CA6" w14:textId="22778DC4">
      <w:pPr>
        <w:autoSpaceDE w:val="0"/>
        <w:autoSpaceDN w:val="0"/>
        <w:adjustRightInd w:val="0"/>
        <w:spacing w:line="360" w:lineRule="auto"/>
        <w:jc w:val="both"/>
        <w:rPr>
          <w:rFonts w:ascii="Palatino Linotype" w:hAnsi="Palatino Linotype" w:eastAsia="Calibri" w:cs="Tahoma"/>
          <w:bCs/>
          <w:iCs/>
          <w:sz w:val="22"/>
          <w:szCs w:val="22"/>
          <w:lang w:eastAsia="en-US"/>
        </w:rPr>
      </w:pPr>
      <w:r>
        <w:rPr>
          <w:rFonts w:ascii="Palatino Linotype" w:hAnsi="Palatino Linotype" w:eastAsia="Calibri" w:cs="Tahoma"/>
          <w:bCs/>
          <w:iCs/>
          <w:sz w:val="22"/>
          <w:szCs w:val="22"/>
          <w:lang w:eastAsia="en-US"/>
        </w:rPr>
        <w:t>Por lo expuesto y fundado, este Pleno</w:t>
      </w:r>
      <w:r w:rsidR="00893782">
        <w:rPr>
          <w:rFonts w:ascii="Palatino Linotype" w:hAnsi="Palatino Linotype" w:eastAsia="Calibri" w:cs="Tahoma"/>
          <w:bCs/>
          <w:iCs/>
          <w:sz w:val="22"/>
          <w:szCs w:val="22"/>
          <w:lang w:eastAsia="en-US"/>
        </w:rPr>
        <w:t>:</w:t>
      </w:r>
    </w:p>
    <w:p w:rsidRPr="00AA140E" w:rsidR="00AA140E" w:rsidP="00AA140E" w:rsidRDefault="00AA140E" w14:paraId="0E4B2E2A"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p>
    <w:p w:rsidR="00E15926" w:rsidP="00E15926" w:rsidRDefault="00E15926" w14:paraId="121BCB64" w14:textId="77777777">
      <w:pPr>
        <w:spacing w:line="360" w:lineRule="auto"/>
        <w:ind w:right="-91"/>
        <w:jc w:val="center"/>
        <w:rPr>
          <w:rFonts w:ascii="Palatino Linotype" w:hAnsi="Palatino Linotype" w:eastAsia="Palatino Linotype" w:cs="Palatino Linotype"/>
          <w:b/>
          <w:sz w:val="22"/>
          <w:szCs w:val="22"/>
        </w:rPr>
      </w:pPr>
      <w:r>
        <w:rPr>
          <w:rFonts w:ascii="Palatino Linotype" w:hAnsi="Palatino Linotype" w:eastAsia="Palatino Linotype" w:cs="Palatino Linotype"/>
          <w:b/>
          <w:sz w:val="22"/>
          <w:szCs w:val="22"/>
        </w:rPr>
        <w:lastRenderedPageBreak/>
        <w:t>RESUELVE:</w:t>
      </w:r>
    </w:p>
    <w:p w:rsidRPr="007271A0" w:rsidR="007271A0" w:rsidP="007271A0" w:rsidRDefault="007271A0" w14:paraId="735744F5" w14:textId="77777777">
      <w:pPr>
        <w:spacing w:line="360" w:lineRule="auto"/>
        <w:contextualSpacing/>
        <w:jc w:val="both"/>
        <w:rPr>
          <w:rFonts w:ascii="Palatino Linotype" w:hAnsi="Palatino Linotype" w:eastAsia="Calibri" w:cs="Tahoma"/>
          <w:bCs/>
          <w:iCs/>
          <w:sz w:val="22"/>
          <w:szCs w:val="22"/>
          <w:lang w:eastAsia="en-US"/>
        </w:rPr>
      </w:pPr>
    </w:p>
    <w:p w:rsidR="007271A0" w:rsidP="007271A0" w:rsidRDefault="006D1374" w14:paraId="1490F2D1" w14:textId="79DC01C6">
      <w:pPr>
        <w:spacing w:line="360" w:lineRule="auto"/>
        <w:jc w:val="both"/>
        <w:rPr>
          <w:rFonts w:ascii="Palatino Linotype" w:hAnsi="Palatino Linotype" w:eastAsia="Calibri" w:cs="Tahoma"/>
          <w:sz w:val="22"/>
          <w:lang w:eastAsia="en-US"/>
        </w:rPr>
      </w:pPr>
      <w:r w:rsidRPr="00D92D68">
        <w:rPr>
          <w:rFonts w:ascii="Palatino Linotype" w:hAnsi="Palatino Linotype" w:eastAsia="Calibri" w:cs="Tahoma"/>
          <w:b/>
          <w:bCs/>
          <w:sz w:val="22"/>
          <w:lang w:eastAsia="en-US"/>
        </w:rPr>
        <w:t xml:space="preserve">PRIMERO. </w:t>
      </w:r>
      <w:r w:rsidR="00AA140E">
        <w:rPr>
          <w:rFonts w:ascii="Palatino Linotype" w:hAnsi="Palatino Linotype" w:cs="Tahoma"/>
          <w:bCs/>
          <w:sz w:val="22"/>
          <w:szCs w:val="22"/>
        </w:rPr>
        <w:t xml:space="preserve">Se </w:t>
      </w:r>
      <w:r w:rsidR="00AA140E">
        <w:rPr>
          <w:rFonts w:ascii="Palatino Linotype" w:hAnsi="Palatino Linotype" w:cs="Tahoma"/>
          <w:b/>
          <w:bCs/>
          <w:sz w:val="22"/>
          <w:szCs w:val="22"/>
        </w:rPr>
        <w:t>REVOCA</w:t>
      </w:r>
      <w:r w:rsidR="00AA140E">
        <w:rPr>
          <w:rFonts w:ascii="Palatino Linotype" w:hAnsi="Palatino Linotype" w:cs="Tahoma"/>
          <w:bCs/>
          <w:sz w:val="22"/>
          <w:szCs w:val="22"/>
        </w:rPr>
        <w:t xml:space="preserve"> la respuesta entregada por el Ayuntamiento de Ixtapan de la Sal a la solicitud de información </w:t>
      </w:r>
      <w:r w:rsidRPr="00AA140E" w:rsidR="00AA140E">
        <w:rPr>
          <w:rFonts w:ascii="Palatino Linotype" w:hAnsi="Palatino Linotype" w:eastAsia="Calibri" w:cs="Tahoma"/>
          <w:bCs/>
          <w:iCs/>
          <w:sz w:val="22"/>
          <w:szCs w:val="22"/>
          <w:lang w:eastAsia="en-US"/>
        </w:rPr>
        <w:t>00149/IXTASAL/IP/2021</w:t>
      </w:r>
      <w:r w:rsidRPr="00D92D68">
        <w:rPr>
          <w:rFonts w:ascii="Palatino Linotype" w:hAnsi="Palatino Linotype"/>
          <w:sz w:val="22"/>
        </w:rPr>
        <w:t xml:space="preserve">, </w:t>
      </w:r>
      <w:r w:rsidRPr="00D92D68">
        <w:rPr>
          <w:rFonts w:ascii="Palatino Linotype" w:hAnsi="Palatino Linotype" w:eastAsia="Calibri" w:cs="Tahoma"/>
          <w:bCs/>
          <w:sz w:val="22"/>
          <w:lang w:eastAsia="en-US"/>
        </w:rPr>
        <w:t>por resultar</w:t>
      </w:r>
      <w:r w:rsidR="00893782">
        <w:rPr>
          <w:rFonts w:ascii="Palatino Linotype" w:hAnsi="Palatino Linotype" w:eastAsia="Calibri" w:cs="Tahoma"/>
          <w:bCs/>
          <w:sz w:val="22"/>
          <w:lang w:eastAsia="en-US"/>
        </w:rPr>
        <w:t xml:space="preserve"> </w:t>
      </w:r>
      <w:r w:rsidRPr="00D92D68">
        <w:rPr>
          <w:rFonts w:ascii="Palatino Linotype" w:hAnsi="Palatino Linotype" w:eastAsia="Calibri" w:cs="Tahoma"/>
          <w:bCs/>
          <w:sz w:val="22"/>
          <w:lang w:eastAsia="en-US"/>
        </w:rPr>
        <w:t>fundadas las razones o motivos de inconformidad hechos valer por e</w:t>
      </w:r>
      <w:r>
        <w:rPr>
          <w:rFonts w:ascii="Palatino Linotype" w:hAnsi="Palatino Linotype" w:eastAsia="Calibri" w:cs="Tahoma"/>
          <w:bCs/>
          <w:sz w:val="22"/>
          <w:lang w:eastAsia="en-US"/>
        </w:rPr>
        <w:t>l Recurrente, en términos del Considerando</w:t>
      </w:r>
      <w:r>
        <w:rPr>
          <w:rFonts w:ascii="Palatino Linotype" w:hAnsi="Palatino Linotype" w:eastAsia="Calibri" w:cs="Tahoma"/>
          <w:b/>
          <w:bCs/>
          <w:sz w:val="22"/>
          <w:lang w:eastAsia="en-US"/>
        </w:rPr>
        <w:t xml:space="preserve"> QUINTO</w:t>
      </w:r>
      <w:r w:rsidRPr="00D92D68">
        <w:rPr>
          <w:rFonts w:ascii="Palatino Linotype" w:hAnsi="Palatino Linotype" w:eastAsia="Calibri" w:cs="Tahoma"/>
          <w:b/>
          <w:bCs/>
          <w:sz w:val="22"/>
          <w:lang w:eastAsia="en-US"/>
        </w:rPr>
        <w:t xml:space="preserve"> </w:t>
      </w:r>
      <w:r w:rsidRPr="00D92D68">
        <w:rPr>
          <w:rFonts w:ascii="Palatino Linotype" w:hAnsi="Palatino Linotype" w:eastAsia="Calibri" w:cs="Tahoma"/>
          <w:sz w:val="22"/>
          <w:lang w:eastAsia="en-US"/>
        </w:rPr>
        <w:t>de esta Resolución.</w:t>
      </w:r>
    </w:p>
    <w:p w:rsidRPr="008A3F77" w:rsidR="009772C4" w:rsidP="007271A0" w:rsidRDefault="009772C4" w14:paraId="59B99BBD" w14:textId="77777777">
      <w:pPr>
        <w:spacing w:line="360" w:lineRule="auto"/>
        <w:jc w:val="both"/>
        <w:rPr>
          <w:rFonts w:ascii="Palatino Linotype" w:hAnsi="Palatino Linotype"/>
          <w:sz w:val="22"/>
        </w:rPr>
      </w:pPr>
    </w:p>
    <w:p w:rsidR="00AA140E" w:rsidP="00AA140E" w:rsidRDefault="006D1374" w14:paraId="6FAE0411" w14:textId="4AEEFA6D">
      <w:pPr>
        <w:autoSpaceDE w:val="0"/>
        <w:autoSpaceDN w:val="0"/>
        <w:adjustRightInd w:val="0"/>
        <w:spacing w:line="360" w:lineRule="auto"/>
        <w:jc w:val="both"/>
        <w:rPr>
          <w:rFonts w:ascii="Palatino Linotype" w:hAnsi="Palatino Linotype" w:eastAsia="Calibri" w:cs="Tahoma"/>
          <w:iCs/>
          <w:sz w:val="22"/>
          <w:szCs w:val="24"/>
          <w:lang w:val="es-ES" w:eastAsia="es-ES_tradnl"/>
        </w:rPr>
      </w:pPr>
      <w:r w:rsidRPr="00D92D68">
        <w:rPr>
          <w:rFonts w:ascii="Palatino Linotype" w:hAnsi="Palatino Linotype" w:eastAsia="Calibri" w:cs="Tahoma"/>
          <w:b/>
          <w:bCs/>
          <w:sz w:val="22"/>
          <w:szCs w:val="22"/>
          <w:lang w:eastAsia="en-US"/>
        </w:rPr>
        <w:t>SEGUNDO.</w:t>
      </w:r>
      <w:r w:rsidRPr="00D92D68">
        <w:rPr>
          <w:rFonts w:ascii="Palatino Linotype" w:hAnsi="Palatino Linotype" w:eastAsia="Calibri" w:cs="Tahoma"/>
          <w:sz w:val="22"/>
          <w:szCs w:val="22"/>
          <w:lang w:eastAsia="es-MX"/>
        </w:rPr>
        <w:t xml:space="preserve">  Se </w:t>
      </w:r>
      <w:r w:rsidRPr="00D92D68">
        <w:rPr>
          <w:rFonts w:ascii="Palatino Linotype" w:hAnsi="Palatino Linotype" w:eastAsia="Calibri" w:cs="Tahoma"/>
          <w:b/>
          <w:sz w:val="22"/>
          <w:szCs w:val="22"/>
          <w:lang w:eastAsia="es-MX"/>
        </w:rPr>
        <w:t xml:space="preserve">ORDENA </w:t>
      </w:r>
      <w:r w:rsidRPr="00D92D68">
        <w:rPr>
          <w:rFonts w:ascii="Palatino Linotype" w:hAnsi="Palatino Linotype" w:eastAsia="Calibri" w:cs="Tahoma"/>
          <w:sz w:val="22"/>
          <w:szCs w:val="22"/>
          <w:lang w:eastAsia="es-MX"/>
        </w:rPr>
        <w:t xml:space="preserve">al Sujeto Obligado, </w:t>
      </w:r>
      <w:r>
        <w:rPr>
          <w:rFonts w:ascii="Palatino Linotype" w:hAnsi="Palatino Linotype" w:cs="Tahoma"/>
          <w:sz w:val="22"/>
        </w:rPr>
        <w:t>a efecto de que</w:t>
      </w:r>
      <w:r w:rsidRPr="00D92D68">
        <w:rPr>
          <w:rFonts w:ascii="Palatino Linotype" w:hAnsi="Palatino Linotype" w:cs="Tahoma"/>
          <w:sz w:val="22"/>
        </w:rPr>
        <w:t>,</w:t>
      </w:r>
      <w:r>
        <w:rPr>
          <w:rFonts w:ascii="Palatino Linotype" w:hAnsi="Palatino Linotype" w:cs="Tahoma"/>
          <w:sz w:val="22"/>
        </w:rPr>
        <w:t xml:space="preserve"> entregue</w:t>
      </w:r>
      <w:r w:rsidRPr="00D92D68">
        <w:rPr>
          <w:rFonts w:ascii="Palatino Linotype" w:hAnsi="Palatino Linotype" w:cs="Tahoma"/>
          <w:sz w:val="22"/>
        </w:rPr>
        <w:t xml:space="preserve">, a través del </w:t>
      </w:r>
      <w:r w:rsidRPr="00D92D68">
        <w:rPr>
          <w:rFonts w:ascii="Palatino Linotype" w:hAnsi="Palatino Linotype" w:cs="Tahoma"/>
          <w:sz w:val="22"/>
          <w:lang w:val="es-ES"/>
        </w:rPr>
        <w:t xml:space="preserve">Sistema de Acceso a la Información Mexiquense (SAIMEX), </w:t>
      </w:r>
      <w:r w:rsidR="00AA140E">
        <w:rPr>
          <w:rFonts w:ascii="Palatino Linotype" w:hAnsi="Palatino Linotype" w:eastAsia="Calibri" w:cs="Tahoma"/>
          <w:iCs/>
          <w:sz w:val="22"/>
          <w:szCs w:val="24"/>
          <w:lang w:val="es-ES" w:eastAsia="es-ES_tradnl"/>
        </w:rPr>
        <w:t>en su caso, en versión pública, los documentos donde conste lo siguiente:</w:t>
      </w:r>
    </w:p>
    <w:p w:rsidR="00AA140E" w:rsidP="00AA140E" w:rsidRDefault="00AA140E" w14:paraId="444CB281" w14:textId="58F760C6">
      <w:pPr>
        <w:spacing w:line="360" w:lineRule="auto"/>
        <w:jc w:val="both"/>
        <w:rPr>
          <w:rFonts w:ascii="Palatino Linotype" w:hAnsi="Palatino Linotype" w:cs="Tahoma"/>
          <w:bCs/>
          <w:iCs/>
          <w:sz w:val="22"/>
          <w:szCs w:val="22"/>
          <w:u w:val="single"/>
          <w:shd w:val="clear" w:color="auto" w:fill="FFFFFF"/>
        </w:rPr>
      </w:pPr>
    </w:p>
    <w:p w:rsidR="00AA140E" w:rsidP="00AA140E" w:rsidRDefault="00AA140E" w14:paraId="4D68D9E7" w14:textId="73B64274">
      <w:pPr>
        <w:pStyle w:val="Prrafodelista"/>
        <w:numPr>
          <w:ilvl w:val="0"/>
          <w:numId w:val="37"/>
        </w:numPr>
        <w:spacing w:line="360" w:lineRule="auto"/>
        <w:ind w:right="539"/>
        <w:jc w:val="both"/>
        <w:rPr>
          <w:rFonts w:ascii="Palatino Linotype" w:hAnsi="Palatino Linotype"/>
          <w:szCs w:val="14"/>
          <w:lang w:eastAsia="es-MX"/>
        </w:rPr>
      </w:pPr>
      <w:r>
        <w:rPr>
          <w:rFonts w:ascii="Palatino Linotype" w:hAnsi="Palatino Linotype"/>
          <w:szCs w:val="14"/>
          <w:lang w:eastAsia="es-MX"/>
        </w:rPr>
        <w:t>Convocatorias para otorgar apoyos emitidos por la Dirección de Desarrollo Agropecuario</w:t>
      </w:r>
      <w:r w:rsidR="00B86340">
        <w:rPr>
          <w:rFonts w:ascii="Palatino Linotype" w:hAnsi="Palatino Linotype"/>
          <w:szCs w:val="14"/>
          <w:lang w:eastAsia="es-MX"/>
        </w:rPr>
        <w:t xml:space="preserve"> en el año 2020</w:t>
      </w:r>
      <w:r>
        <w:rPr>
          <w:rFonts w:ascii="Palatino Linotype" w:hAnsi="Palatino Linotype"/>
          <w:szCs w:val="14"/>
          <w:lang w:eastAsia="es-MX"/>
        </w:rPr>
        <w:t>.</w:t>
      </w:r>
    </w:p>
    <w:p w:rsidR="00AA140E" w:rsidP="00AA140E" w:rsidRDefault="00AA140E" w14:paraId="7709657C" w14:textId="77777777">
      <w:pPr>
        <w:pStyle w:val="Prrafodelista"/>
        <w:spacing w:line="360" w:lineRule="auto"/>
        <w:ind w:left="927" w:right="539"/>
        <w:jc w:val="both"/>
        <w:rPr>
          <w:rFonts w:ascii="Palatino Linotype" w:hAnsi="Palatino Linotype"/>
          <w:szCs w:val="14"/>
          <w:lang w:eastAsia="es-MX"/>
        </w:rPr>
      </w:pPr>
    </w:p>
    <w:p w:rsidRPr="003A5F94" w:rsidR="007271A0" w:rsidP="007271A0" w:rsidRDefault="00AA140E" w14:paraId="3A194B0A" w14:textId="70BDF8BB">
      <w:pPr>
        <w:pStyle w:val="Prrafodelista"/>
        <w:numPr>
          <w:ilvl w:val="0"/>
          <w:numId w:val="37"/>
        </w:numPr>
        <w:spacing w:line="360" w:lineRule="auto"/>
        <w:ind w:right="539"/>
        <w:jc w:val="both"/>
        <w:rPr>
          <w:rFonts w:ascii="Palatino Linotype" w:hAnsi="Palatino Linotype"/>
          <w:szCs w:val="14"/>
          <w:lang w:eastAsia="es-MX"/>
        </w:rPr>
      </w:pPr>
      <w:r>
        <w:rPr>
          <w:rFonts w:ascii="Palatino Linotype" w:hAnsi="Palatino Linotype"/>
          <w:szCs w:val="14"/>
          <w:lang w:eastAsia="es-MX"/>
        </w:rPr>
        <w:t xml:space="preserve">Padrón de beneficiarios de 2020. </w:t>
      </w:r>
    </w:p>
    <w:p w:rsidR="00DD4980" w:rsidP="000069BE" w:rsidRDefault="00DD4980" w14:paraId="0AC55089" w14:textId="77777777">
      <w:pPr>
        <w:spacing w:line="360" w:lineRule="auto"/>
        <w:ind w:right="-28"/>
        <w:jc w:val="both"/>
        <w:rPr>
          <w:rFonts w:ascii="Palatino Linotype" w:hAnsi="Palatino Linotype" w:cs="Tahoma"/>
          <w:sz w:val="22"/>
          <w:szCs w:val="22"/>
        </w:rPr>
      </w:pPr>
    </w:p>
    <w:p w:rsidRPr="00FA4C72" w:rsidR="00893782" w:rsidP="00893782" w:rsidRDefault="00893782" w14:paraId="530BE4CD" w14:textId="77777777">
      <w:pPr>
        <w:spacing w:line="360" w:lineRule="auto"/>
        <w:jc w:val="both"/>
        <w:rPr>
          <w:rFonts w:ascii="Palatino Linotype" w:hAnsi="Palatino Linotype" w:cs="Tahoma"/>
          <w:sz w:val="22"/>
          <w:szCs w:val="22"/>
        </w:rPr>
      </w:pPr>
      <w:r w:rsidRPr="00FA4C72">
        <w:rPr>
          <w:rFonts w:ascii="Palatino Linotype" w:hAnsi="Palatino Linotype" w:cs="Tahoma"/>
          <w:sz w:val="22"/>
          <w:szCs w:val="22"/>
          <w:lang w:val="es-ES"/>
        </w:rPr>
        <w:t>Además, en su caso, deberá proporcionar el Acuerdo de Clasificación donde el Comité de Transparencia, confirme la eliminación de los datos confidenciales, en la versión pública, de conformidad con los artículos 49, fracciones II y VIII, 143, fracción I y 149 de la Ley de Transparencia y Acceso a la Información Pública del Estado de México y Municipios.</w:t>
      </w:r>
    </w:p>
    <w:p w:rsidR="00893782" w:rsidP="000069BE" w:rsidRDefault="00893782" w14:paraId="6409BE28" w14:textId="5FF657B0">
      <w:pPr>
        <w:spacing w:line="360" w:lineRule="auto"/>
        <w:ind w:right="-28"/>
        <w:jc w:val="both"/>
        <w:rPr>
          <w:rFonts w:ascii="Palatino Linotype" w:hAnsi="Palatino Linotype" w:cs="Tahoma"/>
          <w:bCs/>
          <w:sz w:val="22"/>
          <w:szCs w:val="22"/>
        </w:rPr>
      </w:pPr>
    </w:p>
    <w:p w:rsidR="00E7778E" w:rsidP="00E7778E" w:rsidRDefault="00E7778E" w14:paraId="19F84348" w14:textId="035CB4DE">
      <w:pPr>
        <w:spacing w:line="360" w:lineRule="auto"/>
        <w:jc w:val="both"/>
        <w:rPr>
          <w:rFonts w:ascii="Palatino Linotype" w:hAnsi="Palatino Linotype" w:cs="Tahoma"/>
          <w:sz w:val="22"/>
          <w:szCs w:val="22"/>
        </w:rPr>
      </w:pPr>
      <w:r w:rsidRPr="00D92D68">
        <w:rPr>
          <w:rFonts w:ascii="Palatino Linotype" w:hAnsi="Palatino Linotype" w:eastAsia="Calibri" w:cs="Tahoma"/>
          <w:b/>
          <w:bCs/>
          <w:sz w:val="22"/>
          <w:szCs w:val="22"/>
          <w:lang w:eastAsia="en-US"/>
        </w:rPr>
        <w:t>TERCERO.</w:t>
      </w:r>
      <w:r w:rsidRPr="00D92D68">
        <w:rPr>
          <w:rFonts w:ascii="Palatino Linotype" w:hAnsi="Palatino Linotype" w:cs="Tahoma"/>
          <w:color w:val="000000" w:themeColor="text1"/>
          <w:sz w:val="22"/>
          <w:szCs w:val="22"/>
        </w:rPr>
        <w:t xml:space="preserve"> </w:t>
      </w:r>
      <w:r w:rsidRPr="00D92D68">
        <w:rPr>
          <w:rFonts w:ascii="Palatino Linotype" w:hAnsi="Palatino Linotype" w:cs="Tahoma"/>
          <w:b/>
          <w:sz w:val="22"/>
          <w:szCs w:val="22"/>
        </w:rPr>
        <w:t xml:space="preserve">NOTIFÍQUESE </w:t>
      </w:r>
      <w:r w:rsidRPr="00D92D68">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DD4980">
        <w:rPr>
          <w:rFonts w:ascii="Palatino Linotype" w:hAnsi="Palatino Linotype" w:cs="Tahoma"/>
          <w:sz w:val="22"/>
          <w:szCs w:val="22"/>
        </w:rPr>
        <w:t>veinte</w:t>
      </w:r>
      <w:r w:rsidRPr="00D92D68">
        <w:rPr>
          <w:rFonts w:ascii="Palatino Linotype" w:hAnsi="Palatino Linotype" w:cs="Tahoma"/>
          <w:sz w:val="22"/>
          <w:szCs w:val="22"/>
        </w:rPr>
        <w:t xml:space="preserve"> días hábiles, e informe </w:t>
      </w:r>
      <w:r w:rsidRPr="00D92D68">
        <w:rPr>
          <w:rFonts w:ascii="Palatino Linotype" w:hAnsi="Palatino Linotype" w:cs="Tahoma"/>
          <w:sz w:val="22"/>
          <w:szCs w:val="22"/>
        </w:rPr>
        <w:lastRenderedPageBreak/>
        <w:t>a este Instituto en un plazo de tres días hábiles siguientes sobre el cumplimiento dado a la presente.</w:t>
      </w:r>
    </w:p>
    <w:p w:rsidR="000069BE" w:rsidP="00E7778E" w:rsidRDefault="000069BE" w14:paraId="03A30209" w14:textId="2E2D8DBA">
      <w:pPr>
        <w:spacing w:line="360" w:lineRule="auto"/>
        <w:jc w:val="both"/>
        <w:rPr>
          <w:rFonts w:ascii="Palatino Linotype" w:hAnsi="Palatino Linotype" w:cs="Tahoma"/>
          <w:sz w:val="22"/>
          <w:szCs w:val="22"/>
        </w:rPr>
      </w:pPr>
    </w:p>
    <w:p w:rsidRPr="000069BE" w:rsidR="000069BE" w:rsidP="00E7778E" w:rsidRDefault="000069BE" w14:paraId="24A2F748" w14:textId="366CD22C">
      <w:pPr>
        <w:spacing w:line="360" w:lineRule="auto"/>
        <w:jc w:val="both"/>
        <w:rPr>
          <w:rFonts w:ascii="Palatino Linotype" w:hAnsi="Palatino Linotype" w:cs="Tahoma"/>
          <w:iCs/>
          <w:sz w:val="22"/>
          <w:szCs w:val="22"/>
        </w:rPr>
      </w:pPr>
      <w:r w:rsidRPr="00282E6A">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D92D68" w:rsidR="00E7778E" w:rsidP="00E7778E" w:rsidRDefault="00E7778E" w14:paraId="6439F1A1" w14:textId="77777777">
      <w:pPr>
        <w:shd w:val="clear" w:color="auto" w:fill="FFFFFF" w:themeFill="background1"/>
        <w:spacing w:line="360" w:lineRule="auto"/>
        <w:jc w:val="both"/>
        <w:rPr>
          <w:rFonts w:ascii="Palatino Linotype" w:hAnsi="Palatino Linotype" w:eastAsia="Calibri" w:cs="Tahoma"/>
          <w:sz w:val="22"/>
          <w:szCs w:val="22"/>
          <w:lang w:eastAsia="es-MX"/>
        </w:rPr>
      </w:pPr>
    </w:p>
    <w:p w:rsidR="00E7778E" w:rsidP="00E7778E" w:rsidRDefault="00E7778E" w14:paraId="1DF78A7A" w14:textId="5B3B7575">
      <w:pPr>
        <w:shd w:val="clear" w:color="auto" w:fill="FFFFFF" w:themeFill="background1"/>
        <w:spacing w:line="360" w:lineRule="auto"/>
        <w:jc w:val="both"/>
        <w:rPr>
          <w:rFonts w:ascii="Palatino Linotype" w:hAnsi="Palatino Linotype" w:cs="Tahoma"/>
          <w:sz w:val="22"/>
          <w:szCs w:val="22"/>
        </w:rPr>
      </w:pPr>
      <w:r w:rsidRPr="00D92D68">
        <w:rPr>
          <w:rFonts w:ascii="Palatino Linotype" w:hAnsi="Palatino Linotype" w:eastAsia="Calibri" w:cs="Tahoma"/>
          <w:b/>
          <w:sz w:val="22"/>
          <w:szCs w:val="22"/>
          <w:lang w:eastAsia="es-MX"/>
        </w:rPr>
        <w:t>CUARTO</w:t>
      </w:r>
      <w:r w:rsidRPr="00D92D68">
        <w:rPr>
          <w:rFonts w:ascii="Palatino Linotype" w:hAnsi="Palatino Linotype" w:eastAsia="Calibri" w:cs="Tahoma"/>
          <w:b/>
          <w:bCs/>
          <w:sz w:val="22"/>
          <w:szCs w:val="22"/>
          <w:lang w:eastAsia="en-US"/>
        </w:rPr>
        <w:t>.</w:t>
      </w:r>
      <w:r w:rsidRPr="00D92D68">
        <w:rPr>
          <w:rFonts w:ascii="Palatino Linotype" w:hAnsi="Palatino Linotype" w:eastAsia="Calibri" w:cs="Tahoma"/>
          <w:sz w:val="22"/>
          <w:szCs w:val="22"/>
          <w:lang w:eastAsia="es-MX"/>
        </w:rPr>
        <w:t xml:space="preserve"> </w:t>
      </w:r>
      <w:r w:rsidRPr="00D92D68">
        <w:rPr>
          <w:rFonts w:ascii="Palatino Linotype" w:hAnsi="Palatino Linotype" w:cs="Tahoma"/>
          <w:b/>
          <w:sz w:val="22"/>
          <w:szCs w:val="22"/>
        </w:rPr>
        <w:t>NOTIFÍQUESE</w:t>
      </w:r>
      <w:r w:rsidRPr="00D92D68">
        <w:rPr>
          <w:rFonts w:ascii="Palatino Linotype" w:hAnsi="Palatino Linotype" w:cs="Tahoma"/>
          <w:sz w:val="22"/>
          <w:szCs w:val="22"/>
        </w:rPr>
        <w:t xml:space="preserve"> al Recurrente la presente Resolución, </w:t>
      </w:r>
      <w:r w:rsidRPr="00D92D68">
        <w:rPr>
          <w:rFonts w:ascii="Palatino Linotype" w:hAnsi="Palatino Linotype" w:cs="Tahoma"/>
          <w:color w:val="000000" w:themeColor="text1"/>
          <w:sz w:val="22"/>
          <w:szCs w:val="22"/>
        </w:rPr>
        <w:t xml:space="preserve">a través del </w:t>
      </w:r>
      <w:r w:rsidRPr="00D92D68">
        <w:rPr>
          <w:rFonts w:ascii="Palatino Linotype" w:hAnsi="Palatino Linotype" w:eastAsia="Calibri" w:cs="Tahoma"/>
          <w:bCs/>
          <w:color w:val="000000" w:themeColor="text1"/>
          <w:sz w:val="22"/>
          <w:szCs w:val="22"/>
          <w:lang w:eastAsia="en-US"/>
        </w:rPr>
        <w:t>Sistema de Acceso a la Información Mexiquense (SAIMEX),</w:t>
      </w:r>
      <w:r w:rsidRPr="00D92D68">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534DEF" w:rsidP="00534DEF" w:rsidRDefault="00534DEF" w14:paraId="6AD2EA15" w14:textId="77777777">
      <w:pPr>
        <w:spacing w:line="360" w:lineRule="auto"/>
        <w:contextualSpacing/>
        <w:jc w:val="both"/>
        <w:rPr>
          <w:rFonts w:ascii="Palatino Linotype" w:hAnsi="Palatino Linotype" w:eastAsia="Calibri" w:cs="Tahoma"/>
          <w:b/>
          <w:bCs/>
          <w:sz w:val="22"/>
          <w:szCs w:val="22"/>
          <w:lang w:eastAsia="es-ES_tradnl"/>
        </w:rPr>
      </w:pPr>
    </w:p>
    <w:p w:rsidRPr="008E3507" w:rsidR="00534DEF" w:rsidP="00534DEF" w:rsidRDefault="00534DEF" w14:paraId="7F934FAC" w14:textId="117D0030">
      <w:pPr>
        <w:spacing w:line="360" w:lineRule="auto"/>
        <w:contextualSpacing/>
        <w:jc w:val="both"/>
        <w:rPr>
          <w:rFonts w:ascii="Palatino Linotype" w:hAnsi="Palatino Linotype" w:eastAsia="Calibri" w:cs="Tahoma"/>
          <w:b/>
          <w:bCs/>
          <w:sz w:val="22"/>
          <w:szCs w:val="22"/>
          <w:lang w:eastAsia="es-ES_tradnl"/>
        </w:rPr>
      </w:pPr>
      <w:r w:rsidRPr="008E3507">
        <w:rPr>
          <w:rFonts w:ascii="Palatino Linotype" w:hAnsi="Palatino Linotype" w:eastAsia="Calibri" w:cs="Tahoma"/>
          <w:b/>
          <w:bCs/>
          <w:sz w:val="22"/>
          <w:szCs w:val="22"/>
          <w:lang w:eastAsia="es-ES_tradnl"/>
        </w:rPr>
        <w:t xml:space="preserve">QUINTO. </w:t>
      </w:r>
      <w:r w:rsidRPr="008E3507">
        <w:rPr>
          <w:rFonts w:ascii="Palatino Linotype" w:hAnsi="Palatino Linotype" w:eastAsia="Calibri" w:cs="Tahoma"/>
          <w:bCs/>
          <w:sz w:val="22"/>
          <w:szCs w:val="22"/>
          <w:lang w:eastAsia="es-ES_tradnl"/>
        </w:rPr>
        <w:t xml:space="preserve">Con fundamento en lo dispuesto en el artículo 23, fracciones XII y XIV del Reglamento Interior del Instituto de Transparencia, Acceso a la Información Pública y Protección de Datos Personales del Estado de México y Municipios, gírese oficio a la Dirección General Jurídica y de Verificación de este Instituto, en términos de lo dispuesto en el Considerando </w:t>
      </w:r>
      <w:r>
        <w:rPr>
          <w:rFonts w:ascii="Palatino Linotype" w:hAnsi="Palatino Linotype" w:eastAsia="Calibri" w:cs="Tahoma"/>
          <w:sz w:val="22"/>
          <w:szCs w:val="22"/>
          <w:lang w:eastAsia="es-ES_tradnl"/>
        </w:rPr>
        <w:t>QUINTO</w:t>
      </w:r>
      <w:r w:rsidRPr="008E3507">
        <w:rPr>
          <w:rFonts w:ascii="Palatino Linotype" w:hAnsi="Palatino Linotype" w:eastAsia="Calibri" w:cs="Tahoma"/>
          <w:b/>
          <w:bCs/>
          <w:sz w:val="22"/>
          <w:szCs w:val="22"/>
          <w:lang w:eastAsia="es-ES_tradnl"/>
        </w:rPr>
        <w:t xml:space="preserve"> </w:t>
      </w:r>
      <w:r w:rsidRPr="008E3507">
        <w:rPr>
          <w:rFonts w:ascii="Palatino Linotype" w:hAnsi="Palatino Linotype" w:eastAsia="Calibri" w:cs="Tahoma"/>
          <w:bCs/>
          <w:sz w:val="22"/>
          <w:szCs w:val="22"/>
          <w:lang w:eastAsia="es-ES_tradnl"/>
        </w:rPr>
        <w:t>de la presente Resolución.</w:t>
      </w:r>
    </w:p>
    <w:p w:rsidRPr="00D92D68" w:rsidR="00E7778E" w:rsidP="00E7778E" w:rsidRDefault="00E7778E" w14:paraId="3C882DC2" w14:textId="7BD5D360">
      <w:pPr>
        <w:shd w:val="clear" w:color="auto" w:fill="FFFFFF" w:themeFill="background1"/>
        <w:spacing w:line="360" w:lineRule="auto"/>
        <w:jc w:val="both"/>
        <w:rPr>
          <w:rFonts w:ascii="Palatino Linotype" w:hAnsi="Palatino Linotype" w:cs="Tahoma"/>
          <w:sz w:val="22"/>
          <w:szCs w:val="22"/>
        </w:rPr>
      </w:pPr>
    </w:p>
    <w:p w:rsidR="00BC56E8" w:rsidP="00B06723" w:rsidRDefault="00534DEF" w14:paraId="5ED0CF96" w14:textId="27AAF3CD">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eastAsia="Calibri" w:cs="Tahoma"/>
          <w:b/>
          <w:sz w:val="22"/>
          <w:szCs w:val="22"/>
          <w:lang w:eastAsia="es-MX"/>
        </w:rPr>
        <w:t>SEXTO</w:t>
      </w:r>
      <w:r w:rsidRPr="00D92D68" w:rsidR="00E7778E">
        <w:rPr>
          <w:rFonts w:ascii="Palatino Linotype" w:hAnsi="Palatino Linotype" w:eastAsia="Calibri" w:cs="Tahoma"/>
          <w:b/>
          <w:bCs/>
          <w:sz w:val="22"/>
          <w:szCs w:val="22"/>
          <w:lang w:eastAsia="en-US"/>
        </w:rPr>
        <w:t xml:space="preserve">. </w:t>
      </w:r>
      <w:r w:rsidRPr="00D92D68" w:rsidR="00E7778E">
        <w:rPr>
          <w:rFonts w:ascii="Palatino Linotype" w:hAnsi="Palatino Linotype" w:cs="Tahoma"/>
          <w:sz w:val="22"/>
          <w:szCs w:val="22"/>
        </w:rPr>
        <w:t>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008A3F77">
        <w:rPr>
          <w:rFonts w:ascii="Palatino Linotype" w:hAnsi="Palatino Linotype" w:cs="Tahoma"/>
          <w:sz w:val="22"/>
          <w:szCs w:val="22"/>
        </w:rPr>
        <w:t>.</w:t>
      </w:r>
    </w:p>
    <w:p w:rsidRPr="00CC3286" w:rsidR="00BE1CED" w:rsidP="00B06723" w:rsidRDefault="00BE1CED" w14:paraId="7FB2D6A4" w14:textId="5C692387">
      <w:pPr>
        <w:shd w:val="clear" w:color="auto" w:fill="FFFFFF" w:themeFill="background1"/>
        <w:spacing w:line="360" w:lineRule="auto"/>
        <w:jc w:val="both"/>
        <w:rPr>
          <w:rFonts w:ascii="Palatino Linotype" w:hAnsi="Palatino Linotype" w:cs="Tahoma"/>
          <w:sz w:val="22"/>
          <w:szCs w:val="22"/>
        </w:rPr>
      </w:pPr>
    </w:p>
    <w:p w:rsidR="001C1FE2" w:rsidP="008F3F00" w:rsidRDefault="008F3F00" w14:paraId="53B69107" w14:textId="567E970E">
      <w:pPr>
        <w:spacing w:line="360" w:lineRule="auto"/>
        <w:ind w:right="-93"/>
        <w:jc w:val="both"/>
        <w:rPr>
          <w:rFonts w:ascii="Palatino Linotype" w:hAnsi="Palatino Linotype" w:eastAsia="Calibri" w:cs="Tahoma"/>
          <w:bCs/>
          <w:sz w:val="22"/>
          <w:szCs w:val="22"/>
          <w:lang w:val="es-ES_tradnl" w:eastAsia="en-US"/>
        </w:rPr>
      </w:pPr>
      <w:r w:rsidRPr="008F3F00">
        <w:rPr>
          <w:rFonts w:ascii="Palatino Linotype" w:hAnsi="Palatino Linotype" w:eastAsia="Calibri" w:cs="Tahoma"/>
          <w:bCs/>
          <w:sz w:val="22"/>
          <w:szCs w:val="22"/>
          <w:lang w:val="es-ES_tradnl" w:eastAsia="en-US"/>
        </w:rPr>
        <w:lastRenderedPageBreak/>
        <w:t xml:space="preserve">ASÍ LO RESUELVEN POR </w:t>
      </w:r>
      <w:r w:rsidRPr="008F3F00">
        <w:rPr>
          <w:rFonts w:ascii="Palatino Linotype" w:hAnsi="Palatino Linotype" w:eastAsia="Calibri" w:cs="Tahoma"/>
          <w:b/>
          <w:bCs/>
          <w:sz w:val="22"/>
          <w:szCs w:val="22"/>
          <w:lang w:val="es-ES_tradnl" w:eastAsia="en-US"/>
        </w:rPr>
        <w:t>UNANIMIDAD</w:t>
      </w:r>
      <w:r w:rsidRPr="008F3F00">
        <w:rPr>
          <w:rFonts w:ascii="Palatino Linotype" w:hAnsi="Palatino Linotype" w:eastAsia="Calibri" w:cs="Tahoma"/>
          <w:bCs/>
          <w:sz w:val="22"/>
          <w:szCs w:val="22"/>
          <w:lang w:val="es-ES_tradnl" w:eastAsia="en-US"/>
        </w:rPr>
        <w:t xml:space="preserve"> DE VOTOS EL PLENO DEL INSTITUTO DE </w:t>
      </w:r>
      <w:r w:rsidRPr="000069BE">
        <w:rPr>
          <w:rFonts w:ascii="Palatino Linotype" w:hAnsi="Palatino Linotype" w:eastAsia="Calibri" w:cs="Tahoma"/>
          <w:bCs/>
          <w:sz w:val="22"/>
          <w:szCs w:val="22"/>
          <w:lang w:val="es-ES_tradnl" w:eastAsia="en-US"/>
        </w:rPr>
        <w:t xml:space="preserve">TRANSPARENCIA, ACCESO A LA INFORMACIÓN PÚBLICA Y PROTECCIÓN DE DATOS PERSONALES DEL ESTADO DE MÉXICO Y MUNICIPIOS, CONFORMADO POR LOS COMISIONADOS ZULEMA MARTÍNEZ SÁNCHEZ; EVA ABAID YAPUR; JOSÉ GUADALUPE LUNA </w:t>
      </w:r>
      <w:r w:rsidRPr="000069BE" w:rsidR="009365BF">
        <w:rPr>
          <w:rFonts w:ascii="Palatino Linotype" w:hAnsi="Palatino Linotype" w:eastAsia="Calibri" w:cs="Tahoma"/>
          <w:bCs/>
          <w:sz w:val="22"/>
          <w:szCs w:val="22"/>
          <w:lang w:val="es-ES_tradnl" w:eastAsia="en-US"/>
        </w:rPr>
        <w:t>HERNÁNDEZ</w:t>
      </w:r>
      <w:r w:rsidR="009365BF">
        <w:rPr>
          <w:rFonts w:ascii="Palatino Linotype" w:hAnsi="Palatino Linotype" w:eastAsia="Calibri" w:cs="Tahoma"/>
          <w:bCs/>
          <w:sz w:val="22"/>
          <w:szCs w:val="22"/>
          <w:lang w:val="es-ES_tradnl" w:eastAsia="en-US"/>
        </w:rPr>
        <w:t xml:space="preserve"> CON OPINIÓN PARTICULAR</w:t>
      </w:r>
      <w:r w:rsidRPr="000069BE" w:rsidR="009365BF">
        <w:rPr>
          <w:rFonts w:ascii="Palatino Linotype" w:hAnsi="Palatino Linotype" w:eastAsia="Calibri" w:cs="Tahoma"/>
          <w:bCs/>
          <w:sz w:val="22"/>
          <w:szCs w:val="22"/>
          <w:lang w:val="es-ES_tradnl" w:eastAsia="en-US"/>
        </w:rPr>
        <w:t xml:space="preserve">; JAVIER MARTÍNEZ CRUZ </w:t>
      </w:r>
      <w:r w:rsidR="009365BF">
        <w:rPr>
          <w:rFonts w:ascii="Palatino Linotype" w:hAnsi="Palatino Linotype" w:eastAsia="Calibri" w:cs="Tahoma"/>
          <w:bCs/>
          <w:sz w:val="22"/>
          <w:szCs w:val="22"/>
          <w:lang w:val="es-ES_tradnl" w:eastAsia="en-US"/>
        </w:rPr>
        <w:t xml:space="preserve">CON VOTO PARTICULAR CONCURRENTE </w:t>
      </w:r>
      <w:r w:rsidRPr="000069BE" w:rsidR="009365BF">
        <w:rPr>
          <w:rFonts w:ascii="Palatino Linotype" w:hAnsi="Palatino Linotype" w:eastAsia="Calibri" w:cs="Tahoma"/>
          <w:bCs/>
          <w:sz w:val="22"/>
          <w:szCs w:val="22"/>
          <w:lang w:val="es-ES_tradnl" w:eastAsia="en-US"/>
        </w:rPr>
        <w:t xml:space="preserve">Y LUIS GUSTAVO PARRA </w:t>
      </w:r>
      <w:r w:rsidRPr="000069BE">
        <w:rPr>
          <w:rFonts w:ascii="Palatino Linotype" w:hAnsi="Palatino Linotype" w:eastAsia="Calibri" w:cs="Tahoma"/>
          <w:bCs/>
          <w:sz w:val="22"/>
          <w:szCs w:val="22"/>
          <w:lang w:val="es-ES_tradnl" w:eastAsia="en-US"/>
        </w:rPr>
        <w:t>NORIEGA</w:t>
      </w:r>
      <w:r w:rsidR="009365BF">
        <w:rPr>
          <w:rFonts w:ascii="Palatino Linotype" w:hAnsi="Palatino Linotype" w:eastAsia="Calibri" w:cs="Tahoma"/>
          <w:bCs/>
          <w:sz w:val="22"/>
          <w:szCs w:val="22"/>
          <w:lang w:val="es-ES_tradnl" w:eastAsia="en-US"/>
        </w:rPr>
        <w:t xml:space="preserve"> CON VOTO PARTICULAR</w:t>
      </w:r>
      <w:r w:rsidRPr="000069BE">
        <w:rPr>
          <w:rFonts w:ascii="Palatino Linotype" w:hAnsi="Palatino Linotype" w:eastAsia="Calibri" w:cs="Tahoma"/>
          <w:bCs/>
          <w:sz w:val="22"/>
          <w:szCs w:val="22"/>
          <w:lang w:val="es-ES_tradnl" w:eastAsia="en-US"/>
        </w:rPr>
        <w:t xml:space="preserve">, EN LA </w:t>
      </w:r>
      <w:r w:rsidR="00893782">
        <w:rPr>
          <w:rFonts w:ascii="Palatino Linotype" w:hAnsi="Palatino Linotype" w:eastAsia="Calibri" w:cs="Tahoma"/>
          <w:bCs/>
          <w:sz w:val="22"/>
          <w:szCs w:val="22"/>
          <w:lang w:val="es-ES_tradnl" w:eastAsia="en-US"/>
        </w:rPr>
        <w:t>DÉCIMA TERCERA</w:t>
      </w:r>
      <w:r w:rsidRPr="000069BE" w:rsidR="00B87FD5">
        <w:rPr>
          <w:rFonts w:ascii="Palatino Linotype" w:hAnsi="Palatino Linotype" w:eastAsia="Calibri" w:cs="Tahoma"/>
          <w:bCs/>
          <w:sz w:val="22"/>
          <w:szCs w:val="22"/>
          <w:lang w:val="es-ES_tradnl" w:eastAsia="en-US"/>
        </w:rPr>
        <w:t xml:space="preserve"> </w:t>
      </w:r>
      <w:r w:rsidRPr="000069BE">
        <w:rPr>
          <w:rFonts w:ascii="Palatino Linotype" w:hAnsi="Palatino Linotype" w:eastAsia="Calibri" w:cs="Tahoma"/>
          <w:bCs/>
          <w:sz w:val="22"/>
          <w:szCs w:val="22"/>
          <w:lang w:val="es-ES_tradnl" w:eastAsia="en-US"/>
        </w:rPr>
        <w:t xml:space="preserve">SESIÓN ORDINARIA, CELEBRADA EL </w:t>
      </w:r>
      <w:r w:rsidR="00893782">
        <w:rPr>
          <w:rFonts w:ascii="Palatino Linotype" w:hAnsi="Palatino Linotype" w:eastAsia="Calibri" w:cs="Tahoma"/>
          <w:bCs/>
          <w:sz w:val="22"/>
          <w:szCs w:val="22"/>
          <w:lang w:val="es-ES_tradnl" w:eastAsia="en-US"/>
        </w:rPr>
        <w:t>VEINTIUNO</w:t>
      </w:r>
      <w:r w:rsidRPr="000069BE">
        <w:rPr>
          <w:rFonts w:ascii="Palatino Linotype" w:hAnsi="Palatino Linotype" w:eastAsia="Calibri" w:cs="Tahoma"/>
          <w:bCs/>
          <w:sz w:val="22"/>
          <w:szCs w:val="22"/>
          <w:lang w:val="es-ES_tradnl" w:eastAsia="en-US"/>
        </w:rPr>
        <w:t xml:space="preserve"> DE </w:t>
      </w:r>
      <w:r w:rsidR="00893782">
        <w:rPr>
          <w:rFonts w:ascii="Palatino Linotype" w:hAnsi="Palatino Linotype" w:eastAsia="Calibri" w:cs="Tahoma"/>
          <w:bCs/>
          <w:sz w:val="22"/>
          <w:szCs w:val="22"/>
          <w:lang w:val="es-ES_tradnl" w:eastAsia="en-US"/>
        </w:rPr>
        <w:t>ABRIL</w:t>
      </w:r>
      <w:r w:rsidRPr="000069BE">
        <w:rPr>
          <w:rFonts w:ascii="Palatino Linotype" w:hAnsi="Palatino Linotype" w:eastAsia="Calibri" w:cs="Tahoma"/>
          <w:bCs/>
          <w:sz w:val="22"/>
          <w:szCs w:val="22"/>
          <w:lang w:val="es-ES_tradnl" w:eastAsia="en-US"/>
        </w:rPr>
        <w:t xml:space="preserve"> DE DOS MIL VEINT</w:t>
      </w:r>
      <w:r w:rsidRPr="000069BE" w:rsidR="00E061EE">
        <w:rPr>
          <w:rFonts w:ascii="Palatino Linotype" w:hAnsi="Palatino Linotype" w:eastAsia="Calibri" w:cs="Tahoma"/>
          <w:bCs/>
          <w:sz w:val="22"/>
          <w:szCs w:val="22"/>
          <w:lang w:val="es-ES_tradnl" w:eastAsia="en-US"/>
        </w:rPr>
        <w:t>IUNO</w:t>
      </w:r>
      <w:r w:rsidRPr="000069BE">
        <w:rPr>
          <w:rFonts w:ascii="Palatino Linotype" w:hAnsi="Palatino Linotype" w:eastAsia="Calibri" w:cs="Tahoma"/>
          <w:bCs/>
          <w:sz w:val="22"/>
          <w:szCs w:val="22"/>
          <w:lang w:val="es-ES_tradnl" w:eastAsia="en-US"/>
        </w:rPr>
        <w:t>, ANTE EL SECRETARIO TÉCNICO DEL PLENO, ALEXIS TAPIA RAMÍREZ.</w:t>
      </w:r>
    </w:p>
    <w:p w:rsidR="009365BF" w:rsidRDefault="009365BF" w14:paraId="34F2D3F4" w14:textId="7BA89FDF">
      <w:pPr>
        <w:spacing w:after="160" w:line="259" w:lineRule="auto"/>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br w:type="page"/>
      </w:r>
    </w:p>
    <w:p w:rsidRPr="00AD50F9" w:rsidR="00BE6706" w:rsidP="00D17825" w:rsidRDefault="00BE6706" w14:paraId="0F0A2C6B" w14:textId="77777777">
      <w:pPr>
        <w:tabs>
          <w:tab w:val="left" w:pos="8931"/>
        </w:tabs>
        <w:spacing w:line="360" w:lineRule="auto"/>
        <w:ind w:right="-93"/>
        <w:jc w:val="both"/>
        <w:rPr>
          <w:rFonts w:ascii="Palatino Linotype" w:hAnsi="Palatino Linotype" w:eastAsia="Calibri" w:cs="Tahoma"/>
          <w:b/>
          <w:bCs/>
          <w:sz w:val="22"/>
          <w:szCs w:val="22"/>
          <w:lang w:eastAsia="en-US"/>
        </w:rPr>
      </w:pPr>
    </w:p>
    <w:sectPr w:rsidRPr="00AD50F9" w:rsidR="00BE6706" w:rsidSect="009D5C33">
      <w:headerReference w:type="default" r:id="rId9"/>
      <w:footerReference w:type="default" r:id="rId10"/>
      <w:headerReference w:type="first" r:id="rId11"/>
      <w:footerReference w:type="first" r:id="rId12"/>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3E9E" w:rsidP="00B31222" w:rsidRDefault="008B3E9E" w14:paraId="62059150" w14:textId="77777777">
      <w:r>
        <w:separator/>
      </w:r>
    </w:p>
  </w:endnote>
  <w:endnote w:type="continuationSeparator" w:id="0">
    <w:p w:rsidR="008B3E9E" w:rsidP="00B31222" w:rsidRDefault="008B3E9E" w14:paraId="647EE56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FA025C" w:rsidRDefault="00FA025C" w14:paraId="79D0C26C" w14:textId="77777777">
            <w:pPr>
              <w:pStyle w:val="Piedepgina"/>
              <w:jc w:val="right"/>
            </w:pPr>
          </w:p>
          <w:p w:rsidR="00FA025C" w:rsidRDefault="00FA025C" w14:paraId="58BFAB62" w14:textId="02C9DC9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A5F94">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A5F94">
              <w:rPr>
                <w:b/>
                <w:bCs/>
                <w:noProof/>
              </w:rPr>
              <w:t>31</w:t>
            </w:r>
            <w:r>
              <w:rPr>
                <w:b/>
                <w:bCs/>
                <w:sz w:val="24"/>
                <w:szCs w:val="24"/>
              </w:rPr>
              <w:fldChar w:fldCharType="end"/>
            </w:r>
          </w:p>
        </w:sdtContent>
      </w:sdt>
    </w:sdtContent>
  </w:sdt>
  <w:p w:rsidR="00FA025C" w:rsidRDefault="00FA025C" w14:paraId="4C1EBC1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FA025C" w:rsidRDefault="00FA025C" w14:paraId="73F193BA" w14:textId="026775D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A5F9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A5F94">
              <w:rPr>
                <w:b/>
                <w:bCs/>
                <w:noProof/>
              </w:rPr>
              <w:t>31</w:t>
            </w:r>
            <w:r>
              <w:rPr>
                <w:b/>
                <w:bCs/>
                <w:sz w:val="24"/>
                <w:szCs w:val="24"/>
              </w:rPr>
              <w:fldChar w:fldCharType="end"/>
            </w:r>
          </w:p>
        </w:sdtContent>
      </w:sdt>
    </w:sdtContent>
  </w:sdt>
  <w:p w:rsidR="00FA025C" w:rsidRDefault="00FA025C" w14:paraId="15BD444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3E9E" w:rsidP="00B31222" w:rsidRDefault="008B3E9E" w14:paraId="685143C0" w14:textId="77777777">
      <w:r>
        <w:separator/>
      </w:r>
    </w:p>
  </w:footnote>
  <w:footnote w:type="continuationSeparator" w:id="0">
    <w:p w:rsidR="008B3E9E" w:rsidP="00B31222" w:rsidRDefault="008B3E9E" w14:paraId="733F07B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FA025C" w:rsidTr="00202DB8" w14:paraId="717A868E" w14:textId="77777777">
      <w:trPr>
        <w:trHeight w:val="1435"/>
      </w:trPr>
      <w:tc>
        <w:tcPr>
          <w:tcW w:w="2835" w:type="dxa"/>
          <w:shd w:val="clear" w:color="auto" w:fill="auto"/>
        </w:tcPr>
        <w:p w:rsidRPr="005C106F" w:rsidR="00FA025C" w:rsidP="00EF4A64" w:rsidRDefault="00FA025C" w14:paraId="4289BF87" w14:textId="424F5393">
          <w:pPr>
            <w:tabs>
              <w:tab w:val="right" w:pos="4273"/>
            </w:tabs>
            <w:rPr>
              <w:rFonts w:ascii="Garamond" w:hAnsi="Garamond" w:eastAsia="Calibri"/>
              <w:sz w:val="16"/>
              <w:szCs w:val="16"/>
              <w:lang w:eastAsia="en-US"/>
            </w:rPr>
          </w:pPr>
        </w:p>
      </w:tc>
      <w:tc>
        <w:tcPr>
          <w:tcW w:w="6733" w:type="dxa"/>
          <w:shd w:val="clear" w:color="auto" w:fill="auto"/>
        </w:tcPr>
        <w:p w:rsidR="00FA025C" w:rsidP="005743D2" w:rsidRDefault="00FA025C" w14:paraId="398569DF" w14:textId="77777777"/>
        <w:tbl>
          <w:tblPr>
            <w:tblStyle w:val="Tablaconcuadrcula"/>
            <w:tblW w:w="65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831"/>
          </w:tblGrid>
          <w:tr w:rsidR="00FA025C" w:rsidTr="00792C68" w14:paraId="39F88D19" w14:textId="77777777">
            <w:trPr>
              <w:trHeight w:val="144"/>
            </w:trPr>
            <w:tc>
              <w:tcPr>
                <w:tcW w:w="2727" w:type="dxa"/>
              </w:tcPr>
              <w:p w:rsidRPr="00FF46FD" w:rsidR="00FA025C" w:rsidP="00E43A0F" w:rsidRDefault="00FA025C" w14:paraId="4E3B62F5" w14:textId="77777777">
                <w:pPr>
                  <w:tabs>
                    <w:tab w:val="right" w:pos="8838"/>
                  </w:tabs>
                  <w:ind w:right="-105"/>
                  <w:rPr>
                    <w:rFonts w:ascii="Palatino Linotype" w:hAnsi="Palatino Linotype" w:eastAsia="Calibri" w:cs="Tahoma"/>
                    <w:b/>
                    <w:sz w:val="24"/>
                    <w:szCs w:val="24"/>
                    <w:lang w:eastAsia="en-US"/>
                  </w:rPr>
                </w:pPr>
                <w:r w:rsidRPr="00FF46FD">
                  <w:rPr>
                    <w:rFonts w:ascii="Palatino Linotype" w:hAnsi="Palatino Linotype" w:eastAsia="Calibri" w:cs="Tahoma"/>
                    <w:b/>
                    <w:sz w:val="24"/>
                    <w:szCs w:val="24"/>
                    <w:lang w:eastAsia="en-US"/>
                  </w:rPr>
                  <w:t>Recurso de Revisión:</w:t>
                </w:r>
              </w:p>
            </w:tc>
            <w:tc>
              <w:tcPr>
                <w:tcW w:w="3831" w:type="dxa"/>
              </w:tcPr>
              <w:p w:rsidRPr="00AA76BC" w:rsidR="00FA025C" w:rsidP="00716001" w:rsidRDefault="00792C68" w14:paraId="57502DC4" w14:textId="71C92997">
                <w:pPr>
                  <w:tabs>
                    <w:tab w:val="right" w:pos="8838"/>
                  </w:tabs>
                  <w:ind w:left="-28" w:right="171"/>
                  <w:jc w:val="both"/>
                  <w:rPr>
                    <w:rFonts w:ascii="Palatino Linotype" w:hAnsi="Palatino Linotype" w:eastAsia="Calibri" w:cs="Tahoma"/>
                    <w:b/>
                    <w:bCs/>
                    <w:sz w:val="24"/>
                    <w:szCs w:val="24"/>
                    <w:lang w:eastAsia="en-US"/>
                  </w:rPr>
                </w:pPr>
                <w:r>
                  <w:rPr>
                    <w:rFonts w:ascii="Palatino Linotype" w:hAnsi="Palatino Linotype" w:eastAsia="Calibri" w:cs="Tahoma"/>
                    <w:b/>
                    <w:bCs/>
                    <w:sz w:val="24"/>
                    <w:szCs w:val="24"/>
                    <w:lang w:eastAsia="en-US"/>
                  </w:rPr>
                  <w:t>00811</w:t>
                </w:r>
                <w:r w:rsidRPr="00AA76BC" w:rsidR="00FA025C">
                  <w:rPr>
                    <w:rFonts w:ascii="Palatino Linotype" w:hAnsi="Palatino Linotype" w:eastAsia="Calibri" w:cs="Tahoma"/>
                    <w:b/>
                    <w:bCs/>
                    <w:sz w:val="24"/>
                    <w:szCs w:val="24"/>
                    <w:lang w:eastAsia="en-US"/>
                  </w:rPr>
                  <w:t>/INFOEM/IP/RR/2021</w:t>
                </w:r>
              </w:p>
            </w:tc>
          </w:tr>
          <w:tr w:rsidR="00FA025C" w:rsidTr="00792C68" w14:paraId="3385006F" w14:textId="77777777">
            <w:trPr>
              <w:trHeight w:val="283"/>
            </w:trPr>
            <w:tc>
              <w:tcPr>
                <w:tcW w:w="2727" w:type="dxa"/>
              </w:tcPr>
              <w:p w:rsidRPr="00FF46FD" w:rsidR="00FA025C" w:rsidP="00E43A0F" w:rsidRDefault="00FA025C" w14:paraId="0F49CA35" w14:textId="77777777">
                <w:pPr>
                  <w:tabs>
                    <w:tab w:val="right" w:pos="8838"/>
                  </w:tabs>
                  <w:ind w:right="-105"/>
                  <w:rPr>
                    <w:rFonts w:ascii="Palatino Linotype" w:hAnsi="Palatino Linotype" w:eastAsia="Calibri" w:cs="Tahoma"/>
                    <w:b/>
                    <w:sz w:val="24"/>
                    <w:szCs w:val="24"/>
                    <w:lang w:eastAsia="en-US"/>
                  </w:rPr>
                </w:pPr>
                <w:r w:rsidRPr="00FF46FD">
                  <w:rPr>
                    <w:rFonts w:ascii="Palatino Linotype" w:hAnsi="Palatino Linotype" w:eastAsia="Calibri" w:cs="Tahoma"/>
                    <w:b/>
                    <w:sz w:val="24"/>
                    <w:szCs w:val="24"/>
                    <w:lang w:eastAsia="en-US"/>
                  </w:rPr>
                  <w:t>Sujeto Obligado:</w:t>
                </w:r>
              </w:p>
            </w:tc>
            <w:tc>
              <w:tcPr>
                <w:tcW w:w="3831" w:type="dxa"/>
              </w:tcPr>
              <w:p w:rsidRPr="002A50B6" w:rsidR="00FA025C" w:rsidP="00A1041C" w:rsidRDefault="00792C68" w14:paraId="1CDF09BB" w14:textId="4EE73880">
                <w:pPr>
                  <w:tabs>
                    <w:tab w:val="left" w:pos="2834"/>
                    <w:tab w:val="right" w:pos="8838"/>
                  </w:tabs>
                  <w:ind w:right="171"/>
                  <w:jc w:val="both"/>
                  <w:rPr>
                    <w:rFonts w:ascii="Palatino Linotype" w:hAnsi="Palatino Linotype" w:eastAsia="Calibri" w:cs="Tahoma"/>
                    <w:b/>
                    <w:sz w:val="24"/>
                    <w:szCs w:val="24"/>
                    <w:lang w:eastAsia="en-US"/>
                  </w:rPr>
                </w:pPr>
                <w:r>
                  <w:rPr>
                    <w:rFonts w:ascii="Palatino Linotype" w:hAnsi="Palatino Linotype" w:eastAsia="Calibri" w:cs="Tahoma"/>
                    <w:sz w:val="22"/>
                    <w:szCs w:val="22"/>
                    <w:lang w:eastAsia="en-US"/>
                  </w:rPr>
                  <w:t>Ayuntamiento de Ixtapan de la Sal</w:t>
                </w:r>
              </w:p>
            </w:tc>
          </w:tr>
          <w:tr w:rsidR="00FA025C" w:rsidTr="00792C68" w14:paraId="341FB120" w14:textId="77777777">
            <w:trPr>
              <w:trHeight w:val="283"/>
            </w:trPr>
            <w:tc>
              <w:tcPr>
                <w:tcW w:w="2727" w:type="dxa"/>
              </w:tcPr>
              <w:p w:rsidRPr="00FF46FD" w:rsidR="00FA025C" w:rsidP="00E43A0F" w:rsidRDefault="00FA025C" w14:paraId="106E7054" w14:textId="77777777">
                <w:pPr>
                  <w:tabs>
                    <w:tab w:val="right" w:pos="8838"/>
                  </w:tabs>
                  <w:ind w:right="-105"/>
                  <w:rPr>
                    <w:rFonts w:ascii="Palatino Linotype" w:hAnsi="Palatino Linotype" w:eastAsia="Calibri" w:cs="Tahoma"/>
                    <w:b/>
                    <w:sz w:val="24"/>
                    <w:szCs w:val="24"/>
                    <w:lang w:eastAsia="en-US"/>
                  </w:rPr>
                </w:pPr>
                <w:r w:rsidRPr="00FF46FD">
                  <w:rPr>
                    <w:rFonts w:ascii="Palatino Linotype" w:hAnsi="Palatino Linotype" w:eastAsia="Calibri" w:cs="Tahoma"/>
                    <w:b/>
                    <w:sz w:val="24"/>
                    <w:szCs w:val="24"/>
                    <w:lang w:eastAsia="en-US"/>
                  </w:rPr>
                  <w:t>Comisionado Ponente:</w:t>
                </w:r>
              </w:p>
            </w:tc>
            <w:tc>
              <w:tcPr>
                <w:tcW w:w="3831" w:type="dxa"/>
              </w:tcPr>
              <w:p w:rsidRPr="00FF46FD" w:rsidR="00FA025C" w:rsidP="00E43A0F" w:rsidRDefault="00FA025C" w14:paraId="77D7FD5C" w14:textId="77777777">
                <w:pPr>
                  <w:tabs>
                    <w:tab w:val="right" w:pos="8838"/>
                  </w:tabs>
                  <w:ind w:right="171"/>
                  <w:jc w:val="both"/>
                  <w:rPr>
                    <w:rFonts w:ascii="Palatino Linotype" w:hAnsi="Palatino Linotype" w:eastAsia="Calibri" w:cs="Tahoma"/>
                    <w:b/>
                    <w:sz w:val="24"/>
                    <w:szCs w:val="24"/>
                    <w:lang w:eastAsia="en-US"/>
                  </w:rPr>
                </w:pPr>
                <w:r w:rsidRPr="00FF46FD">
                  <w:rPr>
                    <w:rFonts w:ascii="Palatino Linotype" w:hAnsi="Palatino Linotype" w:eastAsia="Calibri" w:cs="Tahoma"/>
                    <w:sz w:val="24"/>
                    <w:szCs w:val="24"/>
                    <w:lang w:eastAsia="en-US"/>
                  </w:rPr>
                  <w:t>Luis Gustavo Parra Noriega</w:t>
                </w:r>
              </w:p>
            </w:tc>
          </w:tr>
        </w:tbl>
        <w:p w:rsidRPr="005C106F" w:rsidR="00FA025C" w:rsidP="005743D2" w:rsidRDefault="00FA025C" w14:paraId="3EDAF875" w14:textId="77777777">
          <w:pPr>
            <w:tabs>
              <w:tab w:val="right" w:pos="8838"/>
            </w:tabs>
            <w:ind w:left="-28"/>
            <w:jc w:val="both"/>
            <w:rPr>
              <w:rFonts w:ascii="Arial" w:hAnsi="Arial" w:eastAsia="Calibri" w:cs="Arial"/>
              <w:b/>
              <w:sz w:val="22"/>
              <w:szCs w:val="22"/>
              <w:lang w:eastAsia="en-US"/>
            </w:rPr>
          </w:pPr>
        </w:p>
      </w:tc>
    </w:tr>
  </w:tbl>
  <w:p w:rsidR="00FA025C" w:rsidP="00EF4A64" w:rsidRDefault="00563610" w14:paraId="0488DE90" w14:textId="784608D6">
    <w:pPr>
      <w:pStyle w:val="Encabezado"/>
      <w:rPr>
        <w:sz w:val="14"/>
      </w:rPr>
    </w:pPr>
    <w:r>
      <w:rPr>
        <w:rFonts w:ascii="Garamond" w:hAnsi="Garamond" w:eastAsia="Calibri"/>
        <w:noProof/>
        <w:sz w:val="16"/>
        <w:szCs w:val="16"/>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50" style="position:absolute;margin-left:-45.35pt;margin-top:-132.85pt;width:663.5pt;height:12in;z-index:-251657216;mso-wrap-edited:f;mso-width-percent:0;mso-height-percent:0;mso-position-horizontal-relative:margin;mso-position-vertical-relative:margin;mso-width-percent:0;mso-height-percent:0" alt="MARCA DE AGUA - HOJA RESOLUCIÓN" o:allowincell="f" type="#_x0000_t75">
          <v:imagedata o:title="MARCA DE AGUA - HOJA RESOLUCIÓN" r:id="rId1"/>
          <w10:wrap anchorx="margin" anchory="margin"/>
        </v:shape>
      </w:pict>
    </w:r>
  </w:p>
  <w:p w:rsidR="00FA025C" w:rsidP="00EF4A64" w:rsidRDefault="00FA025C" w14:paraId="11CF0039" w14:textId="77777777">
    <w:pPr>
      <w:pStyle w:val="Encabezado"/>
      <w:rPr>
        <w:sz w:val="14"/>
      </w:rPr>
    </w:pPr>
  </w:p>
  <w:p w:rsidRPr="00443C6B" w:rsidR="00FA025C" w:rsidP="00EF4A64" w:rsidRDefault="00FA025C" w14:paraId="4D48503D" w14:textId="77777777">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FA025C" w:rsidTr="39ED7443" w14:paraId="0756BAA3" w14:textId="77777777">
      <w:trPr>
        <w:trHeight w:val="1435"/>
      </w:trPr>
      <w:tc>
        <w:tcPr>
          <w:tcW w:w="2835" w:type="dxa"/>
          <w:shd w:val="clear" w:color="auto" w:fill="auto"/>
          <w:tcMar/>
        </w:tcPr>
        <w:p w:rsidRPr="00330DA7" w:rsidR="00FA025C" w:rsidP="00DB7E5F" w:rsidRDefault="00FA025C" w14:paraId="79A199F2" w14:textId="77777777">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330DA7" w:rsidR="00FA025C" w:rsidTr="39ED7443" w14:paraId="1FED1AD9" w14:textId="77777777">
            <w:trPr>
              <w:trHeight w:val="144"/>
            </w:trPr>
            <w:tc>
              <w:tcPr>
                <w:tcW w:w="2727" w:type="dxa"/>
                <w:tcMar/>
              </w:tcPr>
              <w:p w:rsidRPr="00330DA7" w:rsidR="00FA025C" w:rsidP="00844CB5" w:rsidRDefault="00FA025C" w14:paraId="479BE2EF" w14:textId="77777777">
                <w:pPr>
                  <w:tabs>
                    <w:tab w:val="right" w:pos="8838"/>
                  </w:tabs>
                  <w:ind w:left="-74" w:right="-105"/>
                  <w:rPr>
                    <w:rFonts w:ascii="Palatino Linotype" w:hAnsi="Palatino Linotype" w:eastAsia="Calibri" w:cs="Tahoma"/>
                    <w:b/>
                    <w:sz w:val="22"/>
                    <w:szCs w:val="22"/>
                    <w:lang w:eastAsia="en-US"/>
                  </w:rPr>
                </w:pPr>
                <w:bookmarkStart w:name="_Hlk12526980" w:id="1"/>
                <w:r w:rsidRPr="00330DA7">
                  <w:rPr>
                    <w:rFonts w:ascii="Palatino Linotype" w:hAnsi="Palatino Linotype" w:eastAsia="Calibri" w:cs="Tahoma"/>
                    <w:b/>
                    <w:sz w:val="22"/>
                    <w:szCs w:val="22"/>
                    <w:lang w:eastAsia="en-US"/>
                  </w:rPr>
                  <w:t>Recurso de Revisión:</w:t>
                </w:r>
              </w:p>
            </w:tc>
            <w:tc>
              <w:tcPr>
                <w:tcW w:w="3402" w:type="dxa"/>
                <w:tcMar/>
              </w:tcPr>
              <w:p w:rsidRPr="00F62833" w:rsidR="00FA025C" w:rsidP="002C2524" w:rsidRDefault="00C5049F" w14:paraId="425DB4C7" w14:textId="0F324587">
                <w:pPr>
                  <w:tabs>
                    <w:tab w:val="right" w:pos="8838"/>
                  </w:tabs>
                  <w:ind w:left="-74"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00811</w:t>
                </w:r>
                <w:r w:rsidRPr="00F62833" w:rsidR="00FA025C">
                  <w:rPr>
                    <w:rFonts w:ascii="Palatino Linotype" w:hAnsi="Palatino Linotype" w:eastAsia="Calibri" w:cs="Tahoma"/>
                    <w:b/>
                    <w:bCs/>
                    <w:sz w:val="22"/>
                    <w:szCs w:val="22"/>
                    <w:lang w:eastAsia="en-US"/>
                  </w:rPr>
                  <w:t>/INFOEM/IP/RR/2021</w:t>
                </w:r>
              </w:p>
            </w:tc>
          </w:tr>
          <w:tr w:rsidRPr="00330DA7" w:rsidR="00FA025C" w:rsidTr="39ED7443" w14:paraId="660FE942" w14:textId="6B2EDFC8">
            <w:trPr>
              <w:trHeight w:val="144"/>
            </w:trPr>
            <w:tc>
              <w:tcPr>
                <w:tcW w:w="2727" w:type="dxa"/>
                <w:tcMar/>
              </w:tcPr>
              <w:p w:rsidRPr="00330DA7" w:rsidR="00FA025C" w:rsidP="00844CB5" w:rsidRDefault="00FA025C" w14:paraId="662BC787" w14:textId="77777777">
                <w:pPr>
                  <w:tabs>
                    <w:tab w:val="right" w:pos="8838"/>
                  </w:tabs>
                  <w:ind w:left="-74" w:right="-105"/>
                  <w:rPr>
                    <w:rFonts w:ascii="Palatino Linotype" w:hAnsi="Palatino Linotype" w:eastAsia="Calibri" w:cs="Tahoma"/>
                    <w:b/>
                    <w:sz w:val="22"/>
                    <w:szCs w:val="22"/>
                    <w:lang w:eastAsia="en-US"/>
                  </w:rPr>
                </w:pPr>
                <w:bookmarkStart w:name="_Hlk10641523" w:id="2"/>
                <w:bookmarkEnd w:id="1"/>
                <w:r w:rsidRPr="00330DA7">
                  <w:rPr>
                    <w:rFonts w:ascii="Palatino Linotype" w:hAnsi="Palatino Linotype" w:eastAsia="Calibri" w:cs="Tahoma"/>
                    <w:b/>
                    <w:sz w:val="22"/>
                    <w:szCs w:val="22"/>
                    <w:lang w:eastAsia="en-US"/>
                  </w:rPr>
                  <w:t>Recurrente:</w:t>
                </w:r>
              </w:p>
            </w:tc>
            <w:tc>
              <w:tcPr>
                <w:tcW w:w="3402" w:type="dxa"/>
                <w:tcMar/>
              </w:tcPr>
              <w:p w:rsidRPr="00330DA7" w:rsidR="00FA025C" w:rsidP="39ED7443" w:rsidRDefault="00C5049F" w14:paraId="389277EF" w14:textId="029F035A">
                <w:pPr>
                  <w:tabs>
                    <w:tab w:val="left" w:pos="3122"/>
                    <w:tab w:val="right" w:pos="8838"/>
                  </w:tabs>
                  <w:ind w:right="-105"/>
                  <w:jc w:val="both"/>
                  <w:rPr>
                    <w:rFonts w:ascii="Palatino Linotype" w:hAnsi="Palatino Linotype" w:eastAsia="Calibri" w:cs="Tahoma"/>
                    <w:b w:val="1"/>
                    <w:bCs w:val="1"/>
                    <w:sz w:val="22"/>
                    <w:szCs w:val="22"/>
                    <w:highlight w:val="black"/>
                    <w:lang w:eastAsia="en-US"/>
                  </w:rPr>
                </w:pPr>
                <w:r w:rsidRPr="39ED7443" w:rsidR="39ED7443">
                  <w:rPr>
                    <w:rFonts w:ascii="Palatino Linotype" w:hAnsi="Palatino Linotype" w:eastAsia="Calibri" w:cs="Tahoma"/>
                    <w:b w:val="1"/>
                    <w:bCs w:val="1"/>
                    <w:sz w:val="22"/>
                    <w:szCs w:val="22"/>
                    <w:highlight w:val="black"/>
                    <w:lang w:eastAsia="en-US"/>
                  </w:rPr>
                  <w:t>XXXXXXXXXXXXX</w:t>
                </w:r>
              </w:p>
            </w:tc>
          </w:tr>
          <w:bookmarkEnd w:id="2"/>
          <w:tr w:rsidRPr="00330DA7" w:rsidR="00FA025C" w:rsidTr="39ED7443" w14:paraId="215691A8" w14:textId="77777777">
            <w:trPr>
              <w:trHeight w:val="283"/>
            </w:trPr>
            <w:tc>
              <w:tcPr>
                <w:tcW w:w="2727" w:type="dxa"/>
                <w:tcMar/>
              </w:tcPr>
              <w:p w:rsidRPr="00330DA7" w:rsidR="00FA025C" w:rsidP="00844CB5" w:rsidRDefault="00FA025C" w14:paraId="0B74763A"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Sujeto Obligado:</w:t>
                </w:r>
              </w:p>
            </w:tc>
            <w:tc>
              <w:tcPr>
                <w:tcW w:w="3402" w:type="dxa"/>
                <w:tcMar/>
              </w:tcPr>
              <w:p w:rsidRPr="00330DA7" w:rsidR="00FA025C" w:rsidP="00DE7299" w:rsidRDefault="00C5049F" w14:paraId="0DE83C1B" w14:textId="7302E508">
                <w:pPr>
                  <w:tabs>
                    <w:tab w:val="left" w:pos="2834"/>
                    <w:tab w:val="right" w:pos="8838"/>
                  </w:tabs>
                  <w:ind w:left="-108" w:right="-105"/>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Ayuntamiento de Ixtapan de la Sal</w:t>
                </w:r>
              </w:p>
            </w:tc>
          </w:tr>
          <w:tr w:rsidRPr="00330DA7" w:rsidR="00FA025C" w:rsidTr="39ED7443" w14:paraId="6B309D42" w14:textId="77777777">
            <w:trPr>
              <w:trHeight w:val="283"/>
            </w:trPr>
            <w:tc>
              <w:tcPr>
                <w:tcW w:w="2727" w:type="dxa"/>
                <w:tcMar/>
              </w:tcPr>
              <w:p w:rsidRPr="00330DA7" w:rsidR="00FA025C" w:rsidP="00844CB5" w:rsidRDefault="00FA025C" w14:paraId="111E9634"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Comisionado Ponente:</w:t>
                </w:r>
              </w:p>
            </w:tc>
            <w:tc>
              <w:tcPr>
                <w:tcW w:w="3402" w:type="dxa"/>
                <w:tcMar/>
              </w:tcPr>
              <w:p w:rsidRPr="00330DA7" w:rsidR="00FA025C" w:rsidP="00817A79" w:rsidRDefault="00FA025C" w14:paraId="5D74F6E5" w14:textId="77777777">
                <w:pPr>
                  <w:tabs>
                    <w:tab w:val="right" w:pos="8838"/>
                  </w:tabs>
                  <w:ind w:left="-108" w:right="-105"/>
                  <w:jc w:val="both"/>
                  <w:rPr>
                    <w:rFonts w:ascii="Palatino Linotype" w:hAnsi="Palatino Linotype" w:eastAsia="Calibri" w:cs="Tahoma"/>
                    <w:b/>
                    <w:sz w:val="22"/>
                    <w:szCs w:val="22"/>
                    <w:lang w:eastAsia="en-US"/>
                  </w:rPr>
                </w:pPr>
                <w:r w:rsidRPr="00330DA7">
                  <w:rPr>
                    <w:rFonts w:ascii="Palatino Linotype" w:hAnsi="Palatino Linotype" w:eastAsia="Calibri" w:cs="Tahoma"/>
                    <w:sz w:val="22"/>
                    <w:szCs w:val="22"/>
                    <w:lang w:eastAsia="en-US"/>
                  </w:rPr>
                  <w:t>Luis Gustavo Parra Noriega</w:t>
                </w:r>
              </w:p>
            </w:tc>
          </w:tr>
        </w:tbl>
        <w:p w:rsidRPr="00330DA7" w:rsidR="00FA025C" w:rsidP="00DB7E5F" w:rsidRDefault="00FA025C" w14:paraId="430DE6A9" w14:textId="77777777">
          <w:pPr>
            <w:tabs>
              <w:tab w:val="right" w:pos="8838"/>
            </w:tabs>
            <w:ind w:left="-28"/>
            <w:jc w:val="both"/>
            <w:rPr>
              <w:rFonts w:ascii="Arial" w:hAnsi="Arial" w:eastAsia="Calibri" w:cs="Arial"/>
              <w:b/>
              <w:sz w:val="22"/>
              <w:szCs w:val="22"/>
              <w:lang w:eastAsia="en-US"/>
            </w:rPr>
          </w:pPr>
        </w:p>
      </w:tc>
    </w:tr>
  </w:tbl>
  <w:p w:rsidRPr="00765661" w:rsidR="00FA025C" w:rsidP="00B727C5" w:rsidRDefault="00563610" w14:paraId="0CB98BDD" w14:textId="00A5E0D2">
    <w:pPr>
      <w:pStyle w:val="Encabezado"/>
      <w:rPr>
        <w:sz w:val="22"/>
        <w:szCs w:val="22"/>
      </w:rPr>
    </w:pPr>
    <w:r>
      <w:rPr>
        <w:noProof/>
        <w:sz w:val="36"/>
        <w:szCs w:val="22"/>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103.85pt;margin-top:-141.3pt;width:663.5pt;height:12in;z-index:-251658240;mso-wrap-edited:f;mso-width-percent:0;mso-height-percent:0;mso-position-horizontal-relative:margin;mso-position-vertical-relative:margin;mso-width-percent:0;mso-height-percent:0" alt="MARCA DE AGUA - HOJA RESOLUCIÓ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B737652"/>
    <w:multiLevelType w:val="hybridMultilevel"/>
    <w:tmpl w:val="427881EA"/>
    <w:lvl w:ilvl="0" w:tplc="541AE2AA">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1503518C"/>
    <w:multiLevelType w:val="hybridMultilevel"/>
    <w:tmpl w:val="FB86F37E"/>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154A765F"/>
    <w:multiLevelType w:val="hybridMultilevel"/>
    <w:tmpl w:val="C3B8DAA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6B24EEF"/>
    <w:multiLevelType w:val="hybridMultilevel"/>
    <w:tmpl w:val="C8528596"/>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D503A7"/>
    <w:multiLevelType w:val="hybridMultilevel"/>
    <w:tmpl w:val="4338379A"/>
    <w:lvl w:ilvl="0" w:tplc="1F6CC5A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D481B0B"/>
    <w:multiLevelType w:val="multilevel"/>
    <w:tmpl w:val="706A0246"/>
    <w:lvl w:ilvl="0">
      <w:start w:val="1"/>
      <w:numFmt w:val="bullet"/>
      <w:lvlText w:val="●"/>
      <w:lvlJc w:val="left"/>
      <w:pPr>
        <w:ind w:left="780" w:hanging="360"/>
      </w:pPr>
      <w:rPr>
        <w:rFonts w:ascii="Noto Sans Symbols" w:hAnsi="Noto Sans Symbols" w:eastAsia="Noto Sans Symbols" w:cs="Noto Sans Symbols"/>
      </w:rPr>
    </w:lvl>
    <w:lvl w:ilvl="1">
      <w:start w:val="1"/>
      <w:numFmt w:val="bullet"/>
      <w:lvlText w:val="o"/>
      <w:lvlJc w:val="left"/>
      <w:pPr>
        <w:ind w:left="1500" w:hanging="360"/>
      </w:pPr>
      <w:rPr>
        <w:rFonts w:ascii="Courier New" w:hAnsi="Courier New" w:eastAsia="Courier New" w:cs="Courier New"/>
      </w:rPr>
    </w:lvl>
    <w:lvl w:ilvl="2">
      <w:start w:val="1"/>
      <w:numFmt w:val="bullet"/>
      <w:lvlText w:val="▪"/>
      <w:lvlJc w:val="left"/>
      <w:pPr>
        <w:ind w:left="2220" w:hanging="360"/>
      </w:pPr>
      <w:rPr>
        <w:rFonts w:ascii="Noto Sans Symbols" w:hAnsi="Noto Sans Symbols" w:eastAsia="Noto Sans Symbols" w:cs="Noto Sans Symbols"/>
      </w:rPr>
    </w:lvl>
    <w:lvl w:ilvl="3">
      <w:start w:val="1"/>
      <w:numFmt w:val="bullet"/>
      <w:lvlText w:val="●"/>
      <w:lvlJc w:val="left"/>
      <w:pPr>
        <w:ind w:left="2940" w:hanging="360"/>
      </w:pPr>
      <w:rPr>
        <w:rFonts w:ascii="Noto Sans Symbols" w:hAnsi="Noto Sans Symbols" w:eastAsia="Noto Sans Symbols" w:cs="Noto Sans Symbols"/>
      </w:rPr>
    </w:lvl>
    <w:lvl w:ilvl="4">
      <w:start w:val="1"/>
      <w:numFmt w:val="bullet"/>
      <w:lvlText w:val="o"/>
      <w:lvlJc w:val="left"/>
      <w:pPr>
        <w:ind w:left="3660" w:hanging="360"/>
      </w:pPr>
      <w:rPr>
        <w:rFonts w:ascii="Courier New" w:hAnsi="Courier New" w:eastAsia="Courier New" w:cs="Courier New"/>
      </w:rPr>
    </w:lvl>
    <w:lvl w:ilvl="5">
      <w:start w:val="1"/>
      <w:numFmt w:val="bullet"/>
      <w:lvlText w:val="▪"/>
      <w:lvlJc w:val="left"/>
      <w:pPr>
        <w:ind w:left="4380" w:hanging="360"/>
      </w:pPr>
      <w:rPr>
        <w:rFonts w:ascii="Noto Sans Symbols" w:hAnsi="Noto Sans Symbols" w:eastAsia="Noto Sans Symbols" w:cs="Noto Sans Symbols"/>
      </w:rPr>
    </w:lvl>
    <w:lvl w:ilvl="6">
      <w:start w:val="1"/>
      <w:numFmt w:val="bullet"/>
      <w:lvlText w:val="●"/>
      <w:lvlJc w:val="left"/>
      <w:pPr>
        <w:ind w:left="5100" w:hanging="360"/>
      </w:pPr>
      <w:rPr>
        <w:rFonts w:ascii="Noto Sans Symbols" w:hAnsi="Noto Sans Symbols" w:eastAsia="Noto Sans Symbols" w:cs="Noto Sans Symbols"/>
      </w:rPr>
    </w:lvl>
    <w:lvl w:ilvl="7">
      <w:start w:val="1"/>
      <w:numFmt w:val="bullet"/>
      <w:lvlText w:val="o"/>
      <w:lvlJc w:val="left"/>
      <w:pPr>
        <w:ind w:left="5820" w:hanging="360"/>
      </w:pPr>
      <w:rPr>
        <w:rFonts w:ascii="Courier New" w:hAnsi="Courier New" w:eastAsia="Courier New" w:cs="Courier New"/>
      </w:rPr>
    </w:lvl>
    <w:lvl w:ilvl="8">
      <w:start w:val="1"/>
      <w:numFmt w:val="bullet"/>
      <w:lvlText w:val="▪"/>
      <w:lvlJc w:val="left"/>
      <w:pPr>
        <w:ind w:left="6540" w:hanging="360"/>
      </w:pPr>
      <w:rPr>
        <w:rFonts w:ascii="Noto Sans Symbols" w:hAnsi="Noto Sans Symbols" w:eastAsia="Noto Sans Symbols" w:cs="Noto Sans Symbols"/>
      </w:rPr>
    </w:lvl>
  </w:abstractNum>
  <w:abstractNum w:abstractNumId="7" w15:restartNumberingAfterBreak="0">
    <w:nsid w:val="281146C9"/>
    <w:multiLevelType w:val="hybridMultilevel"/>
    <w:tmpl w:val="96166F5C"/>
    <w:lvl w:ilvl="0" w:tplc="38B289EC">
      <w:start w:val="3"/>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9030630"/>
    <w:multiLevelType w:val="hybridMultilevel"/>
    <w:tmpl w:val="AB1CD5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3028293D"/>
    <w:multiLevelType w:val="hybridMultilevel"/>
    <w:tmpl w:val="B840E9E2"/>
    <w:lvl w:ilvl="0" w:tplc="A740F5EA">
      <w:start w:val="16"/>
      <w:numFmt w:val="bullet"/>
      <w:lvlText w:val="-"/>
      <w:lvlJc w:val="left"/>
      <w:pPr>
        <w:ind w:left="720" w:hanging="360"/>
      </w:pPr>
      <w:rPr>
        <w:rFonts w:hint="default" w:ascii="Palatino Linotype" w:hAnsi="Palatino Linotype"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32163351"/>
    <w:multiLevelType w:val="hybridMultilevel"/>
    <w:tmpl w:val="C58ACE5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2617041"/>
    <w:multiLevelType w:val="hybridMultilevel"/>
    <w:tmpl w:val="B394A830"/>
    <w:lvl w:ilvl="0" w:tplc="E68ABD0A">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3FD75F93"/>
    <w:multiLevelType w:val="hybridMultilevel"/>
    <w:tmpl w:val="AC80323A"/>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5" w15:restartNumberingAfterBreak="0">
    <w:nsid w:val="44326F80"/>
    <w:multiLevelType w:val="hybridMultilevel"/>
    <w:tmpl w:val="4338379A"/>
    <w:lvl w:ilvl="0" w:tplc="1F6CC5A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44AC49B6"/>
    <w:multiLevelType w:val="hybridMultilevel"/>
    <w:tmpl w:val="00D64CA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46E86E94"/>
    <w:multiLevelType w:val="hybridMultilevel"/>
    <w:tmpl w:val="C624D8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ED80D41"/>
    <w:multiLevelType w:val="hybridMultilevel"/>
    <w:tmpl w:val="9E4A02D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505D4290"/>
    <w:multiLevelType w:val="hybridMultilevel"/>
    <w:tmpl w:val="9E4A02D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51173868"/>
    <w:multiLevelType w:val="hybridMultilevel"/>
    <w:tmpl w:val="78606EB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57F52575"/>
    <w:multiLevelType w:val="hybridMultilevel"/>
    <w:tmpl w:val="8848A796"/>
    <w:lvl w:ilvl="0" w:tplc="1F6CC5AE">
      <w:start w:val="1"/>
      <w:numFmt w:val="decimal"/>
      <w:lvlText w:val="%1."/>
      <w:lvlJc w:val="left"/>
      <w:pPr>
        <w:ind w:left="1494"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59427882"/>
    <w:multiLevelType w:val="hybridMultilevel"/>
    <w:tmpl w:val="CBDE7FD4"/>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3" w15:restartNumberingAfterBreak="0">
    <w:nsid w:val="5FEF1CB5"/>
    <w:multiLevelType w:val="hybridMultilevel"/>
    <w:tmpl w:val="27846B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618C1054"/>
    <w:multiLevelType w:val="hybridMultilevel"/>
    <w:tmpl w:val="4338379A"/>
    <w:lvl w:ilvl="0" w:tplc="1F6CC5A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6A202415"/>
    <w:multiLevelType w:val="hybridMultilevel"/>
    <w:tmpl w:val="0394A9C4"/>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6" w15:restartNumberingAfterBreak="0">
    <w:nsid w:val="6D577262"/>
    <w:multiLevelType w:val="hybridMultilevel"/>
    <w:tmpl w:val="C6F2C00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15:restartNumberingAfterBreak="0">
    <w:nsid w:val="70117FB3"/>
    <w:multiLevelType w:val="hybridMultilevel"/>
    <w:tmpl w:val="7590A76C"/>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29" w15:restartNumberingAfterBreak="0">
    <w:nsid w:val="708912BB"/>
    <w:multiLevelType w:val="hybridMultilevel"/>
    <w:tmpl w:val="7752F2C0"/>
    <w:lvl w:ilvl="0" w:tplc="080A0001">
      <w:start w:val="1"/>
      <w:numFmt w:val="bullet"/>
      <w:lvlText w:val=""/>
      <w:lvlJc w:val="left"/>
      <w:pPr>
        <w:ind w:left="1494" w:hanging="360"/>
      </w:pPr>
      <w:rPr>
        <w:rFonts w:hint="default" w:ascii="Symbol" w:hAnsi="Symbol"/>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15:restartNumberingAfterBreak="0">
    <w:nsid w:val="72A14909"/>
    <w:multiLevelType w:val="hybridMultilevel"/>
    <w:tmpl w:val="4338379A"/>
    <w:lvl w:ilvl="0" w:tplc="1F6CC5A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769579AE"/>
    <w:multiLevelType w:val="hybridMultilevel"/>
    <w:tmpl w:val="9D425C8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33" w15:restartNumberingAfterBreak="0">
    <w:nsid w:val="771B0F23"/>
    <w:multiLevelType w:val="multilevel"/>
    <w:tmpl w:val="CE400FF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4" w15:restartNumberingAfterBreak="0">
    <w:nsid w:val="771F2665"/>
    <w:multiLevelType w:val="hybridMultilevel"/>
    <w:tmpl w:val="341A3BF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78150BA2"/>
    <w:multiLevelType w:val="hybridMultilevel"/>
    <w:tmpl w:val="AB2C2512"/>
    <w:lvl w:ilvl="0" w:tplc="CCBE5530">
      <w:start w:val="5"/>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78FC3A11"/>
    <w:multiLevelType w:val="hybridMultilevel"/>
    <w:tmpl w:val="D214C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0"/>
  </w:num>
  <w:num w:numId="2">
    <w:abstractNumId w:val="8"/>
  </w:num>
  <w:num w:numId="3">
    <w:abstractNumId w:val="31"/>
  </w:num>
  <w:num w:numId="4">
    <w:abstractNumId w:val="34"/>
  </w:num>
  <w:num w:numId="5">
    <w:abstractNumId w:val="20"/>
  </w:num>
  <w:num w:numId="6">
    <w:abstractNumId w:val="1"/>
  </w:num>
  <w:num w:numId="7">
    <w:abstractNumId w:val="12"/>
  </w:num>
  <w:num w:numId="8">
    <w:abstractNumId w:val="17"/>
  </w:num>
  <w:num w:numId="9">
    <w:abstractNumId w:val="4"/>
  </w:num>
  <w:num w:numId="10">
    <w:abstractNumId w:val="35"/>
  </w:num>
  <w:num w:numId="11">
    <w:abstractNumId w:val="13"/>
  </w:num>
  <w:num w:numId="12">
    <w:abstractNumId w:val="25"/>
  </w:num>
  <w:num w:numId="13">
    <w:abstractNumId w:val="6"/>
  </w:num>
  <w:num w:numId="14">
    <w:abstractNumId w:val="33"/>
  </w:num>
  <w:num w:numId="15">
    <w:abstractNumId w:val="19"/>
  </w:num>
  <w:num w:numId="16">
    <w:abstractNumId w:val="18"/>
  </w:num>
  <w:num w:numId="17">
    <w:abstractNumId w:val="14"/>
  </w:num>
  <w:num w:numId="18">
    <w:abstractNumId w:val="28"/>
  </w:num>
  <w:num w:numId="19">
    <w:abstractNumId w:val="32"/>
  </w:num>
  <w:num w:numId="20">
    <w:abstractNumId w:val="7"/>
  </w:num>
  <w:num w:numId="21">
    <w:abstractNumId w:val="24"/>
  </w:num>
  <w:num w:numId="22">
    <w:abstractNumId w:val="11"/>
  </w:num>
  <w:num w:numId="23">
    <w:abstractNumId w:val="30"/>
  </w:num>
  <w:num w:numId="24">
    <w:abstractNumId w:val="16"/>
  </w:num>
  <w:num w:numId="25">
    <w:abstractNumId w:val="21"/>
  </w:num>
  <w:num w:numId="26">
    <w:abstractNumId w:val="29"/>
  </w:num>
  <w:num w:numId="27">
    <w:abstractNumId w:val="2"/>
  </w:num>
  <w:num w:numId="28">
    <w:abstractNumId w:val="22"/>
  </w:num>
  <w:num w:numId="29">
    <w:abstractNumId w:val="26"/>
  </w:num>
  <w:num w:numId="30">
    <w:abstractNumId w:val="23"/>
  </w:num>
  <w:num w:numId="31">
    <w:abstractNumId w:val="36"/>
  </w:num>
  <w:num w:numId="32">
    <w:abstractNumId w:val="3"/>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9"/>
  </w:num>
  <w:num w:numId="36">
    <w:abstractNumId w:val="15"/>
  </w:num>
  <w:num w:numId="3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27EB"/>
    <w:rsid w:val="0000356B"/>
    <w:rsid w:val="0000485A"/>
    <w:rsid w:val="00006543"/>
    <w:rsid w:val="000069BE"/>
    <w:rsid w:val="00007ECA"/>
    <w:rsid w:val="00013A19"/>
    <w:rsid w:val="000143FA"/>
    <w:rsid w:val="00014465"/>
    <w:rsid w:val="000159D3"/>
    <w:rsid w:val="00017858"/>
    <w:rsid w:val="00017D26"/>
    <w:rsid w:val="00020818"/>
    <w:rsid w:val="000212E5"/>
    <w:rsid w:val="00021C64"/>
    <w:rsid w:val="000241C5"/>
    <w:rsid w:val="00024D74"/>
    <w:rsid w:val="0002561A"/>
    <w:rsid w:val="00025F5D"/>
    <w:rsid w:val="000313A7"/>
    <w:rsid w:val="00032F5B"/>
    <w:rsid w:val="00033BE7"/>
    <w:rsid w:val="00034E9D"/>
    <w:rsid w:val="00035F9E"/>
    <w:rsid w:val="000373BC"/>
    <w:rsid w:val="000378BC"/>
    <w:rsid w:val="00037B34"/>
    <w:rsid w:val="00037F4B"/>
    <w:rsid w:val="000415F1"/>
    <w:rsid w:val="00043C4B"/>
    <w:rsid w:val="00044768"/>
    <w:rsid w:val="0004646B"/>
    <w:rsid w:val="00046B97"/>
    <w:rsid w:val="00046F21"/>
    <w:rsid w:val="00051C33"/>
    <w:rsid w:val="000527B4"/>
    <w:rsid w:val="000528E6"/>
    <w:rsid w:val="00055DD3"/>
    <w:rsid w:val="00056D2E"/>
    <w:rsid w:val="00057250"/>
    <w:rsid w:val="00057398"/>
    <w:rsid w:val="0005769F"/>
    <w:rsid w:val="0006017B"/>
    <w:rsid w:val="000603A7"/>
    <w:rsid w:val="000614B4"/>
    <w:rsid w:val="000620E1"/>
    <w:rsid w:val="00064855"/>
    <w:rsid w:val="000678EA"/>
    <w:rsid w:val="00071A4A"/>
    <w:rsid w:val="000749B4"/>
    <w:rsid w:val="00074BB0"/>
    <w:rsid w:val="000758B2"/>
    <w:rsid w:val="000771CC"/>
    <w:rsid w:val="000813B0"/>
    <w:rsid w:val="0008148B"/>
    <w:rsid w:val="00083520"/>
    <w:rsid w:val="00087C10"/>
    <w:rsid w:val="00092475"/>
    <w:rsid w:val="0009267E"/>
    <w:rsid w:val="00092F1D"/>
    <w:rsid w:val="00095932"/>
    <w:rsid w:val="00095E4F"/>
    <w:rsid w:val="00096D31"/>
    <w:rsid w:val="00097211"/>
    <w:rsid w:val="000A0518"/>
    <w:rsid w:val="000A0861"/>
    <w:rsid w:val="000A1F83"/>
    <w:rsid w:val="000A20A4"/>
    <w:rsid w:val="000A5058"/>
    <w:rsid w:val="000A5A1D"/>
    <w:rsid w:val="000A5C6A"/>
    <w:rsid w:val="000A60ED"/>
    <w:rsid w:val="000A7211"/>
    <w:rsid w:val="000B1D37"/>
    <w:rsid w:val="000B262E"/>
    <w:rsid w:val="000B2C93"/>
    <w:rsid w:val="000B36DD"/>
    <w:rsid w:val="000B5711"/>
    <w:rsid w:val="000B6020"/>
    <w:rsid w:val="000B7CE9"/>
    <w:rsid w:val="000C2283"/>
    <w:rsid w:val="000C27CA"/>
    <w:rsid w:val="000C3DD9"/>
    <w:rsid w:val="000C59CB"/>
    <w:rsid w:val="000C5A78"/>
    <w:rsid w:val="000C5CEE"/>
    <w:rsid w:val="000D06DE"/>
    <w:rsid w:val="000D0B08"/>
    <w:rsid w:val="000D1DDF"/>
    <w:rsid w:val="000D2A27"/>
    <w:rsid w:val="000D62EF"/>
    <w:rsid w:val="000D6B5A"/>
    <w:rsid w:val="000D6CF8"/>
    <w:rsid w:val="000D7077"/>
    <w:rsid w:val="000E0BEA"/>
    <w:rsid w:val="000E467C"/>
    <w:rsid w:val="000E4755"/>
    <w:rsid w:val="000E6F80"/>
    <w:rsid w:val="000F178F"/>
    <w:rsid w:val="000F24C8"/>
    <w:rsid w:val="000F2580"/>
    <w:rsid w:val="000F2EBF"/>
    <w:rsid w:val="000F3DA0"/>
    <w:rsid w:val="000F4183"/>
    <w:rsid w:val="000F4876"/>
    <w:rsid w:val="000F555D"/>
    <w:rsid w:val="000F6834"/>
    <w:rsid w:val="000F76AB"/>
    <w:rsid w:val="000F7A45"/>
    <w:rsid w:val="000F7FD8"/>
    <w:rsid w:val="00100BAC"/>
    <w:rsid w:val="001017B7"/>
    <w:rsid w:val="001034C6"/>
    <w:rsid w:val="001049B0"/>
    <w:rsid w:val="00104ADB"/>
    <w:rsid w:val="001057BC"/>
    <w:rsid w:val="00107D2F"/>
    <w:rsid w:val="001133D5"/>
    <w:rsid w:val="001134C9"/>
    <w:rsid w:val="001139FD"/>
    <w:rsid w:val="00114068"/>
    <w:rsid w:val="001142C7"/>
    <w:rsid w:val="001150E9"/>
    <w:rsid w:val="001166C8"/>
    <w:rsid w:val="001171BD"/>
    <w:rsid w:val="001221B8"/>
    <w:rsid w:val="00127757"/>
    <w:rsid w:val="001279BF"/>
    <w:rsid w:val="00132104"/>
    <w:rsid w:val="00132A80"/>
    <w:rsid w:val="00132F95"/>
    <w:rsid w:val="00134409"/>
    <w:rsid w:val="0013647C"/>
    <w:rsid w:val="0013791C"/>
    <w:rsid w:val="00137B8F"/>
    <w:rsid w:val="00140643"/>
    <w:rsid w:val="00141895"/>
    <w:rsid w:val="0014307A"/>
    <w:rsid w:val="00143189"/>
    <w:rsid w:val="00144683"/>
    <w:rsid w:val="00144747"/>
    <w:rsid w:val="00144D0B"/>
    <w:rsid w:val="00147566"/>
    <w:rsid w:val="00147666"/>
    <w:rsid w:val="00147887"/>
    <w:rsid w:val="00150E21"/>
    <w:rsid w:val="00151053"/>
    <w:rsid w:val="001519CC"/>
    <w:rsid w:val="00151FBB"/>
    <w:rsid w:val="0015381E"/>
    <w:rsid w:val="0015405A"/>
    <w:rsid w:val="00155619"/>
    <w:rsid w:val="00155F96"/>
    <w:rsid w:val="00156408"/>
    <w:rsid w:val="00156A6B"/>
    <w:rsid w:val="00161DF9"/>
    <w:rsid w:val="00162383"/>
    <w:rsid w:val="00162CCE"/>
    <w:rsid w:val="00165891"/>
    <w:rsid w:val="001658C8"/>
    <w:rsid w:val="00170545"/>
    <w:rsid w:val="00171613"/>
    <w:rsid w:val="00171ADD"/>
    <w:rsid w:val="001744E3"/>
    <w:rsid w:val="0017459B"/>
    <w:rsid w:val="00175CEB"/>
    <w:rsid w:val="00176367"/>
    <w:rsid w:val="00176773"/>
    <w:rsid w:val="00176E8E"/>
    <w:rsid w:val="001807FF"/>
    <w:rsid w:val="00182D6C"/>
    <w:rsid w:val="00182DCE"/>
    <w:rsid w:val="00182F0F"/>
    <w:rsid w:val="00183D24"/>
    <w:rsid w:val="001851A6"/>
    <w:rsid w:val="001867E9"/>
    <w:rsid w:val="001875A7"/>
    <w:rsid w:val="001879E1"/>
    <w:rsid w:val="00190600"/>
    <w:rsid w:val="0019151D"/>
    <w:rsid w:val="0019389B"/>
    <w:rsid w:val="00194110"/>
    <w:rsid w:val="00195BA5"/>
    <w:rsid w:val="00196522"/>
    <w:rsid w:val="001A1B94"/>
    <w:rsid w:val="001A22F5"/>
    <w:rsid w:val="001A2B55"/>
    <w:rsid w:val="001A4B83"/>
    <w:rsid w:val="001A7FD2"/>
    <w:rsid w:val="001B107D"/>
    <w:rsid w:val="001B1140"/>
    <w:rsid w:val="001B1524"/>
    <w:rsid w:val="001B2CD9"/>
    <w:rsid w:val="001B38FF"/>
    <w:rsid w:val="001B62A0"/>
    <w:rsid w:val="001C17B0"/>
    <w:rsid w:val="001C1FE2"/>
    <w:rsid w:val="001C282F"/>
    <w:rsid w:val="001C298A"/>
    <w:rsid w:val="001C2F9F"/>
    <w:rsid w:val="001C47B0"/>
    <w:rsid w:val="001D0086"/>
    <w:rsid w:val="001D0094"/>
    <w:rsid w:val="001D00D6"/>
    <w:rsid w:val="001D45E8"/>
    <w:rsid w:val="001D67AC"/>
    <w:rsid w:val="001D6F69"/>
    <w:rsid w:val="001D7012"/>
    <w:rsid w:val="001D7B82"/>
    <w:rsid w:val="001D7BD2"/>
    <w:rsid w:val="001E16EB"/>
    <w:rsid w:val="001E2A4D"/>
    <w:rsid w:val="001E53C2"/>
    <w:rsid w:val="001E6927"/>
    <w:rsid w:val="001E6FC5"/>
    <w:rsid w:val="001F0E9C"/>
    <w:rsid w:val="001F0EB8"/>
    <w:rsid w:val="001F1540"/>
    <w:rsid w:val="001F20A1"/>
    <w:rsid w:val="001F652C"/>
    <w:rsid w:val="001F78D9"/>
    <w:rsid w:val="00202DB8"/>
    <w:rsid w:val="00203DF0"/>
    <w:rsid w:val="002060B4"/>
    <w:rsid w:val="00207736"/>
    <w:rsid w:val="00210A50"/>
    <w:rsid w:val="00212460"/>
    <w:rsid w:val="00215D0D"/>
    <w:rsid w:val="00217AEF"/>
    <w:rsid w:val="00221EC9"/>
    <w:rsid w:val="00222731"/>
    <w:rsid w:val="002229C6"/>
    <w:rsid w:val="00223C6D"/>
    <w:rsid w:val="00223ECD"/>
    <w:rsid w:val="002240B8"/>
    <w:rsid w:val="002241A6"/>
    <w:rsid w:val="002241E8"/>
    <w:rsid w:val="00224774"/>
    <w:rsid w:val="002247B0"/>
    <w:rsid w:val="00224F7A"/>
    <w:rsid w:val="00225152"/>
    <w:rsid w:val="00227746"/>
    <w:rsid w:val="00230E81"/>
    <w:rsid w:val="002312EA"/>
    <w:rsid w:val="00232673"/>
    <w:rsid w:val="00236206"/>
    <w:rsid w:val="00236863"/>
    <w:rsid w:val="00237C1F"/>
    <w:rsid w:val="00237D0D"/>
    <w:rsid w:val="00241116"/>
    <w:rsid w:val="002417F6"/>
    <w:rsid w:val="002424C2"/>
    <w:rsid w:val="002433A4"/>
    <w:rsid w:val="002435DC"/>
    <w:rsid w:val="002438E1"/>
    <w:rsid w:val="00243B71"/>
    <w:rsid w:val="00244B2C"/>
    <w:rsid w:val="00245C67"/>
    <w:rsid w:val="00246501"/>
    <w:rsid w:val="00247B17"/>
    <w:rsid w:val="00250389"/>
    <w:rsid w:val="00251FF7"/>
    <w:rsid w:val="00252669"/>
    <w:rsid w:val="00254209"/>
    <w:rsid w:val="00254288"/>
    <w:rsid w:val="0025469C"/>
    <w:rsid w:val="002550C4"/>
    <w:rsid w:val="002579CE"/>
    <w:rsid w:val="00260FEC"/>
    <w:rsid w:val="00261DD6"/>
    <w:rsid w:val="0026324B"/>
    <w:rsid w:val="00263885"/>
    <w:rsid w:val="002657E2"/>
    <w:rsid w:val="00271E0B"/>
    <w:rsid w:val="00272387"/>
    <w:rsid w:val="002727CC"/>
    <w:rsid w:val="00273679"/>
    <w:rsid w:val="00275268"/>
    <w:rsid w:val="00275CC4"/>
    <w:rsid w:val="00275D99"/>
    <w:rsid w:val="00277869"/>
    <w:rsid w:val="002808E4"/>
    <w:rsid w:val="00281A35"/>
    <w:rsid w:val="00281AD9"/>
    <w:rsid w:val="00284486"/>
    <w:rsid w:val="00285118"/>
    <w:rsid w:val="00285644"/>
    <w:rsid w:val="0028581E"/>
    <w:rsid w:val="00287034"/>
    <w:rsid w:val="002909BA"/>
    <w:rsid w:val="00292F7C"/>
    <w:rsid w:val="00293491"/>
    <w:rsid w:val="002934DF"/>
    <w:rsid w:val="00293946"/>
    <w:rsid w:val="00294301"/>
    <w:rsid w:val="00294BDD"/>
    <w:rsid w:val="00295F53"/>
    <w:rsid w:val="00296AE5"/>
    <w:rsid w:val="002A0FB8"/>
    <w:rsid w:val="002A1B97"/>
    <w:rsid w:val="002A50B6"/>
    <w:rsid w:val="002A57D2"/>
    <w:rsid w:val="002A6193"/>
    <w:rsid w:val="002A66CD"/>
    <w:rsid w:val="002A7BD4"/>
    <w:rsid w:val="002A7F32"/>
    <w:rsid w:val="002B20A1"/>
    <w:rsid w:val="002B226E"/>
    <w:rsid w:val="002B3E72"/>
    <w:rsid w:val="002B46D4"/>
    <w:rsid w:val="002B54CF"/>
    <w:rsid w:val="002C02B9"/>
    <w:rsid w:val="002C06E4"/>
    <w:rsid w:val="002C0DC2"/>
    <w:rsid w:val="002C2524"/>
    <w:rsid w:val="002C4046"/>
    <w:rsid w:val="002C458A"/>
    <w:rsid w:val="002C75CB"/>
    <w:rsid w:val="002D1BE4"/>
    <w:rsid w:val="002D1D6C"/>
    <w:rsid w:val="002D245E"/>
    <w:rsid w:val="002D3FA0"/>
    <w:rsid w:val="002D481C"/>
    <w:rsid w:val="002E01AA"/>
    <w:rsid w:val="002E2418"/>
    <w:rsid w:val="002E32B9"/>
    <w:rsid w:val="002E3D7F"/>
    <w:rsid w:val="002E4F9B"/>
    <w:rsid w:val="002E5015"/>
    <w:rsid w:val="002E53B9"/>
    <w:rsid w:val="002E7ACF"/>
    <w:rsid w:val="002F0C1A"/>
    <w:rsid w:val="002F0CE9"/>
    <w:rsid w:val="002F3BD0"/>
    <w:rsid w:val="002F47A7"/>
    <w:rsid w:val="002F58D8"/>
    <w:rsid w:val="002F5FDA"/>
    <w:rsid w:val="002F651F"/>
    <w:rsid w:val="002F74BD"/>
    <w:rsid w:val="0030032A"/>
    <w:rsid w:val="00300A0B"/>
    <w:rsid w:val="00301894"/>
    <w:rsid w:val="00301F46"/>
    <w:rsid w:val="00303CAD"/>
    <w:rsid w:val="00303E71"/>
    <w:rsid w:val="00304E7C"/>
    <w:rsid w:val="00304EC0"/>
    <w:rsid w:val="00306418"/>
    <w:rsid w:val="003100F3"/>
    <w:rsid w:val="00310C11"/>
    <w:rsid w:val="00311D8B"/>
    <w:rsid w:val="00312456"/>
    <w:rsid w:val="00313E93"/>
    <w:rsid w:val="00314BBC"/>
    <w:rsid w:val="00315651"/>
    <w:rsid w:val="00316600"/>
    <w:rsid w:val="003172EC"/>
    <w:rsid w:val="0032170B"/>
    <w:rsid w:val="00323325"/>
    <w:rsid w:val="003243B0"/>
    <w:rsid w:val="003250CF"/>
    <w:rsid w:val="00325EC0"/>
    <w:rsid w:val="00330729"/>
    <w:rsid w:val="00330DA7"/>
    <w:rsid w:val="0033384E"/>
    <w:rsid w:val="003340EC"/>
    <w:rsid w:val="003350FF"/>
    <w:rsid w:val="003365A9"/>
    <w:rsid w:val="00337234"/>
    <w:rsid w:val="0034057C"/>
    <w:rsid w:val="003416B7"/>
    <w:rsid w:val="00341DA8"/>
    <w:rsid w:val="00345880"/>
    <w:rsid w:val="00350142"/>
    <w:rsid w:val="00350D3D"/>
    <w:rsid w:val="00352913"/>
    <w:rsid w:val="00353B6D"/>
    <w:rsid w:val="00354920"/>
    <w:rsid w:val="00355DC6"/>
    <w:rsid w:val="003566C5"/>
    <w:rsid w:val="00357700"/>
    <w:rsid w:val="00360130"/>
    <w:rsid w:val="003604D7"/>
    <w:rsid w:val="00361176"/>
    <w:rsid w:val="0036164E"/>
    <w:rsid w:val="003627C6"/>
    <w:rsid w:val="0036351E"/>
    <w:rsid w:val="00363615"/>
    <w:rsid w:val="00364521"/>
    <w:rsid w:val="00364CC3"/>
    <w:rsid w:val="00365026"/>
    <w:rsid w:val="00366381"/>
    <w:rsid w:val="00367F82"/>
    <w:rsid w:val="00370CB0"/>
    <w:rsid w:val="003719FC"/>
    <w:rsid w:val="00372798"/>
    <w:rsid w:val="00372803"/>
    <w:rsid w:val="00373387"/>
    <w:rsid w:val="00374683"/>
    <w:rsid w:val="003749EC"/>
    <w:rsid w:val="00374D97"/>
    <w:rsid w:val="003756AF"/>
    <w:rsid w:val="00375815"/>
    <w:rsid w:val="00377383"/>
    <w:rsid w:val="00380441"/>
    <w:rsid w:val="00381447"/>
    <w:rsid w:val="00382696"/>
    <w:rsid w:val="0038358D"/>
    <w:rsid w:val="0038438A"/>
    <w:rsid w:val="00385F16"/>
    <w:rsid w:val="003864D2"/>
    <w:rsid w:val="00390249"/>
    <w:rsid w:val="00390BF8"/>
    <w:rsid w:val="0039109D"/>
    <w:rsid w:val="00391162"/>
    <w:rsid w:val="00391EB1"/>
    <w:rsid w:val="00392877"/>
    <w:rsid w:val="00392E12"/>
    <w:rsid w:val="0039353D"/>
    <w:rsid w:val="00394D7E"/>
    <w:rsid w:val="003956E9"/>
    <w:rsid w:val="003965EC"/>
    <w:rsid w:val="00396BA0"/>
    <w:rsid w:val="00396D74"/>
    <w:rsid w:val="003A00EE"/>
    <w:rsid w:val="003A0E17"/>
    <w:rsid w:val="003A24F5"/>
    <w:rsid w:val="003A357E"/>
    <w:rsid w:val="003A3A5A"/>
    <w:rsid w:val="003A3A73"/>
    <w:rsid w:val="003A461D"/>
    <w:rsid w:val="003A5F94"/>
    <w:rsid w:val="003A6E62"/>
    <w:rsid w:val="003A78B5"/>
    <w:rsid w:val="003A7BE8"/>
    <w:rsid w:val="003A7C85"/>
    <w:rsid w:val="003A7FBE"/>
    <w:rsid w:val="003B0D09"/>
    <w:rsid w:val="003B165A"/>
    <w:rsid w:val="003B1A7B"/>
    <w:rsid w:val="003B2140"/>
    <w:rsid w:val="003B4AD7"/>
    <w:rsid w:val="003B5AD4"/>
    <w:rsid w:val="003B5D41"/>
    <w:rsid w:val="003B6BEF"/>
    <w:rsid w:val="003C0AFA"/>
    <w:rsid w:val="003C1B21"/>
    <w:rsid w:val="003C28B8"/>
    <w:rsid w:val="003C28FC"/>
    <w:rsid w:val="003C4082"/>
    <w:rsid w:val="003C5C01"/>
    <w:rsid w:val="003C6934"/>
    <w:rsid w:val="003C7FD0"/>
    <w:rsid w:val="003D0268"/>
    <w:rsid w:val="003D1A43"/>
    <w:rsid w:val="003D1A64"/>
    <w:rsid w:val="003D5FF4"/>
    <w:rsid w:val="003D624F"/>
    <w:rsid w:val="003D75E8"/>
    <w:rsid w:val="003E31E5"/>
    <w:rsid w:val="003E32ED"/>
    <w:rsid w:val="003E3A39"/>
    <w:rsid w:val="003E42D7"/>
    <w:rsid w:val="003E58C9"/>
    <w:rsid w:val="003E68B5"/>
    <w:rsid w:val="003F0DFC"/>
    <w:rsid w:val="003F1215"/>
    <w:rsid w:val="003F164F"/>
    <w:rsid w:val="003F496E"/>
    <w:rsid w:val="003F650B"/>
    <w:rsid w:val="004004E9"/>
    <w:rsid w:val="004052C5"/>
    <w:rsid w:val="004059FB"/>
    <w:rsid w:val="00407A93"/>
    <w:rsid w:val="004100AA"/>
    <w:rsid w:val="00410CD2"/>
    <w:rsid w:val="00412203"/>
    <w:rsid w:val="00413D17"/>
    <w:rsid w:val="00414F7D"/>
    <w:rsid w:val="00414F9B"/>
    <w:rsid w:val="00417D66"/>
    <w:rsid w:val="00417DE3"/>
    <w:rsid w:val="00420019"/>
    <w:rsid w:val="00420B07"/>
    <w:rsid w:val="00422869"/>
    <w:rsid w:val="00423D2F"/>
    <w:rsid w:val="00423F48"/>
    <w:rsid w:val="0042519C"/>
    <w:rsid w:val="00426448"/>
    <w:rsid w:val="00426613"/>
    <w:rsid w:val="00427457"/>
    <w:rsid w:val="00431CE3"/>
    <w:rsid w:val="004321C5"/>
    <w:rsid w:val="0043257A"/>
    <w:rsid w:val="00433645"/>
    <w:rsid w:val="004339FC"/>
    <w:rsid w:val="00434202"/>
    <w:rsid w:val="00436FD3"/>
    <w:rsid w:val="004406CF"/>
    <w:rsid w:val="00441804"/>
    <w:rsid w:val="00442106"/>
    <w:rsid w:val="00442A31"/>
    <w:rsid w:val="004435B4"/>
    <w:rsid w:val="0044360B"/>
    <w:rsid w:val="004448AE"/>
    <w:rsid w:val="00444B20"/>
    <w:rsid w:val="0044550A"/>
    <w:rsid w:val="00447F7D"/>
    <w:rsid w:val="004561E1"/>
    <w:rsid w:val="00460032"/>
    <w:rsid w:val="0046048A"/>
    <w:rsid w:val="00461048"/>
    <w:rsid w:val="004638A9"/>
    <w:rsid w:val="00463CB7"/>
    <w:rsid w:val="00466346"/>
    <w:rsid w:val="004669A3"/>
    <w:rsid w:val="004702B0"/>
    <w:rsid w:val="004734BA"/>
    <w:rsid w:val="0047369C"/>
    <w:rsid w:val="004751D6"/>
    <w:rsid w:val="00475E6B"/>
    <w:rsid w:val="004779E5"/>
    <w:rsid w:val="00477DBA"/>
    <w:rsid w:val="00477E20"/>
    <w:rsid w:val="00480BB8"/>
    <w:rsid w:val="00481D51"/>
    <w:rsid w:val="0048519E"/>
    <w:rsid w:val="00485C4A"/>
    <w:rsid w:val="00485EC7"/>
    <w:rsid w:val="004860BD"/>
    <w:rsid w:val="00487430"/>
    <w:rsid w:val="00487F36"/>
    <w:rsid w:val="004933B7"/>
    <w:rsid w:val="0049640C"/>
    <w:rsid w:val="00496768"/>
    <w:rsid w:val="004A0A7B"/>
    <w:rsid w:val="004A0BB0"/>
    <w:rsid w:val="004A2313"/>
    <w:rsid w:val="004A260B"/>
    <w:rsid w:val="004A26CD"/>
    <w:rsid w:val="004A2C97"/>
    <w:rsid w:val="004A3584"/>
    <w:rsid w:val="004A466C"/>
    <w:rsid w:val="004A5121"/>
    <w:rsid w:val="004A577A"/>
    <w:rsid w:val="004A5780"/>
    <w:rsid w:val="004A6ECB"/>
    <w:rsid w:val="004A7990"/>
    <w:rsid w:val="004B1796"/>
    <w:rsid w:val="004B33CE"/>
    <w:rsid w:val="004B591D"/>
    <w:rsid w:val="004B60B2"/>
    <w:rsid w:val="004B68DA"/>
    <w:rsid w:val="004B7542"/>
    <w:rsid w:val="004B769A"/>
    <w:rsid w:val="004B7DB2"/>
    <w:rsid w:val="004C0800"/>
    <w:rsid w:val="004C14AC"/>
    <w:rsid w:val="004C2C2F"/>
    <w:rsid w:val="004C2CC0"/>
    <w:rsid w:val="004C3B7D"/>
    <w:rsid w:val="004C4ACC"/>
    <w:rsid w:val="004C50EC"/>
    <w:rsid w:val="004C6F68"/>
    <w:rsid w:val="004C7E83"/>
    <w:rsid w:val="004D0A3B"/>
    <w:rsid w:val="004D1BA6"/>
    <w:rsid w:val="004D2B43"/>
    <w:rsid w:val="004D2F08"/>
    <w:rsid w:val="004D4370"/>
    <w:rsid w:val="004D50D4"/>
    <w:rsid w:val="004D583C"/>
    <w:rsid w:val="004D5DB3"/>
    <w:rsid w:val="004D6388"/>
    <w:rsid w:val="004E199D"/>
    <w:rsid w:val="004E25AE"/>
    <w:rsid w:val="004E345F"/>
    <w:rsid w:val="004E3BBA"/>
    <w:rsid w:val="004E401B"/>
    <w:rsid w:val="004E41C7"/>
    <w:rsid w:val="004E59B8"/>
    <w:rsid w:val="004E7DB7"/>
    <w:rsid w:val="004F1163"/>
    <w:rsid w:val="004F2D88"/>
    <w:rsid w:val="004F3D21"/>
    <w:rsid w:val="004F60EF"/>
    <w:rsid w:val="005008CA"/>
    <w:rsid w:val="00500E12"/>
    <w:rsid w:val="005070C3"/>
    <w:rsid w:val="00510DA5"/>
    <w:rsid w:val="00511D43"/>
    <w:rsid w:val="00511FCD"/>
    <w:rsid w:val="0051276F"/>
    <w:rsid w:val="005130AC"/>
    <w:rsid w:val="00515FAC"/>
    <w:rsid w:val="00516378"/>
    <w:rsid w:val="005176C4"/>
    <w:rsid w:val="00520B29"/>
    <w:rsid w:val="005220BE"/>
    <w:rsid w:val="00525A91"/>
    <w:rsid w:val="00526575"/>
    <w:rsid w:val="00527771"/>
    <w:rsid w:val="00527D6F"/>
    <w:rsid w:val="00533B79"/>
    <w:rsid w:val="00533FD4"/>
    <w:rsid w:val="00534258"/>
    <w:rsid w:val="00534DEF"/>
    <w:rsid w:val="00535012"/>
    <w:rsid w:val="00536006"/>
    <w:rsid w:val="00542D5F"/>
    <w:rsid w:val="005435DE"/>
    <w:rsid w:val="00543AD3"/>
    <w:rsid w:val="0054404F"/>
    <w:rsid w:val="005441AD"/>
    <w:rsid w:val="0054451F"/>
    <w:rsid w:val="00544C28"/>
    <w:rsid w:val="00546769"/>
    <w:rsid w:val="00546BAE"/>
    <w:rsid w:val="00546C4E"/>
    <w:rsid w:val="00547789"/>
    <w:rsid w:val="00552EBD"/>
    <w:rsid w:val="00553827"/>
    <w:rsid w:val="00554237"/>
    <w:rsid w:val="00554D65"/>
    <w:rsid w:val="00555F71"/>
    <w:rsid w:val="00560121"/>
    <w:rsid w:val="00561750"/>
    <w:rsid w:val="00563610"/>
    <w:rsid w:val="00563BEB"/>
    <w:rsid w:val="00566849"/>
    <w:rsid w:val="00570067"/>
    <w:rsid w:val="00570561"/>
    <w:rsid w:val="00570981"/>
    <w:rsid w:val="005740F6"/>
    <w:rsid w:val="005743D2"/>
    <w:rsid w:val="00575905"/>
    <w:rsid w:val="005802BD"/>
    <w:rsid w:val="00580891"/>
    <w:rsid w:val="00580BBC"/>
    <w:rsid w:val="00586FA8"/>
    <w:rsid w:val="00587F23"/>
    <w:rsid w:val="00591E3A"/>
    <w:rsid w:val="00593CB4"/>
    <w:rsid w:val="00593E68"/>
    <w:rsid w:val="00594652"/>
    <w:rsid w:val="005A52AC"/>
    <w:rsid w:val="005A62BE"/>
    <w:rsid w:val="005B08E6"/>
    <w:rsid w:val="005B0D7C"/>
    <w:rsid w:val="005B0E86"/>
    <w:rsid w:val="005B1ADD"/>
    <w:rsid w:val="005B290B"/>
    <w:rsid w:val="005B5CB1"/>
    <w:rsid w:val="005B6854"/>
    <w:rsid w:val="005C1943"/>
    <w:rsid w:val="005C36DC"/>
    <w:rsid w:val="005C37A0"/>
    <w:rsid w:val="005C3851"/>
    <w:rsid w:val="005C4034"/>
    <w:rsid w:val="005C483A"/>
    <w:rsid w:val="005C651C"/>
    <w:rsid w:val="005C656A"/>
    <w:rsid w:val="005D0F70"/>
    <w:rsid w:val="005D1427"/>
    <w:rsid w:val="005D1C1F"/>
    <w:rsid w:val="005D22D3"/>
    <w:rsid w:val="005D349B"/>
    <w:rsid w:val="005D457F"/>
    <w:rsid w:val="005D49C8"/>
    <w:rsid w:val="005D5607"/>
    <w:rsid w:val="005D5AFD"/>
    <w:rsid w:val="005D6A2B"/>
    <w:rsid w:val="005D6AD9"/>
    <w:rsid w:val="005E1D5D"/>
    <w:rsid w:val="005E1EE5"/>
    <w:rsid w:val="005E2760"/>
    <w:rsid w:val="005E37E9"/>
    <w:rsid w:val="005E50A8"/>
    <w:rsid w:val="005E750A"/>
    <w:rsid w:val="005F03DB"/>
    <w:rsid w:val="005F48F1"/>
    <w:rsid w:val="005F78C5"/>
    <w:rsid w:val="0060077A"/>
    <w:rsid w:val="00601E59"/>
    <w:rsid w:val="00603A46"/>
    <w:rsid w:val="00606194"/>
    <w:rsid w:val="00607F45"/>
    <w:rsid w:val="00611044"/>
    <w:rsid w:val="0061115C"/>
    <w:rsid w:val="00611A49"/>
    <w:rsid w:val="00613017"/>
    <w:rsid w:val="00613A54"/>
    <w:rsid w:val="00614A81"/>
    <w:rsid w:val="006155D5"/>
    <w:rsid w:val="00616189"/>
    <w:rsid w:val="006172A0"/>
    <w:rsid w:val="0062078C"/>
    <w:rsid w:val="00620E8F"/>
    <w:rsid w:val="00621760"/>
    <w:rsid w:val="006217BB"/>
    <w:rsid w:val="0062374F"/>
    <w:rsid w:val="0062477F"/>
    <w:rsid w:val="00625BD5"/>
    <w:rsid w:val="00625DFB"/>
    <w:rsid w:val="006277B7"/>
    <w:rsid w:val="00630F94"/>
    <w:rsid w:val="00631B35"/>
    <w:rsid w:val="00633873"/>
    <w:rsid w:val="00634D1A"/>
    <w:rsid w:val="00635C63"/>
    <w:rsid w:val="006361B0"/>
    <w:rsid w:val="00637179"/>
    <w:rsid w:val="00637DE9"/>
    <w:rsid w:val="00641804"/>
    <w:rsid w:val="006418ED"/>
    <w:rsid w:val="00641BE9"/>
    <w:rsid w:val="00642B13"/>
    <w:rsid w:val="006431FF"/>
    <w:rsid w:val="00645F7D"/>
    <w:rsid w:val="00646100"/>
    <w:rsid w:val="00646A84"/>
    <w:rsid w:val="006476CA"/>
    <w:rsid w:val="006552AE"/>
    <w:rsid w:val="00655773"/>
    <w:rsid w:val="006563CA"/>
    <w:rsid w:val="006578FC"/>
    <w:rsid w:val="006608AB"/>
    <w:rsid w:val="006620DA"/>
    <w:rsid w:val="00664587"/>
    <w:rsid w:val="0066578D"/>
    <w:rsid w:val="00666F25"/>
    <w:rsid w:val="00667C1C"/>
    <w:rsid w:val="0067001F"/>
    <w:rsid w:val="00670A43"/>
    <w:rsid w:val="00673DD4"/>
    <w:rsid w:val="00674998"/>
    <w:rsid w:val="00674AEB"/>
    <w:rsid w:val="0067555C"/>
    <w:rsid w:val="0067655A"/>
    <w:rsid w:val="006811F2"/>
    <w:rsid w:val="006828D8"/>
    <w:rsid w:val="00683066"/>
    <w:rsid w:val="0068455C"/>
    <w:rsid w:val="00684887"/>
    <w:rsid w:val="006867FA"/>
    <w:rsid w:val="00690BC2"/>
    <w:rsid w:val="00693C8E"/>
    <w:rsid w:val="00696413"/>
    <w:rsid w:val="006964A4"/>
    <w:rsid w:val="006969BA"/>
    <w:rsid w:val="00697FF1"/>
    <w:rsid w:val="006A026A"/>
    <w:rsid w:val="006A0425"/>
    <w:rsid w:val="006A1D62"/>
    <w:rsid w:val="006A4EAE"/>
    <w:rsid w:val="006A56C3"/>
    <w:rsid w:val="006A59BC"/>
    <w:rsid w:val="006A6B88"/>
    <w:rsid w:val="006A6D7F"/>
    <w:rsid w:val="006B0298"/>
    <w:rsid w:val="006B0691"/>
    <w:rsid w:val="006B0E83"/>
    <w:rsid w:val="006B5493"/>
    <w:rsid w:val="006B77E2"/>
    <w:rsid w:val="006C10C0"/>
    <w:rsid w:val="006C1136"/>
    <w:rsid w:val="006C1B1D"/>
    <w:rsid w:val="006C2ACC"/>
    <w:rsid w:val="006C32BB"/>
    <w:rsid w:val="006C3747"/>
    <w:rsid w:val="006C7760"/>
    <w:rsid w:val="006C7EEA"/>
    <w:rsid w:val="006D05D6"/>
    <w:rsid w:val="006D0FA7"/>
    <w:rsid w:val="006D1374"/>
    <w:rsid w:val="006D233A"/>
    <w:rsid w:val="006D3563"/>
    <w:rsid w:val="006D522C"/>
    <w:rsid w:val="006D56AA"/>
    <w:rsid w:val="006D7795"/>
    <w:rsid w:val="006D7ACB"/>
    <w:rsid w:val="006D7D48"/>
    <w:rsid w:val="006E00EF"/>
    <w:rsid w:val="006E06BB"/>
    <w:rsid w:val="006E15EA"/>
    <w:rsid w:val="006E1A7A"/>
    <w:rsid w:val="006E20DE"/>
    <w:rsid w:val="006E4723"/>
    <w:rsid w:val="006E477D"/>
    <w:rsid w:val="006E716F"/>
    <w:rsid w:val="006E7DA9"/>
    <w:rsid w:val="006E7DEE"/>
    <w:rsid w:val="006F01E7"/>
    <w:rsid w:val="006F0A11"/>
    <w:rsid w:val="006F1F3A"/>
    <w:rsid w:val="006F7EB8"/>
    <w:rsid w:val="0070094A"/>
    <w:rsid w:val="007013CB"/>
    <w:rsid w:val="00702D85"/>
    <w:rsid w:val="00702DD7"/>
    <w:rsid w:val="007047D3"/>
    <w:rsid w:val="00705663"/>
    <w:rsid w:val="00705C40"/>
    <w:rsid w:val="0071087E"/>
    <w:rsid w:val="007147BA"/>
    <w:rsid w:val="007147C2"/>
    <w:rsid w:val="00716001"/>
    <w:rsid w:val="007169A8"/>
    <w:rsid w:val="0072107A"/>
    <w:rsid w:val="00721648"/>
    <w:rsid w:val="007229A1"/>
    <w:rsid w:val="00722F18"/>
    <w:rsid w:val="0072347B"/>
    <w:rsid w:val="007235AA"/>
    <w:rsid w:val="00725E35"/>
    <w:rsid w:val="00726C52"/>
    <w:rsid w:val="007271A0"/>
    <w:rsid w:val="00730D35"/>
    <w:rsid w:val="0073135D"/>
    <w:rsid w:val="00732289"/>
    <w:rsid w:val="007330B9"/>
    <w:rsid w:val="007342F5"/>
    <w:rsid w:val="007343FD"/>
    <w:rsid w:val="00734AD0"/>
    <w:rsid w:val="007356E7"/>
    <w:rsid w:val="00735915"/>
    <w:rsid w:val="00735C21"/>
    <w:rsid w:val="0073614A"/>
    <w:rsid w:val="00736FF2"/>
    <w:rsid w:val="007371A5"/>
    <w:rsid w:val="007402A3"/>
    <w:rsid w:val="00740C8C"/>
    <w:rsid w:val="00741AC4"/>
    <w:rsid w:val="00742CA5"/>
    <w:rsid w:val="007460D7"/>
    <w:rsid w:val="007513F0"/>
    <w:rsid w:val="00751565"/>
    <w:rsid w:val="007515BC"/>
    <w:rsid w:val="00752204"/>
    <w:rsid w:val="00752606"/>
    <w:rsid w:val="0075344A"/>
    <w:rsid w:val="0075402E"/>
    <w:rsid w:val="0075445F"/>
    <w:rsid w:val="00756D3D"/>
    <w:rsid w:val="00757151"/>
    <w:rsid w:val="007573B2"/>
    <w:rsid w:val="007574BB"/>
    <w:rsid w:val="0075764C"/>
    <w:rsid w:val="00761232"/>
    <w:rsid w:val="00762198"/>
    <w:rsid w:val="00763CE8"/>
    <w:rsid w:val="00764E3B"/>
    <w:rsid w:val="00765661"/>
    <w:rsid w:val="007705F9"/>
    <w:rsid w:val="00770792"/>
    <w:rsid w:val="00770FB0"/>
    <w:rsid w:val="007737B5"/>
    <w:rsid w:val="00774FFE"/>
    <w:rsid w:val="00775638"/>
    <w:rsid w:val="00775677"/>
    <w:rsid w:val="0077599A"/>
    <w:rsid w:val="007765C3"/>
    <w:rsid w:val="00776811"/>
    <w:rsid w:val="0077724D"/>
    <w:rsid w:val="00777353"/>
    <w:rsid w:val="00780CD6"/>
    <w:rsid w:val="00781A64"/>
    <w:rsid w:val="00782EA4"/>
    <w:rsid w:val="00785461"/>
    <w:rsid w:val="00786FF3"/>
    <w:rsid w:val="007876CF"/>
    <w:rsid w:val="00787B77"/>
    <w:rsid w:val="00790463"/>
    <w:rsid w:val="00791361"/>
    <w:rsid w:val="00792C68"/>
    <w:rsid w:val="00793090"/>
    <w:rsid w:val="0079334A"/>
    <w:rsid w:val="00796C9B"/>
    <w:rsid w:val="00796F2A"/>
    <w:rsid w:val="007A0176"/>
    <w:rsid w:val="007A0314"/>
    <w:rsid w:val="007A0F2A"/>
    <w:rsid w:val="007A2F67"/>
    <w:rsid w:val="007A36FD"/>
    <w:rsid w:val="007A3918"/>
    <w:rsid w:val="007A5398"/>
    <w:rsid w:val="007A75DF"/>
    <w:rsid w:val="007B0E89"/>
    <w:rsid w:val="007B2C38"/>
    <w:rsid w:val="007B2E54"/>
    <w:rsid w:val="007B3826"/>
    <w:rsid w:val="007B56A8"/>
    <w:rsid w:val="007B7498"/>
    <w:rsid w:val="007B75C2"/>
    <w:rsid w:val="007B7AEE"/>
    <w:rsid w:val="007C022F"/>
    <w:rsid w:val="007C5C9B"/>
    <w:rsid w:val="007C6C24"/>
    <w:rsid w:val="007C7EB6"/>
    <w:rsid w:val="007D0ACB"/>
    <w:rsid w:val="007D2F75"/>
    <w:rsid w:val="007D710E"/>
    <w:rsid w:val="007D7E3A"/>
    <w:rsid w:val="007E1177"/>
    <w:rsid w:val="007E22E7"/>
    <w:rsid w:val="007E2893"/>
    <w:rsid w:val="007E4232"/>
    <w:rsid w:val="007E5C74"/>
    <w:rsid w:val="007E69BB"/>
    <w:rsid w:val="007E6AB8"/>
    <w:rsid w:val="007E7E96"/>
    <w:rsid w:val="007F2109"/>
    <w:rsid w:val="007F21C5"/>
    <w:rsid w:val="007F26EE"/>
    <w:rsid w:val="007F32CC"/>
    <w:rsid w:val="007F38D0"/>
    <w:rsid w:val="007F3EF1"/>
    <w:rsid w:val="007F4E73"/>
    <w:rsid w:val="007F6312"/>
    <w:rsid w:val="007F76A3"/>
    <w:rsid w:val="007F774A"/>
    <w:rsid w:val="0080056E"/>
    <w:rsid w:val="00801457"/>
    <w:rsid w:val="00801BCE"/>
    <w:rsid w:val="00801E7D"/>
    <w:rsid w:val="00802515"/>
    <w:rsid w:val="00807232"/>
    <w:rsid w:val="00810515"/>
    <w:rsid w:val="0081172F"/>
    <w:rsid w:val="0081283F"/>
    <w:rsid w:val="00812C0C"/>
    <w:rsid w:val="00813FF9"/>
    <w:rsid w:val="0081480A"/>
    <w:rsid w:val="00817A79"/>
    <w:rsid w:val="008202EB"/>
    <w:rsid w:val="008203F9"/>
    <w:rsid w:val="00820F86"/>
    <w:rsid w:val="008242C5"/>
    <w:rsid w:val="00825B2D"/>
    <w:rsid w:val="00827F88"/>
    <w:rsid w:val="008309F9"/>
    <w:rsid w:val="008315CE"/>
    <w:rsid w:val="008328AB"/>
    <w:rsid w:val="008336A5"/>
    <w:rsid w:val="00835474"/>
    <w:rsid w:val="00837022"/>
    <w:rsid w:val="008373C0"/>
    <w:rsid w:val="0084105A"/>
    <w:rsid w:val="0084145F"/>
    <w:rsid w:val="00841656"/>
    <w:rsid w:val="00841DA2"/>
    <w:rsid w:val="00844CB5"/>
    <w:rsid w:val="008458F6"/>
    <w:rsid w:val="00845AED"/>
    <w:rsid w:val="00845F6C"/>
    <w:rsid w:val="00846AA6"/>
    <w:rsid w:val="0084708E"/>
    <w:rsid w:val="00851328"/>
    <w:rsid w:val="008514E1"/>
    <w:rsid w:val="00851AE4"/>
    <w:rsid w:val="008521C1"/>
    <w:rsid w:val="00855019"/>
    <w:rsid w:val="008554B6"/>
    <w:rsid w:val="0085560C"/>
    <w:rsid w:val="0085598D"/>
    <w:rsid w:val="00857ECB"/>
    <w:rsid w:val="00862771"/>
    <w:rsid w:val="00863A1C"/>
    <w:rsid w:val="0086682F"/>
    <w:rsid w:val="00867687"/>
    <w:rsid w:val="008704DF"/>
    <w:rsid w:val="00873761"/>
    <w:rsid w:val="00874748"/>
    <w:rsid w:val="00874894"/>
    <w:rsid w:val="00876F54"/>
    <w:rsid w:val="00877292"/>
    <w:rsid w:val="0087754A"/>
    <w:rsid w:val="0087766C"/>
    <w:rsid w:val="008778E3"/>
    <w:rsid w:val="00880552"/>
    <w:rsid w:val="008839DA"/>
    <w:rsid w:val="00884EE8"/>
    <w:rsid w:val="00885168"/>
    <w:rsid w:val="0088614D"/>
    <w:rsid w:val="00890CAD"/>
    <w:rsid w:val="0089173B"/>
    <w:rsid w:val="00891E76"/>
    <w:rsid w:val="0089220F"/>
    <w:rsid w:val="008935AA"/>
    <w:rsid w:val="00893782"/>
    <w:rsid w:val="0089487A"/>
    <w:rsid w:val="00895543"/>
    <w:rsid w:val="008963F0"/>
    <w:rsid w:val="00897404"/>
    <w:rsid w:val="00897444"/>
    <w:rsid w:val="008A02C0"/>
    <w:rsid w:val="008A03A5"/>
    <w:rsid w:val="008A0DF3"/>
    <w:rsid w:val="008A1B76"/>
    <w:rsid w:val="008A282C"/>
    <w:rsid w:val="008A3F77"/>
    <w:rsid w:val="008A4138"/>
    <w:rsid w:val="008A4B66"/>
    <w:rsid w:val="008A5D96"/>
    <w:rsid w:val="008A75E5"/>
    <w:rsid w:val="008B3E9E"/>
    <w:rsid w:val="008B5AB3"/>
    <w:rsid w:val="008B6765"/>
    <w:rsid w:val="008B6848"/>
    <w:rsid w:val="008C0B03"/>
    <w:rsid w:val="008C2FA1"/>
    <w:rsid w:val="008C3800"/>
    <w:rsid w:val="008C4080"/>
    <w:rsid w:val="008C58DF"/>
    <w:rsid w:val="008D0090"/>
    <w:rsid w:val="008D1369"/>
    <w:rsid w:val="008D2C4C"/>
    <w:rsid w:val="008D7E0D"/>
    <w:rsid w:val="008D7EDB"/>
    <w:rsid w:val="008E1829"/>
    <w:rsid w:val="008E1A61"/>
    <w:rsid w:val="008E2327"/>
    <w:rsid w:val="008E2D66"/>
    <w:rsid w:val="008E4D2A"/>
    <w:rsid w:val="008E5077"/>
    <w:rsid w:val="008E54AD"/>
    <w:rsid w:val="008E5CA3"/>
    <w:rsid w:val="008E64F0"/>
    <w:rsid w:val="008E69F1"/>
    <w:rsid w:val="008E6FF3"/>
    <w:rsid w:val="008E7B05"/>
    <w:rsid w:val="008F010E"/>
    <w:rsid w:val="008F0965"/>
    <w:rsid w:val="008F18ED"/>
    <w:rsid w:val="008F230E"/>
    <w:rsid w:val="008F2DC5"/>
    <w:rsid w:val="008F37AD"/>
    <w:rsid w:val="008F3F00"/>
    <w:rsid w:val="008F46C2"/>
    <w:rsid w:val="008F7068"/>
    <w:rsid w:val="008F7FA5"/>
    <w:rsid w:val="0090360E"/>
    <w:rsid w:val="00903D37"/>
    <w:rsid w:val="009052E4"/>
    <w:rsid w:val="00906B23"/>
    <w:rsid w:val="009079D1"/>
    <w:rsid w:val="0091055D"/>
    <w:rsid w:val="00910A37"/>
    <w:rsid w:val="00914C61"/>
    <w:rsid w:val="0091641C"/>
    <w:rsid w:val="00917D6F"/>
    <w:rsid w:val="0092073B"/>
    <w:rsid w:val="00921B1A"/>
    <w:rsid w:val="00921B7F"/>
    <w:rsid w:val="00921DDA"/>
    <w:rsid w:val="00922DE1"/>
    <w:rsid w:val="0092600D"/>
    <w:rsid w:val="009301D7"/>
    <w:rsid w:val="00930345"/>
    <w:rsid w:val="0093039D"/>
    <w:rsid w:val="00930C00"/>
    <w:rsid w:val="009318B4"/>
    <w:rsid w:val="00931E4F"/>
    <w:rsid w:val="0093364D"/>
    <w:rsid w:val="0093429F"/>
    <w:rsid w:val="009346E1"/>
    <w:rsid w:val="00936574"/>
    <w:rsid w:val="009365BF"/>
    <w:rsid w:val="00937EE1"/>
    <w:rsid w:val="00941253"/>
    <w:rsid w:val="00943BCE"/>
    <w:rsid w:val="009449C5"/>
    <w:rsid w:val="00946A1E"/>
    <w:rsid w:val="009508A0"/>
    <w:rsid w:val="00951D94"/>
    <w:rsid w:val="00953FF0"/>
    <w:rsid w:val="00954827"/>
    <w:rsid w:val="00955E0B"/>
    <w:rsid w:val="00956711"/>
    <w:rsid w:val="00960346"/>
    <w:rsid w:val="00960AC3"/>
    <w:rsid w:val="00961564"/>
    <w:rsid w:val="009617D3"/>
    <w:rsid w:val="0096463B"/>
    <w:rsid w:val="0096750C"/>
    <w:rsid w:val="00967869"/>
    <w:rsid w:val="0096796E"/>
    <w:rsid w:val="00971F54"/>
    <w:rsid w:val="009725C5"/>
    <w:rsid w:val="00972AEA"/>
    <w:rsid w:val="00972B4E"/>
    <w:rsid w:val="00973F40"/>
    <w:rsid w:val="009764F3"/>
    <w:rsid w:val="009772C4"/>
    <w:rsid w:val="0097736F"/>
    <w:rsid w:val="0098056C"/>
    <w:rsid w:val="00980900"/>
    <w:rsid w:val="00983EDC"/>
    <w:rsid w:val="00983EED"/>
    <w:rsid w:val="009849EF"/>
    <w:rsid w:val="00984C32"/>
    <w:rsid w:val="00986DB7"/>
    <w:rsid w:val="00991FA0"/>
    <w:rsid w:val="009934CF"/>
    <w:rsid w:val="00994396"/>
    <w:rsid w:val="00994FB1"/>
    <w:rsid w:val="00997C76"/>
    <w:rsid w:val="009A0D75"/>
    <w:rsid w:val="009A2459"/>
    <w:rsid w:val="009A3057"/>
    <w:rsid w:val="009A306D"/>
    <w:rsid w:val="009A347A"/>
    <w:rsid w:val="009A4205"/>
    <w:rsid w:val="009A620E"/>
    <w:rsid w:val="009B6452"/>
    <w:rsid w:val="009B6A6F"/>
    <w:rsid w:val="009B7E51"/>
    <w:rsid w:val="009C1AFE"/>
    <w:rsid w:val="009C295D"/>
    <w:rsid w:val="009C299E"/>
    <w:rsid w:val="009C2A20"/>
    <w:rsid w:val="009C2A45"/>
    <w:rsid w:val="009C3E33"/>
    <w:rsid w:val="009C548B"/>
    <w:rsid w:val="009C5CFA"/>
    <w:rsid w:val="009C5F24"/>
    <w:rsid w:val="009D048B"/>
    <w:rsid w:val="009D1716"/>
    <w:rsid w:val="009D1B5D"/>
    <w:rsid w:val="009D395E"/>
    <w:rsid w:val="009D3B7A"/>
    <w:rsid w:val="009D43FE"/>
    <w:rsid w:val="009D5C33"/>
    <w:rsid w:val="009D69C6"/>
    <w:rsid w:val="009D6F70"/>
    <w:rsid w:val="009E10E1"/>
    <w:rsid w:val="009E110C"/>
    <w:rsid w:val="009E17F9"/>
    <w:rsid w:val="009E22A9"/>
    <w:rsid w:val="009E3527"/>
    <w:rsid w:val="009E5419"/>
    <w:rsid w:val="009E5A6E"/>
    <w:rsid w:val="009E70E7"/>
    <w:rsid w:val="009E79B4"/>
    <w:rsid w:val="009F1196"/>
    <w:rsid w:val="009F25A8"/>
    <w:rsid w:val="009F46DC"/>
    <w:rsid w:val="009F58BE"/>
    <w:rsid w:val="009F59D8"/>
    <w:rsid w:val="009F65AF"/>
    <w:rsid w:val="00A01C00"/>
    <w:rsid w:val="00A02488"/>
    <w:rsid w:val="00A03A1B"/>
    <w:rsid w:val="00A06CC5"/>
    <w:rsid w:val="00A1041C"/>
    <w:rsid w:val="00A11CAD"/>
    <w:rsid w:val="00A15A51"/>
    <w:rsid w:val="00A1620D"/>
    <w:rsid w:val="00A16AC0"/>
    <w:rsid w:val="00A16DC1"/>
    <w:rsid w:val="00A21D9F"/>
    <w:rsid w:val="00A23D31"/>
    <w:rsid w:val="00A24C9B"/>
    <w:rsid w:val="00A25083"/>
    <w:rsid w:val="00A26ECD"/>
    <w:rsid w:val="00A27D2B"/>
    <w:rsid w:val="00A301A7"/>
    <w:rsid w:val="00A30C34"/>
    <w:rsid w:val="00A30FD3"/>
    <w:rsid w:val="00A33113"/>
    <w:rsid w:val="00A34223"/>
    <w:rsid w:val="00A34F11"/>
    <w:rsid w:val="00A35C23"/>
    <w:rsid w:val="00A35E2F"/>
    <w:rsid w:val="00A36013"/>
    <w:rsid w:val="00A37676"/>
    <w:rsid w:val="00A37891"/>
    <w:rsid w:val="00A40A51"/>
    <w:rsid w:val="00A415BA"/>
    <w:rsid w:val="00A41B03"/>
    <w:rsid w:val="00A44DDC"/>
    <w:rsid w:val="00A4594F"/>
    <w:rsid w:val="00A47916"/>
    <w:rsid w:val="00A47F1A"/>
    <w:rsid w:val="00A507DD"/>
    <w:rsid w:val="00A51058"/>
    <w:rsid w:val="00A52CF0"/>
    <w:rsid w:val="00A536DA"/>
    <w:rsid w:val="00A5406C"/>
    <w:rsid w:val="00A54801"/>
    <w:rsid w:val="00A5596D"/>
    <w:rsid w:val="00A56F39"/>
    <w:rsid w:val="00A571CD"/>
    <w:rsid w:val="00A57C3D"/>
    <w:rsid w:val="00A60A2E"/>
    <w:rsid w:val="00A60F2A"/>
    <w:rsid w:val="00A6697B"/>
    <w:rsid w:val="00A67022"/>
    <w:rsid w:val="00A7087B"/>
    <w:rsid w:val="00A719AA"/>
    <w:rsid w:val="00A73DE3"/>
    <w:rsid w:val="00A74C2D"/>
    <w:rsid w:val="00A75171"/>
    <w:rsid w:val="00A76B34"/>
    <w:rsid w:val="00A77021"/>
    <w:rsid w:val="00A80A86"/>
    <w:rsid w:val="00A82E4A"/>
    <w:rsid w:val="00A83487"/>
    <w:rsid w:val="00A84A8E"/>
    <w:rsid w:val="00A84BAC"/>
    <w:rsid w:val="00A854FF"/>
    <w:rsid w:val="00A86E30"/>
    <w:rsid w:val="00A87035"/>
    <w:rsid w:val="00A870F1"/>
    <w:rsid w:val="00A8745D"/>
    <w:rsid w:val="00A908DA"/>
    <w:rsid w:val="00A90B3E"/>
    <w:rsid w:val="00A90F9B"/>
    <w:rsid w:val="00A92694"/>
    <w:rsid w:val="00A93072"/>
    <w:rsid w:val="00A9629C"/>
    <w:rsid w:val="00A96E80"/>
    <w:rsid w:val="00AA131E"/>
    <w:rsid w:val="00AA140E"/>
    <w:rsid w:val="00AA2289"/>
    <w:rsid w:val="00AA2AFF"/>
    <w:rsid w:val="00AA2BAC"/>
    <w:rsid w:val="00AA35D5"/>
    <w:rsid w:val="00AA417B"/>
    <w:rsid w:val="00AA533F"/>
    <w:rsid w:val="00AA5A86"/>
    <w:rsid w:val="00AA76BC"/>
    <w:rsid w:val="00AA7B74"/>
    <w:rsid w:val="00AA7F48"/>
    <w:rsid w:val="00AB010D"/>
    <w:rsid w:val="00AB0749"/>
    <w:rsid w:val="00AB5725"/>
    <w:rsid w:val="00AB75E2"/>
    <w:rsid w:val="00AB76D8"/>
    <w:rsid w:val="00AB7A1A"/>
    <w:rsid w:val="00AB7E6A"/>
    <w:rsid w:val="00AC1B50"/>
    <w:rsid w:val="00AC1B61"/>
    <w:rsid w:val="00AC2C6E"/>
    <w:rsid w:val="00AC5EE6"/>
    <w:rsid w:val="00AC7E85"/>
    <w:rsid w:val="00AD0D24"/>
    <w:rsid w:val="00AD1923"/>
    <w:rsid w:val="00AD1CF4"/>
    <w:rsid w:val="00AD1F53"/>
    <w:rsid w:val="00AD2611"/>
    <w:rsid w:val="00AD3AC5"/>
    <w:rsid w:val="00AD3D57"/>
    <w:rsid w:val="00AD43A4"/>
    <w:rsid w:val="00AD497C"/>
    <w:rsid w:val="00AD50F9"/>
    <w:rsid w:val="00AE0B4B"/>
    <w:rsid w:val="00AE47BF"/>
    <w:rsid w:val="00AE489D"/>
    <w:rsid w:val="00AE4A5D"/>
    <w:rsid w:val="00AE552E"/>
    <w:rsid w:val="00AF08DA"/>
    <w:rsid w:val="00AF090F"/>
    <w:rsid w:val="00AF09DE"/>
    <w:rsid w:val="00AF0A77"/>
    <w:rsid w:val="00AF0F89"/>
    <w:rsid w:val="00AF34B1"/>
    <w:rsid w:val="00AF4C29"/>
    <w:rsid w:val="00AF5FE9"/>
    <w:rsid w:val="00AF6432"/>
    <w:rsid w:val="00AF6B70"/>
    <w:rsid w:val="00AF6DED"/>
    <w:rsid w:val="00AF79BD"/>
    <w:rsid w:val="00B01191"/>
    <w:rsid w:val="00B06723"/>
    <w:rsid w:val="00B07F12"/>
    <w:rsid w:val="00B07FE3"/>
    <w:rsid w:val="00B10BAE"/>
    <w:rsid w:val="00B11DD5"/>
    <w:rsid w:val="00B12157"/>
    <w:rsid w:val="00B14154"/>
    <w:rsid w:val="00B1415B"/>
    <w:rsid w:val="00B14638"/>
    <w:rsid w:val="00B15278"/>
    <w:rsid w:val="00B1621D"/>
    <w:rsid w:val="00B16560"/>
    <w:rsid w:val="00B16F5F"/>
    <w:rsid w:val="00B177FF"/>
    <w:rsid w:val="00B2112F"/>
    <w:rsid w:val="00B222A2"/>
    <w:rsid w:val="00B234EC"/>
    <w:rsid w:val="00B274AE"/>
    <w:rsid w:val="00B274BF"/>
    <w:rsid w:val="00B30E09"/>
    <w:rsid w:val="00B31222"/>
    <w:rsid w:val="00B3127D"/>
    <w:rsid w:val="00B318C9"/>
    <w:rsid w:val="00B31FDB"/>
    <w:rsid w:val="00B330C9"/>
    <w:rsid w:val="00B33D0A"/>
    <w:rsid w:val="00B37DE4"/>
    <w:rsid w:val="00B41DF3"/>
    <w:rsid w:val="00B42118"/>
    <w:rsid w:val="00B42C7F"/>
    <w:rsid w:val="00B42E81"/>
    <w:rsid w:val="00B4329D"/>
    <w:rsid w:val="00B45BEE"/>
    <w:rsid w:val="00B4666D"/>
    <w:rsid w:val="00B520F9"/>
    <w:rsid w:val="00B52812"/>
    <w:rsid w:val="00B5491F"/>
    <w:rsid w:val="00B5495A"/>
    <w:rsid w:val="00B55C51"/>
    <w:rsid w:val="00B568D8"/>
    <w:rsid w:val="00B577A3"/>
    <w:rsid w:val="00B612B1"/>
    <w:rsid w:val="00B6144B"/>
    <w:rsid w:val="00B6170F"/>
    <w:rsid w:val="00B640B0"/>
    <w:rsid w:val="00B64641"/>
    <w:rsid w:val="00B65D6A"/>
    <w:rsid w:val="00B7262F"/>
    <w:rsid w:val="00B727C5"/>
    <w:rsid w:val="00B73FD4"/>
    <w:rsid w:val="00B74FC5"/>
    <w:rsid w:val="00B75A6C"/>
    <w:rsid w:val="00B77E53"/>
    <w:rsid w:val="00B803A5"/>
    <w:rsid w:val="00B81835"/>
    <w:rsid w:val="00B823D2"/>
    <w:rsid w:val="00B82F2D"/>
    <w:rsid w:val="00B83E2A"/>
    <w:rsid w:val="00B83E38"/>
    <w:rsid w:val="00B85DF3"/>
    <w:rsid w:val="00B86340"/>
    <w:rsid w:val="00B86C19"/>
    <w:rsid w:val="00B87F8E"/>
    <w:rsid w:val="00B87FD5"/>
    <w:rsid w:val="00B9027B"/>
    <w:rsid w:val="00B91499"/>
    <w:rsid w:val="00B92EDF"/>
    <w:rsid w:val="00B93510"/>
    <w:rsid w:val="00B93640"/>
    <w:rsid w:val="00B93E33"/>
    <w:rsid w:val="00B93FFB"/>
    <w:rsid w:val="00B954F3"/>
    <w:rsid w:val="00B95BCD"/>
    <w:rsid w:val="00B95CDC"/>
    <w:rsid w:val="00B95CE5"/>
    <w:rsid w:val="00B96107"/>
    <w:rsid w:val="00B9731C"/>
    <w:rsid w:val="00BA0D0B"/>
    <w:rsid w:val="00BA2486"/>
    <w:rsid w:val="00BA4CE5"/>
    <w:rsid w:val="00BA5BC4"/>
    <w:rsid w:val="00BA5C65"/>
    <w:rsid w:val="00BA64A9"/>
    <w:rsid w:val="00BA6B30"/>
    <w:rsid w:val="00BB1512"/>
    <w:rsid w:val="00BB375D"/>
    <w:rsid w:val="00BB3A50"/>
    <w:rsid w:val="00BB49A0"/>
    <w:rsid w:val="00BB515F"/>
    <w:rsid w:val="00BB532B"/>
    <w:rsid w:val="00BB545D"/>
    <w:rsid w:val="00BC0924"/>
    <w:rsid w:val="00BC1FA5"/>
    <w:rsid w:val="00BC2C0C"/>
    <w:rsid w:val="00BC56E8"/>
    <w:rsid w:val="00BC732A"/>
    <w:rsid w:val="00BC758B"/>
    <w:rsid w:val="00BD0834"/>
    <w:rsid w:val="00BD1953"/>
    <w:rsid w:val="00BD1E16"/>
    <w:rsid w:val="00BD2EAC"/>
    <w:rsid w:val="00BD455F"/>
    <w:rsid w:val="00BD4BB3"/>
    <w:rsid w:val="00BD782A"/>
    <w:rsid w:val="00BE17C6"/>
    <w:rsid w:val="00BE1CED"/>
    <w:rsid w:val="00BE2BD3"/>
    <w:rsid w:val="00BE3735"/>
    <w:rsid w:val="00BE4843"/>
    <w:rsid w:val="00BE4865"/>
    <w:rsid w:val="00BE5595"/>
    <w:rsid w:val="00BE55D1"/>
    <w:rsid w:val="00BE6706"/>
    <w:rsid w:val="00BE69BF"/>
    <w:rsid w:val="00BE725A"/>
    <w:rsid w:val="00BE73C1"/>
    <w:rsid w:val="00BE7430"/>
    <w:rsid w:val="00BE7B48"/>
    <w:rsid w:val="00BF03EB"/>
    <w:rsid w:val="00BF2340"/>
    <w:rsid w:val="00BF3381"/>
    <w:rsid w:val="00BF3450"/>
    <w:rsid w:val="00BF45F2"/>
    <w:rsid w:val="00BF667D"/>
    <w:rsid w:val="00C02435"/>
    <w:rsid w:val="00C06CE9"/>
    <w:rsid w:val="00C076CE"/>
    <w:rsid w:val="00C07798"/>
    <w:rsid w:val="00C10FCF"/>
    <w:rsid w:val="00C12810"/>
    <w:rsid w:val="00C140D6"/>
    <w:rsid w:val="00C144F4"/>
    <w:rsid w:val="00C16B4B"/>
    <w:rsid w:val="00C17427"/>
    <w:rsid w:val="00C20C00"/>
    <w:rsid w:val="00C210FD"/>
    <w:rsid w:val="00C22901"/>
    <w:rsid w:val="00C23359"/>
    <w:rsid w:val="00C244A7"/>
    <w:rsid w:val="00C25238"/>
    <w:rsid w:val="00C305F2"/>
    <w:rsid w:val="00C3345C"/>
    <w:rsid w:val="00C3575F"/>
    <w:rsid w:val="00C407E5"/>
    <w:rsid w:val="00C42DAC"/>
    <w:rsid w:val="00C4342B"/>
    <w:rsid w:val="00C436E3"/>
    <w:rsid w:val="00C44592"/>
    <w:rsid w:val="00C459A9"/>
    <w:rsid w:val="00C4704E"/>
    <w:rsid w:val="00C477E7"/>
    <w:rsid w:val="00C47E13"/>
    <w:rsid w:val="00C502A5"/>
    <w:rsid w:val="00C5049F"/>
    <w:rsid w:val="00C521F7"/>
    <w:rsid w:val="00C53008"/>
    <w:rsid w:val="00C55151"/>
    <w:rsid w:val="00C553D0"/>
    <w:rsid w:val="00C55558"/>
    <w:rsid w:val="00C5575D"/>
    <w:rsid w:val="00C558FF"/>
    <w:rsid w:val="00C560FA"/>
    <w:rsid w:val="00C56772"/>
    <w:rsid w:val="00C57055"/>
    <w:rsid w:val="00C57FF9"/>
    <w:rsid w:val="00C60320"/>
    <w:rsid w:val="00C61A98"/>
    <w:rsid w:val="00C64434"/>
    <w:rsid w:val="00C64A51"/>
    <w:rsid w:val="00C64B27"/>
    <w:rsid w:val="00C65C4D"/>
    <w:rsid w:val="00C7063C"/>
    <w:rsid w:val="00C734B5"/>
    <w:rsid w:val="00C73C57"/>
    <w:rsid w:val="00C746D9"/>
    <w:rsid w:val="00C74D43"/>
    <w:rsid w:val="00C75A2C"/>
    <w:rsid w:val="00C75CA7"/>
    <w:rsid w:val="00C7683D"/>
    <w:rsid w:val="00C82300"/>
    <w:rsid w:val="00C830B2"/>
    <w:rsid w:val="00C834EF"/>
    <w:rsid w:val="00C83CDA"/>
    <w:rsid w:val="00C86432"/>
    <w:rsid w:val="00C86FC6"/>
    <w:rsid w:val="00C901BB"/>
    <w:rsid w:val="00C90CD3"/>
    <w:rsid w:val="00C92411"/>
    <w:rsid w:val="00C92552"/>
    <w:rsid w:val="00C92C27"/>
    <w:rsid w:val="00C93E12"/>
    <w:rsid w:val="00C93EFF"/>
    <w:rsid w:val="00C93F1B"/>
    <w:rsid w:val="00C9400A"/>
    <w:rsid w:val="00C9438D"/>
    <w:rsid w:val="00C95093"/>
    <w:rsid w:val="00C96993"/>
    <w:rsid w:val="00C96DFE"/>
    <w:rsid w:val="00C976D1"/>
    <w:rsid w:val="00CA1444"/>
    <w:rsid w:val="00CA308F"/>
    <w:rsid w:val="00CA437E"/>
    <w:rsid w:val="00CA6F0D"/>
    <w:rsid w:val="00CA7061"/>
    <w:rsid w:val="00CA71D4"/>
    <w:rsid w:val="00CB26C0"/>
    <w:rsid w:val="00CB4917"/>
    <w:rsid w:val="00CB5D29"/>
    <w:rsid w:val="00CB675A"/>
    <w:rsid w:val="00CB6EC8"/>
    <w:rsid w:val="00CB782B"/>
    <w:rsid w:val="00CC082B"/>
    <w:rsid w:val="00CC0E77"/>
    <w:rsid w:val="00CC2092"/>
    <w:rsid w:val="00CC285C"/>
    <w:rsid w:val="00CC34C5"/>
    <w:rsid w:val="00CC5595"/>
    <w:rsid w:val="00CC5E76"/>
    <w:rsid w:val="00CD049D"/>
    <w:rsid w:val="00CD1770"/>
    <w:rsid w:val="00CD3A5D"/>
    <w:rsid w:val="00CD5FD4"/>
    <w:rsid w:val="00CE0DCE"/>
    <w:rsid w:val="00CE1BC9"/>
    <w:rsid w:val="00CE33C1"/>
    <w:rsid w:val="00CE4899"/>
    <w:rsid w:val="00CE4B6E"/>
    <w:rsid w:val="00CE4DD6"/>
    <w:rsid w:val="00CE76FF"/>
    <w:rsid w:val="00CF1CF7"/>
    <w:rsid w:val="00CF3F3A"/>
    <w:rsid w:val="00CF4012"/>
    <w:rsid w:val="00CF43D5"/>
    <w:rsid w:val="00D01A61"/>
    <w:rsid w:val="00D01F75"/>
    <w:rsid w:val="00D0215D"/>
    <w:rsid w:val="00D02BC6"/>
    <w:rsid w:val="00D0310D"/>
    <w:rsid w:val="00D03F9F"/>
    <w:rsid w:val="00D05803"/>
    <w:rsid w:val="00D05C7C"/>
    <w:rsid w:val="00D06906"/>
    <w:rsid w:val="00D07742"/>
    <w:rsid w:val="00D077DC"/>
    <w:rsid w:val="00D1276A"/>
    <w:rsid w:val="00D132F9"/>
    <w:rsid w:val="00D14DB7"/>
    <w:rsid w:val="00D15ED5"/>
    <w:rsid w:val="00D16656"/>
    <w:rsid w:val="00D17825"/>
    <w:rsid w:val="00D200AB"/>
    <w:rsid w:val="00D20613"/>
    <w:rsid w:val="00D20B81"/>
    <w:rsid w:val="00D223BF"/>
    <w:rsid w:val="00D244BD"/>
    <w:rsid w:val="00D25F67"/>
    <w:rsid w:val="00D27B23"/>
    <w:rsid w:val="00D3191C"/>
    <w:rsid w:val="00D31CD5"/>
    <w:rsid w:val="00D34402"/>
    <w:rsid w:val="00D348F7"/>
    <w:rsid w:val="00D3564E"/>
    <w:rsid w:val="00D36EF4"/>
    <w:rsid w:val="00D371D0"/>
    <w:rsid w:val="00D3776F"/>
    <w:rsid w:val="00D4062A"/>
    <w:rsid w:val="00D407D3"/>
    <w:rsid w:val="00D40BC3"/>
    <w:rsid w:val="00D41A0E"/>
    <w:rsid w:val="00D434EC"/>
    <w:rsid w:val="00D43E69"/>
    <w:rsid w:val="00D43EC7"/>
    <w:rsid w:val="00D44462"/>
    <w:rsid w:val="00D4453A"/>
    <w:rsid w:val="00D44E9D"/>
    <w:rsid w:val="00D466D0"/>
    <w:rsid w:val="00D472A7"/>
    <w:rsid w:val="00D47957"/>
    <w:rsid w:val="00D503B4"/>
    <w:rsid w:val="00D51515"/>
    <w:rsid w:val="00D5499A"/>
    <w:rsid w:val="00D54BD5"/>
    <w:rsid w:val="00D554FA"/>
    <w:rsid w:val="00D564BC"/>
    <w:rsid w:val="00D575F0"/>
    <w:rsid w:val="00D57F43"/>
    <w:rsid w:val="00D60578"/>
    <w:rsid w:val="00D61403"/>
    <w:rsid w:val="00D61A0E"/>
    <w:rsid w:val="00D71CF9"/>
    <w:rsid w:val="00D72264"/>
    <w:rsid w:val="00D7675E"/>
    <w:rsid w:val="00D7766D"/>
    <w:rsid w:val="00D80080"/>
    <w:rsid w:val="00D809E2"/>
    <w:rsid w:val="00D80F9D"/>
    <w:rsid w:val="00D80FFB"/>
    <w:rsid w:val="00D81BAE"/>
    <w:rsid w:val="00D8250A"/>
    <w:rsid w:val="00D84352"/>
    <w:rsid w:val="00D848E9"/>
    <w:rsid w:val="00D84B17"/>
    <w:rsid w:val="00D8507D"/>
    <w:rsid w:val="00D86699"/>
    <w:rsid w:val="00D86735"/>
    <w:rsid w:val="00D8718E"/>
    <w:rsid w:val="00D871FB"/>
    <w:rsid w:val="00D87AA2"/>
    <w:rsid w:val="00D90C9D"/>
    <w:rsid w:val="00D90E57"/>
    <w:rsid w:val="00D91910"/>
    <w:rsid w:val="00D91AA8"/>
    <w:rsid w:val="00D944A6"/>
    <w:rsid w:val="00D95B5F"/>
    <w:rsid w:val="00D9604B"/>
    <w:rsid w:val="00D96FC3"/>
    <w:rsid w:val="00DA0839"/>
    <w:rsid w:val="00DA0D92"/>
    <w:rsid w:val="00DA12C3"/>
    <w:rsid w:val="00DA1B87"/>
    <w:rsid w:val="00DA22B5"/>
    <w:rsid w:val="00DA42A5"/>
    <w:rsid w:val="00DA495D"/>
    <w:rsid w:val="00DA4F15"/>
    <w:rsid w:val="00DA5851"/>
    <w:rsid w:val="00DA5DCA"/>
    <w:rsid w:val="00DA7BA0"/>
    <w:rsid w:val="00DB3909"/>
    <w:rsid w:val="00DB42F5"/>
    <w:rsid w:val="00DB469A"/>
    <w:rsid w:val="00DB52C3"/>
    <w:rsid w:val="00DB5454"/>
    <w:rsid w:val="00DB5612"/>
    <w:rsid w:val="00DB5DA3"/>
    <w:rsid w:val="00DB635D"/>
    <w:rsid w:val="00DB69D1"/>
    <w:rsid w:val="00DB7E5F"/>
    <w:rsid w:val="00DC10B0"/>
    <w:rsid w:val="00DC1246"/>
    <w:rsid w:val="00DC14EE"/>
    <w:rsid w:val="00DC1594"/>
    <w:rsid w:val="00DC4BCD"/>
    <w:rsid w:val="00DC6827"/>
    <w:rsid w:val="00DC6D4E"/>
    <w:rsid w:val="00DC7369"/>
    <w:rsid w:val="00DD1107"/>
    <w:rsid w:val="00DD178F"/>
    <w:rsid w:val="00DD1FE4"/>
    <w:rsid w:val="00DD2899"/>
    <w:rsid w:val="00DD4980"/>
    <w:rsid w:val="00DD53C4"/>
    <w:rsid w:val="00DE2966"/>
    <w:rsid w:val="00DE40E0"/>
    <w:rsid w:val="00DE4107"/>
    <w:rsid w:val="00DE6A37"/>
    <w:rsid w:val="00DE7299"/>
    <w:rsid w:val="00DE73F1"/>
    <w:rsid w:val="00DF04ED"/>
    <w:rsid w:val="00DF0B5E"/>
    <w:rsid w:val="00DF0ED5"/>
    <w:rsid w:val="00DF70CC"/>
    <w:rsid w:val="00DF72D9"/>
    <w:rsid w:val="00DF7DF3"/>
    <w:rsid w:val="00DF7EC8"/>
    <w:rsid w:val="00E02371"/>
    <w:rsid w:val="00E028ED"/>
    <w:rsid w:val="00E02A67"/>
    <w:rsid w:val="00E0499F"/>
    <w:rsid w:val="00E061EE"/>
    <w:rsid w:val="00E104F6"/>
    <w:rsid w:val="00E10748"/>
    <w:rsid w:val="00E12A8A"/>
    <w:rsid w:val="00E12F57"/>
    <w:rsid w:val="00E14282"/>
    <w:rsid w:val="00E14CDD"/>
    <w:rsid w:val="00E156F2"/>
    <w:rsid w:val="00E15926"/>
    <w:rsid w:val="00E15EF1"/>
    <w:rsid w:val="00E17FA7"/>
    <w:rsid w:val="00E2250E"/>
    <w:rsid w:val="00E22C3D"/>
    <w:rsid w:val="00E2330C"/>
    <w:rsid w:val="00E234C4"/>
    <w:rsid w:val="00E24BF5"/>
    <w:rsid w:val="00E27DDF"/>
    <w:rsid w:val="00E27E01"/>
    <w:rsid w:val="00E30A90"/>
    <w:rsid w:val="00E32DBA"/>
    <w:rsid w:val="00E37186"/>
    <w:rsid w:val="00E43469"/>
    <w:rsid w:val="00E4369C"/>
    <w:rsid w:val="00E43A0F"/>
    <w:rsid w:val="00E445DA"/>
    <w:rsid w:val="00E45379"/>
    <w:rsid w:val="00E465CB"/>
    <w:rsid w:val="00E47C0D"/>
    <w:rsid w:val="00E47D4C"/>
    <w:rsid w:val="00E50B22"/>
    <w:rsid w:val="00E51E18"/>
    <w:rsid w:val="00E533BD"/>
    <w:rsid w:val="00E53706"/>
    <w:rsid w:val="00E565DA"/>
    <w:rsid w:val="00E57CE2"/>
    <w:rsid w:val="00E617BD"/>
    <w:rsid w:val="00E61E05"/>
    <w:rsid w:val="00E63C5F"/>
    <w:rsid w:val="00E64BD9"/>
    <w:rsid w:val="00E6519C"/>
    <w:rsid w:val="00E661F3"/>
    <w:rsid w:val="00E67E50"/>
    <w:rsid w:val="00E705B4"/>
    <w:rsid w:val="00E72967"/>
    <w:rsid w:val="00E72BFA"/>
    <w:rsid w:val="00E7356B"/>
    <w:rsid w:val="00E75AD6"/>
    <w:rsid w:val="00E7654C"/>
    <w:rsid w:val="00E76E33"/>
    <w:rsid w:val="00E7778E"/>
    <w:rsid w:val="00E8155D"/>
    <w:rsid w:val="00E84AD7"/>
    <w:rsid w:val="00E85CC0"/>
    <w:rsid w:val="00E94F1A"/>
    <w:rsid w:val="00E963E3"/>
    <w:rsid w:val="00E96E1A"/>
    <w:rsid w:val="00E978D0"/>
    <w:rsid w:val="00EA0E04"/>
    <w:rsid w:val="00EA220D"/>
    <w:rsid w:val="00EA3156"/>
    <w:rsid w:val="00EA40A2"/>
    <w:rsid w:val="00EA4CD5"/>
    <w:rsid w:val="00EA5D2C"/>
    <w:rsid w:val="00EA5D8E"/>
    <w:rsid w:val="00EA6DEB"/>
    <w:rsid w:val="00EB07CF"/>
    <w:rsid w:val="00EB3B88"/>
    <w:rsid w:val="00EB644E"/>
    <w:rsid w:val="00EC0C14"/>
    <w:rsid w:val="00EC2B42"/>
    <w:rsid w:val="00EC3B8F"/>
    <w:rsid w:val="00EC55B7"/>
    <w:rsid w:val="00EC5CA0"/>
    <w:rsid w:val="00EC7372"/>
    <w:rsid w:val="00ED19D1"/>
    <w:rsid w:val="00ED2AC0"/>
    <w:rsid w:val="00ED30E8"/>
    <w:rsid w:val="00ED3B69"/>
    <w:rsid w:val="00ED3ECA"/>
    <w:rsid w:val="00ED3F39"/>
    <w:rsid w:val="00ED4168"/>
    <w:rsid w:val="00ED527A"/>
    <w:rsid w:val="00ED63AE"/>
    <w:rsid w:val="00ED6CD1"/>
    <w:rsid w:val="00ED7225"/>
    <w:rsid w:val="00ED7A42"/>
    <w:rsid w:val="00EE22AF"/>
    <w:rsid w:val="00EE2D7B"/>
    <w:rsid w:val="00EE5F2E"/>
    <w:rsid w:val="00EF0517"/>
    <w:rsid w:val="00EF0E79"/>
    <w:rsid w:val="00EF2C2D"/>
    <w:rsid w:val="00EF42A6"/>
    <w:rsid w:val="00EF4A64"/>
    <w:rsid w:val="00EF4D52"/>
    <w:rsid w:val="00EF665D"/>
    <w:rsid w:val="00F01735"/>
    <w:rsid w:val="00F018AD"/>
    <w:rsid w:val="00F02171"/>
    <w:rsid w:val="00F033EF"/>
    <w:rsid w:val="00F0528B"/>
    <w:rsid w:val="00F061A6"/>
    <w:rsid w:val="00F0710C"/>
    <w:rsid w:val="00F11AB3"/>
    <w:rsid w:val="00F120BD"/>
    <w:rsid w:val="00F135BA"/>
    <w:rsid w:val="00F14017"/>
    <w:rsid w:val="00F1684C"/>
    <w:rsid w:val="00F20633"/>
    <w:rsid w:val="00F20876"/>
    <w:rsid w:val="00F21DD6"/>
    <w:rsid w:val="00F23D02"/>
    <w:rsid w:val="00F25CFE"/>
    <w:rsid w:val="00F2753A"/>
    <w:rsid w:val="00F3018B"/>
    <w:rsid w:val="00F35243"/>
    <w:rsid w:val="00F36D7C"/>
    <w:rsid w:val="00F36E9F"/>
    <w:rsid w:val="00F37436"/>
    <w:rsid w:val="00F37ED0"/>
    <w:rsid w:val="00F37F93"/>
    <w:rsid w:val="00F41B19"/>
    <w:rsid w:val="00F42AB5"/>
    <w:rsid w:val="00F43E6E"/>
    <w:rsid w:val="00F43EBF"/>
    <w:rsid w:val="00F44423"/>
    <w:rsid w:val="00F458BB"/>
    <w:rsid w:val="00F50BE6"/>
    <w:rsid w:val="00F51236"/>
    <w:rsid w:val="00F51438"/>
    <w:rsid w:val="00F5374C"/>
    <w:rsid w:val="00F53F75"/>
    <w:rsid w:val="00F541B8"/>
    <w:rsid w:val="00F546D7"/>
    <w:rsid w:val="00F56B6D"/>
    <w:rsid w:val="00F56CC2"/>
    <w:rsid w:val="00F60BC0"/>
    <w:rsid w:val="00F615A8"/>
    <w:rsid w:val="00F61B7F"/>
    <w:rsid w:val="00F62370"/>
    <w:rsid w:val="00F62833"/>
    <w:rsid w:val="00F628D3"/>
    <w:rsid w:val="00F62EF2"/>
    <w:rsid w:val="00F638C3"/>
    <w:rsid w:val="00F6497E"/>
    <w:rsid w:val="00F677E2"/>
    <w:rsid w:val="00F67F41"/>
    <w:rsid w:val="00F70D50"/>
    <w:rsid w:val="00F717E6"/>
    <w:rsid w:val="00F73751"/>
    <w:rsid w:val="00F73DC5"/>
    <w:rsid w:val="00F75EAD"/>
    <w:rsid w:val="00F77154"/>
    <w:rsid w:val="00F80F33"/>
    <w:rsid w:val="00F8451A"/>
    <w:rsid w:val="00F846D6"/>
    <w:rsid w:val="00F84DFE"/>
    <w:rsid w:val="00F86997"/>
    <w:rsid w:val="00F871D7"/>
    <w:rsid w:val="00F878EE"/>
    <w:rsid w:val="00F9173A"/>
    <w:rsid w:val="00F91800"/>
    <w:rsid w:val="00F93469"/>
    <w:rsid w:val="00F93BB2"/>
    <w:rsid w:val="00F94E99"/>
    <w:rsid w:val="00F9650A"/>
    <w:rsid w:val="00F967C7"/>
    <w:rsid w:val="00FA025C"/>
    <w:rsid w:val="00FA0437"/>
    <w:rsid w:val="00FA233F"/>
    <w:rsid w:val="00FA2E05"/>
    <w:rsid w:val="00FA3DF0"/>
    <w:rsid w:val="00FA7547"/>
    <w:rsid w:val="00FA7D57"/>
    <w:rsid w:val="00FB0008"/>
    <w:rsid w:val="00FB071C"/>
    <w:rsid w:val="00FB1ACE"/>
    <w:rsid w:val="00FB2A36"/>
    <w:rsid w:val="00FB3013"/>
    <w:rsid w:val="00FB3EA0"/>
    <w:rsid w:val="00FB55F4"/>
    <w:rsid w:val="00FB58D8"/>
    <w:rsid w:val="00FB5A3F"/>
    <w:rsid w:val="00FB6525"/>
    <w:rsid w:val="00FB7140"/>
    <w:rsid w:val="00FC0B63"/>
    <w:rsid w:val="00FC0F07"/>
    <w:rsid w:val="00FC12ED"/>
    <w:rsid w:val="00FC2209"/>
    <w:rsid w:val="00FC24BF"/>
    <w:rsid w:val="00FC4F38"/>
    <w:rsid w:val="00FC7531"/>
    <w:rsid w:val="00FC7EAA"/>
    <w:rsid w:val="00FD3974"/>
    <w:rsid w:val="00FD3BEB"/>
    <w:rsid w:val="00FD4FA5"/>
    <w:rsid w:val="00FD5166"/>
    <w:rsid w:val="00FD6836"/>
    <w:rsid w:val="00FD758C"/>
    <w:rsid w:val="00FE0D6F"/>
    <w:rsid w:val="00FE7D9A"/>
    <w:rsid w:val="00FF05B9"/>
    <w:rsid w:val="00FF0A9B"/>
    <w:rsid w:val="00FF0EB1"/>
    <w:rsid w:val="00FF2075"/>
    <w:rsid w:val="00FF456A"/>
    <w:rsid w:val="00FF46FD"/>
    <w:rsid w:val="00FF4EF9"/>
    <w:rsid w:val="00FF6204"/>
    <w:rsid w:val="00FF634D"/>
    <w:rsid w:val="39ED744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EF19D92"/>
  <w15:docId w15:val="{AFECD0C1-9AA1-469C-BD84-FB0EE906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2A31"/>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xmsonormal" w:customStyle="1">
    <w:name w:val="x_msonormal"/>
    <w:basedOn w:val="Normal"/>
    <w:rsid w:val="00DB69D1"/>
    <w:pPr>
      <w:spacing w:before="100" w:beforeAutospacing="1" w:after="100" w:afterAutospacing="1"/>
    </w:pPr>
    <w:rPr>
      <w:sz w:val="24"/>
      <w:szCs w:val="24"/>
      <w:lang w:eastAsia="es-MX"/>
    </w:rPr>
  </w:style>
  <w:style w:type="character" w:styleId="Ttulo2Car" w:customStyle="1">
    <w:name w:val="Título 2 Car"/>
    <w:basedOn w:val="Fuentedeprrafopredeter"/>
    <w:link w:val="Ttulo2"/>
    <w:uiPriority w:val="9"/>
    <w:semiHidden/>
    <w:rsid w:val="00515FAC"/>
    <w:rPr>
      <w:rFonts w:asciiTheme="majorHAnsi" w:hAnsiTheme="majorHAnsi" w:eastAsiaTheme="majorEastAsia" w:cstheme="majorBidi"/>
      <w:color w:val="2F5496"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2428294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9892651">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27917331">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956117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ipomex.org.mx/ipo3/lgt/indice/IXTAPANDELASAL/art_92_xiv_b/2.web"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glossaryDocument" Target="/word/glossary/document.xml" Id="R93de64a195d3446d"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90ecd31-ad14-4e74-865c-8fafa67bbf28}"/>
      </w:docPartPr>
      <w:docPartBody>
        <w:p w14:paraId="20F1A3FE">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10919-2DBB-044E-95D3-43A45385FFD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Ivette Razo De La Paz</dc:creator>
  <keywords/>
  <dc:description/>
  <lastModifiedBy>JAEL RUBIO SANCHEZ</lastModifiedBy>
  <revision>5</revision>
  <lastPrinted>2019-11-07T17:48:00.0000000Z</lastPrinted>
  <dcterms:created xsi:type="dcterms:W3CDTF">2021-04-16T23:00:00.0000000Z</dcterms:created>
  <dcterms:modified xsi:type="dcterms:W3CDTF">2021-05-06T17:21:37.7323191Z</dcterms:modified>
</coreProperties>
</file>