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E7E043" w14:textId="77777777" w:rsidR="008A1FAE" w:rsidRDefault="002E5396" w:rsidP="002E5396">
      <w:pPr>
        <w:spacing w:before="240" w:after="240" w:line="360" w:lineRule="auto"/>
        <w:jc w:val="both"/>
        <w:rPr>
          <w:rFonts w:ascii="Palatino Linotype" w:hAnsi="Palatino Linotype" w:cs="Arial"/>
        </w:rPr>
      </w:pPr>
      <w:r w:rsidRPr="00080788">
        <w:rPr>
          <w:rFonts w:ascii="Palatino Linotype" w:hAnsi="Palatino Linotype"/>
        </w:rPr>
        <w:t xml:space="preserve">Resolución del Pleno del Instituto de Transparencia, Acceso a la Información Pública y Protección de Datos Personales del Estado de México y Municipios, </w:t>
      </w:r>
      <w:r w:rsidRPr="00080788">
        <w:rPr>
          <w:rFonts w:ascii="Palatino Linotype" w:eastAsia="Calibri" w:hAnsi="Palatino Linotype" w:cs="Arial"/>
        </w:rPr>
        <w:t>con domicilio en Metepec, Estado de México,</w:t>
      </w:r>
      <w:r w:rsidRPr="00080788">
        <w:rPr>
          <w:rFonts w:ascii="Palatino Linotype" w:hAnsi="Palatino Linotype"/>
        </w:rPr>
        <w:t xml:space="preserve"> de fecha</w:t>
      </w:r>
      <w:r w:rsidRPr="00080788">
        <w:rPr>
          <w:rStyle w:val="apple-converted-space"/>
          <w:rFonts w:ascii="Palatino Linotype" w:hAnsi="Palatino Linotype" w:cs="Arial"/>
        </w:rPr>
        <w:t xml:space="preserve"> </w:t>
      </w:r>
      <w:r w:rsidR="00167463">
        <w:rPr>
          <w:rStyle w:val="apple-converted-space"/>
          <w:rFonts w:ascii="Palatino Linotype" w:hAnsi="Palatino Linotype" w:cs="Arial"/>
        </w:rPr>
        <w:t>veintitrés</w:t>
      </w:r>
      <w:r w:rsidR="00CC2B1D">
        <w:rPr>
          <w:rStyle w:val="apple-converted-space"/>
          <w:rFonts w:ascii="Palatino Linotype" w:hAnsi="Palatino Linotype" w:cs="Arial"/>
        </w:rPr>
        <w:t xml:space="preserve"> de septiembre</w:t>
      </w:r>
      <w:r w:rsidR="00FC37F3">
        <w:rPr>
          <w:rStyle w:val="normaltextrun"/>
          <w:rFonts w:ascii="Palatino Linotype" w:hAnsi="Palatino Linotype" w:cs="Arial"/>
        </w:rPr>
        <w:t xml:space="preserve"> de</w:t>
      </w:r>
      <w:r w:rsidR="009D67A9">
        <w:rPr>
          <w:rStyle w:val="normaltextrun"/>
          <w:rFonts w:ascii="Palatino Linotype" w:hAnsi="Palatino Linotype" w:cs="Arial"/>
        </w:rPr>
        <w:t>l dos mil veintiuno</w:t>
      </w:r>
      <w:r w:rsidRPr="00D84317">
        <w:rPr>
          <w:rStyle w:val="normaltextrun"/>
          <w:rFonts w:ascii="Palatino Linotype" w:hAnsi="Palatino Linotype" w:cs="Arial"/>
        </w:rPr>
        <w:t>.</w:t>
      </w:r>
    </w:p>
    <w:p w14:paraId="1593E273" w14:textId="06C850CB" w:rsidR="002E5396"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t>Visto</w:t>
      </w:r>
      <w:r w:rsidR="00607616">
        <w:rPr>
          <w:rFonts w:ascii="Palatino Linotype" w:hAnsi="Palatino Linotype" w:cs="Arial"/>
        </w:rPr>
        <w:t xml:space="preserve"> el</w:t>
      </w:r>
      <w:r w:rsidRPr="00080788">
        <w:rPr>
          <w:rFonts w:ascii="Palatino Linotype" w:hAnsi="Palatino Linotype" w:cs="Arial"/>
        </w:rPr>
        <w:t xml:space="preserve"> expediente relativo</w:t>
      </w:r>
      <w:r w:rsidR="00607616">
        <w:rPr>
          <w:rFonts w:ascii="Palatino Linotype" w:hAnsi="Palatino Linotype" w:cs="Arial"/>
        </w:rPr>
        <w:t xml:space="preserve"> al</w:t>
      </w:r>
      <w:r w:rsidRPr="00080788">
        <w:rPr>
          <w:rFonts w:ascii="Palatino Linotype" w:hAnsi="Palatino Linotype" w:cs="Arial"/>
        </w:rPr>
        <w:t xml:space="preserve"> recurso de revisión </w:t>
      </w:r>
      <w:r w:rsidR="00E810A7" w:rsidRPr="00A623B0">
        <w:rPr>
          <w:rFonts w:ascii="Palatino Linotype" w:hAnsi="Palatino Linotype" w:cs="Arial"/>
          <w:b/>
          <w:bCs/>
        </w:rPr>
        <w:t>0</w:t>
      </w:r>
      <w:r w:rsidR="00A623B0" w:rsidRPr="00A623B0">
        <w:rPr>
          <w:rFonts w:ascii="Palatino Linotype" w:hAnsi="Palatino Linotype" w:cs="Arial"/>
          <w:b/>
          <w:bCs/>
        </w:rPr>
        <w:t>1119</w:t>
      </w:r>
      <w:r w:rsidR="00523162" w:rsidRPr="00A623B0">
        <w:rPr>
          <w:rFonts w:ascii="Palatino Linotype" w:hAnsi="Palatino Linotype" w:cs="Arial"/>
          <w:b/>
          <w:bCs/>
        </w:rPr>
        <w:t>/</w:t>
      </w:r>
      <w:r w:rsidR="009D67A9" w:rsidRPr="00A623B0">
        <w:rPr>
          <w:rFonts w:ascii="Palatino Linotype" w:hAnsi="Palatino Linotype" w:cs="Arial"/>
          <w:b/>
          <w:bCs/>
        </w:rPr>
        <w:t>INFOEM/IP/RR/2021</w:t>
      </w:r>
      <w:r w:rsidRPr="00080788">
        <w:rPr>
          <w:rFonts w:ascii="Palatino Linotype" w:hAnsi="Palatino Linotype" w:cs="Arial"/>
        </w:rPr>
        <w:t>, interpuesto por</w:t>
      </w:r>
      <w:r w:rsidR="00CC2B1D">
        <w:rPr>
          <w:rFonts w:ascii="Palatino Linotype" w:hAnsi="Palatino Linotype" w:cs="Arial"/>
          <w:b/>
        </w:rPr>
        <w:t xml:space="preserve"> </w:t>
      </w:r>
      <w:proofErr w:type="spellStart"/>
      <w:r w:rsidR="00925CAF" w:rsidRPr="00925CAF">
        <w:rPr>
          <w:rFonts w:ascii="Palatino Linotype" w:hAnsi="Palatino Linotype" w:cs="Arial"/>
          <w:b/>
          <w:lang w:val="es-ES_tradnl"/>
        </w:rPr>
        <w:t>Xxxxxx</w:t>
      </w:r>
      <w:proofErr w:type="spellEnd"/>
      <w:r w:rsidR="00925CAF" w:rsidRPr="00925CAF">
        <w:rPr>
          <w:rFonts w:ascii="Palatino Linotype" w:hAnsi="Palatino Linotype" w:cs="Arial"/>
          <w:b/>
          <w:lang w:val="es-ES_tradnl"/>
        </w:rPr>
        <w:t xml:space="preserve"> </w:t>
      </w:r>
      <w:proofErr w:type="spellStart"/>
      <w:r w:rsidR="00925CAF" w:rsidRPr="00925CAF">
        <w:rPr>
          <w:rFonts w:ascii="Palatino Linotype" w:hAnsi="Palatino Linotype" w:cs="Arial"/>
          <w:b/>
          <w:lang w:val="es-ES_tradnl"/>
        </w:rPr>
        <w:t>Xxxxxx</w:t>
      </w:r>
      <w:proofErr w:type="spellEnd"/>
      <w:r w:rsidR="00116785" w:rsidRPr="00A623B0">
        <w:rPr>
          <w:rFonts w:ascii="Palatino Linotype" w:hAnsi="Palatino Linotype" w:cs="Arial"/>
        </w:rPr>
        <w:t>,</w:t>
      </w:r>
      <w:r w:rsidR="00116785">
        <w:rPr>
          <w:rFonts w:ascii="Palatino Linotype" w:hAnsi="Palatino Linotype" w:cs="Arial"/>
        </w:rPr>
        <w:t xml:space="preserve"> en lo sucesivo el</w:t>
      </w:r>
      <w:r w:rsidRPr="00080788">
        <w:rPr>
          <w:rFonts w:ascii="Palatino Linotype" w:hAnsi="Palatino Linotype" w:cs="Arial"/>
        </w:rPr>
        <w:t xml:space="preserve"> </w:t>
      </w:r>
      <w:r w:rsidRPr="00080788">
        <w:rPr>
          <w:rFonts w:ascii="Palatino Linotype" w:hAnsi="Palatino Linotype" w:cs="Arial"/>
          <w:b/>
        </w:rPr>
        <w:t>recurrente</w:t>
      </w:r>
      <w:r w:rsidRPr="00080788">
        <w:rPr>
          <w:rFonts w:ascii="Palatino Linotype" w:hAnsi="Palatino Linotype" w:cs="Arial"/>
        </w:rPr>
        <w:t xml:space="preserve"> en contra de la respuesta a su sol</w:t>
      </w:r>
      <w:r w:rsidR="00AC7486">
        <w:rPr>
          <w:rFonts w:ascii="Palatino Linotype" w:hAnsi="Palatino Linotype" w:cs="Arial"/>
        </w:rPr>
        <w:t>icitud de información con número</w:t>
      </w:r>
      <w:r w:rsidR="00523162">
        <w:rPr>
          <w:rFonts w:ascii="Palatino Linotype" w:hAnsi="Palatino Linotype" w:cs="Arial"/>
        </w:rPr>
        <w:t xml:space="preserve"> de folio </w:t>
      </w:r>
      <w:r w:rsidR="00A623B0">
        <w:rPr>
          <w:rFonts w:ascii="Palatino Linotype" w:hAnsi="Palatino Linotype" w:cs="Arial"/>
          <w:b/>
          <w:bCs/>
        </w:rPr>
        <w:t>00014/AYAPANGO/IP/2021</w:t>
      </w:r>
      <w:r w:rsidR="00116785" w:rsidRPr="00FC37F3">
        <w:rPr>
          <w:rFonts w:ascii="Palatino Linotype" w:hAnsi="Palatino Linotype" w:cs="Arial"/>
          <w:b/>
        </w:rPr>
        <w:t xml:space="preserve">, </w:t>
      </w:r>
      <w:r w:rsidR="00116785" w:rsidRPr="00743FDB">
        <w:rPr>
          <w:rFonts w:ascii="Palatino Linotype" w:hAnsi="Palatino Linotype" w:cs="Arial"/>
        </w:rPr>
        <w:t xml:space="preserve">por </w:t>
      </w:r>
      <w:r w:rsidR="00116785">
        <w:rPr>
          <w:rFonts w:ascii="Palatino Linotype" w:hAnsi="Palatino Linotype" w:cs="Arial"/>
        </w:rPr>
        <w:t>parte del</w:t>
      </w:r>
      <w:r w:rsidR="003B19DA">
        <w:rPr>
          <w:rFonts w:ascii="Palatino Linotype" w:hAnsi="Palatino Linotype" w:cs="Arial"/>
        </w:rPr>
        <w:t xml:space="preserve"> </w:t>
      </w:r>
      <w:r w:rsidR="009D67A9" w:rsidRPr="00A623B0">
        <w:rPr>
          <w:rFonts w:ascii="Palatino Linotype" w:hAnsi="Palatino Linotype" w:cs="Arial"/>
          <w:b/>
        </w:rPr>
        <w:t xml:space="preserve">Ayuntamiento de </w:t>
      </w:r>
      <w:r w:rsidR="00A623B0" w:rsidRPr="00A623B0">
        <w:rPr>
          <w:rFonts w:ascii="Palatino Linotype" w:hAnsi="Palatino Linotype" w:cs="Arial"/>
          <w:b/>
        </w:rPr>
        <w:t>Ayapango</w:t>
      </w:r>
      <w:r w:rsidRPr="00A623B0">
        <w:rPr>
          <w:rFonts w:ascii="Palatino Linotype" w:hAnsi="Palatino Linotype" w:cs="Arial"/>
          <w:b/>
        </w:rPr>
        <w:t>,</w:t>
      </w:r>
      <w:r w:rsidRPr="00FC37F3">
        <w:rPr>
          <w:rFonts w:ascii="Palatino Linotype" w:hAnsi="Palatino Linotype" w:cs="Arial"/>
          <w:b/>
        </w:rPr>
        <w:t xml:space="preserve"> </w:t>
      </w:r>
      <w:r w:rsidRPr="009D67A9">
        <w:rPr>
          <w:rFonts w:ascii="Palatino Linotype" w:hAnsi="Palatino Linotype" w:cs="Arial"/>
        </w:rPr>
        <w:t>en lo sucesivo</w:t>
      </w:r>
      <w:r w:rsidRPr="00080788">
        <w:rPr>
          <w:rFonts w:ascii="Palatino Linotype" w:hAnsi="Palatino Linotype" w:cs="Arial"/>
        </w:rPr>
        <w:t xml:space="preserve"> el </w:t>
      </w:r>
      <w:r w:rsidRPr="00080788">
        <w:rPr>
          <w:rFonts w:ascii="Palatino Linotype" w:hAnsi="Palatino Linotype" w:cs="Arial"/>
          <w:b/>
        </w:rPr>
        <w:t xml:space="preserve">Sujeto Obligado; </w:t>
      </w:r>
      <w:r w:rsidRPr="00080788">
        <w:rPr>
          <w:rFonts w:ascii="Palatino Linotype" w:hAnsi="Palatino Linotype" w:cs="Arial"/>
        </w:rPr>
        <w:t>se procede a dictar la pres</w:t>
      </w:r>
      <w:r w:rsidR="008C01E0">
        <w:rPr>
          <w:rFonts w:ascii="Palatino Linotype" w:hAnsi="Palatino Linotype" w:cs="Arial"/>
        </w:rPr>
        <w:t>ente resolución, con base en los</w:t>
      </w:r>
      <w:r w:rsidRPr="00080788">
        <w:rPr>
          <w:rFonts w:ascii="Palatino Linotype" w:hAnsi="Palatino Linotype" w:cs="Arial"/>
        </w:rPr>
        <w:t xml:space="preserve"> siguientes:</w:t>
      </w:r>
    </w:p>
    <w:p w14:paraId="0CBC7E1A" w14:textId="77777777" w:rsidR="008A1FAE" w:rsidRPr="00080788" w:rsidRDefault="008A1FAE" w:rsidP="002E5396">
      <w:pPr>
        <w:spacing w:before="240" w:after="240" w:line="360" w:lineRule="auto"/>
        <w:jc w:val="both"/>
        <w:rPr>
          <w:rFonts w:ascii="Palatino Linotype" w:hAnsi="Palatino Linotype" w:cs="Arial"/>
        </w:rPr>
      </w:pPr>
    </w:p>
    <w:p w14:paraId="65631D1B" w14:textId="77777777" w:rsidR="002E5396" w:rsidRPr="00080788" w:rsidRDefault="002E5396" w:rsidP="002E5396">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080788">
        <w:rPr>
          <w:rFonts w:ascii="Palatino Linotype" w:hAnsi="Palatino Linotype" w:cs="Arial"/>
          <w:b/>
          <w:sz w:val="24"/>
          <w:szCs w:val="24"/>
        </w:rPr>
        <w:t>A N T E C E D E N T E S:</w:t>
      </w:r>
    </w:p>
    <w:p w14:paraId="26609204" w14:textId="10B1B679" w:rsidR="002E5396" w:rsidRDefault="002E5396" w:rsidP="00C94BA8">
      <w:pPr>
        <w:spacing w:before="240" w:after="240" w:line="360" w:lineRule="auto"/>
        <w:jc w:val="both"/>
        <w:rPr>
          <w:rFonts w:ascii="Palatino Linotype" w:hAnsi="Palatino Linotype" w:cs="Arial"/>
        </w:rPr>
      </w:pPr>
      <w:r w:rsidRPr="00080788">
        <w:rPr>
          <w:rFonts w:ascii="Palatino Linotype" w:hAnsi="Palatino Linotype" w:cs="Arial"/>
          <w:b/>
        </w:rPr>
        <w:t xml:space="preserve">1. Solicitud de acceso a la información. </w:t>
      </w:r>
      <w:r w:rsidR="00E810A7">
        <w:rPr>
          <w:rFonts w:ascii="Palatino Linotype" w:hAnsi="Palatino Linotype" w:cs="Arial"/>
        </w:rPr>
        <w:t xml:space="preserve">Con fecha </w:t>
      </w:r>
      <w:r w:rsidR="00426FC6">
        <w:rPr>
          <w:rFonts w:ascii="Palatino Linotype" w:hAnsi="Palatino Linotype" w:cs="Arial"/>
        </w:rPr>
        <w:t xml:space="preserve">veintidós de febrero </w:t>
      </w:r>
      <w:r w:rsidR="00971EFF">
        <w:rPr>
          <w:rFonts w:ascii="Palatino Linotype" w:hAnsi="Palatino Linotype" w:cs="Arial"/>
        </w:rPr>
        <w:t>del dos mil veintiuno</w:t>
      </w:r>
      <w:r w:rsidRPr="00080788">
        <w:rPr>
          <w:rFonts w:ascii="Palatino Linotype" w:hAnsi="Palatino Linotype" w:cs="Arial"/>
        </w:rPr>
        <w:t xml:space="preserve">, la parte </w:t>
      </w:r>
      <w:r w:rsidRPr="00080788">
        <w:rPr>
          <w:rFonts w:ascii="Palatino Linotype" w:hAnsi="Palatino Linotype" w:cs="Arial"/>
          <w:b/>
        </w:rPr>
        <w:t>recurrente</w:t>
      </w:r>
      <w:r w:rsidRPr="00080788">
        <w:rPr>
          <w:rFonts w:ascii="Palatino Linotype" w:hAnsi="Palatino Linotype" w:cs="Arial"/>
        </w:rPr>
        <w:t xml:space="preserve"> formuló solicitud de acceso a información pública al </w:t>
      </w:r>
      <w:r w:rsidRPr="00080788">
        <w:rPr>
          <w:rFonts w:ascii="Palatino Linotype" w:hAnsi="Palatino Linotype" w:cs="Arial"/>
          <w:b/>
        </w:rPr>
        <w:t>Sujeto Obligado</w:t>
      </w:r>
      <w:r w:rsidRPr="00080788">
        <w:rPr>
          <w:rFonts w:ascii="Palatino Linotype" w:hAnsi="Palatino Linotype" w:cs="Arial"/>
        </w:rPr>
        <w:t xml:space="preserve"> a través del Sistema de Acceso a la Información Mexiquense, en adelante </w:t>
      </w:r>
      <w:r w:rsidRPr="00080788">
        <w:rPr>
          <w:rFonts w:ascii="Palatino Linotype" w:hAnsi="Palatino Linotype" w:cs="Arial"/>
          <w:b/>
        </w:rPr>
        <w:t>SAIMEX,</w:t>
      </w:r>
      <w:r w:rsidRPr="00080788">
        <w:rPr>
          <w:rFonts w:ascii="Palatino Linotype" w:hAnsi="Palatino Linotype" w:cs="Arial"/>
        </w:rPr>
        <w:t xml:space="preserve"> requiriéndole lo siguiente:</w:t>
      </w:r>
    </w:p>
    <w:p w14:paraId="618F1CC0" w14:textId="1FFC4CB7" w:rsidR="00B61B57" w:rsidRPr="00C94BA8" w:rsidRDefault="00AA47E4" w:rsidP="00C94BA8">
      <w:pPr>
        <w:ind w:left="851" w:right="758"/>
        <w:jc w:val="both"/>
        <w:rPr>
          <w:rFonts w:ascii="Palatino Linotype" w:eastAsia="Palatino Linotype" w:hAnsi="Palatino Linotype" w:cs="Palatino Linotype"/>
          <w:i/>
          <w:sz w:val="22"/>
          <w:szCs w:val="22"/>
        </w:rPr>
      </w:pPr>
      <w:r w:rsidRPr="00426FC6">
        <w:rPr>
          <w:rFonts w:ascii="Palatino Linotype" w:eastAsia="Palatino Linotype" w:hAnsi="Palatino Linotype" w:cs="Palatino Linotype"/>
          <w:i/>
          <w:sz w:val="22"/>
          <w:szCs w:val="22"/>
        </w:rPr>
        <w:t>“</w:t>
      </w:r>
      <w:r w:rsidR="00426FC6" w:rsidRPr="00426FC6">
        <w:rPr>
          <w:rFonts w:ascii="Palatino Linotype" w:eastAsia="Palatino Linotype" w:hAnsi="Palatino Linotype" w:cs="Palatino Linotype"/>
          <w:i/>
          <w:sz w:val="22"/>
          <w:szCs w:val="22"/>
        </w:rPr>
        <w:t>Se solicitan los expedientes de adquisiciones por excepción a la Licitación Pública que se hayan realizado durante el ejercicio 2020.</w:t>
      </w:r>
      <w:r w:rsidRPr="00426FC6">
        <w:rPr>
          <w:rFonts w:ascii="Palatino Linotype" w:eastAsia="Palatino Linotype" w:hAnsi="Palatino Linotype" w:cs="Palatino Linotype"/>
          <w:i/>
          <w:sz w:val="22"/>
          <w:szCs w:val="22"/>
        </w:rPr>
        <w:t>” (Sic)</w:t>
      </w:r>
    </w:p>
    <w:p w14:paraId="46E9379A" w14:textId="77777777" w:rsidR="00E810A7" w:rsidRPr="00180D39" w:rsidRDefault="00AA47E4" w:rsidP="00E810A7">
      <w:pPr>
        <w:spacing w:before="240" w:after="240" w:line="360" w:lineRule="auto"/>
        <w:jc w:val="both"/>
        <w:rPr>
          <w:rFonts w:ascii="Palatino Linotype" w:hAnsi="Palatino Linotype" w:cs="Arial"/>
        </w:rPr>
      </w:pPr>
      <w:r w:rsidRPr="00080788">
        <w:rPr>
          <w:rFonts w:ascii="Palatino Linotype" w:hAnsi="Palatino Linotype" w:cs="Arial"/>
          <w:b/>
        </w:rPr>
        <w:t xml:space="preserve">Modalidad elegida para la entrega de la información: </w:t>
      </w:r>
      <w:r w:rsidRPr="00080788">
        <w:rPr>
          <w:rFonts w:ascii="Palatino Linotype" w:hAnsi="Palatino Linotype" w:cs="Arial"/>
        </w:rPr>
        <w:t xml:space="preserve">a través del </w:t>
      </w:r>
      <w:r w:rsidRPr="00080788">
        <w:rPr>
          <w:rFonts w:ascii="Palatino Linotype" w:hAnsi="Palatino Linotype" w:cs="Arial"/>
          <w:b/>
        </w:rPr>
        <w:t>SAIMEX</w:t>
      </w:r>
      <w:r w:rsidRPr="00080788">
        <w:rPr>
          <w:rFonts w:ascii="Palatino Linotype" w:hAnsi="Palatino Linotype" w:cs="Arial"/>
        </w:rPr>
        <w:t>.</w:t>
      </w:r>
    </w:p>
    <w:p w14:paraId="3B48591A" w14:textId="77777777" w:rsidR="00B61B57" w:rsidRDefault="00B61B57" w:rsidP="00B61B57">
      <w:pPr>
        <w:spacing w:before="240" w:after="240"/>
        <w:contextualSpacing/>
        <w:jc w:val="both"/>
        <w:rPr>
          <w:rFonts w:ascii="Palatino Linotype" w:hAnsi="Palatino Linotype" w:cs="Arial"/>
          <w:b/>
        </w:rPr>
      </w:pPr>
    </w:p>
    <w:p w14:paraId="7C06F48B" w14:textId="24B6EA32" w:rsidR="00AA47E4" w:rsidRDefault="00180D39" w:rsidP="00B61B57">
      <w:pPr>
        <w:spacing w:before="240" w:after="240"/>
        <w:contextualSpacing/>
        <w:jc w:val="both"/>
        <w:rPr>
          <w:rFonts w:ascii="Palatino Linotype" w:hAnsi="Palatino Linotype" w:cs="Arial"/>
        </w:rPr>
      </w:pPr>
      <w:r>
        <w:rPr>
          <w:rFonts w:ascii="Palatino Linotype" w:hAnsi="Palatino Linotype" w:cs="Arial"/>
          <w:b/>
        </w:rPr>
        <w:t>2</w:t>
      </w:r>
      <w:r w:rsidR="00E810A7">
        <w:rPr>
          <w:rFonts w:ascii="Palatino Linotype" w:hAnsi="Palatino Linotype" w:cs="Arial"/>
          <w:b/>
        </w:rPr>
        <w:t xml:space="preserve">. </w:t>
      </w:r>
      <w:r w:rsidR="00AA47E4" w:rsidRPr="00AA3766">
        <w:rPr>
          <w:rFonts w:ascii="Palatino Linotype" w:hAnsi="Palatino Linotype" w:cs="Arial"/>
          <w:b/>
        </w:rPr>
        <w:t>Respuesta</w:t>
      </w:r>
      <w:r w:rsidR="00C9306F">
        <w:rPr>
          <w:rFonts w:ascii="Palatino Linotype" w:hAnsi="Palatino Linotype" w:cs="Arial"/>
          <w:b/>
        </w:rPr>
        <w:t xml:space="preserve"> del Sujeto Obligado</w:t>
      </w:r>
      <w:r w:rsidR="00AA47E4" w:rsidRPr="00AA3766">
        <w:rPr>
          <w:rFonts w:ascii="Palatino Linotype" w:hAnsi="Palatino Linotype" w:cs="Arial"/>
          <w:b/>
        </w:rPr>
        <w:t xml:space="preserve">. </w:t>
      </w:r>
      <w:r w:rsidR="00AA47E4" w:rsidRPr="00AA3766">
        <w:rPr>
          <w:rFonts w:ascii="Palatino Linotype" w:hAnsi="Palatino Linotype" w:cs="Arial"/>
        </w:rPr>
        <w:t xml:space="preserve">Con </w:t>
      </w:r>
      <w:r w:rsidR="00E810A7">
        <w:rPr>
          <w:rFonts w:ascii="Palatino Linotype" w:hAnsi="Palatino Linotype" w:cs="Arial"/>
        </w:rPr>
        <w:t xml:space="preserve">fecha </w:t>
      </w:r>
      <w:r w:rsidR="00426FC6" w:rsidRPr="00426FC6">
        <w:rPr>
          <w:rFonts w:ascii="Palatino Linotype" w:hAnsi="Palatino Linotype" w:cs="Arial"/>
        </w:rPr>
        <w:t xml:space="preserve">tres de marzo </w:t>
      </w:r>
      <w:r w:rsidR="00FF6012" w:rsidRPr="00426FC6">
        <w:rPr>
          <w:rFonts w:ascii="Palatino Linotype" w:hAnsi="Palatino Linotype" w:cs="Arial"/>
        </w:rPr>
        <w:t>de</w:t>
      </w:r>
      <w:r w:rsidR="00AF6A2E" w:rsidRPr="00426FC6">
        <w:rPr>
          <w:rFonts w:ascii="Palatino Linotype" w:hAnsi="Palatino Linotype" w:cs="Arial"/>
        </w:rPr>
        <w:t>l dos mil</w:t>
      </w:r>
      <w:r w:rsidR="00971EFF">
        <w:rPr>
          <w:rFonts w:ascii="Palatino Linotype" w:hAnsi="Palatino Linotype" w:cs="Arial"/>
        </w:rPr>
        <w:t xml:space="preserve"> </w:t>
      </w:r>
      <w:r w:rsidR="00AF6A2E" w:rsidRPr="00426FC6">
        <w:rPr>
          <w:rFonts w:ascii="Palatino Linotype" w:hAnsi="Palatino Linotype" w:cs="Arial"/>
        </w:rPr>
        <w:t>veintiuno</w:t>
      </w:r>
      <w:r w:rsidR="00AA47E4" w:rsidRPr="00080788">
        <w:rPr>
          <w:rFonts w:ascii="Palatino Linotype" w:hAnsi="Palatino Linotype" w:cs="Arial"/>
        </w:rPr>
        <w:t xml:space="preserve"> el </w:t>
      </w:r>
      <w:r w:rsidR="00AA47E4" w:rsidRPr="00080788">
        <w:rPr>
          <w:rFonts w:ascii="Palatino Linotype" w:hAnsi="Palatino Linotype" w:cs="Arial"/>
          <w:b/>
        </w:rPr>
        <w:t>Sujeto Obligado</w:t>
      </w:r>
      <w:r w:rsidR="00AA47E4" w:rsidRPr="00080788">
        <w:rPr>
          <w:rFonts w:ascii="Palatino Linotype" w:hAnsi="Palatino Linotype" w:cs="Arial"/>
        </w:rPr>
        <w:t xml:space="preserve"> envió su respuesta</w:t>
      </w:r>
      <w:r w:rsidR="00607616">
        <w:rPr>
          <w:rFonts w:ascii="Palatino Linotype" w:hAnsi="Palatino Linotype" w:cs="Arial"/>
        </w:rPr>
        <w:t xml:space="preserve"> a la solicitud</w:t>
      </w:r>
      <w:r w:rsidR="00AA47E4" w:rsidRPr="00080788">
        <w:rPr>
          <w:rFonts w:ascii="Palatino Linotype" w:hAnsi="Palatino Linotype" w:cs="Arial"/>
        </w:rPr>
        <w:t xml:space="preserve"> de acceso a la información a través del SAIMEX, la cual versa como sigue:</w:t>
      </w:r>
    </w:p>
    <w:p w14:paraId="33CC82F9" w14:textId="77777777" w:rsidR="00B61B57" w:rsidRDefault="00B61B57" w:rsidP="00B61B57">
      <w:pPr>
        <w:spacing w:before="240" w:after="240"/>
        <w:contextualSpacing/>
        <w:jc w:val="both"/>
        <w:rPr>
          <w:rFonts w:ascii="Palatino Linotype" w:hAnsi="Palatino Linotype" w:cs="Arial"/>
        </w:rPr>
      </w:pPr>
    </w:p>
    <w:p w14:paraId="47C949B2" w14:textId="77777777" w:rsidR="00B61B57" w:rsidRDefault="00B61B57" w:rsidP="00B61B57">
      <w:pPr>
        <w:spacing w:before="240" w:after="240"/>
        <w:contextualSpacing/>
        <w:jc w:val="both"/>
        <w:rPr>
          <w:rFonts w:ascii="Palatino Linotype" w:hAnsi="Palatino Linotype" w:cs="Arial"/>
        </w:rPr>
      </w:pPr>
      <w:bookmarkStart w:id="0" w:name="_GoBack"/>
      <w:bookmarkEnd w:id="0"/>
    </w:p>
    <w:p w14:paraId="24548915" w14:textId="7B78467A" w:rsidR="00D44A9D" w:rsidRPr="003F1CDE" w:rsidRDefault="00D44A9D" w:rsidP="00AA47E4">
      <w:pPr>
        <w:spacing w:before="240" w:after="240" w:line="360" w:lineRule="auto"/>
        <w:contextualSpacing/>
        <w:jc w:val="both"/>
        <w:rPr>
          <w:rFonts w:ascii="Palatino Linotype" w:eastAsia="Palatino Linotype" w:hAnsi="Palatino Linotype" w:cs="Palatino Linotype"/>
          <w:i/>
          <w:sz w:val="22"/>
          <w:szCs w:val="22"/>
        </w:rPr>
      </w:pPr>
      <w:r>
        <w:rPr>
          <w:rFonts w:ascii="Palatino Linotype" w:hAnsi="Palatino Linotype" w:cs="Arial"/>
        </w:rPr>
        <w:t>Oficio AYPG/TM/000875/2021.</w:t>
      </w:r>
    </w:p>
    <w:p w14:paraId="279690F1" w14:textId="1BBD105B" w:rsidR="00914FCD" w:rsidRDefault="00C9306F" w:rsidP="00625FDF">
      <w:pPr>
        <w:spacing w:before="240" w:after="240"/>
        <w:ind w:left="851" w:right="902"/>
        <w:contextualSpacing/>
        <w:jc w:val="both"/>
        <w:rPr>
          <w:rFonts w:ascii="Palatino Linotype" w:hAnsi="Palatino Linotype"/>
          <w:i/>
          <w:color w:val="000000"/>
        </w:rPr>
      </w:pPr>
      <w:r>
        <w:rPr>
          <w:rFonts w:ascii="Palatino Linotype" w:hAnsi="Palatino Linotype"/>
          <w:i/>
          <w:color w:val="000000"/>
        </w:rPr>
        <w:t xml:space="preserve">La que suscribe Lic. En C. Norma del Rosario Villegas, Directora de Finanzas y Tesorería, se dirige de la manera </w:t>
      </w:r>
      <w:r w:rsidR="00914FCD">
        <w:rPr>
          <w:rFonts w:ascii="Palatino Linotype" w:hAnsi="Palatino Linotype"/>
          <w:i/>
          <w:color w:val="000000"/>
        </w:rPr>
        <w:t>más</w:t>
      </w:r>
      <w:r>
        <w:rPr>
          <w:rFonts w:ascii="Palatino Linotype" w:hAnsi="Palatino Linotype"/>
          <w:i/>
          <w:color w:val="000000"/>
        </w:rPr>
        <w:t xml:space="preserve"> atenta, en contestación al oficio con referencia </w:t>
      </w:r>
      <w:r>
        <w:rPr>
          <w:rFonts w:ascii="Palatino Linotype" w:hAnsi="Palatino Linotype"/>
          <w:b/>
          <w:i/>
          <w:color w:val="000000"/>
        </w:rPr>
        <w:t>AYPG/UIP/000236-2021</w:t>
      </w:r>
      <w:r>
        <w:rPr>
          <w:rFonts w:ascii="Palatino Linotype" w:hAnsi="Palatino Linotype"/>
          <w:i/>
          <w:color w:val="000000"/>
        </w:rPr>
        <w:t xml:space="preserve">, bajo la solicitud del portal de SAIMEX </w:t>
      </w:r>
      <w:r>
        <w:rPr>
          <w:rFonts w:ascii="Palatino Linotype" w:hAnsi="Palatino Linotype"/>
          <w:b/>
          <w:i/>
          <w:color w:val="000000"/>
        </w:rPr>
        <w:t xml:space="preserve">000014/AYAPANGO/IP/2021, </w:t>
      </w:r>
      <w:r>
        <w:rPr>
          <w:rFonts w:ascii="Palatino Linotype" w:hAnsi="Palatino Linotype"/>
          <w:i/>
          <w:color w:val="000000"/>
        </w:rPr>
        <w:t xml:space="preserve">mediante el cual solicita “los expedientes de </w:t>
      </w:r>
      <w:r w:rsidR="00914FCD">
        <w:rPr>
          <w:rFonts w:ascii="Palatino Linotype" w:hAnsi="Palatino Linotype"/>
          <w:i/>
          <w:color w:val="000000"/>
        </w:rPr>
        <w:t>adquisiciones</w:t>
      </w:r>
      <w:r>
        <w:rPr>
          <w:rFonts w:ascii="Palatino Linotype" w:hAnsi="Palatino Linotype"/>
          <w:i/>
          <w:color w:val="000000"/>
        </w:rPr>
        <w:t xml:space="preserve"> por excepción a la Licitación Pública que se haya realizado durante el ejercicio 2020</w:t>
      </w:r>
      <w:r w:rsidR="00AA47E4" w:rsidRPr="00625FDF">
        <w:rPr>
          <w:rFonts w:ascii="Palatino Linotype" w:hAnsi="Palatino Linotype"/>
          <w:i/>
          <w:color w:val="000000"/>
        </w:rPr>
        <w:t>“</w:t>
      </w:r>
      <w:r w:rsidR="00914FCD">
        <w:rPr>
          <w:rFonts w:ascii="Palatino Linotype" w:hAnsi="Palatino Linotype"/>
          <w:i/>
          <w:color w:val="000000"/>
        </w:rPr>
        <w:t>.</w:t>
      </w:r>
    </w:p>
    <w:p w14:paraId="31E08463" w14:textId="56432FB6" w:rsidR="00E810A7" w:rsidRPr="00625FDF" w:rsidRDefault="00625FDF" w:rsidP="00625FDF">
      <w:pPr>
        <w:spacing w:before="240" w:after="240"/>
        <w:ind w:left="851" w:right="902"/>
        <w:contextualSpacing/>
        <w:jc w:val="both"/>
        <w:rPr>
          <w:rFonts w:ascii="Palatino Linotype" w:hAnsi="Palatino Linotype"/>
          <w:i/>
          <w:color w:val="000000"/>
        </w:rPr>
      </w:pPr>
      <w:r w:rsidRPr="00625FDF">
        <w:rPr>
          <w:rFonts w:ascii="Palatino Linotype" w:hAnsi="Palatino Linotype"/>
          <w:i/>
          <w:color w:val="000000"/>
        </w:rPr>
        <w:t xml:space="preserve">Sobre el particular, me permito solicitarle se especifique el tipo de información requerida. </w:t>
      </w:r>
    </w:p>
    <w:p w14:paraId="0D43A89A" w14:textId="77777777" w:rsidR="00AA47E4" w:rsidRPr="00625FDF" w:rsidRDefault="00AA47E4" w:rsidP="00CC2B1D">
      <w:pPr>
        <w:spacing w:before="240" w:after="240"/>
        <w:ind w:left="851" w:right="902"/>
        <w:contextualSpacing/>
        <w:jc w:val="both"/>
        <w:rPr>
          <w:rFonts w:ascii="Palatino Linotype" w:hAnsi="Palatino Linotype"/>
          <w:i/>
          <w:color w:val="000000"/>
        </w:rPr>
      </w:pPr>
      <w:r w:rsidRPr="00625FDF">
        <w:rPr>
          <w:rFonts w:ascii="Palatino Linotype" w:hAnsi="Palatino Linotype"/>
          <w:i/>
          <w:color w:val="000000"/>
        </w:rPr>
        <w:t>ATENTAMENTE</w:t>
      </w:r>
    </w:p>
    <w:p w14:paraId="77A7DF3A" w14:textId="510A8D5B" w:rsidR="00AA47E4" w:rsidRPr="00AF6A2E" w:rsidRDefault="00625FDF" w:rsidP="00AA47E4">
      <w:pPr>
        <w:spacing w:before="240" w:after="240"/>
        <w:ind w:left="851" w:right="902"/>
        <w:contextualSpacing/>
        <w:jc w:val="both"/>
        <w:rPr>
          <w:rFonts w:ascii="Palatino Linotype" w:hAnsi="Palatino Linotype"/>
          <w:i/>
          <w:color w:val="000000"/>
        </w:rPr>
      </w:pPr>
      <w:r w:rsidRPr="00625FDF">
        <w:rPr>
          <w:rFonts w:ascii="Palatino Linotype" w:hAnsi="Palatino Linotype"/>
          <w:i/>
          <w:color w:val="000000"/>
        </w:rPr>
        <w:t>Lic. En C. Norma del Rosario Villegas</w:t>
      </w:r>
      <w:r w:rsidR="00AA47E4" w:rsidRPr="00625FDF">
        <w:rPr>
          <w:rFonts w:ascii="Palatino Linotype" w:hAnsi="Palatino Linotype"/>
          <w:i/>
          <w:color w:val="000000"/>
        </w:rPr>
        <w:t xml:space="preserve">” </w:t>
      </w:r>
    </w:p>
    <w:p w14:paraId="7E2BB89D" w14:textId="77777777" w:rsidR="00FF6012" w:rsidRDefault="00FF6012" w:rsidP="00AA47E4">
      <w:pPr>
        <w:spacing w:before="240" w:after="240" w:line="360" w:lineRule="auto"/>
        <w:contextualSpacing/>
        <w:jc w:val="both"/>
        <w:rPr>
          <w:rFonts w:ascii="Palatino Linotype" w:hAnsi="Palatino Linotype" w:cs="Arial"/>
          <w:b/>
        </w:rPr>
      </w:pPr>
    </w:p>
    <w:p w14:paraId="6E566BAC" w14:textId="4DB11CD6" w:rsidR="00AA47E4" w:rsidRDefault="00B61B57" w:rsidP="00C94BA8">
      <w:pPr>
        <w:spacing w:before="240" w:after="240" w:line="360" w:lineRule="auto"/>
        <w:contextualSpacing/>
        <w:jc w:val="both"/>
        <w:rPr>
          <w:rFonts w:ascii="Palatino Linotype" w:hAnsi="Palatino Linotype" w:cs="Arial"/>
        </w:rPr>
      </w:pPr>
      <w:r>
        <w:rPr>
          <w:rFonts w:ascii="Palatino Linotype" w:hAnsi="Palatino Linotype" w:cs="Arial"/>
          <w:b/>
        </w:rPr>
        <w:t>3</w:t>
      </w:r>
      <w:r w:rsidR="00607616">
        <w:rPr>
          <w:rFonts w:ascii="Palatino Linotype" w:hAnsi="Palatino Linotype" w:cs="Arial"/>
          <w:b/>
        </w:rPr>
        <w:t>. Interposición del</w:t>
      </w:r>
      <w:r w:rsidR="00AA47E4" w:rsidRPr="00080788">
        <w:rPr>
          <w:rFonts w:ascii="Palatino Linotype" w:hAnsi="Palatino Linotype" w:cs="Arial"/>
          <w:b/>
        </w:rPr>
        <w:t xml:space="preserve"> recurso de revisión. </w:t>
      </w:r>
      <w:r w:rsidR="00AA47E4">
        <w:rPr>
          <w:rFonts w:ascii="Palatino Linotype" w:hAnsi="Palatino Linotype" w:cs="Arial"/>
        </w:rPr>
        <w:t>Inconforme la</w:t>
      </w:r>
      <w:r w:rsidR="00AA47E4" w:rsidRPr="00080788">
        <w:rPr>
          <w:rFonts w:ascii="Palatino Linotype" w:hAnsi="Palatino Linotype" w:cs="Arial"/>
        </w:rPr>
        <w:t xml:space="preserve"> solicitante con la respuesta del </w:t>
      </w:r>
      <w:r w:rsidR="00AA47E4" w:rsidRPr="00080788">
        <w:rPr>
          <w:rFonts w:ascii="Palatino Linotype" w:hAnsi="Palatino Linotype" w:cs="Arial"/>
          <w:b/>
        </w:rPr>
        <w:t>Sujeto Obligado</w:t>
      </w:r>
      <w:r w:rsidR="00AA47E4" w:rsidRPr="00080788">
        <w:rPr>
          <w:rFonts w:ascii="Palatino Linotype" w:hAnsi="Palatino Linotype" w:cs="Arial"/>
        </w:rPr>
        <w:t xml:space="preserve"> interpuso </w:t>
      </w:r>
      <w:r w:rsidR="00AA47E4">
        <w:rPr>
          <w:rFonts w:ascii="Palatino Linotype" w:hAnsi="Palatino Linotype" w:cs="Arial"/>
        </w:rPr>
        <w:t xml:space="preserve">los </w:t>
      </w:r>
      <w:r w:rsidR="00AA47E4" w:rsidRPr="00080788">
        <w:rPr>
          <w:rFonts w:ascii="Palatino Linotype" w:hAnsi="Palatino Linotype" w:cs="Arial"/>
        </w:rPr>
        <w:t>recurso</w:t>
      </w:r>
      <w:r w:rsidR="00AA47E4">
        <w:rPr>
          <w:rFonts w:ascii="Palatino Linotype" w:hAnsi="Palatino Linotype" w:cs="Arial"/>
        </w:rPr>
        <w:t>s</w:t>
      </w:r>
      <w:r w:rsidR="00AA47E4" w:rsidRPr="00080788">
        <w:rPr>
          <w:rFonts w:ascii="Palatino Linotype" w:hAnsi="Palatino Linotype" w:cs="Arial"/>
        </w:rPr>
        <w:t xml:space="preserve"> de revisión a t</w:t>
      </w:r>
      <w:r w:rsidR="00AA47E4">
        <w:rPr>
          <w:rFonts w:ascii="Palatino Linotype" w:hAnsi="Palatino Linotype" w:cs="Arial"/>
        </w:rPr>
        <w:t>ravé</w:t>
      </w:r>
      <w:r w:rsidR="00AE0BBC">
        <w:rPr>
          <w:rFonts w:ascii="Palatino Linotype" w:hAnsi="Palatino Linotype" w:cs="Arial"/>
        </w:rPr>
        <w:t xml:space="preserve">s del SAIMEX en fecha </w:t>
      </w:r>
      <w:r w:rsidR="006F6A82" w:rsidRPr="006F6A82">
        <w:rPr>
          <w:rFonts w:ascii="Palatino Linotype" w:hAnsi="Palatino Linotype" w:cs="Arial"/>
        </w:rPr>
        <w:t>quince de marzo</w:t>
      </w:r>
      <w:r w:rsidR="00FF6012" w:rsidRPr="006F6A82">
        <w:rPr>
          <w:rFonts w:ascii="Palatino Linotype" w:hAnsi="Palatino Linotype" w:cs="Arial"/>
        </w:rPr>
        <w:t xml:space="preserve"> de</w:t>
      </w:r>
      <w:r w:rsidR="00AF6A2E" w:rsidRPr="006F6A82">
        <w:rPr>
          <w:rFonts w:ascii="Palatino Linotype" w:hAnsi="Palatino Linotype" w:cs="Arial"/>
        </w:rPr>
        <w:t>l dos mil veintiuno</w:t>
      </w:r>
      <w:r w:rsidR="00AA47E4" w:rsidRPr="006F6A82">
        <w:rPr>
          <w:rFonts w:ascii="Palatino Linotype" w:hAnsi="Palatino Linotype" w:cs="Arial"/>
        </w:rPr>
        <w:t>,</w:t>
      </w:r>
      <w:r w:rsidR="00AA47E4" w:rsidRPr="00080788">
        <w:rPr>
          <w:rFonts w:ascii="Palatino Linotype" w:hAnsi="Palatino Linotype" w:cs="Arial"/>
        </w:rPr>
        <w:t xml:space="preserve"> a través del cual expresó lo siguiente:</w:t>
      </w:r>
    </w:p>
    <w:p w14:paraId="046DA371" w14:textId="77777777" w:rsidR="00AA47E4" w:rsidRPr="00D6780E" w:rsidRDefault="00AA47E4" w:rsidP="00C94BA8">
      <w:pPr>
        <w:spacing w:line="360" w:lineRule="auto"/>
        <w:rPr>
          <w:rFonts w:ascii="Palatino Linotype" w:hAnsi="Palatino Linotype" w:cs="Arial"/>
          <w:b/>
        </w:rPr>
      </w:pPr>
      <w:r w:rsidRPr="00D6780E">
        <w:rPr>
          <w:rFonts w:ascii="Palatino Linotype" w:hAnsi="Palatino Linotype" w:cs="Arial"/>
          <w:b/>
        </w:rPr>
        <w:t>a) Acto impugnado.</w:t>
      </w:r>
    </w:p>
    <w:p w14:paraId="7D23E690" w14:textId="77777777" w:rsidR="00AA47E4" w:rsidRPr="005A59DC" w:rsidRDefault="00AA47E4" w:rsidP="005A59DC">
      <w:pPr>
        <w:spacing w:after="240"/>
        <w:ind w:left="851" w:right="900"/>
        <w:jc w:val="both"/>
        <w:rPr>
          <w:rFonts w:ascii="Palatino Linotype" w:hAnsi="Palatino Linotype"/>
          <w:i/>
          <w:color w:val="000000"/>
        </w:rPr>
      </w:pPr>
      <w:r w:rsidRPr="006F6A82">
        <w:rPr>
          <w:rFonts w:ascii="Palatino Linotype" w:hAnsi="Palatino Linotype"/>
          <w:i/>
          <w:color w:val="000000"/>
        </w:rPr>
        <w:t>“</w:t>
      </w:r>
      <w:r w:rsidR="006F6A82" w:rsidRPr="006F6A82">
        <w:rPr>
          <w:rFonts w:ascii="Palatino Linotype" w:hAnsi="Palatino Linotype"/>
          <w:i/>
          <w:color w:val="000000"/>
        </w:rPr>
        <w:t>Repuesta del Sujeto Obligado</w:t>
      </w:r>
      <w:r w:rsidR="00523162" w:rsidRPr="006F6A82">
        <w:rPr>
          <w:rFonts w:ascii="Palatino Linotype" w:hAnsi="Palatino Linotype"/>
          <w:i/>
          <w:color w:val="000000"/>
        </w:rPr>
        <w:t>”</w:t>
      </w:r>
      <w:r w:rsidR="00AF6A2E" w:rsidRPr="006F6A82">
        <w:rPr>
          <w:rFonts w:ascii="Palatino Linotype" w:hAnsi="Palatino Linotype"/>
          <w:i/>
          <w:color w:val="000000"/>
        </w:rPr>
        <w:t xml:space="preserve"> </w:t>
      </w:r>
    </w:p>
    <w:p w14:paraId="65510B36" w14:textId="77777777" w:rsidR="00AA47E4" w:rsidRPr="00080788" w:rsidRDefault="00AA47E4" w:rsidP="00AA47E4">
      <w:pPr>
        <w:spacing w:line="360" w:lineRule="auto"/>
        <w:jc w:val="both"/>
        <w:rPr>
          <w:rFonts w:ascii="Palatino Linotype" w:hAnsi="Palatino Linotype" w:cs="Arial"/>
          <w:b/>
        </w:rPr>
      </w:pPr>
      <w:r w:rsidRPr="00080788">
        <w:rPr>
          <w:rFonts w:ascii="Palatino Linotype" w:hAnsi="Palatino Linotype" w:cs="Arial"/>
          <w:b/>
        </w:rPr>
        <w:t>b) Motivos de inconformidad.</w:t>
      </w:r>
    </w:p>
    <w:p w14:paraId="7127FBD8" w14:textId="77777777" w:rsidR="00AA47E4" w:rsidRDefault="00AA47E4" w:rsidP="00AA47E4">
      <w:pPr>
        <w:spacing w:after="240"/>
        <w:ind w:left="851" w:right="900"/>
        <w:jc w:val="both"/>
        <w:rPr>
          <w:rFonts w:ascii="Palatino Linotype" w:hAnsi="Palatino Linotype"/>
          <w:i/>
          <w:color w:val="000000"/>
        </w:rPr>
      </w:pPr>
      <w:r w:rsidRPr="006F6A82">
        <w:rPr>
          <w:rFonts w:ascii="Palatino Linotype" w:hAnsi="Palatino Linotype"/>
          <w:i/>
          <w:color w:val="000000"/>
        </w:rPr>
        <w:t>“</w:t>
      </w:r>
      <w:r w:rsidR="006F6A82" w:rsidRPr="006F6A82">
        <w:rPr>
          <w:rFonts w:ascii="Palatino Linotype" w:hAnsi="Palatino Linotype"/>
          <w:i/>
          <w:color w:val="000000"/>
        </w:rPr>
        <w:t>NO entrega la información y solicita una especificación de la información solicitada sin adecuarse a lo estipulado en la Ley de Transparencia</w:t>
      </w:r>
      <w:r w:rsidR="00AE0BBC" w:rsidRPr="006F6A82">
        <w:rPr>
          <w:rFonts w:ascii="Palatino Linotype" w:hAnsi="Palatino Linotype"/>
          <w:i/>
          <w:color w:val="000000"/>
        </w:rPr>
        <w:t>.</w:t>
      </w:r>
      <w:r w:rsidR="00AF6A2E" w:rsidRPr="006F6A82">
        <w:rPr>
          <w:rFonts w:ascii="Palatino Linotype" w:hAnsi="Palatino Linotype"/>
          <w:i/>
          <w:color w:val="000000"/>
        </w:rPr>
        <w:t>”</w:t>
      </w:r>
    </w:p>
    <w:p w14:paraId="25F57685" w14:textId="49EC4DFE" w:rsidR="005A59DC" w:rsidRPr="00AE0BBC" w:rsidRDefault="00B61B57" w:rsidP="00C94BA8">
      <w:pPr>
        <w:spacing w:before="240" w:after="240" w:line="360" w:lineRule="auto"/>
        <w:contextualSpacing/>
        <w:jc w:val="both"/>
        <w:rPr>
          <w:rFonts w:ascii="Palatino Linotype" w:hAnsi="Palatino Linotype"/>
          <w:b/>
          <w:lang w:val="es-ES_tradnl"/>
        </w:rPr>
      </w:pPr>
      <w:r>
        <w:rPr>
          <w:rFonts w:ascii="Palatino Linotype" w:hAnsi="Palatino Linotype"/>
          <w:b/>
        </w:rPr>
        <w:t>4</w:t>
      </w:r>
      <w:r w:rsidR="00AA47E4">
        <w:rPr>
          <w:rFonts w:ascii="Palatino Linotype" w:hAnsi="Palatino Linotype"/>
          <w:b/>
        </w:rPr>
        <w:t>.</w:t>
      </w:r>
      <w:r>
        <w:rPr>
          <w:rFonts w:ascii="Palatino Linotype" w:hAnsi="Palatino Linotype"/>
          <w:b/>
        </w:rPr>
        <w:t xml:space="preserve"> </w:t>
      </w:r>
      <w:r w:rsidR="00BE1859">
        <w:rPr>
          <w:rFonts w:ascii="Palatino Linotype" w:hAnsi="Palatino Linotype"/>
          <w:b/>
          <w:bCs/>
          <w:color w:val="222222"/>
        </w:rPr>
        <w:t>Turno</w:t>
      </w:r>
      <w:r w:rsidR="00BE1859">
        <w:rPr>
          <w:rFonts w:ascii="Palatino Linotype" w:hAnsi="Palatino Linotype"/>
          <w:b/>
          <w:bCs/>
          <w:color w:val="222222"/>
          <w:sz w:val="28"/>
          <w:szCs w:val="28"/>
        </w:rPr>
        <w:t>. </w:t>
      </w:r>
      <w:r w:rsidR="00BE1859">
        <w:rPr>
          <w:rFonts w:ascii="Palatino Linotype" w:hAnsi="Palatino Linotype"/>
          <w:color w:val="222222"/>
        </w:rPr>
        <w:t>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al </w:t>
      </w:r>
      <w:r w:rsidR="00BE1859">
        <w:rPr>
          <w:rFonts w:ascii="Palatino Linotype" w:hAnsi="Palatino Linotype"/>
          <w:b/>
          <w:bCs/>
          <w:color w:val="222222"/>
        </w:rPr>
        <w:t>entonces Comisionado</w:t>
      </w:r>
      <w:r w:rsidR="00BE1859">
        <w:rPr>
          <w:rFonts w:ascii="Palatino Linotype" w:hAnsi="Palatino Linotype"/>
          <w:color w:val="222222"/>
        </w:rPr>
        <w:t> </w:t>
      </w:r>
      <w:r w:rsidR="00BE1859">
        <w:rPr>
          <w:rFonts w:ascii="Palatino Linotype" w:hAnsi="Palatino Linotype"/>
          <w:b/>
          <w:bCs/>
          <w:color w:val="222222"/>
        </w:rPr>
        <w:t>Javier Martínez Cruz</w:t>
      </w:r>
      <w:r w:rsidR="00BE1859">
        <w:rPr>
          <w:rFonts w:ascii="Palatino Linotype" w:hAnsi="Palatino Linotype"/>
          <w:color w:val="222222"/>
        </w:rPr>
        <w:t> para su análisis, estudio, elaboración del proyecto y presentación ante el Pleno de este Instituto.</w:t>
      </w:r>
    </w:p>
    <w:p w14:paraId="54D09944" w14:textId="77777777" w:rsidR="00743FDB" w:rsidRDefault="00743FDB" w:rsidP="00B61B57">
      <w:pPr>
        <w:spacing w:before="240" w:after="240"/>
        <w:contextualSpacing/>
        <w:jc w:val="both"/>
        <w:rPr>
          <w:rFonts w:ascii="Palatino Linotype" w:eastAsia="Calibri" w:hAnsi="Palatino Linotype" w:cs="Arial"/>
        </w:rPr>
      </w:pPr>
    </w:p>
    <w:p w14:paraId="381E223A" w14:textId="77777777" w:rsidR="00C94BA8" w:rsidRDefault="00C94BA8" w:rsidP="00BE1859">
      <w:pPr>
        <w:spacing w:before="240" w:after="240"/>
        <w:contextualSpacing/>
        <w:jc w:val="both"/>
        <w:rPr>
          <w:rFonts w:ascii="Palatino Linotype" w:hAnsi="Palatino Linotype" w:cs="Arial"/>
          <w:b/>
        </w:rPr>
      </w:pPr>
    </w:p>
    <w:p w14:paraId="6194B472" w14:textId="7D5D24D3" w:rsidR="00AA47E4" w:rsidRDefault="00B61B57" w:rsidP="00C94BA8">
      <w:pPr>
        <w:spacing w:before="240" w:after="240" w:line="360" w:lineRule="auto"/>
        <w:contextualSpacing/>
        <w:jc w:val="both"/>
        <w:rPr>
          <w:rFonts w:ascii="Palatino Linotype" w:hAnsi="Palatino Linotype" w:cs="Arial"/>
        </w:rPr>
      </w:pPr>
      <w:r>
        <w:rPr>
          <w:rFonts w:ascii="Palatino Linotype" w:hAnsi="Palatino Linotype" w:cs="Arial"/>
          <w:b/>
        </w:rPr>
        <w:t>5</w:t>
      </w:r>
      <w:r w:rsidR="00607616">
        <w:rPr>
          <w:rFonts w:ascii="Palatino Linotype" w:hAnsi="Palatino Linotype" w:cs="Arial"/>
          <w:b/>
        </w:rPr>
        <w:t>. Admisión del</w:t>
      </w:r>
      <w:r w:rsidR="00AA47E4" w:rsidRPr="00080788">
        <w:rPr>
          <w:rFonts w:ascii="Palatino Linotype" w:hAnsi="Palatino Linotype" w:cs="Arial"/>
          <w:b/>
        </w:rPr>
        <w:t xml:space="preserve"> recurso de revisión: </w:t>
      </w:r>
      <w:r w:rsidR="00AE0BBC">
        <w:rPr>
          <w:rFonts w:ascii="Palatino Linotype" w:hAnsi="Palatino Linotype" w:cs="Arial"/>
        </w:rPr>
        <w:t xml:space="preserve">En fecha </w:t>
      </w:r>
      <w:r w:rsidR="00172E8C" w:rsidRPr="00172E8C">
        <w:rPr>
          <w:rFonts w:ascii="Palatino Linotype" w:hAnsi="Palatino Linotype" w:cs="Arial"/>
        </w:rPr>
        <w:t>diecinueve de marzo</w:t>
      </w:r>
      <w:r w:rsidR="00367B45" w:rsidRPr="00172E8C">
        <w:rPr>
          <w:rFonts w:ascii="Palatino Linotype" w:hAnsi="Palatino Linotype" w:cs="Arial"/>
        </w:rPr>
        <w:t xml:space="preserve"> de</w:t>
      </w:r>
      <w:r w:rsidR="00AF6A2E" w:rsidRPr="00172E8C">
        <w:rPr>
          <w:rFonts w:ascii="Palatino Linotype" w:hAnsi="Palatino Linotype" w:cs="Arial"/>
        </w:rPr>
        <w:t>l dos mil veintiuno</w:t>
      </w:r>
      <w:r w:rsidR="00607616">
        <w:rPr>
          <w:rFonts w:ascii="Palatino Linotype" w:hAnsi="Palatino Linotype" w:cs="Arial"/>
        </w:rPr>
        <w:t>, el</w:t>
      </w:r>
      <w:r w:rsidR="00AA47E4" w:rsidRPr="00080788">
        <w:rPr>
          <w:rFonts w:ascii="Palatino Linotype" w:hAnsi="Palatino Linotype" w:cs="Arial"/>
        </w:rPr>
        <w:t xml:space="preserve"> Comisionado ponente</w:t>
      </w:r>
      <w:r w:rsidR="00607616">
        <w:rPr>
          <w:rFonts w:ascii="Palatino Linotype" w:hAnsi="Palatino Linotype" w:cs="Arial"/>
        </w:rPr>
        <w:t>, admitió a trámite el</w:t>
      </w:r>
      <w:r w:rsidR="00AA47E4" w:rsidRPr="00080788">
        <w:rPr>
          <w:rFonts w:ascii="Palatino Linotype" w:hAnsi="Palatino Linotype" w:cs="Arial"/>
        </w:rPr>
        <w:t xml:space="preserve">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351A6D53" w14:textId="77777777" w:rsidR="00C94BA8" w:rsidRDefault="00C94BA8" w:rsidP="00C94BA8">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b/>
          <w:sz w:val="24"/>
          <w:szCs w:val="24"/>
        </w:rPr>
      </w:pPr>
    </w:p>
    <w:p w14:paraId="20DB6517" w14:textId="27868D91" w:rsidR="00CC2B1D" w:rsidRPr="00743FDB" w:rsidRDefault="00B61B57" w:rsidP="00C94BA8">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lang w:eastAsia="es-ES"/>
        </w:rPr>
      </w:pPr>
      <w:r>
        <w:rPr>
          <w:rFonts w:ascii="Palatino Linotype" w:hAnsi="Palatino Linotype" w:cs="Arial"/>
          <w:b/>
          <w:sz w:val="24"/>
          <w:szCs w:val="24"/>
        </w:rPr>
        <w:t>6</w:t>
      </w:r>
      <w:r w:rsidR="00AA47E4" w:rsidRPr="00743FDB">
        <w:rPr>
          <w:rFonts w:ascii="Palatino Linotype" w:hAnsi="Palatino Linotype" w:cs="Arial"/>
          <w:b/>
          <w:sz w:val="24"/>
          <w:szCs w:val="24"/>
        </w:rPr>
        <w:t>. Manifestaciones</w:t>
      </w:r>
      <w:r w:rsidR="00AA47E4" w:rsidRPr="00743FDB">
        <w:rPr>
          <w:rFonts w:ascii="Palatino Linotype" w:hAnsi="Palatino Linotype" w:cs="Arial"/>
          <w:sz w:val="24"/>
          <w:szCs w:val="24"/>
        </w:rPr>
        <w:t xml:space="preserve">: </w:t>
      </w:r>
      <w:r w:rsidR="00CC2B1D" w:rsidRPr="00743FDB">
        <w:rPr>
          <w:rFonts w:ascii="Palatino Linotype" w:hAnsi="Palatino Linotype" w:cs="Arial"/>
          <w:sz w:val="24"/>
          <w:szCs w:val="24"/>
          <w:lang w:eastAsia="es-ES"/>
        </w:rPr>
        <w:t>De las constancias que integran el expediente en que se actúa se advierte que la recurrente fue omisa en ofrecer pruebas y alegatos.</w:t>
      </w:r>
    </w:p>
    <w:p w14:paraId="1BC1D782" w14:textId="15BC368F" w:rsidR="00CC2B1D" w:rsidRPr="00172E8C" w:rsidRDefault="00CC2B1D" w:rsidP="00C94BA8">
      <w:pPr>
        <w:spacing w:line="360" w:lineRule="auto"/>
        <w:jc w:val="both"/>
        <w:rPr>
          <w:rFonts w:ascii="Palatino Linotype" w:hAnsi="Palatino Linotype" w:cs="Arial"/>
        </w:rPr>
      </w:pPr>
      <w:r w:rsidRPr="00172E8C">
        <w:rPr>
          <w:rFonts w:ascii="Palatino Linotype" w:hAnsi="Palatino Linotype" w:cs="Arial"/>
        </w:rPr>
        <w:t xml:space="preserve">Por su parte, el </w:t>
      </w:r>
      <w:r w:rsidRPr="00172E8C">
        <w:rPr>
          <w:rFonts w:ascii="Palatino Linotype" w:hAnsi="Palatino Linotype" w:cs="Arial"/>
          <w:b/>
        </w:rPr>
        <w:t>Sujeto Obligado</w:t>
      </w:r>
      <w:r w:rsidR="00AE0BBC" w:rsidRPr="00172E8C">
        <w:rPr>
          <w:rFonts w:ascii="Palatino Linotype" w:hAnsi="Palatino Linotype" w:cs="Arial"/>
        </w:rPr>
        <w:t xml:space="preserve"> en fecha </w:t>
      </w:r>
      <w:r w:rsidR="008A1FAE">
        <w:rPr>
          <w:rFonts w:ascii="Palatino Linotype" w:hAnsi="Palatino Linotype" w:cs="Arial"/>
        </w:rPr>
        <w:t>seis</w:t>
      </w:r>
      <w:r w:rsidR="00172E8C" w:rsidRPr="00172E8C">
        <w:rPr>
          <w:rFonts w:ascii="Palatino Linotype" w:hAnsi="Palatino Linotype" w:cs="Arial"/>
        </w:rPr>
        <w:t xml:space="preserve"> de </w:t>
      </w:r>
      <w:r w:rsidR="008A1FAE">
        <w:rPr>
          <w:rFonts w:ascii="Palatino Linotype" w:hAnsi="Palatino Linotype" w:cs="Arial"/>
        </w:rPr>
        <w:t>abril</w:t>
      </w:r>
      <w:r w:rsidRPr="00172E8C">
        <w:rPr>
          <w:rFonts w:ascii="Palatino Linotype" w:hAnsi="Palatino Linotype" w:cs="Arial"/>
        </w:rPr>
        <w:t xml:space="preserve"> del </w:t>
      </w:r>
      <w:r w:rsidR="008A1FAE">
        <w:rPr>
          <w:rFonts w:ascii="Palatino Linotype" w:hAnsi="Palatino Linotype" w:cs="Arial"/>
        </w:rPr>
        <w:t xml:space="preserve">año </w:t>
      </w:r>
      <w:r w:rsidRPr="00172E8C">
        <w:rPr>
          <w:rFonts w:ascii="Palatino Linotype" w:hAnsi="Palatino Linotype" w:cs="Arial"/>
        </w:rPr>
        <w:t>dos mil veintiuno, remi</w:t>
      </w:r>
      <w:r w:rsidR="00AE0BBC" w:rsidRPr="00172E8C">
        <w:rPr>
          <w:rFonts w:ascii="Palatino Linotype" w:hAnsi="Palatino Linotype" w:cs="Arial"/>
        </w:rPr>
        <w:t xml:space="preserve">te en vía informe justificado </w:t>
      </w:r>
      <w:r w:rsidR="001E4AAA">
        <w:rPr>
          <w:rFonts w:ascii="Palatino Linotype" w:hAnsi="Palatino Linotype" w:cs="Arial"/>
        </w:rPr>
        <w:t>el</w:t>
      </w:r>
      <w:r w:rsidR="00172E8C" w:rsidRPr="00172E8C">
        <w:rPr>
          <w:rFonts w:ascii="Palatino Linotype" w:hAnsi="Palatino Linotype" w:cs="Arial"/>
        </w:rPr>
        <w:t xml:space="preserve"> archivo electrónico siguiente</w:t>
      </w:r>
      <w:r w:rsidRPr="00172E8C">
        <w:rPr>
          <w:rFonts w:ascii="Palatino Linotype" w:hAnsi="Palatino Linotype" w:cs="Arial"/>
        </w:rPr>
        <w:t>:</w:t>
      </w:r>
    </w:p>
    <w:p w14:paraId="767559E2" w14:textId="77777777" w:rsidR="00A77769" w:rsidRPr="003F1CDE" w:rsidRDefault="00A77769" w:rsidP="00C94BA8">
      <w:pPr>
        <w:widowControl w:val="0"/>
        <w:autoSpaceDE w:val="0"/>
        <w:autoSpaceDN w:val="0"/>
        <w:adjustRightInd w:val="0"/>
        <w:spacing w:before="240" w:after="240" w:line="360" w:lineRule="auto"/>
        <w:contextualSpacing/>
        <w:jc w:val="both"/>
        <w:rPr>
          <w:rFonts w:ascii="Palatino Linotype" w:hAnsi="Palatino Linotype" w:cs="Arial"/>
          <w:highlight w:val="yellow"/>
        </w:rPr>
      </w:pPr>
    </w:p>
    <w:p w14:paraId="0F063422" w14:textId="72C81914" w:rsidR="00AE0BBC" w:rsidRDefault="00AE0BBC" w:rsidP="00C94BA8">
      <w:pPr>
        <w:spacing w:line="360" w:lineRule="auto"/>
        <w:jc w:val="both"/>
        <w:rPr>
          <w:rFonts w:ascii="Palatino Linotype" w:hAnsi="Palatino Linotype" w:cs="Arial"/>
        </w:rPr>
      </w:pPr>
      <w:r w:rsidRPr="00172E8C">
        <w:rPr>
          <w:rFonts w:ascii="Palatino Linotype" w:hAnsi="Palatino Linotype" w:cs="Arial"/>
        </w:rPr>
        <w:t>“</w:t>
      </w:r>
      <w:hyperlink r:id="rId8" w:history="1">
        <w:r w:rsidR="00172E8C" w:rsidRPr="00172E8C">
          <w:rPr>
            <w:rFonts w:ascii="Palatino Linotype" w:hAnsi="Palatino Linotype" w:cs="Arial"/>
          </w:rPr>
          <w:t>OFICIO</w:t>
        </w:r>
      </w:hyperlink>
      <w:r w:rsidR="00172E8C" w:rsidRPr="00172E8C">
        <w:rPr>
          <w:rFonts w:ascii="Palatino Linotype" w:hAnsi="Palatino Linotype" w:cs="Arial"/>
        </w:rPr>
        <w:t xml:space="preserve"> R.R 00014-2º21.PDF”</w:t>
      </w:r>
      <w:r w:rsidR="001E4AAA">
        <w:rPr>
          <w:rFonts w:ascii="Palatino Linotype" w:hAnsi="Palatino Linotype" w:cs="Arial"/>
        </w:rPr>
        <w:t>, en el cual determino solicitarle al recurrente especificara el tipo de información requerida.</w:t>
      </w:r>
      <w:r w:rsidRPr="003F1CDE">
        <w:rPr>
          <w:rFonts w:ascii="Palatino Linotype" w:hAnsi="Palatino Linotype" w:cs="Arial"/>
          <w:highlight w:val="yellow"/>
        </w:rPr>
        <w:t xml:space="preserve"> </w:t>
      </w:r>
    </w:p>
    <w:p w14:paraId="4CCC1587" w14:textId="26DF7B3C" w:rsidR="00BE1859" w:rsidRDefault="00B61B57" w:rsidP="00AE0BBC">
      <w:pPr>
        <w:spacing w:line="360" w:lineRule="auto"/>
        <w:jc w:val="both"/>
        <w:rPr>
          <w:rFonts w:ascii="Palatino Linotype" w:hAnsi="Palatino Linotype"/>
          <w:color w:val="222222"/>
          <w:lang w:val="es-ES_tradnl"/>
        </w:rPr>
      </w:pPr>
      <w:r>
        <w:rPr>
          <w:rFonts w:ascii="Palatino Linotype" w:hAnsi="Palatino Linotype" w:cs="Arial"/>
          <w:b/>
        </w:rPr>
        <w:t>7</w:t>
      </w:r>
      <w:r w:rsidR="00BE1859" w:rsidRPr="00BE1859">
        <w:rPr>
          <w:rFonts w:ascii="Palatino Linotype" w:hAnsi="Palatino Linotype" w:cs="Arial"/>
          <w:b/>
        </w:rPr>
        <w:t>.-</w:t>
      </w:r>
      <w:r w:rsidR="00BE1859">
        <w:rPr>
          <w:rFonts w:ascii="Palatino Linotype" w:hAnsi="Palatino Linotype"/>
          <w:b/>
          <w:bCs/>
          <w:color w:val="222222"/>
        </w:rPr>
        <w:t xml:space="preserve"> </w:t>
      </w:r>
      <w:proofErr w:type="spellStart"/>
      <w:r w:rsidR="00BE1859">
        <w:rPr>
          <w:rFonts w:ascii="Palatino Linotype" w:hAnsi="Palatino Linotype"/>
          <w:b/>
          <w:bCs/>
          <w:color w:val="222222"/>
        </w:rPr>
        <w:t>Returno</w:t>
      </w:r>
      <w:proofErr w:type="spellEnd"/>
      <w:r w:rsidR="00BE1859">
        <w:rPr>
          <w:rFonts w:ascii="Palatino Linotype" w:hAnsi="Palatino Linotype"/>
          <w:b/>
          <w:bCs/>
          <w:color w:val="222222"/>
        </w:rPr>
        <w:t>. </w:t>
      </w:r>
      <w:r w:rsidR="00BE1859">
        <w:rPr>
          <w:rFonts w:ascii="Palatino Linotype" w:hAnsi="Palatino Linotype"/>
          <w:color w:val="222222"/>
          <w:lang w:val="es-ES_tradnl"/>
        </w:rPr>
        <w:t>El </w:t>
      </w:r>
      <w:r w:rsidR="00BE1859">
        <w:rPr>
          <w:rFonts w:ascii="Palatino Linotype" w:hAnsi="Palatino Linotype"/>
          <w:b/>
          <w:bCs/>
          <w:color w:val="222222"/>
          <w:lang w:val="es-ES_tradnl"/>
        </w:rPr>
        <w:t>veintitrés de agosto de dos mil veintiuno, en la Segunda Sesión Extraordinaria</w:t>
      </w:r>
      <w:r w:rsidR="00BE1859">
        <w:rPr>
          <w:rFonts w:ascii="Palatino Linotype" w:hAnsi="Palatino Linotype"/>
          <w:color w:val="222222"/>
          <w:lang w:val="es-ES_tradnl"/>
        </w:rPr>
        <w:t xml:space="preserve">, el Pleno del Instituto aprobó el </w:t>
      </w:r>
      <w:proofErr w:type="spellStart"/>
      <w:r w:rsidR="00BE1859">
        <w:rPr>
          <w:rFonts w:ascii="Palatino Linotype" w:hAnsi="Palatino Linotype"/>
          <w:color w:val="222222"/>
          <w:lang w:val="es-ES_tradnl"/>
        </w:rPr>
        <w:t>returno</w:t>
      </w:r>
      <w:proofErr w:type="spellEnd"/>
      <w:r w:rsidR="00BE1859">
        <w:rPr>
          <w:rFonts w:ascii="Palatino Linotype" w:hAnsi="Palatino Linotype"/>
          <w:color w:val="222222"/>
          <w:lang w:val="es-ES_tradnl"/>
        </w:rPr>
        <w:t xml:space="preserve"> del recurso de revisión indicado al rubro a la Ponencia de la </w:t>
      </w:r>
      <w:r w:rsidR="00BE1859">
        <w:rPr>
          <w:rFonts w:ascii="Palatino Linotype" w:hAnsi="Palatino Linotype"/>
          <w:b/>
          <w:bCs/>
          <w:color w:val="222222"/>
          <w:lang w:val="es-ES_tradnl"/>
        </w:rPr>
        <w:t>Comisionada Guadalupe Ramírez Peña</w:t>
      </w:r>
      <w:r w:rsidR="00BE1859">
        <w:rPr>
          <w:rFonts w:ascii="Palatino Linotype" w:hAnsi="Palatino Linotype"/>
          <w:color w:val="222222"/>
          <w:lang w:val="es-ES_tradnl"/>
        </w:rPr>
        <w:t> para su estudio y resolución</w:t>
      </w:r>
    </w:p>
    <w:p w14:paraId="3248CA70" w14:textId="77777777" w:rsidR="008A3B2F" w:rsidRPr="00AE0BBC" w:rsidRDefault="008A3B2F" w:rsidP="00AE0BBC">
      <w:pPr>
        <w:spacing w:line="360" w:lineRule="auto"/>
        <w:jc w:val="both"/>
        <w:rPr>
          <w:rFonts w:ascii="Palatino Linotype" w:hAnsi="Palatino Linotype" w:cs="Arial"/>
        </w:rPr>
      </w:pPr>
    </w:p>
    <w:p w14:paraId="24C9629C" w14:textId="2D8AEB47" w:rsidR="00C94BA8" w:rsidRPr="008A3B2F" w:rsidRDefault="00B61B57" w:rsidP="008A3B2F">
      <w:pPr>
        <w:widowControl w:val="0"/>
        <w:autoSpaceDE w:val="0"/>
        <w:autoSpaceDN w:val="0"/>
        <w:adjustRightInd w:val="0"/>
        <w:spacing w:before="240" w:after="240" w:line="360" w:lineRule="auto"/>
        <w:contextualSpacing/>
        <w:jc w:val="both"/>
        <w:rPr>
          <w:rFonts w:ascii="Palatino Linotype" w:hAnsi="Palatino Linotype"/>
        </w:rPr>
      </w:pPr>
      <w:r>
        <w:rPr>
          <w:rFonts w:ascii="Palatino Linotype" w:hAnsi="Palatino Linotype"/>
          <w:b/>
        </w:rPr>
        <w:t>8</w:t>
      </w:r>
      <w:r w:rsidR="00AA47E4" w:rsidRPr="00743FDB">
        <w:rPr>
          <w:rFonts w:ascii="Palatino Linotype" w:hAnsi="Palatino Linotype"/>
          <w:b/>
        </w:rPr>
        <w:t>.</w:t>
      </w:r>
      <w:r w:rsidR="00666A8D" w:rsidRPr="00743FDB">
        <w:rPr>
          <w:rFonts w:ascii="Palatino Linotype" w:hAnsi="Palatino Linotype"/>
          <w:b/>
        </w:rPr>
        <w:t xml:space="preserve">- </w:t>
      </w:r>
      <w:r w:rsidR="00523162" w:rsidRPr="00743FDB">
        <w:rPr>
          <w:rFonts w:ascii="Palatino Linotype" w:hAnsi="Palatino Linotype"/>
          <w:b/>
        </w:rPr>
        <w:t>Ampliación del plazo para emitir resolución</w:t>
      </w:r>
      <w:r w:rsidR="00CC2B1D" w:rsidRPr="00743FDB">
        <w:rPr>
          <w:rFonts w:ascii="Palatino Linotype" w:hAnsi="Palatino Linotype"/>
        </w:rPr>
        <w:t>. En</w:t>
      </w:r>
      <w:r w:rsidR="00AE0BBC">
        <w:rPr>
          <w:rFonts w:ascii="Palatino Linotype" w:hAnsi="Palatino Linotype"/>
        </w:rPr>
        <w:t xml:space="preserve"> fecha </w:t>
      </w:r>
      <w:r w:rsidR="00172E8C" w:rsidRPr="00364ABE">
        <w:rPr>
          <w:rFonts w:ascii="Palatino Linotype" w:hAnsi="Palatino Linotype"/>
        </w:rPr>
        <w:t>dieciocho de junio</w:t>
      </w:r>
      <w:r w:rsidR="00523162" w:rsidRPr="00364ABE">
        <w:rPr>
          <w:rFonts w:ascii="Palatino Linotype" w:hAnsi="Palatino Linotype"/>
        </w:rPr>
        <w:t xml:space="preserve"> del dos mil </w:t>
      </w:r>
      <w:r w:rsidR="001927F3">
        <w:rPr>
          <w:rFonts w:ascii="Palatino Linotype" w:hAnsi="Palatino Linotype"/>
        </w:rPr>
        <w:t>veinti</w:t>
      </w:r>
      <w:r w:rsidR="00523162" w:rsidRPr="00364ABE">
        <w:rPr>
          <w:rFonts w:ascii="Palatino Linotype" w:hAnsi="Palatino Linotype"/>
        </w:rPr>
        <w:t>uno</w:t>
      </w:r>
      <w:r w:rsidR="00523162" w:rsidRPr="00743FDB">
        <w:rPr>
          <w:rFonts w:ascii="Palatino Linotype" w:hAnsi="Palatino Linotype"/>
        </w:rPr>
        <w:t xml:space="preserve">, este Instituto con fundamento en el artículo 181, párrafo tercero, de la Ley de Transparencia y Acceso a la Información Pública del Estado de México y Municipios, determinó mediante el acuerdo respectivo, ampliar por quince días </w:t>
      </w:r>
      <w:r w:rsidR="00523162" w:rsidRPr="00743FDB">
        <w:rPr>
          <w:rFonts w:ascii="Palatino Linotype" w:hAnsi="Palatino Linotype"/>
        </w:rPr>
        <w:lastRenderedPageBreak/>
        <w:t>hábiles adicionales el plazo para emitir la presente resolución a fin de realizar un mejor estudio del asunto.</w:t>
      </w:r>
    </w:p>
    <w:p w14:paraId="6B7F7248" w14:textId="77777777" w:rsidR="002E5396" w:rsidRPr="00080788" w:rsidRDefault="00F2018E" w:rsidP="003B19DA">
      <w:pPr>
        <w:pStyle w:val="Prrafodelista"/>
        <w:widowControl w:val="0"/>
        <w:tabs>
          <w:tab w:val="left" w:pos="709"/>
        </w:tabs>
        <w:autoSpaceDE w:val="0"/>
        <w:autoSpaceDN w:val="0"/>
        <w:adjustRightInd w:val="0"/>
        <w:spacing w:before="120" w:after="240" w:line="360" w:lineRule="auto"/>
        <w:ind w:left="0"/>
        <w:jc w:val="center"/>
        <w:rPr>
          <w:rFonts w:ascii="Palatino Linotype" w:hAnsi="Palatino Linotype" w:cs="Arial"/>
          <w:b/>
          <w:sz w:val="24"/>
          <w:szCs w:val="24"/>
        </w:rPr>
      </w:pPr>
      <w:r>
        <w:rPr>
          <w:rFonts w:ascii="Palatino Linotype" w:hAnsi="Palatino Linotype" w:cs="Arial"/>
          <w:b/>
          <w:sz w:val="24"/>
          <w:szCs w:val="24"/>
        </w:rPr>
        <w:t>II</w:t>
      </w:r>
      <w:r>
        <w:rPr>
          <w:rFonts w:ascii="Palatino Linotype" w:hAnsi="Palatino Linotype" w:cs="Arial"/>
          <w:b/>
          <w:sz w:val="24"/>
          <w:szCs w:val="24"/>
        </w:rPr>
        <w:tab/>
      </w:r>
      <w:r w:rsidR="002E5396" w:rsidRPr="00080788">
        <w:rPr>
          <w:rFonts w:ascii="Palatino Linotype" w:hAnsi="Palatino Linotype" w:cs="Arial"/>
          <w:b/>
          <w:sz w:val="24"/>
          <w:szCs w:val="24"/>
        </w:rPr>
        <w:t>C O N S I D E R A N D O:</w:t>
      </w:r>
    </w:p>
    <w:p w14:paraId="13503496" w14:textId="77777777" w:rsidR="002E5396" w:rsidRPr="00080788" w:rsidRDefault="002E5396" w:rsidP="002E5396">
      <w:pPr>
        <w:spacing w:before="240" w:after="240" w:line="360" w:lineRule="auto"/>
        <w:jc w:val="both"/>
        <w:rPr>
          <w:rFonts w:ascii="Palatino Linotype" w:hAnsi="Palatino Linotype"/>
          <w:shd w:val="clear" w:color="auto" w:fill="FFFFFF"/>
        </w:rPr>
      </w:pPr>
      <w:r w:rsidRPr="00080788">
        <w:rPr>
          <w:rFonts w:ascii="Palatino Linotype" w:hAnsi="Palatino Linotype" w:cs="Arial"/>
          <w:b/>
        </w:rPr>
        <w:t xml:space="preserve">Primero. Competencia. </w:t>
      </w:r>
      <w:r w:rsidRPr="00080788">
        <w:rPr>
          <w:rFonts w:ascii="Palatino Linotype" w:hAnsi="Palatino Linotype"/>
          <w:shd w:val="clear" w:color="auto" w:fill="FFFFFF"/>
        </w:rPr>
        <w:t>El Instituto de Transparencia, Acceso a la Información Pública y Protección de Datos Personales del Estado de México y Municipios, es compe</w:t>
      </w:r>
      <w:r w:rsidR="00275567">
        <w:rPr>
          <w:rFonts w:ascii="Palatino Linotype" w:hAnsi="Palatino Linotype"/>
          <w:shd w:val="clear" w:color="auto" w:fill="FFFFFF"/>
        </w:rPr>
        <w:t>tente para conocer y resolver los</w:t>
      </w:r>
      <w:r w:rsidRPr="00080788">
        <w:rPr>
          <w:rFonts w:ascii="Palatino Linotype" w:hAnsi="Palatino Linotype"/>
          <w:shd w:val="clear" w:color="auto" w:fill="FFFFFF"/>
        </w:rPr>
        <w:t xml:space="preserve"> presente</w:t>
      </w:r>
      <w:r w:rsidR="00275567">
        <w:rPr>
          <w:rFonts w:ascii="Palatino Linotype" w:hAnsi="Palatino Linotype"/>
          <w:shd w:val="clear" w:color="auto" w:fill="FFFFFF"/>
        </w:rPr>
        <w:t>s</w:t>
      </w:r>
      <w:r w:rsidRPr="00080788">
        <w:rPr>
          <w:rFonts w:ascii="Palatino Linotype" w:hAnsi="Palatino Linotype"/>
          <w:shd w:val="clear" w:color="auto" w:fill="FFFFFF"/>
        </w:rPr>
        <w:t xml:space="preserve"> recurso</w:t>
      </w:r>
      <w:r w:rsidR="00275567">
        <w:rPr>
          <w:rFonts w:ascii="Palatino Linotype" w:hAnsi="Palatino Linotype"/>
          <w:shd w:val="clear" w:color="auto" w:fill="FFFFFF"/>
        </w:rPr>
        <w:t>s</w:t>
      </w:r>
      <w:r w:rsidRPr="00080788">
        <w:rPr>
          <w:rFonts w:ascii="Palatino Linotype" w:hAnsi="Palatino Linotype"/>
          <w:shd w:val="clear" w:color="auto" w:fill="FFFFFF"/>
        </w:rPr>
        <w:t xml:space="preserve"> de revisión interpuesto</w:t>
      </w:r>
      <w:r w:rsidR="00275567">
        <w:rPr>
          <w:rFonts w:ascii="Palatino Linotype" w:hAnsi="Palatino Linotype"/>
          <w:shd w:val="clear" w:color="auto" w:fill="FFFFFF"/>
        </w:rPr>
        <w:t>s</w:t>
      </w:r>
      <w:r w:rsidRPr="00080788">
        <w:rPr>
          <w:rFonts w:ascii="Palatino Linotype" w:hAnsi="Palatino Linotype"/>
          <w:shd w:val="clear" w:color="auto" w:fill="FFFFFF"/>
        </w:rPr>
        <w:t xml:space="preserve"> por la parte recurrente, conforme a lo dispuesto en los artículos 6, apartado A de la Constitución Política de los Estados Unidos Mexicanos; 5, párrafos vigésimo</w:t>
      </w:r>
      <w:r w:rsidR="00EB2E0F">
        <w:rPr>
          <w:rFonts w:ascii="Palatino Linotype" w:hAnsi="Palatino Linotype"/>
          <w:shd w:val="clear" w:color="auto" w:fill="FFFFFF"/>
        </w:rPr>
        <w:t xml:space="preserve"> noveno, trigésimo y trigésimo primero</w:t>
      </w:r>
      <w:r w:rsidRPr="00080788">
        <w:rPr>
          <w:rFonts w:ascii="Palatino Linotype" w:hAnsi="Palatino Linotype"/>
          <w:shd w:val="clear" w:color="auto" w:fill="FFFFFF"/>
        </w:rPr>
        <w:t>, fracciones IV y V de la Constitución Política del Estado Libre y Soberano de México; 1, 2, fracción II; 13,  29, 36, fracciones I y II; 176, 178, 179, 181 párrafo tercero y 185 de la Ley Transparencia y Acceso a la Información Pública del Estado de México y Municipios;</w:t>
      </w:r>
      <w:r w:rsidRPr="00080788">
        <w:rPr>
          <w:rStyle w:val="apple-converted-space"/>
          <w:rFonts w:ascii="Palatino Linotype" w:hAnsi="Palatino Linotype"/>
          <w:shd w:val="clear" w:color="auto" w:fill="FFFFFF"/>
        </w:rPr>
        <w:t xml:space="preserve"> </w:t>
      </w:r>
      <w:r w:rsidRPr="00080788">
        <w:rPr>
          <w:rFonts w:ascii="Palatino Linotype" w:hAnsi="Palatino Linotype" w:cs="Arial"/>
        </w:rPr>
        <w:t xml:space="preserve">9, fracciones I y XXIV y 11 </w:t>
      </w:r>
      <w:r w:rsidRPr="00080788">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06FE1EDC" w14:textId="77777777" w:rsidR="00EB2E0F" w:rsidRDefault="002E5396" w:rsidP="00EB2E0F">
      <w:pPr>
        <w:spacing w:before="240" w:after="240" w:line="360" w:lineRule="auto"/>
        <w:jc w:val="both"/>
        <w:rPr>
          <w:rFonts w:ascii="Palatino Linotype" w:eastAsia="Palatino Linotype" w:hAnsi="Palatino Linotype" w:cs="Palatino Linotype"/>
        </w:rPr>
      </w:pPr>
      <w:r w:rsidRPr="00080788">
        <w:rPr>
          <w:rFonts w:ascii="Palatino Linotype" w:hAnsi="Palatino Linotype" w:cs="Arial"/>
          <w:b/>
        </w:rPr>
        <w:t>Segundo. Oportunidad y Procedibilidad del Recurso de Revisión</w:t>
      </w:r>
      <w:r w:rsidRPr="00080788">
        <w:rPr>
          <w:rFonts w:ascii="Palatino Linotype" w:hAnsi="Palatino Linotype" w:cs="Arial"/>
        </w:rPr>
        <w:t xml:space="preserve">. De conformidad con los requisitos de Oportunidad y Procedibilidad que deben reunir los recursos de revisión interpuestos, previstos en los artículos 178 y 180 de la </w:t>
      </w:r>
      <w:r w:rsidRPr="00080788">
        <w:rPr>
          <w:rFonts w:ascii="Palatino Linotype" w:hAnsi="Palatino Linotype" w:cs="Arial"/>
          <w:lang w:eastAsia="es-MX"/>
        </w:rPr>
        <w:t xml:space="preserve">Ley de Transparencia y Acceso a la Información Pública del Estado de México y Municipios; </w:t>
      </w:r>
      <w:r w:rsidR="00275567">
        <w:rPr>
          <w:rFonts w:ascii="Palatino Linotype" w:hAnsi="Palatino Linotype" w:cs="Arial"/>
          <w:lang w:eastAsia="es-MX"/>
        </w:rPr>
        <w:t>e</w:t>
      </w:r>
      <w:r w:rsidR="003675B4">
        <w:rPr>
          <w:rFonts w:ascii="Palatino Linotype" w:hAnsi="Palatino Linotype" w:cs="Arial"/>
          <w:lang w:eastAsia="es-MX"/>
        </w:rPr>
        <w:t>n la especie se advierte que el</w:t>
      </w:r>
      <w:r w:rsidRPr="00080788">
        <w:rPr>
          <w:rFonts w:ascii="Palatino Linotype" w:hAnsi="Palatino Linotype" w:cs="Arial"/>
          <w:lang w:eastAsia="es-MX"/>
        </w:rPr>
        <w:t xml:space="preserve"> presente medio de impugnación fue interpuesto dentro del plazo de quince días previsto en el primer artículo de referencia; toda vez que el Sujeto Obligado </w:t>
      </w:r>
      <w:r w:rsidRPr="00F82A1C">
        <w:rPr>
          <w:rFonts w:ascii="Palatino Linotype" w:hAnsi="Palatino Linotype" w:cs="Arial"/>
          <w:lang w:eastAsia="es-MX"/>
        </w:rPr>
        <w:t xml:space="preserve">emitió su respuesta a la solicitud planteada </w:t>
      </w:r>
      <w:r w:rsidR="00FA544C" w:rsidRPr="00F82A1C">
        <w:rPr>
          <w:rFonts w:ascii="Palatino Linotype" w:hAnsi="Palatino Linotype" w:cs="Arial"/>
          <w:lang w:eastAsia="es-MX"/>
        </w:rPr>
        <w:t>po</w:t>
      </w:r>
      <w:r w:rsidR="00AD1F1D" w:rsidRPr="00F82A1C">
        <w:rPr>
          <w:rFonts w:ascii="Palatino Linotype" w:hAnsi="Palatino Linotype" w:cs="Arial"/>
          <w:lang w:eastAsia="es-MX"/>
        </w:rPr>
        <w:t>r la</w:t>
      </w:r>
      <w:r w:rsidR="00AA23D5" w:rsidRPr="00F82A1C">
        <w:rPr>
          <w:rFonts w:ascii="Palatino Linotype" w:hAnsi="Palatino Linotype" w:cs="Arial"/>
          <w:lang w:eastAsia="es-MX"/>
        </w:rPr>
        <w:t xml:space="preserve"> </w:t>
      </w:r>
      <w:r w:rsidR="00AE0BBC" w:rsidRPr="00F82A1C">
        <w:rPr>
          <w:rFonts w:ascii="Palatino Linotype" w:hAnsi="Palatino Linotype" w:cs="Arial"/>
          <w:lang w:eastAsia="es-MX"/>
        </w:rPr>
        <w:t xml:space="preserve">solicitante en fecha </w:t>
      </w:r>
      <w:r w:rsidR="00F82A1C" w:rsidRPr="00F82A1C">
        <w:rPr>
          <w:rFonts w:ascii="Palatino Linotype" w:hAnsi="Palatino Linotype" w:cs="Arial"/>
          <w:lang w:eastAsia="es-MX"/>
        </w:rPr>
        <w:t>tres de marzo</w:t>
      </w:r>
      <w:r w:rsidR="003675B4" w:rsidRPr="00F82A1C">
        <w:rPr>
          <w:rFonts w:ascii="Palatino Linotype" w:hAnsi="Palatino Linotype" w:cs="Arial"/>
          <w:lang w:eastAsia="es-MX"/>
        </w:rPr>
        <w:t xml:space="preserve"> de</w:t>
      </w:r>
      <w:r w:rsidR="00EB2E0F" w:rsidRPr="00F82A1C">
        <w:rPr>
          <w:rFonts w:ascii="Palatino Linotype" w:hAnsi="Palatino Linotype" w:cs="Arial"/>
          <w:lang w:eastAsia="es-MX"/>
        </w:rPr>
        <w:t>l año dos mil veintiuno</w:t>
      </w:r>
      <w:r w:rsidRPr="00F82A1C">
        <w:rPr>
          <w:rFonts w:ascii="Palatino Linotype" w:hAnsi="Palatino Linotype" w:cs="Arial"/>
          <w:lang w:eastAsia="es-MX"/>
        </w:rPr>
        <w:t xml:space="preserve"> y el recurrente presentó </w:t>
      </w:r>
      <w:r w:rsidR="00F0712F" w:rsidRPr="00F82A1C">
        <w:rPr>
          <w:rFonts w:ascii="Palatino Linotype" w:hAnsi="Palatino Linotype" w:cs="Arial"/>
          <w:lang w:eastAsia="es-MX"/>
        </w:rPr>
        <w:t>su</w:t>
      </w:r>
      <w:r w:rsidR="00275567" w:rsidRPr="00F82A1C">
        <w:rPr>
          <w:rFonts w:ascii="Palatino Linotype" w:hAnsi="Palatino Linotype" w:cs="Arial"/>
          <w:lang w:eastAsia="es-MX"/>
        </w:rPr>
        <w:t xml:space="preserve"> </w:t>
      </w:r>
      <w:r w:rsidRPr="00F82A1C">
        <w:rPr>
          <w:rFonts w:ascii="Palatino Linotype" w:hAnsi="Palatino Linotype" w:cs="Arial"/>
          <w:lang w:eastAsia="es-MX"/>
        </w:rPr>
        <w:t>rec</w:t>
      </w:r>
      <w:r w:rsidR="008035A8" w:rsidRPr="00F82A1C">
        <w:rPr>
          <w:rFonts w:ascii="Palatino Linotype" w:hAnsi="Palatino Linotype" w:cs="Arial"/>
          <w:lang w:eastAsia="es-MX"/>
        </w:rPr>
        <w:t>urso</w:t>
      </w:r>
      <w:r w:rsidR="00F0712F" w:rsidRPr="00F82A1C">
        <w:rPr>
          <w:rFonts w:ascii="Palatino Linotype" w:hAnsi="Palatino Linotype" w:cs="Arial"/>
          <w:lang w:eastAsia="es-MX"/>
        </w:rPr>
        <w:t xml:space="preserve"> de revisión el </w:t>
      </w:r>
      <w:r w:rsidR="00F82A1C" w:rsidRPr="00F82A1C">
        <w:rPr>
          <w:rFonts w:ascii="Palatino Linotype" w:hAnsi="Palatino Linotype" w:cs="Arial"/>
          <w:lang w:eastAsia="es-MX"/>
        </w:rPr>
        <w:t>quince</w:t>
      </w:r>
      <w:r w:rsidR="00AE0BBC" w:rsidRPr="00F82A1C">
        <w:rPr>
          <w:rFonts w:ascii="Palatino Linotype" w:hAnsi="Palatino Linotype" w:cs="Arial"/>
          <w:lang w:eastAsia="es-MX"/>
        </w:rPr>
        <w:t xml:space="preserve"> de </w:t>
      </w:r>
      <w:r w:rsidR="00F82A1C" w:rsidRPr="00F82A1C">
        <w:rPr>
          <w:rFonts w:ascii="Palatino Linotype" w:hAnsi="Palatino Linotype" w:cs="Arial"/>
          <w:lang w:eastAsia="es-MX"/>
        </w:rPr>
        <w:t>marzo</w:t>
      </w:r>
      <w:r w:rsidR="00EB2E0F" w:rsidRPr="00F82A1C">
        <w:rPr>
          <w:rFonts w:ascii="Palatino Linotype" w:hAnsi="Palatino Linotype" w:cs="Arial"/>
          <w:lang w:eastAsia="es-MX"/>
        </w:rPr>
        <w:t xml:space="preserve"> del mismo año</w:t>
      </w:r>
      <w:r w:rsidR="008035A8" w:rsidRPr="00F82A1C">
        <w:rPr>
          <w:rFonts w:ascii="Palatino Linotype" w:hAnsi="Palatino Linotype" w:cs="Arial"/>
          <w:lang w:eastAsia="es-MX"/>
        </w:rPr>
        <w:t xml:space="preserve">, </w:t>
      </w:r>
      <w:r w:rsidR="00AE0BBC" w:rsidRPr="00F82A1C">
        <w:rPr>
          <w:rFonts w:ascii="Palatino Linotype" w:eastAsia="Palatino Linotype" w:hAnsi="Palatino Linotype" w:cs="Palatino Linotype"/>
        </w:rPr>
        <w:t xml:space="preserve">esto </w:t>
      </w:r>
      <w:r w:rsidR="00AE0BBC" w:rsidRPr="00F82A1C">
        <w:rPr>
          <w:rFonts w:ascii="Palatino Linotype" w:eastAsia="Palatino Linotype" w:hAnsi="Palatino Linotype" w:cs="Palatino Linotype"/>
        </w:rPr>
        <w:lastRenderedPageBreak/>
        <w:t xml:space="preserve">es al </w:t>
      </w:r>
      <w:r w:rsidR="00F82A1C" w:rsidRPr="00F82A1C">
        <w:rPr>
          <w:rFonts w:ascii="Palatino Linotype" w:eastAsia="Palatino Linotype" w:hAnsi="Palatino Linotype" w:cs="Palatino Linotype"/>
        </w:rPr>
        <w:t>doceavo</w:t>
      </w:r>
      <w:r w:rsidR="00EB2E0F" w:rsidRPr="00F82A1C">
        <w:rPr>
          <w:rFonts w:ascii="Palatino Linotype" w:eastAsia="Palatino Linotype" w:hAnsi="Palatino Linotype" w:cs="Palatino Linotype"/>
        </w:rPr>
        <w:t xml:space="preserve"> día hábil siguiente de aquel en que tuvo conocimiento de la respuesta; evidenciándose que la interposición del recurso se encuentra dentro de los márgenes temporales previstos en el citado precepto legal.</w:t>
      </w:r>
    </w:p>
    <w:p w14:paraId="3DEBE5C9" w14:textId="77777777" w:rsidR="007E6426" w:rsidRDefault="007E6426" w:rsidP="007E6426">
      <w:pPr>
        <w:pStyle w:val="paragraph"/>
        <w:spacing w:before="0" w:beforeAutospacing="0" w:after="0" w:afterAutospacing="0" w:line="360" w:lineRule="auto"/>
        <w:ind w:right="-150"/>
        <w:jc w:val="both"/>
        <w:textAlignment w:val="baseline"/>
        <w:rPr>
          <w:rStyle w:val="normaltextrun"/>
          <w:rFonts w:ascii="Palatino Linotype" w:hAnsi="Palatino Linotype" w:cs="Segoe UI"/>
        </w:rPr>
      </w:pPr>
      <w:r>
        <w:rPr>
          <w:rStyle w:val="normaltextrun"/>
          <w:rFonts w:ascii="Palatino Linotype" w:hAnsi="Palatino Linotype" w:cs="Segoe UI"/>
        </w:rPr>
        <w:t>Ahora bien</w:t>
      </w:r>
      <w:r w:rsidR="00154522">
        <w:rPr>
          <w:rStyle w:val="normaltextrun"/>
          <w:rFonts w:ascii="Palatino Linotype" w:hAnsi="Palatino Linotype" w:cs="Segoe UI"/>
        </w:rPr>
        <w:t>,</w:t>
      </w:r>
      <w:r w:rsidRPr="00911351">
        <w:rPr>
          <w:rStyle w:val="normaltextrun"/>
          <w:rFonts w:ascii="Palatino Linotype" w:hAnsi="Palatino Linotype" w:cs="Segoe UI"/>
        </w:rPr>
        <w:t xml:space="preserve"> resulta</w:t>
      </w:r>
      <w:r w:rsidR="00FC163C">
        <w:rPr>
          <w:rStyle w:val="normaltextrun"/>
          <w:rFonts w:ascii="Palatino Linotype" w:hAnsi="Palatino Linotype" w:cs="Segoe UI"/>
        </w:rPr>
        <w:t xml:space="preserve"> pr</w:t>
      </w:r>
      <w:r w:rsidR="00EA7A3F">
        <w:rPr>
          <w:rStyle w:val="normaltextrun"/>
          <w:rFonts w:ascii="Palatino Linotype" w:hAnsi="Palatino Linotype" w:cs="Segoe UI"/>
        </w:rPr>
        <w:t>ocedente la interposición del</w:t>
      </w:r>
      <w:r w:rsidRPr="00911351">
        <w:rPr>
          <w:rStyle w:val="normaltextrun"/>
          <w:rFonts w:ascii="Palatino Linotype" w:hAnsi="Palatino Linotype" w:cs="Segoe UI"/>
        </w:rPr>
        <w:t xml:space="preserve"> </w:t>
      </w:r>
      <w:r w:rsidR="00854B1C">
        <w:rPr>
          <w:rStyle w:val="normaltextrun"/>
          <w:rFonts w:ascii="Palatino Linotype" w:hAnsi="Palatino Linotype" w:cs="Segoe UI"/>
        </w:rPr>
        <w:t>recurso</w:t>
      </w:r>
      <w:r w:rsidR="00EA7A3F">
        <w:rPr>
          <w:rStyle w:val="normaltextrun"/>
          <w:rFonts w:ascii="Palatino Linotype" w:hAnsi="Palatino Linotype" w:cs="Segoe UI"/>
        </w:rPr>
        <w:t xml:space="preserve"> revisión</w:t>
      </w:r>
      <w:r w:rsidR="00854B1C">
        <w:rPr>
          <w:rStyle w:val="normaltextrun"/>
          <w:rFonts w:ascii="Palatino Linotype" w:hAnsi="Palatino Linotype" w:cs="Segoe UI"/>
        </w:rPr>
        <w:t>, según lo aducido por el</w:t>
      </w:r>
      <w:r w:rsidR="00EA7A3F">
        <w:rPr>
          <w:rStyle w:val="normaltextrun"/>
          <w:rFonts w:ascii="Palatino Linotype" w:hAnsi="Palatino Linotype" w:cs="Segoe UI"/>
        </w:rPr>
        <w:t xml:space="preserve"> recurrente en su acto impugnado como en sus</w:t>
      </w:r>
      <w:r w:rsidRPr="00911351">
        <w:rPr>
          <w:rStyle w:val="normaltextrun"/>
          <w:rFonts w:ascii="Palatino Linotype" w:hAnsi="Palatino Linotype" w:cs="Segoe UI"/>
        </w:rPr>
        <w:t xml:space="preserve"> motivos de inconformidad, de acuerdo al artículo</w:t>
      </w:r>
      <w:r>
        <w:rPr>
          <w:rStyle w:val="apple-converted-space"/>
          <w:rFonts w:ascii="Palatino Linotype" w:hAnsi="Palatino Linotype" w:cs="Segoe UI"/>
        </w:rPr>
        <w:t xml:space="preserve"> </w:t>
      </w:r>
      <w:r w:rsidR="00154522">
        <w:rPr>
          <w:rStyle w:val="normaltextrun"/>
          <w:rFonts w:ascii="Palatino Linotype" w:hAnsi="Palatino Linotype" w:cs="Segoe UI"/>
        </w:rPr>
        <w:t xml:space="preserve">179 fracción </w:t>
      </w:r>
      <w:r w:rsidR="00F82A1C" w:rsidRPr="00F82A1C">
        <w:rPr>
          <w:rStyle w:val="normaltextrun"/>
          <w:rFonts w:ascii="Palatino Linotype" w:hAnsi="Palatino Linotype" w:cs="Segoe UI"/>
        </w:rPr>
        <w:t>I</w:t>
      </w:r>
      <w:r w:rsidRPr="00F82A1C">
        <w:rPr>
          <w:rStyle w:val="normaltextrun"/>
          <w:rFonts w:ascii="Palatino Linotype" w:hAnsi="Palatino Linotype" w:cs="Segoe UI"/>
        </w:rPr>
        <w:t xml:space="preserve"> de la Ley</w:t>
      </w:r>
      <w:r w:rsidRPr="00911351">
        <w:rPr>
          <w:rStyle w:val="normaltextrun"/>
          <w:rFonts w:ascii="Palatino Linotype" w:hAnsi="Palatino Linotype" w:cs="Segoe UI"/>
        </w:rPr>
        <w:t xml:space="preserve"> de Transparencia y Acceso a la Información Pública del Estado de México y Municipios</w:t>
      </w:r>
      <w:r>
        <w:rPr>
          <w:rStyle w:val="normaltextrun"/>
          <w:rFonts w:ascii="Palatino Linotype" w:hAnsi="Palatino Linotype" w:cs="Segoe UI"/>
        </w:rPr>
        <w:t>;</w:t>
      </w:r>
      <w:r w:rsidRPr="00911351">
        <w:rPr>
          <w:rStyle w:val="normaltextrun"/>
          <w:rFonts w:ascii="Palatino Linotype" w:hAnsi="Palatino Linotype" w:cs="Segoe UI"/>
        </w:rPr>
        <w:t xml:space="preserve"> que a la letra dice:</w:t>
      </w:r>
    </w:p>
    <w:p w14:paraId="1DDB3852" w14:textId="77777777" w:rsidR="00154522" w:rsidRDefault="00154522" w:rsidP="007E6426">
      <w:pPr>
        <w:pStyle w:val="paragraph"/>
        <w:spacing w:before="0" w:beforeAutospacing="0" w:after="0" w:afterAutospacing="0" w:line="360" w:lineRule="auto"/>
        <w:ind w:right="-150"/>
        <w:jc w:val="both"/>
        <w:textAlignment w:val="baseline"/>
        <w:rPr>
          <w:rStyle w:val="eop"/>
          <w:rFonts w:ascii="Palatino Linotype" w:hAnsi="Palatino Linotype" w:cs="Segoe UI"/>
        </w:rPr>
      </w:pPr>
    </w:p>
    <w:p w14:paraId="7FA50998" w14:textId="77777777" w:rsidR="00B61B57" w:rsidRDefault="00B61B57" w:rsidP="007E6426">
      <w:pPr>
        <w:pStyle w:val="paragraph"/>
        <w:spacing w:before="0" w:beforeAutospacing="0" w:after="0" w:afterAutospacing="0" w:line="360" w:lineRule="auto"/>
        <w:ind w:right="-150"/>
        <w:jc w:val="both"/>
        <w:textAlignment w:val="baseline"/>
        <w:rPr>
          <w:rStyle w:val="eop"/>
          <w:rFonts w:ascii="Palatino Linotype" w:hAnsi="Palatino Linotype" w:cs="Segoe UI"/>
        </w:rPr>
      </w:pPr>
    </w:p>
    <w:p w14:paraId="7E0C75A1" w14:textId="77777777" w:rsidR="007E6426" w:rsidRDefault="007E6426" w:rsidP="00154522">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911351">
        <w:rPr>
          <w:rStyle w:val="normaltextrun"/>
          <w:rFonts w:ascii="Palatino Linotype" w:hAnsi="Palatino Linotype" w:cs="Segoe UI"/>
          <w:b/>
          <w:bCs/>
          <w:i/>
          <w:iCs/>
          <w:sz w:val="22"/>
          <w:szCs w:val="22"/>
        </w:rPr>
        <w:t>“</w:t>
      </w:r>
      <w:r w:rsidRPr="00911351">
        <w:rPr>
          <w:rFonts w:ascii="Palatino Linotype" w:hAnsi="Palatino Linotype"/>
          <w:b/>
          <w:i/>
          <w:sz w:val="22"/>
          <w:szCs w:val="22"/>
        </w:rPr>
        <w:t>Artículo 179</w:t>
      </w:r>
      <w:r w:rsidRPr="00911351">
        <w:rPr>
          <w:rFonts w:ascii="Palatino Linotype" w:hAnsi="Palatino Linotype"/>
          <w:i/>
          <w:sz w:val="22"/>
          <w:szCs w:val="22"/>
        </w:rPr>
        <w:t xml:space="preserve">. </w:t>
      </w:r>
      <w:r w:rsidRPr="00911351">
        <w:rPr>
          <w:rFonts w:ascii="Palatino Linotype" w:hAnsi="Palatino Linotype"/>
          <w:b/>
          <w:i/>
          <w:sz w:val="22"/>
          <w:szCs w:val="22"/>
        </w:rPr>
        <w:t>El recurso de revisión</w:t>
      </w:r>
      <w:r w:rsidRPr="00911351">
        <w:rPr>
          <w:rFonts w:ascii="Palatino Linotype" w:hAnsi="Palatino Linotype"/>
          <w:i/>
          <w:sz w:val="22"/>
          <w:szCs w:val="22"/>
        </w:rPr>
        <w:t xml:space="preserve"> es un medio de protección que la Ley otorga a los particulares, para hacer valer su derecho de acceso a la información pública</w:t>
      </w:r>
      <w:r w:rsidRPr="00911351">
        <w:rPr>
          <w:rFonts w:ascii="Palatino Linotype" w:hAnsi="Palatino Linotype"/>
          <w:b/>
          <w:i/>
          <w:sz w:val="22"/>
          <w:szCs w:val="22"/>
        </w:rPr>
        <w:t>, y procederá en contra de las siguientes causas</w:t>
      </w:r>
      <w:r w:rsidRPr="00911351">
        <w:rPr>
          <w:rFonts w:ascii="Palatino Linotype" w:hAnsi="Palatino Linotype"/>
          <w:i/>
          <w:sz w:val="22"/>
          <w:szCs w:val="22"/>
        </w:rPr>
        <w:t>:</w:t>
      </w:r>
    </w:p>
    <w:p w14:paraId="3F09AB82" w14:textId="77777777" w:rsidR="00154522" w:rsidRPr="00911351" w:rsidRDefault="00154522" w:rsidP="00154522">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t>…</w:t>
      </w:r>
    </w:p>
    <w:p w14:paraId="7105642E" w14:textId="77777777" w:rsidR="007E6426" w:rsidRDefault="00F82A1C" w:rsidP="00154522">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F82A1C">
        <w:rPr>
          <w:rFonts w:ascii="Palatino Linotype" w:hAnsi="Palatino Linotype"/>
          <w:i/>
          <w:sz w:val="22"/>
          <w:szCs w:val="22"/>
        </w:rPr>
        <w:t>I</w:t>
      </w:r>
      <w:r w:rsidR="00154522" w:rsidRPr="00F82A1C">
        <w:rPr>
          <w:rFonts w:ascii="Palatino Linotype" w:hAnsi="Palatino Linotype"/>
          <w:i/>
          <w:sz w:val="22"/>
          <w:szCs w:val="22"/>
        </w:rPr>
        <w:t xml:space="preserve">. </w:t>
      </w:r>
      <w:r w:rsidRPr="00F82A1C">
        <w:rPr>
          <w:rFonts w:ascii="Palatino Linotype" w:hAnsi="Palatino Linotype"/>
          <w:i/>
          <w:sz w:val="22"/>
          <w:szCs w:val="22"/>
        </w:rPr>
        <w:t>La negativa a la información solicitada</w:t>
      </w:r>
      <w:r w:rsidR="00F81330" w:rsidRPr="00F82A1C">
        <w:rPr>
          <w:rFonts w:ascii="Palatino Linotype" w:hAnsi="Palatino Linotype"/>
          <w:i/>
          <w:sz w:val="22"/>
          <w:szCs w:val="22"/>
        </w:rPr>
        <w:t>…</w:t>
      </w:r>
      <w:r w:rsidR="00854B1C" w:rsidRPr="00F82A1C">
        <w:rPr>
          <w:rFonts w:ascii="Palatino Linotype" w:hAnsi="Palatino Linotype"/>
          <w:i/>
          <w:sz w:val="22"/>
          <w:szCs w:val="22"/>
        </w:rPr>
        <w:t>”</w:t>
      </w:r>
    </w:p>
    <w:p w14:paraId="76E11D43" w14:textId="77777777" w:rsidR="00854B1C" w:rsidRDefault="00854B1C" w:rsidP="00E115C4">
      <w:pPr>
        <w:pStyle w:val="paragraph"/>
        <w:spacing w:before="240" w:beforeAutospacing="0" w:after="240" w:afterAutospacing="0" w:line="360" w:lineRule="auto"/>
        <w:ind w:right="-91"/>
        <w:contextualSpacing/>
        <w:jc w:val="both"/>
        <w:textAlignment w:val="baseline"/>
        <w:rPr>
          <w:rFonts w:ascii="Palatino Linotype" w:hAnsi="Palatino Linotype"/>
          <w:b/>
          <w:i/>
          <w:sz w:val="22"/>
          <w:szCs w:val="22"/>
        </w:rPr>
      </w:pPr>
    </w:p>
    <w:p w14:paraId="352C8A8D" w14:textId="77777777" w:rsidR="002E5396" w:rsidRPr="00AA23D5" w:rsidRDefault="002E5396" w:rsidP="002E5396">
      <w:pPr>
        <w:pStyle w:val="paragraph"/>
        <w:spacing w:before="0" w:beforeAutospacing="0" w:after="240" w:afterAutospacing="0" w:line="360" w:lineRule="auto"/>
        <w:ind w:right="-150"/>
        <w:jc w:val="both"/>
        <w:textAlignment w:val="baseline"/>
        <w:rPr>
          <w:rStyle w:val="normaltextrun"/>
          <w:rFonts w:ascii="Palatino Linotype" w:hAnsi="Palatino Linotype" w:cs="Segoe UI"/>
        </w:rPr>
      </w:pPr>
      <w:r w:rsidRPr="00080788">
        <w:rPr>
          <w:rFonts w:ascii="Palatino Linotype" w:hAnsi="Palatino Linotype" w:cs="Arial"/>
          <w:b/>
        </w:rPr>
        <w:t>Tercero. Materia de Revisión</w:t>
      </w:r>
      <w:r w:rsidRPr="00080788">
        <w:rPr>
          <w:rFonts w:ascii="Palatino Linotype" w:hAnsi="Palatino Linotype" w:cs="Arial"/>
        </w:rPr>
        <w:t xml:space="preserve">: </w:t>
      </w:r>
      <w:r w:rsidRPr="00AA23D5">
        <w:rPr>
          <w:rStyle w:val="normaltextrun"/>
          <w:rFonts w:ascii="Palatino Linotype" w:hAnsi="Palatino Linotype" w:cs="Segoe UI"/>
        </w:rPr>
        <w:t>Con base en</w:t>
      </w:r>
      <w:r w:rsidR="00FC163C">
        <w:rPr>
          <w:rStyle w:val="normaltextrun"/>
          <w:rFonts w:ascii="Palatino Linotype" w:hAnsi="Palatino Linotype" w:cs="Segoe UI"/>
        </w:rPr>
        <w:t xml:space="preserve"> las constancias que obran en los</w:t>
      </w:r>
      <w:r w:rsidRPr="00AA23D5">
        <w:rPr>
          <w:rStyle w:val="normaltextrun"/>
          <w:rFonts w:ascii="Palatino Linotype" w:hAnsi="Palatino Linotype" w:cs="Segoe UI"/>
        </w:rPr>
        <w:t xml:space="preserve"> expediente</w:t>
      </w:r>
      <w:r w:rsidR="00FC163C">
        <w:rPr>
          <w:rStyle w:val="normaltextrun"/>
          <w:rFonts w:ascii="Palatino Linotype" w:hAnsi="Palatino Linotype" w:cs="Segoe UI"/>
        </w:rPr>
        <w:t>s</w:t>
      </w:r>
      <w:r w:rsidRPr="00AA23D5">
        <w:rPr>
          <w:rStyle w:val="normaltextrun"/>
          <w:rFonts w:ascii="Palatino Linotype" w:hAnsi="Palatino Linotype" w:cs="Segoe UI"/>
        </w:rPr>
        <w:t xml:space="preserve"> que se actúa</w:t>
      </w:r>
      <w:r w:rsidR="00FC163C">
        <w:rPr>
          <w:rStyle w:val="normaltextrun"/>
          <w:rFonts w:ascii="Palatino Linotype" w:hAnsi="Palatino Linotype" w:cs="Segoe UI"/>
        </w:rPr>
        <w:t>n</w:t>
      </w:r>
      <w:r w:rsidRPr="00AA23D5">
        <w:rPr>
          <w:rStyle w:val="normaltextrun"/>
          <w:rFonts w:ascii="Palatino Linotype" w:hAnsi="Palatino Linotype" w:cs="Segoe UI"/>
        </w:rPr>
        <w:t>, este Instituto tiene la convicción de que la presente resolución tiene como objetivo central determinar si la respuesta</w:t>
      </w:r>
      <w:r w:rsidR="002D2022">
        <w:rPr>
          <w:rStyle w:val="normaltextrun"/>
          <w:rFonts w:ascii="Palatino Linotype" w:hAnsi="Palatino Linotype" w:cs="Segoe UI"/>
        </w:rPr>
        <w:t>, proporcionada</w:t>
      </w:r>
      <w:r w:rsidR="00CD1FAF">
        <w:rPr>
          <w:rStyle w:val="normaltextrun"/>
          <w:rFonts w:ascii="Palatino Linotype" w:hAnsi="Palatino Linotype" w:cs="Segoe UI"/>
        </w:rPr>
        <w:t xml:space="preserve"> </w:t>
      </w:r>
      <w:r w:rsidRPr="00AA23D5">
        <w:rPr>
          <w:rStyle w:val="normaltextrun"/>
          <w:rFonts w:ascii="Palatino Linotype" w:hAnsi="Palatino Linotype" w:cs="Segoe UI"/>
        </w:rPr>
        <w:t xml:space="preserve">por el </w:t>
      </w:r>
      <w:r w:rsidR="00AA23D5" w:rsidRPr="00AA23D5">
        <w:rPr>
          <w:rStyle w:val="normaltextrun"/>
          <w:rFonts w:ascii="Palatino Linotype" w:hAnsi="Palatino Linotype" w:cs="Segoe UI"/>
        </w:rPr>
        <w:t>Sujeto Obligado</w:t>
      </w:r>
      <w:r w:rsidR="002D2022">
        <w:rPr>
          <w:rStyle w:val="normaltextrun"/>
          <w:rFonts w:ascii="Palatino Linotype" w:hAnsi="Palatino Linotype" w:cs="Segoe UI"/>
        </w:rPr>
        <w:t>, es correcta y suficiente</w:t>
      </w:r>
      <w:r w:rsidRPr="00AA23D5">
        <w:rPr>
          <w:rStyle w:val="normaltextrun"/>
          <w:rFonts w:ascii="Palatino Linotype" w:hAnsi="Palatino Linotype" w:cs="Segoe UI"/>
        </w:rPr>
        <w:t xml:space="preserve"> para tener por atendida la solicitud de acceso a la información.</w:t>
      </w:r>
    </w:p>
    <w:p w14:paraId="08CC1CC4" w14:textId="77777777" w:rsidR="00D35465" w:rsidRDefault="002E5396" w:rsidP="002E5396">
      <w:pPr>
        <w:spacing w:before="240" w:after="240" w:line="360" w:lineRule="auto"/>
        <w:jc w:val="both"/>
        <w:rPr>
          <w:rFonts w:ascii="Palatino Linotype" w:hAnsi="Palatino Linotype"/>
        </w:rPr>
      </w:pPr>
      <w:r w:rsidRPr="00340981">
        <w:rPr>
          <w:rFonts w:ascii="Palatino Linotype" w:hAnsi="Palatino Linotype" w:cs="Arial"/>
          <w:b/>
        </w:rPr>
        <w:t xml:space="preserve">Cuarto. Estudio de fondo del asunto. </w:t>
      </w:r>
      <w:r w:rsidRPr="00DE4E6A">
        <w:rPr>
          <w:rFonts w:ascii="Palatino Linotype" w:hAnsi="Palatino Linotype"/>
        </w:rPr>
        <w:t xml:space="preserve">Del análisis de la solicitud de información motivo del recurso de revisión </w:t>
      </w:r>
      <w:r w:rsidRPr="008E3BFA">
        <w:rPr>
          <w:rFonts w:ascii="Palatino Linotype" w:hAnsi="Palatino Linotype"/>
        </w:rPr>
        <w:t>que ahora se resuelve</w:t>
      </w:r>
      <w:r w:rsidR="00DE4E6A" w:rsidRPr="008E3BFA">
        <w:rPr>
          <w:rFonts w:ascii="Palatino Linotype" w:hAnsi="Palatino Linotype"/>
        </w:rPr>
        <w:t>,</w:t>
      </w:r>
      <w:r w:rsidRPr="008E3BFA">
        <w:rPr>
          <w:rFonts w:ascii="Palatino Linotype" w:hAnsi="Palatino Linotype"/>
        </w:rPr>
        <w:t xml:space="preserve"> se advier</w:t>
      </w:r>
      <w:r w:rsidR="00AA23D5" w:rsidRPr="008E3BFA">
        <w:rPr>
          <w:rFonts w:ascii="Palatino Linotype" w:hAnsi="Palatino Linotype"/>
        </w:rPr>
        <w:t>te</w:t>
      </w:r>
      <w:r w:rsidR="00DE4E6A" w:rsidRPr="008E3BFA">
        <w:rPr>
          <w:rFonts w:ascii="Palatino Linotype" w:hAnsi="Palatino Linotype"/>
        </w:rPr>
        <w:t xml:space="preserve"> que el particular requirió al</w:t>
      </w:r>
      <w:r w:rsidR="00154522" w:rsidRPr="008E3BFA">
        <w:rPr>
          <w:rFonts w:ascii="Palatino Linotype" w:hAnsi="Palatino Linotype"/>
        </w:rPr>
        <w:t xml:space="preserve"> </w:t>
      </w:r>
      <w:r w:rsidR="00EB2E0F" w:rsidRPr="002051C2">
        <w:rPr>
          <w:rFonts w:ascii="Palatino Linotype" w:hAnsi="Palatino Linotype"/>
        </w:rPr>
        <w:t>Ayun</w:t>
      </w:r>
      <w:r w:rsidR="002D2022" w:rsidRPr="002051C2">
        <w:rPr>
          <w:rFonts w:ascii="Palatino Linotype" w:hAnsi="Palatino Linotype"/>
        </w:rPr>
        <w:t xml:space="preserve">tamiento de </w:t>
      </w:r>
      <w:r w:rsidR="002051C2">
        <w:rPr>
          <w:rFonts w:ascii="Palatino Linotype" w:hAnsi="Palatino Linotype"/>
        </w:rPr>
        <w:t>Ayapango</w:t>
      </w:r>
      <w:r w:rsidR="00154522" w:rsidRPr="008E3BFA">
        <w:rPr>
          <w:rFonts w:ascii="Palatino Linotype" w:hAnsi="Palatino Linotype"/>
        </w:rPr>
        <w:t>,</w:t>
      </w:r>
      <w:r w:rsidR="00726A4A">
        <w:rPr>
          <w:rFonts w:ascii="Palatino Linotype" w:hAnsi="Palatino Linotype"/>
        </w:rPr>
        <w:t xml:space="preserve"> </w:t>
      </w:r>
      <w:r w:rsidR="00D35465" w:rsidRPr="008E3BFA">
        <w:rPr>
          <w:rFonts w:ascii="Palatino Linotype" w:hAnsi="Palatino Linotype"/>
        </w:rPr>
        <w:t>lo siguiente:</w:t>
      </w:r>
    </w:p>
    <w:p w14:paraId="19784101" w14:textId="77777777" w:rsidR="002D2022" w:rsidRPr="006F2DE5" w:rsidRDefault="002051C2" w:rsidP="006F2DE5">
      <w:pPr>
        <w:pStyle w:val="Prrafodelista"/>
        <w:spacing w:before="240" w:after="240" w:line="360" w:lineRule="auto"/>
        <w:ind w:left="720"/>
        <w:jc w:val="both"/>
        <w:rPr>
          <w:rFonts w:ascii="Palatino Linotype" w:hAnsi="Palatino Linotype"/>
          <w:highlight w:val="yellow"/>
        </w:rPr>
      </w:pPr>
      <w:r w:rsidRPr="006F2DE5">
        <w:rPr>
          <w:rFonts w:ascii="Palatino Linotype" w:eastAsia="Palatino Linotype" w:hAnsi="Palatino Linotype" w:cs="Palatino Linotype"/>
        </w:rPr>
        <w:t>Se solicitan los expedientes de adquisiciones por excepción a la Licitación Pública que se hayan realizado durante el ejercicio 2020</w:t>
      </w:r>
      <w:r w:rsidR="002D2022" w:rsidRPr="006F2DE5">
        <w:rPr>
          <w:rFonts w:ascii="Palatino Linotype" w:hAnsi="Palatino Linotype"/>
        </w:rPr>
        <w:t>.</w:t>
      </w:r>
    </w:p>
    <w:p w14:paraId="356286E0" w14:textId="77777777" w:rsidR="0099311E" w:rsidRPr="0099311E" w:rsidRDefault="002E5396" w:rsidP="008E520C">
      <w:pPr>
        <w:spacing w:before="240" w:after="240" w:line="360" w:lineRule="auto"/>
        <w:jc w:val="both"/>
        <w:rPr>
          <w:rFonts w:ascii="Palatino Linotype" w:hAnsi="Palatino Linotype"/>
        </w:rPr>
      </w:pPr>
      <w:r w:rsidRPr="0099311E">
        <w:rPr>
          <w:rFonts w:ascii="Palatino Linotype" w:hAnsi="Palatino Linotype"/>
        </w:rPr>
        <w:lastRenderedPageBreak/>
        <w:t xml:space="preserve">Por su parte el Sujeto Obligado </w:t>
      </w:r>
      <w:r w:rsidR="00340981" w:rsidRPr="0099311E">
        <w:rPr>
          <w:rFonts w:ascii="Palatino Linotype" w:hAnsi="Palatino Linotype"/>
        </w:rPr>
        <w:t>emitió su r</w:t>
      </w:r>
      <w:r w:rsidR="00D642F2" w:rsidRPr="0099311E">
        <w:rPr>
          <w:rFonts w:ascii="Palatino Linotype" w:hAnsi="Palatino Linotype"/>
        </w:rPr>
        <w:t xml:space="preserve">espuesta </w:t>
      </w:r>
      <w:r w:rsidR="007F0AED">
        <w:rPr>
          <w:rFonts w:ascii="Palatino Linotype" w:hAnsi="Palatino Linotype"/>
        </w:rPr>
        <w:t>a través de</w:t>
      </w:r>
      <w:r w:rsidR="00973438">
        <w:rPr>
          <w:rFonts w:ascii="Palatino Linotype" w:hAnsi="Palatino Linotype"/>
        </w:rPr>
        <w:t xml:space="preserve">l </w:t>
      </w:r>
      <w:r w:rsidR="007F0AED">
        <w:rPr>
          <w:rFonts w:ascii="Palatino Linotype" w:hAnsi="Palatino Linotype"/>
        </w:rPr>
        <w:t>oficio</w:t>
      </w:r>
      <w:r w:rsidR="00973438">
        <w:rPr>
          <w:rFonts w:ascii="Palatino Linotype" w:hAnsi="Palatino Linotype"/>
        </w:rPr>
        <w:t xml:space="preserve"> electrónico siguiente</w:t>
      </w:r>
      <w:r w:rsidR="0099311E" w:rsidRPr="0099311E">
        <w:rPr>
          <w:rFonts w:ascii="Palatino Linotype" w:hAnsi="Palatino Linotype"/>
        </w:rPr>
        <w:t>:</w:t>
      </w:r>
    </w:p>
    <w:p w14:paraId="1FDD0C1B" w14:textId="4DC9E005" w:rsidR="002D2022" w:rsidRPr="003F1CDE" w:rsidRDefault="002D2022" w:rsidP="00DD33AE">
      <w:pPr>
        <w:spacing w:before="240" w:after="240" w:line="360" w:lineRule="auto"/>
        <w:jc w:val="both"/>
        <w:rPr>
          <w:rFonts w:ascii="Palatino Linotype" w:hAnsi="Palatino Linotype" w:cs="Arial"/>
          <w:highlight w:val="yellow"/>
        </w:rPr>
      </w:pPr>
      <w:r w:rsidRPr="0069468B">
        <w:rPr>
          <w:rFonts w:ascii="Palatino Linotype" w:hAnsi="Palatino Linotype" w:cs="Arial"/>
        </w:rPr>
        <w:t>“</w:t>
      </w:r>
      <w:hyperlink r:id="rId9" w:tgtFrame="_blank" w:history="1">
        <w:r w:rsidRPr="0069468B">
          <w:rPr>
            <w:rFonts w:ascii="Palatino Linotype" w:hAnsi="Palatino Linotype"/>
          </w:rPr>
          <w:t xml:space="preserve">Oficio Respuesta </w:t>
        </w:r>
        <w:r w:rsidR="0069468B" w:rsidRPr="0069468B">
          <w:rPr>
            <w:rFonts w:ascii="Palatino Linotype" w:hAnsi="Palatino Linotype"/>
          </w:rPr>
          <w:t>00014.pdf</w:t>
        </w:r>
      </w:hyperlink>
      <w:r w:rsidRPr="0069468B">
        <w:rPr>
          <w:rFonts w:ascii="Palatino Linotype" w:hAnsi="Palatino Linotype" w:cs="Arial"/>
        </w:rPr>
        <w:t xml:space="preserve">”, el cual contiene el oficio número </w:t>
      </w:r>
      <w:r w:rsidR="0069468B" w:rsidRPr="0069468B">
        <w:rPr>
          <w:rFonts w:ascii="Palatino Linotype" w:hAnsi="Palatino Linotype" w:cs="Arial"/>
        </w:rPr>
        <w:t>AYPG/TM/000875/2021</w:t>
      </w:r>
      <w:r w:rsidRPr="0069468B">
        <w:rPr>
          <w:rFonts w:ascii="Palatino Linotype" w:hAnsi="Palatino Linotype" w:cs="Arial"/>
        </w:rPr>
        <w:t xml:space="preserve">, por medio del cual </w:t>
      </w:r>
      <w:r w:rsidR="0069468B" w:rsidRPr="0069468B">
        <w:rPr>
          <w:rFonts w:ascii="Palatino Linotype" w:hAnsi="Palatino Linotype" w:cs="Arial"/>
        </w:rPr>
        <w:t>la</w:t>
      </w:r>
      <w:r w:rsidRPr="0069468B">
        <w:rPr>
          <w:rFonts w:ascii="Palatino Linotype" w:hAnsi="Palatino Linotype" w:cs="Arial"/>
        </w:rPr>
        <w:t xml:space="preserve"> </w:t>
      </w:r>
      <w:r w:rsidR="0069468B" w:rsidRPr="0069468B">
        <w:rPr>
          <w:rFonts w:ascii="Palatino Linotype" w:hAnsi="Palatino Linotype" w:cs="Arial"/>
        </w:rPr>
        <w:t xml:space="preserve">Directora de Finanzas y </w:t>
      </w:r>
      <w:r w:rsidR="00971EFF" w:rsidRPr="0069468B">
        <w:rPr>
          <w:rFonts w:ascii="Palatino Linotype" w:hAnsi="Palatino Linotype" w:cs="Arial"/>
        </w:rPr>
        <w:t>Tesorería</w:t>
      </w:r>
      <w:r w:rsidRPr="0069468B">
        <w:rPr>
          <w:rFonts w:ascii="Palatino Linotype" w:hAnsi="Palatino Linotype" w:cs="Arial"/>
        </w:rPr>
        <w:t xml:space="preserve"> </w:t>
      </w:r>
      <w:r w:rsidR="00496866" w:rsidRPr="0069468B">
        <w:rPr>
          <w:rFonts w:ascii="Palatino Linotype" w:hAnsi="Palatino Linotype" w:cs="Arial"/>
        </w:rPr>
        <w:t xml:space="preserve">informó al Titular de la Unidad de Transparencia, ambos del Ayuntamiento de </w:t>
      </w:r>
      <w:r w:rsidR="0069468B" w:rsidRPr="0069468B">
        <w:rPr>
          <w:rFonts w:ascii="Palatino Linotype" w:hAnsi="Palatino Linotype" w:cs="Arial"/>
        </w:rPr>
        <w:t>Ayapango</w:t>
      </w:r>
      <w:r w:rsidR="00496866" w:rsidRPr="0069468B">
        <w:rPr>
          <w:rFonts w:ascii="Palatino Linotype" w:hAnsi="Palatino Linotype" w:cs="Arial"/>
        </w:rPr>
        <w:t xml:space="preserve">, </w:t>
      </w:r>
      <w:r w:rsidR="0069468B" w:rsidRPr="0069468B">
        <w:rPr>
          <w:rFonts w:ascii="Palatino Linotype" w:hAnsi="Palatino Linotype" w:cs="Arial"/>
        </w:rPr>
        <w:t>sobre el particular, me permito solicitarle se especifique el tipo de información requerida</w:t>
      </w:r>
      <w:r w:rsidR="0069468B">
        <w:rPr>
          <w:rFonts w:ascii="Palatino Linotype" w:hAnsi="Palatino Linotype" w:cs="Arial"/>
        </w:rPr>
        <w:t>.</w:t>
      </w:r>
      <w:r w:rsidR="00496866" w:rsidRPr="003F1CDE">
        <w:rPr>
          <w:rFonts w:ascii="Palatino Linotype" w:hAnsi="Palatino Linotype" w:cs="Arial"/>
          <w:highlight w:val="yellow"/>
        </w:rPr>
        <w:t xml:space="preserve"> </w:t>
      </w:r>
    </w:p>
    <w:p w14:paraId="7E261B48" w14:textId="77777777" w:rsidR="00C10079" w:rsidRDefault="00DD33AE" w:rsidP="00DD33AE">
      <w:pPr>
        <w:spacing w:before="240" w:after="240" w:line="360" w:lineRule="auto"/>
        <w:jc w:val="both"/>
        <w:rPr>
          <w:rFonts w:ascii="Palatino Linotype" w:hAnsi="Palatino Linotype" w:cs="Arial"/>
        </w:rPr>
      </w:pPr>
      <w:r w:rsidRPr="006A6677">
        <w:rPr>
          <w:rFonts w:ascii="Palatino Linotype" w:hAnsi="Palatino Linotype" w:cs="Arial"/>
        </w:rPr>
        <w:t>Inconforme el recurrente</w:t>
      </w:r>
      <w:r w:rsidR="00C10079" w:rsidRPr="006A6677">
        <w:rPr>
          <w:rFonts w:ascii="Palatino Linotype" w:hAnsi="Palatino Linotype" w:cs="Arial"/>
        </w:rPr>
        <w:t xml:space="preserve"> con la respuesta</w:t>
      </w:r>
      <w:r w:rsidRPr="006A6677">
        <w:rPr>
          <w:rFonts w:ascii="Palatino Linotype" w:hAnsi="Palatino Linotype" w:cs="Arial"/>
        </w:rPr>
        <w:t>, interpuso el Recurso d</w:t>
      </w:r>
      <w:r w:rsidR="00C10079" w:rsidRPr="006A6677">
        <w:rPr>
          <w:rFonts w:ascii="Palatino Linotype" w:hAnsi="Palatino Linotype" w:cs="Arial"/>
        </w:rPr>
        <w:t xml:space="preserve">e Revisión </w:t>
      </w:r>
      <w:r w:rsidR="004757B2">
        <w:rPr>
          <w:rFonts w:ascii="Palatino Linotype" w:hAnsi="Palatino Linotype" w:cs="Arial"/>
        </w:rPr>
        <w:t>no entrega la información y solicita una especificación de la información solicitada sin adecuarse a lo estipulado en la Ley de Transparencia.</w:t>
      </w:r>
    </w:p>
    <w:p w14:paraId="16F19132" w14:textId="27361517" w:rsidR="00C52873" w:rsidRDefault="00C52873" w:rsidP="00C52873">
      <w:pPr>
        <w:spacing w:before="240" w:after="240" w:line="360" w:lineRule="auto"/>
        <w:jc w:val="both"/>
        <w:rPr>
          <w:rFonts w:ascii="Palatino Linotype" w:hAnsi="Palatino Linotype"/>
        </w:rPr>
      </w:pPr>
      <w:r w:rsidRPr="0019366F">
        <w:rPr>
          <w:rFonts w:ascii="Palatino Linotype" w:hAnsi="Palatino Linotype"/>
        </w:rPr>
        <w:t xml:space="preserve">En tal contexto, del análisis de las constancias que integran el expediente en que se </w:t>
      </w:r>
      <w:r w:rsidR="00A7660E" w:rsidRPr="0019366F">
        <w:rPr>
          <w:rFonts w:ascii="Palatino Linotype" w:hAnsi="Palatino Linotype"/>
        </w:rPr>
        <w:t>actúa,</w:t>
      </w:r>
      <w:r w:rsidRPr="0019366F">
        <w:rPr>
          <w:rFonts w:ascii="Palatino Linotype" w:hAnsi="Palatino Linotype"/>
        </w:rPr>
        <w:t xml:space="preserve"> así como de la materia </w:t>
      </w:r>
      <w:r w:rsidRPr="00080788">
        <w:rPr>
          <w:rFonts w:ascii="Palatino Linotype" w:hAnsi="Palatino Linotype"/>
        </w:rPr>
        <w:t>sobre la que versa la solicitud de acceso a la informa</w:t>
      </w:r>
      <w:r>
        <w:rPr>
          <w:rFonts w:ascii="Palatino Linotype" w:hAnsi="Palatino Linotype"/>
        </w:rPr>
        <w:t>ción pública, se advierte que los</w:t>
      </w:r>
      <w:r w:rsidRPr="00080788">
        <w:rPr>
          <w:rFonts w:ascii="Palatino Linotype" w:hAnsi="Palatino Linotype"/>
        </w:rPr>
        <w:t xml:space="preserve"> motivo</w:t>
      </w:r>
      <w:r>
        <w:rPr>
          <w:rFonts w:ascii="Palatino Linotype" w:hAnsi="Palatino Linotype"/>
        </w:rPr>
        <w:t>s</w:t>
      </w:r>
      <w:r w:rsidRPr="00080788">
        <w:rPr>
          <w:rFonts w:ascii="Palatino Linotype" w:hAnsi="Palatino Linotype"/>
        </w:rPr>
        <w:t xml:space="preserve"> de </w:t>
      </w:r>
      <w:r>
        <w:rPr>
          <w:rFonts w:ascii="Palatino Linotype" w:hAnsi="Palatino Linotype"/>
        </w:rPr>
        <w:t>inconformidad acontecen</w:t>
      </w:r>
      <w:r w:rsidR="003F22DD">
        <w:rPr>
          <w:rFonts w:ascii="Palatino Linotype" w:hAnsi="Palatino Linotype"/>
        </w:rPr>
        <w:t xml:space="preserve"> </w:t>
      </w:r>
      <w:r w:rsidR="002F0E46">
        <w:rPr>
          <w:rFonts w:ascii="Palatino Linotype" w:hAnsi="Palatino Linotype"/>
        </w:rPr>
        <w:t xml:space="preserve">fundados para </w:t>
      </w:r>
      <w:r w:rsidR="00832F6B">
        <w:rPr>
          <w:rFonts w:ascii="Palatino Linotype" w:hAnsi="Palatino Linotype"/>
        </w:rPr>
        <w:t>revocar</w:t>
      </w:r>
      <w:r w:rsidRPr="0063409B">
        <w:rPr>
          <w:rFonts w:ascii="Palatino Linotype" w:hAnsi="Palatino Linotype"/>
        </w:rPr>
        <w:t xml:space="preserve"> la respuesta del Sujeto Obligado</w:t>
      </w:r>
      <w:r>
        <w:rPr>
          <w:rFonts w:ascii="Palatino Linotype" w:hAnsi="Palatino Linotype"/>
        </w:rPr>
        <w:t xml:space="preserve"> y ordenar la entrega de la información en versión pública, </w:t>
      </w:r>
      <w:r w:rsidRPr="0063409B">
        <w:rPr>
          <w:rFonts w:ascii="Palatino Linotype" w:hAnsi="Palatino Linotype"/>
        </w:rPr>
        <w:t>en razón de las consideraciones de derecho que a continuación se exponen:</w:t>
      </w:r>
    </w:p>
    <w:p w14:paraId="4C5BDE57" w14:textId="77777777" w:rsidR="00C52873" w:rsidRDefault="00C52873" w:rsidP="00C52873">
      <w:pPr>
        <w:spacing w:before="240" w:after="240" w:line="360" w:lineRule="auto"/>
        <w:jc w:val="both"/>
        <w:rPr>
          <w:rFonts w:ascii="Palatino Linotype" w:hAnsi="Palatino Linotype" w:cs="Arial"/>
        </w:rPr>
      </w:pPr>
      <w:r w:rsidRPr="00292848">
        <w:rPr>
          <w:rFonts w:ascii="Palatino Linotype" w:hAnsi="Palatino Linotype" w:cs="Arial"/>
        </w:rPr>
        <w:t xml:space="preserve">En primer lugar, </w:t>
      </w:r>
      <w:r w:rsidRPr="00292848">
        <w:rPr>
          <w:rFonts w:ascii="Palatino Linotype" w:eastAsia="Calibri" w:hAnsi="Palatino Linotype" w:cs="Arial"/>
          <w:lang w:val="es-MX" w:eastAsia="en-US"/>
        </w:rPr>
        <w:t>es conveniente analizar si la respuesta</w:t>
      </w:r>
      <w:r w:rsidR="00A147B8" w:rsidRPr="00292848">
        <w:rPr>
          <w:rFonts w:ascii="Palatino Linotype" w:eastAsia="Calibri" w:hAnsi="Palatino Linotype" w:cs="Arial"/>
          <w:lang w:val="es-MX" w:eastAsia="en-US"/>
        </w:rPr>
        <w:t xml:space="preserve"> </w:t>
      </w:r>
      <w:r w:rsidRPr="00292848">
        <w:rPr>
          <w:rFonts w:ascii="Palatino Linotype" w:eastAsia="Calibri" w:hAnsi="Palatino Linotype" w:cs="Arial"/>
          <w:lang w:val="es-MX" w:eastAsia="en-US"/>
        </w:rPr>
        <w:t xml:space="preserve">del </w:t>
      </w:r>
      <w:r w:rsidRPr="00292848">
        <w:rPr>
          <w:rFonts w:ascii="Palatino Linotype" w:eastAsia="Calibri" w:hAnsi="Palatino Linotype" w:cs="Arial"/>
          <w:b/>
          <w:lang w:val="es-MX" w:eastAsia="en-US"/>
        </w:rPr>
        <w:t>Sujeto Obligado</w:t>
      </w:r>
      <w:r w:rsidRPr="00292848">
        <w:rPr>
          <w:rFonts w:ascii="Palatino Linotype" w:eastAsia="Calibri" w:hAnsi="Palatino Linotype" w:cs="Arial"/>
          <w:lang w:val="es-MX" w:eastAsia="en-US"/>
        </w:rPr>
        <w:t xml:space="preserve"> cumple con los requisitos y procedimientos </w:t>
      </w:r>
      <w:r w:rsidRPr="00A147B8">
        <w:rPr>
          <w:rFonts w:ascii="Palatino Linotype" w:eastAsia="Calibri" w:hAnsi="Palatino Linotype" w:cs="Arial"/>
          <w:lang w:val="es-MX" w:eastAsia="en-US"/>
        </w:rPr>
        <w:t xml:space="preserve">del derecho de acceso a la información pública, en atención a que en la </w:t>
      </w:r>
      <w:r w:rsidRPr="00A147B8">
        <w:rPr>
          <w:rFonts w:ascii="Palatino Linotype" w:hAnsi="Palatino Linotype" w:cs="Arial"/>
        </w:rPr>
        <w:t>Ley de Transparencia y Acceso</w:t>
      </w:r>
      <w:r w:rsidRPr="007122F1">
        <w:rPr>
          <w:rFonts w:ascii="Palatino Linotype" w:hAnsi="Palatino Linotype" w:cs="Arial"/>
        </w:rPr>
        <w:t xml:space="preserve"> a la Información Pública del Estado de México y Municipios en su artículo 4, que dice que toda la información generada, obtenida, adquirida, transformada, administrada o en posesión de los sujetos obligados es pública y accesible de manera permanente a cualquier persona, </w:t>
      </w:r>
      <w:r w:rsidRPr="000534DD">
        <w:rPr>
          <w:rFonts w:ascii="Palatino Linotype" w:hAnsi="Palatino Linotype" w:cs="Arial"/>
        </w:rPr>
        <w:lastRenderedPageBreak/>
        <w:t xml:space="preserve">privilegiando el principio de máxima publicidad, como </w:t>
      </w:r>
      <w:r>
        <w:rPr>
          <w:rFonts w:ascii="Palatino Linotype" w:hAnsi="Palatino Linotype" w:cs="Arial"/>
        </w:rPr>
        <w:t>así lo establece dicha determinación, que a continuación se trascribe para un mejor entendimiento:</w:t>
      </w:r>
    </w:p>
    <w:p w14:paraId="7B6D8BC4" w14:textId="77777777" w:rsidR="00C52873" w:rsidRDefault="00C52873" w:rsidP="00C52873">
      <w:pPr>
        <w:spacing w:before="240" w:after="240"/>
        <w:ind w:left="709" w:right="760"/>
        <w:contextualSpacing/>
        <w:jc w:val="both"/>
        <w:rPr>
          <w:rFonts w:ascii="Palatino Linotype" w:hAnsi="Palatino Linotype" w:cs="Arial"/>
          <w:i/>
          <w:sz w:val="22"/>
          <w:szCs w:val="22"/>
        </w:rPr>
      </w:pPr>
      <w:r>
        <w:rPr>
          <w:rFonts w:ascii="Palatino Linotype" w:hAnsi="Palatino Linotype" w:cs="Arial"/>
          <w:i/>
          <w:sz w:val="22"/>
          <w:szCs w:val="22"/>
        </w:rPr>
        <w:t>“</w:t>
      </w:r>
      <w:r w:rsidRPr="001013A9">
        <w:rPr>
          <w:rFonts w:ascii="Palatino Linotype" w:hAnsi="Palatino Linotype" w:cs="Arial"/>
          <w:b/>
          <w:i/>
          <w:sz w:val="22"/>
          <w:szCs w:val="22"/>
        </w:rPr>
        <w:t>Artículo 4</w:t>
      </w:r>
      <w:r w:rsidRPr="004B2697">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497C814" w14:textId="77777777" w:rsidR="00C52873" w:rsidRDefault="00C52873" w:rsidP="00C52873">
      <w:pPr>
        <w:spacing w:before="240" w:after="240"/>
        <w:ind w:left="709" w:right="760"/>
        <w:contextualSpacing/>
        <w:jc w:val="both"/>
        <w:rPr>
          <w:rFonts w:ascii="Palatino Linotype" w:hAnsi="Palatino Linotype" w:cs="Arial"/>
          <w:i/>
          <w:sz w:val="22"/>
          <w:szCs w:val="22"/>
        </w:rPr>
      </w:pPr>
      <w:r w:rsidRPr="000756A1">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w:t>
      </w:r>
      <w:r w:rsidRPr="004B2697">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DE37411" w14:textId="77777777" w:rsidR="00C52873" w:rsidRDefault="00C52873" w:rsidP="00C52873">
      <w:pPr>
        <w:spacing w:before="240" w:after="240"/>
        <w:ind w:left="709" w:right="760"/>
        <w:contextualSpacing/>
        <w:jc w:val="both"/>
        <w:rPr>
          <w:rFonts w:ascii="Palatino Linotype" w:hAnsi="Palatino Linotype" w:cs="Arial"/>
          <w:i/>
          <w:sz w:val="22"/>
          <w:szCs w:val="22"/>
        </w:rPr>
      </w:pPr>
      <w:r w:rsidRPr="000756A1">
        <w:rPr>
          <w:rFonts w:ascii="Palatino Linotype" w:hAnsi="Palatino Linotype" w:cs="Arial"/>
          <w:b/>
          <w:i/>
          <w:sz w:val="22"/>
          <w:szCs w:val="22"/>
        </w:rPr>
        <w:t>Los sujetos obligados deben poner en práctica, políticas y programas de acceso a la información que se apeguen a criterios de publicidad, veracidad, oportunidad, precisión y suficiencia en beneficio de los solicitantes</w:t>
      </w:r>
      <w:r w:rsidR="00BB5235" w:rsidRPr="004B2697">
        <w:rPr>
          <w:rFonts w:ascii="Palatino Linotype" w:hAnsi="Palatino Linotype" w:cs="Arial"/>
          <w:i/>
          <w:sz w:val="22"/>
          <w:szCs w:val="22"/>
        </w:rPr>
        <w:t>.</w:t>
      </w:r>
      <w:r w:rsidR="00BB5235">
        <w:rPr>
          <w:rFonts w:ascii="Palatino Linotype" w:hAnsi="Palatino Linotype" w:cs="Arial"/>
          <w:i/>
          <w:sz w:val="22"/>
          <w:szCs w:val="22"/>
        </w:rPr>
        <w:t>” (</w:t>
      </w:r>
      <w:r>
        <w:rPr>
          <w:rFonts w:ascii="Palatino Linotype" w:hAnsi="Palatino Linotype" w:cs="Arial"/>
          <w:i/>
          <w:sz w:val="22"/>
          <w:szCs w:val="22"/>
        </w:rPr>
        <w:t>Sic)</w:t>
      </w:r>
    </w:p>
    <w:p w14:paraId="59E890FB" w14:textId="77777777" w:rsidR="00C52873" w:rsidRPr="004B2697" w:rsidRDefault="00C52873" w:rsidP="00C52873">
      <w:pPr>
        <w:spacing w:before="240" w:after="240"/>
        <w:ind w:left="709" w:right="760"/>
        <w:contextualSpacing/>
        <w:jc w:val="both"/>
        <w:rPr>
          <w:rFonts w:ascii="Palatino Linotype" w:hAnsi="Palatino Linotype" w:cs="Arial"/>
          <w:i/>
          <w:sz w:val="22"/>
          <w:szCs w:val="22"/>
        </w:rPr>
      </w:pPr>
    </w:p>
    <w:p w14:paraId="4A0EE119" w14:textId="77777777" w:rsidR="00C52873" w:rsidRDefault="00C52873" w:rsidP="00C52873">
      <w:pPr>
        <w:spacing w:before="240" w:after="240" w:line="360" w:lineRule="auto"/>
        <w:jc w:val="both"/>
        <w:rPr>
          <w:rFonts w:ascii="Palatino Linotype" w:hAnsi="Palatino Linotype" w:cs="Arial"/>
        </w:rPr>
      </w:pPr>
      <w:r>
        <w:rPr>
          <w:rFonts w:ascii="Palatino Linotype" w:hAnsi="Palatino Linotype" w:cs="Arial"/>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 que a la letra dice:</w:t>
      </w:r>
    </w:p>
    <w:p w14:paraId="37DE55D9" w14:textId="77777777" w:rsidR="00C52873" w:rsidRDefault="00C52873" w:rsidP="00C52873">
      <w:pPr>
        <w:spacing w:before="240" w:after="240"/>
        <w:ind w:left="567" w:right="758"/>
        <w:contextualSpacing/>
        <w:jc w:val="both"/>
        <w:rPr>
          <w:rFonts w:ascii="Palatino Linotype" w:hAnsi="Palatino Linotype" w:cs="Arial"/>
          <w:i/>
          <w:sz w:val="22"/>
          <w:szCs w:val="22"/>
        </w:rPr>
      </w:pPr>
      <w:r w:rsidRPr="001013A9">
        <w:rPr>
          <w:rFonts w:ascii="Palatino Linotype" w:hAnsi="Palatino Linotype" w:cs="Arial"/>
          <w:b/>
          <w:i/>
          <w:sz w:val="22"/>
          <w:szCs w:val="22"/>
        </w:rPr>
        <w:t>“Artículo 12.-</w:t>
      </w:r>
      <w:r>
        <w:rPr>
          <w:rFonts w:ascii="Palatino Linotype" w:hAnsi="Palatino Linotype" w:cs="Arial"/>
          <w:i/>
          <w:sz w:val="22"/>
          <w:szCs w:val="22"/>
        </w:rPr>
        <w:t xml:space="preserve"> </w:t>
      </w:r>
      <w:r w:rsidRPr="00B11B43">
        <w:rPr>
          <w:rFonts w:ascii="Palatino Linotype" w:hAnsi="Palatino Linotype" w:cs="Arial"/>
          <w:i/>
          <w:sz w:val="22"/>
          <w:szCs w:val="22"/>
        </w:rPr>
        <w:t xml:space="preserve">Quienes generen, recopilen, administren, manejen, procesen, archiven o conserven información pública serán responsables de la misma en los términos de las disposiciones jurídicas aplicables. </w:t>
      </w:r>
    </w:p>
    <w:p w14:paraId="67903089" w14:textId="77777777" w:rsidR="00C52873" w:rsidRDefault="00C52873" w:rsidP="00C52873">
      <w:pPr>
        <w:spacing w:before="240" w:after="240"/>
        <w:ind w:left="567" w:right="758"/>
        <w:contextualSpacing/>
        <w:jc w:val="both"/>
        <w:rPr>
          <w:rFonts w:ascii="Palatino Linotype" w:hAnsi="Palatino Linotype" w:cs="Arial"/>
          <w:i/>
          <w:sz w:val="22"/>
          <w:szCs w:val="22"/>
        </w:rPr>
      </w:pPr>
    </w:p>
    <w:p w14:paraId="21A2D548" w14:textId="77777777" w:rsidR="00C52873" w:rsidRPr="00B11B43" w:rsidRDefault="00C52873" w:rsidP="00C52873">
      <w:pPr>
        <w:spacing w:before="240" w:after="240"/>
        <w:ind w:left="567" w:right="758"/>
        <w:contextualSpacing/>
        <w:jc w:val="both"/>
        <w:rPr>
          <w:rFonts w:ascii="Palatino Linotype" w:hAnsi="Palatino Linotype" w:cs="Arial"/>
          <w:i/>
          <w:sz w:val="22"/>
          <w:szCs w:val="22"/>
        </w:rPr>
      </w:pPr>
      <w:r w:rsidRPr="000756A1">
        <w:rPr>
          <w:rFonts w:ascii="Palatino Linotype" w:hAnsi="Palatino Linotype" w:cs="Arial"/>
          <w:b/>
          <w:i/>
          <w:sz w:val="22"/>
          <w:szCs w:val="22"/>
        </w:rPr>
        <w:t>Los sujetos obligados sólo proporcionarán la información pública que se les requiera y que obre en sus archivos y en el estado en que ésta se encuentre</w:t>
      </w:r>
      <w:r w:rsidRPr="00B11B43">
        <w:rPr>
          <w:rFonts w:ascii="Palatino Linotype" w:hAnsi="Palatino Linotype" w:cs="Arial"/>
          <w:i/>
          <w:sz w:val="22"/>
          <w:szCs w:val="22"/>
        </w:rPr>
        <w:t xml:space="preserve">. </w:t>
      </w:r>
      <w:r w:rsidRPr="000756A1">
        <w:rPr>
          <w:rFonts w:ascii="Palatino Linotype" w:hAnsi="Palatino Linotype" w:cs="Arial"/>
          <w:b/>
          <w:i/>
          <w:sz w:val="22"/>
          <w:szCs w:val="22"/>
        </w:rPr>
        <w:t xml:space="preserve">La obligación de proporcionar información no comprende el procesamiento de la </w:t>
      </w:r>
      <w:r w:rsidRPr="000756A1">
        <w:rPr>
          <w:rFonts w:ascii="Palatino Linotype" w:hAnsi="Palatino Linotype" w:cs="Arial"/>
          <w:b/>
          <w:i/>
          <w:sz w:val="22"/>
          <w:szCs w:val="22"/>
        </w:rPr>
        <w:lastRenderedPageBreak/>
        <w:t>misma, ni el presentarla conforme al interés del solicitante; no estarán obligados a generarla, resumirla, efectuar cálculos o practicar investigaciones.</w:t>
      </w:r>
      <w:r>
        <w:rPr>
          <w:rFonts w:ascii="Palatino Linotype" w:hAnsi="Palatino Linotype" w:cs="Arial"/>
          <w:b/>
          <w:i/>
          <w:sz w:val="22"/>
          <w:szCs w:val="22"/>
        </w:rPr>
        <w:t>” (Sic)</w:t>
      </w:r>
    </w:p>
    <w:p w14:paraId="7EDCF901" w14:textId="77777777" w:rsidR="00C52873" w:rsidRDefault="00C52873" w:rsidP="00C52873">
      <w:pPr>
        <w:spacing w:line="360" w:lineRule="auto"/>
        <w:ind w:right="-93"/>
        <w:jc w:val="both"/>
        <w:rPr>
          <w:rFonts w:ascii="Palatino Linotype" w:hAnsi="Palatino Linotype" w:cs="Arial"/>
          <w:color w:val="000000"/>
        </w:rPr>
      </w:pPr>
    </w:p>
    <w:p w14:paraId="7E4990FF" w14:textId="77777777" w:rsidR="00C52873" w:rsidRDefault="00C52873" w:rsidP="00C52873">
      <w:pPr>
        <w:spacing w:line="360" w:lineRule="auto"/>
        <w:ind w:right="-93"/>
        <w:jc w:val="both"/>
        <w:rPr>
          <w:rFonts w:ascii="Palatino Linotype" w:hAnsi="Palatino Linotype" w:cs="Arial"/>
          <w:color w:val="000000"/>
        </w:rPr>
      </w:pPr>
      <w:r>
        <w:rPr>
          <w:rFonts w:ascii="Palatino Linotype" w:hAnsi="Palatino Linotype" w:cs="Arial"/>
          <w:color w:val="000000"/>
        </w:rPr>
        <w:t xml:space="preserve">Es decir, </w:t>
      </w:r>
      <w:r w:rsidRPr="00640A05">
        <w:rPr>
          <w:rFonts w:ascii="Palatino Linotype" w:hAnsi="Palatino Linotype" w:cs="Arial"/>
          <w:color w:val="000000"/>
        </w:rPr>
        <w:t xml:space="preserve">que todo sujeto obligado que genere, recopile, administre, procese, archive, posea o conserven, son responsables de la misma teniendo a su vez la obligación de proporcionar la información que se les requiera </w:t>
      </w:r>
      <w:r>
        <w:rPr>
          <w:rFonts w:ascii="Palatino Linotype" w:hAnsi="Palatino Linotype" w:cs="Arial"/>
          <w:color w:val="000000"/>
        </w:rPr>
        <w:t>sin necesidad de resumirla, efectuar procedimientos para obtenerla, calcular y practicar investigaciones; en otras palabras, que lo Sujetos Obligados solo se concretaran a proporcionar la información solicitada que tengan en su poder en el estado que se encuentran, sin necesidad de concretarse al interés o términos específicos del solicitante.</w:t>
      </w:r>
    </w:p>
    <w:p w14:paraId="674C8DBB" w14:textId="77777777" w:rsidR="002F0E46" w:rsidRDefault="002F0E46" w:rsidP="00C52873">
      <w:pPr>
        <w:spacing w:line="360" w:lineRule="auto"/>
        <w:ind w:right="-93"/>
        <w:jc w:val="both"/>
        <w:rPr>
          <w:rFonts w:ascii="Palatino Linotype" w:hAnsi="Palatino Linotype" w:cs="Arial"/>
          <w:color w:val="000000"/>
        </w:rPr>
      </w:pPr>
    </w:p>
    <w:p w14:paraId="7EE62BF3" w14:textId="77777777" w:rsidR="00C52873" w:rsidRDefault="00C52873" w:rsidP="00C52873">
      <w:pPr>
        <w:spacing w:line="360" w:lineRule="auto"/>
        <w:jc w:val="both"/>
        <w:rPr>
          <w:rFonts w:ascii="Palatino Linotype" w:hAnsi="Palatino Linotype"/>
          <w:b/>
          <w:bCs/>
          <w:color w:val="000000"/>
        </w:rPr>
      </w:pPr>
      <w:r>
        <w:rPr>
          <w:rFonts w:ascii="Palatino Linotype" w:hAnsi="Palatino Linotype" w:cs="Arial"/>
          <w:color w:val="000000"/>
        </w:rPr>
        <w:t xml:space="preserve">Sirve de apoyo a lo anterior, el criterio 03-17, expuesto por </w:t>
      </w:r>
      <w:r>
        <w:rPr>
          <w:rFonts w:ascii="Palatino Linotype" w:eastAsia="Arial Unicode MS" w:hAnsi="Palatino Linotype" w:cs="Arial"/>
          <w:color w:val="000000"/>
        </w:rPr>
        <w:t>el Instituto Nacional de Transparencia, Acceso a la Información y Protección de Datos Personales,</w:t>
      </w:r>
      <w:r>
        <w:rPr>
          <w:rFonts w:ascii="Palatino Linotype" w:hAnsi="Palatino Linotype"/>
          <w:bCs/>
          <w:color w:val="000000"/>
        </w:rPr>
        <w:t xml:space="preserve"> que dice:</w:t>
      </w:r>
      <w:r>
        <w:rPr>
          <w:rFonts w:ascii="Palatino Linotype" w:hAnsi="Palatino Linotype"/>
          <w:b/>
          <w:bCs/>
          <w:color w:val="000000"/>
        </w:rPr>
        <w:t xml:space="preserve"> </w:t>
      </w:r>
    </w:p>
    <w:p w14:paraId="5F31147E" w14:textId="77777777" w:rsidR="00C52873" w:rsidRDefault="00C52873" w:rsidP="00C52873">
      <w:pPr>
        <w:ind w:left="851" w:right="850"/>
        <w:jc w:val="both"/>
        <w:rPr>
          <w:rFonts w:ascii="Palatino Linotype" w:hAnsi="Palatino Linotype" w:cs="Arial"/>
          <w:color w:val="000000"/>
        </w:rPr>
      </w:pPr>
    </w:p>
    <w:p w14:paraId="78EC127E" w14:textId="77777777" w:rsidR="00C52873" w:rsidRDefault="00C52873" w:rsidP="00C5287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r>
        <w:rPr>
          <w:rFonts w:ascii="Palatino Linotype" w:hAnsi="Palatino Linotype" w:cs="Arial"/>
          <w:b/>
          <w:i/>
          <w:color w:val="000000"/>
          <w:sz w:val="22"/>
          <w:szCs w:val="22"/>
        </w:rPr>
        <w:t>No existe obligación de elaborar documentos ad hoc para atender las solicitudes de acceso a la información.</w:t>
      </w:r>
      <w:r>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38E5B1F" w14:textId="77777777" w:rsidR="00C52873" w:rsidRDefault="00C52873" w:rsidP="00C5287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 xml:space="preserve">Resoluciones: </w:t>
      </w:r>
    </w:p>
    <w:p w14:paraId="574A64BD" w14:textId="77777777" w:rsidR="00C52873" w:rsidRDefault="00C52873" w:rsidP="00C5287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14:paraId="5C079481" w14:textId="77777777" w:rsidR="00C52873" w:rsidRDefault="00C52873" w:rsidP="00C5287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14:paraId="29D8FDA5" w14:textId="77777777" w:rsidR="00C52873" w:rsidRDefault="00C52873" w:rsidP="00C5287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lastRenderedPageBreak/>
        <w:sym w:font="Symbol" w:char="F0B7"/>
      </w:r>
      <w:r>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14:paraId="0487622F" w14:textId="77777777" w:rsidR="00A147B8" w:rsidRDefault="00A147B8" w:rsidP="00C52873">
      <w:pPr>
        <w:spacing w:line="360" w:lineRule="auto"/>
        <w:jc w:val="both"/>
        <w:rPr>
          <w:rFonts w:ascii="Palatino Linotype" w:hAnsi="Palatino Linotype" w:cs="Arial"/>
        </w:rPr>
      </w:pPr>
    </w:p>
    <w:p w14:paraId="58CE643D" w14:textId="77777777" w:rsidR="00C52873" w:rsidRDefault="00C52873" w:rsidP="00C52873">
      <w:pPr>
        <w:spacing w:line="360" w:lineRule="auto"/>
        <w:jc w:val="both"/>
        <w:rPr>
          <w:rFonts w:ascii="Palatino Linotype" w:hAnsi="Palatino Linotype" w:cs="Arial"/>
          <w:color w:val="000000" w:themeColor="text1"/>
        </w:rPr>
      </w:pPr>
      <w:r>
        <w:rPr>
          <w:rFonts w:ascii="Palatino Linotype" w:hAnsi="Palatino Linotype" w:cs="Arial"/>
        </w:rPr>
        <w:t>En esa tesitura,</w:t>
      </w:r>
      <w:r w:rsidRPr="004975CB">
        <w:rPr>
          <w:rFonts w:ascii="Palatino Linotype" w:hAnsi="Palatino Linotype" w:cs="Arial"/>
        </w:rPr>
        <w:t xml:space="preserve"> </w:t>
      </w:r>
      <w:r>
        <w:rPr>
          <w:rFonts w:ascii="Palatino Linotype" w:hAnsi="Palatino Linotype" w:cs="Arial"/>
        </w:rPr>
        <w:t>el artículo 24 en su último párrafo de la Ley de la M</w:t>
      </w:r>
      <w:r w:rsidRPr="004975CB">
        <w:rPr>
          <w:rFonts w:ascii="Palatino Linotype" w:hAnsi="Palatino Linotype" w:cs="Arial"/>
        </w:rPr>
        <w:t xml:space="preserve">ateria, dispone que los Sujetos Obligados </w:t>
      </w:r>
      <w:r w:rsidRPr="009E12B6">
        <w:rPr>
          <w:rFonts w:ascii="Palatino Linotype" w:hAnsi="Palatino Linotype" w:cs="Arial"/>
          <w:color w:val="000000" w:themeColor="text1"/>
        </w:rPr>
        <w:t xml:space="preserve">sólo proporcionarán la información pública que </w:t>
      </w:r>
      <w:r w:rsidRPr="009E12B6">
        <w:rPr>
          <w:rFonts w:ascii="Palatino Linotype" w:hAnsi="Palatino Linotype" w:cs="Arial"/>
        </w:rPr>
        <w:t>generen</w:t>
      </w:r>
      <w:r w:rsidRPr="009E12B6">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w:t>
      </w:r>
      <w:r>
        <w:rPr>
          <w:rFonts w:ascii="Palatino Linotype" w:hAnsi="Palatino Linotype" w:cs="Arial"/>
          <w:color w:val="000000" w:themeColor="text1"/>
        </w:rPr>
        <w:t>jetos Obligados, garantizar el Derecho de Acceso a la Información Pública, lo que no sucedió en el presente caso.</w:t>
      </w:r>
    </w:p>
    <w:p w14:paraId="00E856B9" w14:textId="77777777" w:rsidR="00C52873" w:rsidRDefault="00C52873" w:rsidP="00C52873">
      <w:pPr>
        <w:spacing w:line="360" w:lineRule="auto"/>
        <w:jc w:val="both"/>
        <w:rPr>
          <w:rFonts w:ascii="Palatino Linotype" w:hAnsi="Palatino Linotype" w:cs="Arial"/>
          <w:color w:val="000000" w:themeColor="text1"/>
        </w:rPr>
      </w:pPr>
    </w:p>
    <w:p w14:paraId="6C53B386" w14:textId="77777777" w:rsidR="00C52873" w:rsidRDefault="00C52873" w:rsidP="00C52873">
      <w:pPr>
        <w:spacing w:before="240" w:after="240" w:line="360" w:lineRule="auto"/>
        <w:ind w:right="49"/>
        <w:contextualSpacing/>
        <w:jc w:val="both"/>
        <w:rPr>
          <w:rFonts w:ascii="Palatino Linotype" w:hAnsi="Palatino Linotype" w:cs="Arial"/>
        </w:rPr>
      </w:pPr>
      <w:r w:rsidRPr="00FC1F16">
        <w:rPr>
          <w:rFonts w:ascii="Palatino Linotype" w:hAnsi="Palatino Linotype" w:cs="Arial"/>
        </w:rPr>
        <w:t xml:space="preserve">Siempre </w:t>
      </w:r>
      <w:r>
        <w:rPr>
          <w:rFonts w:ascii="Palatino Linotype" w:hAnsi="Palatino Linotype" w:cs="Arial"/>
        </w:rPr>
        <w:t xml:space="preserve">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w:t>
      </w:r>
    </w:p>
    <w:p w14:paraId="621AFDFC" w14:textId="77777777" w:rsidR="00C52873" w:rsidRDefault="00C52873" w:rsidP="00C52873">
      <w:pPr>
        <w:spacing w:before="240" w:after="240" w:line="360" w:lineRule="auto"/>
        <w:ind w:right="49"/>
        <w:contextualSpacing/>
        <w:jc w:val="both"/>
        <w:rPr>
          <w:rFonts w:ascii="Palatino Linotype" w:hAnsi="Palatino Linotype" w:cs="Arial"/>
        </w:rPr>
      </w:pPr>
    </w:p>
    <w:p w14:paraId="408E9DEA" w14:textId="77777777" w:rsidR="00C52873" w:rsidRPr="004975CB" w:rsidRDefault="00C52873" w:rsidP="00C52873">
      <w:pPr>
        <w:spacing w:line="360" w:lineRule="auto"/>
        <w:jc w:val="both"/>
        <w:rPr>
          <w:rFonts w:ascii="Palatino Linotype" w:hAnsi="Palatino Linotype" w:cs="Arial"/>
        </w:rPr>
      </w:pPr>
      <w:r w:rsidRPr="004975CB">
        <w:rPr>
          <w:rFonts w:ascii="Palatino Linotype" w:hAnsi="Palatino Linotype" w:cs="Arial"/>
        </w:rPr>
        <w:t>En conclusión</w:t>
      </w:r>
      <w:r>
        <w:rPr>
          <w:rFonts w:ascii="Palatino Linotype" w:hAnsi="Palatino Linotype" w:cs="Arial"/>
        </w:rPr>
        <w:t>,</w:t>
      </w:r>
      <w:r w:rsidRPr="004975CB">
        <w:rPr>
          <w:rFonts w:ascii="Palatino Linotype" w:hAnsi="Palatino Linotype" w:cs="Arial"/>
        </w:rPr>
        <w:t xml:space="preserv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w:t>
      </w:r>
      <w:r w:rsidRPr="004975CB">
        <w:rPr>
          <w:rFonts w:ascii="Palatino Linotype" w:hAnsi="Palatino Linotype" w:cs="Arial"/>
        </w:rPr>
        <w:lastRenderedPageBreak/>
        <w:t xml:space="preserve">informático u holográfico de conformidad con el artículo 3, fracción XI de la Ley de la materia, el cual señala lo siguiente: </w:t>
      </w:r>
    </w:p>
    <w:p w14:paraId="3A4CED07" w14:textId="77777777" w:rsidR="00C52873" w:rsidRPr="004975CB" w:rsidRDefault="00C52873" w:rsidP="00C52873">
      <w:pPr>
        <w:ind w:left="851" w:right="899"/>
        <w:jc w:val="both"/>
        <w:rPr>
          <w:rFonts w:ascii="Palatino Linotype" w:hAnsi="Palatino Linotype" w:cs="Arial"/>
          <w:i/>
          <w:sz w:val="22"/>
          <w:szCs w:val="22"/>
        </w:rPr>
      </w:pPr>
    </w:p>
    <w:p w14:paraId="342E0946" w14:textId="77777777" w:rsidR="00C52873" w:rsidRPr="004975CB" w:rsidRDefault="00C52873" w:rsidP="00C52873">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r w:rsidRPr="004975CB">
        <w:rPr>
          <w:rFonts w:ascii="Palatino Linotype" w:hAnsi="Palatino Linotype" w:cs="Arial"/>
          <w:b/>
          <w:i/>
          <w:sz w:val="22"/>
          <w:szCs w:val="22"/>
        </w:rPr>
        <w:t xml:space="preserve">Artículo 3. </w:t>
      </w:r>
      <w:r w:rsidRPr="004975CB">
        <w:rPr>
          <w:rFonts w:ascii="Palatino Linotype" w:hAnsi="Palatino Linotype" w:cs="Arial"/>
          <w:i/>
          <w:sz w:val="22"/>
          <w:szCs w:val="22"/>
        </w:rPr>
        <w:t>Para los efectos de la presente Ley se entenderá por:</w:t>
      </w:r>
    </w:p>
    <w:p w14:paraId="65269333" w14:textId="77777777" w:rsidR="00C52873" w:rsidRPr="004975CB" w:rsidRDefault="00C52873" w:rsidP="00C52873">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p>
    <w:p w14:paraId="13EA0464" w14:textId="77777777" w:rsidR="00C52873" w:rsidRPr="009E12B6" w:rsidRDefault="00C52873" w:rsidP="00C52873">
      <w:pPr>
        <w:ind w:left="851" w:right="899"/>
        <w:jc w:val="both"/>
        <w:rPr>
          <w:rFonts w:ascii="Palatino Linotype" w:hAnsi="Palatino Linotype" w:cs="Arial"/>
          <w:i/>
          <w:color w:val="000000"/>
          <w:sz w:val="22"/>
          <w:szCs w:val="22"/>
        </w:rPr>
      </w:pPr>
      <w:r w:rsidRPr="009E12B6">
        <w:rPr>
          <w:rFonts w:ascii="Palatino Linotype" w:hAnsi="Palatino Linotype" w:cs="Arial"/>
          <w:b/>
          <w:i/>
          <w:color w:val="000000"/>
          <w:sz w:val="22"/>
          <w:szCs w:val="22"/>
        </w:rPr>
        <w:t>XI. Documento:</w:t>
      </w:r>
      <w:r w:rsidRPr="009E12B6">
        <w:rPr>
          <w:rFonts w:ascii="Palatino Linotype" w:hAnsi="Palatino Linotype" w:cs="Arial"/>
          <w:i/>
          <w:color w:val="000000"/>
          <w:sz w:val="22"/>
          <w:szCs w:val="22"/>
        </w:rPr>
        <w:t xml:space="preserve"> Los expedientes, reportes, estudios, </w:t>
      </w:r>
      <w:r w:rsidRPr="0019366F">
        <w:rPr>
          <w:rFonts w:ascii="Palatino Linotype" w:hAnsi="Palatino Linotype" w:cs="Arial"/>
          <w:i/>
          <w:color w:val="000000"/>
          <w:sz w:val="22"/>
          <w:szCs w:val="22"/>
        </w:rPr>
        <w:t>actas</w:t>
      </w:r>
      <w:r w:rsidRPr="0005622E">
        <w:rPr>
          <w:rFonts w:ascii="Palatino Linotype" w:hAnsi="Palatino Linotype" w:cs="Arial"/>
          <w:b/>
          <w:i/>
          <w:color w:val="000000"/>
          <w:sz w:val="22"/>
          <w:szCs w:val="22"/>
        </w:rPr>
        <w:t>,</w:t>
      </w:r>
      <w:r w:rsidRPr="009E12B6">
        <w:rPr>
          <w:rFonts w:ascii="Palatino Linotype" w:hAnsi="Palatino Linotype" w:cs="Arial"/>
          <w:i/>
          <w:color w:val="000000"/>
          <w:sz w:val="22"/>
          <w:szCs w:val="22"/>
        </w:rPr>
        <w:t xml:space="preserve"> resoluciones, oficios, correspondencia, acuerdos, directivas, directrices, circulares, </w:t>
      </w:r>
      <w:r w:rsidRPr="00E21332">
        <w:rPr>
          <w:rFonts w:ascii="Palatino Linotype" w:hAnsi="Palatino Linotype" w:cs="Arial"/>
          <w:i/>
          <w:color w:val="000000"/>
          <w:sz w:val="22"/>
          <w:szCs w:val="22"/>
        </w:rPr>
        <w:t>contratos, convenios,</w:t>
      </w:r>
      <w:r w:rsidRPr="009E12B6">
        <w:rPr>
          <w:rFonts w:ascii="Palatino Linotype" w:hAnsi="Palatino Linotype" w:cs="Arial"/>
          <w:i/>
          <w:color w:val="000000"/>
          <w:sz w:val="22"/>
          <w:szCs w:val="22"/>
        </w:rPr>
        <w:t xml:space="preserve">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w:t>
      </w:r>
      <w:r>
        <w:rPr>
          <w:rFonts w:ascii="Palatino Linotype" w:hAnsi="Palatino Linotype" w:cs="Arial"/>
          <w:i/>
          <w:color w:val="000000"/>
          <w:sz w:val="22"/>
          <w:szCs w:val="22"/>
        </w:rPr>
        <w:t>nico, informático u holográfico…</w:t>
      </w:r>
      <w:r w:rsidR="00E21332" w:rsidRPr="009E12B6">
        <w:rPr>
          <w:rFonts w:ascii="Palatino Linotype" w:hAnsi="Palatino Linotype" w:cs="Arial"/>
          <w:i/>
          <w:color w:val="000000"/>
          <w:sz w:val="22"/>
          <w:szCs w:val="22"/>
        </w:rPr>
        <w:t>”</w:t>
      </w:r>
      <w:r w:rsidR="00E21332">
        <w:rPr>
          <w:rFonts w:ascii="Palatino Linotype" w:hAnsi="Palatino Linotype" w:cs="Arial"/>
          <w:i/>
          <w:color w:val="000000"/>
          <w:sz w:val="22"/>
          <w:szCs w:val="22"/>
        </w:rPr>
        <w:t xml:space="preserve"> (</w:t>
      </w:r>
      <w:r>
        <w:rPr>
          <w:rFonts w:ascii="Palatino Linotype" w:hAnsi="Palatino Linotype" w:cs="Arial"/>
          <w:i/>
          <w:color w:val="000000"/>
          <w:sz w:val="22"/>
          <w:szCs w:val="22"/>
        </w:rPr>
        <w:t>Sic)</w:t>
      </w:r>
    </w:p>
    <w:p w14:paraId="13B72348" w14:textId="77777777" w:rsidR="00C52873" w:rsidRPr="009E12B6" w:rsidRDefault="00C52873" w:rsidP="00C52873">
      <w:pPr>
        <w:ind w:left="851" w:right="899"/>
        <w:jc w:val="both"/>
        <w:rPr>
          <w:rFonts w:ascii="Palatino Linotype" w:hAnsi="Palatino Linotype" w:cs="Arial"/>
          <w:sz w:val="22"/>
          <w:szCs w:val="22"/>
        </w:rPr>
      </w:pPr>
    </w:p>
    <w:p w14:paraId="73D14869" w14:textId="77777777" w:rsidR="00C52873" w:rsidRPr="009E12B6" w:rsidRDefault="00C52873" w:rsidP="00C52873">
      <w:pPr>
        <w:autoSpaceDE w:val="0"/>
        <w:autoSpaceDN w:val="0"/>
        <w:adjustRightInd w:val="0"/>
        <w:spacing w:line="360" w:lineRule="auto"/>
        <w:jc w:val="both"/>
        <w:rPr>
          <w:rFonts w:ascii="Palatino Linotype" w:hAnsi="Palatino Linotype" w:cs="Arial"/>
        </w:rPr>
      </w:pPr>
      <w:r w:rsidRPr="009E12B6">
        <w:rPr>
          <w:rFonts w:ascii="Palatino Linotype" w:hAnsi="Palatino Linotype" w:cs="Arial"/>
        </w:rPr>
        <w:t xml:space="preserve">Siendo aplicable, el Criterio </w:t>
      </w:r>
      <w:r w:rsidRPr="009E12B6">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E12B6">
        <w:rPr>
          <w:rFonts w:ascii="Palatino Linotype" w:hAnsi="Palatino Linotype" w:cs="Arial"/>
        </w:rPr>
        <w:t>cuyo rubro y texto refieren lo siguiente:</w:t>
      </w:r>
    </w:p>
    <w:p w14:paraId="3ED3DA62" w14:textId="77777777" w:rsidR="00C52873" w:rsidRPr="009E12B6" w:rsidRDefault="00C52873" w:rsidP="00C52873">
      <w:pPr>
        <w:ind w:left="851" w:right="899"/>
        <w:jc w:val="both"/>
        <w:rPr>
          <w:rFonts w:ascii="Palatino Linotype" w:hAnsi="Palatino Linotype" w:cs="Arial"/>
        </w:rPr>
      </w:pPr>
    </w:p>
    <w:p w14:paraId="606DAD5A" w14:textId="77777777" w:rsidR="00C52873" w:rsidRPr="004B675A" w:rsidRDefault="00C52873" w:rsidP="00C52873">
      <w:pPr>
        <w:ind w:left="851" w:right="899"/>
        <w:jc w:val="both"/>
        <w:rPr>
          <w:rFonts w:ascii="Palatino Linotype" w:hAnsi="Palatino Linotype" w:cs="Arial"/>
          <w:b/>
          <w:i/>
          <w:sz w:val="22"/>
          <w:szCs w:val="22"/>
          <w:lang w:eastAsia="es-MX"/>
        </w:rPr>
      </w:pPr>
      <w:r w:rsidRPr="009E12B6">
        <w:rPr>
          <w:rFonts w:ascii="Palatino Linotype" w:hAnsi="Palatino Linotype" w:cs="Arial"/>
          <w:b/>
          <w:sz w:val="22"/>
          <w:szCs w:val="22"/>
          <w:lang w:eastAsia="es-MX"/>
        </w:rPr>
        <w:t>“</w:t>
      </w:r>
      <w:r w:rsidRPr="004B675A">
        <w:rPr>
          <w:rFonts w:ascii="Palatino Linotype" w:hAnsi="Palatino Linotype" w:cs="Arial"/>
          <w:b/>
          <w:i/>
          <w:sz w:val="22"/>
          <w:szCs w:val="22"/>
          <w:lang w:eastAsia="es-MX"/>
        </w:rPr>
        <w:t>CRITERIO 0002-11</w:t>
      </w:r>
    </w:p>
    <w:p w14:paraId="6AA04809" w14:textId="77777777" w:rsidR="00C52873" w:rsidRPr="009E12B6" w:rsidRDefault="00C52873" w:rsidP="00C52873">
      <w:pPr>
        <w:ind w:left="851" w:right="899"/>
        <w:jc w:val="both"/>
        <w:rPr>
          <w:rFonts w:ascii="Palatino Linotype" w:hAnsi="Palatino Linotype" w:cs="Arial"/>
          <w:i/>
          <w:sz w:val="22"/>
          <w:szCs w:val="22"/>
          <w:lang w:eastAsia="es-MX"/>
        </w:rPr>
      </w:pPr>
      <w:r w:rsidRPr="004B675A">
        <w:rPr>
          <w:rFonts w:ascii="Palatino Linotype" w:hAnsi="Palatino Linotype" w:cs="Arial"/>
          <w:b/>
          <w:i/>
          <w:sz w:val="22"/>
          <w:szCs w:val="22"/>
          <w:lang w:eastAsia="es-MX"/>
        </w:rPr>
        <w:t xml:space="preserve">INFORMACIÓN PÚBLICA, CONCEPTO DE, EN MATERIA DE TRANSPARENCIA. INTERPRETACIÓN SISTEMÁTICA DE LOS ARTÍCULOS 2°, FRACCIÓN </w:t>
      </w:r>
      <w:r w:rsidRPr="004B675A">
        <w:rPr>
          <w:rFonts w:ascii="Palatino Linotype" w:hAnsi="Palatino Linotype" w:cs="Arial"/>
          <w:b/>
          <w:bCs/>
          <w:i/>
          <w:sz w:val="22"/>
          <w:szCs w:val="22"/>
          <w:lang w:eastAsia="es-MX"/>
        </w:rPr>
        <w:t xml:space="preserve">V, XV, Y XVI, </w:t>
      </w:r>
      <w:r w:rsidRPr="004B675A">
        <w:rPr>
          <w:rFonts w:ascii="Palatino Linotype" w:hAnsi="Palatino Linotype" w:cs="Arial"/>
          <w:b/>
          <w:i/>
          <w:sz w:val="22"/>
          <w:szCs w:val="22"/>
          <w:lang w:eastAsia="es-MX"/>
        </w:rPr>
        <w:t>3°, 4°, 11 Y 41.</w:t>
      </w:r>
      <w:r w:rsidRPr="004B675A">
        <w:rPr>
          <w:rFonts w:ascii="Palatino Linotype" w:hAnsi="Palatino Linotype" w:cs="Arial"/>
          <w:i/>
          <w:sz w:val="22"/>
          <w:szCs w:val="22"/>
          <w:lang w:eastAsia="es-MX"/>
        </w:rPr>
        <w:t xml:space="preserve"> De conformidad con los artículos antes referidos, el derecho de acceso a la información pública</w:t>
      </w:r>
      <w:r w:rsidRPr="009E12B6">
        <w:rPr>
          <w:rFonts w:ascii="Palatino Linotype" w:hAnsi="Palatino Linotype" w:cs="Arial"/>
          <w:i/>
          <w:sz w:val="22"/>
          <w:szCs w:val="22"/>
          <w:lang w:eastAsia="es-MX"/>
        </w:rPr>
        <w:t>,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1F86227" w14:textId="77777777" w:rsidR="00C52873" w:rsidRPr="009E12B6" w:rsidRDefault="00C52873" w:rsidP="00C52873">
      <w:pPr>
        <w:ind w:left="851" w:right="899"/>
        <w:jc w:val="both"/>
        <w:rPr>
          <w:rFonts w:ascii="Palatino Linotype" w:hAnsi="Palatino Linotype" w:cs="Arial"/>
          <w:i/>
          <w:sz w:val="22"/>
          <w:szCs w:val="22"/>
          <w:lang w:eastAsia="es-MX"/>
        </w:rPr>
      </w:pPr>
      <w:r w:rsidRPr="009E12B6">
        <w:rPr>
          <w:rFonts w:ascii="Palatino Linotype" w:hAnsi="Palatino Linotype" w:cs="Arial"/>
          <w:i/>
          <w:sz w:val="22"/>
          <w:szCs w:val="22"/>
          <w:lang w:eastAsia="es-MX"/>
        </w:rPr>
        <w:t>En consecuencia el acceso a la información se refiere a que se cumplan cualquiera de los siguientes tres supuestos:</w:t>
      </w:r>
    </w:p>
    <w:p w14:paraId="50DA46B0" w14:textId="77777777" w:rsidR="00C52873" w:rsidRPr="00A32E26" w:rsidRDefault="00C52873" w:rsidP="00C52873">
      <w:pPr>
        <w:ind w:left="851" w:right="899"/>
        <w:jc w:val="both"/>
        <w:rPr>
          <w:rFonts w:ascii="Palatino Linotype" w:hAnsi="Palatino Linotype" w:cs="Arial"/>
          <w:i/>
          <w:sz w:val="22"/>
          <w:szCs w:val="22"/>
          <w:lang w:eastAsia="es-MX"/>
        </w:rPr>
      </w:pPr>
      <w:r w:rsidRPr="00A32E26">
        <w:rPr>
          <w:rFonts w:ascii="Palatino Linotype" w:hAnsi="Palatino Linotype" w:cs="Arial"/>
          <w:i/>
          <w:sz w:val="22"/>
          <w:szCs w:val="22"/>
          <w:lang w:eastAsia="es-MX"/>
        </w:rPr>
        <w:t>1) Que se trate de información registrada en cualquier soporte documental, que en ejercicio de las atribuciones conferidas, sea generada por los Sujetos Obligados;</w:t>
      </w:r>
    </w:p>
    <w:p w14:paraId="60D6A394" w14:textId="77777777" w:rsidR="00C52873" w:rsidRPr="00A32E26" w:rsidRDefault="00C52873" w:rsidP="00C52873">
      <w:pPr>
        <w:ind w:left="851" w:right="899"/>
        <w:jc w:val="both"/>
        <w:rPr>
          <w:rFonts w:ascii="Palatino Linotype" w:hAnsi="Palatino Linotype" w:cs="Arial"/>
          <w:b/>
          <w:i/>
          <w:sz w:val="22"/>
          <w:szCs w:val="22"/>
          <w:lang w:eastAsia="es-MX"/>
        </w:rPr>
      </w:pPr>
      <w:r w:rsidRPr="00A32E26">
        <w:rPr>
          <w:rFonts w:ascii="Palatino Linotype" w:hAnsi="Palatino Linotype" w:cs="Arial"/>
          <w:b/>
          <w:i/>
          <w:sz w:val="22"/>
          <w:szCs w:val="22"/>
          <w:lang w:eastAsia="es-MX"/>
        </w:rPr>
        <w:t>2) Que se trate de información registrada en cualquier soporte documental, que en ejercicio de las atribuciones conferidas, sea administrada por los Sujetos Obligados, y</w:t>
      </w:r>
    </w:p>
    <w:p w14:paraId="254E5636" w14:textId="77777777" w:rsidR="00C52873" w:rsidRPr="00A32E26" w:rsidRDefault="00C52873" w:rsidP="00C52873">
      <w:pPr>
        <w:ind w:left="851" w:right="899"/>
        <w:jc w:val="both"/>
        <w:rPr>
          <w:rFonts w:ascii="Palatino Linotype" w:hAnsi="Palatino Linotype" w:cs="Arial"/>
          <w:b/>
          <w:i/>
          <w:sz w:val="22"/>
          <w:szCs w:val="22"/>
          <w:lang w:eastAsia="es-MX"/>
        </w:rPr>
      </w:pPr>
      <w:r w:rsidRPr="00A32E26">
        <w:rPr>
          <w:rFonts w:ascii="Palatino Linotype" w:hAnsi="Palatino Linotype" w:cs="Arial"/>
          <w:b/>
          <w:i/>
          <w:sz w:val="22"/>
          <w:szCs w:val="22"/>
          <w:lang w:eastAsia="es-MX"/>
        </w:rPr>
        <w:lastRenderedPageBreak/>
        <w:t xml:space="preserve">3) Que se trate de información registrada en cualquier soporte documental, que en ejercicio de las atribuciones conferidas, se encuentre en posesión de los Sujetos Obligados.” </w:t>
      </w:r>
    </w:p>
    <w:p w14:paraId="494E093E" w14:textId="77777777" w:rsidR="00C52873" w:rsidRDefault="00C52873" w:rsidP="00C52873">
      <w:pPr>
        <w:spacing w:line="360" w:lineRule="auto"/>
        <w:ind w:right="-93"/>
        <w:jc w:val="both"/>
        <w:rPr>
          <w:rFonts w:ascii="Palatino Linotype" w:eastAsia="Palatino Linotype" w:hAnsi="Palatino Linotype" w:cs="Palatino Linotype"/>
          <w:color w:val="000000"/>
        </w:rPr>
      </w:pPr>
    </w:p>
    <w:p w14:paraId="51C56F22" w14:textId="69C1A132" w:rsidR="00471AA4" w:rsidRPr="003E3244" w:rsidRDefault="000A3141" w:rsidP="00AC52CF">
      <w:pPr>
        <w:pStyle w:val="Prrafodelista"/>
        <w:autoSpaceDE w:val="0"/>
        <w:autoSpaceDN w:val="0"/>
        <w:adjustRightInd w:val="0"/>
        <w:spacing w:line="360" w:lineRule="auto"/>
        <w:ind w:left="0"/>
        <w:jc w:val="both"/>
        <w:rPr>
          <w:rFonts w:ascii="Palatino Linotype" w:hAnsi="Palatino Linotype" w:cs="Arial"/>
          <w:sz w:val="24"/>
          <w:szCs w:val="24"/>
        </w:rPr>
      </w:pPr>
      <w:r w:rsidRPr="003E3244">
        <w:rPr>
          <w:rFonts w:ascii="Palatino Linotype" w:hAnsi="Palatino Linotype" w:cs="Arial"/>
          <w:sz w:val="24"/>
          <w:szCs w:val="24"/>
        </w:rPr>
        <w:t>Respecto de las atribuciones del SUJETO OBLIGADO de conocer información relacionada con los procedimientos de licitación pública y sus excepciones</w:t>
      </w:r>
      <w:r w:rsidR="0081659E">
        <w:rPr>
          <w:rFonts w:ascii="Palatino Linotype" w:hAnsi="Palatino Linotype" w:cs="Arial"/>
          <w:sz w:val="24"/>
          <w:szCs w:val="24"/>
        </w:rPr>
        <w:t>.</w:t>
      </w:r>
      <w:r w:rsidRPr="003E3244">
        <w:rPr>
          <w:rFonts w:ascii="Palatino Linotype" w:hAnsi="Palatino Linotype" w:cs="Arial"/>
          <w:sz w:val="24"/>
          <w:szCs w:val="24"/>
        </w:rPr>
        <w:t xml:space="preserve"> </w:t>
      </w:r>
    </w:p>
    <w:p w14:paraId="522AF03A" w14:textId="77777777" w:rsidR="0081659E" w:rsidRDefault="000A3141" w:rsidP="0081659E">
      <w:pPr>
        <w:pStyle w:val="NormalWeb"/>
        <w:shd w:val="clear" w:color="auto" w:fill="FFFFFF"/>
        <w:spacing w:before="0" w:beforeAutospacing="0" w:after="0" w:afterAutospacing="0" w:line="360" w:lineRule="atLeast"/>
        <w:jc w:val="both"/>
        <w:rPr>
          <w:rFonts w:ascii="Palatino Linotype" w:hAnsi="Palatino Linotype"/>
          <w:color w:val="222222"/>
        </w:rPr>
      </w:pPr>
      <w:r w:rsidRPr="003E3244">
        <w:rPr>
          <w:rFonts w:ascii="Palatino Linotype" w:hAnsi="Palatino Linotype" w:cs="Arial"/>
        </w:rPr>
        <w:t>Los procesos de licitación</w:t>
      </w:r>
      <w:r w:rsidR="003E3244" w:rsidRPr="003E3244">
        <w:rPr>
          <w:rFonts w:ascii="Palatino Linotype" w:hAnsi="Palatino Linotype" w:cs="Arial"/>
        </w:rPr>
        <w:t>.</w:t>
      </w:r>
      <w:r w:rsidR="0081659E" w:rsidRPr="0081659E">
        <w:rPr>
          <w:rFonts w:ascii="Palatino Linotype" w:hAnsi="Palatino Linotype"/>
          <w:color w:val="222222"/>
        </w:rPr>
        <w:t xml:space="preserve"> </w:t>
      </w:r>
    </w:p>
    <w:p w14:paraId="7026011C" w14:textId="544EAFF8" w:rsidR="0081659E" w:rsidRDefault="0081659E" w:rsidP="0081659E">
      <w:pPr>
        <w:pStyle w:val="NormalWeb"/>
        <w:shd w:val="clear" w:color="auto" w:fill="FFFFFF"/>
        <w:spacing w:before="0" w:beforeAutospacing="0" w:after="0" w:afterAutospacing="0" w:line="360" w:lineRule="atLeast"/>
        <w:jc w:val="both"/>
        <w:rPr>
          <w:color w:val="222222"/>
        </w:rPr>
      </w:pPr>
      <w:r>
        <w:rPr>
          <w:rFonts w:ascii="Palatino Linotype" w:hAnsi="Palatino Linotype"/>
          <w:color w:val="222222"/>
        </w:rPr>
        <w:t>Ahora bien es conveniente </w:t>
      </w:r>
      <w:r>
        <w:rPr>
          <w:rFonts w:ascii="Palatino Linotype" w:hAnsi="Palatino Linotype"/>
          <w:color w:val="222222"/>
          <w:lang w:val="es-ES"/>
        </w:rPr>
        <w:t xml:space="preserve">traer a contexto lo dispuesto en la Ley de la  Contratación Pública del Estado de México y Municipios, la cual tiene por objeto regular los actos relativos a la planeación, programación, </w:t>
      </w:r>
      <w:proofErr w:type="spellStart"/>
      <w:r>
        <w:rPr>
          <w:rFonts w:ascii="Palatino Linotype" w:hAnsi="Palatino Linotype"/>
          <w:color w:val="222222"/>
          <w:lang w:val="es-ES"/>
        </w:rPr>
        <w:t>presupuestación</w:t>
      </w:r>
      <w:proofErr w:type="spellEnd"/>
      <w:r>
        <w:rPr>
          <w:rFonts w:ascii="Palatino Linotype" w:hAnsi="Palatino Linotype"/>
          <w:color w:val="222222"/>
          <w:lang w:val="es-ES"/>
        </w:rPr>
        <w:t>, ejecución y control de la </w:t>
      </w:r>
      <w:r>
        <w:rPr>
          <w:rFonts w:ascii="Palatino Linotype" w:hAnsi="Palatino Linotype"/>
          <w:b/>
          <w:bCs/>
          <w:color w:val="222222"/>
          <w:u w:val="single"/>
          <w:lang w:val="es-ES"/>
        </w:rPr>
        <w:t>adquisición</w:t>
      </w:r>
      <w:r>
        <w:rPr>
          <w:rFonts w:ascii="Palatino Linotype" w:hAnsi="Palatino Linotype"/>
          <w:color w:val="222222"/>
          <w:lang w:val="es-ES"/>
        </w:rPr>
        <w:t>, enajenación y arrendamiento de bienes, y la </w:t>
      </w:r>
      <w:r>
        <w:rPr>
          <w:rFonts w:ascii="Palatino Linotype" w:hAnsi="Palatino Linotype"/>
          <w:b/>
          <w:bCs/>
          <w:color w:val="222222"/>
          <w:u w:val="single"/>
          <w:lang w:val="es-ES"/>
        </w:rPr>
        <w:t>contratación de servicios de cualquier naturaleza, que realicen los Ayuntamientos del Estado</w:t>
      </w:r>
      <w:r>
        <w:rPr>
          <w:rFonts w:ascii="Palatino Linotype" w:hAnsi="Palatino Linotype"/>
          <w:color w:val="222222"/>
          <w:lang w:val="es-ES"/>
        </w:rPr>
        <w:t>; los cuales se adjudicarán a través de licitaciones públicas, invitación restringida o adjudicación directa, mediante convocatoria pública, tal y como lo establecen los artículos 4, 26 y 27 de dicha Ley, los cuales son del tenor siguiente:</w:t>
      </w:r>
    </w:p>
    <w:p w14:paraId="7D059298" w14:textId="77777777" w:rsidR="0081659E" w:rsidRDefault="0081659E" w:rsidP="0081659E">
      <w:pPr>
        <w:shd w:val="clear" w:color="auto" w:fill="FFFFFF"/>
        <w:jc w:val="both"/>
        <w:rPr>
          <w:rFonts w:ascii="Calibri" w:hAnsi="Calibri" w:cs="Calibri"/>
          <w:color w:val="222222"/>
          <w:sz w:val="22"/>
          <w:szCs w:val="22"/>
        </w:rPr>
      </w:pPr>
      <w:r>
        <w:rPr>
          <w:rFonts w:ascii="Palatino Linotype" w:hAnsi="Palatino Linotype" w:cs="Calibri"/>
          <w:color w:val="222222"/>
        </w:rPr>
        <w:t> </w:t>
      </w:r>
    </w:p>
    <w:p w14:paraId="59D5C222" w14:textId="77777777" w:rsidR="0081659E" w:rsidRDefault="0081659E" w:rsidP="0081659E">
      <w:pPr>
        <w:shd w:val="clear" w:color="auto" w:fill="FFFFFF"/>
        <w:ind w:left="851" w:right="901"/>
        <w:jc w:val="both"/>
        <w:rPr>
          <w:rFonts w:ascii="Calibri" w:hAnsi="Calibri" w:cs="Calibri"/>
          <w:color w:val="222222"/>
          <w:sz w:val="22"/>
          <w:szCs w:val="22"/>
        </w:rPr>
      </w:pPr>
      <w:r>
        <w:rPr>
          <w:rFonts w:ascii="Palatino Linotype" w:hAnsi="Palatino Linotype" w:cs="Calibri"/>
          <w:i/>
          <w:iCs/>
          <w:color w:val="222222"/>
          <w:sz w:val="22"/>
          <w:szCs w:val="22"/>
        </w:rPr>
        <w:t>“</w:t>
      </w:r>
      <w:r>
        <w:rPr>
          <w:rFonts w:ascii="Palatino Linotype" w:hAnsi="Palatino Linotype" w:cs="Calibri"/>
          <w:b/>
          <w:bCs/>
          <w:i/>
          <w:iCs/>
          <w:color w:val="222222"/>
          <w:sz w:val="22"/>
          <w:szCs w:val="22"/>
        </w:rPr>
        <w:t>Artículo 4.-</w:t>
      </w:r>
      <w:r>
        <w:rPr>
          <w:rFonts w:ascii="Palatino Linotype" w:hAnsi="Palatino Linotype" w:cs="Calibri"/>
          <w:i/>
          <w:iCs/>
          <w:color w:val="222222"/>
          <w:sz w:val="22"/>
          <w:szCs w:val="22"/>
        </w:rPr>
        <w:t> Para los efectos de esta Ley, en las adquisiciones, enajenaciones, arrendamientos y servicios, quedan comprendidos:</w:t>
      </w:r>
    </w:p>
    <w:p w14:paraId="7885885C" w14:textId="77777777" w:rsidR="0081659E" w:rsidRDefault="0081659E" w:rsidP="0081659E">
      <w:pPr>
        <w:shd w:val="clear" w:color="auto" w:fill="FFFFFF"/>
        <w:ind w:left="851" w:right="899"/>
        <w:jc w:val="both"/>
        <w:rPr>
          <w:rFonts w:ascii="Calibri" w:hAnsi="Calibri" w:cs="Calibri"/>
          <w:color w:val="222222"/>
          <w:sz w:val="22"/>
          <w:szCs w:val="22"/>
        </w:rPr>
      </w:pPr>
      <w:r>
        <w:rPr>
          <w:rFonts w:ascii="Palatino Linotype" w:hAnsi="Palatino Linotype" w:cs="Calibri"/>
          <w:b/>
          <w:bCs/>
          <w:i/>
          <w:iCs/>
          <w:color w:val="222222"/>
          <w:sz w:val="22"/>
          <w:szCs w:val="22"/>
          <w:u w:val="single"/>
        </w:rPr>
        <w:t>I. La adquisición de bienes muebles.</w:t>
      </w:r>
    </w:p>
    <w:p w14:paraId="35CD34D9" w14:textId="77777777" w:rsidR="0081659E" w:rsidRDefault="0081659E" w:rsidP="0081659E">
      <w:pPr>
        <w:shd w:val="clear" w:color="auto" w:fill="FFFFFF"/>
        <w:ind w:left="851" w:right="899"/>
        <w:jc w:val="both"/>
        <w:rPr>
          <w:rFonts w:ascii="Calibri" w:hAnsi="Calibri" w:cs="Calibri"/>
          <w:color w:val="222222"/>
          <w:sz w:val="22"/>
          <w:szCs w:val="22"/>
        </w:rPr>
      </w:pPr>
      <w:r>
        <w:rPr>
          <w:rFonts w:ascii="Palatino Linotype" w:hAnsi="Palatino Linotype" w:cs="Calibri"/>
          <w:i/>
          <w:iCs/>
          <w:color w:val="222222"/>
          <w:sz w:val="22"/>
          <w:szCs w:val="22"/>
        </w:rPr>
        <w:t>II. La adquisición de bienes inmuebles, a través de compraventa.</w:t>
      </w:r>
    </w:p>
    <w:p w14:paraId="1C713363" w14:textId="77777777" w:rsidR="0081659E" w:rsidRDefault="0081659E" w:rsidP="0081659E">
      <w:pPr>
        <w:shd w:val="clear" w:color="auto" w:fill="FFFFFF"/>
        <w:ind w:left="851" w:right="899"/>
        <w:jc w:val="both"/>
        <w:rPr>
          <w:rFonts w:ascii="Calibri" w:hAnsi="Calibri" w:cs="Calibri"/>
          <w:color w:val="222222"/>
          <w:sz w:val="22"/>
          <w:szCs w:val="22"/>
        </w:rPr>
      </w:pPr>
      <w:r>
        <w:rPr>
          <w:rFonts w:ascii="Palatino Linotype" w:hAnsi="Palatino Linotype" w:cs="Calibri"/>
          <w:i/>
          <w:iCs/>
          <w:color w:val="222222"/>
          <w:sz w:val="22"/>
          <w:szCs w:val="22"/>
        </w:rPr>
        <w:t>III. La enajenación de bienes muebles e inmuebles.</w:t>
      </w:r>
    </w:p>
    <w:p w14:paraId="3DCD2C8A" w14:textId="77777777" w:rsidR="0081659E" w:rsidRDefault="0081659E" w:rsidP="0081659E">
      <w:pPr>
        <w:shd w:val="clear" w:color="auto" w:fill="FFFFFF"/>
        <w:ind w:left="851" w:right="899"/>
        <w:jc w:val="both"/>
        <w:rPr>
          <w:rFonts w:ascii="Calibri" w:hAnsi="Calibri" w:cs="Calibri"/>
          <w:color w:val="222222"/>
          <w:sz w:val="22"/>
          <w:szCs w:val="22"/>
        </w:rPr>
      </w:pPr>
      <w:r>
        <w:rPr>
          <w:rFonts w:ascii="Palatino Linotype" w:hAnsi="Palatino Linotype" w:cs="Calibri"/>
          <w:b/>
          <w:bCs/>
          <w:i/>
          <w:iCs/>
          <w:color w:val="222222"/>
          <w:sz w:val="22"/>
          <w:szCs w:val="22"/>
          <w:u w:val="single"/>
        </w:rPr>
        <w:t>IV. El arrendamiento de bienes muebles</w:t>
      </w:r>
      <w:r>
        <w:rPr>
          <w:rFonts w:ascii="Palatino Linotype" w:hAnsi="Palatino Linotype" w:cs="Calibri"/>
          <w:i/>
          <w:iCs/>
          <w:color w:val="222222"/>
          <w:sz w:val="22"/>
          <w:szCs w:val="22"/>
        </w:rPr>
        <w:t> e inmuebles.</w:t>
      </w:r>
    </w:p>
    <w:p w14:paraId="0332803B" w14:textId="77777777" w:rsidR="0081659E" w:rsidRDefault="0081659E" w:rsidP="0081659E">
      <w:pPr>
        <w:shd w:val="clear" w:color="auto" w:fill="FFFFFF"/>
        <w:ind w:left="851" w:right="899"/>
        <w:jc w:val="both"/>
        <w:rPr>
          <w:rFonts w:ascii="Calibri" w:hAnsi="Calibri" w:cs="Calibri"/>
          <w:color w:val="222222"/>
          <w:sz w:val="22"/>
          <w:szCs w:val="22"/>
        </w:rPr>
      </w:pPr>
      <w:r>
        <w:rPr>
          <w:rFonts w:ascii="Palatino Linotype" w:hAnsi="Palatino Linotype" w:cs="Calibri"/>
          <w:b/>
          <w:bCs/>
          <w:i/>
          <w:iCs/>
          <w:color w:val="222222"/>
          <w:sz w:val="22"/>
          <w:szCs w:val="22"/>
          <w:u w:val="single"/>
        </w:rPr>
        <w:t>V. La contratación de los servicios, relacionados con bienes muebles que se encuentran incorporados o adheridos a bienes inmuebles, cuya instalación o mantenimiento no implique modificación al bien inmueble.</w:t>
      </w:r>
    </w:p>
    <w:p w14:paraId="436DFF98" w14:textId="77777777" w:rsidR="0081659E" w:rsidRDefault="0081659E" w:rsidP="0081659E">
      <w:pPr>
        <w:shd w:val="clear" w:color="auto" w:fill="FFFFFF"/>
        <w:ind w:left="851" w:right="899"/>
        <w:jc w:val="both"/>
        <w:rPr>
          <w:rFonts w:ascii="Calibri" w:hAnsi="Calibri" w:cs="Calibri"/>
          <w:color w:val="222222"/>
          <w:sz w:val="22"/>
          <w:szCs w:val="22"/>
        </w:rPr>
      </w:pPr>
      <w:r>
        <w:rPr>
          <w:rFonts w:ascii="Palatino Linotype" w:hAnsi="Palatino Linotype" w:cs="Calibri"/>
          <w:i/>
          <w:iCs/>
          <w:color w:val="222222"/>
          <w:sz w:val="22"/>
          <w:szCs w:val="22"/>
        </w:rPr>
        <w:t>VI. La contratación de los servicios de reconstrucción y mantenimiento de bienes muebles.</w:t>
      </w:r>
    </w:p>
    <w:p w14:paraId="6DF351D8" w14:textId="77777777" w:rsidR="0081659E" w:rsidRDefault="0081659E" w:rsidP="0081659E">
      <w:pPr>
        <w:shd w:val="clear" w:color="auto" w:fill="FFFFFF"/>
        <w:ind w:left="851" w:right="899"/>
        <w:jc w:val="both"/>
        <w:rPr>
          <w:rFonts w:ascii="Calibri" w:hAnsi="Calibri" w:cs="Calibri"/>
          <w:color w:val="222222"/>
          <w:sz w:val="22"/>
          <w:szCs w:val="22"/>
        </w:rPr>
      </w:pPr>
      <w:r>
        <w:rPr>
          <w:rFonts w:ascii="Palatino Linotype" w:hAnsi="Palatino Linotype" w:cs="Calibri"/>
          <w:b/>
          <w:bCs/>
          <w:i/>
          <w:iCs/>
          <w:color w:val="222222"/>
          <w:sz w:val="22"/>
          <w:szCs w:val="22"/>
          <w:u w:val="single"/>
        </w:rPr>
        <w:t>VII. La contratación de los servicios </w:t>
      </w:r>
      <w:r>
        <w:rPr>
          <w:rFonts w:ascii="Palatino Linotype" w:hAnsi="Palatino Linotype" w:cs="Calibri"/>
          <w:i/>
          <w:iCs/>
          <w:color w:val="222222"/>
          <w:sz w:val="22"/>
          <w:szCs w:val="22"/>
        </w:rPr>
        <w:t>de maquila, seguros y </w:t>
      </w:r>
      <w:r>
        <w:rPr>
          <w:rFonts w:ascii="Palatino Linotype" w:hAnsi="Palatino Linotype" w:cs="Calibri"/>
          <w:b/>
          <w:bCs/>
          <w:i/>
          <w:iCs/>
          <w:color w:val="222222"/>
          <w:sz w:val="22"/>
          <w:szCs w:val="22"/>
          <w:u w:val="single"/>
        </w:rPr>
        <w:t>transportación</w:t>
      </w:r>
      <w:r>
        <w:rPr>
          <w:rFonts w:ascii="Palatino Linotype" w:hAnsi="Palatino Linotype" w:cs="Calibri"/>
          <w:i/>
          <w:iCs/>
          <w:color w:val="222222"/>
          <w:sz w:val="22"/>
          <w:szCs w:val="22"/>
        </w:rPr>
        <w:t>, así como de los de limpieza y vigilancia de bienes inmuebles</w:t>
      </w:r>
    </w:p>
    <w:p w14:paraId="2A97C454" w14:textId="77777777" w:rsidR="0081659E" w:rsidRDefault="0081659E" w:rsidP="0081659E">
      <w:pPr>
        <w:shd w:val="clear" w:color="auto" w:fill="FFFFFF"/>
        <w:ind w:left="851" w:right="899"/>
        <w:jc w:val="both"/>
        <w:rPr>
          <w:rFonts w:ascii="Calibri" w:hAnsi="Calibri" w:cs="Calibri"/>
          <w:color w:val="222222"/>
          <w:sz w:val="22"/>
          <w:szCs w:val="22"/>
        </w:rPr>
      </w:pPr>
      <w:r>
        <w:rPr>
          <w:rFonts w:ascii="Palatino Linotype" w:hAnsi="Palatino Linotype" w:cs="Calibri"/>
          <w:i/>
          <w:iCs/>
          <w:color w:val="222222"/>
          <w:sz w:val="22"/>
          <w:szCs w:val="22"/>
        </w:rPr>
        <w:t>VIII. La prestación de servicios profesionales, la contratación de consultorías, asesorías y estudios e investigaciones, excepto la contratación de servicios personales de personas físicas bajo el régimen de honorarios.</w:t>
      </w:r>
    </w:p>
    <w:p w14:paraId="1B53A3E8" w14:textId="77777777" w:rsidR="0081659E" w:rsidRDefault="0081659E" w:rsidP="0081659E">
      <w:pPr>
        <w:shd w:val="clear" w:color="auto" w:fill="FFFFFF"/>
        <w:ind w:left="851" w:right="899"/>
        <w:jc w:val="both"/>
        <w:rPr>
          <w:rFonts w:ascii="Calibri" w:hAnsi="Calibri" w:cs="Calibri"/>
          <w:color w:val="222222"/>
          <w:sz w:val="22"/>
          <w:szCs w:val="22"/>
        </w:rPr>
      </w:pPr>
      <w:r>
        <w:rPr>
          <w:rFonts w:ascii="Palatino Linotype" w:hAnsi="Palatino Linotype" w:cs="Calibri"/>
          <w:b/>
          <w:bCs/>
          <w:i/>
          <w:iCs/>
          <w:color w:val="222222"/>
          <w:sz w:val="22"/>
          <w:szCs w:val="22"/>
          <w:u w:val="single"/>
        </w:rPr>
        <w:t>En general, otros actos que impliquen la contratación de servicios de cualquier naturaleza.</w:t>
      </w:r>
    </w:p>
    <w:p w14:paraId="72C3C981" w14:textId="77777777" w:rsidR="0081659E" w:rsidRDefault="0081659E" w:rsidP="0081659E">
      <w:pPr>
        <w:shd w:val="clear" w:color="auto" w:fill="FFFFFF"/>
        <w:ind w:left="851" w:right="899"/>
        <w:jc w:val="both"/>
        <w:rPr>
          <w:rFonts w:ascii="Calibri" w:hAnsi="Calibri" w:cs="Calibri"/>
          <w:color w:val="222222"/>
          <w:sz w:val="22"/>
          <w:szCs w:val="22"/>
        </w:rPr>
      </w:pPr>
      <w:r>
        <w:rPr>
          <w:rFonts w:ascii="Palatino Linotype" w:hAnsi="Palatino Linotype" w:cs="Calibri"/>
          <w:b/>
          <w:bCs/>
          <w:i/>
          <w:iCs/>
          <w:color w:val="222222"/>
          <w:sz w:val="22"/>
          <w:szCs w:val="22"/>
        </w:rPr>
        <w:lastRenderedPageBreak/>
        <w:t>Artículo 26.- Las adquisiciones, arrendamientos y servicios se adjudicarán a través de licitaciones públicas, mediante convocatoria pública.</w:t>
      </w:r>
    </w:p>
    <w:p w14:paraId="5C164BFA" w14:textId="77777777" w:rsidR="0081659E" w:rsidRDefault="0081659E" w:rsidP="0081659E">
      <w:pPr>
        <w:shd w:val="clear" w:color="auto" w:fill="FFFFFF"/>
        <w:ind w:left="851" w:right="899"/>
        <w:jc w:val="both"/>
        <w:rPr>
          <w:rFonts w:ascii="Calibri" w:hAnsi="Calibri" w:cs="Calibri"/>
          <w:color w:val="222222"/>
          <w:sz w:val="22"/>
          <w:szCs w:val="22"/>
        </w:rPr>
      </w:pPr>
      <w:r>
        <w:rPr>
          <w:rFonts w:ascii="Palatino Linotype" w:hAnsi="Palatino Linotype" w:cs="Calibri"/>
          <w:b/>
          <w:bCs/>
          <w:i/>
          <w:iCs/>
          <w:color w:val="222222"/>
          <w:sz w:val="22"/>
          <w:szCs w:val="22"/>
        </w:rPr>
        <w:t> </w:t>
      </w:r>
    </w:p>
    <w:p w14:paraId="5E6DA83C" w14:textId="77777777" w:rsidR="0081659E" w:rsidRDefault="0081659E" w:rsidP="0081659E">
      <w:pPr>
        <w:shd w:val="clear" w:color="auto" w:fill="FFFFFF"/>
        <w:ind w:left="851" w:right="899"/>
        <w:jc w:val="both"/>
        <w:rPr>
          <w:rFonts w:ascii="Calibri" w:hAnsi="Calibri" w:cs="Calibri"/>
          <w:color w:val="222222"/>
          <w:sz w:val="22"/>
          <w:szCs w:val="22"/>
        </w:rPr>
      </w:pPr>
      <w:r>
        <w:rPr>
          <w:rFonts w:ascii="Palatino Linotype" w:hAnsi="Palatino Linotype" w:cs="Calibri"/>
          <w:b/>
          <w:bCs/>
          <w:i/>
          <w:iCs/>
          <w:color w:val="222222"/>
          <w:sz w:val="22"/>
          <w:szCs w:val="22"/>
        </w:rPr>
        <w:t>Artículo 27.- </w:t>
      </w:r>
      <w:r>
        <w:rPr>
          <w:rFonts w:ascii="Palatino Linotype" w:hAnsi="Palatino Linotype" w:cs="Calibri"/>
          <w:i/>
          <w:iCs/>
          <w:color w:val="222222"/>
          <w:sz w:val="22"/>
          <w:szCs w:val="22"/>
        </w:rPr>
        <w:t>La Secretaría, las entidades, los tribunales administrativos y los ayuntamientos podrán adjudicar adquisiciones, arrendamientos y servicios, mediante las excepciones al procedimiento de licitación que a continuación se señalan:</w:t>
      </w:r>
    </w:p>
    <w:p w14:paraId="2FDBEDA6" w14:textId="77777777" w:rsidR="0081659E" w:rsidRDefault="0081659E" w:rsidP="0081659E">
      <w:pPr>
        <w:shd w:val="clear" w:color="auto" w:fill="FFFFFF"/>
        <w:ind w:left="851" w:right="899"/>
        <w:jc w:val="both"/>
        <w:rPr>
          <w:rFonts w:ascii="Calibri" w:hAnsi="Calibri" w:cs="Calibri"/>
          <w:color w:val="222222"/>
          <w:sz w:val="22"/>
          <w:szCs w:val="22"/>
        </w:rPr>
      </w:pPr>
      <w:r>
        <w:rPr>
          <w:rFonts w:ascii="Palatino Linotype" w:hAnsi="Palatino Linotype" w:cs="Calibri"/>
          <w:b/>
          <w:bCs/>
          <w:i/>
          <w:iCs/>
          <w:color w:val="222222"/>
          <w:sz w:val="22"/>
          <w:szCs w:val="22"/>
        </w:rPr>
        <w:t>I. Invitación restringida.</w:t>
      </w:r>
    </w:p>
    <w:p w14:paraId="2338C9B4" w14:textId="77777777" w:rsidR="0081659E" w:rsidRDefault="0081659E" w:rsidP="0081659E">
      <w:pPr>
        <w:shd w:val="clear" w:color="auto" w:fill="FFFFFF"/>
        <w:ind w:left="851" w:right="899"/>
        <w:jc w:val="both"/>
        <w:rPr>
          <w:rFonts w:ascii="Calibri" w:hAnsi="Calibri" w:cs="Calibri"/>
          <w:color w:val="222222"/>
          <w:sz w:val="22"/>
          <w:szCs w:val="22"/>
        </w:rPr>
      </w:pPr>
      <w:r>
        <w:rPr>
          <w:rFonts w:ascii="Palatino Linotype" w:hAnsi="Palatino Linotype" w:cs="Calibri"/>
          <w:b/>
          <w:bCs/>
          <w:i/>
          <w:iCs/>
          <w:color w:val="222222"/>
          <w:sz w:val="22"/>
          <w:szCs w:val="22"/>
        </w:rPr>
        <w:t>II. Adjudicación directa.”</w:t>
      </w:r>
    </w:p>
    <w:p w14:paraId="549ED468" w14:textId="77777777" w:rsidR="0081659E" w:rsidRDefault="0081659E" w:rsidP="0081659E">
      <w:pPr>
        <w:shd w:val="clear" w:color="auto" w:fill="FFFFFF"/>
        <w:ind w:left="851" w:right="899"/>
        <w:jc w:val="right"/>
        <w:rPr>
          <w:rFonts w:ascii="Calibri" w:hAnsi="Calibri" w:cs="Calibri"/>
          <w:color w:val="222222"/>
          <w:sz w:val="22"/>
          <w:szCs w:val="22"/>
        </w:rPr>
      </w:pPr>
      <w:r>
        <w:rPr>
          <w:rFonts w:ascii="Palatino Linotype" w:hAnsi="Palatino Linotype" w:cs="Calibri"/>
          <w:i/>
          <w:iCs/>
          <w:color w:val="222222"/>
          <w:sz w:val="20"/>
          <w:szCs w:val="20"/>
        </w:rPr>
        <w:t>(Énfasis añadido)</w:t>
      </w:r>
    </w:p>
    <w:p w14:paraId="6C4787B3" w14:textId="77777777" w:rsidR="0081659E" w:rsidRDefault="0081659E" w:rsidP="0081659E">
      <w:pPr>
        <w:pStyle w:val="NormalWeb"/>
        <w:shd w:val="clear" w:color="auto" w:fill="FFFFFF"/>
        <w:spacing w:before="0" w:beforeAutospacing="0" w:after="0" w:afterAutospacing="0" w:line="360" w:lineRule="atLeast"/>
        <w:jc w:val="both"/>
        <w:rPr>
          <w:color w:val="222222"/>
        </w:rPr>
      </w:pPr>
      <w:r>
        <w:rPr>
          <w:rFonts w:ascii="Palatino Linotype" w:hAnsi="Palatino Linotype"/>
          <w:color w:val="222222"/>
        </w:rPr>
        <w:t> </w:t>
      </w:r>
    </w:p>
    <w:p w14:paraId="0F2DC9C7" w14:textId="77777777" w:rsidR="0081659E" w:rsidRDefault="0081659E" w:rsidP="0081659E">
      <w:pPr>
        <w:shd w:val="clear" w:color="auto" w:fill="FFFFFF"/>
        <w:spacing w:line="330" w:lineRule="atLeast"/>
        <w:jc w:val="both"/>
        <w:rPr>
          <w:rFonts w:ascii="Calibri" w:hAnsi="Calibri" w:cs="Calibri"/>
          <w:color w:val="222222"/>
          <w:sz w:val="22"/>
          <w:szCs w:val="22"/>
        </w:rPr>
      </w:pPr>
      <w:r>
        <w:rPr>
          <w:rFonts w:ascii="Palatino Linotype" w:hAnsi="Palatino Linotype" w:cs="Calibri"/>
          <w:color w:val="222222"/>
        </w:rPr>
        <w:t>Así, en lo que respecta sobre la licitación pública, el artículo 29 de la Ley de la Contratación Pública en mención, indica que en este procedimiento deberán establecerse los mismos requisitos y condiciones para todos los licitantes. Todo licitante que satisfaga los requisitos de la convocatoria y de las bases de la licitación tendrá derecho a presentar su propuesta.</w:t>
      </w:r>
    </w:p>
    <w:p w14:paraId="6AA2928F" w14:textId="77777777" w:rsidR="0081659E" w:rsidRDefault="0081659E" w:rsidP="0081659E">
      <w:pPr>
        <w:shd w:val="clear" w:color="auto" w:fill="FFFFFF"/>
        <w:spacing w:line="330" w:lineRule="atLeast"/>
        <w:jc w:val="both"/>
        <w:rPr>
          <w:rFonts w:ascii="Calibri" w:hAnsi="Calibri" w:cs="Calibri"/>
          <w:color w:val="222222"/>
          <w:sz w:val="22"/>
          <w:szCs w:val="22"/>
        </w:rPr>
      </w:pPr>
      <w:r>
        <w:rPr>
          <w:rFonts w:ascii="Palatino Linotype" w:hAnsi="Palatino Linotype" w:cs="Calibri"/>
          <w:color w:val="222222"/>
        </w:rPr>
        <w:t> </w:t>
      </w:r>
    </w:p>
    <w:p w14:paraId="79DD6BC9" w14:textId="77777777" w:rsidR="0081659E" w:rsidRDefault="0081659E" w:rsidP="0081659E">
      <w:pPr>
        <w:shd w:val="clear" w:color="auto" w:fill="FFFFFF"/>
        <w:spacing w:line="330" w:lineRule="atLeast"/>
        <w:jc w:val="both"/>
        <w:rPr>
          <w:rFonts w:ascii="Calibri" w:hAnsi="Calibri" w:cs="Calibri"/>
          <w:color w:val="222222"/>
          <w:sz w:val="22"/>
          <w:szCs w:val="22"/>
        </w:rPr>
      </w:pPr>
      <w:r>
        <w:rPr>
          <w:rFonts w:ascii="Palatino Linotype" w:hAnsi="Palatino Linotype" w:cs="Calibri"/>
          <w:color w:val="222222"/>
        </w:rPr>
        <w:t>Asimismo, el artículo 33, del mismo ordenamiento legal, puntualmente señala el contenido que deberá tener la convocatoria para la celebración de las licitaciones públicas y por su parte, el consecutivo 34 señala que las bases de la licitación pública tendrán un costo de recuperación y contendrán los requisitos que se establezcan en el reglamento de dicha Ley.</w:t>
      </w:r>
    </w:p>
    <w:p w14:paraId="3E7CF72E" w14:textId="77777777" w:rsidR="0081659E" w:rsidRDefault="0081659E" w:rsidP="0081659E">
      <w:pPr>
        <w:shd w:val="clear" w:color="auto" w:fill="FFFFFF"/>
        <w:spacing w:line="330" w:lineRule="atLeast"/>
        <w:jc w:val="both"/>
        <w:rPr>
          <w:rFonts w:ascii="Calibri" w:hAnsi="Calibri" w:cs="Calibri"/>
          <w:color w:val="222222"/>
          <w:sz w:val="22"/>
          <w:szCs w:val="22"/>
        </w:rPr>
      </w:pPr>
      <w:r>
        <w:rPr>
          <w:rFonts w:ascii="Palatino Linotype" w:hAnsi="Palatino Linotype" w:cs="Calibri"/>
          <w:color w:val="222222"/>
        </w:rPr>
        <w:t> </w:t>
      </w:r>
    </w:p>
    <w:p w14:paraId="5B236E9C" w14:textId="77777777" w:rsidR="0081659E" w:rsidRDefault="0081659E" w:rsidP="0081659E">
      <w:pPr>
        <w:shd w:val="clear" w:color="auto" w:fill="FFFFFF"/>
        <w:spacing w:line="330" w:lineRule="atLeast"/>
        <w:jc w:val="both"/>
        <w:rPr>
          <w:rFonts w:ascii="Calibri" w:hAnsi="Calibri" w:cs="Calibri"/>
          <w:color w:val="222222"/>
          <w:sz w:val="22"/>
          <w:szCs w:val="22"/>
        </w:rPr>
      </w:pPr>
      <w:r>
        <w:rPr>
          <w:rFonts w:ascii="Palatino Linotype" w:hAnsi="Palatino Linotype" w:cs="Calibri"/>
          <w:color w:val="222222"/>
        </w:rPr>
        <w:t>Por lo que, en las licitaciones se debe seguir el procedimiento marcado en el artículo 35 del precitado ordenamiento, que literalmente establece:</w:t>
      </w:r>
    </w:p>
    <w:p w14:paraId="79573AC6" w14:textId="77777777" w:rsidR="0081659E" w:rsidRDefault="0081659E" w:rsidP="0081659E">
      <w:pPr>
        <w:shd w:val="clear" w:color="auto" w:fill="FFFFFF"/>
        <w:jc w:val="both"/>
        <w:rPr>
          <w:rFonts w:ascii="Calibri" w:hAnsi="Calibri" w:cs="Calibri"/>
          <w:color w:val="222222"/>
          <w:sz w:val="22"/>
          <w:szCs w:val="22"/>
        </w:rPr>
      </w:pPr>
      <w:r>
        <w:rPr>
          <w:rFonts w:ascii="Palatino Linotype" w:hAnsi="Palatino Linotype" w:cs="Calibri"/>
          <w:color w:val="222222"/>
        </w:rPr>
        <w:t> </w:t>
      </w:r>
    </w:p>
    <w:p w14:paraId="2276B18C" w14:textId="77777777" w:rsidR="0081659E" w:rsidRDefault="0081659E" w:rsidP="0081659E">
      <w:pPr>
        <w:shd w:val="clear" w:color="auto" w:fill="FFFFFF"/>
        <w:ind w:left="851" w:right="902"/>
        <w:jc w:val="both"/>
        <w:rPr>
          <w:rFonts w:ascii="Calibri" w:hAnsi="Calibri" w:cs="Calibri"/>
          <w:color w:val="222222"/>
          <w:sz w:val="22"/>
          <w:szCs w:val="22"/>
        </w:rPr>
      </w:pPr>
      <w:r>
        <w:rPr>
          <w:rFonts w:ascii="Palatino Linotype" w:hAnsi="Palatino Linotype" w:cs="Calibri"/>
          <w:b/>
          <w:bCs/>
          <w:i/>
          <w:iCs/>
          <w:color w:val="222222"/>
          <w:sz w:val="22"/>
          <w:szCs w:val="22"/>
        </w:rPr>
        <w:t>“Artículo 35</w:t>
      </w:r>
      <w:r>
        <w:rPr>
          <w:rFonts w:ascii="Palatino Linotype" w:hAnsi="Palatino Linotype" w:cs="Calibri"/>
          <w:i/>
          <w:iCs/>
          <w:color w:val="222222"/>
          <w:sz w:val="22"/>
          <w:szCs w:val="22"/>
        </w:rPr>
        <w:t>.- En los procedimientos de licitación pública se observará lo siguiente:</w:t>
      </w:r>
    </w:p>
    <w:p w14:paraId="3E8605D3" w14:textId="77777777" w:rsidR="0081659E" w:rsidRDefault="0081659E" w:rsidP="0081659E">
      <w:pPr>
        <w:shd w:val="clear" w:color="auto" w:fill="FFFFFF"/>
        <w:ind w:left="851" w:right="902"/>
        <w:jc w:val="both"/>
        <w:rPr>
          <w:rFonts w:ascii="Calibri" w:hAnsi="Calibri" w:cs="Calibri"/>
          <w:color w:val="222222"/>
          <w:sz w:val="22"/>
          <w:szCs w:val="22"/>
        </w:rPr>
      </w:pPr>
      <w:r>
        <w:rPr>
          <w:rFonts w:ascii="Palatino Linotype" w:hAnsi="Palatino Linotype" w:cs="Calibri"/>
          <w:i/>
          <w:iCs/>
          <w:color w:val="222222"/>
          <w:sz w:val="22"/>
          <w:szCs w:val="22"/>
        </w:rPr>
        <w:t>I. El acto de presentación y apertura de propuestas se llevará a cabo por el servidor público que designe la convocante, conforme al procedimiento que se establezca en el reglamento de esta Ley.</w:t>
      </w:r>
    </w:p>
    <w:p w14:paraId="369A51CF" w14:textId="77777777" w:rsidR="0081659E" w:rsidRDefault="0081659E" w:rsidP="0081659E">
      <w:pPr>
        <w:shd w:val="clear" w:color="auto" w:fill="FFFFFF"/>
        <w:ind w:left="851" w:right="902"/>
        <w:jc w:val="both"/>
        <w:rPr>
          <w:rFonts w:ascii="Calibri" w:hAnsi="Calibri" w:cs="Calibri"/>
          <w:color w:val="222222"/>
          <w:sz w:val="22"/>
          <w:szCs w:val="22"/>
        </w:rPr>
      </w:pPr>
      <w:r>
        <w:rPr>
          <w:rFonts w:ascii="Palatino Linotype" w:hAnsi="Palatino Linotype" w:cs="Calibri"/>
          <w:i/>
          <w:iCs/>
          <w:color w:val="222222"/>
          <w:sz w:val="22"/>
          <w:szCs w:val="22"/>
        </w:rPr>
        <w:t>II. El comité de adquisiciones y servicios evaluará y analizará las propuestas técnicas y económicas presentadas por los licitantes en el ámbito de las respectivas competencias de sus integrantes, y emitirá el dictamen de adjudicación.</w:t>
      </w:r>
    </w:p>
    <w:p w14:paraId="59414A17" w14:textId="77777777" w:rsidR="0081659E" w:rsidRDefault="0081659E" w:rsidP="0081659E">
      <w:pPr>
        <w:shd w:val="clear" w:color="auto" w:fill="FFFFFF"/>
        <w:ind w:left="851" w:right="902"/>
        <w:jc w:val="both"/>
        <w:rPr>
          <w:rFonts w:ascii="Calibri" w:hAnsi="Calibri" w:cs="Calibri"/>
          <w:color w:val="222222"/>
          <w:sz w:val="22"/>
          <w:szCs w:val="22"/>
        </w:rPr>
      </w:pPr>
      <w:r>
        <w:rPr>
          <w:rFonts w:ascii="Palatino Linotype" w:hAnsi="Palatino Linotype" w:cs="Calibri"/>
          <w:i/>
          <w:iCs/>
          <w:color w:val="222222"/>
          <w:sz w:val="22"/>
          <w:szCs w:val="22"/>
        </w:rPr>
        <w:t>III. Las bases de licitación se pondrán a la venta a partir de la fecha de publicación de la convocatoria y hasta el día hábil anterior a la fecha de celebración de la junta de aclaraciones o, en su defecto, del acto de presentación y apertura de propuestas.</w:t>
      </w:r>
    </w:p>
    <w:p w14:paraId="38C430AB" w14:textId="77777777" w:rsidR="0081659E" w:rsidRDefault="0081659E" w:rsidP="0081659E">
      <w:pPr>
        <w:shd w:val="clear" w:color="auto" w:fill="FFFFFF"/>
        <w:ind w:left="851" w:right="902"/>
        <w:jc w:val="both"/>
        <w:rPr>
          <w:rFonts w:ascii="Calibri" w:hAnsi="Calibri" w:cs="Calibri"/>
          <w:color w:val="222222"/>
          <w:sz w:val="22"/>
          <w:szCs w:val="22"/>
        </w:rPr>
      </w:pPr>
      <w:r>
        <w:rPr>
          <w:rFonts w:ascii="Palatino Linotype" w:hAnsi="Palatino Linotype" w:cs="Calibri"/>
          <w:i/>
          <w:iCs/>
          <w:color w:val="222222"/>
          <w:sz w:val="22"/>
          <w:szCs w:val="22"/>
        </w:rPr>
        <w:lastRenderedPageBreak/>
        <w:t>IV. Las convocantes podrán modificar los plazos y términos establecidos en la convocatoria o en las bases de licitación, hasta cinco días hábiles anteriores a la fecha de la celebración del acto de presentación y apertura de propuestas.</w:t>
      </w:r>
    </w:p>
    <w:p w14:paraId="598BE191" w14:textId="77777777" w:rsidR="0081659E" w:rsidRDefault="0081659E" w:rsidP="0081659E">
      <w:pPr>
        <w:shd w:val="clear" w:color="auto" w:fill="FFFFFF"/>
        <w:ind w:left="851" w:right="902"/>
        <w:jc w:val="both"/>
        <w:rPr>
          <w:rFonts w:ascii="Calibri" w:hAnsi="Calibri" w:cs="Calibri"/>
          <w:color w:val="222222"/>
          <w:sz w:val="22"/>
          <w:szCs w:val="22"/>
        </w:rPr>
      </w:pPr>
      <w:r>
        <w:rPr>
          <w:rFonts w:ascii="Palatino Linotype" w:hAnsi="Palatino Linotype" w:cs="Calibri"/>
          <w:i/>
          <w:iCs/>
          <w:color w:val="222222"/>
          <w:sz w:val="22"/>
          <w:szCs w:val="22"/>
        </w:rPr>
        <w:t>V. Las modificaciones no podrán limitar el número de licitantes, sustituir o variar sustancialmente los bienes o servicios convocados originalmente, ni adicionar otros  distintos.</w:t>
      </w:r>
    </w:p>
    <w:p w14:paraId="66596286" w14:textId="77777777" w:rsidR="0081659E" w:rsidRDefault="0081659E" w:rsidP="0081659E">
      <w:pPr>
        <w:shd w:val="clear" w:color="auto" w:fill="FFFFFF"/>
        <w:ind w:left="851" w:right="902"/>
        <w:jc w:val="both"/>
        <w:rPr>
          <w:rFonts w:ascii="Calibri" w:hAnsi="Calibri" w:cs="Calibri"/>
          <w:color w:val="222222"/>
          <w:sz w:val="22"/>
          <w:szCs w:val="22"/>
        </w:rPr>
      </w:pPr>
      <w:r>
        <w:rPr>
          <w:rFonts w:ascii="Palatino Linotype" w:hAnsi="Palatino Linotype" w:cs="Calibri"/>
          <w:i/>
          <w:iCs/>
          <w:color w:val="222222"/>
          <w:sz w:val="22"/>
          <w:szCs w:val="22"/>
        </w:rPr>
        <w:t>VI. Las modificaciones a la convocatoria o a las bases se harán del conocimiento de los interesados hasta tres días hábiles antes de la fecha señalada para el acto de presentación y apertura de propuestas.</w:t>
      </w:r>
    </w:p>
    <w:p w14:paraId="0E258945" w14:textId="77777777" w:rsidR="0081659E" w:rsidRDefault="0081659E" w:rsidP="0081659E">
      <w:pPr>
        <w:shd w:val="clear" w:color="auto" w:fill="FFFFFF"/>
        <w:ind w:left="851" w:right="902"/>
        <w:jc w:val="both"/>
        <w:rPr>
          <w:rFonts w:ascii="Calibri" w:hAnsi="Calibri" w:cs="Calibri"/>
          <w:color w:val="222222"/>
          <w:sz w:val="22"/>
          <w:szCs w:val="22"/>
        </w:rPr>
      </w:pPr>
      <w:r>
        <w:rPr>
          <w:rFonts w:ascii="Palatino Linotype" w:hAnsi="Palatino Linotype" w:cs="Calibri"/>
          <w:i/>
          <w:iCs/>
          <w:color w:val="222222"/>
          <w:sz w:val="22"/>
          <w:szCs w:val="22"/>
        </w:rPr>
        <w:t>VII. Se emitirá el fallo dentro de los 15 días hábiles siguientes a la publicación de la convocatoria.</w:t>
      </w:r>
    </w:p>
    <w:p w14:paraId="510FE6B2" w14:textId="77777777" w:rsidR="0081659E" w:rsidRDefault="0081659E" w:rsidP="0081659E">
      <w:pPr>
        <w:shd w:val="clear" w:color="auto" w:fill="FFFFFF"/>
        <w:ind w:left="851" w:right="902"/>
        <w:jc w:val="both"/>
        <w:rPr>
          <w:rFonts w:ascii="Palatino Linotype" w:hAnsi="Palatino Linotype" w:cs="Calibri"/>
          <w:b/>
          <w:bCs/>
          <w:i/>
          <w:iCs/>
          <w:color w:val="222222"/>
          <w:sz w:val="22"/>
          <w:szCs w:val="22"/>
        </w:rPr>
      </w:pPr>
      <w:r>
        <w:rPr>
          <w:rFonts w:ascii="Palatino Linotype" w:hAnsi="Palatino Linotype" w:cs="Calibri"/>
          <w:i/>
          <w:iCs/>
          <w:color w:val="222222"/>
          <w:sz w:val="22"/>
          <w:szCs w:val="22"/>
        </w:rPr>
        <w:t>VIII. Los licitantes se podrán registrar hasta el día y la hora fijados para el acto de presentación y apertura de propuestas.</w:t>
      </w:r>
      <w:r>
        <w:rPr>
          <w:rFonts w:ascii="Palatino Linotype" w:hAnsi="Palatino Linotype" w:cs="Calibri"/>
          <w:b/>
          <w:bCs/>
          <w:i/>
          <w:iCs/>
          <w:color w:val="222222"/>
          <w:sz w:val="22"/>
          <w:szCs w:val="22"/>
        </w:rPr>
        <w:t>”</w:t>
      </w:r>
    </w:p>
    <w:p w14:paraId="65419367" w14:textId="77777777" w:rsidR="007B0CE3" w:rsidRDefault="007B0CE3" w:rsidP="0081659E">
      <w:pPr>
        <w:shd w:val="clear" w:color="auto" w:fill="FFFFFF"/>
        <w:ind w:left="851" w:right="902"/>
        <w:jc w:val="both"/>
        <w:rPr>
          <w:rFonts w:ascii="Palatino Linotype" w:hAnsi="Palatino Linotype" w:cs="Calibri"/>
          <w:b/>
          <w:bCs/>
          <w:i/>
          <w:iCs/>
          <w:color w:val="222222"/>
          <w:sz w:val="22"/>
          <w:szCs w:val="22"/>
        </w:rPr>
      </w:pPr>
    </w:p>
    <w:p w14:paraId="31DE11AD" w14:textId="77777777" w:rsidR="007B0CE3" w:rsidRPr="007B0CE3" w:rsidRDefault="007B0CE3" w:rsidP="007B0CE3">
      <w:pPr>
        <w:shd w:val="clear" w:color="auto" w:fill="FFFFFF"/>
        <w:spacing w:line="330" w:lineRule="atLeast"/>
        <w:jc w:val="both"/>
        <w:rPr>
          <w:rFonts w:ascii="Calibri" w:hAnsi="Calibri" w:cs="Calibri"/>
          <w:color w:val="222222"/>
          <w:sz w:val="22"/>
          <w:szCs w:val="22"/>
          <w:lang w:val="es-MX" w:eastAsia="es-MX"/>
        </w:rPr>
      </w:pPr>
      <w:r w:rsidRPr="007B0CE3">
        <w:rPr>
          <w:rFonts w:ascii="Palatino Linotype" w:hAnsi="Palatino Linotype" w:cs="Calibri"/>
          <w:color w:val="222222"/>
          <w:lang w:eastAsia="es-MX"/>
        </w:rPr>
        <w:t>Del precepto legal, se desprende que al Comité de Adquisiciones y Servicios, le corresponde evaluar y analizar las propuestas técnicas y económicas presentadas por los licitantes en el ámbito de las respectivas competencias de sus integrantes, debiendo emitir para ello un dictamen de adjudicación y conforme a dicho dictamen se deberá emitir el fallo dentro de los quince días hábiles siguientes a la publicación de la convocatoria.</w:t>
      </w:r>
    </w:p>
    <w:p w14:paraId="2F58E97F" w14:textId="77777777" w:rsidR="007B0CE3" w:rsidRPr="007B0CE3" w:rsidRDefault="007B0CE3" w:rsidP="007B0CE3">
      <w:pPr>
        <w:shd w:val="clear" w:color="auto" w:fill="FFFFFF"/>
        <w:spacing w:line="330" w:lineRule="atLeast"/>
        <w:jc w:val="both"/>
        <w:rPr>
          <w:rFonts w:ascii="Calibri" w:hAnsi="Calibri" w:cs="Calibri"/>
          <w:color w:val="222222"/>
          <w:sz w:val="22"/>
          <w:szCs w:val="22"/>
          <w:lang w:val="es-MX" w:eastAsia="es-MX"/>
        </w:rPr>
      </w:pPr>
      <w:r w:rsidRPr="007B0CE3">
        <w:rPr>
          <w:rFonts w:ascii="Palatino Linotype" w:hAnsi="Palatino Linotype" w:cs="Calibri"/>
          <w:color w:val="222222"/>
          <w:lang w:eastAsia="es-MX"/>
        </w:rPr>
        <w:t> </w:t>
      </w:r>
    </w:p>
    <w:p w14:paraId="01028A34" w14:textId="77777777" w:rsidR="007B0CE3" w:rsidRPr="007B0CE3" w:rsidRDefault="007B0CE3" w:rsidP="007B0CE3">
      <w:pPr>
        <w:shd w:val="clear" w:color="auto" w:fill="FFFFFF"/>
        <w:spacing w:line="330" w:lineRule="atLeast"/>
        <w:jc w:val="both"/>
        <w:rPr>
          <w:rFonts w:ascii="Calibri" w:hAnsi="Calibri" w:cs="Calibri"/>
          <w:color w:val="222222"/>
          <w:sz w:val="22"/>
          <w:szCs w:val="22"/>
          <w:lang w:val="es-MX" w:eastAsia="es-MX"/>
        </w:rPr>
      </w:pPr>
      <w:r w:rsidRPr="007B0CE3">
        <w:rPr>
          <w:rFonts w:ascii="Palatino Linotype" w:hAnsi="Palatino Linotype" w:cs="Calibri"/>
          <w:color w:val="222222"/>
          <w:lang w:eastAsia="es-MX"/>
        </w:rPr>
        <w:t>Además, respecto al dictamen y el fallo de la adjudicación, es de señalar que la Ley en mención indica lo siguiente:</w:t>
      </w:r>
    </w:p>
    <w:p w14:paraId="597C90EE" w14:textId="77777777" w:rsidR="007B0CE3" w:rsidRPr="007B0CE3" w:rsidRDefault="007B0CE3" w:rsidP="007B0CE3">
      <w:pPr>
        <w:shd w:val="clear" w:color="auto" w:fill="FFFFFF"/>
        <w:jc w:val="both"/>
        <w:rPr>
          <w:rFonts w:ascii="Calibri" w:hAnsi="Calibri" w:cs="Calibri"/>
          <w:color w:val="222222"/>
          <w:sz w:val="22"/>
          <w:szCs w:val="22"/>
          <w:lang w:val="es-MX" w:eastAsia="es-MX"/>
        </w:rPr>
      </w:pPr>
      <w:r w:rsidRPr="007B0CE3">
        <w:rPr>
          <w:rFonts w:ascii="Palatino Linotype" w:hAnsi="Palatino Linotype" w:cs="Calibri"/>
          <w:color w:val="222222"/>
          <w:lang w:eastAsia="es-MX"/>
        </w:rPr>
        <w:t> </w:t>
      </w:r>
    </w:p>
    <w:p w14:paraId="1AD0E277" w14:textId="77777777" w:rsidR="007B0CE3" w:rsidRPr="007B0CE3" w:rsidRDefault="007B0CE3" w:rsidP="007B0CE3">
      <w:pPr>
        <w:shd w:val="clear" w:color="auto" w:fill="FFFFFF"/>
        <w:ind w:left="851" w:right="902"/>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“Artículo 37.-</w:t>
      </w:r>
      <w:r w:rsidRPr="007B0CE3">
        <w:rPr>
          <w:rFonts w:ascii="Palatino Linotype" w:hAnsi="Palatino Linotype" w:cs="Calibri"/>
          <w:i/>
          <w:iCs/>
          <w:color w:val="222222"/>
          <w:sz w:val="22"/>
          <w:szCs w:val="22"/>
          <w:lang w:eastAsia="es-MX"/>
        </w:rPr>
        <w:t> El comité de adquisiciones y servicios realizará el análisis y evaluación de las propuestas, mediante la verificación del cumplimiento de la información y de la documentación solicitada en las bases de la licitación y conforme al criterio establecidas en las mismas. Una vez efectuado el análisis cualitativo de las propuestas presentadas, emitirá el dictamen de adjudicación a favor del oferente u oferentes que reúnan los requisitos administrativos, financieros, legales y técnicos requeridos por la convocante; garantizando en todo momento la obtención de las mejores condiciones en cuanto a precio, calidad, financiamiento, oportunidad y demás circunstancias pertinentes.</w:t>
      </w:r>
    </w:p>
    <w:p w14:paraId="5A8CB2AA" w14:textId="77777777" w:rsidR="007B0CE3" w:rsidRPr="007B0CE3" w:rsidRDefault="007B0CE3" w:rsidP="007B0CE3">
      <w:pPr>
        <w:shd w:val="clear" w:color="auto" w:fill="FFFFFF"/>
        <w:ind w:left="851" w:right="902"/>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 </w:t>
      </w:r>
    </w:p>
    <w:p w14:paraId="62AF0FE1" w14:textId="77777777" w:rsidR="007B0CE3" w:rsidRPr="007B0CE3" w:rsidRDefault="007B0CE3" w:rsidP="007B0CE3">
      <w:pPr>
        <w:shd w:val="clear" w:color="auto" w:fill="FFFFFF"/>
        <w:ind w:left="851" w:right="902"/>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Artículo 38.-</w:t>
      </w:r>
      <w:r w:rsidRPr="007B0CE3">
        <w:rPr>
          <w:rFonts w:ascii="Palatino Linotype" w:hAnsi="Palatino Linotype" w:cs="Calibri"/>
          <w:i/>
          <w:iCs/>
          <w:color w:val="222222"/>
          <w:sz w:val="22"/>
          <w:szCs w:val="22"/>
          <w:lang w:eastAsia="es-MX"/>
        </w:rPr>
        <w:t> 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w:t>
      </w:r>
    </w:p>
    <w:p w14:paraId="710108B2" w14:textId="77777777" w:rsidR="007B0CE3" w:rsidRPr="007B0CE3" w:rsidRDefault="007B0CE3" w:rsidP="007B0CE3">
      <w:pPr>
        <w:shd w:val="clear" w:color="auto" w:fill="FFFFFF"/>
        <w:ind w:left="851" w:right="902"/>
        <w:jc w:val="both"/>
        <w:rPr>
          <w:rFonts w:ascii="Calibri" w:hAnsi="Calibri" w:cs="Calibri"/>
          <w:color w:val="222222"/>
          <w:sz w:val="22"/>
          <w:szCs w:val="22"/>
          <w:lang w:val="es-MX" w:eastAsia="es-MX"/>
        </w:rPr>
      </w:pPr>
      <w:r w:rsidRPr="007B0CE3">
        <w:rPr>
          <w:rFonts w:ascii="Palatino Linotype" w:hAnsi="Palatino Linotype" w:cs="Calibri"/>
          <w:i/>
          <w:iCs/>
          <w:color w:val="222222"/>
          <w:sz w:val="22"/>
          <w:szCs w:val="22"/>
          <w:lang w:eastAsia="es-MX"/>
        </w:rPr>
        <w:lastRenderedPageBreak/>
        <w:t>El fallo de adjudicación surtirá efectos desde la emisión, siendo responsabilidad de los licitantes enterarse de su contenido, por lo que a partir de ese momento, las obligaciones derivadas de éste serán exigibles sin perjuicio de la formalización del contrato respectivo, en los términos señalados en el fallo.</w:t>
      </w:r>
      <w:r w:rsidRPr="007B0CE3">
        <w:rPr>
          <w:rFonts w:ascii="Palatino Linotype" w:hAnsi="Palatino Linotype" w:cs="Calibri"/>
          <w:b/>
          <w:bCs/>
          <w:i/>
          <w:iCs/>
          <w:color w:val="222222"/>
          <w:sz w:val="22"/>
          <w:szCs w:val="22"/>
          <w:lang w:eastAsia="es-MX"/>
        </w:rPr>
        <w:t>”</w:t>
      </w:r>
    </w:p>
    <w:p w14:paraId="4FB78C53" w14:textId="77777777" w:rsidR="007B0CE3" w:rsidRPr="007B0CE3" w:rsidRDefault="007B0CE3" w:rsidP="007B0CE3">
      <w:pPr>
        <w:shd w:val="clear" w:color="auto" w:fill="FFFFFF"/>
        <w:ind w:left="851" w:right="902"/>
        <w:jc w:val="both"/>
        <w:rPr>
          <w:rFonts w:ascii="Calibri" w:hAnsi="Calibri" w:cs="Calibri"/>
          <w:color w:val="222222"/>
          <w:sz w:val="22"/>
          <w:szCs w:val="22"/>
          <w:lang w:val="es-MX" w:eastAsia="es-MX"/>
        </w:rPr>
      </w:pPr>
      <w:r w:rsidRPr="007B0CE3">
        <w:rPr>
          <w:rFonts w:ascii="Palatino Linotype" w:hAnsi="Palatino Linotype" w:cs="Calibri"/>
          <w:i/>
          <w:iCs/>
          <w:color w:val="222222"/>
          <w:sz w:val="22"/>
          <w:szCs w:val="22"/>
          <w:lang w:eastAsia="es-MX"/>
        </w:rPr>
        <w:t> </w:t>
      </w:r>
    </w:p>
    <w:p w14:paraId="4F8F2923" w14:textId="77777777" w:rsidR="007B0CE3" w:rsidRPr="007B0CE3" w:rsidRDefault="007B0CE3" w:rsidP="007B0CE3">
      <w:pPr>
        <w:shd w:val="clear" w:color="auto" w:fill="FFFFFF"/>
        <w:spacing w:line="330" w:lineRule="atLeast"/>
        <w:jc w:val="both"/>
        <w:rPr>
          <w:rFonts w:ascii="Calibri" w:hAnsi="Calibri" w:cs="Calibri"/>
          <w:color w:val="222222"/>
          <w:sz w:val="22"/>
          <w:szCs w:val="22"/>
          <w:lang w:val="es-MX" w:eastAsia="es-MX"/>
        </w:rPr>
      </w:pPr>
      <w:r w:rsidRPr="007B0CE3">
        <w:rPr>
          <w:rFonts w:ascii="Palatino Linotype" w:hAnsi="Palatino Linotype" w:cs="Calibri"/>
          <w:color w:val="222222"/>
          <w:lang w:eastAsia="es-MX"/>
        </w:rPr>
        <w:t>Ahora bien, por cuanto hace a la invitación restringida el artículo 44 de la Ley de la Contratación Pública del Estado de México y Municipios, dispone que podrá realizarse cuando se hubiere declarado desierto un procedimiento de licitación o cuando el importe de la operación no exceda de los montos establecidos por el Presupuesto de Egresos del Gobierno del Estado de México del ejercicio correspondiente.</w:t>
      </w:r>
    </w:p>
    <w:p w14:paraId="422A0D84" w14:textId="77777777" w:rsidR="007B0CE3" w:rsidRPr="007B0CE3" w:rsidRDefault="007B0CE3" w:rsidP="007B0CE3">
      <w:pPr>
        <w:shd w:val="clear" w:color="auto" w:fill="FFFFFF"/>
        <w:spacing w:line="330" w:lineRule="atLeast"/>
        <w:jc w:val="both"/>
        <w:rPr>
          <w:rFonts w:ascii="Calibri" w:hAnsi="Calibri" w:cs="Calibri"/>
          <w:color w:val="222222"/>
          <w:sz w:val="22"/>
          <w:szCs w:val="22"/>
          <w:lang w:val="es-MX" w:eastAsia="es-MX"/>
        </w:rPr>
      </w:pPr>
      <w:r w:rsidRPr="007B0CE3">
        <w:rPr>
          <w:rFonts w:ascii="Palatino Linotype" w:hAnsi="Palatino Linotype" w:cs="Calibri"/>
          <w:color w:val="222222"/>
          <w:lang w:eastAsia="es-MX"/>
        </w:rPr>
        <w:t> </w:t>
      </w:r>
    </w:p>
    <w:p w14:paraId="625546B6" w14:textId="77777777" w:rsidR="007B0CE3" w:rsidRPr="007B0CE3" w:rsidRDefault="007B0CE3" w:rsidP="007B0CE3">
      <w:pPr>
        <w:shd w:val="clear" w:color="auto" w:fill="FFFFFF"/>
        <w:spacing w:line="330" w:lineRule="atLeast"/>
        <w:jc w:val="both"/>
        <w:rPr>
          <w:rFonts w:ascii="Calibri" w:hAnsi="Calibri" w:cs="Calibri"/>
          <w:color w:val="222222"/>
          <w:sz w:val="22"/>
          <w:szCs w:val="22"/>
          <w:lang w:val="es-MX" w:eastAsia="es-MX"/>
        </w:rPr>
      </w:pPr>
      <w:r w:rsidRPr="007B0CE3">
        <w:rPr>
          <w:rFonts w:ascii="Palatino Linotype" w:hAnsi="Palatino Linotype" w:cs="Calibri"/>
          <w:color w:val="222222"/>
          <w:lang w:eastAsia="es-MX"/>
        </w:rPr>
        <w:t>Además, es oportuno señalar que, las disposiciones respecto a las bases, dictámenes, fallos y fianzas, se realizan con similitud al procedimiento de licitación pública, tal como lo señalan los artículos 46 y 90 de la misma Ley, que literalmente establecen:</w:t>
      </w:r>
    </w:p>
    <w:p w14:paraId="7C869213" w14:textId="77777777" w:rsidR="007B0CE3" w:rsidRPr="007B0CE3" w:rsidRDefault="007B0CE3" w:rsidP="007B0CE3">
      <w:pPr>
        <w:shd w:val="clear" w:color="auto" w:fill="FFFFFF"/>
        <w:ind w:left="709" w:right="899"/>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“Artículo 46.-</w:t>
      </w:r>
      <w:r w:rsidRPr="007B0CE3">
        <w:rPr>
          <w:rFonts w:ascii="Palatino Linotype" w:hAnsi="Palatino Linotype" w:cs="Calibri"/>
          <w:i/>
          <w:iCs/>
          <w:color w:val="222222"/>
          <w:sz w:val="22"/>
          <w:szCs w:val="22"/>
          <w:lang w:eastAsia="es-MX"/>
        </w:rPr>
        <w:t> El procedimiento de invitación restringida se desarrollará en los términos de la licitación pública, a excepción de la publicación de la convocatoria.” (Sic)</w:t>
      </w:r>
    </w:p>
    <w:p w14:paraId="519EDA90" w14:textId="77777777" w:rsidR="007B0CE3" w:rsidRPr="007B0CE3" w:rsidRDefault="007B0CE3" w:rsidP="007B0CE3">
      <w:pPr>
        <w:shd w:val="clear" w:color="auto" w:fill="FFFFFF"/>
        <w:ind w:left="709" w:right="899"/>
        <w:jc w:val="both"/>
        <w:rPr>
          <w:rFonts w:ascii="Calibri" w:hAnsi="Calibri" w:cs="Calibri"/>
          <w:color w:val="222222"/>
          <w:sz w:val="22"/>
          <w:szCs w:val="22"/>
          <w:lang w:val="es-MX" w:eastAsia="es-MX"/>
        </w:rPr>
      </w:pPr>
      <w:r w:rsidRPr="007B0CE3">
        <w:rPr>
          <w:rFonts w:ascii="Palatino Linotype" w:hAnsi="Palatino Linotype" w:cs="Calibri"/>
          <w:i/>
          <w:iCs/>
          <w:color w:val="222222"/>
          <w:sz w:val="22"/>
          <w:szCs w:val="22"/>
          <w:lang w:eastAsia="es-MX"/>
        </w:rPr>
        <w:t>Por ello, el Reglamento de la Ley en comento, en su artículo 90, indica cuales lo son los supuestos que deberán observarse para llevar a cabo dicho procedimiento:</w:t>
      </w:r>
    </w:p>
    <w:p w14:paraId="5633A34C" w14:textId="77777777" w:rsidR="007B0CE3" w:rsidRPr="007B0CE3" w:rsidRDefault="007B0CE3" w:rsidP="007B0CE3">
      <w:pPr>
        <w:shd w:val="clear" w:color="auto" w:fill="FFFFFF"/>
        <w:ind w:left="709" w:right="899"/>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 </w:t>
      </w:r>
    </w:p>
    <w:p w14:paraId="160C8469" w14:textId="77777777" w:rsidR="007B0CE3" w:rsidRPr="007B0CE3" w:rsidRDefault="007B0CE3" w:rsidP="007B0CE3">
      <w:pPr>
        <w:shd w:val="clear" w:color="auto" w:fill="FFFFFF"/>
        <w:ind w:left="709" w:right="899"/>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Artículo 90.-</w:t>
      </w:r>
      <w:r w:rsidRPr="007B0CE3">
        <w:rPr>
          <w:rFonts w:ascii="Palatino Linotype" w:hAnsi="Palatino Linotype" w:cs="Calibri"/>
          <w:i/>
          <w:iCs/>
          <w:color w:val="222222"/>
          <w:sz w:val="22"/>
          <w:szCs w:val="22"/>
          <w:lang w:eastAsia="es-MX"/>
        </w:rPr>
        <w:t> En el procedimiento de invitación restringida se deberá observar lo siguiente:</w:t>
      </w:r>
    </w:p>
    <w:p w14:paraId="794075E6" w14:textId="77777777" w:rsidR="007B0CE3" w:rsidRPr="007B0CE3" w:rsidRDefault="007B0CE3" w:rsidP="007B0CE3">
      <w:pPr>
        <w:shd w:val="clear" w:color="auto" w:fill="FFFFFF"/>
        <w:ind w:left="709" w:right="899"/>
        <w:jc w:val="both"/>
        <w:rPr>
          <w:rFonts w:ascii="Calibri" w:hAnsi="Calibri" w:cs="Calibri"/>
          <w:color w:val="222222"/>
          <w:sz w:val="22"/>
          <w:szCs w:val="22"/>
          <w:lang w:val="es-MX" w:eastAsia="es-MX"/>
        </w:rPr>
      </w:pPr>
      <w:r w:rsidRPr="007B0CE3">
        <w:rPr>
          <w:rFonts w:ascii="Palatino Linotype" w:hAnsi="Palatino Linotype" w:cs="Calibri"/>
          <w:i/>
          <w:iCs/>
          <w:color w:val="222222"/>
          <w:sz w:val="22"/>
          <w:szCs w:val="22"/>
          <w:lang w:eastAsia="es-MX"/>
        </w:rPr>
        <w:t> </w:t>
      </w:r>
    </w:p>
    <w:p w14:paraId="38F7FCE1" w14:textId="77777777" w:rsidR="007B0CE3" w:rsidRPr="007B0CE3" w:rsidRDefault="007B0CE3" w:rsidP="007B0CE3">
      <w:pPr>
        <w:shd w:val="clear" w:color="auto" w:fill="FFFFFF"/>
        <w:ind w:left="709" w:right="899"/>
        <w:jc w:val="both"/>
        <w:rPr>
          <w:rFonts w:ascii="Calibri" w:hAnsi="Calibri" w:cs="Calibri"/>
          <w:color w:val="222222"/>
          <w:sz w:val="22"/>
          <w:szCs w:val="22"/>
          <w:lang w:val="es-MX" w:eastAsia="es-MX"/>
        </w:rPr>
      </w:pPr>
      <w:r w:rsidRPr="007B0CE3">
        <w:rPr>
          <w:rFonts w:ascii="Palatino Linotype" w:hAnsi="Palatino Linotype" w:cs="Calibri"/>
          <w:i/>
          <w:iCs/>
          <w:color w:val="222222"/>
          <w:sz w:val="22"/>
          <w:szCs w:val="22"/>
          <w:lang w:eastAsia="es-MX"/>
        </w:rPr>
        <w:t>I. Se invitará a un mínimo de tres personas seleccionadas de entre las que se encuentren inscritas e n el catálogo de proveedores y de prestadores de servicios.</w:t>
      </w:r>
    </w:p>
    <w:p w14:paraId="1CAD1530" w14:textId="77777777" w:rsidR="007B0CE3" w:rsidRPr="007B0CE3" w:rsidRDefault="007B0CE3" w:rsidP="007B0CE3">
      <w:pPr>
        <w:shd w:val="clear" w:color="auto" w:fill="FFFFFF"/>
        <w:ind w:left="709" w:right="899"/>
        <w:jc w:val="both"/>
        <w:rPr>
          <w:rFonts w:ascii="Calibri" w:hAnsi="Calibri" w:cs="Calibri"/>
          <w:color w:val="222222"/>
          <w:sz w:val="22"/>
          <w:szCs w:val="22"/>
          <w:lang w:val="es-MX" w:eastAsia="es-MX"/>
        </w:rPr>
      </w:pPr>
      <w:r w:rsidRPr="007B0CE3">
        <w:rPr>
          <w:rFonts w:ascii="Palatino Linotype" w:hAnsi="Palatino Linotype" w:cs="Calibri"/>
          <w:i/>
          <w:iCs/>
          <w:color w:val="222222"/>
          <w:sz w:val="22"/>
          <w:szCs w:val="22"/>
          <w:lang w:eastAsia="es-MX"/>
        </w:rPr>
        <w:t>Se podrá invitar a personas que no se encuentren inscritas, cuando en el giro correspondiente del catálogo de proveedores y prestadores de servicios no exista el registro mínimo de personas requeridas para tal modalidad;</w:t>
      </w:r>
    </w:p>
    <w:p w14:paraId="371296EC" w14:textId="77777777" w:rsidR="007B0CE3" w:rsidRPr="007B0CE3" w:rsidRDefault="007B0CE3" w:rsidP="007B0CE3">
      <w:pPr>
        <w:shd w:val="clear" w:color="auto" w:fill="FFFFFF"/>
        <w:ind w:left="709" w:right="899"/>
        <w:jc w:val="both"/>
        <w:rPr>
          <w:rFonts w:ascii="Calibri" w:hAnsi="Calibri" w:cs="Calibri"/>
          <w:color w:val="222222"/>
          <w:sz w:val="22"/>
          <w:szCs w:val="22"/>
          <w:lang w:val="es-MX" w:eastAsia="es-MX"/>
        </w:rPr>
      </w:pPr>
      <w:r w:rsidRPr="007B0CE3">
        <w:rPr>
          <w:rFonts w:ascii="Palatino Linotype" w:hAnsi="Palatino Linotype" w:cs="Calibri"/>
          <w:i/>
          <w:iCs/>
          <w:color w:val="222222"/>
          <w:sz w:val="22"/>
          <w:szCs w:val="22"/>
          <w:lang w:eastAsia="es-MX"/>
        </w:rPr>
        <w:t>II. Las bases de la invitación restringida indicarán los aspectos de la adquisición o contratación; y</w:t>
      </w:r>
    </w:p>
    <w:p w14:paraId="5F34B652" w14:textId="77777777" w:rsidR="007B0CE3" w:rsidRPr="007B0CE3" w:rsidRDefault="007B0CE3" w:rsidP="007B0CE3">
      <w:pPr>
        <w:shd w:val="clear" w:color="auto" w:fill="FFFFFF"/>
        <w:ind w:left="709" w:right="899"/>
        <w:jc w:val="both"/>
        <w:rPr>
          <w:rFonts w:ascii="Calibri" w:hAnsi="Calibri" w:cs="Calibri"/>
          <w:color w:val="222222"/>
          <w:sz w:val="22"/>
          <w:szCs w:val="22"/>
          <w:lang w:val="es-MX" w:eastAsia="es-MX"/>
        </w:rPr>
      </w:pPr>
      <w:r w:rsidRPr="007B0CE3">
        <w:rPr>
          <w:rFonts w:ascii="Palatino Linotype" w:hAnsi="Palatino Linotype" w:cs="Calibri"/>
          <w:i/>
          <w:iCs/>
          <w:color w:val="222222"/>
          <w:sz w:val="22"/>
          <w:szCs w:val="22"/>
          <w:lang w:eastAsia="es-MX"/>
        </w:rPr>
        <w:t>III. Serán aplicables, en lo conducente, las disposiciones de la licitación pública.</w:t>
      </w:r>
      <w:r w:rsidRPr="007B0CE3">
        <w:rPr>
          <w:rFonts w:ascii="Palatino Linotype" w:hAnsi="Palatino Linotype" w:cs="Calibri"/>
          <w:b/>
          <w:bCs/>
          <w:i/>
          <w:iCs/>
          <w:color w:val="222222"/>
          <w:sz w:val="22"/>
          <w:szCs w:val="22"/>
          <w:lang w:eastAsia="es-MX"/>
        </w:rPr>
        <w:t>”</w:t>
      </w:r>
    </w:p>
    <w:p w14:paraId="044358C9" w14:textId="77777777" w:rsidR="007B0CE3" w:rsidRPr="007B0CE3" w:rsidRDefault="007B0CE3" w:rsidP="007B0CE3">
      <w:pPr>
        <w:shd w:val="clear" w:color="auto" w:fill="FFFFFF"/>
        <w:ind w:left="709" w:right="760"/>
        <w:jc w:val="both"/>
        <w:rPr>
          <w:rFonts w:ascii="Calibri" w:hAnsi="Calibri" w:cs="Calibri"/>
          <w:color w:val="222222"/>
          <w:sz w:val="22"/>
          <w:szCs w:val="22"/>
          <w:lang w:val="es-MX" w:eastAsia="es-MX"/>
        </w:rPr>
      </w:pPr>
      <w:r w:rsidRPr="007B0CE3">
        <w:rPr>
          <w:rFonts w:ascii="Palatino Linotype" w:hAnsi="Palatino Linotype" w:cs="Calibri"/>
          <w:i/>
          <w:iCs/>
          <w:color w:val="222222"/>
          <w:sz w:val="22"/>
          <w:szCs w:val="22"/>
          <w:lang w:eastAsia="es-MX"/>
        </w:rPr>
        <w:t> </w:t>
      </w:r>
    </w:p>
    <w:p w14:paraId="26B1C733" w14:textId="77777777" w:rsidR="007B0CE3" w:rsidRPr="007B0CE3" w:rsidRDefault="007B0CE3" w:rsidP="007B0CE3">
      <w:pPr>
        <w:shd w:val="clear" w:color="auto" w:fill="FFFFFF"/>
        <w:spacing w:line="330" w:lineRule="atLeast"/>
        <w:jc w:val="both"/>
        <w:rPr>
          <w:rFonts w:ascii="Calibri" w:hAnsi="Calibri" w:cs="Calibri"/>
          <w:color w:val="222222"/>
          <w:sz w:val="22"/>
          <w:szCs w:val="22"/>
          <w:lang w:val="es-MX" w:eastAsia="es-MX"/>
        </w:rPr>
      </w:pPr>
      <w:r w:rsidRPr="007B0CE3">
        <w:rPr>
          <w:rFonts w:ascii="Palatino Linotype" w:hAnsi="Palatino Linotype" w:cs="Calibri"/>
          <w:color w:val="222222"/>
          <w:lang w:eastAsia="es-MX"/>
        </w:rPr>
        <w:t>En conclusión, referente a este punto cuando los procedimientos de adquisición o prestación de servicios materia de la Ley en cita, se hubieran llevado a cabo mediante invitación restringida, por cada procedimiento se debe contar con las bases, dictámenes, fallos y en su caso, fianzas, de haber sido esta la garantía exhibida.</w:t>
      </w:r>
    </w:p>
    <w:p w14:paraId="0D33C181" w14:textId="77777777" w:rsidR="007B0CE3" w:rsidRPr="007B0CE3" w:rsidRDefault="007B0CE3" w:rsidP="007B0CE3">
      <w:pPr>
        <w:shd w:val="clear" w:color="auto" w:fill="FFFFFF"/>
        <w:spacing w:line="330" w:lineRule="atLeast"/>
        <w:jc w:val="both"/>
        <w:rPr>
          <w:rFonts w:ascii="Calibri" w:hAnsi="Calibri" w:cs="Calibri"/>
          <w:color w:val="222222"/>
          <w:sz w:val="22"/>
          <w:szCs w:val="22"/>
          <w:lang w:val="es-MX" w:eastAsia="es-MX"/>
        </w:rPr>
      </w:pPr>
      <w:r w:rsidRPr="007B0CE3">
        <w:rPr>
          <w:rFonts w:ascii="Palatino Linotype" w:hAnsi="Palatino Linotype" w:cs="Calibri"/>
          <w:color w:val="222222"/>
          <w:lang w:eastAsia="es-MX"/>
        </w:rPr>
        <w:t> </w:t>
      </w:r>
    </w:p>
    <w:p w14:paraId="15931A67" w14:textId="77777777" w:rsidR="007B0CE3" w:rsidRPr="007B0CE3" w:rsidRDefault="007B0CE3" w:rsidP="007B0CE3">
      <w:pPr>
        <w:shd w:val="clear" w:color="auto" w:fill="FFFFFF"/>
        <w:spacing w:line="330" w:lineRule="atLeast"/>
        <w:jc w:val="both"/>
        <w:rPr>
          <w:rFonts w:ascii="Calibri" w:hAnsi="Calibri" w:cs="Calibri"/>
          <w:color w:val="222222"/>
          <w:sz w:val="22"/>
          <w:szCs w:val="22"/>
          <w:lang w:val="es-MX" w:eastAsia="es-MX"/>
        </w:rPr>
      </w:pPr>
      <w:r w:rsidRPr="007B0CE3">
        <w:rPr>
          <w:rFonts w:ascii="Palatino Linotype" w:hAnsi="Palatino Linotype" w:cs="Calibri"/>
          <w:color w:val="222222"/>
          <w:lang w:eastAsia="es-MX"/>
        </w:rPr>
        <w:lastRenderedPageBreak/>
        <w:t>Por último, y en cuanto hace a la adjudicación directa, el artículo 48 de la Ley de la Contratación Pública del Estado de México y Municipios y 91 del Reglamento de dicha Ley, indican en qué supuestos puede llevarse a cabo este procedimiento.</w:t>
      </w:r>
    </w:p>
    <w:p w14:paraId="47689F29" w14:textId="77777777" w:rsidR="007B0CE3" w:rsidRPr="007B0CE3" w:rsidRDefault="007B0CE3" w:rsidP="007B0CE3">
      <w:pPr>
        <w:shd w:val="clear" w:color="auto" w:fill="FFFFFF"/>
        <w:spacing w:line="330" w:lineRule="atLeast"/>
        <w:jc w:val="both"/>
        <w:rPr>
          <w:rFonts w:ascii="Calibri" w:hAnsi="Calibri" w:cs="Calibri"/>
          <w:color w:val="222222"/>
          <w:sz w:val="22"/>
          <w:szCs w:val="22"/>
          <w:lang w:val="es-MX" w:eastAsia="es-MX"/>
        </w:rPr>
      </w:pPr>
      <w:r w:rsidRPr="007B0CE3">
        <w:rPr>
          <w:rFonts w:ascii="Palatino Linotype" w:hAnsi="Palatino Linotype" w:cs="Calibri"/>
          <w:color w:val="222222"/>
          <w:lang w:eastAsia="es-MX"/>
        </w:rPr>
        <w:t> </w:t>
      </w:r>
    </w:p>
    <w:p w14:paraId="13AEB526" w14:textId="77777777" w:rsidR="007B0CE3" w:rsidRPr="007B0CE3" w:rsidRDefault="007B0CE3" w:rsidP="007B0CE3">
      <w:pPr>
        <w:shd w:val="clear" w:color="auto" w:fill="FFFFFF"/>
        <w:spacing w:line="330" w:lineRule="atLeast"/>
        <w:jc w:val="both"/>
        <w:rPr>
          <w:rFonts w:ascii="Calibri" w:hAnsi="Calibri" w:cs="Calibri"/>
          <w:color w:val="222222"/>
          <w:sz w:val="22"/>
          <w:szCs w:val="22"/>
          <w:lang w:val="es-MX" w:eastAsia="es-MX"/>
        </w:rPr>
      </w:pPr>
      <w:r w:rsidRPr="007B0CE3">
        <w:rPr>
          <w:rFonts w:ascii="Palatino Linotype" w:hAnsi="Palatino Linotype" w:cs="Calibri"/>
          <w:color w:val="222222"/>
          <w:lang w:eastAsia="es-MX"/>
        </w:rPr>
        <w:t>En este sentido, la convocante debe solicitar a su comité el dictamen correspondiente del procedimiento de adjudicación directa, en el que se acredite previamente la descripción general de los bienes a adquirir; la justificación o conveniencia de llevar a cabo la adjudicación directa; y la certificación de suficiencia presupuestaria.</w:t>
      </w:r>
    </w:p>
    <w:p w14:paraId="306830B2" w14:textId="77777777" w:rsidR="007B0CE3" w:rsidRPr="007B0CE3" w:rsidRDefault="007B0CE3" w:rsidP="007B0CE3">
      <w:pPr>
        <w:shd w:val="clear" w:color="auto" w:fill="FFFFFF"/>
        <w:spacing w:line="330" w:lineRule="atLeast"/>
        <w:jc w:val="both"/>
        <w:rPr>
          <w:rFonts w:ascii="Calibri" w:hAnsi="Calibri" w:cs="Calibri"/>
          <w:color w:val="222222"/>
          <w:sz w:val="22"/>
          <w:szCs w:val="22"/>
          <w:lang w:val="es-MX" w:eastAsia="es-MX"/>
        </w:rPr>
      </w:pPr>
      <w:r w:rsidRPr="007B0CE3">
        <w:rPr>
          <w:rFonts w:ascii="Palatino Linotype" w:hAnsi="Palatino Linotype" w:cs="Calibri"/>
          <w:color w:val="222222"/>
          <w:lang w:eastAsia="es-MX"/>
        </w:rPr>
        <w:t> </w:t>
      </w:r>
    </w:p>
    <w:p w14:paraId="2820F7DB" w14:textId="77777777" w:rsidR="007B0CE3" w:rsidRPr="007B0CE3" w:rsidRDefault="007B0CE3" w:rsidP="007B0CE3">
      <w:pPr>
        <w:shd w:val="clear" w:color="auto" w:fill="FFFFFF"/>
        <w:spacing w:line="330" w:lineRule="atLeast"/>
        <w:jc w:val="both"/>
        <w:rPr>
          <w:rFonts w:ascii="Calibri" w:hAnsi="Calibri" w:cs="Calibri"/>
          <w:color w:val="222222"/>
          <w:sz w:val="22"/>
          <w:szCs w:val="22"/>
          <w:lang w:val="es-MX" w:eastAsia="es-MX"/>
        </w:rPr>
      </w:pPr>
      <w:r w:rsidRPr="007B0CE3">
        <w:rPr>
          <w:rFonts w:ascii="Palatino Linotype" w:hAnsi="Palatino Linotype" w:cs="Calibri"/>
          <w:color w:val="222222"/>
          <w:lang w:eastAsia="es-MX"/>
        </w:rPr>
        <w:t>Además, el artículo 94 del referido Reglamento, detalla el procedimiento que se llevará a cabo en la adjudicación directa, de la siguiente manera:</w:t>
      </w:r>
    </w:p>
    <w:p w14:paraId="13D14236" w14:textId="77777777" w:rsidR="007B0CE3" w:rsidRPr="007B0CE3" w:rsidRDefault="007B0CE3" w:rsidP="007B0CE3">
      <w:pPr>
        <w:shd w:val="clear" w:color="auto" w:fill="FFFFFF"/>
        <w:jc w:val="both"/>
        <w:rPr>
          <w:rFonts w:ascii="Calibri" w:hAnsi="Calibri" w:cs="Calibri"/>
          <w:color w:val="222222"/>
          <w:sz w:val="22"/>
          <w:szCs w:val="22"/>
          <w:lang w:val="es-MX" w:eastAsia="es-MX"/>
        </w:rPr>
      </w:pPr>
      <w:r w:rsidRPr="007B0CE3">
        <w:rPr>
          <w:rFonts w:ascii="Palatino Linotype" w:hAnsi="Palatino Linotype" w:cs="Calibri"/>
          <w:color w:val="222222"/>
          <w:lang w:eastAsia="es-MX"/>
        </w:rPr>
        <w:t> </w:t>
      </w:r>
    </w:p>
    <w:p w14:paraId="5DE5C730" w14:textId="77777777" w:rsidR="007B0CE3" w:rsidRPr="007B0CE3" w:rsidRDefault="007B0CE3" w:rsidP="007B0CE3">
      <w:pPr>
        <w:shd w:val="clear" w:color="auto" w:fill="FFFFFF"/>
        <w:ind w:left="851" w:right="851"/>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“Artículo 94.- </w:t>
      </w:r>
      <w:r w:rsidRPr="007B0CE3">
        <w:rPr>
          <w:rFonts w:ascii="Palatino Linotype" w:hAnsi="Palatino Linotype" w:cs="Calibri"/>
          <w:i/>
          <w:iCs/>
          <w:color w:val="222222"/>
          <w:sz w:val="22"/>
          <w:szCs w:val="22"/>
          <w:lang w:eastAsia="es-MX"/>
        </w:rPr>
        <w:t>En el procedimiento de adjudicación directa se observará lo siguiente:</w:t>
      </w:r>
    </w:p>
    <w:p w14:paraId="531777C5" w14:textId="77777777" w:rsidR="007B0CE3" w:rsidRPr="007B0CE3" w:rsidRDefault="007B0CE3" w:rsidP="007B0CE3">
      <w:pPr>
        <w:shd w:val="clear" w:color="auto" w:fill="FFFFFF"/>
        <w:ind w:left="851" w:right="851"/>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I.</w:t>
      </w:r>
      <w:r w:rsidRPr="007B0CE3">
        <w:rPr>
          <w:rFonts w:ascii="Palatino Linotype" w:hAnsi="Palatino Linotype" w:cs="Calibri"/>
          <w:i/>
          <w:iCs/>
          <w:color w:val="222222"/>
          <w:sz w:val="22"/>
          <w:szCs w:val="22"/>
          <w:lang w:eastAsia="es-MX"/>
        </w:rPr>
        <w:t xml:space="preserve"> Las adquisiciones de bienes y la contratación de servicios, se efectuaran previa </w:t>
      </w:r>
      <w:proofErr w:type="spellStart"/>
      <w:r w:rsidRPr="007B0CE3">
        <w:rPr>
          <w:rFonts w:ascii="Palatino Linotype" w:hAnsi="Palatino Linotype" w:cs="Calibri"/>
          <w:i/>
          <w:iCs/>
          <w:color w:val="222222"/>
          <w:sz w:val="22"/>
          <w:szCs w:val="22"/>
          <w:lang w:eastAsia="es-MX"/>
        </w:rPr>
        <w:t>dictaminación</w:t>
      </w:r>
      <w:proofErr w:type="spellEnd"/>
      <w:r w:rsidRPr="007B0CE3">
        <w:rPr>
          <w:rFonts w:ascii="Palatino Linotype" w:hAnsi="Palatino Linotype" w:cs="Calibri"/>
          <w:i/>
          <w:iCs/>
          <w:color w:val="222222"/>
          <w:sz w:val="22"/>
          <w:szCs w:val="22"/>
          <w:lang w:eastAsia="es-MX"/>
        </w:rPr>
        <w:t xml:space="preserve">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w:t>
      </w:r>
    </w:p>
    <w:p w14:paraId="465A99A8" w14:textId="77777777" w:rsidR="007B0CE3" w:rsidRPr="007B0CE3" w:rsidRDefault="007B0CE3" w:rsidP="007B0CE3">
      <w:pPr>
        <w:shd w:val="clear" w:color="auto" w:fill="FFFFFF"/>
        <w:ind w:left="851" w:right="851"/>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II.</w:t>
      </w:r>
      <w:r w:rsidRPr="007B0CE3">
        <w:rPr>
          <w:rFonts w:ascii="Palatino Linotype" w:hAnsi="Palatino Linotype" w:cs="Calibri"/>
          <w:i/>
          <w:iCs/>
          <w:color w:val="222222"/>
          <w:sz w:val="22"/>
          <w:szCs w:val="22"/>
          <w:lang w:eastAsia="es-MX"/>
        </w:rPr>
        <w:t> Se considerará a la persona que atendiendo al bien o servicio que se pretenda adquirir o contratar, pueda suministrarlo o prestarlo en las mejores condiciones disponibles en cuanto a precio, calidad, financiamiento, oportunidad y demás circunstancias pertinentes;</w:t>
      </w:r>
    </w:p>
    <w:p w14:paraId="1CC59AC0" w14:textId="77777777" w:rsidR="007B0CE3" w:rsidRPr="007B0CE3" w:rsidRDefault="007B0CE3" w:rsidP="007B0CE3">
      <w:pPr>
        <w:shd w:val="clear" w:color="auto" w:fill="FFFFFF"/>
        <w:ind w:left="851" w:right="851"/>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III.</w:t>
      </w:r>
      <w:r w:rsidRPr="007B0CE3">
        <w:rPr>
          <w:rFonts w:ascii="Palatino Linotype" w:hAnsi="Palatino Linotype" w:cs="Calibri"/>
          <w:i/>
          <w:iCs/>
          <w:color w:val="222222"/>
          <w:sz w:val="22"/>
          <w:szCs w:val="22"/>
          <w:lang w:eastAsia="es-MX"/>
        </w:rPr>
        <w:t> La solicitud de participación contendrá, como mínimo, la descripción y cantidad de los bienes o servicios requeridos, lugar, plazo de entrega o duración del servicio y forma de pago;</w:t>
      </w:r>
    </w:p>
    <w:p w14:paraId="63CE6D9F" w14:textId="77777777" w:rsidR="007B0CE3" w:rsidRPr="007B0CE3" w:rsidRDefault="007B0CE3" w:rsidP="007B0CE3">
      <w:pPr>
        <w:shd w:val="clear" w:color="auto" w:fill="FFFFFF"/>
        <w:ind w:left="851" w:right="851"/>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IV.</w:t>
      </w:r>
      <w:r w:rsidRPr="007B0CE3">
        <w:rPr>
          <w:rFonts w:ascii="Palatino Linotype" w:hAnsi="Palatino Linotype" w:cs="Calibri"/>
          <w:i/>
          <w:iCs/>
          <w:color w:val="222222"/>
          <w:sz w:val="22"/>
          <w:szCs w:val="22"/>
          <w:lang w:eastAsia="es-MX"/>
        </w:rPr>
        <w:t> La solicitud de participación deberá señalar el día, hora y lugar en que tendrá verificativo el acto de presentación y apertura de ofertas;</w:t>
      </w:r>
    </w:p>
    <w:p w14:paraId="01505D9C" w14:textId="77777777" w:rsidR="007B0CE3" w:rsidRPr="007B0CE3" w:rsidRDefault="007B0CE3" w:rsidP="007B0CE3">
      <w:pPr>
        <w:shd w:val="clear" w:color="auto" w:fill="FFFFFF"/>
        <w:ind w:left="851" w:right="851"/>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V.</w:t>
      </w:r>
      <w:r w:rsidRPr="007B0CE3">
        <w:rPr>
          <w:rFonts w:ascii="Palatino Linotype" w:hAnsi="Palatino Linotype" w:cs="Calibri"/>
          <w:i/>
          <w:iCs/>
          <w:color w:val="222222"/>
          <w:sz w:val="22"/>
          <w:szCs w:val="22"/>
          <w:lang w:eastAsia="es-MX"/>
        </w:rPr>
        <w:t> Atendiendo a la naturaleza de los bienes o servicios, la convocante podrá optar entre celebrar o no junta de aclaraciones, en términos de lo dispuesto por este Reglamento;</w:t>
      </w:r>
    </w:p>
    <w:p w14:paraId="0323CBEB" w14:textId="77777777" w:rsidR="007B0CE3" w:rsidRPr="007B0CE3" w:rsidRDefault="007B0CE3" w:rsidP="007B0CE3">
      <w:pPr>
        <w:shd w:val="clear" w:color="auto" w:fill="FFFFFF"/>
        <w:ind w:left="851" w:right="851"/>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VI.</w:t>
      </w:r>
      <w:r w:rsidRPr="007B0CE3">
        <w:rPr>
          <w:rFonts w:ascii="Palatino Linotype" w:hAnsi="Palatino Linotype" w:cs="Calibri"/>
          <w:i/>
          <w:iCs/>
          <w:color w:val="222222"/>
          <w:sz w:val="22"/>
          <w:szCs w:val="22"/>
          <w:lang w:eastAsia="es-MX"/>
        </w:rPr>
        <w:t> El servidor público designado por la convocante será el responsable de llevar a cabo el acto de presentación y apertura de propuestas;</w:t>
      </w:r>
    </w:p>
    <w:p w14:paraId="0F52AA3A" w14:textId="77777777" w:rsidR="007B0CE3" w:rsidRPr="007B0CE3" w:rsidRDefault="007B0CE3" w:rsidP="007B0CE3">
      <w:pPr>
        <w:shd w:val="clear" w:color="auto" w:fill="FFFFFF"/>
        <w:ind w:left="851" w:right="851"/>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VII.</w:t>
      </w:r>
      <w:r w:rsidRPr="007B0CE3">
        <w:rPr>
          <w:rFonts w:ascii="Palatino Linotype" w:hAnsi="Palatino Linotype" w:cs="Calibri"/>
          <w:i/>
          <w:iCs/>
          <w:color w:val="222222"/>
          <w:sz w:val="22"/>
          <w:szCs w:val="22"/>
          <w:lang w:eastAsia="es-MX"/>
        </w:rPr>
        <w:t> Se observarán, en lo conducente, las disposiciones relativas a la contraoferta; y</w:t>
      </w:r>
    </w:p>
    <w:p w14:paraId="7159265B" w14:textId="77777777" w:rsidR="007B0CE3" w:rsidRPr="007B0CE3" w:rsidRDefault="007B0CE3" w:rsidP="007B0CE3">
      <w:pPr>
        <w:shd w:val="clear" w:color="auto" w:fill="FFFFFF"/>
        <w:ind w:left="851" w:right="851"/>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VIII.</w:t>
      </w:r>
      <w:r w:rsidRPr="007B0CE3">
        <w:rPr>
          <w:rFonts w:ascii="Palatino Linotype" w:hAnsi="Palatino Linotype" w:cs="Calibri"/>
          <w:i/>
          <w:iCs/>
          <w:color w:val="222222"/>
          <w:sz w:val="22"/>
          <w:szCs w:val="22"/>
          <w:lang w:eastAsia="es-MX"/>
        </w:rPr>
        <w:t> El comité será responsable de emitir el dictamen de adjudicación que servirá de base para el fallo de adjudicación; correspondiendo a la convocante emitir dicho fallo, quien lo hará del conocimiento de los licitantes.</w:t>
      </w:r>
      <w:r w:rsidRPr="007B0CE3">
        <w:rPr>
          <w:rFonts w:ascii="Palatino Linotype" w:hAnsi="Palatino Linotype" w:cs="Calibri"/>
          <w:b/>
          <w:bCs/>
          <w:i/>
          <w:iCs/>
          <w:color w:val="222222"/>
          <w:sz w:val="22"/>
          <w:szCs w:val="22"/>
          <w:lang w:eastAsia="es-MX"/>
        </w:rPr>
        <w:t>”</w:t>
      </w:r>
    </w:p>
    <w:p w14:paraId="042153DB" w14:textId="77777777" w:rsidR="007B0CE3" w:rsidRPr="007B0CE3" w:rsidRDefault="007B0CE3" w:rsidP="007B0CE3">
      <w:pPr>
        <w:shd w:val="clear" w:color="auto" w:fill="FFFFFF"/>
        <w:ind w:left="851" w:right="851"/>
        <w:jc w:val="both"/>
        <w:rPr>
          <w:rFonts w:ascii="Calibri" w:hAnsi="Calibri" w:cs="Calibri"/>
          <w:color w:val="222222"/>
          <w:sz w:val="22"/>
          <w:szCs w:val="22"/>
          <w:lang w:val="es-MX" w:eastAsia="es-MX"/>
        </w:rPr>
      </w:pPr>
      <w:r w:rsidRPr="007B0CE3">
        <w:rPr>
          <w:rFonts w:ascii="Palatino Linotype" w:hAnsi="Palatino Linotype" w:cs="Calibri"/>
          <w:i/>
          <w:iCs/>
          <w:color w:val="222222"/>
          <w:sz w:val="22"/>
          <w:szCs w:val="22"/>
          <w:lang w:eastAsia="es-MX"/>
        </w:rPr>
        <w:lastRenderedPageBreak/>
        <w:t>(Énfasis añadido)</w:t>
      </w:r>
    </w:p>
    <w:p w14:paraId="0D9AABE3" w14:textId="77777777" w:rsidR="007B0CE3" w:rsidRPr="007B0CE3" w:rsidRDefault="007B0CE3" w:rsidP="007B0CE3">
      <w:pPr>
        <w:shd w:val="clear" w:color="auto" w:fill="FFFFFF"/>
        <w:ind w:left="851" w:right="851"/>
        <w:jc w:val="both"/>
        <w:rPr>
          <w:rFonts w:ascii="Calibri" w:hAnsi="Calibri" w:cs="Calibri"/>
          <w:color w:val="222222"/>
          <w:sz w:val="22"/>
          <w:szCs w:val="22"/>
          <w:lang w:val="es-MX" w:eastAsia="es-MX"/>
        </w:rPr>
      </w:pPr>
      <w:r w:rsidRPr="007B0CE3">
        <w:rPr>
          <w:rFonts w:ascii="Palatino Linotype" w:hAnsi="Palatino Linotype" w:cs="Calibri"/>
          <w:i/>
          <w:iCs/>
          <w:color w:val="222222"/>
          <w:sz w:val="22"/>
          <w:szCs w:val="22"/>
          <w:lang w:eastAsia="es-MX"/>
        </w:rPr>
        <w:t> </w:t>
      </w:r>
    </w:p>
    <w:p w14:paraId="01C0E734" w14:textId="77777777" w:rsidR="007B0CE3" w:rsidRPr="007B0CE3" w:rsidRDefault="007B0CE3" w:rsidP="007B0CE3">
      <w:pPr>
        <w:shd w:val="clear" w:color="auto" w:fill="FFFFFF"/>
        <w:spacing w:line="330" w:lineRule="atLeast"/>
        <w:jc w:val="both"/>
        <w:rPr>
          <w:rFonts w:ascii="Calibri" w:hAnsi="Calibri" w:cs="Calibri"/>
          <w:color w:val="222222"/>
          <w:sz w:val="22"/>
          <w:szCs w:val="22"/>
          <w:lang w:val="es-MX" w:eastAsia="es-MX"/>
        </w:rPr>
      </w:pPr>
      <w:r w:rsidRPr="007B0CE3">
        <w:rPr>
          <w:rFonts w:ascii="Palatino Linotype" w:hAnsi="Palatino Linotype" w:cs="Calibri"/>
          <w:color w:val="222222"/>
          <w:lang w:eastAsia="es-MX"/>
        </w:rPr>
        <w:t>En este sentido, debe decirse que los expedientes de las adquisiciones, arrendamientos, enajenaciones y servicios, </w:t>
      </w:r>
      <w:r w:rsidRPr="007B0CE3">
        <w:rPr>
          <w:rFonts w:ascii="Palatino Linotype" w:hAnsi="Palatino Linotype" w:cs="Calibri"/>
          <w:color w:val="222222"/>
          <w:lang w:val="es-MX" w:eastAsia="es-MX"/>
        </w:rPr>
        <w:t>se encuentra considerada como una de las obligaciones de transparencias comunes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w:t>
      </w:r>
      <w:r w:rsidRPr="007B0CE3">
        <w:rPr>
          <w:rFonts w:ascii="Palatino Linotype" w:hAnsi="Palatino Linotype" w:cs="Calibri"/>
          <w:color w:val="000000"/>
          <w:lang w:val="es-MX" w:eastAsia="es-MX"/>
        </w:rPr>
        <w:t>el </w:t>
      </w:r>
      <w:r w:rsidRPr="007B0CE3">
        <w:rPr>
          <w:rFonts w:ascii="Palatino Linotype" w:hAnsi="Palatino Linotype" w:cs="Calibri"/>
          <w:color w:val="222222"/>
          <w:lang w:val="es-MX" w:eastAsia="es-MX"/>
        </w:rPr>
        <w:t>artículo 92 de la de la Ley de Transparencia y Acceso a la Información Pública del Estado de México y Municipios, en su fracción XXIX, dispone lo siguiente:</w:t>
      </w:r>
    </w:p>
    <w:p w14:paraId="60727128" w14:textId="77777777" w:rsidR="007B0CE3" w:rsidRPr="007B0CE3" w:rsidRDefault="007B0CE3" w:rsidP="007B0CE3">
      <w:pPr>
        <w:shd w:val="clear" w:color="auto" w:fill="FFFFFF"/>
        <w:jc w:val="both"/>
        <w:rPr>
          <w:rFonts w:ascii="Calibri" w:hAnsi="Calibri" w:cs="Calibri"/>
          <w:color w:val="222222"/>
          <w:sz w:val="22"/>
          <w:szCs w:val="22"/>
          <w:lang w:val="es-MX" w:eastAsia="es-MX"/>
        </w:rPr>
      </w:pPr>
      <w:r w:rsidRPr="007B0CE3">
        <w:rPr>
          <w:rFonts w:ascii="Palatino Linotype" w:hAnsi="Palatino Linotype" w:cs="Calibri"/>
          <w:color w:val="222222"/>
          <w:lang w:val="es-MX" w:eastAsia="es-MX"/>
        </w:rPr>
        <w:t> </w:t>
      </w:r>
    </w:p>
    <w:p w14:paraId="216BFF60" w14:textId="77777777" w:rsidR="007B0CE3" w:rsidRPr="007B0CE3" w:rsidRDefault="007B0CE3" w:rsidP="007B0CE3">
      <w:pPr>
        <w:shd w:val="clear" w:color="auto" w:fill="FFFFFF"/>
        <w:ind w:left="851" w:right="899"/>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“Artículo 92. </w:t>
      </w:r>
      <w:r w:rsidRPr="007B0CE3">
        <w:rPr>
          <w:rFonts w:ascii="Palatino Linotype" w:hAnsi="Palatino Linotype" w:cs="Calibri"/>
          <w:i/>
          <w:iCs/>
          <w:color w:val="222222"/>
          <w:sz w:val="22"/>
          <w:szCs w:val="22"/>
          <w:lang w:eastAsia="es-MX"/>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730C94F" w14:textId="77777777" w:rsidR="007B0CE3" w:rsidRPr="007B0CE3" w:rsidRDefault="007B0CE3" w:rsidP="007B0CE3">
      <w:pPr>
        <w:shd w:val="clear" w:color="auto" w:fill="FFFFFF"/>
        <w:ind w:left="851" w:right="899"/>
        <w:jc w:val="both"/>
        <w:rPr>
          <w:rFonts w:ascii="Calibri" w:hAnsi="Calibri" w:cs="Calibri"/>
          <w:color w:val="222222"/>
          <w:sz w:val="22"/>
          <w:szCs w:val="22"/>
          <w:lang w:val="es-MX" w:eastAsia="es-MX"/>
        </w:rPr>
      </w:pPr>
      <w:r w:rsidRPr="007B0CE3">
        <w:rPr>
          <w:rFonts w:ascii="Palatino Linotype" w:hAnsi="Palatino Linotype" w:cs="Calibri"/>
          <w:i/>
          <w:iCs/>
          <w:color w:val="222222"/>
          <w:sz w:val="22"/>
          <w:szCs w:val="22"/>
          <w:lang w:eastAsia="es-MX"/>
        </w:rPr>
        <w:t>(…)</w:t>
      </w:r>
    </w:p>
    <w:p w14:paraId="35A7C7D2" w14:textId="77777777" w:rsidR="007B0CE3" w:rsidRPr="007B0CE3" w:rsidRDefault="007B0CE3" w:rsidP="007B0CE3">
      <w:pPr>
        <w:shd w:val="clear" w:color="auto" w:fill="FFFFFF"/>
        <w:ind w:left="851" w:right="899"/>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 </w:t>
      </w:r>
    </w:p>
    <w:p w14:paraId="00A9A141" w14:textId="77777777" w:rsidR="007B0CE3" w:rsidRPr="007B0CE3" w:rsidRDefault="007B0CE3" w:rsidP="007B0CE3">
      <w:pPr>
        <w:shd w:val="clear" w:color="auto" w:fill="FFFFFF"/>
        <w:ind w:left="851" w:right="899"/>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XXIX. </w:t>
      </w:r>
      <w:r w:rsidRPr="007B0CE3">
        <w:rPr>
          <w:rFonts w:ascii="Palatino Linotype" w:hAnsi="Palatino Linotype" w:cs="Calibri"/>
          <w:i/>
          <w:iCs/>
          <w:color w:val="222222"/>
          <w:sz w:val="22"/>
          <w:szCs w:val="22"/>
          <w:lang w:eastAsia="es-MX"/>
        </w:rPr>
        <w:t>La información sobre los procesos y resultados sobre procedimientos de adjudicación directa, invitación restringida y licitación de cualquier naturaleza, </w:t>
      </w:r>
      <w:r w:rsidRPr="007B0CE3">
        <w:rPr>
          <w:rFonts w:ascii="Palatino Linotype" w:hAnsi="Palatino Linotype" w:cs="Calibri"/>
          <w:b/>
          <w:bCs/>
          <w:i/>
          <w:iCs/>
          <w:color w:val="222222"/>
          <w:sz w:val="22"/>
          <w:szCs w:val="22"/>
          <w:u w:val="single"/>
          <w:lang w:eastAsia="es-MX"/>
        </w:rPr>
        <w:t>incluyendo la versión pública del expediente respectivo y de los contratos</w:t>
      </w:r>
      <w:r w:rsidRPr="007B0CE3">
        <w:rPr>
          <w:rFonts w:ascii="Palatino Linotype" w:hAnsi="Palatino Linotype" w:cs="Calibri"/>
          <w:i/>
          <w:iCs/>
          <w:color w:val="222222"/>
          <w:sz w:val="22"/>
          <w:szCs w:val="22"/>
          <w:lang w:eastAsia="es-MX"/>
        </w:rPr>
        <w:t> celebrados, que deberán contener, por los menos, lo siguiente:</w:t>
      </w:r>
    </w:p>
    <w:p w14:paraId="069BE58D" w14:textId="77777777" w:rsidR="007B0CE3" w:rsidRPr="007B0CE3" w:rsidRDefault="007B0CE3" w:rsidP="007B0CE3">
      <w:pPr>
        <w:shd w:val="clear" w:color="auto" w:fill="FFFFFF"/>
        <w:ind w:left="851" w:right="899"/>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a) </w:t>
      </w:r>
      <w:r w:rsidRPr="007B0CE3">
        <w:rPr>
          <w:rFonts w:ascii="Palatino Linotype" w:hAnsi="Palatino Linotype" w:cs="Calibri"/>
          <w:i/>
          <w:iCs/>
          <w:color w:val="222222"/>
          <w:sz w:val="22"/>
          <w:szCs w:val="22"/>
          <w:lang w:eastAsia="es-MX"/>
        </w:rPr>
        <w:t>De licitaciones públicas o procedimientos de invitación restringida:</w:t>
      </w:r>
    </w:p>
    <w:p w14:paraId="25C208C6" w14:textId="77777777" w:rsidR="007B0CE3" w:rsidRPr="007B0CE3" w:rsidRDefault="007B0CE3" w:rsidP="007B0CE3">
      <w:pPr>
        <w:shd w:val="clear" w:color="auto" w:fill="FFFFFF"/>
        <w:ind w:left="851" w:right="899"/>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1)</w:t>
      </w:r>
      <w:r w:rsidRPr="007B0CE3">
        <w:rPr>
          <w:rFonts w:ascii="Palatino Linotype" w:hAnsi="Palatino Linotype" w:cs="Calibri"/>
          <w:i/>
          <w:iCs/>
          <w:color w:val="222222"/>
          <w:sz w:val="22"/>
          <w:szCs w:val="22"/>
          <w:lang w:eastAsia="es-MX"/>
        </w:rPr>
        <w:t> La convocatoria o invitación emitida, así como los fundamentos legales aplicados para llevarla a cabo;</w:t>
      </w:r>
    </w:p>
    <w:p w14:paraId="1FD75BE5" w14:textId="77777777" w:rsidR="007B0CE3" w:rsidRPr="007B0CE3" w:rsidRDefault="007B0CE3" w:rsidP="007B0CE3">
      <w:pPr>
        <w:shd w:val="clear" w:color="auto" w:fill="FFFFFF"/>
        <w:ind w:left="851" w:right="899"/>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2) </w:t>
      </w:r>
      <w:r w:rsidRPr="007B0CE3">
        <w:rPr>
          <w:rFonts w:ascii="Palatino Linotype" w:hAnsi="Palatino Linotype" w:cs="Calibri"/>
          <w:i/>
          <w:iCs/>
          <w:color w:val="222222"/>
          <w:sz w:val="22"/>
          <w:szCs w:val="22"/>
          <w:lang w:eastAsia="es-MX"/>
        </w:rPr>
        <w:t>Los nombres de los participantes o invitados;</w:t>
      </w:r>
    </w:p>
    <w:p w14:paraId="23ED3114" w14:textId="77777777" w:rsidR="007B0CE3" w:rsidRPr="007B0CE3" w:rsidRDefault="007B0CE3" w:rsidP="007B0CE3">
      <w:pPr>
        <w:shd w:val="clear" w:color="auto" w:fill="FFFFFF"/>
        <w:ind w:left="851" w:right="899"/>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3)</w:t>
      </w:r>
      <w:r w:rsidRPr="007B0CE3">
        <w:rPr>
          <w:rFonts w:ascii="Palatino Linotype" w:hAnsi="Palatino Linotype" w:cs="Calibri"/>
          <w:i/>
          <w:iCs/>
          <w:color w:val="222222"/>
          <w:sz w:val="22"/>
          <w:szCs w:val="22"/>
          <w:lang w:eastAsia="es-MX"/>
        </w:rPr>
        <w:t> El nombre del ganador y las razones que lo justifican;</w:t>
      </w:r>
    </w:p>
    <w:p w14:paraId="5D809608" w14:textId="77777777" w:rsidR="007B0CE3" w:rsidRPr="007B0CE3" w:rsidRDefault="007B0CE3" w:rsidP="007B0CE3">
      <w:pPr>
        <w:shd w:val="clear" w:color="auto" w:fill="FFFFFF"/>
        <w:ind w:left="851" w:right="899"/>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4) </w:t>
      </w:r>
      <w:r w:rsidRPr="007B0CE3">
        <w:rPr>
          <w:rFonts w:ascii="Palatino Linotype" w:hAnsi="Palatino Linotype" w:cs="Calibri"/>
          <w:i/>
          <w:iCs/>
          <w:color w:val="222222"/>
          <w:sz w:val="22"/>
          <w:szCs w:val="22"/>
          <w:lang w:eastAsia="es-MX"/>
        </w:rPr>
        <w:t>El área solicitante y la responsable de su ejecución;</w:t>
      </w:r>
    </w:p>
    <w:p w14:paraId="29089739" w14:textId="77777777" w:rsidR="007B0CE3" w:rsidRPr="007B0CE3" w:rsidRDefault="007B0CE3" w:rsidP="007B0CE3">
      <w:pPr>
        <w:shd w:val="clear" w:color="auto" w:fill="FFFFFF"/>
        <w:ind w:left="851" w:right="899"/>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5) </w:t>
      </w:r>
      <w:r w:rsidRPr="007B0CE3">
        <w:rPr>
          <w:rFonts w:ascii="Palatino Linotype" w:hAnsi="Palatino Linotype" w:cs="Calibri"/>
          <w:i/>
          <w:iCs/>
          <w:color w:val="222222"/>
          <w:sz w:val="22"/>
          <w:szCs w:val="22"/>
          <w:lang w:eastAsia="es-MX"/>
        </w:rPr>
        <w:t>Las convocatorias e invitaciones emitidas;</w:t>
      </w:r>
    </w:p>
    <w:p w14:paraId="499E2D7D" w14:textId="77777777" w:rsidR="007B0CE3" w:rsidRPr="007B0CE3" w:rsidRDefault="007B0CE3" w:rsidP="007B0CE3">
      <w:pPr>
        <w:shd w:val="clear" w:color="auto" w:fill="FFFFFF"/>
        <w:ind w:left="851" w:right="899"/>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6)</w:t>
      </w:r>
      <w:r w:rsidRPr="007B0CE3">
        <w:rPr>
          <w:rFonts w:ascii="Palatino Linotype" w:hAnsi="Palatino Linotype" w:cs="Calibri"/>
          <w:i/>
          <w:iCs/>
          <w:color w:val="222222"/>
          <w:sz w:val="22"/>
          <w:szCs w:val="22"/>
          <w:lang w:eastAsia="es-MX"/>
        </w:rPr>
        <w:t> Los dictámenes y fallo de adjudicación;</w:t>
      </w:r>
    </w:p>
    <w:p w14:paraId="5443EEB3" w14:textId="77777777" w:rsidR="007B0CE3" w:rsidRPr="007B0CE3" w:rsidRDefault="007B0CE3" w:rsidP="007B0CE3">
      <w:pPr>
        <w:shd w:val="clear" w:color="auto" w:fill="FFFFFF"/>
        <w:ind w:left="851" w:right="899"/>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7)</w:t>
      </w:r>
      <w:r w:rsidRPr="007B0CE3">
        <w:rPr>
          <w:rFonts w:ascii="Palatino Linotype" w:hAnsi="Palatino Linotype" w:cs="Calibri"/>
          <w:i/>
          <w:iCs/>
          <w:color w:val="222222"/>
          <w:sz w:val="22"/>
          <w:szCs w:val="22"/>
          <w:lang w:eastAsia="es-MX"/>
        </w:rPr>
        <w:t> El contrato y, en su caso, sus anexos;</w:t>
      </w:r>
    </w:p>
    <w:p w14:paraId="4D291E25" w14:textId="77777777" w:rsidR="007B0CE3" w:rsidRPr="007B0CE3" w:rsidRDefault="007B0CE3" w:rsidP="007B0CE3">
      <w:pPr>
        <w:shd w:val="clear" w:color="auto" w:fill="FFFFFF"/>
        <w:ind w:left="851" w:right="899"/>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8) </w:t>
      </w:r>
      <w:r w:rsidRPr="007B0CE3">
        <w:rPr>
          <w:rFonts w:ascii="Palatino Linotype" w:hAnsi="Palatino Linotype" w:cs="Calibri"/>
          <w:i/>
          <w:iCs/>
          <w:color w:val="222222"/>
          <w:sz w:val="22"/>
          <w:szCs w:val="22"/>
          <w:lang w:eastAsia="es-MX"/>
        </w:rPr>
        <w:t>Los mecanismos de vigilancia y supervisión, incluyendo en su caso, los estudios de impacto urbano y ambiental, según corresponda;</w:t>
      </w:r>
    </w:p>
    <w:p w14:paraId="3D765878" w14:textId="77777777" w:rsidR="007B0CE3" w:rsidRPr="007B0CE3" w:rsidRDefault="007B0CE3" w:rsidP="007B0CE3">
      <w:pPr>
        <w:shd w:val="clear" w:color="auto" w:fill="FFFFFF"/>
        <w:ind w:left="851" w:right="899"/>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9) </w:t>
      </w:r>
      <w:r w:rsidRPr="007B0CE3">
        <w:rPr>
          <w:rFonts w:ascii="Palatino Linotype" w:hAnsi="Palatino Linotype" w:cs="Calibri"/>
          <w:i/>
          <w:iCs/>
          <w:color w:val="222222"/>
          <w:sz w:val="22"/>
          <w:szCs w:val="22"/>
          <w:lang w:eastAsia="es-MX"/>
        </w:rPr>
        <w:t>La partida presupuestal, de conformidad con el clasificador por objeto del gasto, en el caso de ser aplicable;</w:t>
      </w:r>
    </w:p>
    <w:p w14:paraId="002CC412" w14:textId="77777777" w:rsidR="007B0CE3" w:rsidRPr="007B0CE3" w:rsidRDefault="007B0CE3" w:rsidP="007B0CE3">
      <w:pPr>
        <w:shd w:val="clear" w:color="auto" w:fill="FFFFFF"/>
        <w:ind w:left="851" w:right="899"/>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10) </w:t>
      </w:r>
      <w:r w:rsidRPr="007B0CE3">
        <w:rPr>
          <w:rFonts w:ascii="Palatino Linotype" w:hAnsi="Palatino Linotype" w:cs="Calibri"/>
          <w:i/>
          <w:iCs/>
          <w:color w:val="222222"/>
          <w:sz w:val="22"/>
          <w:szCs w:val="22"/>
          <w:lang w:eastAsia="es-MX"/>
        </w:rPr>
        <w:t>Origen de los recursos especificando si son federales, estatales o municipales, así como el tipo de fondo de participación o aportación respectiva;</w:t>
      </w:r>
    </w:p>
    <w:p w14:paraId="506A9D29" w14:textId="77777777" w:rsidR="007B0CE3" w:rsidRPr="007B0CE3" w:rsidRDefault="007B0CE3" w:rsidP="007B0CE3">
      <w:pPr>
        <w:shd w:val="clear" w:color="auto" w:fill="FFFFFF"/>
        <w:ind w:left="851" w:right="899"/>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lastRenderedPageBreak/>
        <w:t>11) </w:t>
      </w:r>
      <w:r w:rsidRPr="007B0CE3">
        <w:rPr>
          <w:rFonts w:ascii="Palatino Linotype" w:hAnsi="Palatino Linotype" w:cs="Calibri"/>
          <w:i/>
          <w:iCs/>
          <w:color w:val="222222"/>
          <w:sz w:val="22"/>
          <w:szCs w:val="22"/>
          <w:lang w:eastAsia="es-MX"/>
        </w:rPr>
        <w:t>Los convenios modificatorios que, en su caso, sean firmados, precisando el objeto y la fecha de celebración;</w:t>
      </w:r>
    </w:p>
    <w:p w14:paraId="251C17B2" w14:textId="77777777" w:rsidR="007B0CE3" w:rsidRPr="007B0CE3" w:rsidRDefault="007B0CE3" w:rsidP="007B0CE3">
      <w:pPr>
        <w:shd w:val="clear" w:color="auto" w:fill="FFFFFF"/>
        <w:ind w:left="851" w:right="899"/>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12) </w:t>
      </w:r>
      <w:r w:rsidRPr="007B0CE3">
        <w:rPr>
          <w:rFonts w:ascii="Palatino Linotype" w:hAnsi="Palatino Linotype" w:cs="Calibri"/>
          <w:i/>
          <w:iCs/>
          <w:color w:val="222222"/>
          <w:sz w:val="22"/>
          <w:szCs w:val="22"/>
          <w:lang w:eastAsia="es-MX"/>
        </w:rPr>
        <w:t>Los informes de avance físico y financiero sobre las obras o servicios contratados;</w:t>
      </w:r>
    </w:p>
    <w:p w14:paraId="41C5DBCF" w14:textId="77777777" w:rsidR="007B0CE3" w:rsidRPr="007B0CE3" w:rsidRDefault="007B0CE3" w:rsidP="007B0CE3">
      <w:pPr>
        <w:shd w:val="clear" w:color="auto" w:fill="FFFFFF"/>
        <w:ind w:left="851" w:right="899"/>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13) </w:t>
      </w:r>
      <w:r w:rsidRPr="007B0CE3">
        <w:rPr>
          <w:rFonts w:ascii="Palatino Linotype" w:hAnsi="Palatino Linotype" w:cs="Calibri"/>
          <w:i/>
          <w:iCs/>
          <w:color w:val="222222"/>
          <w:sz w:val="22"/>
          <w:szCs w:val="22"/>
          <w:lang w:eastAsia="es-MX"/>
        </w:rPr>
        <w:t>El convenio de terminación; y</w:t>
      </w:r>
    </w:p>
    <w:p w14:paraId="5E8E6D5D" w14:textId="77777777" w:rsidR="007B0CE3" w:rsidRPr="007B0CE3" w:rsidRDefault="007B0CE3" w:rsidP="007B0CE3">
      <w:pPr>
        <w:shd w:val="clear" w:color="auto" w:fill="FFFFFF"/>
        <w:ind w:left="851" w:right="899"/>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14) </w:t>
      </w:r>
      <w:r w:rsidRPr="007B0CE3">
        <w:rPr>
          <w:rFonts w:ascii="Palatino Linotype" w:hAnsi="Palatino Linotype" w:cs="Calibri"/>
          <w:i/>
          <w:iCs/>
          <w:color w:val="222222"/>
          <w:sz w:val="22"/>
          <w:szCs w:val="22"/>
          <w:lang w:eastAsia="es-MX"/>
        </w:rPr>
        <w:t>El finiquito.</w:t>
      </w:r>
    </w:p>
    <w:p w14:paraId="19066879" w14:textId="77777777" w:rsidR="007B0CE3" w:rsidRPr="007B0CE3" w:rsidRDefault="007B0CE3" w:rsidP="007B0CE3">
      <w:pPr>
        <w:shd w:val="clear" w:color="auto" w:fill="FFFFFF"/>
        <w:ind w:left="851" w:right="899"/>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b) </w:t>
      </w:r>
      <w:r w:rsidRPr="007B0CE3">
        <w:rPr>
          <w:rFonts w:ascii="Palatino Linotype" w:hAnsi="Palatino Linotype" w:cs="Calibri"/>
          <w:i/>
          <w:iCs/>
          <w:color w:val="222222"/>
          <w:sz w:val="22"/>
          <w:szCs w:val="22"/>
          <w:lang w:eastAsia="es-MX"/>
        </w:rPr>
        <w:t>De las adjudicaciones directas:</w:t>
      </w:r>
    </w:p>
    <w:p w14:paraId="25E29BB6" w14:textId="77777777" w:rsidR="007B0CE3" w:rsidRPr="007B0CE3" w:rsidRDefault="007B0CE3" w:rsidP="007B0CE3">
      <w:pPr>
        <w:shd w:val="clear" w:color="auto" w:fill="FFFFFF"/>
        <w:ind w:left="851" w:right="899"/>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1) </w:t>
      </w:r>
      <w:r w:rsidRPr="007B0CE3">
        <w:rPr>
          <w:rFonts w:ascii="Palatino Linotype" w:hAnsi="Palatino Linotype" w:cs="Calibri"/>
          <w:i/>
          <w:iCs/>
          <w:color w:val="222222"/>
          <w:sz w:val="22"/>
          <w:szCs w:val="22"/>
          <w:lang w:eastAsia="es-MX"/>
        </w:rPr>
        <w:t>La propuesta enviada por el participante;</w:t>
      </w:r>
    </w:p>
    <w:p w14:paraId="017C5FFA" w14:textId="77777777" w:rsidR="007B0CE3" w:rsidRPr="007B0CE3" w:rsidRDefault="007B0CE3" w:rsidP="007B0CE3">
      <w:pPr>
        <w:shd w:val="clear" w:color="auto" w:fill="FFFFFF"/>
        <w:ind w:left="851" w:right="899"/>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2) </w:t>
      </w:r>
      <w:r w:rsidRPr="007B0CE3">
        <w:rPr>
          <w:rFonts w:ascii="Palatino Linotype" w:hAnsi="Palatino Linotype" w:cs="Calibri"/>
          <w:i/>
          <w:iCs/>
          <w:color w:val="222222"/>
          <w:sz w:val="22"/>
          <w:szCs w:val="22"/>
          <w:lang w:eastAsia="es-MX"/>
        </w:rPr>
        <w:t>Los motivos y fundamentos legales aplicados para llevarla a cabo;</w:t>
      </w:r>
    </w:p>
    <w:p w14:paraId="1B7A988B" w14:textId="77777777" w:rsidR="007B0CE3" w:rsidRPr="007B0CE3" w:rsidRDefault="007B0CE3" w:rsidP="007B0CE3">
      <w:pPr>
        <w:shd w:val="clear" w:color="auto" w:fill="FFFFFF"/>
        <w:ind w:left="851" w:right="899"/>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3) </w:t>
      </w:r>
      <w:r w:rsidRPr="007B0CE3">
        <w:rPr>
          <w:rFonts w:ascii="Palatino Linotype" w:hAnsi="Palatino Linotype" w:cs="Calibri"/>
          <w:i/>
          <w:iCs/>
          <w:color w:val="222222"/>
          <w:sz w:val="22"/>
          <w:szCs w:val="22"/>
          <w:lang w:eastAsia="es-MX"/>
        </w:rPr>
        <w:t>La autorización del ejercicio de la opción;</w:t>
      </w:r>
    </w:p>
    <w:p w14:paraId="493AD21B" w14:textId="77777777" w:rsidR="007B0CE3" w:rsidRPr="007B0CE3" w:rsidRDefault="007B0CE3" w:rsidP="007B0CE3">
      <w:pPr>
        <w:shd w:val="clear" w:color="auto" w:fill="FFFFFF"/>
        <w:ind w:left="851" w:right="899"/>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4) </w:t>
      </w:r>
      <w:r w:rsidRPr="007B0CE3">
        <w:rPr>
          <w:rFonts w:ascii="Palatino Linotype" w:hAnsi="Palatino Linotype" w:cs="Calibri"/>
          <w:i/>
          <w:iCs/>
          <w:color w:val="222222"/>
          <w:sz w:val="22"/>
          <w:szCs w:val="22"/>
          <w:lang w:eastAsia="es-MX"/>
        </w:rPr>
        <w:t>En su caso, las cotizaciones consideradas, especificando los nombres de los proveedores y sus montos;</w:t>
      </w:r>
    </w:p>
    <w:p w14:paraId="709B3155" w14:textId="77777777" w:rsidR="007B0CE3" w:rsidRPr="007B0CE3" w:rsidRDefault="007B0CE3" w:rsidP="007B0CE3">
      <w:pPr>
        <w:shd w:val="clear" w:color="auto" w:fill="FFFFFF"/>
        <w:ind w:left="851" w:right="899"/>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5) </w:t>
      </w:r>
      <w:r w:rsidRPr="007B0CE3">
        <w:rPr>
          <w:rFonts w:ascii="Palatino Linotype" w:hAnsi="Palatino Linotype" w:cs="Calibri"/>
          <w:i/>
          <w:iCs/>
          <w:color w:val="222222"/>
          <w:sz w:val="22"/>
          <w:szCs w:val="22"/>
          <w:lang w:eastAsia="es-MX"/>
        </w:rPr>
        <w:t>El nombre de la persona física o jurídica colectiva adjudicada;</w:t>
      </w:r>
    </w:p>
    <w:p w14:paraId="0CC07208" w14:textId="77777777" w:rsidR="007B0CE3" w:rsidRPr="007B0CE3" w:rsidRDefault="007B0CE3" w:rsidP="007B0CE3">
      <w:pPr>
        <w:shd w:val="clear" w:color="auto" w:fill="FFFFFF"/>
        <w:ind w:left="851" w:right="899"/>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6) </w:t>
      </w:r>
      <w:r w:rsidRPr="007B0CE3">
        <w:rPr>
          <w:rFonts w:ascii="Palatino Linotype" w:hAnsi="Palatino Linotype" w:cs="Calibri"/>
          <w:i/>
          <w:iCs/>
          <w:color w:val="222222"/>
          <w:sz w:val="22"/>
          <w:szCs w:val="22"/>
          <w:lang w:eastAsia="es-MX"/>
        </w:rPr>
        <w:t>La unidad administrativa solicitante y la responsable de su ejecución;</w:t>
      </w:r>
    </w:p>
    <w:p w14:paraId="4DE362F7" w14:textId="77777777" w:rsidR="007B0CE3" w:rsidRPr="007B0CE3" w:rsidRDefault="007B0CE3" w:rsidP="007B0CE3">
      <w:pPr>
        <w:shd w:val="clear" w:color="auto" w:fill="FFFFFF"/>
        <w:ind w:left="851" w:right="899"/>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7)</w:t>
      </w:r>
      <w:r w:rsidRPr="007B0CE3">
        <w:rPr>
          <w:rFonts w:ascii="Palatino Linotype" w:hAnsi="Palatino Linotype" w:cs="Calibri"/>
          <w:i/>
          <w:iCs/>
          <w:color w:val="222222"/>
          <w:sz w:val="22"/>
          <w:szCs w:val="22"/>
          <w:lang w:eastAsia="es-MX"/>
        </w:rPr>
        <w:t> El número, fecha, el monto del contrato y el plazo de entrega o de ejecución de los servicios u obra;</w:t>
      </w:r>
    </w:p>
    <w:p w14:paraId="27587134" w14:textId="77777777" w:rsidR="007B0CE3" w:rsidRPr="007B0CE3" w:rsidRDefault="007B0CE3" w:rsidP="007B0CE3">
      <w:pPr>
        <w:shd w:val="clear" w:color="auto" w:fill="FFFFFF"/>
        <w:ind w:left="851" w:right="899"/>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8) </w:t>
      </w:r>
      <w:r w:rsidRPr="007B0CE3">
        <w:rPr>
          <w:rFonts w:ascii="Palatino Linotype" w:hAnsi="Palatino Linotype" w:cs="Calibri"/>
          <w:i/>
          <w:iCs/>
          <w:color w:val="222222"/>
          <w:sz w:val="22"/>
          <w:szCs w:val="22"/>
          <w:lang w:eastAsia="es-MX"/>
        </w:rPr>
        <w:t>Los mecanismos de vigilancia y supervisión, incluyendo, en su caso, los estudios de impacto urbano y ambiental, según corresponda;</w:t>
      </w:r>
    </w:p>
    <w:p w14:paraId="06FB98B5" w14:textId="77777777" w:rsidR="007B0CE3" w:rsidRPr="007B0CE3" w:rsidRDefault="007B0CE3" w:rsidP="007B0CE3">
      <w:pPr>
        <w:shd w:val="clear" w:color="auto" w:fill="FFFFFF"/>
        <w:ind w:left="851" w:right="899"/>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9) </w:t>
      </w:r>
      <w:r w:rsidRPr="007B0CE3">
        <w:rPr>
          <w:rFonts w:ascii="Palatino Linotype" w:hAnsi="Palatino Linotype" w:cs="Calibri"/>
          <w:i/>
          <w:iCs/>
          <w:color w:val="222222"/>
          <w:sz w:val="22"/>
          <w:szCs w:val="22"/>
          <w:lang w:eastAsia="es-MX"/>
        </w:rPr>
        <w:t>Los informes de avance sobre las obras o servicios contratados;</w:t>
      </w:r>
    </w:p>
    <w:p w14:paraId="7D1E0FCC" w14:textId="77777777" w:rsidR="007B0CE3" w:rsidRPr="007B0CE3" w:rsidRDefault="007B0CE3" w:rsidP="007B0CE3">
      <w:pPr>
        <w:shd w:val="clear" w:color="auto" w:fill="FFFFFF"/>
        <w:ind w:left="851" w:right="899"/>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10) </w:t>
      </w:r>
      <w:r w:rsidRPr="007B0CE3">
        <w:rPr>
          <w:rFonts w:ascii="Palatino Linotype" w:hAnsi="Palatino Linotype" w:cs="Calibri"/>
          <w:i/>
          <w:iCs/>
          <w:color w:val="222222"/>
          <w:sz w:val="22"/>
          <w:szCs w:val="22"/>
          <w:lang w:eastAsia="es-MX"/>
        </w:rPr>
        <w:t>El convenio de terminación; y</w:t>
      </w:r>
    </w:p>
    <w:p w14:paraId="05510038" w14:textId="77777777" w:rsidR="007B0CE3" w:rsidRPr="007B0CE3" w:rsidRDefault="007B0CE3" w:rsidP="007B0CE3">
      <w:pPr>
        <w:shd w:val="clear" w:color="auto" w:fill="FFFFFF"/>
        <w:ind w:left="851" w:right="899"/>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11) </w:t>
      </w:r>
      <w:r w:rsidRPr="007B0CE3">
        <w:rPr>
          <w:rFonts w:ascii="Palatino Linotype" w:hAnsi="Palatino Linotype" w:cs="Calibri"/>
          <w:i/>
          <w:iCs/>
          <w:color w:val="222222"/>
          <w:sz w:val="22"/>
          <w:szCs w:val="22"/>
          <w:lang w:eastAsia="es-MX"/>
        </w:rPr>
        <w:t>El finiquito.</w:t>
      </w:r>
      <w:r w:rsidRPr="007B0CE3">
        <w:rPr>
          <w:rFonts w:ascii="Palatino Linotype" w:hAnsi="Palatino Linotype" w:cs="Calibri"/>
          <w:b/>
          <w:bCs/>
          <w:i/>
          <w:iCs/>
          <w:color w:val="222222"/>
          <w:sz w:val="22"/>
          <w:szCs w:val="22"/>
          <w:lang w:eastAsia="es-MX"/>
        </w:rPr>
        <w:t>”</w:t>
      </w:r>
    </w:p>
    <w:p w14:paraId="0F82289B" w14:textId="77777777" w:rsidR="007B0CE3" w:rsidRPr="007B0CE3" w:rsidRDefault="007B0CE3" w:rsidP="007B0CE3">
      <w:pPr>
        <w:shd w:val="clear" w:color="auto" w:fill="FFFFFF"/>
        <w:ind w:left="851" w:right="850"/>
        <w:jc w:val="both"/>
        <w:rPr>
          <w:rFonts w:ascii="Calibri" w:hAnsi="Calibri" w:cs="Calibri"/>
          <w:color w:val="222222"/>
          <w:sz w:val="22"/>
          <w:szCs w:val="22"/>
          <w:lang w:val="es-MX" w:eastAsia="es-MX"/>
        </w:rPr>
      </w:pPr>
      <w:r w:rsidRPr="007B0CE3">
        <w:rPr>
          <w:rFonts w:ascii="Palatino Linotype" w:hAnsi="Palatino Linotype" w:cs="Calibri"/>
          <w:color w:val="222222"/>
          <w:sz w:val="22"/>
          <w:szCs w:val="22"/>
          <w:lang w:eastAsia="es-MX"/>
        </w:rPr>
        <w:t> </w:t>
      </w:r>
    </w:p>
    <w:p w14:paraId="0F5C87FF" w14:textId="77777777" w:rsidR="007B0CE3" w:rsidRPr="007B0CE3" w:rsidRDefault="007B0CE3" w:rsidP="007B0CE3">
      <w:pPr>
        <w:shd w:val="clear" w:color="auto" w:fill="FFFFFF"/>
        <w:ind w:left="851" w:right="850"/>
        <w:jc w:val="both"/>
        <w:rPr>
          <w:rFonts w:ascii="Calibri" w:hAnsi="Calibri" w:cs="Calibri"/>
          <w:color w:val="222222"/>
          <w:sz w:val="22"/>
          <w:szCs w:val="22"/>
          <w:lang w:val="es-MX" w:eastAsia="es-MX"/>
        </w:rPr>
      </w:pPr>
      <w:r w:rsidRPr="007B0CE3">
        <w:rPr>
          <w:rFonts w:ascii="Palatino Linotype" w:hAnsi="Palatino Linotype" w:cs="Calibri"/>
          <w:color w:val="222222"/>
          <w:sz w:val="22"/>
          <w:szCs w:val="22"/>
          <w:lang w:eastAsia="es-MX"/>
        </w:rPr>
        <w:t> </w:t>
      </w:r>
    </w:p>
    <w:p w14:paraId="6BD9F243" w14:textId="77777777" w:rsidR="007B0CE3" w:rsidRPr="007B0CE3" w:rsidRDefault="007B0CE3" w:rsidP="007B0CE3">
      <w:pPr>
        <w:shd w:val="clear" w:color="auto" w:fill="FFFFFF"/>
        <w:spacing w:line="330" w:lineRule="atLeast"/>
        <w:jc w:val="both"/>
        <w:rPr>
          <w:rFonts w:ascii="Calibri" w:hAnsi="Calibri" w:cs="Calibri"/>
          <w:color w:val="222222"/>
          <w:sz w:val="22"/>
          <w:szCs w:val="22"/>
          <w:lang w:val="es-MX" w:eastAsia="es-MX"/>
        </w:rPr>
      </w:pPr>
      <w:r w:rsidRPr="007B0CE3">
        <w:rPr>
          <w:rFonts w:ascii="Palatino Linotype" w:hAnsi="Palatino Linotype" w:cs="Calibri"/>
          <w:color w:val="222222"/>
          <w:lang w:eastAsia="es-MX"/>
        </w:rPr>
        <w:t>De lo anterior, se desprende que los Sujetos Obligados están obligados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en el que se debe contener dentro de la versión pública del expediente respectivo los contratos celebrados, el cual debe contener entre otros requisitos, el número, fecha y monto del mismo, así como el plazo de entrega o de ejecución de los servicios u obra.</w:t>
      </w:r>
    </w:p>
    <w:p w14:paraId="232FF020" w14:textId="77777777" w:rsidR="007B0CE3" w:rsidRPr="007B0CE3" w:rsidRDefault="007B0CE3" w:rsidP="007B0CE3">
      <w:pPr>
        <w:shd w:val="clear" w:color="auto" w:fill="FFFFFF"/>
        <w:spacing w:line="330" w:lineRule="atLeast"/>
        <w:jc w:val="both"/>
        <w:rPr>
          <w:rFonts w:ascii="Calibri" w:hAnsi="Calibri" w:cs="Calibri"/>
          <w:color w:val="222222"/>
          <w:sz w:val="22"/>
          <w:szCs w:val="22"/>
          <w:lang w:val="es-MX" w:eastAsia="es-MX"/>
        </w:rPr>
      </w:pPr>
      <w:r w:rsidRPr="007B0CE3">
        <w:rPr>
          <w:rFonts w:ascii="Palatino Linotype" w:hAnsi="Palatino Linotype" w:cs="Calibri"/>
          <w:color w:val="222222"/>
          <w:lang w:eastAsia="es-MX"/>
        </w:rPr>
        <w:t> </w:t>
      </w:r>
    </w:p>
    <w:p w14:paraId="011BB1CD" w14:textId="77777777" w:rsidR="007B0CE3" w:rsidRPr="007B0CE3" w:rsidRDefault="007B0CE3" w:rsidP="007B0CE3">
      <w:pPr>
        <w:shd w:val="clear" w:color="auto" w:fill="FFFFFF"/>
        <w:spacing w:line="330" w:lineRule="atLeast"/>
        <w:jc w:val="both"/>
        <w:rPr>
          <w:rFonts w:ascii="Calibri" w:hAnsi="Calibri" w:cs="Calibri"/>
          <w:color w:val="222222"/>
          <w:sz w:val="22"/>
          <w:szCs w:val="22"/>
          <w:lang w:val="es-MX" w:eastAsia="es-MX"/>
        </w:rPr>
      </w:pPr>
      <w:r w:rsidRPr="007B0CE3">
        <w:rPr>
          <w:rFonts w:ascii="Palatino Linotype" w:hAnsi="Palatino Linotype" w:cs="Calibri"/>
          <w:color w:val="222222"/>
          <w:lang w:eastAsia="es-MX"/>
        </w:rPr>
        <w:t>A mayor abundamiento, debe observarse lo establecido en los artículos 1, fracción III, 20, 21, 22, 23, 24, 26, 27 y 39 de la Ley de Contratación Pública del Estado de México y Municipios, los cuales se transcriben a continuación:</w:t>
      </w:r>
    </w:p>
    <w:p w14:paraId="1E80C577" w14:textId="77777777" w:rsidR="007B0CE3" w:rsidRPr="007B0CE3" w:rsidRDefault="007B0CE3" w:rsidP="007B0CE3">
      <w:pPr>
        <w:shd w:val="clear" w:color="auto" w:fill="FFFFFF"/>
        <w:jc w:val="both"/>
        <w:rPr>
          <w:rFonts w:ascii="Calibri" w:hAnsi="Calibri" w:cs="Calibri"/>
          <w:color w:val="222222"/>
          <w:sz w:val="22"/>
          <w:szCs w:val="22"/>
          <w:lang w:val="es-MX" w:eastAsia="es-MX"/>
        </w:rPr>
      </w:pPr>
      <w:r w:rsidRPr="007B0CE3">
        <w:rPr>
          <w:rFonts w:ascii="Palatino Linotype" w:hAnsi="Palatino Linotype" w:cs="Calibri"/>
          <w:color w:val="222222"/>
          <w:lang w:eastAsia="es-MX"/>
        </w:rPr>
        <w:t> </w:t>
      </w:r>
    </w:p>
    <w:p w14:paraId="4D241E5A" w14:textId="77777777" w:rsidR="007B0CE3" w:rsidRPr="007B0CE3" w:rsidRDefault="007B0CE3" w:rsidP="007B0CE3">
      <w:pPr>
        <w:shd w:val="clear" w:color="auto" w:fill="FFFFFF"/>
        <w:ind w:left="851" w:right="899"/>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“Artículo 1</w:t>
      </w:r>
      <w:r w:rsidRPr="007B0CE3">
        <w:rPr>
          <w:rFonts w:ascii="Palatino Linotype" w:hAnsi="Palatino Linotype" w:cs="Calibri"/>
          <w:i/>
          <w:iCs/>
          <w:color w:val="222222"/>
          <w:sz w:val="22"/>
          <w:szCs w:val="22"/>
          <w:lang w:eastAsia="es-MX"/>
        </w:rPr>
        <w:t>.- </w:t>
      </w:r>
      <w:r w:rsidRPr="007B0CE3">
        <w:rPr>
          <w:rFonts w:ascii="Palatino Linotype" w:hAnsi="Palatino Linotype" w:cs="Calibri"/>
          <w:b/>
          <w:bCs/>
          <w:i/>
          <w:iCs/>
          <w:color w:val="222222"/>
          <w:sz w:val="22"/>
          <w:szCs w:val="22"/>
          <w:u w:val="single"/>
          <w:lang w:eastAsia="es-MX"/>
        </w:rPr>
        <w:t>Esta Ley tiene por objeto regular los actos relativos a</w:t>
      </w:r>
      <w:r w:rsidRPr="007B0CE3">
        <w:rPr>
          <w:rFonts w:ascii="Palatino Linotype" w:hAnsi="Palatino Linotype" w:cs="Calibri"/>
          <w:i/>
          <w:iCs/>
          <w:color w:val="222222"/>
          <w:sz w:val="22"/>
          <w:szCs w:val="22"/>
          <w:lang w:eastAsia="es-MX"/>
        </w:rPr>
        <w:t xml:space="preserve"> la planeación, programación, </w:t>
      </w:r>
      <w:proofErr w:type="spellStart"/>
      <w:r w:rsidRPr="007B0CE3">
        <w:rPr>
          <w:rFonts w:ascii="Palatino Linotype" w:hAnsi="Palatino Linotype" w:cs="Calibri"/>
          <w:i/>
          <w:iCs/>
          <w:color w:val="222222"/>
          <w:sz w:val="22"/>
          <w:szCs w:val="22"/>
          <w:lang w:eastAsia="es-MX"/>
        </w:rPr>
        <w:t>presupuestación</w:t>
      </w:r>
      <w:proofErr w:type="spellEnd"/>
      <w:r w:rsidRPr="007B0CE3">
        <w:rPr>
          <w:rFonts w:ascii="Palatino Linotype" w:hAnsi="Palatino Linotype" w:cs="Calibri"/>
          <w:i/>
          <w:iCs/>
          <w:color w:val="222222"/>
          <w:sz w:val="22"/>
          <w:szCs w:val="22"/>
          <w:lang w:eastAsia="es-MX"/>
        </w:rPr>
        <w:t>, ejecución y control de </w:t>
      </w:r>
      <w:r w:rsidRPr="007B0CE3">
        <w:rPr>
          <w:rFonts w:ascii="Palatino Linotype" w:hAnsi="Palatino Linotype" w:cs="Calibri"/>
          <w:b/>
          <w:bCs/>
          <w:i/>
          <w:iCs/>
          <w:color w:val="222222"/>
          <w:sz w:val="22"/>
          <w:szCs w:val="22"/>
          <w:u w:val="single"/>
          <w:lang w:eastAsia="es-MX"/>
        </w:rPr>
        <w:t xml:space="preserve">la </w:t>
      </w:r>
      <w:r w:rsidRPr="007B0CE3">
        <w:rPr>
          <w:rFonts w:ascii="Palatino Linotype" w:hAnsi="Palatino Linotype" w:cs="Calibri"/>
          <w:b/>
          <w:bCs/>
          <w:i/>
          <w:iCs/>
          <w:color w:val="222222"/>
          <w:sz w:val="22"/>
          <w:szCs w:val="22"/>
          <w:u w:val="single"/>
          <w:lang w:eastAsia="es-MX"/>
        </w:rPr>
        <w:lastRenderedPageBreak/>
        <w:t>adquisición, enajenación y arrendamiento de bienes, y la contratación de servicios de cualquier naturaleza</w:t>
      </w:r>
      <w:r w:rsidRPr="007B0CE3">
        <w:rPr>
          <w:rFonts w:ascii="Palatino Linotype" w:hAnsi="Palatino Linotype" w:cs="Calibri"/>
          <w:i/>
          <w:iCs/>
          <w:color w:val="222222"/>
          <w:sz w:val="22"/>
          <w:szCs w:val="22"/>
          <w:lang w:eastAsia="es-MX"/>
        </w:rPr>
        <w:t>, </w:t>
      </w:r>
      <w:r w:rsidRPr="007B0CE3">
        <w:rPr>
          <w:rFonts w:ascii="Palatino Linotype" w:hAnsi="Palatino Linotype" w:cs="Calibri"/>
          <w:b/>
          <w:bCs/>
          <w:i/>
          <w:iCs/>
          <w:color w:val="222222"/>
          <w:sz w:val="22"/>
          <w:szCs w:val="22"/>
          <w:u w:val="single"/>
          <w:lang w:eastAsia="es-MX"/>
        </w:rPr>
        <w:t>que realicen</w:t>
      </w:r>
      <w:r w:rsidRPr="007B0CE3">
        <w:rPr>
          <w:rFonts w:ascii="Palatino Linotype" w:hAnsi="Palatino Linotype" w:cs="Calibri"/>
          <w:i/>
          <w:iCs/>
          <w:color w:val="222222"/>
          <w:sz w:val="22"/>
          <w:szCs w:val="22"/>
          <w:lang w:eastAsia="es-MX"/>
        </w:rPr>
        <w:t>:</w:t>
      </w:r>
    </w:p>
    <w:p w14:paraId="7DAD49E8" w14:textId="77777777" w:rsidR="007B0CE3" w:rsidRPr="007B0CE3" w:rsidRDefault="007B0CE3" w:rsidP="007B0CE3">
      <w:pPr>
        <w:shd w:val="clear" w:color="auto" w:fill="FFFFFF"/>
        <w:ind w:left="851" w:right="899"/>
        <w:jc w:val="both"/>
        <w:rPr>
          <w:rFonts w:ascii="Calibri" w:hAnsi="Calibri" w:cs="Calibri"/>
          <w:color w:val="222222"/>
          <w:sz w:val="22"/>
          <w:szCs w:val="22"/>
          <w:lang w:val="es-MX" w:eastAsia="es-MX"/>
        </w:rPr>
      </w:pPr>
      <w:r w:rsidRPr="007B0CE3">
        <w:rPr>
          <w:rFonts w:ascii="Palatino Linotype" w:hAnsi="Palatino Linotype" w:cs="Calibri"/>
          <w:i/>
          <w:iCs/>
          <w:color w:val="222222"/>
          <w:sz w:val="22"/>
          <w:szCs w:val="22"/>
          <w:lang w:eastAsia="es-MX"/>
        </w:rPr>
        <w:t>…</w:t>
      </w:r>
    </w:p>
    <w:p w14:paraId="7BF93E51" w14:textId="77777777" w:rsidR="007B0CE3" w:rsidRPr="007B0CE3" w:rsidRDefault="007B0CE3" w:rsidP="007B0CE3">
      <w:pPr>
        <w:shd w:val="clear" w:color="auto" w:fill="FFFFFF"/>
        <w:ind w:left="851" w:right="899"/>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III. </w:t>
      </w:r>
      <w:r w:rsidRPr="007B0CE3">
        <w:rPr>
          <w:rFonts w:ascii="Palatino Linotype" w:hAnsi="Palatino Linotype" w:cs="Calibri"/>
          <w:b/>
          <w:bCs/>
          <w:i/>
          <w:iCs/>
          <w:color w:val="222222"/>
          <w:sz w:val="22"/>
          <w:szCs w:val="22"/>
          <w:u w:val="single"/>
          <w:lang w:eastAsia="es-MX"/>
        </w:rPr>
        <w:t>Los ayuntamientos de los municipios del Estado</w:t>
      </w:r>
      <w:r w:rsidRPr="007B0CE3">
        <w:rPr>
          <w:rFonts w:ascii="Palatino Linotype" w:hAnsi="Palatino Linotype" w:cs="Calibri"/>
          <w:i/>
          <w:iCs/>
          <w:color w:val="222222"/>
          <w:sz w:val="22"/>
          <w:szCs w:val="22"/>
          <w:lang w:eastAsia="es-MX"/>
        </w:rPr>
        <w:t>.</w:t>
      </w:r>
    </w:p>
    <w:p w14:paraId="23D89F24" w14:textId="77777777" w:rsidR="007B0CE3" w:rsidRPr="007B0CE3" w:rsidRDefault="007B0CE3" w:rsidP="007B0CE3">
      <w:pPr>
        <w:shd w:val="clear" w:color="auto" w:fill="FFFFFF"/>
        <w:ind w:left="851" w:right="899"/>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 </w:t>
      </w:r>
    </w:p>
    <w:p w14:paraId="485DE957" w14:textId="77777777" w:rsidR="007B0CE3" w:rsidRPr="007B0CE3" w:rsidRDefault="007B0CE3" w:rsidP="007B0CE3">
      <w:pPr>
        <w:shd w:val="clear" w:color="auto" w:fill="FFFFFF"/>
        <w:ind w:left="851" w:right="899"/>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Artículo 20</w:t>
      </w:r>
      <w:r w:rsidRPr="007B0CE3">
        <w:rPr>
          <w:rFonts w:ascii="Palatino Linotype" w:hAnsi="Palatino Linotype" w:cs="Calibri"/>
          <w:i/>
          <w:iCs/>
          <w:color w:val="222222"/>
          <w:sz w:val="22"/>
          <w:szCs w:val="22"/>
          <w:lang w:eastAsia="es-MX"/>
        </w:rPr>
        <w:t>.- La Secretaría y </w:t>
      </w:r>
      <w:r w:rsidRPr="007B0CE3">
        <w:rPr>
          <w:rFonts w:ascii="Palatino Linotype" w:hAnsi="Palatino Linotype" w:cs="Calibri"/>
          <w:b/>
          <w:bCs/>
          <w:i/>
          <w:iCs/>
          <w:color w:val="222222"/>
          <w:sz w:val="22"/>
          <w:szCs w:val="22"/>
          <w:u w:val="single"/>
          <w:lang w:eastAsia="es-MX"/>
        </w:rPr>
        <w:t>los ayuntamientos establecerán y operarán el catálogo de bienes y servicios</w:t>
      </w:r>
      <w:r w:rsidRPr="007B0CE3">
        <w:rPr>
          <w:rFonts w:ascii="Palatino Linotype" w:hAnsi="Palatino Linotype" w:cs="Calibri"/>
          <w:i/>
          <w:iCs/>
          <w:color w:val="222222"/>
          <w:sz w:val="22"/>
          <w:szCs w:val="22"/>
          <w:lang w:eastAsia="es-MX"/>
        </w:rPr>
        <w:t>, de acuerdo con la reglamentación respectiva. </w:t>
      </w:r>
      <w:r w:rsidRPr="007B0CE3">
        <w:rPr>
          <w:rFonts w:ascii="Palatino Linotype" w:hAnsi="Palatino Linotype" w:cs="Calibri"/>
          <w:b/>
          <w:bCs/>
          <w:i/>
          <w:iCs/>
          <w:color w:val="222222"/>
          <w:sz w:val="22"/>
          <w:szCs w:val="22"/>
          <w:u w:val="single"/>
          <w:lang w:eastAsia="es-MX"/>
        </w:rPr>
        <w:t>Establecerán y operarán también el catálogo de bienes y servicios específicos que sean susceptibles de ser adquiridos o contratados</w:t>
      </w:r>
      <w:r w:rsidRPr="007B0CE3">
        <w:rPr>
          <w:rFonts w:ascii="Palatino Linotype" w:hAnsi="Palatino Linotype" w:cs="Calibri"/>
          <w:i/>
          <w:iCs/>
          <w:color w:val="222222"/>
          <w:sz w:val="22"/>
          <w:szCs w:val="22"/>
          <w:lang w:eastAsia="es-MX"/>
        </w:rPr>
        <w:t> bajo la modalidad de subasta inversa, los cuales deberán describirse genéricamente y determinarse sus especificaciones técnicas comerciales, y en su caso, sus equivalentes. Dicho catálogo deberá publicarse en el COMPRAMEX y en el portal de internet de la propia Secretaría y, en su caso, en el de los ayuntamientos.</w:t>
      </w:r>
    </w:p>
    <w:p w14:paraId="55CD9076" w14:textId="77777777" w:rsidR="007B0CE3" w:rsidRPr="007B0CE3" w:rsidRDefault="007B0CE3" w:rsidP="007B0CE3">
      <w:pPr>
        <w:shd w:val="clear" w:color="auto" w:fill="FFFFFF"/>
        <w:ind w:left="851" w:right="899"/>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 </w:t>
      </w:r>
    </w:p>
    <w:p w14:paraId="4A2BE13F" w14:textId="77777777" w:rsidR="007B0CE3" w:rsidRPr="007B0CE3" w:rsidRDefault="007B0CE3" w:rsidP="007B0CE3">
      <w:pPr>
        <w:shd w:val="clear" w:color="auto" w:fill="FFFFFF"/>
        <w:ind w:left="851" w:right="899"/>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Artículo 21.- </w:t>
      </w:r>
      <w:r w:rsidRPr="007B0CE3">
        <w:rPr>
          <w:rFonts w:ascii="Palatino Linotype" w:hAnsi="Palatino Linotype" w:cs="Calibri"/>
          <w:b/>
          <w:bCs/>
          <w:i/>
          <w:iCs/>
          <w:color w:val="222222"/>
          <w:sz w:val="22"/>
          <w:szCs w:val="22"/>
          <w:u w:val="single"/>
          <w:lang w:eastAsia="es-MX"/>
        </w:rPr>
        <w:t>A fin de conocer la capacidad administrativa, financiera, legal y técnica de las fuentes de suministro</w:t>
      </w:r>
      <w:r w:rsidRPr="007B0CE3">
        <w:rPr>
          <w:rFonts w:ascii="Palatino Linotype" w:hAnsi="Palatino Linotype" w:cs="Calibri"/>
          <w:i/>
          <w:iCs/>
          <w:color w:val="222222"/>
          <w:sz w:val="22"/>
          <w:szCs w:val="22"/>
          <w:lang w:eastAsia="es-MX"/>
        </w:rPr>
        <w:t>, la Secretaría y </w:t>
      </w:r>
      <w:r w:rsidRPr="007B0CE3">
        <w:rPr>
          <w:rFonts w:ascii="Palatino Linotype" w:hAnsi="Palatino Linotype" w:cs="Calibri"/>
          <w:b/>
          <w:bCs/>
          <w:i/>
          <w:iCs/>
          <w:color w:val="222222"/>
          <w:sz w:val="22"/>
          <w:szCs w:val="22"/>
          <w:u w:val="single"/>
          <w:lang w:eastAsia="es-MX"/>
        </w:rPr>
        <w:t>los ayuntamientos integrarán un catálogo de proveedores y de prestadores de servicios</w:t>
      </w:r>
      <w:r w:rsidRPr="007B0CE3">
        <w:rPr>
          <w:rFonts w:ascii="Palatino Linotype" w:hAnsi="Palatino Linotype" w:cs="Calibri"/>
          <w:i/>
          <w:iCs/>
          <w:color w:val="222222"/>
          <w:sz w:val="22"/>
          <w:szCs w:val="22"/>
          <w:lang w:eastAsia="es-MX"/>
        </w:rPr>
        <w:t>.</w:t>
      </w:r>
    </w:p>
    <w:p w14:paraId="106D1AB0" w14:textId="77777777" w:rsidR="007B0CE3" w:rsidRPr="007B0CE3" w:rsidRDefault="007B0CE3" w:rsidP="007B0CE3">
      <w:pPr>
        <w:shd w:val="clear" w:color="auto" w:fill="FFFFFF"/>
        <w:ind w:left="851" w:right="899"/>
        <w:jc w:val="both"/>
        <w:rPr>
          <w:rFonts w:ascii="Calibri" w:hAnsi="Calibri" w:cs="Calibri"/>
          <w:color w:val="222222"/>
          <w:sz w:val="22"/>
          <w:szCs w:val="22"/>
          <w:lang w:val="es-MX" w:eastAsia="es-MX"/>
        </w:rPr>
      </w:pPr>
      <w:r w:rsidRPr="007B0CE3">
        <w:rPr>
          <w:rFonts w:ascii="Palatino Linotype" w:hAnsi="Palatino Linotype" w:cs="Calibri"/>
          <w:i/>
          <w:iCs/>
          <w:color w:val="222222"/>
          <w:sz w:val="22"/>
          <w:szCs w:val="22"/>
          <w:lang w:eastAsia="es-MX"/>
        </w:rPr>
        <w:t>Las personas que deseen inscribirse en el catálogo deberán cumplir con los requisitos que establezca el reglamento respectivo. En todo caso, deberán estar inscritos en el Registro Único de Personas Acreditadas del Estado de México, en los términos de la Ley de Medios Electrónicos, los proveedores y prestadores de servicios que deseen participar en los procedimientos que deban desahogarse por conducto del COMPRAMEX.</w:t>
      </w:r>
    </w:p>
    <w:p w14:paraId="44A57B86" w14:textId="77777777" w:rsidR="007B0CE3" w:rsidRPr="007B0CE3" w:rsidRDefault="007B0CE3" w:rsidP="007B0CE3">
      <w:pPr>
        <w:shd w:val="clear" w:color="auto" w:fill="FFFFFF"/>
        <w:ind w:left="851" w:right="899"/>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 </w:t>
      </w:r>
    </w:p>
    <w:p w14:paraId="1B809641" w14:textId="77777777" w:rsidR="007B0CE3" w:rsidRPr="007B0CE3" w:rsidRDefault="007B0CE3" w:rsidP="007B0CE3">
      <w:pPr>
        <w:shd w:val="clear" w:color="auto" w:fill="FFFFFF"/>
        <w:ind w:left="851" w:right="899"/>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Artículo 22</w:t>
      </w:r>
      <w:r w:rsidRPr="007B0CE3">
        <w:rPr>
          <w:rFonts w:ascii="Palatino Linotype" w:hAnsi="Palatino Linotype" w:cs="Calibri"/>
          <w:i/>
          <w:iCs/>
          <w:color w:val="222222"/>
          <w:sz w:val="22"/>
          <w:szCs w:val="22"/>
          <w:lang w:eastAsia="es-MX"/>
        </w:rPr>
        <w:t>.- Los comités son órganos colegiados con facultades de opinión, que tienen por objeto auxiliar a la Secretaría, entidades, tribunales administrativos y ayuntamientos, en la substanciación de los procedimientos de adquisiciones y de servicios, de conformidad con el Reglamento y los manuales de operación. En la Secretaría, en cada entidad, tribunal administrativo y ayuntamiento se constituirá un comité de adquisiciones y servicios. La Secretaría, las entidades, los tribunales administrativos y </w:t>
      </w:r>
      <w:r w:rsidRPr="007B0CE3">
        <w:rPr>
          <w:rFonts w:ascii="Palatino Linotype" w:hAnsi="Palatino Linotype" w:cs="Calibri"/>
          <w:b/>
          <w:bCs/>
          <w:i/>
          <w:iCs/>
          <w:color w:val="222222"/>
          <w:sz w:val="22"/>
          <w:szCs w:val="22"/>
          <w:u w:val="single"/>
          <w:lang w:eastAsia="es-MX"/>
        </w:rPr>
        <w:t>los ayuntamientos se auxiliarán de un comité de arrendamientos, adquisiciones de inmuebles y enajenaciones</w:t>
      </w:r>
      <w:r w:rsidRPr="007B0CE3">
        <w:rPr>
          <w:rFonts w:ascii="Palatino Linotype" w:hAnsi="Palatino Linotype" w:cs="Calibri"/>
          <w:i/>
          <w:iCs/>
          <w:color w:val="222222"/>
          <w:sz w:val="22"/>
          <w:szCs w:val="22"/>
          <w:lang w:eastAsia="es-MX"/>
        </w:rPr>
        <w:t>.”</w:t>
      </w:r>
    </w:p>
    <w:p w14:paraId="2F10F589" w14:textId="77777777" w:rsidR="007B0CE3" w:rsidRPr="007B0CE3" w:rsidRDefault="007B0CE3" w:rsidP="007B0CE3">
      <w:pPr>
        <w:shd w:val="clear" w:color="auto" w:fill="FFFFFF"/>
        <w:ind w:left="851" w:right="899"/>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 </w:t>
      </w:r>
    </w:p>
    <w:p w14:paraId="38A84BE8" w14:textId="77777777" w:rsidR="007B0CE3" w:rsidRPr="007B0CE3" w:rsidRDefault="007B0CE3" w:rsidP="007B0CE3">
      <w:pPr>
        <w:shd w:val="clear" w:color="auto" w:fill="FFFFFF"/>
        <w:ind w:left="851" w:right="899"/>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Artículo 23</w:t>
      </w:r>
      <w:r w:rsidRPr="007B0CE3">
        <w:rPr>
          <w:rFonts w:ascii="Palatino Linotype" w:hAnsi="Palatino Linotype" w:cs="Calibri"/>
          <w:i/>
          <w:iCs/>
          <w:color w:val="222222"/>
          <w:sz w:val="22"/>
          <w:szCs w:val="22"/>
          <w:lang w:eastAsia="es-MX"/>
        </w:rPr>
        <w:t>.- </w:t>
      </w:r>
      <w:r w:rsidRPr="007B0CE3">
        <w:rPr>
          <w:rFonts w:ascii="Palatino Linotype" w:hAnsi="Palatino Linotype" w:cs="Calibri"/>
          <w:b/>
          <w:bCs/>
          <w:i/>
          <w:iCs/>
          <w:color w:val="222222"/>
          <w:sz w:val="22"/>
          <w:szCs w:val="22"/>
          <w:u w:val="single"/>
          <w:lang w:eastAsia="es-MX"/>
        </w:rPr>
        <w:t>Los comités de adquisiciones y de servicios tendrán las funciones siguientes</w:t>
      </w:r>
      <w:r w:rsidRPr="007B0CE3">
        <w:rPr>
          <w:rFonts w:ascii="Palatino Linotype" w:hAnsi="Palatino Linotype" w:cs="Calibri"/>
          <w:i/>
          <w:iCs/>
          <w:color w:val="222222"/>
          <w:sz w:val="22"/>
          <w:szCs w:val="22"/>
          <w:lang w:eastAsia="es-MX"/>
        </w:rPr>
        <w:t>:</w:t>
      </w:r>
    </w:p>
    <w:p w14:paraId="2B74D388" w14:textId="77777777" w:rsidR="007B0CE3" w:rsidRPr="007B0CE3" w:rsidRDefault="007B0CE3" w:rsidP="007B0CE3">
      <w:pPr>
        <w:shd w:val="clear" w:color="auto" w:fill="FFFFFF"/>
        <w:ind w:left="851" w:right="899"/>
        <w:jc w:val="both"/>
        <w:rPr>
          <w:rFonts w:ascii="Calibri" w:hAnsi="Calibri" w:cs="Calibri"/>
          <w:color w:val="222222"/>
          <w:sz w:val="22"/>
          <w:szCs w:val="22"/>
          <w:lang w:val="es-MX" w:eastAsia="es-MX"/>
        </w:rPr>
      </w:pPr>
      <w:r w:rsidRPr="007B0CE3">
        <w:rPr>
          <w:rFonts w:ascii="Palatino Linotype" w:hAnsi="Palatino Linotype" w:cs="Calibri"/>
          <w:i/>
          <w:iCs/>
          <w:color w:val="222222"/>
          <w:sz w:val="22"/>
          <w:szCs w:val="22"/>
          <w:lang w:eastAsia="es-MX"/>
        </w:rPr>
        <w:t>I. Dictaminar sobre la procedencia de los casos de excepción al procedimiento de licitación pública.</w:t>
      </w:r>
    </w:p>
    <w:p w14:paraId="3BE3D07D" w14:textId="77777777" w:rsidR="007B0CE3" w:rsidRPr="007B0CE3" w:rsidRDefault="007B0CE3" w:rsidP="007B0CE3">
      <w:pPr>
        <w:shd w:val="clear" w:color="auto" w:fill="FFFFFF"/>
        <w:ind w:left="851" w:right="899"/>
        <w:jc w:val="both"/>
        <w:rPr>
          <w:rFonts w:ascii="Calibri" w:hAnsi="Calibri" w:cs="Calibri"/>
          <w:color w:val="222222"/>
          <w:sz w:val="22"/>
          <w:szCs w:val="22"/>
          <w:lang w:val="es-MX" w:eastAsia="es-MX"/>
        </w:rPr>
      </w:pPr>
      <w:r w:rsidRPr="007B0CE3">
        <w:rPr>
          <w:rFonts w:ascii="Palatino Linotype" w:hAnsi="Palatino Linotype" w:cs="Calibri"/>
          <w:i/>
          <w:iCs/>
          <w:color w:val="222222"/>
          <w:sz w:val="22"/>
          <w:szCs w:val="22"/>
          <w:lang w:eastAsia="es-MX"/>
        </w:rPr>
        <w:lastRenderedPageBreak/>
        <w:t>II. Participar en los procedimientos de licitación, invitación restringida y adjudicación directa, hasta dejarlos en estado de dictar el fallo correspondiente, incluidos los que tengan que desahogarse bajo la modalidad de subasta inversa.</w:t>
      </w:r>
    </w:p>
    <w:p w14:paraId="2DC21B36" w14:textId="77777777" w:rsidR="007B0CE3" w:rsidRPr="007B0CE3" w:rsidRDefault="007B0CE3" w:rsidP="007B0CE3">
      <w:pPr>
        <w:shd w:val="clear" w:color="auto" w:fill="FFFFFF"/>
        <w:ind w:left="851" w:right="899"/>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III. </w:t>
      </w:r>
      <w:r w:rsidRPr="007B0CE3">
        <w:rPr>
          <w:rFonts w:ascii="Palatino Linotype" w:hAnsi="Palatino Linotype" w:cs="Calibri"/>
          <w:b/>
          <w:bCs/>
          <w:i/>
          <w:iCs/>
          <w:color w:val="222222"/>
          <w:sz w:val="22"/>
          <w:szCs w:val="22"/>
          <w:u w:val="single"/>
          <w:lang w:eastAsia="es-MX"/>
        </w:rPr>
        <w:t>Emitir los dictámenes de adjudicación</w:t>
      </w:r>
      <w:r w:rsidRPr="007B0CE3">
        <w:rPr>
          <w:rFonts w:ascii="Palatino Linotype" w:hAnsi="Palatino Linotype" w:cs="Calibri"/>
          <w:i/>
          <w:iCs/>
          <w:color w:val="222222"/>
          <w:sz w:val="22"/>
          <w:szCs w:val="22"/>
          <w:lang w:eastAsia="es-MX"/>
        </w:rPr>
        <w:t>.</w:t>
      </w:r>
    </w:p>
    <w:p w14:paraId="0A9AAB41" w14:textId="77777777" w:rsidR="007B0CE3" w:rsidRPr="007B0CE3" w:rsidRDefault="007B0CE3" w:rsidP="007B0CE3">
      <w:pPr>
        <w:shd w:val="clear" w:color="auto" w:fill="FFFFFF"/>
        <w:ind w:left="851" w:right="899"/>
        <w:jc w:val="both"/>
        <w:rPr>
          <w:rFonts w:ascii="Calibri" w:hAnsi="Calibri" w:cs="Calibri"/>
          <w:color w:val="222222"/>
          <w:sz w:val="22"/>
          <w:szCs w:val="22"/>
          <w:lang w:val="es-MX" w:eastAsia="es-MX"/>
        </w:rPr>
      </w:pPr>
      <w:r w:rsidRPr="007B0CE3">
        <w:rPr>
          <w:rFonts w:ascii="Palatino Linotype" w:hAnsi="Palatino Linotype" w:cs="Calibri"/>
          <w:i/>
          <w:iCs/>
          <w:color w:val="222222"/>
          <w:sz w:val="22"/>
          <w:szCs w:val="22"/>
          <w:lang w:eastAsia="es-MX"/>
        </w:rPr>
        <w:t>IV. Las demás que establezca el reglamento de esta Ley.”</w:t>
      </w:r>
    </w:p>
    <w:p w14:paraId="6AA89EC6" w14:textId="77777777" w:rsidR="007B0CE3" w:rsidRPr="007B0CE3" w:rsidRDefault="007B0CE3" w:rsidP="007B0CE3">
      <w:pPr>
        <w:shd w:val="clear" w:color="auto" w:fill="FFFFFF"/>
        <w:ind w:left="851" w:right="899"/>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 </w:t>
      </w:r>
    </w:p>
    <w:p w14:paraId="61DFFAAD" w14:textId="77777777" w:rsidR="007B0CE3" w:rsidRPr="007B0CE3" w:rsidRDefault="007B0CE3" w:rsidP="007B0CE3">
      <w:pPr>
        <w:shd w:val="clear" w:color="auto" w:fill="FFFFFF"/>
        <w:ind w:left="851" w:right="899"/>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Artículo 24</w:t>
      </w:r>
      <w:r w:rsidRPr="007B0CE3">
        <w:rPr>
          <w:rFonts w:ascii="Palatino Linotype" w:hAnsi="Palatino Linotype" w:cs="Calibri"/>
          <w:i/>
          <w:iCs/>
          <w:color w:val="222222"/>
          <w:sz w:val="22"/>
          <w:szCs w:val="22"/>
          <w:lang w:eastAsia="es-MX"/>
        </w:rPr>
        <w:t>.- </w:t>
      </w:r>
      <w:r w:rsidRPr="007B0CE3">
        <w:rPr>
          <w:rFonts w:ascii="Palatino Linotype" w:hAnsi="Palatino Linotype" w:cs="Calibri"/>
          <w:b/>
          <w:bCs/>
          <w:i/>
          <w:iCs/>
          <w:color w:val="222222"/>
          <w:sz w:val="22"/>
          <w:szCs w:val="22"/>
          <w:u w:val="single"/>
          <w:lang w:eastAsia="es-MX"/>
        </w:rPr>
        <w:t>El comité de arrendamientos, adquisiciones de inmuebles y enajenaciones tendrá las funciones siguientes</w:t>
      </w:r>
      <w:r w:rsidRPr="007B0CE3">
        <w:rPr>
          <w:rFonts w:ascii="Palatino Linotype" w:hAnsi="Palatino Linotype" w:cs="Calibri"/>
          <w:i/>
          <w:iCs/>
          <w:color w:val="222222"/>
          <w:sz w:val="22"/>
          <w:szCs w:val="22"/>
          <w:lang w:eastAsia="es-MX"/>
        </w:rPr>
        <w:t>:</w:t>
      </w:r>
    </w:p>
    <w:p w14:paraId="68A0BC80" w14:textId="77777777" w:rsidR="007B0CE3" w:rsidRPr="007B0CE3" w:rsidRDefault="007B0CE3" w:rsidP="007B0CE3">
      <w:pPr>
        <w:shd w:val="clear" w:color="auto" w:fill="FFFFFF"/>
        <w:ind w:left="851" w:right="899"/>
        <w:jc w:val="both"/>
        <w:rPr>
          <w:rFonts w:ascii="Calibri" w:hAnsi="Calibri" w:cs="Calibri"/>
          <w:color w:val="222222"/>
          <w:sz w:val="22"/>
          <w:szCs w:val="22"/>
          <w:lang w:val="es-MX" w:eastAsia="es-MX"/>
        </w:rPr>
      </w:pPr>
      <w:r w:rsidRPr="007B0CE3">
        <w:rPr>
          <w:rFonts w:ascii="Palatino Linotype" w:hAnsi="Palatino Linotype" w:cs="Calibri"/>
          <w:i/>
          <w:iCs/>
          <w:color w:val="222222"/>
          <w:sz w:val="22"/>
          <w:szCs w:val="22"/>
          <w:lang w:eastAsia="es-MX"/>
        </w:rPr>
        <w:t>I. Dictaminar sobre la procedencia de los casos de excepción al procedimiento de licitación pública, tratándose de adquisición de inmuebles y arrendamientos.</w:t>
      </w:r>
    </w:p>
    <w:p w14:paraId="796C6BCA" w14:textId="77777777" w:rsidR="007B0CE3" w:rsidRPr="007B0CE3" w:rsidRDefault="007B0CE3" w:rsidP="007B0CE3">
      <w:pPr>
        <w:shd w:val="clear" w:color="auto" w:fill="FFFFFF"/>
        <w:ind w:left="851" w:right="899"/>
        <w:jc w:val="both"/>
        <w:rPr>
          <w:rFonts w:ascii="Calibri" w:hAnsi="Calibri" w:cs="Calibri"/>
          <w:color w:val="222222"/>
          <w:sz w:val="22"/>
          <w:szCs w:val="22"/>
          <w:lang w:val="es-MX" w:eastAsia="es-MX"/>
        </w:rPr>
      </w:pPr>
      <w:r w:rsidRPr="007B0CE3">
        <w:rPr>
          <w:rFonts w:ascii="Palatino Linotype" w:hAnsi="Palatino Linotype" w:cs="Calibri"/>
          <w:i/>
          <w:iCs/>
          <w:color w:val="222222"/>
          <w:sz w:val="22"/>
          <w:szCs w:val="22"/>
          <w:lang w:eastAsia="es-MX"/>
        </w:rPr>
        <w:t>II. Participar en los procedimientos de licitación, invitación restringida y adjudicación directa, hasta dejarlos en estado de dictar el fallo correspondiente, tratándose de adquisición de inmuebles y arrendamientos.</w:t>
      </w:r>
    </w:p>
    <w:p w14:paraId="4F7016CC" w14:textId="77777777" w:rsidR="007B0CE3" w:rsidRPr="007B0CE3" w:rsidRDefault="007B0CE3" w:rsidP="007B0CE3">
      <w:pPr>
        <w:shd w:val="clear" w:color="auto" w:fill="FFFFFF"/>
        <w:ind w:left="851" w:right="899"/>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III. </w:t>
      </w:r>
      <w:r w:rsidRPr="007B0CE3">
        <w:rPr>
          <w:rFonts w:ascii="Palatino Linotype" w:hAnsi="Palatino Linotype" w:cs="Calibri"/>
          <w:b/>
          <w:bCs/>
          <w:i/>
          <w:iCs/>
          <w:color w:val="222222"/>
          <w:sz w:val="22"/>
          <w:szCs w:val="22"/>
          <w:u w:val="single"/>
          <w:lang w:eastAsia="es-MX"/>
        </w:rPr>
        <w:t>Emitir los dictámenes de adjudicación, tratándose de adquisiciones de inmuebles y arrendamientos</w:t>
      </w:r>
      <w:r w:rsidRPr="007B0CE3">
        <w:rPr>
          <w:rFonts w:ascii="Palatino Linotype" w:hAnsi="Palatino Linotype" w:cs="Calibri"/>
          <w:i/>
          <w:iCs/>
          <w:color w:val="222222"/>
          <w:sz w:val="22"/>
          <w:szCs w:val="22"/>
          <w:lang w:eastAsia="es-MX"/>
        </w:rPr>
        <w:t>.</w:t>
      </w:r>
    </w:p>
    <w:p w14:paraId="1A27780A" w14:textId="77777777" w:rsidR="007B0CE3" w:rsidRPr="007B0CE3" w:rsidRDefault="007B0CE3" w:rsidP="007B0CE3">
      <w:pPr>
        <w:shd w:val="clear" w:color="auto" w:fill="FFFFFF"/>
        <w:ind w:left="851" w:right="899"/>
        <w:jc w:val="both"/>
        <w:rPr>
          <w:rFonts w:ascii="Calibri" w:hAnsi="Calibri" w:cs="Calibri"/>
          <w:color w:val="222222"/>
          <w:sz w:val="22"/>
          <w:szCs w:val="22"/>
          <w:lang w:val="es-MX" w:eastAsia="es-MX"/>
        </w:rPr>
      </w:pPr>
      <w:r w:rsidRPr="007B0CE3">
        <w:rPr>
          <w:rFonts w:ascii="Palatino Linotype" w:hAnsi="Palatino Linotype" w:cs="Calibri"/>
          <w:i/>
          <w:iCs/>
          <w:color w:val="222222"/>
          <w:sz w:val="22"/>
          <w:szCs w:val="22"/>
          <w:lang w:eastAsia="es-MX"/>
        </w:rPr>
        <w:t>IV. Participar en los procedimientos de subasta pública, hasta dejarlos en estado de dictar el fallo de adjudicación.</w:t>
      </w:r>
    </w:p>
    <w:p w14:paraId="7734C8A2" w14:textId="77777777" w:rsidR="007B0CE3" w:rsidRPr="007B0CE3" w:rsidRDefault="007B0CE3" w:rsidP="007B0CE3">
      <w:pPr>
        <w:shd w:val="clear" w:color="auto" w:fill="FFFFFF"/>
        <w:ind w:left="851" w:right="899"/>
        <w:jc w:val="both"/>
        <w:rPr>
          <w:rFonts w:ascii="Calibri" w:hAnsi="Calibri" w:cs="Calibri"/>
          <w:color w:val="222222"/>
          <w:sz w:val="22"/>
          <w:szCs w:val="22"/>
          <w:lang w:val="es-MX" w:eastAsia="es-MX"/>
        </w:rPr>
      </w:pPr>
      <w:r w:rsidRPr="007B0CE3">
        <w:rPr>
          <w:rFonts w:ascii="Palatino Linotype" w:hAnsi="Palatino Linotype" w:cs="Calibri"/>
          <w:i/>
          <w:iCs/>
          <w:color w:val="222222"/>
          <w:sz w:val="22"/>
          <w:szCs w:val="22"/>
          <w:lang w:eastAsia="es-MX"/>
        </w:rPr>
        <w:t>V. Las demás que establezca el reglamento de esta Ley.”</w:t>
      </w:r>
    </w:p>
    <w:p w14:paraId="3F01E71D" w14:textId="77777777" w:rsidR="007B0CE3" w:rsidRPr="007B0CE3" w:rsidRDefault="007B0CE3" w:rsidP="007B0CE3">
      <w:pPr>
        <w:shd w:val="clear" w:color="auto" w:fill="FFFFFF"/>
        <w:ind w:left="851" w:right="899"/>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 </w:t>
      </w:r>
    </w:p>
    <w:p w14:paraId="470C0B8B" w14:textId="77777777" w:rsidR="007B0CE3" w:rsidRPr="007B0CE3" w:rsidRDefault="007B0CE3" w:rsidP="007B0CE3">
      <w:pPr>
        <w:shd w:val="clear" w:color="auto" w:fill="FFFFFF"/>
        <w:ind w:left="851" w:right="899"/>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Artículo 26.- </w:t>
      </w:r>
      <w:r w:rsidRPr="007B0CE3">
        <w:rPr>
          <w:rFonts w:ascii="Palatino Linotype" w:hAnsi="Palatino Linotype" w:cs="Calibri"/>
          <w:i/>
          <w:iCs/>
          <w:color w:val="222222"/>
          <w:sz w:val="22"/>
          <w:szCs w:val="22"/>
          <w:lang w:eastAsia="es-MX"/>
        </w:rPr>
        <w:t>Las adquisiciones, arrendamientos y servicios se adjudicarán a través de licitaciones públicas, mediante convocatoria pública.</w:t>
      </w:r>
    </w:p>
    <w:p w14:paraId="34239C54" w14:textId="77777777" w:rsidR="007B0CE3" w:rsidRPr="007B0CE3" w:rsidRDefault="007B0CE3" w:rsidP="007B0CE3">
      <w:pPr>
        <w:shd w:val="clear" w:color="auto" w:fill="FFFFFF"/>
        <w:ind w:left="851" w:right="899"/>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 </w:t>
      </w:r>
    </w:p>
    <w:p w14:paraId="55310B45" w14:textId="77777777" w:rsidR="007B0CE3" w:rsidRPr="007B0CE3" w:rsidRDefault="007B0CE3" w:rsidP="007B0CE3">
      <w:pPr>
        <w:shd w:val="clear" w:color="auto" w:fill="FFFFFF"/>
        <w:ind w:left="851" w:right="899"/>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Artículo 27.-</w:t>
      </w:r>
      <w:r w:rsidRPr="007B0CE3">
        <w:rPr>
          <w:rFonts w:ascii="Palatino Linotype" w:hAnsi="Palatino Linotype" w:cs="Calibri"/>
          <w:i/>
          <w:iCs/>
          <w:color w:val="222222"/>
          <w:sz w:val="22"/>
          <w:szCs w:val="22"/>
          <w:lang w:eastAsia="es-MX"/>
        </w:rPr>
        <w:t> La Secretaría, las entidades, los tribunales administrativos y los ayuntamientos podrán adjudicar adquisiciones, arrendamientos y servicios, mediante las excepciones al procedimiento de licitación que a continuación se señalan:</w:t>
      </w:r>
    </w:p>
    <w:p w14:paraId="558A3E37" w14:textId="77777777" w:rsidR="007B0CE3" w:rsidRPr="007B0CE3" w:rsidRDefault="007B0CE3" w:rsidP="007B0CE3">
      <w:pPr>
        <w:shd w:val="clear" w:color="auto" w:fill="FFFFFF"/>
        <w:ind w:left="851" w:right="899"/>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 </w:t>
      </w:r>
    </w:p>
    <w:p w14:paraId="3381B041" w14:textId="77777777" w:rsidR="007B0CE3" w:rsidRPr="007B0CE3" w:rsidRDefault="007B0CE3" w:rsidP="007B0CE3">
      <w:pPr>
        <w:shd w:val="clear" w:color="auto" w:fill="FFFFFF"/>
        <w:ind w:left="851" w:right="899"/>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I. </w:t>
      </w:r>
      <w:r w:rsidRPr="007B0CE3">
        <w:rPr>
          <w:rFonts w:ascii="Palatino Linotype" w:hAnsi="Palatino Linotype" w:cs="Calibri"/>
          <w:b/>
          <w:bCs/>
          <w:i/>
          <w:iCs/>
          <w:color w:val="222222"/>
          <w:sz w:val="22"/>
          <w:szCs w:val="22"/>
          <w:u w:val="single"/>
          <w:lang w:eastAsia="es-MX"/>
        </w:rPr>
        <w:t>Invitación restringida</w:t>
      </w:r>
      <w:r w:rsidRPr="007B0CE3">
        <w:rPr>
          <w:rFonts w:ascii="Palatino Linotype" w:hAnsi="Palatino Linotype" w:cs="Calibri"/>
          <w:b/>
          <w:bCs/>
          <w:i/>
          <w:iCs/>
          <w:color w:val="222222"/>
          <w:sz w:val="22"/>
          <w:szCs w:val="22"/>
          <w:lang w:eastAsia="es-MX"/>
        </w:rPr>
        <w:t>.</w:t>
      </w:r>
    </w:p>
    <w:p w14:paraId="11537326" w14:textId="77777777" w:rsidR="007B0CE3" w:rsidRPr="007B0CE3" w:rsidRDefault="007B0CE3" w:rsidP="007B0CE3">
      <w:pPr>
        <w:shd w:val="clear" w:color="auto" w:fill="FFFFFF"/>
        <w:ind w:left="851" w:right="899"/>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II. </w:t>
      </w:r>
      <w:r w:rsidRPr="007B0CE3">
        <w:rPr>
          <w:rFonts w:ascii="Palatino Linotype" w:hAnsi="Palatino Linotype" w:cs="Calibri"/>
          <w:b/>
          <w:bCs/>
          <w:i/>
          <w:iCs/>
          <w:color w:val="222222"/>
          <w:sz w:val="22"/>
          <w:szCs w:val="22"/>
          <w:u w:val="single"/>
          <w:lang w:eastAsia="es-MX"/>
        </w:rPr>
        <w:t>Adjudicación directa</w:t>
      </w:r>
      <w:r w:rsidRPr="007B0CE3">
        <w:rPr>
          <w:rFonts w:ascii="Palatino Linotype" w:hAnsi="Palatino Linotype" w:cs="Calibri"/>
          <w:i/>
          <w:iCs/>
          <w:color w:val="222222"/>
          <w:sz w:val="22"/>
          <w:szCs w:val="22"/>
          <w:lang w:eastAsia="es-MX"/>
        </w:rPr>
        <w:t>.</w:t>
      </w:r>
    </w:p>
    <w:p w14:paraId="497541DC" w14:textId="77777777" w:rsidR="007B0CE3" w:rsidRPr="007B0CE3" w:rsidRDefault="007B0CE3" w:rsidP="007B0CE3">
      <w:pPr>
        <w:shd w:val="clear" w:color="auto" w:fill="FFFFFF"/>
        <w:ind w:left="851" w:right="899"/>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 </w:t>
      </w:r>
    </w:p>
    <w:p w14:paraId="326C7295" w14:textId="77777777" w:rsidR="007B0CE3" w:rsidRPr="007B0CE3" w:rsidRDefault="007B0CE3" w:rsidP="007B0CE3">
      <w:pPr>
        <w:shd w:val="clear" w:color="auto" w:fill="FFFFFF"/>
        <w:ind w:left="851" w:right="899"/>
        <w:jc w:val="both"/>
        <w:rPr>
          <w:rFonts w:ascii="Calibri" w:hAnsi="Calibri" w:cs="Calibri"/>
          <w:color w:val="222222"/>
          <w:sz w:val="22"/>
          <w:szCs w:val="22"/>
          <w:lang w:val="es-MX" w:eastAsia="es-MX"/>
        </w:rPr>
      </w:pPr>
      <w:r w:rsidRPr="007B0CE3">
        <w:rPr>
          <w:rFonts w:ascii="Palatino Linotype" w:hAnsi="Palatino Linotype" w:cs="Calibri"/>
          <w:b/>
          <w:bCs/>
          <w:i/>
          <w:iCs/>
          <w:color w:val="222222"/>
          <w:sz w:val="22"/>
          <w:szCs w:val="22"/>
          <w:lang w:eastAsia="es-MX"/>
        </w:rPr>
        <w:t>Artículo 39</w:t>
      </w:r>
      <w:r w:rsidRPr="007B0CE3">
        <w:rPr>
          <w:rFonts w:ascii="Palatino Linotype" w:hAnsi="Palatino Linotype" w:cs="Calibri"/>
          <w:i/>
          <w:iCs/>
          <w:color w:val="222222"/>
          <w:sz w:val="22"/>
          <w:szCs w:val="22"/>
          <w:lang w:eastAsia="es-MX"/>
        </w:rPr>
        <w:t>.- </w:t>
      </w:r>
      <w:r w:rsidRPr="007B0CE3">
        <w:rPr>
          <w:rFonts w:ascii="Palatino Linotype" w:hAnsi="Palatino Linotype" w:cs="Calibri"/>
          <w:b/>
          <w:bCs/>
          <w:i/>
          <w:iCs/>
          <w:color w:val="222222"/>
          <w:sz w:val="22"/>
          <w:szCs w:val="22"/>
          <w:u w:val="single"/>
          <w:lang w:eastAsia="es-MX"/>
        </w:rPr>
        <w:t>Para cada uno de los actos del procedimiento adquisitivo se levantará el acta respectiva</w:t>
      </w:r>
      <w:r w:rsidRPr="007B0CE3">
        <w:rPr>
          <w:rFonts w:ascii="Palatino Linotype" w:hAnsi="Palatino Linotype" w:cs="Calibri"/>
          <w:i/>
          <w:iCs/>
          <w:color w:val="222222"/>
          <w:sz w:val="22"/>
          <w:szCs w:val="22"/>
          <w:lang w:eastAsia="es-MX"/>
        </w:rPr>
        <w:t>, la cual será firmada por los participantes, sin que la falta de firma de alguno de ellos invalide su contenido y efectos.</w:t>
      </w:r>
      <w:r w:rsidRPr="007B0CE3">
        <w:rPr>
          <w:rFonts w:ascii="Palatino Linotype" w:hAnsi="Palatino Linotype" w:cs="Calibri"/>
          <w:b/>
          <w:bCs/>
          <w:i/>
          <w:iCs/>
          <w:color w:val="222222"/>
          <w:sz w:val="22"/>
          <w:szCs w:val="22"/>
          <w:lang w:eastAsia="es-MX"/>
        </w:rPr>
        <w:t>”</w:t>
      </w:r>
    </w:p>
    <w:p w14:paraId="057499EC" w14:textId="6FFFB765" w:rsidR="007B0CE3" w:rsidRPr="007B0CE3" w:rsidRDefault="007B0CE3" w:rsidP="007B0CE3">
      <w:pPr>
        <w:shd w:val="clear" w:color="auto" w:fill="FFFFFF"/>
        <w:ind w:left="851" w:right="899"/>
        <w:jc w:val="both"/>
        <w:rPr>
          <w:rFonts w:ascii="Calibri" w:hAnsi="Calibri" w:cs="Calibri"/>
          <w:color w:val="222222"/>
          <w:sz w:val="22"/>
          <w:szCs w:val="22"/>
          <w:lang w:val="es-MX" w:eastAsia="es-MX"/>
        </w:rPr>
      </w:pPr>
    </w:p>
    <w:p w14:paraId="31CA35C7" w14:textId="77777777" w:rsidR="007B0CE3" w:rsidRPr="007B0CE3" w:rsidRDefault="007B0CE3" w:rsidP="007B0CE3">
      <w:pPr>
        <w:shd w:val="clear" w:color="auto" w:fill="FFFFFF"/>
        <w:ind w:right="902"/>
        <w:jc w:val="both"/>
        <w:rPr>
          <w:rFonts w:ascii="Calibri" w:hAnsi="Calibri" w:cs="Calibri"/>
          <w:color w:val="222222"/>
          <w:sz w:val="22"/>
          <w:szCs w:val="22"/>
        </w:rPr>
      </w:pPr>
    </w:p>
    <w:p w14:paraId="09E27964" w14:textId="17AC12EE" w:rsidR="000A3141" w:rsidRPr="003E3244" w:rsidRDefault="00485608" w:rsidP="00485608">
      <w:pPr>
        <w:autoSpaceDE w:val="0"/>
        <w:autoSpaceDN w:val="0"/>
        <w:adjustRightInd w:val="0"/>
        <w:jc w:val="both"/>
        <w:rPr>
          <w:rFonts w:ascii="Palatino Linotype" w:hAnsi="Palatino Linotype" w:cs="Arial"/>
        </w:rPr>
      </w:pPr>
      <w:r>
        <w:rPr>
          <w:rFonts w:ascii="Palatino Linotype" w:hAnsi="Palatino Linotype"/>
          <w:color w:val="222222"/>
          <w:shd w:val="clear" w:color="auto" w:fill="FFFFFF"/>
        </w:rPr>
        <w:t>De la interpretación armónica de los preceptos transcritos, se advierte que </w:t>
      </w:r>
      <w:r>
        <w:rPr>
          <w:rFonts w:ascii="Palatino Linotype" w:hAnsi="Palatino Linotype"/>
          <w:b/>
          <w:bCs/>
          <w:color w:val="222222"/>
          <w:shd w:val="clear" w:color="auto" w:fill="FFFFFF"/>
        </w:rPr>
        <w:t>El Sujeto Obligado</w:t>
      </w:r>
      <w:r>
        <w:rPr>
          <w:rFonts w:ascii="Palatino Linotype" w:hAnsi="Palatino Linotype"/>
          <w:color w:val="222222"/>
          <w:shd w:val="clear" w:color="auto" w:fill="FFFFFF"/>
        </w:rPr>
        <w:t>, cuenta con la competencia para regular los actos relativos a la </w:t>
      </w:r>
      <w:r>
        <w:rPr>
          <w:rFonts w:ascii="Palatino Linotype" w:hAnsi="Palatino Linotype"/>
          <w:b/>
          <w:bCs/>
          <w:color w:val="222222"/>
          <w:u w:val="single"/>
          <w:shd w:val="clear" w:color="auto" w:fill="FFFFFF"/>
        </w:rPr>
        <w:t xml:space="preserve">planeación, programación, </w:t>
      </w:r>
      <w:proofErr w:type="spellStart"/>
      <w:r>
        <w:rPr>
          <w:rFonts w:ascii="Palatino Linotype" w:hAnsi="Palatino Linotype"/>
          <w:b/>
          <w:bCs/>
          <w:color w:val="222222"/>
          <w:u w:val="single"/>
          <w:shd w:val="clear" w:color="auto" w:fill="FFFFFF"/>
        </w:rPr>
        <w:t>presupuestación</w:t>
      </w:r>
      <w:proofErr w:type="spellEnd"/>
      <w:r>
        <w:rPr>
          <w:rFonts w:ascii="Palatino Linotype" w:hAnsi="Palatino Linotype"/>
          <w:b/>
          <w:bCs/>
          <w:color w:val="222222"/>
          <w:u w:val="single"/>
          <w:shd w:val="clear" w:color="auto" w:fill="FFFFFF"/>
        </w:rPr>
        <w:t>, ejecución y control de la adquisición y arrendamiento de bienes, así como la contratación de servicios de cualquier naturaleza</w:t>
      </w:r>
      <w:r>
        <w:rPr>
          <w:rFonts w:ascii="Palatino Linotype" w:hAnsi="Palatino Linotype"/>
          <w:color w:val="222222"/>
          <w:shd w:val="clear" w:color="auto" w:fill="FFFFFF"/>
        </w:rPr>
        <w:t xml:space="preserve">; para tales efectos, se auxilia de los comités de arrendamientos y de </w:t>
      </w:r>
      <w:r>
        <w:rPr>
          <w:rFonts w:ascii="Palatino Linotype" w:hAnsi="Palatino Linotype"/>
          <w:color w:val="222222"/>
          <w:shd w:val="clear" w:color="auto" w:fill="FFFFFF"/>
        </w:rPr>
        <w:lastRenderedPageBreak/>
        <w:t>adquisiciones de inmuebles y enajenaciones, quienes, entre otras funciones, emiten los dictámenes correspondientes a la adjudicación, debiendo levantar para cada procedimiento adquisitivo el acta respectiva.</w:t>
      </w:r>
    </w:p>
    <w:p w14:paraId="79F5B337" w14:textId="073D1931" w:rsidR="000A3141" w:rsidRDefault="000A3141" w:rsidP="003E3244">
      <w:pPr>
        <w:autoSpaceDE w:val="0"/>
        <w:autoSpaceDN w:val="0"/>
        <w:adjustRightInd w:val="0"/>
        <w:spacing w:line="360" w:lineRule="auto"/>
        <w:jc w:val="both"/>
        <w:rPr>
          <w:rFonts w:ascii="Palatino Linotype" w:hAnsi="Palatino Linotype" w:cs="Arial"/>
        </w:rPr>
      </w:pPr>
    </w:p>
    <w:p w14:paraId="4DFC157C" w14:textId="77777777" w:rsidR="00485608" w:rsidRDefault="000A3141" w:rsidP="0081659E">
      <w:pPr>
        <w:autoSpaceDE w:val="0"/>
        <w:autoSpaceDN w:val="0"/>
        <w:adjustRightInd w:val="0"/>
        <w:spacing w:line="360" w:lineRule="auto"/>
        <w:jc w:val="both"/>
        <w:rPr>
          <w:rFonts w:ascii="Palatino Linotype" w:hAnsi="Palatino Linotype" w:cs="Arial"/>
        </w:rPr>
      </w:pPr>
      <w:r w:rsidRPr="0081659E">
        <w:rPr>
          <w:rFonts w:ascii="Palatino Linotype" w:hAnsi="Palatino Linotype" w:cs="Arial"/>
        </w:rPr>
        <w:t>Conclusión</w:t>
      </w:r>
      <w:r w:rsidR="00485608">
        <w:rPr>
          <w:rFonts w:ascii="Palatino Linotype" w:hAnsi="Palatino Linotype" w:cs="Arial"/>
        </w:rPr>
        <w:t>.</w:t>
      </w:r>
    </w:p>
    <w:p w14:paraId="4BD2803D" w14:textId="48C2C41A" w:rsidR="000A3141" w:rsidRDefault="00485608" w:rsidP="00485608">
      <w:pPr>
        <w:autoSpaceDE w:val="0"/>
        <w:autoSpaceDN w:val="0"/>
        <w:adjustRightInd w:val="0"/>
        <w:jc w:val="both"/>
        <w:rPr>
          <w:rFonts w:ascii="Palatino Linotype" w:hAnsi="Palatino Linotype" w:cs="Arial"/>
        </w:rPr>
      </w:pPr>
      <w:r>
        <w:rPr>
          <w:rFonts w:ascii="Palatino Linotype" w:hAnsi="Palatino Linotype"/>
          <w:color w:val="222222"/>
          <w:shd w:val="clear" w:color="auto" w:fill="FFFFFF"/>
        </w:rPr>
        <w:t>Así por las argumentaciones anteriormente señaladas, este Órgano Garante considera que el sujeto obligado cuenta con las atribuciones de generar, administrar y poseer la información requerida por el particular</w:t>
      </w:r>
      <w:r w:rsidR="00683B9C">
        <w:rPr>
          <w:rFonts w:ascii="Palatino Linotype" w:hAnsi="Palatino Linotype"/>
          <w:color w:val="222222"/>
          <w:shd w:val="clear" w:color="auto" w:fill="FFFFFF"/>
        </w:rPr>
        <w:t>.</w:t>
      </w:r>
      <w:r w:rsidR="000A3141" w:rsidRPr="0081659E">
        <w:rPr>
          <w:rFonts w:ascii="Palatino Linotype" w:hAnsi="Palatino Linotype" w:cs="Arial"/>
        </w:rPr>
        <w:t xml:space="preserve"> </w:t>
      </w:r>
    </w:p>
    <w:p w14:paraId="606E980A" w14:textId="77777777" w:rsidR="002E7C12" w:rsidRDefault="002E7C12" w:rsidP="00485608">
      <w:pPr>
        <w:autoSpaceDE w:val="0"/>
        <w:autoSpaceDN w:val="0"/>
        <w:adjustRightInd w:val="0"/>
        <w:jc w:val="both"/>
        <w:rPr>
          <w:rFonts w:ascii="Palatino Linotype" w:hAnsi="Palatino Linotype" w:cs="Arial"/>
        </w:rPr>
      </w:pPr>
    </w:p>
    <w:p w14:paraId="0DCB9466" w14:textId="4BB5BB56" w:rsidR="002E7C12" w:rsidRDefault="00F6068A" w:rsidP="00485608">
      <w:pPr>
        <w:autoSpaceDE w:val="0"/>
        <w:autoSpaceDN w:val="0"/>
        <w:adjustRightInd w:val="0"/>
        <w:jc w:val="both"/>
        <w:rPr>
          <w:rFonts w:ascii="Palatino Linotype" w:hAnsi="Palatino Linotype" w:cs="Arial"/>
        </w:rPr>
      </w:pPr>
      <w:r>
        <w:rPr>
          <w:rFonts w:ascii="Palatino Linotype" w:hAnsi="Palatino Linotype" w:cs="Arial"/>
        </w:rPr>
        <w:t xml:space="preserve">En razón de lo anterior resulta </w:t>
      </w:r>
      <w:r w:rsidR="00BE43BD">
        <w:rPr>
          <w:rFonts w:ascii="Palatino Linotype" w:hAnsi="Palatino Linotype" w:cs="Arial"/>
        </w:rPr>
        <w:t>preciso</w:t>
      </w:r>
      <w:r>
        <w:rPr>
          <w:rFonts w:ascii="Palatino Linotype" w:hAnsi="Palatino Linotype" w:cs="Arial"/>
        </w:rPr>
        <w:t xml:space="preserve"> ordenar su entrega a fin de salvaguardar el Derecho ejercido por el particular en versión pública</w:t>
      </w:r>
      <w:r w:rsidR="00683B9C">
        <w:rPr>
          <w:rFonts w:ascii="Palatino Linotype" w:hAnsi="Palatino Linotype" w:cs="Arial"/>
        </w:rPr>
        <w:t>.</w:t>
      </w:r>
      <w:r>
        <w:rPr>
          <w:rFonts w:ascii="Palatino Linotype" w:hAnsi="Palatino Linotype" w:cs="Arial"/>
        </w:rPr>
        <w:t xml:space="preserve"> </w:t>
      </w:r>
    </w:p>
    <w:p w14:paraId="5608BB96" w14:textId="77777777" w:rsidR="002E7C12" w:rsidRDefault="002E7C12" w:rsidP="00485608">
      <w:pPr>
        <w:autoSpaceDE w:val="0"/>
        <w:autoSpaceDN w:val="0"/>
        <w:adjustRightInd w:val="0"/>
        <w:jc w:val="both"/>
        <w:rPr>
          <w:rFonts w:ascii="Palatino Linotype" w:hAnsi="Palatino Linotype" w:cs="Arial"/>
        </w:rPr>
      </w:pPr>
    </w:p>
    <w:p w14:paraId="6C8F1919" w14:textId="77777777" w:rsidR="00683B9C" w:rsidRDefault="00683B9C" w:rsidP="00485608">
      <w:pPr>
        <w:autoSpaceDE w:val="0"/>
        <w:autoSpaceDN w:val="0"/>
        <w:adjustRightInd w:val="0"/>
        <w:jc w:val="both"/>
        <w:rPr>
          <w:rFonts w:ascii="Palatino Linotype" w:hAnsi="Palatino Linotype" w:cs="Arial"/>
        </w:rPr>
      </w:pPr>
    </w:p>
    <w:p w14:paraId="4D09AA14" w14:textId="6C0BDEB1" w:rsidR="00205E65" w:rsidRDefault="00F6068A" w:rsidP="00485608">
      <w:pPr>
        <w:autoSpaceDE w:val="0"/>
        <w:autoSpaceDN w:val="0"/>
        <w:adjustRightInd w:val="0"/>
        <w:jc w:val="both"/>
        <w:rPr>
          <w:rFonts w:ascii="Palatino Linotype" w:hAnsi="Palatino Linotype" w:cs="Arial"/>
        </w:rPr>
      </w:pPr>
      <w:r>
        <w:rPr>
          <w:rFonts w:ascii="Palatino Linotype" w:hAnsi="Palatino Linotype" w:cs="Arial"/>
        </w:rPr>
        <w:t>C</w:t>
      </w:r>
      <w:r w:rsidR="00205E65">
        <w:rPr>
          <w:rFonts w:ascii="Palatino Linotype" w:hAnsi="Palatino Linotype" w:cs="Arial"/>
        </w:rPr>
        <w:t xml:space="preserve">abe resaltar que el </w:t>
      </w:r>
      <w:r w:rsidR="00205E65">
        <w:rPr>
          <w:rFonts w:ascii="Palatino Linotype" w:hAnsi="Palatino Linotype" w:cs="Arial"/>
          <w:b/>
        </w:rPr>
        <w:t>SUJETO OBLIGADO</w:t>
      </w:r>
      <w:r w:rsidR="00205E65">
        <w:rPr>
          <w:rFonts w:ascii="Palatino Linotype" w:hAnsi="Palatino Linotype" w:cs="Arial"/>
        </w:rPr>
        <w:t xml:space="preserve"> no cuenta con su página de IPOMEX, debidamente actualizada como se muestra en las siguientes capturas de pantalla.</w:t>
      </w:r>
    </w:p>
    <w:p w14:paraId="4A73EFCC" w14:textId="5AA5EA5A" w:rsidR="00205E65" w:rsidRPr="00205E65" w:rsidRDefault="002E7C12" w:rsidP="00485608">
      <w:pPr>
        <w:autoSpaceDE w:val="0"/>
        <w:autoSpaceDN w:val="0"/>
        <w:adjustRightInd w:val="0"/>
        <w:jc w:val="both"/>
        <w:rPr>
          <w:rFonts w:ascii="Palatino Linotype" w:hAnsi="Palatino Linotype" w:cs="Arial"/>
        </w:rPr>
      </w:pPr>
      <w:r w:rsidRPr="002E7C12">
        <w:rPr>
          <w:rFonts w:ascii="Palatino Linotype" w:hAnsi="Palatino Linotype" w:cs="Arial"/>
          <w:noProof/>
          <w:lang w:val="es-MX" w:eastAsia="es-MX"/>
        </w:rPr>
        <w:lastRenderedPageBreak/>
        <w:drawing>
          <wp:inline distT="0" distB="0" distL="0" distR="0" wp14:anchorId="06508A46" wp14:editId="4FCF57F8">
            <wp:extent cx="5000625" cy="2381250"/>
            <wp:effectExtent l="0" t="0" r="9525" b="0"/>
            <wp:docPr id="2" name="Imagen 2" descr="C:\Users\INFOEM\Downloads\Captura de pantalla 2021-09-27 10.1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FOEM\Downloads\Captura de pantalla 2021-09-27 10.17.4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00625" cy="2381250"/>
                    </a:xfrm>
                    <a:prstGeom prst="rect">
                      <a:avLst/>
                    </a:prstGeom>
                    <a:noFill/>
                    <a:ln>
                      <a:noFill/>
                    </a:ln>
                  </pic:spPr>
                </pic:pic>
              </a:graphicData>
            </a:graphic>
          </wp:inline>
        </w:drawing>
      </w:r>
      <w:r w:rsidRPr="002E7C12">
        <w:rPr>
          <w:rFonts w:ascii="Palatino Linotype" w:hAnsi="Palatino Linotype" w:cs="Arial"/>
          <w:noProof/>
          <w:lang w:val="es-MX" w:eastAsia="es-MX"/>
        </w:rPr>
        <w:drawing>
          <wp:inline distT="0" distB="0" distL="0" distR="0" wp14:anchorId="5AD542B8" wp14:editId="5B0DA913">
            <wp:extent cx="5057775" cy="2619375"/>
            <wp:effectExtent l="0" t="0" r="9525" b="9525"/>
            <wp:docPr id="1" name="Imagen 1" descr="C:\Users\INFOEM\Downloads\Captura de pantalla 2021-09-27 10.18.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FOEM\Downloads\Captura de pantalla 2021-09-27 10.18.5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57775" cy="2619375"/>
                    </a:xfrm>
                    <a:prstGeom prst="rect">
                      <a:avLst/>
                    </a:prstGeom>
                    <a:noFill/>
                    <a:ln>
                      <a:noFill/>
                    </a:ln>
                  </pic:spPr>
                </pic:pic>
              </a:graphicData>
            </a:graphic>
          </wp:inline>
        </w:drawing>
      </w:r>
      <w:r w:rsidR="00205E65">
        <w:rPr>
          <w:rFonts w:ascii="Palatino Linotype" w:hAnsi="Palatino Linotype" w:cs="Arial"/>
        </w:rPr>
        <w:t xml:space="preserve"> </w:t>
      </w:r>
    </w:p>
    <w:p w14:paraId="72E9E233" w14:textId="77777777" w:rsidR="00683B9C" w:rsidRDefault="00683B9C" w:rsidP="007B4FF6">
      <w:pPr>
        <w:autoSpaceDE w:val="0"/>
        <w:autoSpaceDN w:val="0"/>
        <w:adjustRightInd w:val="0"/>
        <w:spacing w:line="360" w:lineRule="auto"/>
        <w:jc w:val="both"/>
        <w:rPr>
          <w:rFonts w:ascii="Palatino Linotype" w:hAnsi="Palatino Linotype"/>
          <w:b/>
        </w:rPr>
      </w:pPr>
    </w:p>
    <w:p w14:paraId="1E453C80" w14:textId="77777777" w:rsidR="007B4FF6" w:rsidRPr="000A5028" w:rsidRDefault="007B4FF6" w:rsidP="007B4FF6">
      <w:pPr>
        <w:autoSpaceDE w:val="0"/>
        <w:autoSpaceDN w:val="0"/>
        <w:adjustRightInd w:val="0"/>
        <w:spacing w:line="360" w:lineRule="auto"/>
        <w:jc w:val="both"/>
        <w:rPr>
          <w:rFonts w:ascii="Palatino Linotype" w:hAnsi="Palatino Linotype" w:cs="Arial"/>
        </w:rPr>
      </w:pPr>
      <w:r w:rsidRPr="002135E4">
        <w:rPr>
          <w:rFonts w:ascii="Palatino Linotype" w:hAnsi="Palatino Linotype"/>
          <w:b/>
        </w:rPr>
        <w:t>Quinto. Versión Pública.</w:t>
      </w:r>
      <w:r>
        <w:rPr>
          <w:rFonts w:ascii="Palatino Linotype" w:hAnsi="Palatino Linotype"/>
          <w:b/>
        </w:rPr>
        <w:t xml:space="preserve"> </w:t>
      </w:r>
      <w:r>
        <w:rPr>
          <w:rFonts w:ascii="Palatino Linotype" w:hAnsi="Palatino Linotype"/>
        </w:rPr>
        <w:t xml:space="preserve">Para la entrega de la información, en razón de que el derecho de acceso a la información pública no es absoluto, </w:t>
      </w:r>
      <w:r>
        <w:rPr>
          <w:rFonts w:ascii="Palatino Linotype" w:hAnsi="Palatino Linotype" w:cs="Arial"/>
        </w:rPr>
        <w:t xml:space="preserve">sino que encuentra como excepciones que la información sobre la cual se peticiona el acceso, sea o contenga datos que deban ser clasificados en los términos que la misma Ley de la Materia señala, el Sujeto Obligado </w:t>
      </w:r>
      <w:r>
        <w:rPr>
          <w:rFonts w:ascii="Palatino Linotype" w:hAnsi="Palatino Linotype"/>
        </w:rPr>
        <w:t xml:space="preserve">tendrá que hacer la elaboración de una versión pública de los documentos que vaya entregar para dar cumplimiento a esta resolución, a fin de </w:t>
      </w:r>
      <w:r>
        <w:rPr>
          <w:rFonts w:ascii="Palatino Linotype" w:hAnsi="Palatino Linotype"/>
        </w:rPr>
        <w:lastRenderedPageBreak/>
        <w:t>satisfacer el derecho de acceso a la información pública de la recurrente sin menoscabar el derecho a la protección de los datos personales de terceros.</w:t>
      </w:r>
    </w:p>
    <w:p w14:paraId="612EC979" w14:textId="77777777" w:rsidR="007B4FF6" w:rsidRDefault="007B4FF6" w:rsidP="007B4FF6">
      <w:pPr>
        <w:spacing w:before="240" w:after="240" w:line="360" w:lineRule="auto"/>
        <w:contextualSpacing/>
        <w:jc w:val="both"/>
        <w:rPr>
          <w:rFonts w:ascii="Palatino Linotype" w:hAnsi="Palatino Linotype"/>
        </w:rPr>
      </w:pPr>
    </w:p>
    <w:p w14:paraId="5AF41207" w14:textId="2DFB1347" w:rsidR="007B4FF6" w:rsidRDefault="007B4FF6" w:rsidP="007B4FF6">
      <w:pPr>
        <w:autoSpaceDE w:val="0"/>
        <w:autoSpaceDN w:val="0"/>
        <w:adjustRightInd w:val="0"/>
        <w:spacing w:before="240" w:after="240" w:line="360" w:lineRule="auto"/>
        <w:ind w:right="50"/>
        <w:jc w:val="both"/>
        <w:rPr>
          <w:rFonts w:ascii="Palatino Linotype" w:hAnsi="Palatino Linotype" w:cs="Arial"/>
        </w:rPr>
      </w:pPr>
      <w:r>
        <w:rPr>
          <w:rFonts w:ascii="Palatino Linotype" w:hAnsi="Palatino Linotype" w:cs="Arial"/>
        </w:rPr>
        <w:t>Lo anterior, de conformidad a lo que señalan los artículos 3, fracciones IX, XX, XXXII, XLV; 6, 137 y 143 fracción I, de la Ley de Transparencia y Acceso a la Información Pública del Estado de México y Municipios vigente, que se leen como sigue:</w:t>
      </w:r>
    </w:p>
    <w:p w14:paraId="141F4517" w14:textId="77777777" w:rsidR="002135E4" w:rsidRDefault="002135E4" w:rsidP="007B4FF6">
      <w:pPr>
        <w:autoSpaceDE w:val="0"/>
        <w:autoSpaceDN w:val="0"/>
        <w:adjustRightInd w:val="0"/>
        <w:spacing w:before="240" w:after="240" w:line="360" w:lineRule="auto"/>
        <w:ind w:right="50"/>
        <w:jc w:val="both"/>
        <w:rPr>
          <w:rFonts w:ascii="Palatino Linotype" w:hAnsi="Palatino Linotype" w:cs="Arial"/>
        </w:rPr>
      </w:pPr>
    </w:p>
    <w:p w14:paraId="60648609" w14:textId="77777777" w:rsidR="007B4FF6" w:rsidRDefault="007B4FF6" w:rsidP="007B4FF6">
      <w:pPr>
        <w:autoSpaceDE w:val="0"/>
        <w:autoSpaceDN w:val="0"/>
        <w:adjustRightInd w:val="0"/>
        <w:ind w:left="993" w:right="1041"/>
        <w:jc w:val="both"/>
        <w:rPr>
          <w:rFonts w:ascii="Palatino Linotype" w:hAnsi="Palatino Linotype" w:cs="Arial"/>
          <w:b/>
          <w:i/>
          <w:sz w:val="22"/>
          <w:szCs w:val="22"/>
        </w:rPr>
      </w:pPr>
      <w:r>
        <w:rPr>
          <w:rFonts w:ascii="Palatino Linotype" w:hAnsi="Palatino Linotype" w:cs="Arial"/>
          <w:b/>
          <w:i/>
          <w:sz w:val="22"/>
          <w:szCs w:val="22"/>
        </w:rPr>
        <w:t xml:space="preserve"> “Artículo 3. Para los efectos de la presente Ley se entenderá por:</w:t>
      </w:r>
    </w:p>
    <w:p w14:paraId="0B76EBE7" w14:textId="77777777" w:rsidR="007B4FF6" w:rsidRDefault="007B4FF6" w:rsidP="007B4FF6">
      <w:pPr>
        <w:autoSpaceDE w:val="0"/>
        <w:autoSpaceDN w:val="0"/>
        <w:adjustRightInd w:val="0"/>
        <w:ind w:left="993" w:right="1041"/>
        <w:jc w:val="both"/>
        <w:rPr>
          <w:rFonts w:ascii="Palatino Linotype" w:hAnsi="Palatino Linotype" w:cs="Arial"/>
          <w:i/>
          <w:sz w:val="22"/>
          <w:szCs w:val="22"/>
        </w:rPr>
      </w:pPr>
      <w:r>
        <w:rPr>
          <w:rFonts w:ascii="Palatino Linotype" w:hAnsi="Palatino Linotype" w:cs="Arial"/>
          <w:b/>
          <w:i/>
          <w:sz w:val="22"/>
          <w:szCs w:val="22"/>
        </w:rPr>
        <w:t>IX. Datos personales:</w:t>
      </w:r>
      <w:r>
        <w:rPr>
          <w:rFonts w:ascii="Palatino Linotype" w:hAnsi="Palatino Linotype" w:cs="Arial"/>
          <w:i/>
          <w:sz w:val="22"/>
          <w:szCs w:val="22"/>
        </w:rPr>
        <w:t xml:space="preserve"> </w:t>
      </w:r>
      <w:r>
        <w:rPr>
          <w:rFonts w:ascii="Palatino Linotype" w:hAnsi="Palatino Linotype" w:cs="Arial"/>
          <w:b/>
          <w:i/>
          <w:sz w:val="22"/>
          <w:szCs w:val="22"/>
        </w:rPr>
        <w:t>La información concerniente a una persona, identificada o identificable</w:t>
      </w:r>
      <w:r>
        <w:rPr>
          <w:rFonts w:ascii="Palatino Linotype" w:hAnsi="Palatino Linotype" w:cs="Arial"/>
          <w:i/>
          <w:sz w:val="22"/>
          <w:szCs w:val="22"/>
        </w:rPr>
        <w:t xml:space="preserve"> según lo dispuesto por la Ley de Protección de Datos Personales del Estado de México;</w:t>
      </w:r>
    </w:p>
    <w:p w14:paraId="6C44AE38" w14:textId="77777777" w:rsidR="007B4FF6" w:rsidRDefault="007B4FF6" w:rsidP="007B4FF6">
      <w:pPr>
        <w:autoSpaceDE w:val="0"/>
        <w:autoSpaceDN w:val="0"/>
        <w:adjustRightInd w:val="0"/>
        <w:ind w:left="993" w:right="1041"/>
        <w:jc w:val="both"/>
        <w:rPr>
          <w:rFonts w:ascii="Palatino Linotype" w:hAnsi="Palatino Linotype" w:cs="Arial"/>
          <w:i/>
          <w:sz w:val="22"/>
          <w:szCs w:val="22"/>
        </w:rPr>
      </w:pPr>
      <w:r>
        <w:rPr>
          <w:rFonts w:ascii="Palatino Linotype" w:hAnsi="Palatino Linotype" w:cs="Arial"/>
          <w:b/>
          <w:i/>
          <w:sz w:val="22"/>
          <w:szCs w:val="22"/>
        </w:rPr>
        <w:t>XX. Información clasificada:</w:t>
      </w:r>
      <w:r>
        <w:rPr>
          <w:rFonts w:ascii="Palatino Linotype" w:hAnsi="Palatino Linotype" w:cs="Arial"/>
          <w:i/>
          <w:sz w:val="22"/>
          <w:szCs w:val="22"/>
        </w:rPr>
        <w:t xml:space="preserve"> Aquella considerada por la presente Ley como reservada o confidencial;</w:t>
      </w:r>
    </w:p>
    <w:p w14:paraId="21DC881E" w14:textId="77777777" w:rsidR="007B4FF6" w:rsidRDefault="007B4FF6" w:rsidP="007B4FF6">
      <w:pPr>
        <w:autoSpaceDE w:val="0"/>
        <w:autoSpaceDN w:val="0"/>
        <w:adjustRightInd w:val="0"/>
        <w:ind w:left="993" w:right="1041"/>
        <w:jc w:val="both"/>
        <w:rPr>
          <w:rFonts w:ascii="Palatino Linotype" w:hAnsi="Palatino Linotype"/>
          <w:i/>
          <w:sz w:val="22"/>
          <w:szCs w:val="22"/>
        </w:rPr>
      </w:pPr>
      <w:r>
        <w:rPr>
          <w:rFonts w:ascii="Palatino Linotype" w:hAnsi="Palatino Linotype"/>
          <w:b/>
          <w:i/>
          <w:sz w:val="22"/>
          <w:szCs w:val="22"/>
        </w:rPr>
        <w:t>XXXII. Protección de Datos Personales:</w:t>
      </w:r>
      <w:r>
        <w:rPr>
          <w:rFonts w:ascii="Palatino Linotype" w:hAnsi="Palatino Linotype"/>
          <w:i/>
          <w:sz w:val="22"/>
          <w:szCs w:val="22"/>
        </w:rPr>
        <w:t xml:space="preserve"> Derecho humano que tutela la privacidad de datos personales en poder de los sujetos obligados y sujetos particulares;</w:t>
      </w:r>
    </w:p>
    <w:p w14:paraId="245E9E6C" w14:textId="77777777" w:rsidR="007B4FF6" w:rsidRDefault="007B4FF6" w:rsidP="007B4FF6">
      <w:pPr>
        <w:autoSpaceDE w:val="0"/>
        <w:autoSpaceDN w:val="0"/>
        <w:adjustRightInd w:val="0"/>
        <w:ind w:left="993" w:right="1041"/>
        <w:jc w:val="both"/>
        <w:rPr>
          <w:rFonts w:ascii="Palatino Linotype" w:hAnsi="Palatino Linotype" w:cs="Arial"/>
          <w:i/>
          <w:sz w:val="22"/>
          <w:szCs w:val="22"/>
        </w:rPr>
      </w:pPr>
      <w:r>
        <w:rPr>
          <w:rFonts w:ascii="Palatino Linotype" w:hAnsi="Palatino Linotype" w:cs="Arial"/>
          <w:b/>
          <w:i/>
          <w:sz w:val="22"/>
          <w:szCs w:val="22"/>
        </w:rPr>
        <w:t>XLV. Versión pública</w:t>
      </w:r>
      <w:r>
        <w:rPr>
          <w:rFonts w:ascii="Palatino Linotype" w:hAnsi="Palatino Linotype" w:cs="Arial"/>
          <w:i/>
          <w:sz w:val="22"/>
          <w:szCs w:val="22"/>
        </w:rPr>
        <w:t>: Documento en el que se elimine, suprime o borra la información clasificada como reservada o confidencial para permitir su acceso.”</w:t>
      </w:r>
    </w:p>
    <w:p w14:paraId="5CF05F90" w14:textId="77777777" w:rsidR="007B4FF6" w:rsidRDefault="007B4FF6" w:rsidP="007B4FF6">
      <w:pPr>
        <w:autoSpaceDE w:val="0"/>
        <w:autoSpaceDN w:val="0"/>
        <w:adjustRightInd w:val="0"/>
        <w:ind w:left="993" w:right="1041"/>
        <w:jc w:val="both"/>
        <w:rPr>
          <w:rFonts w:ascii="Palatino Linotype" w:hAnsi="Palatino Linotype" w:cs="Arial"/>
          <w:i/>
          <w:sz w:val="22"/>
          <w:szCs w:val="22"/>
        </w:rPr>
      </w:pPr>
    </w:p>
    <w:p w14:paraId="0C8EF859" w14:textId="77777777" w:rsidR="007B4FF6" w:rsidRDefault="007B4FF6" w:rsidP="007B4FF6">
      <w:pPr>
        <w:ind w:left="993" w:right="1041"/>
        <w:contextualSpacing/>
        <w:jc w:val="both"/>
        <w:rPr>
          <w:rFonts w:ascii="Palatino Linotype" w:hAnsi="Palatino Linotype"/>
          <w:i/>
          <w:sz w:val="22"/>
          <w:szCs w:val="22"/>
        </w:rPr>
      </w:pPr>
      <w:r>
        <w:rPr>
          <w:rFonts w:ascii="Palatino Linotype" w:hAnsi="Palatino Linotype"/>
          <w:b/>
          <w:i/>
          <w:sz w:val="22"/>
          <w:szCs w:val="22"/>
        </w:rPr>
        <w:t>“Artículo 6.</w:t>
      </w:r>
      <w:r>
        <w:rPr>
          <w:rFonts w:ascii="Palatino Linotype" w:hAnsi="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63DA2A6C" w14:textId="77777777" w:rsidR="007B4FF6" w:rsidRDefault="007B4FF6" w:rsidP="007B4FF6">
      <w:pPr>
        <w:ind w:left="993" w:right="1041"/>
        <w:contextualSpacing/>
        <w:jc w:val="both"/>
        <w:rPr>
          <w:rFonts w:ascii="Palatino Linotype" w:hAnsi="Palatino Linotype" w:cs="Arial"/>
          <w:bCs/>
          <w:i/>
          <w:noProof/>
          <w:sz w:val="22"/>
          <w:szCs w:val="22"/>
        </w:rPr>
      </w:pPr>
    </w:p>
    <w:p w14:paraId="439A6500" w14:textId="77777777" w:rsidR="007B4FF6" w:rsidRDefault="007B4FF6" w:rsidP="007B4FF6">
      <w:pPr>
        <w:spacing w:before="240"/>
        <w:ind w:left="993" w:right="1041"/>
        <w:contextualSpacing/>
        <w:jc w:val="both"/>
        <w:rPr>
          <w:rFonts w:ascii="Palatino Linotype" w:hAnsi="Palatino Linotype" w:cs="Arial"/>
          <w:b/>
          <w:bCs/>
          <w:i/>
          <w:noProof/>
          <w:sz w:val="22"/>
          <w:szCs w:val="22"/>
        </w:rPr>
      </w:pPr>
      <w:r>
        <w:rPr>
          <w:rFonts w:ascii="Palatino Linotype" w:hAnsi="Palatino Linotype"/>
          <w:b/>
          <w:i/>
          <w:sz w:val="22"/>
          <w:szCs w:val="22"/>
        </w:rPr>
        <w:t>“Artículo 137.</w:t>
      </w:r>
      <w:r>
        <w:rPr>
          <w:rFonts w:ascii="Palatino Linotype" w:hAnsi="Palatino Linotype"/>
          <w:i/>
          <w:sz w:val="22"/>
          <w:szCs w:val="22"/>
        </w:rPr>
        <w:t xml:space="preserve"> Cuando un mismo medio, impreso o electrónico, contenga información pública y reservada o confidencial, la Unidad de Transparencia para efectos de atender una solicitud de información, deberán elaborar una </w:t>
      </w:r>
      <w:r>
        <w:rPr>
          <w:rFonts w:ascii="Palatino Linotype" w:hAnsi="Palatino Linotype"/>
          <w:i/>
          <w:sz w:val="22"/>
          <w:szCs w:val="22"/>
        </w:rPr>
        <w:lastRenderedPageBreak/>
        <w:t>versión pública en la que se testen las partes o secciones clasificadas, indicando su contenido de manera genérica y fundando y motivando su clasificación.”</w:t>
      </w:r>
    </w:p>
    <w:p w14:paraId="15217CD5" w14:textId="77777777" w:rsidR="007B4FF6" w:rsidRDefault="007B4FF6" w:rsidP="007B4FF6">
      <w:pPr>
        <w:spacing w:before="240"/>
        <w:ind w:left="993" w:right="1041"/>
        <w:contextualSpacing/>
        <w:jc w:val="both"/>
        <w:rPr>
          <w:rFonts w:ascii="Palatino Linotype" w:hAnsi="Palatino Linotype" w:cs="Arial"/>
          <w:b/>
          <w:bCs/>
          <w:i/>
          <w:noProof/>
          <w:sz w:val="22"/>
          <w:szCs w:val="22"/>
        </w:rPr>
      </w:pPr>
    </w:p>
    <w:p w14:paraId="40BEA3F6" w14:textId="77777777" w:rsidR="007B4FF6" w:rsidRDefault="007B4FF6" w:rsidP="007B4FF6">
      <w:pPr>
        <w:spacing w:before="240"/>
        <w:ind w:left="993" w:right="1041"/>
        <w:contextualSpacing/>
        <w:jc w:val="both"/>
        <w:rPr>
          <w:rFonts w:ascii="Palatino Linotype" w:hAnsi="Palatino Linotype"/>
          <w:i/>
          <w:sz w:val="22"/>
          <w:szCs w:val="22"/>
        </w:rPr>
      </w:pPr>
      <w:r>
        <w:rPr>
          <w:rFonts w:ascii="Palatino Linotype" w:hAnsi="Palatino Linotype"/>
          <w:b/>
          <w:i/>
          <w:sz w:val="22"/>
          <w:szCs w:val="22"/>
        </w:rPr>
        <w:t>“Artículo 143</w:t>
      </w:r>
      <w:r>
        <w:rPr>
          <w:rFonts w:ascii="Palatino Linotype" w:hAnsi="Palatino Linotype"/>
          <w:i/>
          <w:sz w:val="22"/>
          <w:szCs w:val="22"/>
        </w:rPr>
        <w:t>. Para los efectos de esta Ley se considera información confidencial, la clasificada como tal, de manera permanente, por su naturaleza, cuando:</w:t>
      </w:r>
    </w:p>
    <w:p w14:paraId="6CA4F120" w14:textId="77777777" w:rsidR="007B4FF6" w:rsidRDefault="007B4FF6" w:rsidP="007B4FF6">
      <w:pPr>
        <w:spacing w:before="240"/>
        <w:ind w:left="993" w:right="1041"/>
        <w:contextualSpacing/>
        <w:jc w:val="both"/>
        <w:rPr>
          <w:rFonts w:ascii="Palatino Linotype" w:hAnsi="Palatino Linotype"/>
          <w:i/>
          <w:sz w:val="22"/>
          <w:szCs w:val="22"/>
        </w:rPr>
      </w:pPr>
      <w:r>
        <w:rPr>
          <w:rFonts w:ascii="Palatino Linotype" w:hAnsi="Palatino Linotype"/>
          <w:b/>
          <w:i/>
          <w:sz w:val="22"/>
          <w:szCs w:val="22"/>
        </w:rPr>
        <w:t>I.</w:t>
      </w:r>
      <w:r>
        <w:rPr>
          <w:rFonts w:ascii="Palatino Linotype" w:hAnsi="Palatino Linotype"/>
          <w:i/>
          <w:sz w:val="22"/>
          <w:szCs w:val="22"/>
        </w:rPr>
        <w:t xml:space="preserve"> Se refiera a la información privada y los datos personales concernientes a una persona física o jurídica colectiva identificada o identificable;</w:t>
      </w:r>
    </w:p>
    <w:p w14:paraId="0EC353E3" w14:textId="77777777" w:rsidR="007B4FF6" w:rsidRDefault="007B4FF6" w:rsidP="007B4FF6">
      <w:pPr>
        <w:spacing w:before="240"/>
        <w:ind w:left="993" w:right="1041"/>
        <w:contextualSpacing/>
        <w:jc w:val="both"/>
        <w:rPr>
          <w:rFonts w:ascii="Palatino Linotype" w:hAnsi="Palatino Linotype"/>
          <w:i/>
          <w:sz w:val="22"/>
          <w:szCs w:val="22"/>
        </w:rPr>
      </w:pPr>
      <w:r>
        <w:rPr>
          <w:rFonts w:ascii="Palatino Linotype" w:hAnsi="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7675D74B" w14:textId="77777777" w:rsidR="007B4FF6" w:rsidRDefault="007B4FF6" w:rsidP="007B4FF6">
      <w:pPr>
        <w:spacing w:before="240"/>
        <w:ind w:left="993" w:right="1041"/>
        <w:contextualSpacing/>
        <w:jc w:val="both"/>
        <w:rPr>
          <w:rFonts w:ascii="Palatino Linotype" w:hAnsi="Palatino Linotype"/>
          <w:i/>
          <w:sz w:val="22"/>
          <w:szCs w:val="22"/>
        </w:rPr>
      </w:pPr>
      <w:r>
        <w:rPr>
          <w:rFonts w:ascii="Palatino Linotype" w:hAnsi="Palatino Linotype"/>
          <w:i/>
          <w:sz w:val="22"/>
          <w:szCs w:val="22"/>
        </w:rPr>
        <w:t>III. La que presenten los particulares a los sujetos obligados, de conformidad con lo dispuesto por las leyes o los tratados internacionales.” (Sic)</w:t>
      </w:r>
    </w:p>
    <w:p w14:paraId="21D1626B" w14:textId="77777777" w:rsidR="007B4FF6" w:rsidRDefault="007B4FF6" w:rsidP="007B4FF6">
      <w:pPr>
        <w:spacing w:before="240"/>
        <w:ind w:left="993" w:right="1041"/>
        <w:contextualSpacing/>
        <w:jc w:val="both"/>
        <w:rPr>
          <w:rFonts w:ascii="Palatino Linotype" w:hAnsi="Palatino Linotype"/>
          <w:i/>
          <w:sz w:val="22"/>
          <w:szCs w:val="22"/>
        </w:rPr>
      </w:pPr>
    </w:p>
    <w:p w14:paraId="78B9543F" w14:textId="77777777" w:rsidR="007B4FF6" w:rsidRDefault="007B4FF6" w:rsidP="007B4FF6">
      <w:pPr>
        <w:autoSpaceDE w:val="0"/>
        <w:autoSpaceDN w:val="0"/>
        <w:adjustRightInd w:val="0"/>
        <w:spacing w:before="240" w:after="240" w:line="360" w:lineRule="auto"/>
        <w:ind w:right="51"/>
        <w:contextualSpacing/>
        <w:jc w:val="both"/>
        <w:rPr>
          <w:rFonts w:ascii="Palatino Linotype" w:hAnsi="Palatino Linotype" w:cs="Arial"/>
        </w:rPr>
      </w:pPr>
      <w:r>
        <w:rPr>
          <w:rFonts w:ascii="Palatino Linotype" w:hAnsi="Palatino Linotype" w:cs="Arial"/>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78E1E99F" w14:textId="77777777" w:rsidR="007B4FF6" w:rsidRDefault="007B4FF6" w:rsidP="007B4FF6">
      <w:pPr>
        <w:autoSpaceDE w:val="0"/>
        <w:autoSpaceDN w:val="0"/>
        <w:adjustRightInd w:val="0"/>
        <w:spacing w:before="240" w:after="240" w:line="360" w:lineRule="auto"/>
        <w:ind w:right="51"/>
        <w:contextualSpacing/>
        <w:jc w:val="both"/>
        <w:rPr>
          <w:rFonts w:ascii="Palatino Linotype" w:hAnsi="Palatino Linotype" w:cs="Arial"/>
        </w:rPr>
      </w:pPr>
    </w:p>
    <w:p w14:paraId="0DCC78F8" w14:textId="77777777" w:rsidR="007B4FF6" w:rsidRDefault="007B4FF6" w:rsidP="007B4FF6">
      <w:pPr>
        <w:autoSpaceDE w:val="0"/>
        <w:autoSpaceDN w:val="0"/>
        <w:adjustRightInd w:val="0"/>
        <w:spacing w:before="240" w:after="240" w:line="360" w:lineRule="auto"/>
        <w:ind w:right="50"/>
        <w:contextualSpacing/>
        <w:jc w:val="both"/>
        <w:rPr>
          <w:rFonts w:ascii="Palatino Linotype" w:hAnsi="Palatino Linotype" w:cs="Arial"/>
        </w:rPr>
      </w:pPr>
      <w:r>
        <w:rPr>
          <w:rFonts w:ascii="Palatino Linotype" w:hAnsi="Palatino Linotype" w:cs="Arial"/>
        </w:rPr>
        <w:lastRenderedPageBreak/>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78496D79" w14:textId="77777777" w:rsidR="007B4FF6" w:rsidRDefault="007B4FF6" w:rsidP="007B4FF6">
      <w:pPr>
        <w:autoSpaceDE w:val="0"/>
        <w:autoSpaceDN w:val="0"/>
        <w:adjustRightInd w:val="0"/>
        <w:spacing w:before="240" w:after="240" w:line="360" w:lineRule="auto"/>
        <w:ind w:right="50"/>
        <w:contextualSpacing/>
        <w:jc w:val="both"/>
        <w:rPr>
          <w:rFonts w:ascii="Palatino Linotype" w:hAnsi="Palatino Linotype" w:cs="Arial"/>
        </w:rPr>
      </w:pPr>
    </w:p>
    <w:p w14:paraId="33F9C1AE" w14:textId="77777777" w:rsidR="007B4FF6" w:rsidRDefault="007B4FF6" w:rsidP="007B4FF6">
      <w:pPr>
        <w:autoSpaceDE w:val="0"/>
        <w:autoSpaceDN w:val="0"/>
        <w:adjustRightInd w:val="0"/>
        <w:spacing w:before="240" w:after="240" w:line="360" w:lineRule="auto"/>
        <w:ind w:right="51"/>
        <w:contextualSpacing/>
        <w:jc w:val="both"/>
        <w:rPr>
          <w:rFonts w:ascii="Palatino Linotype" w:hAnsi="Palatino Linotype" w:cs="Arial"/>
        </w:rPr>
      </w:pPr>
      <w:r>
        <w:rPr>
          <w:rFonts w:ascii="Palatino Linotype" w:hAnsi="Palatino Linotype" w:cs="Arial"/>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0F87FA78" w14:textId="77777777" w:rsidR="007B4FF6" w:rsidRDefault="007B4FF6" w:rsidP="007B4FF6">
      <w:pPr>
        <w:autoSpaceDE w:val="0"/>
        <w:autoSpaceDN w:val="0"/>
        <w:adjustRightInd w:val="0"/>
        <w:spacing w:before="240" w:after="240" w:line="360" w:lineRule="auto"/>
        <w:ind w:right="51"/>
        <w:contextualSpacing/>
        <w:jc w:val="both"/>
        <w:rPr>
          <w:rFonts w:ascii="Palatino Linotype" w:hAnsi="Palatino Linotype" w:cs="Arial"/>
        </w:rPr>
      </w:pPr>
    </w:p>
    <w:p w14:paraId="6EA0814B" w14:textId="77777777" w:rsidR="007B4FF6" w:rsidRDefault="007B4FF6" w:rsidP="007B4FF6">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“Artículo 49.</w:t>
      </w:r>
      <w:r>
        <w:rPr>
          <w:rFonts w:ascii="Palatino Linotype" w:hAnsi="Palatino Linotype"/>
          <w:i/>
          <w:sz w:val="22"/>
          <w:szCs w:val="22"/>
        </w:rPr>
        <w:t xml:space="preserve"> </w:t>
      </w:r>
      <w:r>
        <w:rPr>
          <w:rFonts w:ascii="Palatino Linotype" w:hAnsi="Palatino Linotype"/>
          <w:b/>
          <w:i/>
          <w:sz w:val="22"/>
          <w:szCs w:val="22"/>
        </w:rPr>
        <w:t>Los Comités de Transparencia</w:t>
      </w:r>
      <w:r>
        <w:rPr>
          <w:rFonts w:ascii="Palatino Linotype" w:hAnsi="Palatino Linotype"/>
          <w:i/>
          <w:sz w:val="22"/>
          <w:szCs w:val="22"/>
        </w:rPr>
        <w:t xml:space="preserve"> tendrán las siguientes atribuciones:</w:t>
      </w:r>
    </w:p>
    <w:p w14:paraId="1E8D00D3" w14:textId="77777777" w:rsidR="007B4FF6" w:rsidRDefault="007B4FF6" w:rsidP="007B4FF6">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VIII. Aprobar, modificar o revocar la clasificación de la información</w:t>
      </w:r>
      <w:r>
        <w:rPr>
          <w:rFonts w:ascii="Palatino Linotype" w:hAnsi="Palatino Linotype"/>
          <w:i/>
          <w:sz w:val="22"/>
          <w:szCs w:val="22"/>
        </w:rPr>
        <w:t>…”</w:t>
      </w:r>
    </w:p>
    <w:p w14:paraId="22656BC1" w14:textId="77777777" w:rsidR="007B4FF6" w:rsidRDefault="007B4FF6" w:rsidP="007B4FF6">
      <w:pPr>
        <w:spacing w:before="240" w:after="240"/>
        <w:ind w:left="992" w:right="1043"/>
        <w:contextualSpacing/>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Artículo 53.</w:t>
      </w:r>
      <w:r>
        <w:rPr>
          <w:rFonts w:ascii="Palatino Linotype" w:hAnsi="Palatino Linotype"/>
          <w:i/>
          <w:sz w:val="22"/>
          <w:szCs w:val="22"/>
        </w:rPr>
        <w:t xml:space="preserve"> Las </w:t>
      </w:r>
      <w:r>
        <w:rPr>
          <w:rFonts w:ascii="Palatino Linotype" w:hAnsi="Palatino Linotype"/>
          <w:b/>
          <w:i/>
          <w:sz w:val="22"/>
          <w:szCs w:val="22"/>
        </w:rPr>
        <w:t>Unidades de Transparencia</w:t>
      </w:r>
      <w:r>
        <w:rPr>
          <w:rFonts w:ascii="Palatino Linotype" w:hAnsi="Palatino Linotype"/>
          <w:i/>
          <w:sz w:val="22"/>
          <w:szCs w:val="22"/>
        </w:rPr>
        <w:t xml:space="preserve"> tendrán las siguientes </w:t>
      </w:r>
      <w:r>
        <w:rPr>
          <w:rFonts w:ascii="Palatino Linotype" w:hAnsi="Palatino Linotype"/>
          <w:b/>
          <w:i/>
          <w:sz w:val="22"/>
          <w:szCs w:val="22"/>
        </w:rPr>
        <w:t>funciones</w:t>
      </w:r>
      <w:r>
        <w:rPr>
          <w:rFonts w:ascii="Palatino Linotype" w:hAnsi="Palatino Linotype"/>
          <w:i/>
          <w:sz w:val="22"/>
          <w:szCs w:val="22"/>
        </w:rPr>
        <w:t>:</w:t>
      </w:r>
    </w:p>
    <w:p w14:paraId="27E3A16F" w14:textId="77777777" w:rsidR="007B4FF6" w:rsidRDefault="007B4FF6" w:rsidP="007B4FF6">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X. Presentar ante el Comité, el proyecto de clasificación de información</w:t>
      </w:r>
      <w:r>
        <w:rPr>
          <w:rFonts w:ascii="Palatino Linotype" w:hAnsi="Palatino Linotype"/>
          <w:i/>
          <w:sz w:val="22"/>
          <w:szCs w:val="22"/>
        </w:rPr>
        <w:t xml:space="preserve">…” </w:t>
      </w:r>
    </w:p>
    <w:p w14:paraId="62B4DC64" w14:textId="77777777" w:rsidR="007B4FF6" w:rsidRDefault="007B4FF6" w:rsidP="007B4FF6">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“Artículo 59.</w:t>
      </w:r>
      <w:r>
        <w:rPr>
          <w:rFonts w:ascii="Palatino Linotype" w:hAnsi="Palatino Linotype"/>
          <w:i/>
          <w:sz w:val="22"/>
          <w:szCs w:val="22"/>
        </w:rPr>
        <w:t xml:space="preserve"> Los </w:t>
      </w:r>
      <w:r>
        <w:rPr>
          <w:rFonts w:ascii="Palatino Linotype" w:hAnsi="Palatino Linotype"/>
          <w:b/>
          <w:i/>
          <w:sz w:val="22"/>
          <w:szCs w:val="22"/>
        </w:rPr>
        <w:t>servidores públicos habilitados</w:t>
      </w:r>
      <w:r>
        <w:rPr>
          <w:rFonts w:ascii="Palatino Linotype" w:hAnsi="Palatino Linotype"/>
          <w:i/>
          <w:sz w:val="22"/>
          <w:szCs w:val="22"/>
        </w:rPr>
        <w:t xml:space="preserve"> tendrán las </w:t>
      </w:r>
      <w:r>
        <w:rPr>
          <w:rFonts w:ascii="Palatino Linotype" w:hAnsi="Palatino Linotype"/>
          <w:b/>
          <w:i/>
          <w:sz w:val="22"/>
          <w:szCs w:val="22"/>
        </w:rPr>
        <w:t>funciones</w:t>
      </w:r>
      <w:r>
        <w:rPr>
          <w:rFonts w:ascii="Palatino Linotype" w:hAnsi="Palatino Linotype"/>
          <w:i/>
          <w:sz w:val="22"/>
          <w:szCs w:val="22"/>
        </w:rPr>
        <w:t xml:space="preserve"> siguientes:</w:t>
      </w:r>
    </w:p>
    <w:p w14:paraId="4F77C397" w14:textId="77777777" w:rsidR="007B4FF6" w:rsidRDefault="007B4FF6" w:rsidP="007B4FF6">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V. Integrar y presentar al responsable de la Unidad de Transparencia la propuesta de clasificación de información</w:t>
      </w:r>
      <w:r>
        <w:rPr>
          <w:rFonts w:ascii="Palatino Linotype" w:hAnsi="Palatino Linotype"/>
          <w:i/>
          <w:sz w:val="22"/>
          <w:szCs w:val="22"/>
        </w:rPr>
        <w:t>, la cual tendrá los fundamentos y argumentos en que se basa dicha propuesta…”</w:t>
      </w:r>
    </w:p>
    <w:p w14:paraId="40975AD6" w14:textId="77777777" w:rsidR="007B4FF6" w:rsidRDefault="007B4FF6" w:rsidP="007B4FF6">
      <w:pPr>
        <w:spacing w:before="240" w:after="240"/>
        <w:ind w:left="992" w:right="1043"/>
        <w:contextualSpacing/>
        <w:jc w:val="both"/>
        <w:rPr>
          <w:rFonts w:ascii="Palatino Linotype" w:hAnsi="Palatino Linotype"/>
          <w:i/>
          <w:sz w:val="22"/>
          <w:szCs w:val="22"/>
        </w:rPr>
      </w:pPr>
    </w:p>
    <w:p w14:paraId="09849B90" w14:textId="77777777" w:rsidR="007B4FF6" w:rsidRDefault="007B4FF6" w:rsidP="007B4FF6">
      <w:pPr>
        <w:spacing w:before="240" w:after="240" w:line="360" w:lineRule="auto"/>
        <w:contextualSpacing/>
        <w:jc w:val="both"/>
        <w:rPr>
          <w:rFonts w:ascii="Palatino Linotype" w:hAnsi="Palatino Linotype" w:cs="Arial"/>
        </w:rPr>
      </w:pPr>
      <w:r>
        <w:rPr>
          <w:rFonts w:ascii="Palatino Linotype" w:hAnsi="Palatino Linotype" w:cs="Arial"/>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w:t>
      </w:r>
      <w:r>
        <w:rPr>
          <w:rFonts w:ascii="Palatino Linotype" w:hAnsi="Palatino Linotype" w:cs="Arial"/>
        </w:rPr>
        <w:lastRenderedPageBreak/>
        <w:t>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3F50924B" w14:textId="77777777" w:rsidR="007B4FF6" w:rsidRDefault="007B4FF6" w:rsidP="007B4FF6">
      <w:pPr>
        <w:spacing w:before="240" w:after="240" w:line="360" w:lineRule="auto"/>
        <w:contextualSpacing/>
        <w:jc w:val="both"/>
        <w:rPr>
          <w:rFonts w:ascii="Palatino Linotype" w:hAnsi="Palatino Linotype" w:cs="Arial"/>
        </w:rPr>
      </w:pPr>
    </w:p>
    <w:p w14:paraId="11091CD1" w14:textId="77777777" w:rsidR="007B4FF6" w:rsidRDefault="007B4FF6" w:rsidP="007B4FF6">
      <w:pPr>
        <w:spacing w:before="240" w:after="240" w:line="360" w:lineRule="auto"/>
        <w:contextualSpacing/>
        <w:jc w:val="both"/>
        <w:rPr>
          <w:rFonts w:ascii="Palatino Linotype" w:hAnsi="Palatino Linotype" w:cs="Arial"/>
        </w:rPr>
      </w:pPr>
      <w:r>
        <w:rPr>
          <w:rFonts w:ascii="Palatino Linotype" w:hAnsi="Palatino Linotype" w:cs="Arial"/>
        </w:rPr>
        <w:t>Para lo cual, a su vez en el caso de información de carácter confidencial, se debe atender a lo que señala el artículo 149 de la Ley de Transparencia Local vigente, que se lee como sigue:</w:t>
      </w:r>
    </w:p>
    <w:p w14:paraId="25A3420A" w14:textId="77777777" w:rsidR="007B4FF6" w:rsidRDefault="007B4FF6" w:rsidP="007B4FF6">
      <w:pPr>
        <w:spacing w:before="240" w:after="240" w:line="360" w:lineRule="auto"/>
        <w:contextualSpacing/>
        <w:jc w:val="both"/>
        <w:rPr>
          <w:rFonts w:ascii="Palatino Linotype" w:hAnsi="Palatino Linotype"/>
        </w:rPr>
      </w:pPr>
    </w:p>
    <w:p w14:paraId="03293162" w14:textId="77777777" w:rsidR="007B4FF6" w:rsidRDefault="007B4FF6" w:rsidP="007B4FF6">
      <w:pPr>
        <w:spacing w:before="240" w:after="240"/>
        <w:ind w:left="993" w:right="1041"/>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Artículo 149.</w:t>
      </w:r>
      <w:r>
        <w:rPr>
          <w:rFonts w:ascii="Palatino Linotype" w:hAnsi="Palatino Linotype"/>
          <w:i/>
          <w:sz w:val="22"/>
          <w:szCs w:val="22"/>
        </w:rPr>
        <w:t xml:space="preserve"> El </w:t>
      </w:r>
      <w:r>
        <w:rPr>
          <w:rFonts w:ascii="Palatino Linotype" w:hAnsi="Palatino Linotype"/>
          <w:b/>
          <w:i/>
          <w:sz w:val="22"/>
          <w:szCs w:val="22"/>
        </w:rPr>
        <w:t>acuerdo que clasifique la información como confidencial</w:t>
      </w:r>
      <w:r>
        <w:rPr>
          <w:rFonts w:ascii="Palatino Linotype" w:hAnsi="Palatino Linotype"/>
          <w:i/>
          <w:sz w:val="22"/>
          <w:szCs w:val="22"/>
        </w:rPr>
        <w:t xml:space="preserve"> deberá contener un razonamiento lógico en el que demuestre que la información se encuentra en alguna o algunas de las hipótesis previstas en la presente Ley.”(Sic)</w:t>
      </w:r>
    </w:p>
    <w:p w14:paraId="5E583578" w14:textId="77777777" w:rsidR="007B4FF6" w:rsidRDefault="007B4FF6" w:rsidP="007B4FF6">
      <w:pPr>
        <w:spacing w:before="240" w:after="240"/>
        <w:ind w:left="993" w:right="1041"/>
        <w:jc w:val="both"/>
        <w:rPr>
          <w:rFonts w:ascii="Palatino Linotype" w:hAnsi="Palatino Linotype" w:cs="Arial"/>
          <w:i/>
          <w:sz w:val="22"/>
          <w:szCs w:val="22"/>
        </w:rPr>
      </w:pPr>
    </w:p>
    <w:p w14:paraId="790837A0" w14:textId="77777777" w:rsidR="007B4FF6" w:rsidRDefault="007B4FF6" w:rsidP="007B4FF6">
      <w:pPr>
        <w:spacing w:before="240" w:after="240" w:line="360" w:lineRule="auto"/>
        <w:ind w:right="49"/>
        <w:jc w:val="both"/>
        <w:rPr>
          <w:rFonts w:ascii="Palatino Linotype" w:hAnsi="Palatino Linotype" w:cs="Arial"/>
          <w:lang w:eastAsia="es-CO"/>
        </w:rPr>
      </w:pPr>
      <w:r>
        <w:rPr>
          <w:rFonts w:ascii="Palatino Linotype" w:hAnsi="Palatino Linotype" w:cs="Arial"/>
          <w:lang w:eastAsia="es-CO"/>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4B4AEFB5" w14:textId="77777777" w:rsidR="007B4FF6" w:rsidRDefault="007B4FF6" w:rsidP="007B4FF6">
      <w:pPr>
        <w:autoSpaceDE w:val="0"/>
        <w:autoSpaceDN w:val="0"/>
        <w:adjustRightInd w:val="0"/>
        <w:spacing w:before="240" w:after="240" w:line="360" w:lineRule="auto"/>
        <w:contextualSpacing/>
        <w:jc w:val="both"/>
        <w:rPr>
          <w:rFonts w:ascii="Palatino Linotype" w:hAnsi="Palatino Linotype"/>
        </w:rPr>
      </w:pPr>
      <w:r>
        <w:rPr>
          <w:rFonts w:ascii="Palatino Linotype" w:hAnsi="Palatino Linotype" w:cs="Arial"/>
        </w:rPr>
        <w:t xml:space="preserve">Al respecto, se destaca que la versión pública que elabore el Sujeto Obligado debe cumplir con las formalidades exigidas en la Ley; </w:t>
      </w:r>
      <w:r>
        <w:rPr>
          <w:rFonts w:ascii="Palatino Linotype" w:hAnsi="Palatino Linotype"/>
          <w:lang w:val="es-ES_tradnl"/>
        </w:rPr>
        <w:t xml:space="preserve">es decir, </w:t>
      </w:r>
      <w:r>
        <w:rPr>
          <w:rFonts w:ascii="Palatino Linotype" w:hAnsi="Palatino Linotype"/>
        </w:rPr>
        <w:t xml:space="preserve">resulta necesario que el </w:t>
      </w:r>
      <w:r>
        <w:rPr>
          <w:rFonts w:ascii="Palatino Linotype" w:hAnsi="Palatino Linotype"/>
        </w:rPr>
        <w:lastRenderedPageBreak/>
        <w:t>Comité de Transparencia d</w:t>
      </w:r>
      <w:r>
        <w:rPr>
          <w:rFonts w:ascii="Palatino Linotype" w:hAnsi="Palatino Linotype"/>
          <w:lang w:val="es-ES_tradnl"/>
        </w:rPr>
        <w:t xml:space="preserve">el Sujeto Obligado </w:t>
      </w:r>
      <w:r>
        <w:rPr>
          <w:rFonts w:ascii="Palatino Linotype" w:hAnsi="Palatino Linotype"/>
        </w:rPr>
        <w:t>emita el Acuerdo de Clasificación correspondiente</w:t>
      </w:r>
      <w:r>
        <w:rPr>
          <w:rFonts w:ascii="Palatino Linotype" w:hAnsi="Palatino Linotype"/>
          <w:lang w:val="es-ES_tradnl"/>
        </w:rPr>
        <w:t xml:space="preserve"> debidamente fundado y motivado, </w:t>
      </w:r>
      <w:r>
        <w:rPr>
          <w:rFonts w:ascii="Palatino Linotype" w:hAnsi="Palatino Linotype"/>
        </w:rPr>
        <w:t xml:space="preserve">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Pr>
          <w:rFonts w:ascii="Palatino Linotype" w:hAnsi="Palatino Linotype"/>
          <w:b/>
        </w:rPr>
        <w:t>LINEAMIENTOS GENERALES EN MATERIA DE CLASIFICACIÓN Y DESCLASIFICACIÓN DE LA INFORMACIÓN, ASÍ COMO PARA LA ELABORACIÓN DE VERSIONES PÚBLICAS</w:t>
      </w:r>
      <w:r>
        <w:rPr>
          <w:rFonts w:ascii="Palatino Linotype" w:hAnsi="Palatino Linotype"/>
        </w:rPr>
        <w:t xml:space="preserve">, publicados en el Diario Oficial de la Federación en fecha quince de abril del año dos mil dieciséis, mediante Acuerdo del Consejo Nacional del Sistema Nacional de Transparencia, Acceso a la Información Pública y Protección de Datos Personales, </w:t>
      </w:r>
      <w:r>
        <w:rPr>
          <w:rFonts w:ascii="Palatino Linotype" w:hAnsi="Palatino Linotype" w:cs="Arial"/>
          <w:lang w:val="es-ES_tradnl"/>
        </w:rPr>
        <w:t>que literalmente expresan:</w:t>
      </w:r>
    </w:p>
    <w:p w14:paraId="14DAD2E4" w14:textId="77777777" w:rsidR="007B4FF6" w:rsidRDefault="007B4FF6" w:rsidP="007B4FF6">
      <w:pPr>
        <w:spacing w:before="360" w:after="160"/>
        <w:ind w:left="709" w:right="709"/>
        <w:contextualSpacing/>
        <w:jc w:val="both"/>
        <w:rPr>
          <w:rFonts w:ascii="Palatino Linotype" w:hAnsi="Palatino Linotype" w:cs="Arial"/>
          <w:b/>
          <w:i/>
          <w:sz w:val="22"/>
          <w:szCs w:val="22"/>
          <w:lang w:eastAsia="es-MX"/>
        </w:rPr>
      </w:pPr>
    </w:p>
    <w:p w14:paraId="29D92A07" w14:textId="77777777" w:rsidR="007B4FF6" w:rsidRDefault="007B4FF6" w:rsidP="007B4FF6">
      <w:pPr>
        <w:spacing w:before="360" w:after="160"/>
        <w:ind w:left="709" w:right="709"/>
        <w:contextualSpacing/>
        <w:jc w:val="both"/>
        <w:rPr>
          <w:rFonts w:ascii="Palatino Linotype" w:hAnsi="Palatino Linotype" w:cs="Arial"/>
          <w:b/>
          <w:i/>
          <w:sz w:val="22"/>
          <w:szCs w:val="22"/>
        </w:rPr>
      </w:pPr>
      <w:r>
        <w:rPr>
          <w:rFonts w:ascii="Palatino Linotype" w:hAnsi="Palatino Linotype" w:cs="Arial"/>
          <w:b/>
          <w:i/>
          <w:sz w:val="22"/>
          <w:szCs w:val="22"/>
          <w:lang w:eastAsia="es-MX"/>
        </w:rPr>
        <w:t xml:space="preserve">Lineamientos Generales en materia de Clasificación y Desclasificación de la </w:t>
      </w:r>
      <w:r>
        <w:rPr>
          <w:rFonts w:ascii="Palatino Linotype" w:hAnsi="Palatino Linotype" w:cs="Arial"/>
          <w:b/>
          <w:i/>
          <w:sz w:val="22"/>
          <w:szCs w:val="22"/>
        </w:rPr>
        <w:t>Información, así como para la elaboración de Versiones Públicas</w:t>
      </w:r>
    </w:p>
    <w:p w14:paraId="0B2E2709" w14:textId="77777777" w:rsidR="007B4FF6" w:rsidRDefault="007B4FF6" w:rsidP="007B4FF6">
      <w:pPr>
        <w:spacing w:before="3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w:t>
      </w:r>
      <w:r>
        <w:rPr>
          <w:rFonts w:ascii="Palatino Linotype" w:hAnsi="Palatino Linotype" w:cs="Arial"/>
          <w:b/>
          <w:i/>
          <w:sz w:val="22"/>
          <w:szCs w:val="22"/>
          <w:lang w:eastAsia="es-MX"/>
        </w:rPr>
        <w:t>Segundo.-</w:t>
      </w:r>
      <w:r>
        <w:rPr>
          <w:rFonts w:ascii="Palatino Linotype" w:hAnsi="Palatino Linotype" w:cs="Arial"/>
          <w:i/>
          <w:sz w:val="22"/>
          <w:szCs w:val="22"/>
          <w:lang w:eastAsia="es-MX"/>
        </w:rPr>
        <w:t xml:space="preserve"> Para efectos de los </w:t>
      </w:r>
      <w:r>
        <w:rPr>
          <w:rFonts w:ascii="Palatino Linotype" w:hAnsi="Palatino Linotype" w:cs="Arial"/>
          <w:i/>
          <w:sz w:val="22"/>
          <w:szCs w:val="22"/>
        </w:rPr>
        <w:t>presentes</w:t>
      </w:r>
      <w:r>
        <w:rPr>
          <w:rFonts w:ascii="Palatino Linotype" w:hAnsi="Palatino Linotype" w:cs="Arial"/>
          <w:i/>
          <w:sz w:val="22"/>
          <w:szCs w:val="22"/>
          <w:lang w:eastAsia="es-MX"/>
        </w:rPr>
        <w:t xml:space="preserve"> Lineamientos Generales, se entenderá por:</w:t>
      </w:r>
    </w:p>
    <w:p w14:paraId="049C4B9B" w14:textId="77777777"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XVIII.</w:t>
      </w:r>
      <w:r>
        <w:rPr>
          <w:rFonts w:ascii="Palatino Linotype" w:hAnsi="Palatino Linotype" w:cs="Arial"/>
          <w:i/>
          <w:sz w:val="22"/>
          <w:szCs w:val="22"/>
          <w:lang w:eastAsia="es-MX"/>
        </w:rPr>
        <w:t xml:space="preserve"> </w:t>
      </w:r>
      <w:r>
        <w:rPr>
          <w:rFonts w:ascii="Palatino Linotype" w:hAnsi="Palatino Linotype" w:cs="Arial"/>
          <w:b/>
          <w:i/>
          <w:sz w:val="22"/>
          <w:szCs w:val="22"/>
          <w:lang w:eastAsia="es-MX"/>
        </w:rPr>
        <w:t>Versión pública:</w:t>
      </w:r>
      <w:r>
        <w:rPr>
          <w:rFonts w:ascii="Palatino Linotype" w:hAnsi="Palatino Linotype" w:cs="Arial"/>
          <w:i/>
          <w:sz w:val="22"/>
          <w:szCs w:val="22"/>
          <w:lang w:eastAsia="es-MX"/>
        </w:rPr>
        <w:t xml:space="preserve"> El </w:t>
      </w:r>
      <w:r>
        <w:rPr>
          <w:rFonts w:ascii="Palatino Linotype" w:hAnsi="Palatino Linotype" w:cs="Arial"/>
          <w:bCs/>
          <w:i/>
          <w:noProof/>
          <w:sz w:val="22"/>
          <w:szCs w:val="22"/>
        </w:rPr>
        <w:t>documento</w:t>
      </w:r>
      <w:r>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Pr>
          <w:rFonts w:ascii="Palatino Linotype" w:hAnsi="Palatino Linotype" w:cs="Arial"/>
          <w:b/>
          <w:i/>
          <w:sz w:val="22"/>
          <w:szCs w:val="22"/>
          <w:u w:val="single"/>
          <w:lang w:eastAsia="es-MX"/>
        </w:rPr>
        <w:t>fundando y motivando la</w:t>
      </w:r>
      <w:r>
        <w:rPr>
          <w:rFonts w:ascii="Palatino Linotype" w:hAnsi="Palatino Linotype" w:cs="Arial"/>
          <w:i/>
          <w:sz w:val="22"/>
          <w:szCs w:val="22"/>
          <w:lang w:eastAsia="es-MX"/>
        </w:rPr>
        <w:t xml:space="preserve"> reserva o </w:t>
      </w:r>
      <w:r>
        <w:rPr>
          <w:rFonts w:ascii="Palatino Linotype" w:hAnsi="Palatino Linotype" w:cs="Arial"/>
          <w:b/>
          <w:i/>
          <w:sz w:val="22"/>
          <w:szCs w:val="22"/>
          <w:u w:val="single"/>
          <w:lang w:eastAsia="es-MX"/>
        </w:rPr>
        <w:t>confidencialidad</w:t>
      </w:r>
      <w:r>
        <w:rPr>
          <w:rFonts w:ascii="Palatino Linotype" w:hAnsi="Palatino Linotype" w:cs="Arial"/>
          <w:i/>
          <w:sz w:val="22"/>
          <w:szCs w:val="22"/>
          <w:lang w:eastAsia="es-MX"/>
        </w:rPr>
        <w:t xml:space="preserve">, a través de la resolución que para tal efecto emita el </w:t>
      </w:r>
      <w:r>
        <w:rPr>
          <w:rFonts w:ascii="Palatino Linotype" w:hAnsi="Palatino Linotype" w:cs="Arial"/>
          <w:bCs/>
          <w:i/>
          <w:noProof/>
          <w:sz w:val="22"/>
          <w:szCs w:val="22"/>
        </w:rPr>
        <w:t>Comité</w:t>
      </w:r>
      <w:r>
        <w:rPr>
          <w:rFonts w:ascii="Palatino Linotype" w:hAnsi="Palatino Linotype" w:cs="Arial"/>
          <w:i/>
          <w:sz w:val="22"/>
          <w:szCs w:val="22"/>
          <w:lang w:eastAsia="es-MX"/>
        </w:rPr>
        <w:t xml:space="preserve"> de Transparencia.</w:t>
      </w:r>
    </w:p>
    <w:p w14:paraId="7B0D29C9" w14:textId="77777777"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Cuarto.</w:t>
      </w:r>
      <w:r>
        <w:rPr>
          <w:rFonts w:ascii="Palatino Linotype" w:hAnsi="Palatino Linotype" w:cs="Arial"/>
          <w:i/>
          <w:sz w:val="22"/>
          <w:szCs w:val="22"/>
          <w:lang w:eastAsia="es-MX"/>
        </w:rPr>
        <w:t xml:space="preserve"> Para clasificar la información como reservada o confidencial, de manera total o parcial, el titular del </w:t>
      </w:r>
      <w:r>
        <w:rPr>
          <w:rFonts w:ascii="Palatino Linotype" w:hAnsi="Palatino Linotype" w:cs="Arial"/>
          <w:bCs/>
          <w:i/>
          <w:noProof/>
          <w:sz w:val="22"/>
          <w:szCs w:val="22"/>
        </w:rPr>
        <w:t>área</w:t>
      </w:r>
      <w:r>
        <w:rPr>
          <w:rFonts w:ascii="Palatino Linotype" w:hAnsi="Palatino Linotype" w:cs="Arial"/>
          <w:i/>
          <w:sz w:val="22"/>
          <w:szCs w:val="22"/>
          <w:lang w:eastAsia="es-MX"/>
        </w:rPr>
        <w:t xml:space="preserve"> del sujeto </w:t>
      </w:r>
      <w:r>
        <w:rPr>
          <w:rFonts w:ascii="Palatino Linotype" w:hAnsi="Palatino Linotype" w:cs="Arial"/>
          <w:i/>
          <w:sz w:val="22"/>
          <w:szCs w:val="22"/>
        </w:rPr>
        <w:t>obligado</w:t>
      </w:r>
      <w:r>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308F1DD" w14:textId="77777777"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Los sujetos obligados deberán aplicar, de manera estricta, las excepciones al derecho de acceso a la </w:t>
      </w:r>
      <w:r>
        <w:rPr>
          <w:rFonts w:ascii="Palatino Linotype" w:hAnsi="Palatino Linotype" w:cs="Arial"/>
          <w:bCs/>
          <w:i/>
          <w:noProof/>
          <w:sz w:val="22"/>
          <w:szCs w:val="22"/>
        </w:rPr>
        <w:t>información</w:t>
      </w:r>
      <w:r>
        <w:rPr>
          <w:rFonts w:ascii="Palatino Linotype" w:hAnsi="Palatino Linotype" w:cs="Arial"/>
          <w:i/>
          <w:sz w:val="22"/>
          <w:szCs w:val="22"/>
          <w:lang w:eastAsia="es-MX"/>
        </w:rPr>
        <w:t xml:space="preserve"> y sólo </w:t>
      </w:r>
      <w:r>
        <w:rPr>
          <w:rFonts w:ascii="Palatino Linotype" w:hAnsi="Palatino Linotype" w:cs="Arial"/>
          <w:i/>
          <w:sz w:val="22"/>
          <w:szCs w:val="22"/>
        </w:rPr>
        <w:t>podrán</w:t>
      </w:r>
      <w:r>
        <w:rPr>
          <w:rFonts w:ascii="Palatino Linotype" w:hAnsi="Palatino Linotype" w:cs="Arial"/>
          <w:i/>
          <w:sz w:val="22"/>
          <w:szCs w:val="22"/>
          <w:lang w:eastAsia="es-MX"/>
        </w:rPr>
        <w:t xml:space="preserve"> invocarlas cuando acrediten su procedencia.</w:t>
      </w:r>
    </w:p>
    <w:p w14:paraId="49339037" w14:textId="77777777"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Quinto.</w:t>
      </w:r>
      <w:r>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Pr>
          <w:rFonts w:ascii="Palatino Linotype" w:hAnsi="Palatino Linotype" w:cs="Arial"/>
          <w:i/>
          <w:sz w:val="22"/>
          <w:szCs w:val="22"/>
        </w:rPr>
        <w:t>corresponderá</w:t>
      </w:r>
      <w:r>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w:t>
      </w:r>
      <w:r>
        <w:rPr>
          <w:rFonts w:ascii="Palatino Linotype" w:hAnsi="Palatino Linotype" w:cs="Arial"/>
          <w:i/>
          <w:sz w:val="22"/>
          <w:szCs w:val="22"/>
          <w:lang w:eastAsia="es-MX"/>
        </w:rPr>
        <w:lastRenderedPageBreak/>
        <w:t>públicas para dar cumplimiento a las obligaciones de transparencia, observando lo dispuesto en la Ley General y las demás disposiciones aplicables en la materia.</w:t>
      </w:r>
    </w:p>
    <w:p w14:paraId="5A305B28" w14:textId="77777777"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Sexto.</w:t>
      </w:r>
      <w:r>
        <w:rPr>
          <w:rFonts w:ascii="Palatino Linotype" w:hAnsi="Palatino Linotype" w:cs="Arial"/>
          <w:i/>
          <w:sz w:val="22"/>
          <w:szCs w:val="22"/>
          <w:lang w:eastAsia="es-MX"/>
        </w:rPr>
        <w:t xml:space="preserve"> Los sujetos obligados no podrán emitir acuerdos de carácter general ni particular que clasifiquen </w:t>
      </w:r>
      <w:r>
        <w:rPr>
          <w:rFonts w:ascii="Palatino Linotype" w:hAnsi="Palatino Linotype" w:cs="Arial"/>
          <w:bCs/>
          <w:i/>
          <w:noProof/>
          <w:sz w:val="22"/>
          <w:szCs w:val="22"/>
        </w:rPr>
        <w:t>documentos</w:t>
      </w:r>
      <w:r>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0C25EAD2" w14:textId="77777777" w:rsidR="007B4FF6" w:rsidRDefault="007B4FF6" w:rsidP="007B4FF6">
      <w:pPr>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La clasificación de </w:t>
      </w:r>
      <w:r>
        <w:rPr>
          <w:rFonts w:ascii="Palatino Linotype" w:hAnsi="Palatino Linotype" w:cs="Arial"/>
          <w:i/>
          <w:sz w:val="22"/>
          <w:szCs w:val="22"/>
        </w:rPr>
        <w:t>información</w:t>
      </w:r>
      <w:r>
        <w:rPr>
          <w:rFonts w:ascii="Palatino Linotype" w:hAnsi="Palatino Linotype" w:cs="Arial"/>
          <w:i/>
          <w:sz w:val="22"/>
          <w:szCs w:val="22"/>
          <w:lang w:eastAsia="es-MX"/>
        </w:rPr>
        <w:t xml:space="preserve"> se realizará conforme a un análisis caso por caso, mediante la aplicación </w:t>
      </w:r>
      <w:r>
        <w:rPr>
          <w:rFonts w:ascii="Palatino Linotype" w:hAnsi="Palatino Linotype" w:cs="Arial"/>
          <w:bCs/>
          <w:i/>
          <w:noProof/>
          <w:sz w:val="22"/>
          <w:szCs w:val="22"/>
        </w:rPr>
        <w:t>de</w:t>
      </w:r>
      <w:r>
        <w:rPr>
          <w:rFonts w:ascii="Palatino Linotype" w:hAnsi="Palatino Linotype" w:cs="Arial"/>
          <w:i/>
          <w:sz w:val="22"/>
          <w:szCs w:val="22"/>
          <w:lang w:eastAsia="es-MX"/>
        </w:rPr>
        <w:t xml:space="preserve"> la prueba de daño y de interés público.</w:t>
      </w:r>
    </w:p>
    <w:p w14:paraId="25AE333D" w14:textId="77777777"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Séptimo.</w:t>
      </w:r>
      <w:r>
        <w:rPr>
          <w:rFonts w:ascii="Palatino Linotype" w:hAnsi="Palatino Linotype" w:cs="Arial"/>
          <w:i/>
          <w:sz w:val="22"/>
          <w:szCs w:val="22"/>
          <w:lang w:eastAsia="es-MX"/>
        </w:rPr>
        <w:t xml:space="preserve"> La clasificación </w:t>
      </w:r>
      <w:r>
        <w:rPr>
          <w:rFonts w:ascii="Palatino Linotype" w:hAnsi="Palatino Linotype" w:cs="Arial"/>
          <w:bCs/>
          <w:i/>
          <w:noProof/>
          <w:sz w:val="22"/>
          <w:szCs w:val="22"/>
        </w:rPr>
        <w:t>de</w:t>
      </w:r>
      <w:r>
        <w:rPr>
          <w:rFonts w:ascii="Palatino Linotype" w:hAnsi="Palatino Linotype" w:cs="Arial"/>
          <w:i/>
          <w:sz w:val="22"/>
          <w:szCs w:val="22"/>
          <w:lang w:eastAsia="es-MX"/>
        </w:rPr>
        <w:t xml:space="preserve"> la </w:t>
      </w:r>
      <w:r>
        <w:rPr>
          <w:rFonts w:ascii="Palatino Linotype" w:hAnsi="Palatino Linotype" w:cs="Arial"/>
          <w:i/>
          <w:sz w:val="22"/>
          <w:szCs w:val="22"/>
        </w:rPr>
        <w:t>información</w:t>
      </w:r>
      <w:r>
        <w:rPr>
          <w:rFonts w:ascii="Palatino Linotype" w:hAnsi="Palatino Linotype" w:cs="Arial"/>
          <w:i/>
          <w:sz w:val="22"/>
          <w:szCs w:val="22"/>
          <w:lang w:eastAsia="es-MX"/>
        </w:rPr>
        <w:t xml:space="preserve"> se llevará a cabo en el momento en que:</w:t>
      </w:r>
    </w:p>
    <w:p w14:paraId="26F06070" w14:textId="77777777"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I.</w:t>
      </w:r>
      <w:r>
        <w:rPr>
          <w:rFonts w:ascii="Palatino Linotype" w:hAnsi="Palatino Linotype" w:cs="Arial"/>
          <w:i/>
          <w:sz w:val="22"/>
          <w:szCs w:val="22"/>
          <w:lang w:eastAsia="es-MX"/>
        </w:rPr>
        <w:t xml:space="preserve"> Se reciba una solicitud de acceso a la información;</w:t>
      </w:r>
    </w:p>
    <w:p w14:paraId="6EB061C8" w14:textId="77777777"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II.</w:t>
      </w:r>
      <w:r>
        <w:rPr>
          <w:rFonts w:ascii="Palatino Linotype" w:hAnsi="Palatino Linotype" w:cs="Arial"/>
          <w:i/>
          <w:sz w:val="22"/>
          <w:szCs w:val="22"/>
          <w:lang w:eastAsia="es-MX"/>
        </w:rPr>
        <w:t xml:space="preserve"> Se determine </w:t>
      </w:r>
      <w:r>
        <w:rPr>
          <w:rFonts w:ascii="Palatino Linotype" w:hAnsi="Palatino Linotype" w:cs="Arial"/>
          <w:bCs/>
          <w:i/>
          <w:noProof/>
          <w:sz w:val="22"/>
          <w:szCs w:val="22"/>
        </w:rPr>
        <w:t>mediante</w:t>
      </w:r>
      <w:r>
        <w:rPr>
          <w:rFonts w:ascii="Palatino Linotype" w:hAnsi="Palatino Linotype" w:cs="Arial"/>
          <w:i/>
          <w:sz w:val="22"/>
          <w:szCs w:val="22"/>
          <w:lang w:eastAsia="es-MX"/>
        </w:rPr>
        <w:t xml:space="preserve"> resolución de autoridad competente, o</w:t>
      </w:r>
    </w:p>
    <w:p w14:paraId="7FA41F3A" w14:textId="77777777"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III.</w:t>
      </w:r>
      <w:r>
        <w:rPr>
          <w:rFonts w:ascii="Palatino Linotype" w:hAnsi="Palatino Linotype" w:cs="Arial"/>
          <w:i/>
          <w:sz w:val="22"/>
          <w:szCs w:val="22"/>
          <w:lang w:eastAsia="es-MX"/>
        </w:rPr>
        <w:t xml:space="preserve"> Se generen </w:t>
      </w:r>
      <w:r>
        <w:rPr>
          <w:rFonts w:ascii="Palatino Linotype" w:hAnsi="Palatino Linotype" w:cs="Arial"/>
          <w:bCs/>
          <w:i/>
          <w:noProof/>
          <w:sz w:val="22"/>
          <w:szCs w:val="22"/>
        </w:rPr>
        <w:t>versiones</w:t>
      </w:r>
      <w:r>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564EF1B9" w14:textId="77777777"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Los titulares de las áreas deberán revisar la clasificación al momento de la recepción de una solicitud de </w:t>
      </w:r>
      <w:r>
        <w:rPr>
          <w:rFonts w:ascii="Palatino Linotype" w:hAnsi="Palatino Linotype" w:cs="Arial"/>
          <w:bCs/>
          <w:i/>
          <w:noProof/>
          <w:sz w:val="22"/>
          <w:szCs w:val="22"/>
        </w:rPr>
        <w:t>acceso</w:t>
      </w:r>
      <w:r>
        <w:rPr>
          <w:rFonts w:ascii="Palatino Linotype" w:hAnsi="Palatino Linotype" w:cs="Arial"/>
          <w:i/>
          <w:sz w:val="22"/>
          <w:szCs w:val="22"/>
          <w:lang w:eastAsia="es-MX"/>
        </w:rPr>
        <w:t xml:space="preserve"> a la información, para verificar si encuadra en una causal de reserva o de confidencialidad.</w:t>
      </w:r>
    </w:p>
    <w:p w14:paraId="2D9C3793" w14:textId="77777777"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Octavo.</w:t>
      </w:r>
      <w:r>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Pr>
          <w:rFonts w:ascii="Palatino Linotype" w:hAnsi="Palatino Linotype" w:cs="Arial"/>
          <w:bCs/>
          <w:i/>
          <w:noProof/>
          <w:sz w:val="22"/>
          <w:szCs w:val="22"/>
        </w:rPr>
        <w:t>expresamente</w:t>
      </w:r>
      <w:r>
        <w:rPr>
          <w:rFonts w:ascii="Palatino Linotype" w:hAnsi="Palatino Linotype" w:cs="Arial"/>
          <w:i/>
          <w:sz w:val="22"/>
          <w:szCs w:val="22"/>
          <w:lang w:eastAsia="es-MX"/>
        </w:rPr>
        <w:t xml:space="preserve"> le otorga el carácter de reservada o confidencial.</w:t>
      </w:r>
    </w:p>
    <w:p w14:paraId="5D0CD56C" w14:textId="77777777" w:rsidR="007B4FF6" w:rsidRDefault="007B4FF6" w:rsidP="007B4FF6">
      <w:pPr>
        <w:autoSpaceDE w:val="0"/>
        <w:autoSpaceDN w:val="0"/>
        <w:adjustRightInd w:val="0"/>
        <w:spacing w:before="160" w:after="160"/>
        <w:ind w:left="709" w:right="709"/>
        <w:contextualSpacing/>
        <w:jc w:val="both"/>
        <w:rPr>
          <w:rFonts w:ascii="Palatino Linotype" w:hAnsi="Palatino Linotype" w:cs="Arial"/>
          <w:bCs/>
          <w:i/>
          <w:noProof/>
          <w:sz w:val="22"/>
          <w:szCs w:val="22"/>
        </w:rPr>
      </w:pPr>
      <w:r>
        <w:rPr>
          <w:rFonts w:ascii="Palatino Linotype" w:hAnsi="Palatino Linotype" w:cs="Arial"/>
          <w:i/>
          <w:sz w:val="22"/>
          <w:szCs w:val="22"/>
          <w:lang w:eastAsia="es-MX"/>
        </w:rPr>
        <w:t xml:space="preserve">Para </w:t>
      </w:r>
      <w:r>
        <w:rPr>
          <w:rFonts w:ascii="Palatino Linotype" w:hAnsi="Palatino Linotype" w:cs="Arial"/>
          <w:bCs/>
          <w:i/>
          <w:noProof/>
          <w:sz w:val="22"/>
          <w:szCs w:val="22"/>
        </w:rPr>
        <w:t xml:space="preserve">motivar la clasificación se deberán señalar las razones o circunstancias especiales que lo </w:t>
      </w:r>
      <w:r>
        <w:rPr>
          <w:rFonts w:ascii="Palatino Linotype" w:hAnsi="Palatino Linotype" w:cs="Arial"/>
          <w:i/>
          <w:sz w:val="22"/>
          <w:szCs w:val="22"/>
          <w:lang w:eastAsia="es-MX"/>
        </w:rPr>
        <w:t>llevaron</w:t>
      </w:r>
      <w:r>
        <w:rPr>
          <w:rFonts w:ascii="Palatino Linotype" w:hAnsi="Palatino Linotype" w:cs="Arial"/>
          <w:bCs/>
          <w:i/>
          <w:noProof/>
          <w:sz w:val="22"/>
          <w:szCs w:val="22"/>
        </w:rPr>
        <w:t xml:space="preserve"> a concluir que el caso particular se ajusta al supuesto previsto por la norma legal invocada como fundamento.</w:t>
      </w:r>
    </w:p>
    <w:p w14:paraId="506473F7" w14:textId="77777777" w:rsidR="007B4FF6" w:rsidRDefault="007B4FF6" w:rsidP="007B4FF6">
      <w:pPr>
        <w:autoSpaceDE w:val="0"/>
        <w:autoSpaceDN w:val="0"/>
        <w:adjustRightInd w:val="0"/>
        <w:spacing w:before="160" w:after="160"/>
        <w:ind w:left="709" w:right="709"/>
        <w:contextualSpacing/>
        <w:jc w:val="both"/>
        <w:rPr>
          <w:rFonts w:ascii="Palatino Linotype" w:hAnsi="Palatino Linotype" w:cs="Arial"/>
          <w:bCs/>
          <w:i/>
          <w:noProof/>
          <w:sz w:val="22"/>
          <w:szCs w:val="22"/>
        </w:rPr>
      </w:pPr>
      <w:r>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Pr>
          <w:rFonts w:ascii="Palatino Linotype" w:hAnsi="Palatino Linotype" w:cs="Arial"/>
          <w:i/>
          <w:sz w:val="22"/>
          <w:szCs w:val="22"/>
          <w:lang w:eastAsia="es-MX"/>
        </w:rPr>
        <w:t>de</w:t>
      </w:r>
      <w:r>
        <w:rPr>
          <w:rFonts w:ascii="Palatino Linotype" w:hAnsi="Palatino Linotype" w:cs="Arial"/>
          <w:bCs/>
          <w:i/>
          <w:noProof/>
          <w:sz w:val="22"/>
          <w:szCs w:val="22"/>
        </w:rPr>
        <w:t xml:space="preserve"> </w:t>
      </w:r>
      <w:r>
        <w:rPr>
          <w:rFonts w:ascii="Palatino Linotype" w:hAnsi="Palatino Linotype" w:cs="Arial"/>
          <w:i/>
          <w:sz w:val="22"/>
          <w:szCs w:val="22"/>
          <w:lang w:eastAsia="es-MX"/>
        </w:rPr>
        <w:t>reserva</w:t>
      </w:r>
      <w:r>
        <w:rPr>
          <w:rFonts w:ascii="Palatino Linotype" w:hAnsi="Palatino Linotype" w:cs="Arial"/>
          <w:bCs/>
          <w:i/>
          <w:noProof/>
          <w:sz w:val="22"/>
          <w:szCs w:val="22"/>
        </w:rPr>
        <w:t>.</w:t>
      </w:r>
    </w:p>
    <w:p w14:paraId="38C19B81" w14:textId="77777777" w:rsidR="007B4FF6" w:rsidRDefault="007B4FF6" w:rsidP="007B4FF6">
      <w:pPr>
        <w:autoSpaceDE w:val="0"/>
        <w:autoSpaceDN w:val="0"/>
        <w:adjustRightInd w:val="0"/>
        <w:spacing w:before="160" w:after="160"/>
        <w:ind w:left="709" w:right="709"/>
        <w:contextualSpacing/>
        <w:jc w:val="both"/>
        <w:rPr>
          <w:rFonts w:ascii="Palatino Linotype" w:hAnsi="Palatino Linotype" w:cs="Arial"/>
          <w:bCs/>
          <w:i/>
          <w:noProof/>
          <w:sz w:val="22"/>
          <w:szCs w:val="22"/>
        </w:rPr>
      </w:pPr>
      <w:r>
        <w:rPr>
          <w:rFonts w:ascii="Palatino Linotype" w:hAnsi="Palatino Linotype" w:cs="Arial"/>
          <w:i/>
          <w:sz w:val="22"/>
          <w:szCs w:val="22"/>
          <w:lang w:eastAsia="es-MX"/>
        </w:rPr>
        <w:t>Tratándose</w:t>
      </w:r>
      <w:r>
        <w:rPr>
          <w:rFonts w:ascii="Palatino Linotype" w:hAnsi="Palatino Linotype" w:cs="Arial"/>
          <w:bCs/>
          <w:i/>
          <w:noProof/>
          <w:sz w:val="22"/>
          <w:szCs w:val="22"/>
        </w:rPr>
        <w:t xml:space="preserve"> de información clasificada como confidencial respecto de la cual se haya </w:t>
      </w:r>
      <w:r>
        <w:rPr>
          <w:rFonts w:ascii="Palatino Linotype" w:hAnsi="Palatino Linotype" w:cs="Arial"/>
          <w:i/>
          <w:sz w:val="22"/>
          <w:szCs w:val="22"/>
          <w:lang w:eastAsia="es-MX"/>
        </w:rPr>
        <w:t>determinado</w:t>
      </w:r>
      <w:r>
        <w:rPr>
          <w:rFonts w:ascii="Palatino Linotype" w:hAnsi="Palatino Linotype" w:cs="Arial"/>
          <w:bCs/>
          <w:i/>
          <w:noProof/>
          <w:sz w:val="22"/>
          <w:szCs w:val="22"/>
        </w:rPr>
        <w:t xml:space="preserve"> </w:t>
      </w:r>
      <w:r>
        <w:rPr>
          <w:rFonts w:ascii="Palatino Linotype" w:hAnsi="Palatino Linotype" w:cs="Arial"/>
          <w:i/>
          <w:sz w:val="22"/>
          <w:szCs w:val="22"/>
          <w:lang w:eastAsia="es-MX"/>
        </w:rPr>
        <w:t>su</w:t>
      </w:r>
      <w:r>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7677765B" w14:textId="77777777"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Cs/>
          <w:i/>
          <w:noProof/>
          <w:sz w:val="22"/>
          <w:szCs w:val="22"/>
        </w:rPr>
        <w:t>Los documentos contenidos</w:t>
      </w:r>
      <w:r>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600480BC" w14:textId="77777777"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Noveno.</w:t>
      </w:r>
      <w:r>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7CB99EB" w14:textId="77777777"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Décimo.</w:t>
      </w:r>
      <w:r>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Pr>
          <w:rFonts w:ascii="Palatino Linotype" w:hAnsi="Palatino Linotype" w:cs="Arial"/>
          <w:i/>
          <w:sz w:val="22"/>
          <w:szCs w:val="22"/>
        </w:rPr>
        <w:t>documentos</w:t>
      </w:r>
      <w:r>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w:t>
      </w:r>
      <w:r>
        <w:rPr>
          <w:rFonts w:ascii="Palatino Linotype" w:hAnsi="Palatino Linotype" w:cs="Arial"/>
          <w:i/>
          <w:sz w:val="22"/>
          <w:szCs w:val="22"/>
          <w:lang w:eastAsia="es-MX"/>
        </w:rPr>
        <w:lastRenderedPageBreak/>
        <w:t>información clasificada, en los términos de los Lineamientos para la Organización y Conservación de Archivos.</w:t>
      </w:r>
    </w:p>
    <w:p w14:paraId="48DC9C3F" w14:textId="77777777"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Pr>
          <w:rFonts w:ascii="Palatino Linotype" w:hAnsi="Palatino Linotype" w:cs="Arial"/>
          <w:i/>
          <w:sz w:val="22"/>
          <w:szCs w:val="22"/>
        </w:rPr>
        <w:t>que</w:t>
      </w:r>
      <w:r>
        <w:rPr>
          <w:rFonts w:ascii="Palatino Linotype" w:hAnsi="Palatino Linotype" w:cs="Arial"/>
          <w:i/>
          <w:sz w:val="22"/>
          <w:szCs w:val="22"/>
          <w:lang w:eastAsia="es-MX"/>
        </w:rPr>
        <w:t xml:space="preserve"> rija la actuación del sujeto obligado.</w:t>
      </w:r>
    </w:p>
    <w:p w14:paraId="5262E87D" w14:textId="77777777"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Décimo primero.</w:t>
      </w:r>
      <w:r>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77DE7D1" w14:textId="77777777"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14:paraId="7432FFAF" w14:textId="77777777" w:rsidR="007B4FF6" w:rsidRDefault="007B4FF6" w:rsidP="007B4FF6">
      <w:pPr>
        <w:ind w:left="709" w:right="709"/>
        <w:contextualSpacing/>
        <w:jc w:val="center"/>
        <w:rPr>
          <w:rFonts w:ascii="Palatino Linotype" w:hAnsi="Palatino Linotype" w:cs="Arial"/>
          <w:b/>
          <w:i/>
          <w:sz w:val="22"/>
          <w:szCs w:val="22"/>
          <w:lang w:eastAsia="es-MX"/>
        </w:rPr>
      </w:pPr>
      <w:r>
        <w:rPr>
          <w:rFonts w:ascii="Palatino Linotype" w:hAnsi="Palatino Linotype" w:cs="Arial"/>
          <w:b/>
          <w:i/>
          <w:sz w:val="22"/>
          <w:szCs w:val="22"/>
          <w:lang w:eastAsia="es-MX"/>
        </w:rPr>
        <w:t>CAPÍTULO VIII</w:t>
      </w:r>
    </w:p>
    <w:p w14:paraId="6387D6B5" w14:textId="77777777" w:rsidR="007B4FF6" w:rsidRDefault="007B4FF6" w:rsidP="007B4FF6">
      <w:pPr>
        <w:ind w:left="709" w:right="709"/>
        <w:contextualSpacing/>
        <w:jc w:val="center"/>
        <w:rPr>
          <w:rFonts w:ascii="Palatino Linotype" w:hAnsi="Palatino Linotype" w:cs="Arial"/>
          <w:b/>
          <w:i/>
          <w:sz w:val="22"/>
          <w:szCs w:val="22"/>
          <w:lang w:eastAsia="es-MX"/>
        </w:rPr>
      </w:pPr>
      <w:r>
        <w:rPr>
          <w:rFonts w:ascii="Palatino Linotype" w:hAnsi="Palatino Linotype" w:cs="Arial"/>
          <w:b/>
          <w:i/>
          <w:sz w:val="22"/>
          <w:szCs w:val="22"/>
          <w:lang w:eastAsia="es-MX"/>
        </w:rPr>
        <w:t>DE LA LEYENDA DE CLASIFICACIÓN</w:t>
      </w:r>
    </w:p>
    <w:p w14:paraId="6D44BA96" w14:textId="77777777" w:rsidR="007B4FF6" w:rsidRDefault="007B4FF6" w:rsidP="007B4FF6">
      <w:pPr>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Quincuagésimo. </w:t>
      </w:r>
      <w:r>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Pr>
          <w:rFonts w:ascii="Palatino Linotype" w:hAnsi="Palatino Linotype" w:cs="Arial"/>
          <w:i/>
          <w:sz w:val="22"/>
          <w:szCs w:val="22"/>
          <w:lang w:eastAsia="es-MX"/>
        </w:rPr>
        <w:t xml:space="preserve"> para señalar la clasificación de documentos o expedientes, sin perjuicio de que establezcan los propios.</w:t>
      </w:r>
    </w:p>
    <w:p w14:paraId="00B70EB9" w14:textId="77777777" w:rsidR="007B4FF6" w:rsidRDefault="007B4FF6" w:rsidP="007B4FF6">
      <w:pPr>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14:paraId="09BC76FF" w14:textId="0EAA42F9" w:rsidR="007B4FF6" w:rsidRDefault="007B4FF6" w:rsidP="007B4FF6">
      <w:pPr>
        <w:spacing w:before="160" w:after="160"/>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Quincuagésimo tercero. </w:t>
      </w:r>
      <w:r>
        <w:rPr>
          <w:rFonts w:ascii="Palatino Linotype" w:hAnsi="Palatino Linotype" w:cs="Arial"/>
          <w:b/>
          <w:i/>
          <w:sz w:val="22"/>
          <w:szCs w:val="22"/>
          <w:u w:val="single"/>
          <w:lang w:eastAsia="es-MX"/>
        </w:rPr>
        <w:t>El formato para señalar la clasificación parcial de un documento</w:t>
      </w:r>
      <w:r>
        <w:rPr>
          <w:rFonts w:ascii="Palatino Linotype" w:hAnsi="Palatino Linotype" w:cs="Arial"/>
          <w:i/>
          <w:sz w:val="22"/>
          <w:szCs w:val="22"/>
          <w:lang w:eastAsia="es-MX"/>
        </w:rPr>
        <w:t>, es el siguiente:</w:t>
      </w:r>
    </w:p>
    <w:p w14:paraId="34D8061A" w14:textId="77777777" w:rsidR="002135E4" w:rsidRDefault="002135E4" w:rsidP="007B4FF6">
      <w:pPr>
        <w:spacing w:before="160" w:after="160"/>
        <w:ind w:left="709" w:right="709"/>
        <w:jc w:val="both"/>
        <w:rPr>
          <w:rFonts w:ascii="Palatino Linotype" w:hAnsi="Palatino Linotype" w:cs="Arial"/>
          <w:i/>
          <w:sz w:val="22"/>
          <w:szCs w:val="22"/>
          <w:lang w:eastAsia="es-MX"/>
        </w:rPr>
      </w:pPr>
    </w:p>
    <w:tbl>
      <w:tblPr>
        <w:tblStyle w:val="Tablaconcuadrcula"/>
        <w:tblW w:w="0" w:type="auto"/>
        <w:jc w:val="center"/>
        <w:tblLook w:val="04A0" w:firstRow="1" w:lastRow="0" w:firstColumn="1" w:lastColumn="0" w:noHBand="0" w:noVBand="1"/>
      </w:tblPr>
      <w:tblGrid>
        <w:gridCol w:w="1159"/>
        <w:gridCol w:w="1990"/>
        <w:gridCol w:w="4531"/>
      </w:tblGrid>
      <w:tr w:rsidR="007B4FF6" w14:paraId="1664A930" w14:textId="77777777" w:rsidTr="007B4FF6">
        <w:trPr>
          <w:jc w:val="center"/>
        </w:trPr>
        <w:tc>
          <w:tcPr>
            <w:tcW w:w="1129" w:type="dxa"/>
            <w:tcBorders>
              <w:top w:val="nil"/>
              <w:left w:val="nil"/>
              <w:bottom w:val="single" w:sz="4" w:space="0" w:color="auto"/>
              <w:right w:val="single" w:sz="4" w:space="0" w:color="auto"/>
            </w:tcBorders>
          </w:tcPr>
          <w:p w14:paraId="1E2DD96D" w14:textId="77777777" w:rsidR="007B4FF6" w:rsidRDefault="007B4FF6" w:rsidP="007B4FF6">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FFADFD5" w14:textId="77777777" w:rsidR="007B4FF6" w:rsidRDefault="007B4FF6" w:rsidP="007B4FF6">
            <w:pPr>
              <w:jc w:val="center"/>
              <w:rPr>
                <w:rFonts w:ascii="Palatino Linotype" w:hAnsi="Palatino Linotype"/>
                <w:b/>
                <w:i/>
              </w:rPr>
            </w:pPr>
            <w:r>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hideMark/>
          </w:tcPr>
          <w:p w14:paraId="3669DD89" w14:textId="77777777" w:rsidR="007B4FF6" w:rsidRDefault="007B4FF6" w:rsidP="007B4FF6">
            <w:pPr>
              <w:jc w:val="center"/>
              <w:rPr>
                <w:rFonts w:ascii="Palatino Linotype" w:hAnsi="Palatino Linotype"/>
                <w:b/>
                <w:i/>
              </w:rPr>
            </w:pPr>
            <w:r>
              <w:rPr>
                <w:rFonts w:ascii="Palatino Linotype" w:hAnsi="Palatino Linotype"/>
                <w:b/>
                <w:i/>
              </w:rPr>
              <w:t>Dónde:</w:t>
            </w:r>
          </w:p>
        </w:tc>
      </w:tr>
      <w:tr w:rsidR="007B4FF6" w14:paraId="2CB8600C" w14:textId="77777777" w:rsidTr="007B4FF6">
        <w:trPr>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2EBB56CD" w14:textId="77777777" w:rsidR="007B4FF6" w:rsidRDefault="007B4FF6" w:rsidP="007B4FF6">
            <w:pPr>
              <w:jc w:val="center"/>
              <w:rPr>
                <w:rFonts w:ascii="Palatino Linotype" w:hAnsi="Palatino Linotype" w:cs="Arial"/>
                <w:b/>
                <w:i/>
                <w:lang w:eastAsia="es-MX"/>
              </w:rPr>
            </w:pPr>
            <w:r>
              <w:rPr>
                <w:rFonts w:ascii="Palatino Linotype" w:hAnsi="Palatino Linotype" w:cs="Arial"/>
                <w:b/>
                <w:i/>
                <w:lang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14:paraId="63FDD16F" w14:textId="77777777" w:rsidR="007B4FF6" w:rsidRDefault="007B4FF6" w:rsidP="007B4FF6">
            <w:pPr>
              <w:jc w:val="center"/>
              <w:rPr>
                <w:rFonts w:ascii="Palatino Linotype" w:hAnsi="Palatino Linotype" w:cs="Arial"/>
                <w:i/>
                <w:lang w:eastAsia="es-MX"/>
              </w:rPr>
            </w:pPr>
            <w:r>
              <w:rPr>
                <w:rFonts w:ascii="Palatino Linotype" w:hAnsi="Palatino Linotype" w:cs="Arial"/>
                <w:i/>
                <w:lang w:eastAsia="es-MX"/>
              </w:rPr>
              <w:t>Fecha de clasificación</w:t>
            </w:r>
          </w:p>
        </w:tc>
        <w:tc>
          <w:tcPr>
            <w:tcW w:w="4531" w:type="dxa"/>
            <w:tcBorders>
              <w:top w:val="single" w:sz="4" w:space="0" w:color="auto"/>
              <w:left w:val="single" w:sz="4" w:space="0" w:color="auto"/>
              <w:bottom w:val="single" w:sz="4" w:space="0" w:color="auto"/>
              <w:right w:val="single" w:sz="4" w:space="0" w:color="auto"/>
            </w:tcBorders>
            <w:hideMark/>
          </w:tcPr>
          <w:p w14:paraId="1B587CCC" w14:textId="77777777" w:rsidR="007B4FF6" w:rsidRDefault="007B4FF6" w:rsidP="007B4FF6">
            <w:pPr>
              <w:jc w:val="both"/>
              <w:rPr>
                <w:rFonts w:ascii="Palatino Linotype" w:hAnsi="Palatino Linotype" w:cs="Arial"/>
                <w:i/>
                <w:lang w:eastAsia="es-MX"/>
              </w:rPr>
            </w:pPr>
            <w:r>
              <w:rPr>
                <w:rFonts w:ascii="Palatino Linotype" w:hAnsi="Palatino Linotype" w:cs="Arial"/>
                <w:i/>
                <w:lang w:eastAsia="es-MX"/>
              </w:rPr>
              <w:t>Se anotará la fecha en la que el Comité de Transparencia confirmó la clasificación del documento, en su caso.</w:t>
            </w:r>
          </w:p>
        </w:tc>
      </w:tr>
      <w:tr w:rsidR="007B4FF6" w14:paraId="58A4A273" w14:textId="77777777"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498034" w14:textId="77777777"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6C82E8B" w14:textId="77777777" w:rsidR="007B4FF6" w:rsidRDefault="007B4FF6" w:rsidP="007B4FF6">
            <w:pPr>
              <w:jc w:val="center"/>
              <w:rPr>
                <w:rFonts w:ascii="Palatino Linotype" w:hAnsi="Palatino Linotype" w:cs="Arial"/>
                <w:i/>
                <w:lang w:eastAsia="es-MX"/>
              </w:rPr>
            </w:pPr>
            <w:r>
              <w:rPr>
                <w:rFonts w:ascii="Palatino Linotype" w:hAnsi="Palatino Linotype" w:cs="Arial"/>
                <w:i/>
                <w:lang w:eastAsia="es-MX"/>
              </w:rPr>
              <w:t>Área</w:t>
            </w:r>
          </w:p>
        </w:tc>
        <w:tc>
          <w:tcPr>
            <w:tcW w:w="4531" w:type="dxa"/>
            <w:tcBorders>
              <w:top w:val="single" w:sz="4" w:space="0" w:color="auto"/>
              <w:left w:val="single" w:sz="4" w:space="0" w:color="auto"/>
              <w:bottom w:val="single" w:sz="4" w:space="0" w:color="auto"/>
              <w:right w:val="single" w:sz="4" w:space="0" w:color="auto"/>
            </w:tcBorders>
            <w:hideMark/>
          </w:tcPr>
          <w:p w14:paraId="78AE7AA9" w14:textId="77777777" w:rsidR="007B4FF6" w:rsidRDefault="007B4FF6" w:rsidP="007B4FF6">
            <w:pPr>
              <w:jc w:val="both"/>
              <w:rPr>
                <w:rFonts w:ascii="Palatino Linotype" w:hAnsi="Palatino Linotype" w:cs="Arial"/>
                <w:i/>
                <w:lang w:eastAsia="es-MX"/>
              </w:rPr>
            </w:pPr>
            <w:r>
              <w:rPr>
                <w:rFonts w:ascii="Palatino Linotype" w:hAnsi="Palatino Linotype" w:cs="Arial"/>
                <w:i/>
                <w:lang w:eastAsia="es-MX"/>
              </w:rPr>
              <w:t>Se señalará el nombre del área del cual es titular quien clasifica.</w:t>
            </w:r>
          </w:p>
        </w:tc>
      </w:tr>
      <w:tr w:rsidR="007B4FF6" w14:paraId="01E90A64" w14:textId="77777777"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F8F5C3" w14:textId="77777777"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FF90777" w14:textId="77777777" w:rsidR="007B4FF6" w:rsidRDefault="007B4FF6" w:rsidP="007B4FF6">
            <w:pPr>
              <w:jc w:val="center"/>
              <w:rPr>
                <w:rFonts w:ascii="Palatino Linotype" w:hAnsi="Palatino Linotype" w:cs="Arial"/>
                <w:i/>
                <w:lang w:eastAsia="es-MX"/>
              </w:rPr>
            </w:pPr>
            <w:r>
              <w:rPr>
                <w:rFonts w:ascii="Palatino Linotype" w:hAnsi="Palatino Linotype" w:cs="Arial"/>
                <w:i/>
                <w:lang w:eastAsia="es-MX"/>
              </w:rPr>
              <w:t>Información reservada</w:t>
            </w:r>
          </w:p>
        </w:tc>
        <w:tc>
          <w:tcPr>
            <w:tcW w:w="4531" w:type="dxa"/>
            <w:tcBorders>
              <w:top w:val="single" w:sz="4" w:space="0" w:color="auto"/>
              <w:left w:val="single" w:sz="4" w:space="0" w:color="auto"/>
              <w:bottom w:val="single" w:sz="4" w:space="0" w:color="auto"/>
              <w:right w:val="single" w:sz="4" w:space="0" w:color="auto"/>
            </w:tcBorders>
            <w:hideMark/>
          </w:tcPr>
          <w:p w14:paraId="3FA040F7" w14:textId="77777777" w:rsidR="007B4FF6" w:rsidRDefault="007B4FF6" w:rsidP="007B4FF6">
            <w:pPr>
              <w:jc w:val="both"/>
              <w:rPr>
                <w:rFonts w:ascii="Palatino Linotype" w:hAnsi="Palatino Linotype" w:cs="Arial"/>
                <w:i/>
                <w:lang w:eastAsia="es-MX"/>
              </w:rPr>
            </w:pPr>
            <w:r>
              <w:rPr>
                <w:rFonts w:ascii="Palatino Linotype" w:hAnsi="Palatino Linotype" w:cs="Arial"/>
                <w:i/>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7B4FF6" w14:paraId="08664ABB" w14:textId="77777777"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405CD1" w14:textId="77777777"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435AA81" w14:textId="77777777" w:rsidR="007B4FF6" w:rsidRDefault="007B4FF6" w:rsidP="007B4FF6">
            <w:pPr>
              <w:jc w:val="center"/>
              <w:rPr>
                <w:rFonts w:ascii="Palatino Linotype" w:hAnsi="Palatino Linotype" w:cs="Arial"/>
                <w:i/>
                <w:lang w:eastAsia="es-MX"/>
              </w:rPr>
            </w:pPr>
            <w:r>
              <w:rPr>
                <w:rFonts w:ascii="Palatino Linotype" w:hAnsi="Palatino Linotype" w:cs="Arial"/>
                <w:i/>
                <w:lang w:eastAsia="es-MX"/>
              </w:rPr>
              <w:t>Periodo de reserva</w:t>
            </w:r>
          </w:p>
        </w:tc>
        <w:tc>
          <w:tcPr>
            <w:tcW w:w="4531" w:type="dxa"/>
            <w:tcBorders>
              <w:top w:val="single" w:sz="4" w:space="0" w:color="auto"/>
              <w:left w:val="single" w:sz="4" w:space="0" w:color="auto"/>
              <w:bottom w:val="single" w:sz="4" w:space="0" w:color="auto"/>
              <w:right w:val="single" w:sz="4" w:space="0" w:color="auto"/>
            </w:tcBorders>
            <w:hideMark/>
          </w:tcPr>
          <w:p w14:paraId="69DAC28B" w14:textId="77777777" w:rsidR="007B4FF6" w:rsidRDefault="007B4FF6" w:rsidP="007B4FF6">
            <w:pPr>
              <w:jc w:val="both"/>
              <w:rPr>
                <w:rFonts w:ascii="Palatino Linotype" w:hAnsi="Palatino Linotype" w:cs="Arial"/>
                <w:i/>
                <w:lang w:eastAsia="es-MX"/>
              </w:rPr>
            </w:pPr>
            <w:r>
              <w:rPr>
                <w:rFonts w:ascii="Palatino Linotype" w:hAnsi="Palatino Linotype" w:cs="Arial"/>
                <w:i/>
                <w:lang w:eastAsia="es-MX"/>
              </w:rPr>
              <w:t>Se anotará el número de años o meses por los que se mantendrá el documento o las partes del mismo como reservado.</w:t>
            </w:r>
          </w:p>
        </w:tc>
      </w:tr>
      <w:tr w:rsidR="007B4FF6" w14:paraId="3E17FD47" w14:textId="77777777"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4DA18D" w14:textId="77777777"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83B9236" w14:textId="77777777" w:rsidR="007B4FF6" w:rsidRDefault="007B4FF6" w:rsidP="007B4FF6">
            <w:pPr>
              <w:jc w:val="center"/>
              <w:rPr>
                <w:rFonts w:ascii="Palatino Linotype" w:hAnsi="Palatino Linotype" w:cs="Arial"/>
                <w:i/>
                <w:lang w:eastAsia="es-MX"/>
              </w:rPr>
            </w:pPr>
            <w:r>
              <w:rPr>
                <w:rFonts w:ascii="Palatino Linotype" w:hAnsi="Palatino Linotype" w:cs="Arial"/>
                <w:i/>
                <w:lang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0065025B" w14:textId="77777777" w:rsidR="007B4FF6" w:rsidRDefault="007B4FF6" w:rsidP="007B4FF6">
            <w:pPr>
              <w:jc w:val="both"/>
              <w:rPr>
                <w:rFonts w:ascii="Palatino Linotype" w:hAnsi="Palatino Linotype" w:cs="Arial"/>
                <w:i/>
                <w:lang w:eastAsia="es-MX"/>
              </w:rPr>
            </w:pPr>
            <w:r>
              <w:rPr>
                <w:rFonts w:ascii="Palatino Linotype" w:hAnsi="Palatino Linotype" w:cs="Arial"/>
                <w:i/>
                <w:lang w:eastAsia="es-MX"/>
              </w:rPr>
              <w:t>Se señalará el nombre del ordenamiento, el o los artículos, fracción(es), párrafo(s) con base en los cuales se sustente la reserva.</w:t>
            </w:r>
          </w:p>
        </w:tc>
      </w:tr>
      <w:tr w:rsidR="007B4FF6" w14:paraId="3B9822B9" w14:textId="77777777"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5C6AAE" w14:textId="77777777"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9756DEE" w14:textId="77777777" w:rsidR="007B4FF6" w:rsidRDefault="007B4FF6" w:rsidP="007B4FF6">
            <w:pPr>
              <w:jc w:val="center"/>
              <w:rPr>
                <w:rFonts w:ascii="Palatino Linotype" w:hAnsi="Palatino Linotype" w:cs="Arial"/>
                <w:i/>
                <w:lang w:eastAsia="es-MX"/>
              </w:rPr>
            </w:pPr>
            <w:r>
              <w:rPr>
                <w:rFonts w:ascii="Palatino Linotype" w:hAnsi="Palatino Linotype" w:cs="Arial"/>
                <w:i/>
                <w:lang w:eastAsia="es-MX"/>
              </w:rPr>
              <w:t>Ampliación del periodo de reserva</w:t>
            </w:r>
          </w:p>
        </w:tc>
        <w:tc>
          <w:tcPr>
            <w:tcW w:w="4531" w:type="dxa"/>
            <w:tcBorders>
              <w:top w:val="single" w:sz="4" w:space="0" w:color="auto"/>
              <w:left w:val="single" w:sz="4" w:space="0" w:color="auto"/>
              <w:bottom w:val="single" w:sz="4" w:space="0" w:color="auto"/>
              <w:right w:val="single" w:sz="4" w:space="0" w:color="auto"/>
            </w:tcBorders>
            <w:hideMark/>
          </w:tcPr>
          <w:p w14:paraId="1906F956" w14:textId="77777777" w:rsidR="007B4FF6" w:rsidRDefault="007B4FF6" w:rsidP="007B4FF6">
            <w:pPr>
              <w:jc w:val="both"/>
              <w:rPr>
                <w:rFonts w:ascii="Palatino Linotype" w:hAnsi="Palatino Linotype" w:cs="Arial"/>
                <w:i/>
                <w:lang w:eastAsia="es-MX"/>
              </w:rPr>
            </w:pPr>
            <w:r>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7B4FF6" w14:paraId="7A0F2E45" w14:textId="77777777"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78DBD0" w14:textId="77777777"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59594C6" w14:textId="77777777" w:rsidR="007B4FF6" w:rsidRDefault="007B4FF6" w:rsidP="007B4FF6">
            <w:pPr>
              <w:jc w:val="center"/>
              <w:rPr>
                <w:rFonts w:ascii="Palatino Linotype" w:hAnsi="Palatino Linotype" w:cs="Arial"/>
                <w:i/>
                <w:lang w:eastAsia="es-MX"/>
              </w:rPr>
            </w:pPr>
            <w:r>
              <w:rPr>
                <w:rFonts w:ascii="Palatino Linotype" w:hAnsi="Palatino Linotype" w:cs="Arial"/>
                <w:i/>
                <w:lang w:eastAsia="es-MX"/>
              </w:rPr>
              <w:t>Confidencial</w:t>
            </w:r>
          </w:p>
        </w:tc>
        <w:tc>
          <w:tcPr>
            <w:tcW w:w="4531" w:type="dxa"/>
            <w:tcBorders>
              <w:top w:val="single" w:sz="4" w:space="0" w:color="auto"/>
              <w:left w:val="single" w:sz="4" w:space="0" w:color="auto"/>
              <w:bottom w:val="single" w:sz="4" w:space="0" w:color="auto"/>
              <w:right w:val="single" w:sz="4" w:space="0" w:color="auto"/>
            </w:tcBorders>
            <w:hideMark/>
          </w:tcPr>
          <w:p w14:paraId="06796472" w14:textId="77777777" w:rsidR="007B4FF6" w:rsidRDefault="007B4FF6" w:rsidP="007B4FF6">
            <w:pPr>
              <w:jc w:val="both"/>
              <w:rPr>
                <w:rFonts w:ascii="Palatino Linotype" w:hAnsi="Palatino Linotype" w:cs="Arial"/>
                <w:i/>
                <w:lang w:eastAsia="es-MX"/>
              </w:rPr>
            </w:pPr>
            <w:r>
              <w:rPr>
                <w:rFonts w:ascii="Palatino Linotype" w:hAnsi="Palatino Linotype" w:cs="Arial"/>
                <w:i/>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7B4FF6" w14:paraId="281AA23B" w14:textId="77777777"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6F0A7F" w14:textId="77777777"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5F286AC" w14:textId="77777777" w:rsidR="007B4FF6" w:rsidRDefault="007B4FF6" w:rsidP="007B4FF6">
            <w:pPr>
              <w:jc w:val="center"/>
              <w:rPr>
                <w:rFonts w:ascii="Palatino Linotype" w:hAnsi="Palatino Linotype" w:cs="Arial"/>
                <w:i/>
                <w:lang w:eastAsia="es-MX"/>
              </w:rPr>
            </w:pPr>
            <w:r>
              <w:rPr>
                <w:rFonts w:ascii="Palatino Linotype" w:hAnsi="Palatino Linotype" w:cs="Arial"/>
                <w:i/>
                <w:lang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04255AD7" w14:textId="77777777" w:rsidR="007B4FF6" w:rsidRDefault="007B4FF6" w:rsidP="007B4FF6">
            <w:pPr>
              <w:jc w:val="both"/>
              <w:rPr>
                <w:rFonts w:ascii="Palatino Linotype" w:hAnsi="Palatino Linotype" w:cs="Arial"/>
                <w:i/>
                <w:lang w:eastAsia="es-MX"/>
              </w:rPr>
            </w:pPr>
            <w:r>
              <w:rPr>
                <w:rFonts w:ascii="Palatino Linotype" w:hAnsi="Palatino Linotype" w:cs="Arial"/>
                <w:i/>
                <w:lang w:eastAsia="es-MX"/>
              </w:rPr>
              <w:t>Se señalará el nombre del ordenamiento, el o los artículos, fracción(es), párrafo(s) con base en los cuales se sustente la confidencialidad.</w:t>
            </w:r>
          </w:p>
        </w:tc>
      </w:tr>
      <w:tr w:rsidR="007B4FF6" w14:paraId="238A1139" w14:textId="77777777"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CE66C9" w14:textId="77777777"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949ED16" w14:textId="77777777" w:rsidR="007B4FF6" w:rsidRDefault="007B4FF6" w:rsidP="007B4FF6">
            <w:pPr>
              <w:jc w:val="center"/>
              <w:rPr>
                <w:rFonts w:ascii="Palatino Linotype" w:hAnsi="Palatino Linotype" w:cs="Arial"/>
                <w:i/>
                <w:lang w:eastAsia="es-MX"/>
              </w:rPr>
            </w:pPr>
            <w:r>
              <w:rPr>
                <w:rFonts w:ascii="Palatino Linotype" w:hAnsi="Palatino Linotype" w:cs="Arial"/>
                <w:i/>
                <w:lang w:eastAsia="es-MX"/>
              </w:rPr>
              <w:t>Rúbrica del titular del área</w:t>
            </w:r>
          </w:p>
        </w:tc>
        <w:tc>
          <w:tcPr>
            <w:tcW w:w="4531" w:type="dxa"/>
            <w:tcBorders>
              <w:top w:val="single" w:sz="4" w:space="0" w:color="auto"/>
              <w:left w:val="single" w:sz="4" w:space="0" w:color="auto"/>
              <w:bottom w:val="single" w:sz="4" w:space="0" w:color="auto"/>
              <w:right w:val="single" w:sz="4" w:space="0" w:color="auto"/>
            </w:tcBorders>
            <w:hideMark/>
          </w:tcPr>
          <w:p w14:paraId="14192416" w14:textId="77777777" w:rsidR="007B4FF6" w:rsidRDefault="007B4FF6" w:rsidP="007B4FF6">
            <w:pPr>
              <w:jc w:val="both"/>
              <w:rPr>
                <w:rFonts w:ascii="Palatino Linotype" w:hAnsi="Palatino Linotype" w:cs="Arial"/>
                <w:i/>
                <w:lang w:eastAsia="es-MX"/>
              </w:rPr>
            </w:pPr>
            <w:r>
              <w:rPr>
                <w:rFonts w:ascii="Palatino Linotype" w:hAnsi="Palatino Linotype" w:cs="Arial"/>
                <w:i/>
                <w:lang w:eastAsia="es-MX"/>
              </w:rPr>
              <w:t>Rúbrica autógrafa de quien clasifica.</w:t>
            </w:r>
          </w:p>
        </w:tc>
      </w:tr>
      <w:tr w:rsidR="007B4FF6" w14:paraId="560A5599" w14:textId="77777777"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C37826" w14:textId="77777777"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FE50560" w14:textId="77777777" w:rsidR="007B4FF6" w:rsidRDefault="007B4FF6" w:rsidP="007B4FF6">
            <w:pPr>
              <w:jc w:val="center"/>
              <w:rPr>
                <w:rFonts w:ascii="Palatino Linotype" w:hAnsi="Palatino Linotype" w:cs="Arial"/>
                <w:i/>
                <w:lang w:eastAsia="es-MX"/>
              </w:rPr>
            </w:pPr>
            <w:r>
              <w:rPr>
                <w:rFonts w:ascii="Palatino Linotype" w:hAnsi="Palatino Linotype" w:cs="Arial"/>
                <w:i/>
                <w:lang w:eastAsia="es-MX"/>
              </w:rPr>
              <w:t>Fecha de desclasificación</w:t>
            </w:r>
          </w:p>
        </w:tc>
        <w:tc>
          <w:tcPr>
            <w:tcW w:w="4531" w:type="dxa"/>
            <w:tcBorders>
              <w:top w:val="single" w:sz="4" w:space="0" w:color="auto"/>
              <w:left w:val="single" w:sz="4" w:space="0" w:color="auto"/>
              <w:bottom w:val="single" w:sz="4" w:space="0" w:color="auto"/>
              <w:right w:val="single" w:sz="4" w:space="0" w:color="auto"/>
            </w:tcBorders>
            <w:hideMark/>
          </w:tcPr>
          <w:p w14:paraId="300BF6DD" w14:textId="77777777" w:rsidR="007B4FF6" w:rsidRDefault="007B4FF6" w:rsidP="007B4FF6">
            <w:pPr>
              <w:jc w:val="both"/>
              <w:rPr>
                <w:rFonts w:ascii="Palatino Linotype" w:hAnsi="Palatino Linotype" w:cs="Arial"/>
                <w:i/>
                <w:lang w:eastAsia="es-MX"/>
              </w:rPr>
            </w:pPr>
            <w:r>
              <w:rPr>
                <w:rFonts w:ascii="Palatino Linotype" w:hAnsi="Palatino Linotype" w:cs="Arial"/>
                <w:i/>
                <w:lang w:eastAsia="es-MX"/>
              </w:rPr>
              <w:t>Se anotará la fecha en que se desclasifica el documento.</w:t>
            </w:r>
          </w:p>
        </w:tc>
      </w:tr>
      <w:tr w:rsidR="007B4FF6" w14:paraId="2D059B3E" w14:textId="77777777"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82BC33" w14:textId="77777777"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37AE6C3" w14:textId="77777777" w:rsidR="007B4FF6" w:rsidRDefault="007B4FF6" w:rsidP="007B4FF6">
            <w:pPr>
              <w:jc w:val="center"/>
              <w:rPr>
                <w:rFonts w:ascii="Palatino Linotype" w:hAnsi="Palatino Linotype" w:cs="Arial"/>
                <w:i/>
                <w:lang w:eastAsia="es-MX"/>
              </w:rPr>
            </w:pPr>
            <w:r>
              <w:rPr>
                <w:rFonts w:ascii="Palatino Linotype" w:hAnsi="Palatino Linotype" w:cs="Arial"/>
                <w:i/>
                <w:lang w:eastAsia="es-MX"/>
              </w:rPr>
              <w:t>Rúbrica y cargo del servidor público</w:t>
            </w:r>
          </w:p>
        </w:tc>
        <w:tc>
          <w:tcPr>
            <w:tcW w:w="4531" w:type="dxa"/>
            <w:tcBorders>
              <w:top w:val="single" w:sz="4" w:space="0" w:color="auto"/>
              <w:left w:val="single" w:sz="4" w:space="0" w:color="auto"/>
              <w:bottom w:val="single" w:sz="4" w:space="0" w:color="auto"/>
              <w:right w:val="single" w:sz="4" w:space="0" w:color="auto"/>
            </w:tcBorders>
            <w:vAlign w:val="center"/>
            <w:hideMark/>
          </w:tcPr>
          <w:p w14:paraId="7CF3B8CD" w14:textId="77777777" w:rsidR="007B4FF6" w:rsidRDefault="007B4FF6" w:rsidP="007B4FF6">
            <w:pPr>
              <w:rPr>
                <w:rFonts w:ascii="Palatino Linotype" w:hAnsi="Palatino Linotype" w:cs="Arial"/>
                <w:i/>
                <w:lang w:eastAsia="es-MX"/>
              </w:rPr>
            </w:pPr>
            <w:r>
              <w:rPr>
                <w:rFonts w:ascii="Palatino Linotype" w:hAnsi="Palatino Linotype" w:cs="Arial"/>
                <w:i/>
                <w:lang w:eastAsia="es-MX"/>
              </w:rPr>
              <w:t>Rúbrica autógrafa de quien desclasifica.</w:t>
            </w:r>
          </w:p>
        </w:tc>
      </w:tr>
    </w:tbl>
    <w:p w14:paraId="4B215C49" w14:textId="77777777" w:rsidR="007B4FF6" w:rsidRDefault="007B4FF6" w:rsidP="007B4FF6">
      <w:pPr>
        <w:autoSpaceDE w:val="0"/>
        <w:autoSpaceDN w:val="0"/>
        <w:adjustRightInd w:val="0"/>
        <w:spacing w:before="240" w:after="240" w:line="360" w:lineRule="auto"/>
        <w:ind w:right="51"/>
        <w:contextualSpacing/>
        <w:jc w:val="both"/>
        <w:rPr>
          <w:rFonts w:ascii="Palatino Linotype" w:hAnsi="Palatino Linotype" w:cs="Arial"/>
        </w:rPr>
      </w:pPr>
    </w:p>
    <w:p w14:paraId="59DE304A" w14:textId="77777777" w:rsidR="007B4FF6" w:rsidRDefault="007B4FF6" w:rsidP="007B4FF6">
      <w:pPr>
        <w:autoSpaceDE w:val="0"/>
        <w:autoSpaceDN w:val="0"/>
        <w:adjustRightInd w:val="0"/>
        <w:spacing w:before="240" w:after="240" w:line="360" w:lineRule="auto"/>
        <w:contextualSpacing/>
        <w:jc w:val="both"/>
        <w:rPr>
          <w:rFonts w:ascii="Palatino Linotype" w:hAnsi="Palatino Linotype" w:cs="Arial"/>
        </w:rPr>
      </w:pPr>
      <w:r>
        <w:rPr>
          <w:rFonts w:ascii="Palatino Linotype" w:hAnsi="Palatino Linotype" w:cs="Arial"/>
        </w:rPr>
        <w:t>Efectivamente, cuando se clasifica información como confidencial es importante someterlo al Comité de Transparencia, quien debe confirmar, modificar o revocar la clasificación.</w:t>
      </w:r>
    </w:p>
    <w:p w14:paraId="3BEF6392" w14:textId="77777777" w:rsidR="008F4314" w:rsidRDefault="008F4314" w:rsidP="007B4FF6">
      <w:pPr>
        <w:autoSpaceDE w:val="0"/>
        <w:autoSpaceDN w:val="0"/>
        <w:adjustRightInd w:val="0"/>
        <w:spacing w:before="240" w:after="240" w:line="360" w:lineRule="auto"/>
        <w:contextualSpacing/>
        <w:jc w:val="both"/>
        <w:rPr>
          <w:rFonts w:ascii="Palatino Linotype" w:hAnsi="Palatino Linotype" w:cs="Arial"/>
        </w:rPr>
      </w:pPr>
    </w:p>
    <w:p w14:paraId="69CBA5F6" w14:textId="77777777" w:rsidR="007B4FF6" w:rsidRDefault="007B4FF6" w:rsidP="007B4FF6">
      <w:pPr>
        <w:shd w:val="clear" w:color="auto" w:fill="FFFFFF"/>
        <w:spacing w:before="240" w:after="240" w:line="360" w:lineRule="auto"/>
        <w:ind w:right="51"/>
        <w:contextualSpacing/>
        <w:jc w:val="both"/>
        <w:rPr>
          <w:rFonts w:ascii="Palatino Linotype" w:hAnsi="Palatino Linotype"/>
          <w:lang w:val="es-MX" w:eastAsia="es-MX"/>
        </w:rPr>
      </w:pPr>
      <w:r>
        <w:rPr>
          <w:rFonts w:ascii="Palatino Linotype" w:hAnsi="Palatino Linotype"/>
          <w:lang w:eastAsia="es-MX"/>
        </w:rPr>
        <w:t xml:space="preserve">Por lo tanto, la entrega de documentos en su versión pública debe acompañarse necesariamente del Acuerdo del Comité de Transparencia que la sustente, en el que se expongan los fundamentos y razonamientos que llevaron al </w:t>
      </w:r>
      <w:r>
        <w:rPr>
          <w:rFonts w:ascii="Palatino Linotype" w:hAnsi="Palatino Linotype"/>
          <w:bCs/>
          <w:lang w:eastAsia="es-MX"/>
        </w:rPr>
        <w:t>Sujeto Obligado</w:t>
      </w:r>
      <w:r>
        <w:rPr>
          <w:rFonts w:ascii="Palatino Linotype" w:hAnsi="Palatino Linotype"/>
          <w:lang w:eastAsia="es-MX"/>
        </w:rPr>
        <w:t xml:space="preserve"> a </w:t>
      </w:r>
      <w:r>
        <w:rPr>
          <w:rFonts w:ascii="Palatino Linotype" w:hAnsi="Palatino Linotype"/>
          <w:lang w:eastAsia="es-MX"/>
        </w:rPr>
        <w:lastRenderedPageBreak/>
        <w:t xml:space="preserve">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w:t>
      </w:r>
      <w:r>
        <w:rPr>
          <w:rFonts w:ascii="Palatino Linotype" w:hAnsi="Palatino Linotype"/>
          <w:lang w:val="es-MX" w:eastAsia="es-MX"/>
        </w:rPr>
        <w:t xml:space="preserve">por lo que el acuerdo respectivo, deberá hacerse del conocimiento del </w:t>
      </w:r>
      <w:r>
        <w:rPr>
          <w:rFonts w:ascii="Palatino Linotype" w:hAnsi="Palatino Linotype"/>
          <w:bCs/>
          <w:lang w:val="es-MX" w:eastAsia="es-MX"/>
        </w:rPr>
        <w:t>Recurrente</w:t>
      </w:r>
      <w:r>
        <w:rPr>
          <w:rFonts w:ascii="Palatino Linotype" w:hAnsi="Palatino Linotype"/>
          <w:lang w:val="es-MX" w:eastAsia="es-MX"/>
        </w:rPr>
        <w:t>.</w:t>
      </w:r>
    </w:p>
    <w:p w14:paraId="44AACAF9" w14:textId="77777777" w:rsidR="00AE3DFF" w:rsidRDefault="00AE3DFF" w:rsidP="00AE3DFF">
      <w:pPr>
        <w:spacing w:before="240" w:after="240" w:line="360" w:lineRule="auto"/>
        <w:contextualSpacing/>
        <w:jc w:val="both"/>
        <w:rPr>
          <w:rFonts w:ascii="Palatino Linotype" w:hAnsi="Palatino Linotype" w:cs="Arial"/>
        </w:rPr>
      </w:pPr>
    </w:p>
    <w:p w14:paraId="67398EEB" w14:textId="0C266FC6" w:rsidR="00425F15" w:rsidRDefault="00425F15" w:rsidP="00AE3DFF">
      <w:pPr>
        <w:spacing w:before="240" w:after="240" w:line="360" w:lineRule="auto"/>
        <w:contextualSpacing/>
        <w:jc w:val="both"/>
        <w:rPr>
          <w:rFonts w:ascii="Palatino Linotype" w:hAnsi="Palatino Linotype" w:cs="Arial"/>
        </w:rPr>
      </w:pPr>
      <w:r>
        <w:rPr>
          <w:rFonts w:ascii="Palatino Linotype" w:hAnsi="Palatino Linotype" w:cs="Arial"/>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r w:rsidR="00351228">
        <w:rPr>
          <w:rFonts w:ascii="Palatino Linotype" w:hAnsi="Palatino Linotype" w:cs="Arial"/>
        </w:rPr>
        <w:t xml:space="preserve"> y de particulares que no tengan que ver con rendición de cuentas públicas o que reciban una remuneración por parte de los Sujetos Obligados. </w:t>
      </w:r>
    </w:p>
    <w:p w14:paraId="262CACC2" w14:textId="77777777" w:rsidR="00AE3DFF" w:rsidRDefault="00AE3DFF" w:rsidP="00AE3DFF">
      <w:pPr>
        <w:spacing w:before="240" w:after="240" w:line="360" w:lineRule="auto"/>
        <w:contextualSpacing/>
        <w:jc w:val="both"/>
        <w:rPr>
          <w:rFonts w:ascii="Palatino Linotype" w:hAnsi="Palatino Linotype" w:cs="Arial"/>
        </w:rPr>
      </w:pPr>
    </w:p>
    <w:p w14:paraId="1AEC4AB9" w14:textId="77777777" w:rsidR="00DD33AE" w:rsidRDefault="00DD33AE" w:rsidP="00DD33AE">
      <w:pPr>
        <w:spacing w:before="240" w:after="240" w:line="360" w:lineRule="auto"/>
        <w:contextualSpacing/>
        <w:jc w:val="both"/>
        <w:rPr>
          <w:rFonts w:ascii="Palatino Linotype" w:hAnsi="Palatino Linotype" w:cs="Arial"/>
        </w:rPr>
      </w:pPr>
      <w:r>
        <w:rPr>
          <w:rFonts w:ascii="Palatino Linotype" w:hAnsi="Palatino Linotype" w:cs="Arial"/>
        </w:rPr>
        <w:t>Así, con fundamento en lo prescrito en los artículos 5 párrafos vigésimo</w:t>
      </w:r>
      <w:r w:rsidR="00AE3DFF">
        <w:rPr>
          <w:rFonts w:ascii="Palatino Linotype" w:hAnsi="Palatino Linotype" w:cs="Arial"/>
        </w:rPr>
        <w:t xml:space="preserve"> noveno, trigésimo y trigésimo primero</w:t>
      </w:r>
      <w:r>
        <w:rPr>
          <w:rFonts w:ascii="Palatino Linotype" w:hAnsi="Palatino Linotype" w:cs="Arial"/>
        </w:rPr>
        <w:t xml:space="preserve"> de la Constitución Política del Estado Libre y Soberano de México; 2, fracción II; 29, 36 fracciones I y II; 176, 178, 179, fracción VII, 181, 185 de la Ley de Transparencia y Acceso a la Información Pública del Estado de México y Municipios, este Pleno:</w:t>
      </w:r>
    </w:p>
    <w:p w14:paraId="75FB502E" w14:textId="77777777" w:rsidR="00AE3DFF" w:rsidRDefault="00AE3DFF" w:rsidP="00DD33AE">
      <w:pPr>
        <w:spacing w:before="240" w:after="240" w:line="360" w:lineRule="auto"/>
        <w:contextualSpacing/>
        <w:jc w:val="both"/>
        <w:rPr>
          <w:rFonts w:ascii="Palatino Linotype" w:hAnsi="Palatino Linotype" w:cs="Arial"/>
        </w:rPr>
      </w:pPr>
    </w:p>
    <w:p w14:paraId="453FDEA9" w14:textId="77777777" w:rsidR="00DD33AE" w:rsidRDefault="00F2018E" w:rsidP="00F2018E">
      <w:pPr>
        <w:spacing w:before="240" w:after="240" w:line="360" w:lineRule="auto"/>
        <w:contextualSpacing/>
        <w:jc w:val="center"/>
        <w:rPr>
          <w:rFonts w:ascii="Palatino Linotype" w:hAnsi="Palatino Linotype" w:cs="Arial"/>
          <w:b/>
        </w:rPr>
      </w:pPr>
      <w:r>
        <w:rPr>
          <w:rFonts w:ascii="Palatino Linotype" w:hAnsi="Palatino Linotype" w:cs="Arial"/>
          <w:b/>
        </w:rPr>
        <w:lastRenderedPageBreak/>
        <w:t>III</w:t>
      </w:r>
      <w:r>
        <w:rPr>
          <w:rFonts w:ascii="Palatino Linotype" w:hAnsi="Palatino Linotype" w:cs="Arial"/>
          <w:b/>
        </w:rPr>
        <w:tab/>
      </w:r>
      <w:r w:rsidR="00DD33AE" w:rsidRPr="00F2018E">
        <w:rPr>
          <w:rFonts w:ascii="Palatino Linotype" w:hAnsi="Palatino Linotype" w:cs="Arial"/>
          <w:b/>
        </w:rPr>
        <w:t>R E S U E L V E:</w:t>
      </w:r>
    </w:p>
    <w:p w14:paraId="3E4DCD3D" w14:textId="77777777" w:rsidR="00F2018E" w:rsidRPr="00F2018E" w:rsidRDefault="00F2018E" w:rsidP="00F2018E">
      <w:pPr>
        <w:spacing w:before="240" w:after="240" w:line="360" w:lineRule="auto"/>
        <w:contextualSpacing/>
        <w:jc w:val="center"/>
        <w:rPr>
          <w:rFonts w:ascii="Palatino Linotype" w:hAnsi="Palatino Linotype" w:cs="Arial"/>
          <w:b/>
        </w:rPr>
      </w:pPr>
    </w:p>
    <w:p w14:paraId="49C780D1" w14:textId="7B38834A" w:rsidR="008233A9" w:rsidRDefault="00F2018E" w:rsidP="008233A9">
      <w:pPr>
        <w:spacing w:before="240" w:after="240" w:line="360" w:lineRule="auto"/>
        <w:jc w:val="both"/>
        <w:rPr>
          <w:rFonts w:ascii="Palatino Linotype" w:eastAsia="Palatino Linotype" w:hAnsi="Palatino Linotype" w:cs="Palatino Linotype"/>
          <w:lang w:eastAsia="es-MX"/>
        </w:rPr>
      </w:pPr>
      <w:r w:rsidRPr="000818BF">
        <w:rPr>
          <w:rFonts w:ascii="Palatino Linotype" w:hAnsi="Palatino Linotype" w:cs="Arial"/>
          <w:b/>
        </w:rPr>
        <w:t xml:space="preserve">Primero. </w:t>
      </w:r>
      <w:r>
        <w:rPr>
          <w:rFonts w:ascii="Palatino Linotype" w:hAnsi="Palatino Linotype" w:cs="Arial"/>
          <w:lang w:val="es-ES_tradnl"/>
        </w:rPr>
        <w:t>Resultan</w:t>
      </w:r>
      <w:r w:rsidR="008F4314">
        <w:rPr>
          <w:rFonts w:ascii="Palatino Linotype" w:hAnsi="Palatino Linotype" w:cs="Arial"/>
          <w:lang w:val="es-ES_tradnl"/>
        </w:rPr>
        <w:t xml:space="preserve"> </w:t>
      </w:r>
      <w:r w:rsidRPr="00351228">
        <w:rPr>
          <w:rFonts w:ascii="Palatino Linotype" w:hAnsi="Palatino Linotype" w:cs="Arial"/>
          <w:lang w:val="es-ES_tradnl"/>
        </w:rPr>
        <w:t xml:space="preserve">fundadas </w:t>
      </w:r>
      <w:r w:rsidRPr="00351228">
        <w:rPr>
          <w:rFonts w:ascii="Palatino Linotype" w:eastAsia="Arial Unicode MS" w:hAnsi="Palatino Linotype" w:cs="Arial"/>
        </w:rPr>
        <w:t>las razones</w:t>
      </w:r>
      <w:r w:rsidRPr="000818BF">
        <w:rPr>
          <w:rFonts w:ascii="Palatino Linotype" w:eastAsia="Arial Unicode MS" w:hAnsi="Palatino Linotype" w:cs="Arial"/>
        </w:rPr>
        <w:t xml:space="preserve"> o motivos de i</w:t>
      </w:r>
      <w:r>
        <w:rPr>
          <w:rFonts w:ascii="Palatino Linotype" w:eastAsia="Arial Unicode MS" w:hAnsi="Palatino Linotype" w:cs="Arial"/>
        </w:rPr>
        <w:t>nconformidad hechos valer por la parte</w:t>
      </w:r>
      <w:r w:rsidRPr="000818BF">
        <w:rPr>
          <w:rFonts w:ascii="Palatino Linotype" w:eastAsia="Arial Unicode MS" w:hAnsi="Palatino Linotype" w:cs="Arial"/>
        </w:rPr>
        <w:t xml:space="preserve"> Recurrente, </w:t>
      </w:r>
      <w:r w:rsidR="008233A9">
        <w:rPr>
          <w:rFonts w:ascii="Palatino Linotype" w:eastAsia="Palatino Linotype" w:hAnsi="Palatino Linotype" w:cs="Palatino Linotype"/>
        </w:rPr>
        <w:t xml:space="preserve">en el recurso de revisión </w:t>
      </w:r>
      <w:r w:rsidR="004757B2" w:rsidRPr="004757B2">
        <w:rPr>
          <w:rFonts w:ascii="Palatino Linotype" w:eastAsia="Palatino Linotype" w:hAnsi="Palatino Linotype" w:cs="Palatino Linotype"/>
          <w:b/>
        </w:rPr>
        <w:t>01119</w:t>
      </w:r>
      <w:r w:rsidR="004B7530" w:rsidRPr="004757B2">
        <w:rPr>
          <w:rFonts w:ascii="Palatino Linotype" w:eastAsia="Palatino Linotype" w:hAnsi="Palatino Linotype" w:cs="Palatino Linotype"/>
          <w:b/>
        </w:rPr>
        <w:t>/INFOEM/IP/RR/2021</w:t>
      </w:r>
      <w:r w:rsidR="008233A9">
        <w:rPr>
          <w:rFonts w:ascii="Palatino Linotype" w:eastAsia="Palatino Linotype" w:hAnsi="Palatino Linotype" w:cs="Palatino Linotype"/>
        </w:rPr>
        <w:t xml:space="preserve">; por lo que, en términos del considerando </w:t>
      </w:r>
      <w:r w:rsidR="008233A9">
        <w:rPr>
          <w:rFonts w:ascii="Palatino Linotype" w:eastAsia="Palatino Linotype" w:hAnsi="Palatino Linotype" w:cs="Palatino Linotype"/>
          <w:b/>
        </w:rPr>
        <w:t>Cuarto</w:t>
      </w:r>
      <w:r w:rsidR="004757B2">
        <w:rPr>
          <w:rFonts w:ascii="Palatino Linotype" w:eastAsia="Palatino Linotype" w:hAnsi="Palatino Linotype" w:cs="Palatino Linotype"/>
          <w:b/>
        </w:rPr>
        <w:t xml:space="preserve"> y Quinto</w:t>
      </w:r>
      <w:r w:rsidR="008233A9">
        <w:rPr>
          <w:rFonts w:ascii="Palatino Linotype" w:eastAsia="Palatino Linotype" w:hAnsi="Palatino Linotype" w:cs="Palatino Linotype"/>
          <w:b/>
        </w:rPr>
        <w:t xml:space="preserve"> </w:t>
      </w:r>
      <w:r w:rsidR="008233A9">
        <w:rPr>
          <w:rFonts w:ascii="Palatino Linotype" w:eastAsia="Palatino Linotype" w:hAnsi="Palatino Linotype" w:cs="Palatino Linotype"/>
        </w:rPr>
        <w:t xml:space="preserve">de esta resolución, se </w:t>
      </w:r>
      <w:r w:rsidR="0097467F">
        <w:rPr>
          <w:rFonts w:ascii="Palatino Linotype" w:eastAsia="Palatino Linotype" w:hAnsi="Palatino Linotype" w:cs="Palatino Linotype"/>
          <w:b/>
        </w:rPr>
        <w:t>REVOCA</w:t>
      </w:r>
      <w:r w:rsidR="008233A9">
        <w:rPr>
          <w:rFonts w:ascii="Palatino Linotype" w:eastAsia="Palatino Linotype" w:hAnsi="Palatino Linotype" w:cs="Palatino Linotype"/>
          <w:b/>
        </w:rPr>
        <w:t xml:space="preserve"> </w:t>
      </w:r>
      <w:r w:rsidR="008233A9">
        <w:rPr>
          <w:rFonts w:ascii="Palatino Linotype" w:eastAsia="Palatino Linotype" w:hAnsi="Palatino Linotype" w:cs="Palatino Linotype"/>
        </w:rPr>
        <w:t>la respuesta emitida por el Sujeto Obligado.</w:t>
      </w:r>
    </w:p>
    <w:p w14:paraId="05A59BBC" w14:textId="01B46992" w:rsidR="00F2018E" w:rsidRDefault="00F2018E" w:rsidP="00F2018E">
      <w:pPr>
        <w:spacing w:before="240" w:after="240" w:line="360" w:lineRule="auto"/>
        <w:ind w:right="49"/>
        <w:jc w:val="both"/>
        <w:rPr>
          <w:rFonts w:ascii="Palatino Linotype" w:hAnsi="Palatino Linotype" w:cs="Arial"/>
          <w:bCs/>
          <w:lang w:val="es-MX" w:eastAsia="en-US"/>
        </w:rPr>
      </w:pPr>
      <w:r w:rsidRPr="000818BF">
        <w:rPr>
          <w:rFonts w:ascii="Palatino Linotype" w:hAnsi="Palatino Linotype" w:cs="Arial"/>
          <w:b/>
          <w:bCs/>
          <w:lang w:val="es-MX" w:eastAsia="en-US"/>
        </w:rPr>
        <w:t xml:space="preserve">Segundo. </w:t>
      </w:r>
      <w:r w:rsidRPr="000818BF">
        <w:rPr>
          <w:rFonts w:ascii="Palatino Linotype" w:hAnsi="Palatino Linotype" w:cs="Arial"/>
          <w:lang w:val="es-MX" w:eastAsia="en-US"/>
        </w:rPr>
        <w:t xml:space="preserve">Se </w:t>
      </w:r>
      <w:r w:rsidRPr="00351228">
        <w:rPr>
          <w:rFonts w:ascii="Palatino Linotype" w:hAnsi="Palatino Linotype" w:cs="Arial"/>
          <w:b/>
          <w:lang w:val="es-MX" w:eastAsia="en-US"/>
        </w:rPr>
        <w:t>Ordena</w:t>
      </w:r>
      <w:r w:rsidRPr="00351228">
        <w:rPr>
          <w:rFonts w:ascii="Palatino Linotype" w:hAnsi="Palatino Linotype" w:cs="Arial"/>
          <w:b/>
          <w:bCs/>
          <w:lang w:val="es-MX" w:eastAsia="en-US"/>
        </w:rPr>
        <w:t xml:space="preserve"> </w:t>
      </w:r>
      <w:r w:rsidRPr="00351228">
        <w:rPr>
          <w:rFonts w:ascii="Palatino Linotype" w:hAnsi="Palatino Linotype" w:cs="Arial"/>
          <w:bCs/>
          <w:lang w:val="es-MX" w:eastAsia="en-US"/>
        </w:rPr>
        <w:t xml:space="preserve">al Sujeto Obligado, a </w:t>
      </w:r>
      <w:r w:rsidR="008233A9" w:rsidRPr="00351228">
        <w:rPr>
          <w:rFonts w:ascii="Palatino Linotype" w:hAnsi="Palatino Linotype" w:cs="Arial"/>
          <w:bCs/>
          <w:lang w:val="es-MX" w:eastAsia="en-US"/>
        </w:rPr>
        <w:t>que,</w:t>
      </w:r>
      <w:r w:rsidRPr="00351228">
        <w:rPr>
          <w:rFonts w:ascii="Palatino Linotype" w:hAnsi="Palatino Linotype" w:cs="Arial"/>
          <w:bCs/>
          <w:lang w:val="es-MX" w:eastAsia="en-US"/>
        </w:rPr>
        <w:t xml:space="preserve"> en términos del considerando </w:t>
      </w:r>
      <w:r w:rsidRPr="00351228">
        <w:rPr>
          <w:rFonts w:ascii="Palatino Linotype" w:hAnsi="Palatino Linotype" w:cs="Arial"/>
          <w:b/>
          <w:bCs/>
          <w:lang w:val="es-MX" w:eastAsia="en-US"/>
        </w:rPr>
        <w:t xml:space="preserve">Cuarto </w:t>
      </w:r>
      <w:r w:rsidRPr="00351228">
        <w:rPr>
          <w:rFonts w:ascii="Palatino Linotype" w:hAnsi="Palatino Linotype" w:cs="Arial"/>
          <w:bCs/>
          <w:lang w:val="es-MX" w:eastAsia="en-US"/>
        </w:rPr>
        <w:t xml:space="preserve">y </w:t>
      </w:r>
      <w:r w:rsidRPr="00351228">
        <w:rPr>
          <w:rFonts w:ascii="Palatino Linotype" w:hAnsi="Palatino Linotype" w:cs="Arial"/>
          <w:b/>
          <w:bCs/>
          <w:lang w:val="es-MX" w:eastAsia="en-US"/>
        </w:rPr>
        <w:t xml:space="preserve">Quinto </w:t>
      </w:r>
      <w:r w:rsidRPr="00351228">
        <w:rPr>
          <w:rFonts w:ascii="Palatino Linotype" w:hAnsi="Palatino Linotype" w:cs="Arial"/>
          <w:bCs/>
          <w:lang w:val="es-MX" w:eastAsia="en-US"/>
        </w:rPr>
        <w:t>de</w:t>
      </w:r>
      <w:r w:rsidRPr="000818BF">
        <w:rPr>
          <w:rFonts w:ascii="Palatino Linotype" w:hAnsi="Palatino Linotype" w:cs="Arial"/>
          <w:bCs/>
          <w:lang w:val="es-MX" w:eastAsia="en-US"/>
        </w:rPr>
        <w:t xml:space="preserve"> esta resolución, </w:t>
      </w:r>
      <w:r w:rsidRPr="000818BF">
        <w:rPr>
          <w:rFonts w:ascii="Palatino Linotype" w:hAnsi="Palatino Linotype" w:cs="Arial"/>
        </w:rPr>
        <w:t xml:space="preserve">haga entrega al Recurrente </w:t>
      </w:r>
      <w:r w:rsidR="003F22DD">
        <w:rPr>
          <w:rFonts w:ascii="Palatino Linotype" w:hAnsi="Palatino Linotype" w:cs="Arial"/>
          <w:lang w:val="es-MX" w:eastAsia="en-US"/>
        </w:rPr>
        <w:t>vía Sistema de Acceso a la Información Mexiquense</w:t>
      </w:r>
      <w:r w:rsidR="0097467F">
        <w:rPr>
          <w:rFonts w:ascii="Palatino Linotype" w:hAnsi="Palatino Linotype" w:cs="Arial"/>
          <w:b/>
          <w:bCs/>
          <w:lang w:val="es-MX" w:eastAsia="en-US"/>
        </w:rPr>
        <w:t>.</w:t>
      </w:r>
    </w:p>
    <w:p w14:paraId="2B64EB54" w14:textId="19F5AA67" w:rsidR="00167463" w:rsidRPr="00167463" w:rsidRDefault="00167463" w:rsidP="00167463">
      <w:pPr>
        <w:pStyle w:val="Prrafodelista"/>
        <w:numPr>
          <w:ilvl w:val="0"/>
          <w:numId w:val="9"/>
        </w:numPr>
        <w:spacing w:before="240" w:after="240" w:line="360" w:lineRule="auto"/>
        <w:ind w:right="49"/>
        <w:jc w:val="both"/>
        <w:rPr>
          <w:rFonts w:ascii="Palatino Linotype" w:hAnsi="Palatino Linotype" w:cs="Arial"/>
          <w:bCs/>
          <w:lang w:val="es-MX"/>
        </w:rPr>
      </w:pPr>
      <w:r>
        <w:rPr>
          <w:rFonts w:ascii="Palatino Linotype" w:hAnsi="Palatino Linotype" w:cs="Arial"/>
          <w:bCs/>
          <w:lang w:val="es-MX"/>
        </w:rPr>
        <w:t>Los expedientes de adquisiciones por excepción a la Licitación Pública que se hayan realizado durante el ejercicio 2020.</w:t>
      </w:r>
    </w:p>
    <w:p w14:paraId="5E0B6D55" w14:textId="77777777" w:rsidR="00F2018E" w:rsidRDefault="00F53239" w:rsidP="00A85C83">
      <w:pPr>
        <w:spacing w:after="240" w:line="360" w:lineRule="auto"/>
        <w:contextualSpacing/>
        <w:jc w:val="both"/>
        <w:rPr>
          <w:rFonts w:ascii="Palatino Linotype" w:hAnsi="Palatino Linotype"/>
        </w:rPr>
      </w:pPr>
      <w:r>
        <w:rPr>
          <w:rFonts w:ascii="Palatino Linotype" w:hAnsi="Palatino Linotype"/>
        </w:rPr>
        <w:t>De ser procedente, d</w:t>
      </w:r>
      <w:r w:rsidR="00F2018E">
        <w:rPr>
          <w:rFonts w:ascii="Palatino Linotype" w:hAnsi="Palatino Linotype"/>
        </w:rPr>
        <w:t>ebiendo</w:t>
      </w:r>
      <w:r w:rsidR="00F2018E" w:rsidRPr="00502959">
        <w:rPr>
          <w:rFonts w:ascii="Palatino Linotype" w:hAnsi="Palatino Linotype"/>
        </w:rPr>
        <w:t xml:space="preserve">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14:paraId="776E32F0" w14:textId="2BA9533C" w:rsidR="00044C51" w:rsidRDefault="0097467F" w:rsidP="00A85C83">
      <w:pPr>
        <w:spacing w:after="240" w:line="360" w:lineRule="auto"/>
        <w:contextualSpacing/>
        <w:jc w:val="both"/>
        <w:rPr>
          <w:rFonts w:ascii="Palatino Linotype" w:hAnsi="Palatino Linotype"/>
        </w:rPr>
      </w:pPr>
      <w:r>
        <w:rPr>
          <w:rFonts w:ascii="Palatino Linotype" w:hAnsi="Palatino Linotype"/>
        </w:rPr>
        <w:t>Para el caso de no haber generado la información que se ordena, se deberá fundar y motivar dicha situación para tener por entendido dicho requerimiento.</w:t>
      </w:r>
    </w:p>
    <w:p w14:paraId="59A511F4" w14:textId="77777777" w:rsidR="00C60F46" w:rsidRDefault="00C60F46" w:rsidP="00A85C83">
      <w:pPr>
        <w:spacing w:after="240" w:line="360" w:lineRule="auto"/>
        <w:contextualSpacing/>
        <w:jc w:val="both"/>
        <w:rPr>
          <w:rFonts w:ascii="Palatino Linotype" w:hAnsi="Palatino Linotype"/>
        </w:rPr>
      </w:pPr>
    </w:p>
    <w:p w14:paraId="2CAEA5B8" w14:textId="77777777" w:rsidR="00F2018E" w:rsidRPr="000818BF" w:rsidRDefault="00F2018E" w:rsidP="00F2018E">
      <w:pPr>
        <w:spacing w:before="240" w:after="240" w:line="360" w:lineRule="auto"/>
        <w:ind w:right="49"/>
        <w:jc w:val="both"/>
        <w:rPr>
          <w:rFonts w:ascii="Palatino Linotype" w:eastAsia="MS Mincho" w:hAnsi="Palatino Linotype"/>
          <w:shd w:val="clear" w:color="auto" w:fill="FFFFFF"/>
          <w:lang w:val="es-ES_tradnl"/>
        </w:rPr>
      </w:pPr>
      <w:r w:rsidRPr="000818BF">
        <w:rPr>
          <w:rFonts w:ascii="Palatino Linotype" w:hAnsi="Palatino Linotype" w:cs="Arial"/>
          <w:b/>
          <w:bCs/>
          <w:shd w:val="clear" w:color="auto" w:fill="FFFFFF"/>
        </w:rPr>
        <w:t xml:space="preserve">Tercero. </w:t>
      </w:r>
      <w:r w:rsidR="004E09BF">
        <w:rPr>
          <w:rFonts w:ascii="Palatino Linotype" w:eastAsia="MS Mincho" w:hAnsi="Palatino Linotype" w:cs="Arial"/>
          <w:b/>
          <w:bCs/>
          <w:shd w:val="clear" w:color="auto" w:fill="FFFFFF"/>
          <w:lang w:val="es-ES_tradnl"/>
        </w:rPr>
        <w:t>Notifíquese</w:t>
      </w:r>
      <w:r w:rsidRPr="000818BF">
        <w:rPr>
          <w:rFonts w:ascii="Palatino Linotype" w:eastAsia="MS Mincho" w:hAnsi="Palatino Linotype" w:cs="Arial"/>
          <w:b/>
          <w:bCs/>
          <w:shd w:val="clear" w:color="auto" w:fill="FFFFFF"/>
          <w:lang w:val="es-ES_tradnl"/>
        </w:rPr>
        <w:t xml:space="preserve"> </w:t>
      </w:r>
      <w:r w:rsidRPr="000818BF">
        <w:rPr>
          <w:rFonts w:ascii="Palatino Linotype" w:hAnsi="Palatino Linotype" w:cs="Arial"/>
        </w:rPr>
        <w:t xml:space="preserve">la presente resolución, </w:t>
      </w:r>
      <w:r w:rsidRPr="000818BF">
        <w:rPr>
          <w:rFonts w:ascii="Palatino Linotype" w:hAnsi="Palatino Linotype" w:cs="Arial"/>
          <w:lang w:val="es-MX"/>
        </w:rPr>
        <w:t>al Responsable de la Unidad de Transparencia del Sujeto Obligado</w:t>
      </w:r>
      <w:r w:rsidRPr="000818BF">
        <w:rPr>
          <w:rFonts w:ascii="Palatino Linotype" w:eastAsia="MS Mincho" w:hAnsi="Palatino Linotype"/>
          <w:shd w:val="clear" w:color="auto" w:fill="FFFFFF"/>
          <w:lang w:val="es-ES_tradnl"/>
        </w:rPr>
        <w:t xml:space="preserve">, para que conforme a los artículos 186 último párrafo y 189 párrafo segundo de la Ley de Transparencia y Acceso a la Información </w:t>
      </w:r>
      <w:r w:rsidRPr="000818BF">
        <w:rPr>
          <w:rFonts w:ascii="Palatino Linotype" w:eastAsia="MS Mincho" w:hAnsi="Palatino Linotype"/>
          <w:shd w:val="clear" w:color="auto" w:fill="FFFFFF"/>
          <w:lang w:val="es-ES_tradnl"/>
        </w:rPr>
        <w:lastRenderedPageBreak/>
        <w:t>Pública del Estado de México y Municipios, dé cumplimiento a lo ordenado dentro del plazo de diez días hábiles, debiendo informar a este Instituto en un plazo de tres días hábiles siguientes sobre el cumplimiento dado a la presente resolución.</w:t>
      </w:r>
    </w:p>
    <w:p w14:paraId="018195AF" w14:textId="77777777" w:rsidR="009C2AE3" w:rsidRDefault="009C2AE3" w:rsidP="00425F15">
      <w:pPr>
        <w:spacing w:before="240" w:after="240" w:line="360" w:lineRule="auto"/>
        <w:jc w:val="both"/>
        <w:rPr>
          <w:rFonts w:ascii="Palatino Linotype" w:hAnsi="Palatino Linotype" w:cs="Arial"/>
          <w:b/>
        </w:rPr>
      </w:pPr>
    </w:p>
    <w:p w14:paraId="431842C9" w14:textId="77777777" w:rsidR="00425F15" w:rsidRDefault="00F2018E" w:rsidP="00425F15">
      <w:pPr>
        <w:spacing w:before="240" w:after="240" w:line="360" w:lineRule="auto"/>
        <w:jc w:val="both"/>
        <w:rPr>
          <w:rFonts w:ascii="Palatino Linotype" w:hAnsi="Palatino Linotype"/>
        </w:rPr>
      </w:pPr>
      <w:r w:rsidRPr="000818BF">
        <w:rPr>
          <w:rFonts w:ascii="Palatino Linotype" w:hAnsi="Palatino Linotype" w:cs="Arial"/>
          <w:b/>
        </w:rPr>
        <w:t>Cuarto. Hágase del conocimiento</w:t>
      </w:r>
      <w:r w:rsidRPr="000818BF">
        <w:rPr>
          <w:rFonts w:ascii="Palatino Linotype" w:hAnsi="Palatino Linotype" w:cs="Arial"/>
        </w:rPr>
        <w:t xml:space="preserve"> del Recurrente</w:t>
      </w:r>
      <w:r w:rsidRPr="000818BF">
        <w:rPr>
          <w:rFonts w:ascii="Palatino Linotype" w:hAnsi="Palatino Linotype" w:cs="Arial"/>
          <w:b/>
        </w:rPr>
        <w:t>,</w:t>
      </w:r>
      <w:r w:rsidRPr="000818BF">
        <w:rPr>
          <w:rFonts w:ascii="Palatino Linotype" w:hAnsi="Palatino Linotype"/>
          <w:b/>
          <w:bCs/>
        </w:rPr>
        <w:t xml:space="preserve"> </w:t>
      </w:r>
      <w:r w:rsidRPr="000818BF">
        <w:rPr>
          <w:rFonts w:ascii="Palatino Linotype" w:hAnsi="Palatino Linotype"/>
        </w:rPr>
        <w:t xml:space="preserve">la presente resolución, así como, que de conformidad con lo establecido en el artículo 196 de la Ley de Transparencia y Acceso a la Información Pública del Estado de México y Municipios, en caso de que considere que le causa algún perjuicio podrá impugnarla </w:t>
      </w:r>
      <w:r w:rsidRPr="00EC1780">
        <w:rPr>
          <w:rFonts w:ascii="Palatino Linotype" w:hAnsi="Palatino Linotype"/>
        </w:rPr>
        <w:t>vía Juicio de Amparo</w:t>
      </w:r>
      <w:r w:rsidRPr="000818BF">
        <w:rPr>
          <w:rFonts w:ascii="Palatino Linotype" w:hAnsi="Palatino Linotype"/>
        </w:rPr>
        <w:t xml:space="preserve"> en los términos de las leyes aplicables.</w:t>
      </w:r>
    </w:p>
    <w:p w14:paraId="635811DF" w14:textId="77777777" w:rsidR="009C2AE3" w:rsidRDefault="009C2AE3" w:rsidP="005642F3">
      <w:pPr>
        <w:spacing w:after="240" w:line="360" w:lineRule="auto"/>
        <w:jc w:val="both"/>
        <w:rPr>
          <w:rFonts w:ascii="Palatino Linotype" w:hAnsi="Palatino Linotype"/>
          <w:b/>
          <w:szCs w:val="25"/>
        </w:rPr>
      </w:pPr>
    </w:p>
    <w:p w14:paraId="14C6E2AD" w14:textId="77777777" w:rsidR="005642F3" w:rsidRPr="002504B2" w:rsidRDefault="00A85C83" w:rsidP="005642F3">
      <w:pPr>
        <w:spacing w:after="240" w:line="360" w:lineRule="auto"/>
        <w:jc w:val="both"/>
        <w:rPr>
          <w:rFonts w:ascii="Palatino Linotype" w:hAnsi="Palatino Linotype" w:cs="Arial"/>
          <w:b/>
        </w:rPr>
      </w:pPr>
      <w:r w:rsidRPr="00A85C83">
        <w:rPr>
          <w:rFonts w:ascii="Palatino Linotype" w:hAnsi="Palatino Linotype"/>
          <w:b/>
          <w:szCs w:val="25"/>
        </w:rPr>
        <w:t>Quinto</w:t>
      </w:r>
      <w:r w:rsidR="008233A9" w:rsidRPr="00A85C83">
        <w:rPr>
          <w:rFonts w:ascii="Palatino Linotype" w:hAnsi="Palatino Linotype"/>
          <w:b/>
          <w:szCs w:val="25"/>
        </w:rPr>
        <w:t>.</w:t>
      </w:r>
      <w:r w:rsidR="008233A9">
        <w:rPr>
          <w:rFonts w:ascii="Palatino Linotype" w:hAnsi="Palatino Linotype"/>
          <w:szCs w:val="25"/>
        </w:rPr>
        <w:t xml:space="preserve"> </w:t>
      </w:r>
      <w:r w:rsidR="005642F3" w:rsidRPr="002504B2">
        <w:rPr>
          <w:rFonts w:ascii="Palatino Linotype"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sidR="00A5794E">
        <w:rPr>
          <w:rFonts w:ascii="Palatino Linotype" w:hAnsi="Palatino Linotype" w:cs="Arial"/>
          <w:bCs/>
        </w:rPr>
        <w:t>.</w:t>
      </w:r>
    </w:p>
    <w:p w14:paraId="4FEEE682" w14:textId="77777777" w:rsidR="009C2AE3" w:rsidRDefault="009C2AE3" w:rsidP="002E5396">
      <w:pPr>
        <w:spacing w:before="240" w:after="240" w:line="360" w:lineRule="auto"/>
        <w:jc w:val="both"/>
        <w:rPr>
          <w:rFonts w:ascii="Palatino Linotype" w:hAnsi="Palatino Linotype"/>
          <w:color w:val="222222"/>
          <w:shd w:val="clear" w:color="auto" w:fill="FFFFFF"/>
        </w:rPr>
      </w:pPr>
    </w:p>
    <w:p w14:paraId="44B273CD" w14:textId="77777777" w:rsidR="009C2AE3" w:rsidRDefault="009C2AE3" w:rsidP="002E5396">
      <w:pPr>
        <w:spacing w:before="240" w:after="240" w:line="360" w:lineRule="auto"/>
        <w:jc w:val="both"/>
        <w:rPr>
          <w:rFonts w:ascii="Palatino Linotype" w:hAnsi="Palatino Linotype"/>
          <w:color w:val="222222"/>
          <w:shd w:val="clear" w:color="auto" w:fill="FFFFFF"/>
        </w:rPr>
      </w:pPr>
    </w:p>
    <w:p w14:paraId="2CF2CF88" w14:textId="6F775978" w:rsidR="00CF1512" w:rsidRDefault="00057382" w:rsidP="002E5396">
      <w:pPr>
        <w:spacing w:before="240" w:after="240" w:line="360" w:lineRule="auto"/>
        <w:jc w:val="both"/>
        <w:rPr>
          <w:rFonts w:ascii="Palatino Linotype" w:hAnsi="Palatino Linotype" w:cs="Arial"/>
        </w:rPr>
        <w:sectPr w:rsidR="00CF1512" w:rsidSect="00971EFF">
          <w:headerReference w:type="default" r:id="rId12"/>
          <w:footerReference w:type="default" r:id="rId13"/>
          <w:headerReference w:type="first" r:id="rId14"/>
          <w:footerReference w:type="first" r:id="rId15"/>
          <w:pgSz w:w="12240" w:h="15840" w:code="1"/>
          <w:pgMar w:top="1417" w:right="1701" w:bottom="1417" w:left="1701" w:header="709" w:footer="709" w:gutter="0"/>
          <w:cols w:space="708"/>
          <w:titlePg/>
          <w:docGrid w:linePitch="360"/>
        </w:sectPr>
      </w:pPr>
      <w:r>
        <w:rPr>
          <w:rFonts w:ascii="Palatino Linotype" w:hAnsi="Palatino Linotype"/>
          <w:color w:val="222222"/>
          <w:shd w:val="clear" w:color="auto" w:fill="FFFFFF"/>
        </w:rPr>
        <w:t>ASÍ LO RESUELVE, POR UNANIMIDAD DE VOTOS, EL PLENO DEL INSTITUTO DE TRANSPARENCIA, ACCESO A LA INFORMACIÓN PÚBLICA Y PROTECCIÓN DE DATOS PERSONALES DEL ESTADO DE MÉXICO Y MUNICIPIOS, CONFORMADO POR LOS COMISIONADOS </w:t>
      </w:r>
      <w:r w:rsidRPr="00057382">
        <w:rPr>
          <w:rFonts w:ascii="Palatino Linotype" w:hAnsi="Palatino Linotype"/>
          <w:color w:val="222222"/>
          <w:shd w:val="clear" w:color="auto" w:fill="FFFFFF"/>
        </w:rPr>
        <w:t xml:space="preserve">JOSÉ MARTÍNEZ VILCHIS, MARÍA DEL ROSARIO MEJÍA AYALA, SHARON CRISTINA </w:t>
      </w:r>
      <w:r w:rsidRPr="00057382">
        <w:rPr>
          <w:rFonts w:ascii="Palatino Linotype" w:hAnsi="Palatino Linotype"/>
          <w:color w:val="222222"/>
          <w:shd w:val="clear" w:color="auto" w:fill="FFFFFF"/>
        </w:rPr>
        <w:lastRenderedPageBreak/>
        <w:t xml:space="preserve">MORALES MARTÍNEZ, LUIS GUSTAVO PARRA NORIEGA Y GUADALUPE RAMÍREZ PEÑA; EN </w:t>
      </w:r>
      <w:r>
        <w:rPr>
          <w:rFonts w:ascii="Palatino Linotype" w:hAnsi="Palatino Linotype"/>
          <w:color w:val="222222"/>
          <w:shd w:val="clear" w:color="auto" w:fill="FFFFFF"/>
        </w:rPr>
        <w:t xml:space="preserve">LA TRIGÉSIMA </w:t>
      </w:r>
      <w:r w:rsidR="004C202A">
        <w:rPr>
          <w:rFonts w:ascii="Palatino Linotype" w:hAnsi="Palatino Linotype"/>
          <w:color w:val="222222"/>
          <w:shd w:val="clear" w:color="auto" w:fill="FFFFFF"/>
        </w:rPr>
        <w:t>QUINTA</w:t>
      </w:r>
      <w:r w:rsidR="00C60F46">
        <w:rPr>
          <w:rFonts w:ascii="Palatino Linotype" w:hAnsi="Palatino Linotype"/>
          <w:color w:val="222222"/>
          <w:shd w:val="clear" w:color="auto" w:fill="FFFFFF"/>
        </w:rPr>
        <w:t xml:space="preserve"> </w:t>
      </w:r>
      <w:r w:rsidRPr="00057382">
        <w:rPr>
          <w:rFonts w:ascii="Palatino Linotype" w:hAnsi="Palatino Linotype"/>
          <w:color w:val="222222"/>
          <w:shd w:val="clear" w:color="auto" w:fill="FFFFFF"/>
        </w:rPr>
        <w:t xml:space="preserve">SESIÓN ORDINARIA CELEBRADA EL </w:t>
      </w:r>
      <w:r w:rsidR="004C202A">
        <w:rPr>
          <w:rFonts w:ascii="Palatino Linotype" w:hAnsi="Palatino Linotype"/>
          <w:color w:val="222222"/>
          <w:shd w:val="clear" w:color="auto" w:fill="FFFFFF"/>
        </w:rPr>
        <w:t>SEIS DE OCTUBRE</w:t>
      </w:r>
      <w:r w:rsidRPr="00C16B45">
        <w:rPr>
          <w:rFonts w:ascii="Palatino Linotype" w:hAnsi="Palatino Linotype"/>
        </w:rPr>
        <w:t xml:space="preserve"> </w:t>
      </w:r>
      <w:r w:rsidR="00225356" w:rsidRPr="00C16B45">
        <w:rPr>
          <w:rFonts w:ascii="Palatino Linotype" w:hAnsi="Palatino Linotype"/>
        </w:rPr>
        <w:t xml:space="preserve">DE </w:t>
      </w:r>
      <w:r w:rsidR="00F64AB3">
        <w:rPr>
          <w:rFonts w:ascii="Palatino Linotype" w:hAnsi="Palatino Linotype"/>
        </w:rPr>
        <w:t>DOS MIL VEINTIUNO</w:t>
      </w:r>
      <w:r w:rsidR="002E5396" w:rsidRPr="00C16B45">
        <w:rPr>
          <w:rFonts w:ascii="Palatino Linotype" w:hAnsi="Palatino Linotype"/>
        </w:rPr>
        <w:t>, ANTE</w:t>
      </w:r>
      <w:r w:rsidR="002E5396" w:rsidRPr="00080788">
        <w:rPr>
          <w:rFonts w:ascii="Palatino Linotype" w:hAnsi="Palatino Linotype"/>
        </w:rPr>
        <w:t xml:space="preserve"> EL SECRETARIO TÉCNICO DEL PLENO ALEXIS TAPIA RAMÍREZ.</w:t>
      </w:r>
    </w:p>
    <w:p w14:paraId="7A104F39" w14:textId="77777777" w:rsidR="00CF1512" w:rsidRDefault="00CF1512" w:rsidP="002E5396">
      <w:pPr>
        <w:spacing w:before="240" w:after="240" w:line="360" w:lineRule="auto"/>
        <w:jc w:val="both"/>
        <w:rPr>
          <w:rFonts w:ascii="Palatino Linotype" w:hAnsi="Palatino Linotype" w:cs="Arial"/>
        </w:rPr>
      </w:pPr>
    </w:p>
    <w:p w14:paraId="5EBC2E19" w14:textId="77777777" w:rsidR="00CF1512" w:rsidRDefault="00CF1512" w:rsidP="002E5396">
      <w:pPr>
        <w:spacing w:before="240" w:after="240" w:line="360" w:lineRule="auto"/>
        <w:jc w:val="both"/>
        <w:rPr>
          <w:rFonts w:ascii="Palatino Linotype" w:hAnsi="Palatino Linotype" w:cs="Arial"/>
        </w:rPr>
      </w:pPr>
    </w:p>
    <w:p w14:paraId="7441609A" w14:textId="77777777" w:rsidR="00CF1512" w:rsidRPr="00080788" w:rsidRDefault="00CF1512" w:rsidP="002E5396">
      <w:pPr>
        <w:spacing w:before="240" w:after="240" w:line="360" w:lineRule="auto"/>
        <w:jc w:val="both"/>
        <w:rPr>
          <w:rFonts w:ascii="Palatino Linotype" w:hAnsi="Palatino Linotype" w:cs="Arial"/>
        </w:rPr>
      </w:pPr>
    </w:p>
    <w:sectPr w:rsidR="00CF1512" w:rsidRPr="00080788" w:rsidSect="00546029">
      <w:headerReference w:type="first" r:id="rId16"/>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CBEB6A" w14:textId="77777777" w:rsidR="0073723D" w:rsidRDefault="0073723D" w:rsidP="00224D6A">
      <w:r>
        <w:separator/>
      </w:r>
    </w:p>
  </w:endnote>
  <w:endnote w:type="continuationSeparator" w:id="0">
    <w:p w14:paraId="0A11B1C4" w14:textId="77777777" w:rsidR="0073723D" w:rsidRDefault="0073723D" w:rsidP="00224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17B918" w14:textId="77777777" w:rsidR="009923BB" w:rsidRPr="00F12350" w:rsidRDefault="009923BB" w:rsidP="00B276B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702A6">
      <w:rPr>
        <w:rFonts w:ascii="Palatino Linotype" w:hAnsi="Palatino Linotype" w:cs="Arial"/>
        <w:b/>
        <w:bCs/>
        <w:noProof/>
        <w:sz w:val="20"/>
        <w:szCs w:val="20"/>
      </w:rPr>
      <w:t>5</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702A6">
      <w:rPr>
        <w:rFonts w:ascii="Palatino Linotype" w:hAnsi="Palatino Linotype" w:cs="Arial"/>
        <w:b/>
        <w:bCs/>
        <w:noProof/>
        <w:sz w:val="20"/>
        <w:szCs w:val="20"/>
      </w:rPr>
      <w:t>34</w:t>
    </w:r>
    <w:r w:rsidRPr="00F12350">
      <w:rPr>
        <w:rFonts w:ascii="Palatino Linotype" w:hAnsi="Palatino Linotype" w:cs="Arial"/>
        <w:b/>
        <w:bCs/>
        <w:sz w:val="20"/>
        <w:szCs w:val="20"/>
      </w:rPr>
      <w:fldChar w:fldCharType="end"/>
    </w:r>
  </w:p>
  <w:p w14:paraId="2D24A9BB" w14:textId="77777777" w:rsidR="009923BB" w:rsidRDefault="009923B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B783A5" w14:textId="77777777" w:rsidR="009923BB" w:rsidRPr="00F12350" w:rsidRDefault="009923BB" w:rsidP="00B276B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702A6">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702A6">
      <w:rPr>
        <w:rFonts w:ascii="Palatino Linotype" w:hAnsi="Palatino Linotype" w:cs="Arial"/>
        <w:b/>
        <w:bCs/>
        <w:noProof/>
        <w:sz w:val="20"/>
        <w:szCs w:val="20"/>
      </w:rPr>
      <w:t>34</w:t>
    </w:r>
    <w:r w:rsidRPr="00F12350">
      <w:rPr>
        <w:rFonts w:ascii="Palatino Linotype" w:hAnsi="Palatino Linotype" w:cs="Arial"/>
        <w:b/>
        <w:bCs/>
        <w:sz w:val="20"/>
        <w:szCs w:val="20"/>
      </w:rPr>
      <w:fldChar w:fldCharType="end"/>
    </w:r>
  </w:p>
  <w:p w14:paraId="2E4220AB" w14:textId="77777777" w:rsidR="009923BB" w:rsidRDefault="009923B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8D11DC" w14:textId="77777777" w:rsidR="0073723D" w:rsidRDefault="0073723D" w:rsidP="00224D6A">
      <w:r>
        <w:separator/>
      </w:r>
    </w:p>
  </w:footnote>
  <w:footnote w:type="continuationSeparator" w:id="0">
    <w:p w14:paraId="38CDBD5F" w14:textId="77777777" w:rsidR="0073723D" w:rsidRDefault="0073723D" w:rsidP="00224D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8E5DC5" w14:textId="77777777" w:rsidR="009923BB" w:rsidRDefault="009923BB" w:rsidP="00E72E93">
    <w:pPr>
      <w:pStyle w:val="Encabezado"/>
      <w:jc w:val="both"/>
    </w:pPr>
    <w:r>
      <w:rPr>
        <w:noProof/>
        <w:lang w:val="es-MX" w:eastAsia="es-MX"/>
      </w:rPr>
      <w:drawing>
        <wp:anchor distT="0" distB="0" distL="114300" distR="114300" simplePos="0" relativeHeight="251661312" behindDoc="1" locked="0" layoutInCell="1" allowOverlap="1" wp14:anchorId="250260EE" wp14:editId="674D4E45">
          <wp:simplePos x="0" y="0"/>
          <wp:positionH relativeFrom="page">
            <wp:posOffset>414274</wp:posOffset>
          </wp:positionH>
          <wp:positionV relativeFrom="paragraph">
            <wp:posOffset>-453618</wp:posOffset>
          </wp:positionV>
          <wp:extent cx="7635600" cy="9943200"/>
          <wp:effectExtent l="0" t="0" r="3810" b="127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W w:w="5812" w:type="dxa"/>
      <w:tblInd w:w="3119" w:type="dxa"/>
      <w:tblLayout w:type="fixed"/>
      <w:tblLook w:val="04A0" w:firstRow="1" w:lastRow="0" w:firstColumn="1" w:lastColumn="0" w:noHBand="0" w:noVBand="1"/>
    </w:tblPr>
    <w:tblGrid>
      <w:gridCol w:w="2551"/>
      <w:gridCol w:w="3261"/>
    </w:tblGrid>
    <w:tr w:rsidR="001E4AAA" w14:paraId="28B7FC7F" w14:textId="77777777" w:rsidTr="00A97BFE">
      <w:tc>
        <w:tcPr>
          <w:tcW w:w="2551" w:type="dxa"/>
          <w:vAlign w:val="center"/>
          <w:hideMark/>
        </w:tcPr>
        <w:p w14:paraId="739B4A4B" w14:textId="77777777" w:rsidR="001E4AAA" w:rsidRDefault="001E4AAA" w:rsidP="001E4AAA">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261" w:type="dxa"/>
          <w:vAlign w:val="center"/>
          <w:hideMark/>
        </w:tcPr>
        <w:p w14:paraId="277E05FA" w14:textId="77777777" w:rsidR="001E4AAA" w:rsidRPr="00A623B0" w:rsidRDefault="001E4AAA" w:rsidP="001E4AAA">
          <w:pPr>
            <w:jc w:val="both"/>
            <w:rPr>
              <w:rFonts w:ascii="Palatino Linotype" w:hAnsi="Palatino Linotype"/>
              <w:b/>
              <w:sz w:val="22"/>
              <w:szCs w:val="22"/>
              <w:lang w:val="es-ES_tradnl"/>
            </w:rPr>
          </w:pPr>
          <w:r w:rsidRPr="00A623B0">
            <w:rPr>
              <w:rFonts w:ascii="Palatino Linotype" w:hAnsi="Palatino Linotype"/>
              <w:b/>
              <w:sz w:val="22"/>
              <w:szCs w:val="22"/>
              <w:lang w:val="es-ES_tradnl"/>
            </w:rPr>
            <w:t xml:space="preserve">01119/INFOEM/IP/RR/2021. </w:t>
          </w:r>
        </w:p>
      </w:tc>
    </w:tr>
    <w:tr w:rsidR="001E4AAA" w14:paraId="42818754" w14:textId="77777777" w:rsidTr="00A97BFE">
      <w:tc>
        <w:tcPr>
          <w:tcW w:w="2551" w:type="dxa"/>
          <w:vAlign w:val="center"/>
          <w:hideMark/>
        </w:tcPr>
        <w:p w14:paraId="355E6237" w14:textId="77777777" w:rsidR="001E4AAA" w:rsidRDefault="001E4AAA" w:rsidP="001E4AAA">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261" w:type="dxa"/>
          <w:vAlign w:val="center"/>
          <w:hideMark/>
        </w:tcPr>
        <w:p w14:paraId="00EA95CD" w14:textId="1B414F65" w:rsidR="001E4AAA" w:rsidRPr="00A623B0" w:rsidRDefault="007702A6" w:rsidP="001E4AAA">
          <w:pPr>
            <w:jc w:val="both"/>
            <w:rPr>
              <w:rFonts w:ascii="Palatino Linotype" w:hAnsi="Palatino Linotype"/>
              <w:b/>
              <w:sz w:val="22"/>
              <w:szCs w:val="22"/>
              <w:lang w:val="es-ES_tradnl"/>
            </w:rPr>
          </w:pPr>
          <w:r>
            <w:rPr>
              <w:rFonts w:ascii="Palatino Linotype" w:hAnsi="Palatino Linotype"/>
              <w:b/>
              <w:sz w:val="22"/>
              <w:szCs w:val="22"/>
              <w:lang w:val="es-ES_tradnl"/>
            </w:rPr>
            <w:t>XXXXXXXXXX</w:t>
          </w:r>
        </w:p>
      </w:tc>
    </w:tr>
    <w:tr w:rsidR="001E4AAA" w14:paraId="7378216D" w14:textId="77777777" w:rsidTr="00A97BFE">
      <w:trPr>
        <w:trHeight w:val="228"/>
      </w:trPr>
      <w:tc>
        <w:tcPr>
          <w:tcW w:w="2551" w:type="dxa"/>
          <w:vAlign w:val="center"/>
          <w:hideMark/>
        </w:tcPr>
        <w:p w14:paraId="7E3181A5" w14:textId="77777777" w:rsidR="001E4AAA" w:rsidRDefault="001E4AAA" w:rsidP="001E4AAA">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261" w:type="dxa"/>
          <w:vAlign w:val="center"/>
          <w:hideMark/>
        </w:tcPr>
        <w:p w14:paraId="4C47A455" w14:textId="77777777" w:rsidR="001E4AAA" w:rsidRPr="00A623B0" w:rsidRDefault="001E4AAA" w:rsidP="001E4AAA">
          <w:pPr>
            <w:ind w:right="-533"/>
            <w:jc w:val="both"/>
            <w:rPr>
              <w:rFonts w:ascii="Palatino Linotype" w:hAnsi="Palatino Linotype"/>
              <w:b/>
              <w:sz w:val="22"/>
              <w:szCs w:val="22"/>
              <w:lang w:val="es-ES_tradnl"/>
            </w:rPr>
          </w:pPr>
          <w:r w:rsidRPr="00A623B0">
            <w:rPr>
              <w:rFonts w:ascii="Palatino Linotype" w:hAnsi="Palatino Linotype"/>
              <w:b/>
              <w:sz w:val="22"/>
              <w:szCs w:val="22"/>
              <w:lang w:val="es-ES_tradnl"/>
            </w:rPr>
            <w:t>Ayuntamiento de Ayapango.</w:t>
          </w:r>
        </w:p>
      </w:tc>
    </w:tr>
    <w:tr w:rsidR="001E4AAA" w14:paraId="359CB7CB" w14:textId="77777777" w:rsidTr="00A97BFE">
      <w:tc>
        <w:tcPr>
          <w:tcW w:w="2551" w:type="dxa"/>
          <w:vAlign w:val="center"/>
          <w:hideMark/>
        </w:tcPr>
        <w:p w14:paraId="62A7368D" w14:textId="77777777" w:rsidR="001E4AAA" w:rsidRDefault="001E4AAA" w:rsidP="001E4AAA">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261" w:type="dxa"/>
          <w:vAlign w:val="center"/>
          <w:hideMark/>
        </w:tcPr>
        <w:p w14:paraId="43E4A50D" w14:textId="77777777" w:rsidR="001E4AAA" w:rsidRDefault="001E4AAA" w:rsidP="001E4AAA">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27C13374" w14:textId="77777777" w:rsidR="009923BB" w:rsidRDefault="009923BB" w:rsidP="00E4481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FBADFC" w14:textId="77777777" w:rsidR="009923BB" w:rsidRDefault="009923BB" w:rsidP="00C16B45">
    <w:pPr>
      <w:pStyle w:val="Encabezado"/>
      <w:jc w:val="both"/>
    </w:pPr>
    <w:r>
      <w:rPr>
        <w:noProof/>
        <w:lang w:val="es-MX" w:eastAsia="es-MX"/>
      </w:rPr>
      <w:drawing>
        <wp:anchor distT="0" distB="0" distL="114300" distR="114300" simplePos="0" relativeHeight="251659264" behindDoc="1" locked="0" layoutInCell="1" allowOverlap="1" wp14:anchorId="1BC095AB" wp14:editId="463A8A7A">
          <wp:simplePos x="0" y="0"/>
          <wp:positionH relativeFrom="page">
            <wp:posOffset>399821</wp:posOffset>
          </wp:positionH>
          <wp:positionV relativeFrom="paragraph">
            <wp:posOffset>-168885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W w:w="5812" w:type="dxa"/>
      <w:tblInd w:w="3119" w:type="dxa"/>
      <w:tblLayout w:type="fixed"/>
      <w:tblLook w:val="04A0" w:firstRow="1" w:lastRow="0" w:firstColumn="1" w:lastColumn="0" w:noHBand="0" w:noVBand="1"/>
    </w:tblPr>
    <w:tblGrid>
      <w:gridCol w:w="2551"/>
      <w:gridCol w:w="3261"/>
    </w:tblGrid>
    <w:tr w:rsidR="009923BB" w14:paraId="55AC8075" w14:textId="77777777" w:rsidTr="00FF6012">
      <w:tc>
        <w:tcPr>
          <w:tcW w:w="2551" w:type="dxa"/>
          <w:vAlign w:val="center"/>
          <w:hideMark/>
        </w:tcPr>
        <w:p w14:paraId="094E4F6D" w14:textId="77777777" w:rsidR="009923BB" w:rsidRDefault="009923BB" w:rsidP="00224D6A">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261" w:type="dxa"/>
          <w:vAlign w:val="center"/>
          <w:hideMark/>
        </w:tcPr>
        <w:p w14:paraId="1C49C8E3" w14:textId="77777777" w:rsidR="009923BB" w:rsidRPr="00A623B0" w:rsidRDefault="009923BB" w:rsidP="00A623B0">
          <w:pPr>
            <w:jc w:val="both"/>
            <w:rPr>
              <w:rFonts w:ascii="Palatino Linotype" w:hAnsi="Palatino Linotype"/>
              <w:b/>
              <w:sz w:val="22"/>
              <w:szCs w:val="22"/>
              <w:lang w:val="es-ES_tradnl"/>
            </w:rPr>
          </w:pPr>
          <w:r w:rsidRPr="00A623B0">
            <w:rPr>
              <w:rFonts w:ascii="Palatino Linotype" w:hAnsi="Palatino Linotype"/>
              <w:b/>
              <w:sz w:val="22"/>
              <w:szCs w:val="22"/>
              <w:lang w:val="es-ES_tradnl"/>
            </w:rPr>
            <w:t>0</w:t>
          </w:r>
          <w:r w:rsidR="00A623B0" w:rsidRPr="00A623B0">
            <w:rPr>
              <w:rFonts w:ascii="Palatino Linotype" w:hAnsi="Palatino Linotype"/>
              <w:b/>
              <w:sz w:val="22"/>
              <w:szCs w:val="22"/>
              <w:lang w:val="es-ES_tradnl"/>
            </w:rPr>
            <w:t>1119</w:t>
          </w:r>
          <w:r w:rsidRPr="00A623B0">
            <w:rPr>
              <w:rFonts w:ascii="Palatino Linotype" w:hAnsi="Palatino Linotype"/>
              <w:b/>
              <w:sz w:val="22"/>
              <w:szCs w:val="22"/>
              <w:lang w:val="es-ES_tradnl"/>
            </w:rPr>
            <w:t xml:space="preserve">/INFOEM/IP/RR/2021. </w:t>
          </w:r>
        </w:p>
      </w:tc>
    </w:tr>
    <w:tr w:rsidR="009923BB" w14:paraId="24825B4F" w14:textId="77777777" w:rsidTr="00FF6012">
      <w:tc>
        <w:tcPr>
          <w:tcW w:w="2551" w:type="dxa"/>
          <w:vAlign w:val="center"/>
          <w:hideMark/>
        </w:tcPr>
        <w:p w14:paraId="55C8FA18" w14:textId="77777777" w:rsidR="009923BB" w:rsidRDefault="009923BB" w:rsidP="00224D6A">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261" w:type="dxa"/>
          <w:vAlign w:val="center"/>
          <w:hideMark/>
        </w:tcPr>
        <w:p w14:paraId="1A2F52A6" w14:textId="29CBE960" w:rsidR="009923BB" w:rsidRPr="00A623B0" w:rsidRDefault="00925CAF" w:rsidP="00224D6A">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sidR="009923BB" w:rsidRPr="00A623B0">
            <w:rPr>
              <w:rFonts w:ascii="Palatino Linotype" w:hAnsi="Palatino Linotype"/>
              <w:b/>
              <w:sz w:val="22"/>
              <w:szCs w:val="22"/>
              <w:lang w:val="es-ES_tradnl"/>
            </w:rPr>
            <w:t>.</w:t>
          </w:r>
        </w:p>
      </w:tc>
    </w:tr>
    <w:tr w:rsidR="009923BB" w14:paraId="24FEF9D1" w14:textId="77777777" w:rsidTr="00FF6012">
      <w:trPr>
        <w:trHeight w:val="228"/>
      </w:trPr>
      <w:tc>
        <w:tcPr>
          <w:tcW w:w="2551" w:type="dxa"/>
          <w:vAlign w:val="center"/>
          <w:hideMark/>
        </w:tcPr>
        <w:p w14:paraId="37F5B799" w14:textId="77777777" w:rsidR="009923BB" w:rsidRDefault="009923BB" w:rsidP="00224D6A">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261" w:type="dxa"/>
          <w:vAlign w:val="center"/>
          <w:hideMark/>
        </w:tcPr>
        <w:p w14:paraId="68913083" w14:textId="77777777" w:rsidR="009923BB" w:rsidRPr="00A623B0" w:rsidRDefault="009923BB" w:rsidP="00A623B0">
          <w:pPr>
            <w:ind w:right="-533"/>
            <w:jc w:val="both"/>
            <w:rPr>
              <w:rFonts w:ascii="Palatino Linotype" w:hAnsi="Palatino Linotype"/>
              <w:b/>
              <w:sz w:val="22"/>
              <w:szCs w:val="22"/>
              <w:lang w:val="es-ES_tradnl"/>
            </w:rPr>
          </w:pPr>
          <w:r w:rsidRPr="00A623B0">
            <w:rPr>
              <w:rFonts w:ascii="Palatino Linotype" w:hAnsi="Palatino Linotype"/>
              <w:b/>
              <w:sz w:val="22"/>
              <w:szCs w:val="22"/>
              <w:lang w:val="es-ES_tradnl"/>
            </w:rPr>
            <w:t xml:space="preserve">Ayuntamiento de </w:t>
          </w:r>
          <w:r w:rsidR="00A623B0" w:rsidRPr="00A623B0">
            <w:rPr>
              <w:rFonts w:ascii="Palatino Linotype" w:hAnsi="Palatino Linotype"/>
              <w:b/>
              <w:sz w:val="22"/>
              <w:szCs w:val="22"/>
              <w:lang w:val="es-ES_tradnl"/>
            </w:rPr>
            <w:t>Ayapango</w:t>
          </w:r>
          <w:r w:rsidRPr="00A623B0">
            <w:rPr>
              <w:rFonts w:ascii="Palatino Linotype" w:hAnsi="Palatino Linotype"/>
              <w:b/>
              <w:sz w:val="22"/>
              <w:szCs w:val="22"/>
              <w:lang w:val="es-ES_tradnl"/>
            </w:rPr>
            <w:t>.</w:t>
          </w:r>
        </w:p>
      </w:tc>
    </w:tr>
    <w:tr w:rsidR="009923BB" w14:paraId="63FBEBAE" w14:textId="77777777" w:rsidTr="00FF6012">
      <w:tc>
        <w:tcPr>
          <w:tcW w:w="2551" w:type="dxa"/>
          <w:vAlign w:val="center"/>
          <w:hideMark/>
        </w:tcPr>
        <w:p w14:paraId="64C293CD" w14:textId="77777777" w:rsidR="009923BB" w:rsidRDefault="009923BB" w:rsidP="00224D6A">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261" w:type="dxa"/>
          <w:vAlign w:val="center"/>
          <w:hideMark/>
        </w:tcPr>
        <w:p w14:paraId="17AD0740" w14:textId="77777777" w:rsidR="009923BB" w:rsidRDefault="009923BB" w:rsidP="00224D6A">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528D4C59" w14:textId="77777777" w:rsidR="009923BB" w:rsidRDefault="009923BB" w:rsidP="00224D6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73F4AB" w14:textId="77777777" w:rsidR="009923BB" w:rsidRDefault="009923BB" w:rsidP="00C16B45">
    <w:pPr>
      <w:pStyle w:val="Encabezado"/>
      <w:jc w:val="both"/>
    </w:pPr>
  </w:p>
  <w:p w14:paraId="547E0622" w14:textId="77777777" w:rsidR="009923BB" w:rsidRDefault="009923BB" w:rsidP="00224D6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D52D7"/>
    <w:multiLevelType w:val="hybridMultilevel"/>
    <w:tmpl w:val="031209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AAA1657"/>
    <w:multiLevelType w:val="hybridMultilevel"/>
    <w:tmpl w:val="9092CFA8"/>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
    <w:nsid w:val="2D571DEB"/>
    <w:multiLevelType w:val="hybridMultilevel"/>
    <w:tmpl w:val="C9D20524"/>
    <w:lvl w:ilvl="0" w:tplc="080A0001">
      <w:start w:val="1"/>
      <w:numFmt w:val="bullet"/>
      <w:lvlText w:val=""/>
      <w:lvlJc w:val="left"/>
      <w:pPr>
        <w:ind w:left="2520" w:hanging="360"/>
      </w:pPr>
      <w:rPr>
        <w:rFonts w:ascii="Symbol" w:hAnsi="Symbol" w:hint="default"/>
      </w:rPr>
    </w:lvl>
    <w:lvl w:ilvl="1" w:tplc="080A0003" w:tentative="1">
      <w:start w:val="1"/>
      <w:numFmt w:val="bullet"/>
      <w:lvlText w:val="o"/>
      <w:lvlJc w:val="left"/>
      <w:pPr>
        <w:ind w:left="3240" w:hanging="360"/>
      </w:pPr>
      <w:rPr>
        <w:rFonts w:ascii="Courier New" w:hAnsi="Courier New" w:cs="Courier New" w:hint="default"/>
      </w:rPr>
    </w:lvl>
    <w:lvl w:ilvl="2" w:tplc="080A0005" w:tentative="1">
      <w:start w:val="1"/>
      <w:numFmt w:val="bullet"/>
      <w:lvlText w:val=""/>
      <w:lvlJc w:val="left"/>
      <w:pPr>
        <w:ind w:left="3960" w:hanging="360"/>
      </w:pPr>
      <w:rPr>
        <w:rFonts w:ascii="Wingdings" w:hAnsi="Wingdings" w:hint="default"/>
      </w:rPr>
    </w:lvl>
    <w:lvl w:ilvl="3" w:tplc="080A0001" w:tentative="1">
      <w:start w:val="1"/>
      <w:numFmt w:val="bullet"/>
      <w:lvlText w:val=""/>
      <w:lvlJc w:val="left"/>
      <w:pPr>
        <w:ind w:left="4680" w:hanging="360"/>
      </w:pPr>
      <w:rPr>
        <w:rFonts w:ascii="Symbol" w:hAnsi="Symbol" w:hint="default"/>
      </w:rPr>
    </w:lvl>
    <w:lvl w:ilvl="4" w:tplc="080A0003" w:tentative="1">
      <w:start w:val="1"/>
      <w:numFmt w:val="bullet"/>
      <w:lvlText w:val="o"/>
      <w:lvlJc w:val="left"/>
      <w:pPr>
        <w:ind w:left="5400" w:hanging="360"/>
      </w:pPr>
      <w:rPr>
        <w:rFonts w:ascii="Courier New" w:hAnsi="Courier New" w:cs="Courier New" w:hint="default"/>
      </w:rPr>
    </w:lvl>
    <w:lvl w:ilvl="5" w:tplc="080A0005" w:tentative="1">
      <w:start w:val="1"/>
      <w:numFmt w:val="bullet"/>
      <w:lvlText w:val=""/>
      <w:lvlJc w:val="left"/>
      <w:pPr>
        <w:ind w:left="6120" w:hanging="360"/>
      </w:pPr>
      <w:rPr>
        <w:rFonts w:ascii="Wingdings" w:hAnsi="Wingdings" w:hint="default"/>
      </w:rPr>
    </w:lvl>
    <w:lvl w:ilvl="6" w:tplc="080A0001" w:tentative="1">
      <w:start w:val="1"/>
      <w:numFmt w:val="bullet"/>
      <w:lvlText w:val=""/>
      <w:lvlJc w:val="left"/>
      <w:pPr>
        <w:ind w:left="6840" w:hanging="360"/>
      </w:pPr>
      <w:rPr>
        <w:rFonts w:ascii="Symbol" w:hAnsi="Symbol" w:hint="default"/>
      </w:rPr>
    </w:lvl>
    <w:lvl w:ilvl="7" w:tplc="080A0003" w:tentative="1">
      <w:start w:val="1"/>
      <w:numFmt w:val="bullet"/>
      <w:lvlText w:val="o"/>
      <w:lvlJc w:val="left"/>
      <w:pPr>
        <w:ind w:left="7560" w:hanging="360"/>
      </w:pPr>
      <w:rPr>
        <w:rFonts w:ascii="Courier New" w:hAnsi="Courier New" w:cs="Courier New" w:hint="default"/>
      </w:rPr>
    </w:lvl>
    <w:lvl w:ilvl="8" w:tplc="080A0005" w:tentative="1">
      <w:start w:val="1"/>
      <w:numFmt w:val="bullet"/>
      <w:lvlText w:val=""/>
      <w:lvlJc w:val="left"/>
      <w:pPr>
        <w:ind w:left="8280" w:hanging="360"/>
      </w:pPr>
      <w:rPr>
        <w:rFonts w:ascii="Wingdings" w:hAnsi="Wingdings" w:hint="default"/>
      </w:rPr>
    </w:lvl>
  </w:abstractNum>
  <w:abstractNum w:abstractNumId="3">
    <w:nsid w:val="34317490"/>
    <w:multiLevelType w:val="hybridMultilevel"/>
    <w:tmpl w:val="60CA9754"/>
    <w:lvl w:ilvl="0" w:tplc="5EFE98EE">
      <w:start w:val="1"/>
      <w:numFmt w:val="decimal"/>
      <w:lvlText w:val="%1."/>
      <w:lvlJc w:val="left"/>
      <w:pPr>
        <w:ind w:left="5180" w:hanging="360"/>
      </w:pPr>
      <w:rPr>
        <w:rFonts w:hint="default"/>
        <w:b/>
        <w:i w:val="0"/>
        <w:sz w:val="24"/>
      </w:rPr>
    </w:lvl>
    <w:lvl w:ilvl="1" w:tplc="D8BE9144">
      <w:start w:val="1"/>
      <w:numFmt w:val="upperRoman"/>
      <w:lvlText w:val="%2."/>
      <w:lvlJc w:val="left"/>
      <w:pPr>
        <w:ind w:left="1800" w:hanging="720"/>
      </w:pPr>
      <w:rPr>
        <w:rFonts w:hint="default"/>
        <w:color w:val="auto"/>
      </w:rPr>
    </w:lvl>
    <w:lvl w:ilvl="2" w:tplc="080A0011">
      <w:start w:val="1"/>
      <w:numFmt w:val="decimal"/>
      <w:lvlText w:val="%3)"/>
      <w:lvlJc w:val="left"/>
      <w:pPr>
        <w:ind w:left="2340" w:hanging="360"/>
      </w:pPr>
      <w:rPr>
        <w:rFonts w:hint="default"/>
        <w:color w:val="auto"/>
      </w:rPr>
    </w:lvl>
    <w:lvl w:ilvl="3" w:tplc="A306CC5E">
      <w:start w:val="1"/>
      <w:numFmt w:val="decimal"/>
      <w:lvlText w:val="%4."/>
      <w:lvlJc w:val="left"/>
      <w:pPr>
        <w:ind w:left="928" w:hanging="360"/>
      </w:pPr>
      <w:rPr>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6FB753A"/>
    <w:multiLevelType w:val="hybridMultilevel"/>
    <w:tmpl w:val="0A6C30F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nsid w:val="3DD71E0F"/>
    <w:multiLevelType w:val="hybridMultilevel"/>
    <w:tmpl w:val="9A8EB2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E3D5EEB"/>
    <w:multiLevelType w:val="hybridMultilevel"/>
    <w:tmpl w:val="47A85E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3983134"/>
    <w:multiLevelType w:val="hybridMultilevel"/>
    <w:tmpl w:val="9674832E"/>
    <w:lvl w:ilvl="0" w:tplc="080A0001">
      <w:start w:val="1"/>
      <w:numFmt w:val="bullet"/>
      <w:lvlText w:val=""/>
      <w:lvlJc w:val="left"/>
      <w:pPr>
        <w:ind w:left="3240" w:hanging="360"/>
      </w:pPr>
      <w:rPr>
        <w:rFonts w:ascii="Symbol" w:hAnsi="Symbol" w:hint="default"/>
      </w:rPr>
    </w:lvl>
    <w:lvl w:ilvl="1" w:tplc="080A0003" w:tentative="1">
      <w:start w:val="1"/>
      <w:numFmt w:val="bullet"/>
      <w:lvlText w:val="o"/>
      <w:lvlJc w:val="left"/>
      <w:pPr>
        <w:ind w:left="3960" w:hanging="360"/>
      </w:pPr>
      <w:rPr>
        <w:rFonts w:ascii="Courier New" w:hAnsi="Courier New" w:cs="Courier New" w:hint="default"/>
      </w:rPr>
    </w:lvl>
    <w:lvl w:ilvl="2" w:tplc="080A0005" w:tentative="1">
      <w:start w:val="1"/>
      <w:numFmt w:val="bullet"/>
      <w:lvlText w:val=""/>
      <w:lvlJc w:val="left"/>
      <w:pPr>
        <w:ind w:left="4680" w:hanging="360"/>
      </w:pPr>
      <w:rPr>
        <w:rFonts w:ascii="Wingdings" w:hAnsi="Wingdings" w:hint="default"/>
      </w:rPr>
    </w:lvl>
    <w:lvl w:ilvl="3" w:tplc="080A0001" w:tentative="1">
      <w:start w:val="1"/>
      <w:numFmt w:val="bullet"/>
      <w:lvlText w:val=""/>
      <w:lvlJc w:val="left"/>
      <w:pPr>
        <w:ind w:left="5400" w:hanging="360"/>
      </w:pPr>
      <w:rPr>
        <w:rFonts w:ascii="Symbol" w:hAnsi="Symbol" w:hint="default"/>
      </w:rPr>
    </w:lvl>
    <w:lvl w:ilvl="4" w:tplc="080A0003" w:tentative="1">
      <w:start w:val="1"/>
      <w:numFmt w:val="bullet"/>
      <w:lvlText w:val="o"/>
      <w:lvlJc w:val="left"/>
      <w:pPr>
        <w:ind w:left="6120" w:hanging="360"/>
      </w:pPr>
      <w:rPr>
        <w:rFonts w:ascii="Courier New" w:hAnsi="Courier New" w:cs="Courier New" w:hint="default"/>
      </w:rPr>
    </w:lvl>
    <w:lvl w:ilvl="5" w:tplc="080A0005" w:tentative="1">
      <w:start w:val="1"/>
      <w:numFmt w:val="bullet"/>
      <w:lvlText w:val=""/>
      <w:lvlJc w:val="left"/>
      <w:pPr>
        <w:ind w:left="6840" w:hanging="360"/>
      </w:pPr>
      <w:rPr>
        <w:rFonts w:ascii="Wingdings" w:hAnsi="Wingdings" w:hint="default"/>
      </w:rPr>
    </w:lvl>
    <w:lvl w:ilvl="6" w:tplc="080A0001" w:tentative="1">
      <w:start w:val="1"/>
      <w:numFmt w:val="bullet"/>
      <w:lvlText w:val=""/>
      <w:lvlJc w:val="left"/>
      <w:pPr>
        <w:ind w:left="7560" w:hanging="360"/>
      </w:pPr>
      <w:rPr>
        <w:rFonts w:ascii="Symbol" w:hAnsi="Symbol" w:hint="default"/>
      </w:rPr>
    </w:lvl>
    <w:lvl w:ilvl="7" w:tplc="080A0003" w:tentative="1">
      <w:start w:val="1"/>
      <w:numFmt w:val="bullet"/>
      <w:lvlText w:val="o"/>
      <w:lvlJc w:val="left"/>
      <w:pPr>
        <w:ind w:left="8280" w:hanging="360"/>
      </w:pPr>
      <w:rPr>
        <w:rFonts w:ascii="Courier New" w:hAnsi="Courier New" w:cs="Courier New" w:hint="default"/>
      </w:rPr>
    </w:lvl>
    <w:lvl w:ilvl="8" w:tplc="080A0005" w:tentative="1">
      <w:start w:val="1"/>
      <w:numFmt w:val="bullet"/>
      <w:lvlText w:val=""/>
      <w:lvlJc w:val="left"/>
      <w:pPr>
        <w:ind w:left="9000" w:hanging="360"/>
      </w:pPr>
      <w:rPr>
        <w:rFonts w:ascii="Wingdings" w:hAnsi="Wingdings" w:hint="default"/>
      </w:rPr>
    </w:lvl>
  </w:abstractNum>
  <w:abstractNum w:abstractNumId="8">
    <w:nsid w:val="55DF2391"/>
    <w:multiLevelType w:val="hybridMultilevel"/>
    <w:tmpl w:val="52F014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59A421E7"/>
    <w:multiLevelType w:val="hybridMultilevel"/>
    <w:tmpl w:val="975C34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87F14CE"/>
    <w:multiLevelType w:val="hybridMultilevel"/>
    <w:tmpl w:val="09F44904"/>
    <w:lvl w:ilvl="0" w:tplc="69E27CA2">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nsid w:val="69760EA0"/>
    <w:multiLevelType w:val="hybridMultilevel"/>
    <w:tmpl w:val="7DCA5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1"/>
  </w:num>
  <w:num w:numId="4">
    <w:abstractNumId w:val="5"/>
  </w:num>
  <w:num w:numId="5">
    <w:abstractNumId w:val="4"/>
  </w:num>
  <w:num w:numId="6">
    <w:abstractNumId w:val="1"/>
  </w:num>
  <w:num w:numId="7">
    <w:abstractNumId w:val="2"/>
  </w:num>
  <w:num w:numId="8">
    <w:abstractNumId w:val="7"/>
  </w:num>
  <w:num w:numId="9">
    <w:abstractNumId w:val="6"/>
  </w:num>
  <w:num w:numId="10">
    <w:abstractNumId w:val="9"/>
  </w:num>
  <w:num w:numId="11">
    <w:abstractNumId w:val="8"/>
  </w:num>
  <w:num w:numId="1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396"/>
    <w:rsid w:val="0000098C"/>
    <w:rsid w:val="00002DAA"/>
    <w:rsid w:val="000033B1"/>
    <w:rsid w:val="0000626B"/>
    <w:rsid w:val="000065CB"/>
    <w:rsid w:val="000144F4"/>
    <w:rsid w:val="00020628"/>
    <w:rsid w:val="00021168"/>
    <w:rsid w:val="000216E2"/>
    <w:rsid w:val="000302F2"/>
    <w:rsid w:val="00033048"/>
    <w:rsid w:val="000337DA"/>
    <w:rsid w:val="00044C51"/>
    <w:rsid w:val="000542E6"/>
    <w:rsid w:val="00057382"/>
    <w:rsid w:val="00062052"/>
    <w:rsid w:val="00063B21"/>
    <w:rsid w:val="00066EA9"/>
    <w:rsid w:val="00066F1A"/>
    <w:rsid w:val="00072D95"/>
    <w:rsid w:val="000750A7"/>
    <w:rsid w:val="00076C9A"/>
    <w:rsid w:val="00080788"/>
    <w:rsid w:val="00097DC6"/>
    <w:rsid w:val="000A3141"/>
    <w:rsid w:val="000A3261"/>
    <w:rsid w:val="000A5758"/>
    <w:rsid w:val="000A7478"/>
    <w:rsid w:val="000B21DE"/>
    <w:rsid w:val="000B3107"/>
    <w:rsid w:val="000B37AE"/>
    <w:rsid w:val="000D4727"/>
    <w:rsid w:val="000D4A20"/>
    <w:rsid w:val="000E0F0F"/>
    <w:rsid w:val="000E4227"/>
    <w:rsid w:val="000E7709"/>
    <w:rsid w:val="000E77F3"/>
    <w:rsid w:val="000E7C24"/>
    <w:rsid w:val="000E7CB7"/>
    <w:rsid w:val="000F2D64"/>
    <w:rsid w:val="000F51C1"/>
    <w:rsid w:val="000F58C2"/>
    <w:rsid w:val="001059EC"/>
    <w:rsid w:val="00105F41"/>
    <w:rsid w:val="00114A6D"/>
    <w:rsid w:val="00114A9A"/>
    <w:rsid w:val="00116785"/>
    <w:rsid w:val="001304BD"/>
    <w:rsid w:val="001342BD"/>
    <w:rsid w:val="00142FA9"/>
    <w:rsid w:val="00146257"/>
    <w:rsid w:val="00153C0D"/>
    <w:rsid w:val="00154522"/>
    <w:rsid w:val="00161C08"/>
    <w:rsid w:val="001639B7"/>
    <w:rsid w:val="00164DEC"/>
    <w:rsid w:val="001666FB"/>
    <w:rsid w:val="0016718A"/>
    <w:rsid w:val="00167463"/>
    <w:rsid w:val="00171420"/>
    <w:rsid w:val="001714D5"/>
    <w:rsid w:val="00172E8C"/>
    <w:rsid w:val="001739E0"/>
    <w:rsid w:val="00173DD2"/>
    <w:rsid w:val="001778FE"/>
    <w:rsid w:val="00180D39"/>
    <w:rsid w:val="00181755"/>
    <w:rsid w:val="00184165"/>
    <w:rsid w:val="00186050"/>
    <w:rsid w:val="001919E8"/>
    <w:rsid w:val="001927F3"/>
    <w:rsid w:val="0019336E"/>
    <w:rsid w:val="0019366F"/>
    <w:rsid w:val="00194DE5"/>
    <w:rsid w:val="00195135"/>
    <w:rsid w:val="001A4769"/>
    <w:rsid w:val="001A5DB6"/>
    <w:rsid w:val="001A73AF"/>
    <w:rsid w:val="001B5585"/>
    <w:rsid w:val="001C16F6"/>
    <w:rsid w:val="001C4A77"/>
    <w:rsid w:val="001C54FE"/>
    <w:rsid w:val="001D3C3A"/>
    <w:rsid w:val="001D67FB"/>
    <w:rsid w:val="001E04EA"/>
    <w:rsid w:val="001E0F19"/>
    <w:rsid w:val="001E35F1"/>
    <w:rsid w:val="001E3F03"/>
    <w:rsid w:val="001E4AAA"/>
    <w:rsid w:val="001E571F"/>
    <w:rsid w:val="001F5725"/>
    <w:rsid w:val="001F70C7"/>
    <w:rsid w:val="001F72FB"/>
    <w:rsid w:val="001F7300"/>
    <w:rsid w:val="002051C2"/>
    <w:rsid w:val="00205E65"/>
    <w:rsid w:val="00206CFD"/>
    <w:rsid w:val="002135E4"/>
    <w:rsid w:val="0021444D"/>
    <w:rsid w:val="00214E16"/>
    <w:rsid w:val="002175D9"/>
    <w:rsid w:val="00220DA3"/>
    <w:rsid w:val="00223117"/>
    <w:rsid w:val="00223917"/>
    <w:rsid w:val="00223B07"/>
    <w:rsid w:val="00224D6A"/>
    <w:rsid w:val="00225356"/>
    <w:rsid w:val="0022754A"/>
    <w:rsid w:val="00235A8C"/>
    <w:rsid w:val="00237A11"/>
    <w:rsid w:val="002417A9"/>
    <w:rsid w:val="0024214B"/>
    <w:rsid w:val="00256048"/>
    <w:rsid w:val="00264A2B"/>
    <w:rsid w:val="00266B48"/>
    <w:rsid w:val="0027377E"/>
    <w:rsid w:val="00273EF3"/>
    <w:rsid w:val="00275567"/>
    <w:rsid w:val="00276DAD"/>
    <w:rsid w:val="0028378E"/>
    <w:rsid w:val="00284E68"/>
    <w:rsid w:val="00291948"/>
    <w:rsid w:val="00292848"/>
    <w:rsid w:val="00293CA1"/>
    <w:rsid w:val="00296613"/>
    <w:rsid w:val="00296A24"/>
    <w:rsid w:val="002A05B6"/>
    <w:rsid w:val="002A35DF"/>
    <w:rsid w:val="002A51B2"/>
    <w:rsid w:val="002B0D00"/>
    <w:rsid w:val="002B12C6"/>
    <w:rsid w:val="002B6FAE"/>
    <w:rsid w:val="002C3D27"/>
    <w:rsid w:val="002C430A"/>
    <w:rsid w:val="002D2022"/>
    <w:rsid w:val="002D5D7C"/>
    <w:rsid w:val="002D6562"/>
    <w:rsid w:val="002E0FEE"/>
    <w:rsid w:val="002E1C93"/>
    <w:rsid w:val="002E5396"/>
    <w:rsid w:val="002E7C12"/>
    <w:rsid w:val="002F0E46"/>
    <w:rsid w:val="00300116"/>
    <w:rsid w:val="00310FEA"/>
    <w:rsid w:val="003132E1"/>
    <w:rsid w:val="00313ADE"/>
    <w:rsid w:val="003239B7"/>
    <w:rsid w:val="00325BCC"/>
    <w:rsid w:val="0033087D"/>
    <w:rsid w:val="00334A3B"/>
    <w:rsid w:val="00336113"/>
    <w:rsid w:val="00340981"/>
    <w:rsid w:val="00343DBF"/>
    <w:rsid w:val="003443C1"/>
    <w:rsid w:val="00345F68"/>
    <w:rsid w:val="00351228"/>
    <w:rsid w:val="00363976"/>
    <w:rsid w:val="00364ABE"/>
    <w:rsid w:val="00365264"/>
    <w:rsid w:val="003675B4"/>
    <w:rsid w:val="00367B45"/>
    <w:rsid w:val="00370411"/>
    <w:rsid w:val="00371611"/>
    <w:rsid w:val="00371AE3"/>
    <w:rsid w:val="00375099"/>
    <w:rsid w:val="00381705"/>
    <w:rsid w:val="00382DC3"/>
    <w:rsid w:val="00386076"/>
    <w:rsid w:val="00392F63"/>
    <w:rsid w:val="0039561D"/>
    <w:rsid w:val="003A10D3"/>
    <w:rsid w:val="003A24CA"/>
    <w:rsid w:val="003A781E"/>
    <w:rsid w:val="003B02B1"/>
    <w:rsid w:val="003B0CBF"/>
    <w:rsid w:val="003B1205"/>
    <w:rsid w:val="003B19DA"/>
    <w:rsid w:val="003B4C11"/>
    <w:rsid w:val="003B6824"/>
    <w:rsid w:val="003C1448"/>
    <w:rsid w:val="003C4A56"/>
    <w:rsid w:val="003D0049"/>
    <w:rsid w:val="003E25F1"/>
    <w:rsid w:val="003E3244"/>
    <w:rsid w:val="003E67EC"/>
    <w:rsid w:val="003E7C61"/>
    <w:rsid w:val="003E7E3F"/>
    <w:rsid w:val="003F1CDE"/>
    <w:rsid w:val="003F22DD"/>
    <w:rsid w:val="003F367C"/>
    <w:rsid w:val="00410C9F"/>
    <w:rsid w:val="00410F2C"/>
    <w:rsid w:val="00412755"/>
    <w:rsid w:val="00416F97"/>
    <w:rsid w:val="00422958"/>
    <w:rsid w:val="00425F15"/>
    <w:rsid w:val="00426FC6"/>
    <w:rsid w:val="00430001"/>
    <w:rsid w:val="00431776"/>
    <w:rsid w:val="00435474"/>
    <w:rsid w:val="00441DEC"/>
    <w:rsid w:val="0044607B"/>
    <w:rsid w:val="004464C9"/>
    <w:rsid w:val="00451B62"/>
    <w:rsid w:val="00452381"/>
    <w:rsid w:val="00452AA3"/>
    <w:rsid w:val="00455513"/>
    <w:rsid w:val="00457936"/>
    <w:rsid w:val="00461C88"/>
    <w:rsid w:val="00463004"/>
    <w:rsid w:val="00463DA0"/>
    <w:rsid w:val="004674B2"/>
    <w:rsid w:val="00471AA4"/>
    <w:rsid w:val="004757B2"/>
    <w:rsid w:val="00483C63"/>
    <w:rsid w:val="00485608"/>
    <w:rsid w:val="00485EA8"/>
    <w:rsid w:val="004879EC"/>
    <w:rsid w:val="00490FD1"/>
    <w:rsid w:val="00495B73"/>
    <w:rsid w:val="00496866"/>
    <w:rsid w:val="00497306"/>
    <w:rsid w:val="00497433"/>
    <w:rsid w:val="004A78DC"/>
    <w:rsid w:val="004B0649"/>
    <w:rsid w:val="004B0F26"/>
    <w:rsid w:val="004B7469"/>
    <w:rsid w:val="004B7530"/>
    <w:rsid w:val="004C202A"/>
    <w:rsid w:val="004C3356"/>
    <w:rsid w:val="004C7BE4"/>
    <w:rsid w:val="004D295E"/>
    <w:rsid w:val="004D3B76"/>
    <w:rsid w:val="004D6F01"/>
    <w:rsid w:val="004E09BF"/>
    <w:rsid w:val="004E51D4"/>
    <w:rsid w:val="004E52CD"/>
    <w:rsid w:val="004F6F27"/>
    <w:rsid w:val="005029F6"/>
    <w:rsid w:val="0050408D"/>
    <w:rsid w:val="00505840"/>
    <w:rsid w:val="005124BF"/>
    <w:rsid w:val="005165E9"/>
    <w:rsid w:val="00522266"/>
    <w:rsid w:val="00523162"/>
    <w:rsid w:val="00523D85"/>
    <w:rsid w:val="00523E38"/>
    <w:rsid w:val="005243F3"/>
    <w:rsid w:val="00526638"/>
    <w:rsid w:val="00530E63"/>
    <w:rsid w:val="005323AC"/>
    <w:rsid w:val="0054056A"/>
    <w:rsid w:val="005426EA"/>
    <w:rsid w:val="00546029"/>
    <w:rsid w:val="005507DC"/>
    <w:rsid w:val="005642F3"/>
    <w:rsid w:val="005801D7"/>
    <w:rsid w:val="00580FEE"/>
    <w:rsid w:val="00581E17"/>
    <w:rsid w:val="005A309E"/>
    <w:rsid w:val="005A3FF3"/>
    <w:rsid w:val="005A4239"/>
    <w:rsid w:val="005A59DC"/>
    <w:rsid w:val="005A5F22"/>
    <w:rsid w:val="005B2D5A"/>
    <w:rsid w:val="005B4FF1"/>
    <w:rsid w:val="005B5471"/>
    <w:rsid w:val="005C2B9A"/>
    <w:rsid w:val="005D0014"/>
    <w:rsid w:val="005D777D"/>
    <w:rsid w:val="005F0C47"/>
    <w:rsid w:val="005F4F30"/>
    <w:rsid w:val="00600DF9"/>
    <w:rsid w:val="0060122B"/>
    <w:rsid w:val="00603299"/>
    <w:rsid w:val="00607616"/>
    <w:rsid w:val="00625BB7"/>
    <w:rsid w:val="00625FDF"/>
    <w:rsid w:val="006302EB"/>
    <w:rsid w:val="0063409B"/>
    <w:rsid w:val="0063677D"/>
    <w:rsid w:val="00640896"/>
    <w:rsid w:val="00641CF7"/>
    <w:rsid w:val="00642ED3"/>
    <w:rsid w:val="0065092D"/>
    <w:rsid w:val="00651917"/>
    <w:rsid w:val="00651AE4"/>
    <w:rsid w:val="00651B2F"/>
    <w:rsid w:val="006544D0"/>
    <w:rsid w:val="00666A8D"/>
    <w:rsid w:val="00671278"/>
    <w:rsid w:val="00672D97"/>
    <w:rsid w:val="0067330D"/>
    <w:rsid w:val="00673AC9"/>
    <w:rsid w:val="00673F19"/>
    <w:rsid w:val="00683B9C"/>
    <w:rsid w:val="00686C66"/>
    <w:rsid w:val="00691387"/>
    <w:rsid w:val="00691592"/>
    <w:rsid w:val="0069454E"/>
    <w:rsid w:val="0069468B"/>
    <w:rsid w:val="00695C47"/>
    <w:rsid w:val="00696F3C"/>
    <w:rsid w:val="006975B4"/>
    <w:rsid w:val="006A4E45"/>
    <w:rsid w:val="006A6677"/>
    <w:rsid w:val="006B2B7B"/>
    <w:rsid w:val="006B3E31"/>
    <w:rsid w:val="006C0E62"/>
    <w:rsid w:val="006C60A8"/>
    <w:rsid w:val="006E32F0"/>
    <w:rsid w:val="006F1C36"/>
    <w:rsid w:val="006F2CD4"/>
    <w:rsid w:val="006F2DE5"/>
    <w:rsid w:val="006F37E6"/>
    <w:rsid w:val="006F40FE"/>
    <w:rsid w:val="006F525D"/>
    <w:rsid w:val="006F6A82"/>
    <w:rsid w:val="00702807"/>
    <w:rsid w:val="00702D43"/>
    <w:rsid w:val="00710653"/>
    <w:rsid w:val="007122F1"/>
    <w:rsid w:val="00713DD7"/>
    <w:rsid w:val="00720105"/>
    <w:rsid w:val="00722A61"/>
    <w:rsid w:val="00723982"/>
    <w:rsid w:val="00725B96"/>
    <w:rsid w:val="00726A4A"/>
    <w:rsid w:val="0073045B"/>
    <w:rsid w:val="007340F9"/>
    <w:rsid w:val="00735D2D"/>
    <w:rsid w:val="0073723D"/>
    <w:rsid w:val="007372F8"/>
    <w:rsid w:val="007375C1"/>
    <w:rsid w:val="00743FDB"/>
    <w:rsid w:val="00745A16"/>
    <w:rsid w:val="00747FEA"/>
    <w:rsid w:val="0075141A"/>
    <w:rsid w:val="00752494"/>
    <w:rsid w:val="00757047"/>
    <w:rsid w:val="00762CC0"/>
    <w:rsid w:val="007702A6"/>
    <w:rsid w:val="0077066B"/>
    <w:rsid w:val="00776053"/>
    <w:rsid w:val="00776D97"/>
    <w:rsid w:val="00777D38"/>
    <w:rsid w:val="00782D84"/>
    <w:rsid w:val="0079066D"/>
    <w:rsid w:val="00795888"/>
    <w:rsid w:val="007A0BDE"/>
    <w:rsid w:val="007A6AB4"/>
    <w:rsid w:val="007B0CE3"/>
    <w:rsid w:val="007B1D27"/>
    <w:rsid w:val="007B4FF6"/>
    <w:rsid w:val="007B6F90"/>
    <w:rsid w:val="007C08DD"/>
    <w:rsid w:val="007C26DD"/>
    <w:rsid w:val="007D2A90"/>
    <w:rsid w:val="007D2B2F"/>
    <w:rsid w:val="007D70B1"/>
    <w:rsid w:val="007E28D4"/>
    <w:rsid w:val="007E6426"/>
    <w:rsid w:val="007F09BB"/>
    <w:rsid w:val="007F0AED"/>
    <w:rsid w:val="008029E6"/>
    <w:rsid w:val="008035A8"/>
    <w:rsid w:val="0081659E"/>
    <w:rsid w:val="00821319"/>
    <w:rsid w:val="008233A9"/>
    <w:rsid w:val="00832F6B"/>
    <w:rsid w:val="00834EA2"/>
    <w:rsid w:val="008374F8"/>
    <w:rsid w:val="008422E5"/>
    <w:rsid w:val="00854B1C"/>
    <w:rsid w:val="00855666"/>
    <w:rsid w:val="008558D7"/>
    <w:rsid w:val="0085799A"/>
    <w:rsid w:val="0086027F"/>
    <w:rsid w:val="0086352A"/>
    <w:rsid w:val="0087361A"/>
    <w:rsid w:val="0087684B"/>
    <w:rsid w:val="00877D50"/>
    <w:rsid w:val="00880949"/>
    <w:rsid w:val="00883EF7"/>
    <w:rsid w:val="00891D21"/>
    <w:rsid w:val="00892300"/>
    <w:rsid w:val="0089424B"/>
    <w:rsid w:val="008A0CDC"/>
    <w:rsid w:val="008A100D"/>
    <w:rsid w:val="008A1FAE"/>
    <w:rsid w:val="008A3111"/>
    <w:rsid w:val="008A3B2F"/>
    <w:rsid w:val="008A4BC8"/>
    <w:rsid w:val="008A5F08"/>
    <w:rsid w:val="008B0441"/>
    <w:rsid w:val="008B189C"/>
    <w:rsid w:val="008B5639"/>
    <w:rsid w:val="008C01E0"/>
    <w:rsid w:val="008C2631"/>
    <w:rsid w:val="008C2881"/>
    <w:rsid w:val="008D7A6F"/>
    <w:rsid w:val="008E05FD"/>
    <w:rsid w:val="008E3BFA"/>
    <w:rsid w:val="008E520C"/>
    <w:rsid w:val="008F324A"/>
    <w:rsid w:val="008F4314"/>
    <w:rsid w:val="00900471"/>
    <w:rsid w:val="0090554D"/>
    <w:rsid w:val="00907540"/>
    <w:rsid w:val="0091364E"/>
    <w:rsid w:val="00914FCD"/>
    <w:rsid w:val="00921A6C"/>
    <w:rsid w:val="00924D37"/>
    <w:rsid w:val="00925CAF"/>
    <w:rsid w:val="00940B30"/>
    <w:rsid w:val="00944CD5"/>
    <w:rsid w:val="00945457"/>
    <w:rsid w:val="00950BEC"/>
    <w:rsid w:val="00957724"/>
    <w:rsid w:val="00963DBF"/>
    <w:rsid w:val="00971EFF"/>
    <w:rsid w:val="00973438"/>
    <w:rsid w:val="0097467F"/>
    <w:rsid w:val="00976507"/>
    <w:rsid w:val="0098057B"/>
    <w:rsid w:val="00987D58"/>
    <w:rsid w:val="009902CB"/>
    <w:rsid w:val="009923BB"/>
    <w:rsid w:val="0099311E"/>
    <w:rsid w:val="00997B8F"/>
    <w:rsid w:val="009A15B8"/>
    <w:rsid w:val="009A47BE"/>
    <w:rsid w:val="009C0C03"/>
    <w:rsid w:val="009C0CD7"/>
    <w:rsid w:val="009C2AE3"/>
    <w:rsid w:val="009D11CB"/>
    <w:rsid w:val="009D67A9"/>
    <w:rsid w:val="009E1FAD"/>
    <w:rsid w:val="009E29B5"/>
    <w:rsid w:val="009E71E7"/>
    <w:rsid w:val="009F00A5"/>
    <w:rsid w:val="009F06EB"/>
    <w:rsid w:val="00A11D70"/>
    <w:rsid w:val="00A14290"/>
    <w:rsid w:val="00A147B8"/>
    <w:rsid w:val="00A20022"/>
    <w:rsid w:val="00A26A48"/>
    <w:rsid w:val="00A32E26"/>
    <w:rsid w:val="00A3384C"/>
    <w:rsid w:val="00A34630"/>
    <w:rsid w:val="00A56ECA"/>
    <w:rsid w:val="00A5794E"/>
    <w:rsid w:val="00A623B0"/>
    <w:rsid w:val="00A6296F"/>
    <w:rsid w:val="00A64402"/>
    <w:rsid w:val="00A65589"/>
    <w:rsid w:val="00A7660E"/>
    <w:rsid w:val="00A77769"/>
    <w:rsid w:val="00A84300"/>
    <w:rsid w:val="00A85C83"/>
    <w:rsid w:val="00A876F3"/>
    <w:rsid w:val="00A9340E"/>
    <w:rsid w:val="00A97C81"/>
    <w:rsid w:val="00AA1D9C"/>
    <w:rsid w:val="00AA23D5"/>
    <w:rsid w:val="00AA3766"/>
    <w:rsid w:val="00AA47E4"/>
    <w:rsid w:val="00AA5B9D"/>
    <w:rsid w:val="00AB36CE"/>
    <w:rsid w:val="00AB4201"/>
    <w:rsid w:val="00AB4D6F"/>
    <w:rsid w:val="00AC2D4D"/>
    <w:rsid w:val="00AC52CF"/>
    <w:rsid w:val="00AC6C2A"/>
    <w:rsid w:val="00AC7486"/>
    <w:rsid w:val="00AD1F1D"/>
    <w:rsid w:val="00AE0BBC"/>
    <w:rsid w:val="00AE3DFF"/>
    <w:rsid w:val="00AF1553"/>
    <w:rsid w:val="00AF6A2E"/>
    <w:rsid w:val="00B00578"/>
    <w:rsid w:val="00B02E01"/>
    <w:rsid w:val="00B03EB3"/>
    <w:rsid w:val="00B10115"/>
    <w:rsid w:val="00B14305"/>
    <w:rsid w:val="00B14A3E"/>
    <w:rsid w:val="00B20D9F"/>
    <w:rsid w:val="00B276BE"/>
    <w:rsid w:val="00B307A8"/>
    <w:rsid w:val="00B32ABE"/>
    <w:rsid w:val="00B34FD8"/>
    <w:rsid w:val="00B3711F"/>
    <w:rsid w:val="00B40A84"/>
    <w:rsid w:val="00B43A42"/>
    <w:rsid w:val="00B45525"/>
    <w:rsid w:val="00B46471"/>
    <w:rsid w:val="00B55F88"/>
    <w:rsid w:val="00B61B57"/>
    <w:rsid w:val="00B76926"/>
    <w:rsid w:val="00B8032C"/>
    <w:rsid w:val="00B80C9B"/>
    <w:rsid w:val="00B92C62"/>
    <w:rsid w:val="00B945E7"/>
    <w:rsid w:val="00B94B52"/>
    <w:rsid w:val="00B94E90"/>
    <w:rsid w:val="00B966F1"/>
    <w:rsid w:val="00BA033C"/>
    <w:rsid w:val="00BB2A04"/>
    <w:rsid w:val="00BB2B3D"/>
    <w:rsid w:val="00BB4ED8"/>
    <w:rsid w:val="00BB5235"/>
    <w:rsid w:val="00BB61F7"/>
    <w:rsid w:val="00BB75C3"/>
    <w:rsid w:val="00BB7CA5"/>
    <w:rsid w:val="00BC47CA"/>
    <w:rsid w:val="00BC5493"/>
    <w:rsid w:val="00BC6271"/>
    <w:rsid w:val="00BD1EA0"/>
    <w:rsid w:val="00BD1F18"/>
    <w:rsid w:val="00BD626D"/>
    <w:rsid w:val="00BD7F86"/>
    <w:rsid w:val="00BE1859"/>
    <w:rsid w:val="00BE43BD"/>
    <w:rsid w:val="00BE545E"/>
    <w:rsid w:val="00BE5DED"/>
    <w:rsid w:val="00BE7086"/>
    <w:rsid w:val="00BF025D"/>
    <w:rsid w:val="00BF5449"/>
    <w:rsid w:val="00BF5E29"/>
    <w:rsid w:val="00C01EF3"/>
    <w:rsid w:val="00C051EB"/>
    <w:rsid w:val="00C055C3"/>
    <w:rsid w:val="00C05B60"/>
    <w:rsid w:val="00C10079"/>
    <w:rsid w:val="00C1056D"/>
    <w:rsid w:val="00C12F96"/>
    <w:rsid w:val="00C16B45"/>
    <w:rsid w:val="00C17246"/>
    <w:rsid w:val="00C31A4E"/>
    <w:rsid w:val="00C33BE7"/>
    <w:rsid w:val="00C354E7"/>
    <w:rsid w:val="00C356DA"/>
    <w:rsid w:val="00C367B8"/>
    <w:rsid w:val="00C407B9"/>
    <w:rsid w:val="00C41145"/>
    <w:rsid w:val="00C52873"/>
    <w:rsid w:val="00C57D70"/>
    <w:rsid w:val="00C60F46"/>
    <w:rsid w:val="00C66BA8"/>
    <w:rsid w:val="00C910ED"/>
    <w:rsid w:val="00C9306F"/>
    <w:rsid w:val="00C94686"/>
    <w:rsid w:val="00C94BA8"/>
    <w:rsid w:val="00CA2E95"/>
    <w:rsid w:val="00CA75B6"/>
    <w:rsid w:val="00CA7CFD"/>
    <w:rsid w:val="00CB46FF"/>
    <w:rsid w:val="00CC2B1D"/>
    <w:rsid w:val="00CC3412"/>
    <w:rsid w:val="00CC51B6"/>
    <w:rsid w:val="00CD1FAF"/>
    <w:rsid w:val="00CD2828"/>
    <w:rsid w:val="00CD4117"/>
    <w:rsid w:val="00CE3484"/>
    <w:rsid w:val="00CF1512"/>
    <w:rsid w:val="00CF212B"/>
    <w:rsid w:val="00D027C7"/>
    <w:rsid w:val="00D03D82"/>
    <w:rsid w:val="00D04AE4"/>
    <w:rsid w:val="00D04B37"/>
    <w:rsid w:val="00D129B1"/>
    <w:rsid w:val="00D135C7"/>
    <w:rsid w:val="00D213EC"/>
    <w:rsid w:val="00D215DE"/>
    <w:rsid w:val="00D24040"/>
    <w:rsid w:val="00D246A3"/>
    <w:rsid w:val="00D24B11"/>
    <w:rsid w:val="00D2638F"/>
    <w:rsid w:val="00D27626"/>
    <w:rsid w:val="00D35465"/>
    <w:rsid w:val="00D44A9D"/>
    <w:rsid w:val="00D46D73"/>
    <w:rsid w:val="00D50BF2"/>
    <w:rsid w:val="00D52EE5"/>
    <w:rsid w:val="00D60D50"/>
    <w:rsid w:val="00D642F2"/>
    <w:rsid w:val="00D66AE4"/>
    <w:rsid w:val="00D66DC4"/>
    <w:rsid w:val="00D707EB"/>
    <w:rsid w:val="00D733F2"/>
    <w:rsid w:val="00D817CC"/>
    <w:rsid w:val="00D84317"/>
    <w:rsid w:val="00DA0637"/>
    <w:rsid w:val="00DA761D"/>
    <w:rsid w:val="00DB0A46"/>
    <w:rsid w:val="00DB61BC"/>
    <w:rsid w:val="00DC1614"/>
    <w:rsid w:val="00DC1FC8"/>
    <w:rsid w:val="00DC3DCD"/>
    <w:rsid w:val="00DD330C"/>
    <w:rsid w:val="00DD33AE"/>
    <w:rsid w:val="00DD57B6"/>
    <w:rsid w:val="00DE0EBB"/>
    <w:rsid w:val="00DE25D7"/>
    <w:rsid w:val="00DE4E6A"/>
    <w:rsid w:val="00DE772D"/>
    <w:rsid w:val="00DF0BF6"/>
    <w:rsid w:val="00DF3918"/>
    <w:rsid w:val="00E00033"/>
    <w:rsid w:val="00E003BF"/>
    <w:rsid w:val="00E06B17"/>
    <w:rsid w:val="00E115C4"/>
    <w:rsid w:val="00E13192"/>
    <w:rsid w:val="00E178CB"/>
    <w:rsid w:val="00E17FB8"/>
    <w:rsid w:val="00E21332"/>
    <w:rsid w:val="00E218CF"/>
    <w:rsid w:val="00E22EA1"/>
    <w:rsid w:val="00E245A7"/>
    <w:rsid w:val="00E25C16"/>
    <w:rsid w:val="00E2702C"/>
    <w:rsid w:val="00E3118E"/>
    <w:rsid w:val="00E33B23"/>
    <w:rsid w:val="00E34595"/>
    <w:rsid w:val="00E4013E"/>
    <w:rsid w:val="00E4481D"/>
    <w:rsid w:val="00E45BB9"/>
    <w:rsid w:val="00E53ECD"/>
    <w:rsid w:val="00E545C4"/>
    <w:rsid w:val="00E57EEA"/>
    <w:rsid w:val="00E603CC"/>
    <w:rsid w:val="00E60B73"/>
    <w:rsid w:val="00E6674E"/>
    <w:rsid w:val="00E67840"/>
    <w:rsid w:val="00E714D0"/>
    <w:rsid w:val="00E72E93"/>
    <w:rsid w:val="00E810A7"/>
    <w:rsid w:val="00E83679"/>
    <w:rsid w:val="00E87E7E"/>
    <w:rsid w:val="00E906E9"/>
    <w:rsid w:val="00E9188C"/>
    <w:rsid w:val="00E96956"/>
    <w:rsid w:val="00E969C6"/>
    <w:rsid w:val="00EA040E"/>
    <w:rsid w:val="00EA28F2"/>
    <w:rsid w:val="00EA7A3F"/>
    <w:rsid w:val="00EB2E0F"/>
    <w:rsid w:val="00EB709C"/>
    <w:rsid w:val="00EB7E13"/>
    <w:rsid w:val="00EC1780"/>
    <w:rsid w:val="00EC32C0"/>
    <w:rsid w:val="00EC47FF"/>
    <w:rsid w:val="00EC6D97"/>
    <w:rsid w:val="00ED1CFD"/>
    <w:rsid w:val="00ED39F1"/>
    <w:rsid w:val="00EE7DFF"/>
    <w:rsid w:val="00EF50C0"/>
    <w:rsid w:val="00EF7185"/>
    <w:rsid w:val="00EF7597"/>
    <w:rsid w:val="00F00C11"/>
    <w:rsid w:val="00F00C56"/>
    <w:rsid w:val="00F041BB"/>
    <w:rsid w:val="00F0712F"/>
    <w:rsid w:val="00F1378F"/>
    <w:rsid w:val="00F2018E"/>
    <w:rsid w:val="00F22048"/>
    <w:rsid w:val="00F2486F"/>
    <w:rsid w:val="00F261C4"/>
    <w:rsid w:val="00F26A75"/>
    <w:rsid w:val="00F278B9"/>
    <w:rsid w:val="00F332C7"/>
    <w:rsid w:val="00F33C22"/>
    <w:rsid w:val="00F34104"/>
    <w:rsid w:val="00F363AD"/>
    <w:rsid w:val="00F41D5F"/>
    <w:rsid w:val="00F4630E"/>
    <w:rsid w:val="00F53239"/>
    <w:rsid w:val="00F56D15"/>
    <w:rsid w:val="00F6068A"/>
    <w:rsid w:val="00F62C28"/>
    <w:rsid w:val="00F64AB3"/>
    <w:rsid w:val="00F677C7"/>
    <w:rsid w:val="00F706E0"/>
    <w:rsid w:val="00F726CE"/>
    <w:rsid w:val="00F74F47"/>
    <w:rsid w:val="00F81330"/>
    <w:rsid w:val="00F828E4"/>
    <w:rsid w:val="00F82A1C"/>
    <w:rsid w:val="00F84DB8"/>
    <w:rsid w:val="00F86B36"/>
    <w:rsid w:val="00F930F7"/>
    <w:rsid w:val="00FA0A5D"/>
    <w:rsid w:val="00FA544C"/>
    <w:rsid w:val="00FB268B"/>
    <w:rsid w:val="00FB2CEE"/>
    <w:rsid w:val="00FB32A7"/>
    <w:rsid w:val="00FB34FF"/>
    <w:rsid w:val="00FB75C0"/>
    <w:rsid w:val="00FC163C"/>
    <w:rsid w:val="00FC2357"/>
    <w:rsid w:val="00FC2593"/>
    <w:rsid w:val="00FC37F3"/>
    <w:rsid w:val="00FC3C69"/>
    <w:rsid w:val="00FD67D1"/>
    <w:rsid w:val="00FE56B6"/>
    <w:rsid w:val="00FF16A4"/>
    <w:rsid w:val="00FF38D2"/>
    <w:rsid w:val="00FF46CC"/>
    <w:rsid w:val="00FF4C60"/>
    <w:rsid w:val="00FF5F83"/>
    <w:rsid w:val="00FF60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46D613"/>
  <w15:chartTrackingRefBased/>
  <w15:docId w15:val="{815575B0-D91A-4563-B063-6085A1DB8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396"/>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59"/>
    <w:rsid w:val="002E5396"/>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
    <w:link w:val="SinespaciadoCar"/>
    <w:uiPriority w:val="1"/>
    <w:qFormat/>
    <w:rsid w:val="001E35F1"/>
    <w:pPr>
      <w:spacing w:after="0" w:line="240" w:lineRule="auto"/>
    </w:pPr>
  </w:style>
  <w:style w:type="character" w:customStyle="1" w:styleId="SinespaciadoCar">
    <w:name w:val="Sin espaciado Car"/>
    <w:aliases w:val="Francesa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114A6D"/>
    <w:rPr>
      <w:vertAlign w:val="superscript"/>
    </w:rPr>
  </w:style>
  <w:style w:type="paragraph" w:customStyle="1" w:styleId="Default">
    <w:name w:val="Default"/>
    <w:rsid w:val="00DD33AE"/>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DD33AE"/>
    <w:pPr>
      <w:spacing w:before="100" w:beforeAutospacing="1" w:after="100" w:afterAutospacing="1"/>
    </w:pPr>
    <w:rPr>
      <w:lang w:val="es-MX" w:eastAsia="es-MX"/>
    </w:rPr>
  </w:style>
  <w:style w:type="paragraph" w:customStyle="1" w:styleId="Standard">
    <w:name w:val="Standard"/>
    <w:rsid w:val="00DD33AE"/>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paragraph" w:customStyle="1" w:styleId="j">
    <w:name w:val="j"/>
    <w:basedOn w:val="Normal"/>
    <w:rsid w:val="00DD33AE"/>
    <w:pPr>
      <w:spacing w:before="100" w:beforeAutospacing="1" w:after="100" w:afterAutospacing="1"/>
    </w:pPr>
    <w:rPr>
      <w:lang w:val="es-MX" w:eastAsia="es-MX"/>
    </w:rPr>
  </w:style>
  <w:style w:type="character" w:customStyle="1" w:styleId="nacep">
    <w:name w:val="n_acep"/>
    <w:basedOn w:val="Fuentedeprrafopredeter"/>
    <w:rsid w:val="00DD33AE"/>
  </w:style>
  <w:style w:type="character" w:customStyle="1" w:styleId="m-5890655947528156101gmail-msofootnotereference">
    <w:name w:val="m_-5890655947528156101gmail-msofootnotereference"/>
    <w:basedOn w:val="Fuentedeprrafopredeter"/>
    <w:rsid w:val="00DD33AE"/>
  </w:style>
  <w:style w:type="paragraph" w:customStyle="1" w:styleId="m-5890655947528156101gmail-msofootnotetext">
    <w:name w:val="m_-5890655947528156101gmail-msofootnotetext"/>
    <w:basedOn w:val="Normal"/>
    <w:rsid w:val="00DD33AE"/>
    <w:pPr>
      <w:spacing w:before="100" w:beforeAutospacing="1" w:after="100" w:afterAutospacing="1"/>
    </w:pPr>
    <w:rPr>
      <w:lang w:val="es-MX" w:eastAsia="es-MX"/>
    </w:rPr>
  </w:style>
  <w:style w:type="character" w:customStyle="1" w:styleId="apple-style-span">
    <w:name w:val="apple-style-span"/>
    <w:rsid w:val="00DD33AE"/>
  </w:style>
  <w:style w:type="character" w:styleId="Hipervnculovisitado">
    <w:name w:val="FollowedHyperlink"/>
    <w:basedOn w:val="Fuentedeprrafopredeter"/>
    <w:uiPriority w:val="99"/>
    <w:semiHidden/>
    <w:unhideWhenUsed/>
    <w:rsid w:val="001D67F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584978">
      <w:bodyDiv w:val="1"/>
      <w:marLeft w:val="0"/>
      <w:marRight w:val="0"/>
      <w:marTop w:val="0"/>
      <w:marBottom w:val="0"/>
      <w:divBdr>
        <w:top w:val="none" w:sz="0" w:space="0" w:color="auto"/>
        <w:left w:val="none" w:sz="0" w:space="0" w:color="auto"/>
        <w:bottom w:val="none" w:sz="0" w:space="0" w:color="auto"/>
        <w:right w:val="none" w:sz="0" w:space="0" w:color="auto"/>
      </w:divBdr>
    </w:div>
    <w:div w:id="172384831">
      <w:bodyDiv w:val="1"/>
      <w:marLeft w:val="0"/>
      <w:marRight w:val="0"/>
      <w:marTop w:val="0"/>
      <w:marBottom w:val="0"/>
      <w:divBdr>
        <w:top w:val="none" w:sz="0" w:space="0" w:color="auto"/>
        <w:left w:val="none" w:sz="0" w:space="0" w:color="auto"/>
        <w:bottom w:val="none" w:sz="0" w:space="0" w:color="auto"/>
        <w:right w:val="none" w:sz="0" w:space="0" w:color="auto"/>
      </w:divBdr>
    </w:div>
    <w:div w:id="300885249">
      <w:bodyDiv w:val="1"/>
      <w:marLeft w:val="0"/>
      <w:marRight w:val="0"/>
      <w:marTop w:val="0"/>
      <w:marBottom w:val="0"/>
      <w:divBdr>
        <w:top w:val="none" w:sz="0" w:space="0" w:color="auto"/>
        <w:left w:val="none" w:sz="0" w:space="0" w:color="auto"/>
        <w:bottom w:val="none" w:sz="0" w:space="0" w:color="auto"/>
        <w:right w:val="none" w:sz="0" w:space="0" w:color="auto"/>
      </w:divBdr>
    </w:div>
    <w:div w:id="311957216">
      <w:bodyDiv w:val="1"/>
      <w:marLeft w:val="0"/>
      <w:marRight w:val="0"/>
      <w:marTop w:val="0"/>
      <w:marBottom w:val="0"/>
      <w:divBdr>
        <w:top w:val="none" w:sz="0" w:space="0" w:color="auto"/>
        <w:left w:val="none" w:sz="0" w:space="0" w:color="auto"/>
        <w:bottom w:val="none" w:sz="0" w:space="0" w:color="auto"/>
        <w:right w:val="none" w:sz="0" w:space="0" w:color="auto"/>
      </w:divBdr>
    </w:div>
    <w:div w:id="330331449">
      <w:bodyDiv w:val="1"/>
      <w:marLeft w:val="0"/>
      <w:marRight w:val="0"/>
      <w:marTop w:val="0"/>
      <w:marBottom w:val="0"/>
      <w:divBdr>
        <w:top w:val="none" w:sz="0" w:space="0" w:color="auto"/>
        <w:left w:val="none" w:sz="0" w:space="0" w:color="auto"/>
        <w:bottom w:val="none" w:sz="0" w:space="0" w:color="auto"/>
        <w:right w:val="none" w:sz="0" w:space="0" w:color="auto"/>
      </w:divBdr>
    </w:div>
    <w:div w:id="335041523">
      <w:bodyDiv w:val="1"/>
      <w:marLeft w:val="0"/>
      <w:marRight w:val="0"/>
      <w:marTop w:val="0"/>
      <w:marBottom w:val="0"/>
      <w:divBdr>
        <w:top w:val="none" w:sz="0" w:space="0" w:color="auto"/>
        <w:left w:val="none" w:sz="0" w:space="0" w:color="auto"/>
        <w:bottom w:val="none" w:sz="0" w:space="0" w:color="auto"/>
        <w:right w:val="none" w:sz="0" w:space="0" w:color="auto"/>
      </w:divBdr>
    </w:div>
    <w:div w:id="355541789">
      <w:bodyDiv w:val="1"/>
      <w:marLeft w:val="0"/>
      <w:marRight w:val="0"/>
      <w:marTop w:val="0"/>
      <w:marBottom w:val="0"/>
      <w:divBdr>
        <w:top w:val="none" w:sz="0" w:space="0" w:color="auto"/>
        <w:left w:val="none" w:sz="0" w:space="0" w:color="auto"/>
        <w:bottom w:val="none" w:sz="0" w:space="0" w:color="auto"/>
        <w:right w:val="none" w:sz="0" w:space="0" w:color="auto"/>
      </w:divBdr>
    </w:div>
    <w:div w:id="382218733">
      <w:bodyDiv w:val="1"/>
      <w:marLeft w:val="0"/>
      <w:marRight w:val="0"/>
      <w:marTop w:val="0"/>
      <w:marBottom w:val="0"/>
      <w:divBdr>
        <w:top w:val="none" w:sz="0" w:space="0" w:color="auto"/>
        <w:left w:val="none" w:sz="0" w:space="0" w:color="auto"/>
        <w:bottom w:val="none" w:sz="0" w:space="0" w:color="auto"/>
        <w:right w:val="none" w:sz="0" w:space="0" w:color="auto"/>
      </w:divBdr>
    </w:div>
    <w:div w:id="491415841">
      <w:bodyDiv w:val="1"/>
      <w:marLeft w:val="0"/>
      <w:marRight w:val="0"/>
      <w:marTop w:val="0"/>
      <w:marBottom w:val="0"/>
      <w:divBdr>
        <w:top w:val="none" w:sz="0" w:space="0" w:color="auto"/>
        <w:left w:val="none" w:sz="0" w:space="0" w:color="auto"/>
        <w:bottom w:val="none" w:sz="0" w:space="0" w:color="auto"/>
        <w:right w:val="none" w:sz="0" w:space="0" w:color="auto"/>
      </w:divBdr>
    </w:div>
    <w:div w:id="508906201">
      <w:bodyDiv w:val="1"/>
      <w:marLeft w:val="0"/>
      <w:marRight w:val="0"/>
      <w:marTop w:val="0"/>
      <w:marBottom w:val="0"/>
      <w:divBdr>
        <w:top w:val="none" w:sz="0" w:space="0" w:color="auto"/>
        <w:left w:val="none" w:sz="0" w:space="0" w:color="auto"/>
        <w:bottom w:val="none" w:sz="0" w:space="0" w:color="auto"/>
        <w:right w:val="none" w:sz="0" w:space="0" w:color="auto"/>
      </w:divBdr>
    </w:div>
    <w:div w:id="567809210">
      <w:bodyDiv w:val="1"/>
      <w:marLeft w:val="0"/>
      <w:marRight w:val="0"/>
      <w:marTop w:val="0"/>
      <w:marBottom w:val="0"/>
      <w:divBdr>
        <w:top w:val="none" w:sz="0" w:space="0" w:color="auto"/>
        <w:left w:val="none" w:sz="0" w:space="0" w:color="auto"/>
        <w:bottom w:val="none" w:sz="0" w:space="0" w:color="auto"/>
        <w:right w:val="none" w:sz="0" w:space="0" w:color="auto"/>
      </w:divBdr>
    </w:div>
    <w:div w:id="606736630">
      <w:bodyDiv w:val="1"/>
      <w:marLeft w:val="0"/>
      <w:marRight w:val="0"/>
      <w:marTop w:val="0"/>
      <w:marBottom w:val="0"/>
      <w:divBdr>
        <w:top w:val="none" w:sz="0" w:space="0" w:color="auto"/>
        <w:left w:val="none" w:sz="0" w:space="0" w:color="auto"/>
        <w:bottom w:val="none" w:sz="0" w:space="0" w:color="auto"/>
        <w:right w:val="none" w:sz="0" w:space="0" w:color="auto"/>
      </w:divBdr>
    </w:div>
    <w:div w:id="662900695">
      <w:bodyDiv w:val="1"/>
      <w:marLeft w:val="0"/>
      <w:marRight w:val="0"/>
      <w:marTop w:val="0"/>
      <w:marBottom w:val="0"/>
      <w:divBdr>
        <w:top w:val="none" w:sz="0" w:space="0" w:color="auto"/>
        <w:left w:val="none" w:sz="0" w:space="0" w:color="auto"/>
        <w:bottom w:val="none" w:sz="0" w:space="0" w:color="auto"/>
        <w:right w:val="none" w:sz="0" w:space="0" w:color="auto"/>
      </w:divBdr>
    </w:div>
    <w:div w:id="698314877">
      <w:bodyDiv w:val="1"/>
      <w:marLeft w:val="0"/>
      <w:marRight w:val="0"/>
      <w:marTop w:val="0"/>
      <w:marBottom w:val="0"/>
      <w:divBdr>
        <w:top w:val="none" w:sz="0" w:space="0" w:color="auto"/>
        <w:left w:val="none" w:sz="0" w:space="0" w:color="auto"/>
        <w:bottom w:val="none" w:sz="0" w:space="0" w:color="auto"/>
        <w:right w:val="none" w:sz="0" w:space="0" w:color="auto"/>
      </w:divBdr>
    </w:div>
    <w:div w:id="719397786">
      <w:bodyDiv w:val="1"/>
      <w:marLeft w:val="0"/>
      <w:marRight w:val="0"/>
      <w:marTop w:val="0"/>
      <w:marBottom w:val="0"/>
      <w:divBdr>
        <w:top w:val="none" w:sz="0" w:space="0" w:color="auto"/>
        <w:left w:val="none" w:sz="0" w:space="0" w:color="auto"/>
        <w:bottom w:val="none" w:sz="0" w:space="0" w:color="auto"/>
        <w:right w:val="none" w:sz="0" w:space="0" w:color="auto"/>
      </w:divBdr>
    </w:div>
    <w:div w:id="723677420">
      <w:bodyDiv w:val="1"/>
      <w:marLeft w:val="0"/>
      <w:marRight w:val="0"/>
      <w:marTop w:val="0"/>
      <w:marBottom w:val="0"/>
      <w:divBdr>
        <w:top w:val="none" w:sz="0" w:space="0" w:color="auto"/>
        <w:left w:val="none" w:sz="0" w:space="0" w:color="auto"/>
        <w:bottom w:val="none" w:sz="0" w:space="0" w:color="auto"/>
        <w:right w:val="none" w:sz="0" w:space="0" w:color="auto"/>
      </w:divBdr>
    </w:div>
    <w:div w:id="742487295">
      <w:bodyDiv w:val="1"/>
      <w:marLeft w:val="0"/>
      <w:marRight w:val="0"/>
      <w:marTop w:val="0"/>
      <w:marBottom w:val="0"/>
      <w:divBdr>
        <w:top w:val="none" w:sz="0" w:space="0" w:color="auto"/>
        <w:left w:val="none" w:sz="0" w:space="0" w:color="auto"/>
        <w:bottom w:val="none" w:sz="0" w:space="0" w:color="auto"/>
        <w:right w:val="none" w:sz="0" w:space="0" w:color="auto"/>
      </w:divBdr>
    </w:div>
    <w:div w:id="764233010">
      <w:bodyDiv w:val="1"/>
      <w:marLeft w:val="0"/>
      <w:marRight w:val="0"/>
      <w:marTop w:val="0"/>
      <w:marBottom w:val="0"/>
      <w:divBdr>
        <w:top w:val="none" w:sz="0" w:space="0" w:color="auto"/>
        <w:left w:val="none" w:sz="0" w:space="0" w:color="auto"/>
        <w:bottom w:val="none" w:sz="0" w:space="0" w:color="auto"/>
        <w:right w:val="none" w:sz="0" w:space="0" w:color="auto"/>
      </w:divBdr>
    </w:div>
    <w:div w:id="813061187">
      <w:bodyDiv w:val="1"/>
      <w:marLeft w:val="0"/>
      <w:marRight w:val="0"/>
      <w:marTop w:val="0"/>
      <w:marBottom w:val="0"/>
      <w:divBdr>
        <w:top w:val="none" w:sz="0" w:space="0" w:color="auto"/>
        <w:left w:val="none" w:sz="0" w:space="0" w:color="auto"/>
        <w:bottom w:val="none" w:sz="0" w:space="0" w:color="auto"/>
        <w:right w:val="none" w:sz="0" w:space="0" w:color="auto"/>
      </w:divBdr>
    </w:div>
    <w:div w:id="832329647">
      <w:bodyDiv w:val="1"/>
      <w:marLeft w:val="0"/>
      <w:marRight w:val="0"/>
      <w:marTop w:val="0"/>
      <w:marBottom w:val="0"/>
      <w:divBdr>
        <w:top w:val="none" w:sz="0" w:space="0" w:color="auto"/>
        <w:left w:val="none" w:sz="0" w:space="0" w:color="auto"/>
        <w:bottom w:val="none" w:sz="0" w:space="0" w:color="auto"/>
        <w:right w:val="none" w:sz="0" w:space="0" w:color="auto"/>
      </w:divBdr>
    </w:div>
    <w:div w:id="836768855">
      <w:bodyDiv w:val="1"/>
      <w:marLeft w:val="0"/>
      <w:marRight w:val="0"/>
      <w:marTop w:val="0"/>
      <w:marBottom w:val="0"/>
      <w:divBdr>
        <w:top w:val="none" w:sz="0" w:space="0" w:color="auto"/>
        <w:left w:val="none" w:sz="0" w:space="0" w:color="auto"/>
        <w:bottom w:val="none" w:sz="0" w:space="0" w:color="auto"/>
        <w:right w:val="none" w:sz="0" w:space="0" w:color="auto"/>
      </w:divBdr>
    </w:div>
    <w:div w:id="839467400">
      <w:bodyDiv w:val="1"/>
      <w:marLeft w:val="0"/>
      <w:marRight w:val="0"/>
      <w:marTop w:val="0"/>
      <w:marBottom w:val="0"/>
      <w:divBdr>
        <w:top w:val="none" w:sz="0" w:space="0" w:color="auto"/>
        <w:left w:val="none" w:sz="0" w:space="0" w:color="auto"/>
        <w:bottom w:val="none" w:sz="0" w:space="0" w:color="auto"/>
        <w:right w:val="none" w:sz="0" w:space="0" w:color="auto"/>
      </w:divBdr>
    </w:div>
    <w:div w:id="860167792">
      <w:bodyDiv w:val="1"/>
      <w:marLeft w:val="0"/>
      <w:marRight w:val="0"/>
      <w:marTop w:val="0"/>
      <w:marBottom w:val="0"/>
      <w:divBdr>
        <w:top w:val="none" w:sz="0" w:space="0" w:color="auto"/>
        <w:left w:val="none" w:sz="0" w:space="0" w:color="auto"/>
        <w:bottom w:val="none" w:sz="0" w:space="0" w:color="auto"/>
        <w:right w:val="none" w:sz="0" w:space="0" w:color="auto"/>
      </w:divBdr>
    </w:div>
    <w:div w:id="867715009">
      <w:bodyDiv w:val="1"/>
      <w:marLeft w:val="0"/>
      <w:marRight w:val="0"/>
      <w:marTop w:val="0"/>
      <w:marBottom w:val="0"/>
      <w:divBdr>
        <w:top w:val="none" w:sz="0" w:space="0" w:color="auto"/>
        <w:left w:val="none" w:sz="0" w:space="0" w:color="auto"/>
        <w:bottom w:val="none" w:sz="0" w:space="0" w:color="auto"/>
        <w:right w:val="none" w:sz="0" w:space="0" w:color="auto"/>
      </w:divBdr>
    </w:div>
    <w:div w:id="877938250">
      <w:bodyDiv w:val="1"/>
      <w:marLeft w:val="0"/>
      <w:marRight w:val="0"/>
      <w:marTop w:val="0"/>
      <w:marBottom w:val="0"/>
      <w:divBdr>
        <w:top w:val="none" w:sz="0" w:space="0" w:color="auto"/>
        <w:left w:val="none" w:sz="0" w:space="0" w:color="auto"/>
        <w:bottom w:val="none" w:sz="0" w:space="0" w:color="auto"/>
        <w:right w:val="none" w:sz="0" w:space="0" w:color="auto"/>
      </w:divBdr>
    </w:div>
    <w:div w:id="880098360">
      <w:bodyDiv w:val="1"/>
      <w:marLeft w:val="0"/>
      <w:marRight w:val="0"/>
      <w:marTop w:val="0"/>
      <w:marBottom w:val="0"/>
      <w:divBdr>
        <w:top w:val="none" w:sz="0" w:space="0" w:color="auto"/>
        <w:left w:val="none" w:sz="0" w:space="0" w:color="auto"/>
        <w:bottom w:val="none" w:sz="0" w:space="0" w:color="auto"/>
        <w:right w:val="none" w:sz="0" w:space="0" w:color="auto"/>
      </w:divBdr>
    </w:div>
    <w:div w:id="897983042">
      <w:bodyDiv w:val="1"/>
      <w:marLeft w:val="0"/>
      <w:marRight w:val="0"/>
      <w:marTop w:val="0"/>
      <w:marBottom w:val="0"/>
      <w:divBdr>
        <w:top w:val="none" w:sz="0" w:space="0" w:color="auto"/>
        <w:left w:val="none" w:sz="0" w:space="0" w:color="auto"/>
        <w:bottom w:val="none" w:sz="0" w:space="0" w:color="auto"/>
        <w:right w:val="none" w:sz="0" w:space="0" w:color="auto"/>
      </w:divBdr>
    </w:div>
    <w:div w:id="908853472">
      <w:bodyDiv w:val="1"/>
      <w:marLeft w:val="0"/>
      <w:marRight w:val="0"/>
      <w:marTop w:val="0"/>
      <w:marBottom w:val="0"/>
      <w:divBdr>
        <w:top w:val="none" w:sz="0" w:space="0" w:color="auto"/>
        <w:left w:val="none" w:sz="0" w:space="0" w:color="auto"/>
        <w:bottom w:val="none" w:sz="0" w:space="0" w:color="auto"/>
        <w:right w:val="none" w:sz="0" w:space="0" w:color="auto"/>
      </w:divBdr>
    </w:div>
    <w:div w:id="1030762129">
      <w:bodyDiv w:val="1"/>
      <w:marLeft w:val="0"/>
      <w:marRight w:val="0"/>
      <w:marTop w:val="0"/>
      <w:marBottom w:val="0"/>
      <w:divBdr>
        <w:top w:val="none" w:sz="0" w:space="0" w:color="auto"/>
        <w:left w:val="none" w:sz="0" w:space="0" w:color="auto"/>
        <w:bottom w:val="none" w:sz="0" w:space="0" w:color="auto"/>
        <w:right w:val="none" w:sz="0" w:space="0" w:color="auto"/>
      </w:divBdr>
    </w:div>
    <w:div w:id="1034422971">
      <w:bodyDiv w:val="1"/>
      <w:marLeft w:val="0"/>
      <w:marRight w:val="0"/>
      <w:marTop w:val="0"/>
      <w:marBottom w:val="0"/>
      <w:divBdr>
        <w:top w:val="none" w:sz="0" w:space="0" w:color="auto"/>
        <w:left w:val="none" w:sz="0" w:space="0" w:color="auto"/>
        <w:bottom w:val="none" w:sz="0" w:space="0" w:color="auto"/>
        <w:right w:val="none" w:sz="0" w:space="0" w:color="auto"/>
      </w:divBdr>
    </w:div>
    <w:div w:id="1114517118">
      <w:bodyDiv w:val="1"/>
      <w:marLeft w:val="0"/>
      <w:marRight w:val="0"/>
      <w:marTop w:val="0"/>
      <w:marBottom w:val="0"/>
      <w:divBdr>
        <w:top w:val="none" w:sz="0" w:space="0" w:color="auto"/>
        <w:left w:val="none" w:sz="0" w:space="0" w:color="auto"/>
        <w:bottom w:val="none" w:sz="0" w:space="0" w:color="auto"/>
        <w:right w:val="none" w:sz="0" w:space="0" w:color="auto"/>
      </w:divBdr>
    </w:div>
    <w:div w:id="1126267677">
      <w:bodyDiv w:val="1"/>
      <w:marLeft w:val="0"/>
      <w:marRight w:val="0"/>
      <w:marTop w:val="0"/>
      <w:marBottom w:val="0"/>
      <w:divBdr>
        <w:top w:val="none" w:sz="0" w:space="0" w:color="auto"/>
        <w:left w:val="none" w:sz="0" w:space="0" w:color="auto"/>
        <w:bottom w:val="none" w:sz="0" w:space="0" w:color="auto"/>
        <w:right w:val="none" w:sz="0" w:space="0" w:color="auto"/>
      </w:divBdr>
    </w:div>
    <w:div w:id="1136532456">
      <w:bodyDiv w:val="1"/>
      <w:marLeft w:val="0"/>
      <w:marRight w:val="0"/>
      <w:marTop w:val="0"/>
      <w:marBottom w:val="0"/>
      <w:divBdr>
        <w:top w:val="none" w:sz="0" w:space="0" w:color="auto"/>
        <w:left w:val="none" w:sz="0" w:space="0" w:color="auto"/>
        <w:bottom w:val="none" w:sz="0" w:space="0" w:color="auto"/>
        <w:right w:val="none" w:sz="0" w:space="0" w:color="auto"/>
      </w:divBdr>
    </w:div>
    <w:div w:id="1156649579">
      <w:bodyDiv w:val="1"/>
      <w:marLeft w:val="0"/>
      <w:marRight w:val="0"/>
      <w:marTop w:val="0"/>
      <w:marBottom w:val="0"/>
      <w:divBdr>
        <w:top w:val="none" w:sz="0" w:space="0" w:color="auto"/>
        <w:left w:val="none" w:sz="0" w:space="0" w:color="auto"/>
        <w:bottom w:val="none" w:sz="0" w:space="0" w:color="auto"/>
        <w:right w:val="none" w:sz="0" w:space="0" w:color="auto"/>
      </w:divBdr>
    </w:div>
    <w:div w:id="1187212983">
      <w:bodyDiv w:val="1"/>
      <w:marLeft w:val="0"/>
      <w:marRight w:val="0"/>
      <w:marTop w:val="0"/>
      <w:marBottom w:val="0"/>
      <w:divBdr>
        <w:top w:val="none" w:sz="0" w:space="0" w:color="auto"/>
        <w:left w:val="none" w:sz="0" w:space="0" w:color="auto"/>
        <w:bottom w:val="none" w:sz="0" w:space="0" w:color="auto"/>
        <w:right w:val="none" w:sz="0" w:space="0" w:color="auto"/>
      </w:divBdr>
    </w:div>
    <w:div w:id="1264728908">
      <w:bodyDiv w:val="1"/>
      <w:marLeft w:val="0"/>
      <w:marRight w:val="0"/>
      <w:marTop w:val="0"/>
      <w:marBottom w:val="0"/>
      <w:divBdr>
        <w:top w:val="none" w:sz="0" w:space="0" w:color="auto"/>
        <w:left w:val="none" w:sz="0" w:space="0" w:color="auto"/>
        <w:bottom w:val="none" w:sz="0" w:space="0" w:color="auto"/>
        <w:right w:val="none" w:sz="0" w:space="0" w:color="auto"/>
      </w:divBdr>
    </w:div>
    <w:div w:id="1267814666">
      <w:bodyDiv w:val="1"/>
      <w:marLeft w:val="0"/>
      <w:marRight w:val="0"/>
      <w:marTop w:val="0"/>
      <w:marBottom w:val="0"/>
      <w:divBdr>
        <w:top w:val="none" w:sz="0" w:space="0" w:color="auto"/>
        <w:left w:val="none" w:sz="0" w:space="0" w:color="auto"/>
        <w:bottom w:val="none" w:sz="0" w:space="0" w:color="auto"/>
        <w:right w:val="none" w:sz="0" w:space="0" w:color="auto"/>
      </w:divBdr>
    </w:div>
    <w:div w:id="1274944716">
      <w:bodyDiv w:val="1"/>
      <w:marLeft w:val="0"/>
      <w:marRight w:val="0"/>
      <w:marTop w:val="0"/>
      <w:marBottom w:val="0"/>
      <w:divBdr>
        <w:top w:val="none" w:sz="0" w:space="0" w:color="auto"/>
        <w:left w:val="none" w:sz="0" w:space="0" w:color="auto"/>
        <w:bottom w:val="none" w:sz="0" w:space="0" w:color="auto"/>
        <w:right w:val="none" w:sz="0" w:space="0" w:color="auto"/>
      </w:divBdr>
    </w:div>
    <w:div w:id="1392650653">
      <w:bodyDiv w:val="1"/>
      <w:marLeft w:val="0"/>
      <w:marRight w:val="0"/>
      <w:marTop w:val="0"/>
      <w:marBottom w:val="0"/>
      <w:divBdr>
        <w:top w:val="none" w:sz="0" w:space="0" w:color="auto"/>
        <w:left w:val="none" w:sz="0" w:space="0" w:color="auto"/>
        <w:bottom w:val="none" w:sz="0" w:space="0" w:color="auto"/>
        <w:right w:val="none" w:sz="0" w:space="0" w:color="auto"/>
      </w:divBdr>
    </w:div>
    <w:div w:id="1401563217">
      <w:bodyDiv w:val="1"/>
      <w:marLeft w:val="0"/>
      <w:marRight w:val="0"/>
      <w:marTop w:val="0"/>
      <w:marBottom w:val="0"/>
      <w:divBdr>
        <w:top w:val="none" w:sz="0" w:space="0" w:color="auto"/>
        <w:left w:val="none" w:sz="0" w:space="0" w:color="auto"/>
        <w:bottom w:val="none" w:sz="0" w:space="0" w:color="auto"/>
        <w:right w:val="none" w:sz="0" w:space="0" w:color="auto"/>
      </w:divBdr>
    </w:div>
    <w:div w:id="1413354029">
      <w:bodyDiv w:val="1"/>
      <w:marLeft w:val="0"/>
      <w:marRight w:val="0"/>
      <w:marTop w:val="0"/>
      <w:marBottom w:val="0"/>
      <w:divBdr>
        <w:top w:val="none" w:sz="0" w:space="0" w:color="auto"/>
        <w:left w:val="none" w:sz="0" w:space="0" w:color="auto"/>
        <w:bottom w:val="none" w:sz="0" w:space="0" w:color="auto"/>
        <w:right w:val="none" w:sz="0" w:space="0" w:color="auto"/>
      </w:divBdr>
    </w:div>
    <w:div w:id="1440830679">
      <w:bodyDiv w:val="1"/>
      <w:marLeft w:val="0"/>
      <w:marRight w:val="0"/>
      <w:marTop w:val="0"/>
      <w:marBottom w:val="0"/>
      <w:divBdr>
        <w:top w:val="none" w:sz="0" w:space="0" w:color="auto"/>
        <w:left w:val="none" w:sz="0" w:space="0" w:color="auto"/>
        <w:bottom w:val="none" w:sz="0" w:space="0" w:color="auto"/>
        <w:right w:val="none" w:sz="0" w:space="0" w:color="auto"/>
      </w:divBdr>
    </w:div>
    <w:div w:id="1443306518">
      <w:bodyDiv w:val="1"/>
      <w:marLeft w:val="0"/>
      <w:marRight w:val="0"/>
      <w:marTop w:val="0"/>
      <w:marBottom w:val="0"/>
      <w:divBdr>
        <w:top w:val="none" w:sz="0" w:space="0" w:color="auto"/>
        <w:left w:val="none" w:sz="0" w:space="0" w:color="auto"/>
        <w:bottom w:val="none" w:sz="0" w:space="0" w:color="auto"/>
        <w:right w:val="none" w:sz="0" w:space="0" w:color="auto"/>
      </w:divBdr>
    </w:div>
    <w:div w:id="1477798122">
      <w:bodyDiv w:val="1"/>
      <w:marLeft w:val="0"/>
      <w:marRight w:val="0"/>
      <w:marTop w:val="0"/>
      <w:marBottom w:val="0"/>
      <w:divBdr>
        <w:top w:val="none" w:sz="0" w:space="0" w:color="auto"/>
        <w:left w:val="none" w:sz="0" w:space="0" w:color="auto"/>
        <w:bottom w:val="none" w:sz="0" w:space="0" w:color="auto"/>
        <w:right w:val="none" w:sz="0" w:space="0" w:color="auto"/>
      </w:divBdr>
    </w:div>
    <w:div w:id="1563449153">
      <w:bodyDiv w:val="1"/>
      <w:marLeft w:val="0"/>
      <w:marRight w:val="0"/>
      <w:marTop w:val="0"/>
      <w:marBottom w:val="0"/>
      <w:divBdr>
        <w:top w:val="none" w:sz="0" w:space="0" w:color="auto"/>
        <w:left w:val="none" w:sz="0" w:space="0" w:color="auto"/>
        <w:bottom w:val="none" w:sz="0" w:space="0" w:color="auto"/>
        <w:right w:val="none" w:sz="0" w:space="0" w:color="auto"/>
      </w:divBdr>
    </w:div>
    <w:div w:id="1607154074">
      <w:bodyDiv w:val="1"/>
      <w:marLeft w:val="0"/>
      <w:marRight w:val="0"/>
      <w:marTop w:val="0"/>
      <w:marBottom w:val="0"/>
      <w:divBdr>
        <w:top w:val="none" w:sz="0" w:space="0" w:color="auto"/>
        <w:left w:val="none" w:sz="0" w:space="0" w:color="auto"/>
        <w:bottom w:val="none" w:sz="0" w:space="0" w:color="auto"/>
        <w:right w:val="none" w:sz="0" w:space="0" w:color="auto"/>
      </w:divBdr>
    </w:div>
    <w:div w:id="1618175211">
      <w:bodyDiv w:val="1"/>
      <w:marLeft w:val="0"/>
      <w:marRight w:val="0"/>
      <w:marTop w:val="0"/>
      <w:marBottom w:val="0"/>
      <w:divBdr>
        <w:top w:val="none" w:sz="0" w:space="0" w:color="auto"/>
        <w:left w:val="none" w:sz="0" w:space="0" w:color="auto"/>
        <w:bottom w:val="none" w:sz="0" w:space="0" w:color="auto"/>
        <w:right w:val="none" w:sz="0" w:space="0" w:color="auto"/>
      </w:divBdr>
    </w:div>
    <w:div w:id="1991783355">
      <w:bodyDiv w:val="1"/>
      <w:marLeft w:val="0"/>
      <w:marRight w:val="0"/>
      <w:marTop w:val="0"/>
      <w:marBottom w:val="0"/>
      <w:divBdr>
        <w:top w:val="none" w:sz="0" w:space="0" w:color="auto"/>
        <w:left w:val="none" w:sz="0" w:space="0" w:color="auto"/>
        <w:bottom w:val="none" w:sz="0" w:space="0" w:color="auto"/>
        <w:right w:val="none" w:sz="0" w:space="0" w:color="auto"/>
      </w:divBdr>
    </w:div>
    <w:div w:id="1994215775">
      <w:bodyDiv w:val="1"/>
      <w:marLeft w:val="0"/>
      <w:marRight w:val="0"/>
      <w:marTop w:val="0"/>
      <w:marBottom w:val="0"/>
      <w:divBdr>
        <w:top w:val="none" w:sz="0" w:space="0" w:color="auto"/>
        <w:left w:val="none" w:sz="0" w:space="0" w:color="auto"/>
        <w:bottom w:val="none" w:sz="0" w:space="0" w:color="auto"/>
        <w:right w:val="none" w:sz="0" w:space="0" w:color="auto"/>
      </w:divBdr>
    </w:div>
    <w:div w:id="2043821905">
      <w:bodyDiv w:val="1"/>
      <w:marLeft w:val="0"/>
      <w:marRight w:val="0"/>
      <w:marTop w:val="0"/>
      <w:marBottom w:val="0"/>
      <w:divBdr>
        <w:top w:val="none" w:sz="0" w:space="0" w:color="auto"/>
        <w:left w:val="none" w:sz="0" w:space="0" w:color="auto"/>
        <w:bottom w:val="none" w:sz="0" w:space="0" w:color="auto"/>
        <w:right w:val="none" w:sz="0" w:space="0" w:color="auto"/>
      </w:divBdr>
    </w:div>
    <w:div w:id="2045400488">
      <w:bodyDiv w:val="1"/>
      <w:marLeft w:val="0"/>
      <w:marRight w:val="0"/>
      <w:marTop w:val="0"/>
      <w:marBottom w:val="0"/>
      <w:divBdr>
        <w:top w:val="none" w:sz="0" w:space="0" w:color="auto"/>
        <w:left w:val="none" w:sz="0" w:space="0" w:color="auto"/>
        <w:bottom w:val="none" w:sz="0" w:space="0" w:color="auto"/>
        <w:right w:val="none" w:sz="0" w:space="0" w:color="auto"/>
      </w:divBdr>
    </w:div>
    <w:div w:id="2121297319">
      <w:bodyDiv w:val="1"/>
      <w:marLeft w:val="0"/>
      <w:marRight w:val="0"/>
      <w:marTop w:val="0"/>
      <w:marBottom w:val="0"/>
      <w:divBdr>
        <w:top w:val="none" w:sz="0" w:space="0" w:color="auto"/>
        <w:left w:val="none" w:sz="0" w:space="0" w:color="auto"/>
        <w:bottom w:val="none" w:sz="0" w:space="0" w:color="auto"/>
        <w:right w:val="none" w:sz="0" w:space="0" w:color="auto"/>
      </w:divBdr>
    </w:div>
    <w:div w:id="2124492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185027.page"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saimex.org.mx/saimex/solicitud/downloadAttach/1166669.page"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53009E-F211-414F-9EE2-27C6CEA57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9075</Words>
  <Characters>49915</Characters>
  <Application>Microsoft Office Word</Application>
  <DocSecurity>0</DocSecurity>
  <Lines>415</Lines>
  <Paragraphs>117</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58873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Matus</cp:lastModifiedBy>
  <cp:revision>6</cp:revision>
  <cp:lastPrinted>2019-04-26T16:11:00Z</cp:lastPrinted>
  <dcterms:created xsi:type="dcterms:W3CDTF">2021-11-05T02:58:00Z</dcterms:created>
  <dcterms:modified xsi:type="dcterms:W3CDTF">2022-02-28T17:14:00Z</dcterms:modified>
</cp:coreProperties>
</file>