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Índice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ANTECEDENTES</w:t>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CONSIDERANDO</w:t>
              <w:tab/>
              <w:t xml:space="preserve">9</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PRIMERO. De la competencia</w:t>
            </w:r>
          </w:hyperlink>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SEGUNDO. De la oportunidad y procedencia.</w:t>
            </w:r>
          </w:hyperlink>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TERCERO. Planteamiento de la Litis.</w:t>
              <w:tab/>
              <w:t xml:space="preserve">11</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CUARTO. Estudio y resolución del asunto</w:t>
            </w:r>
          </w:hyperlink>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incompetencia.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suplencia.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Palatino Linotype" w:cs="Palatino Linotype" w:eastAsia="Palatino Linotype" w:hAnsi="Palatino Linotype"/>
                <w:b w:val="1"/>
                <w:i w:val="0"/>
                <w:smallCaps w:val="0"/>
                <w:strike w:val="0"/>
                <w:color w:val="000000"/>
                <w:sz w:val="24"/>
                <w:szCs w:val="24"/>
                <w:highlight w:val="yellow"/>
                <w:u w:val="none"/>
                <w:vertAlign w:val="baseline"/>
                <w:rtl w:val="0"/>
              </w:rPr>
              <w:t xml:space="preserve">C.</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highlight w:val="yellow"/>
              <w:u w:val="none"/>
              <w:vertAlign w:val="baseline"/>
              <w:rtl w:val="0"/>
            </w:rPr>
            <w:t xml:space="preserve">De los datos abiertos.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QUINTO. De la Versión Pública.</w:t>
              <w:tab/>
              <w:t xml:space="preserve">31</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 w:val="left" w:pos="660"/>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Nociones generales.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SEXTO. De la Decisión.</w:t>
              <w:tab/>
              <w:t xml:space="preserve">35</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O L U T I V O S</w:t>
              <w:tab/>
              <w:t xml:space="preserve">36</w:t>
            </w:r>
          </w:hyperlink>
          <w:r w:rsidDel="00000000" w:rsidR="00000000" w:rsidRPr="00000000">
            <w:rPr>
              <w:rtl w:val="0"/>
            </w:rPr>
          </w:r>
        </w:p>
        <w:p w:rsidR="00000000" w:rsidDel="00000000" w:rsidP="00000000" w:rsidRDefault="00000000" w:rsidRPr="00000000" w14:paraId="00000011">
          <w:pPr>
            <w:spacing w:line="48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uno (1) de septiembre de dos mil veintiuno.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VISTO el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expediente electrónico formado con motivo del recurso de revisión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03423/INFOEM/IP/RR/2021,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promovido por </w:t>
      </w:r>
      <w:r w:rsidDel="00000000" w:rsidR="00000000" w:rsidRPr="00000000">
        <w:rPr>
          <w:rFonts w:ascii="Palatino Linotype" w:cs="Palatino Linotype" w:eastAsia="Palatino Linotype" w:hAnsi="Palatino Linotype"/>
          <w:b w:val="1"/>
          <w:sz w:val="24"/>
          <w:szCs w:val="24"/>
          <w:rtl w:val="0"/>
        </w:rPr>
        <w:t xml:space="preserve">XXXXXXXXXXXXXXXXXXXXXXXXX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su calidad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contra de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Secretaría General de Gobierno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lo sucesivo 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15">
      <w:pPr>
        <w:pStyle w:val="Heading1"/>
        <w:jc w:val="center"/>
        <w:rPr>
          <w:rFonts w:ascii="Palatino Linotype" w:cs="Palatino Linotype" w:eastAsia="Palatino Linotype" w:hAnsi="Palatino Linotype"/>
          <w:b w:val="1"/>
          <w:color w:val="000000"/>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color w:val="000000"/>
          <w:sz w:val="24"/>
          <w:szCs w:val="24"/>
          <w:rtl w:val="0"/>
        </w:rPr>
        <w:t xml:space="preserve">ANTECEDENTES</w:t>
      </w:r>
    </w:p>
    <w:p w:rsidR="00000000" w:rsidDel="00000000" w:rsidP="00000000" w:rsidRDefault="00000000" w:rsidRPr="00000000" w14:paraId="00000016">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veintiocho (28) de mayo de dos mil veintiuno,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ante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vía Sistema de Acceso a la Información Mexiquense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presentó la solicitud de información pública registrada con el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00140/SEGEGOB/IP/2021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mediante la cual solicitó lo siguiente:</w:t>
      </w:r>
    </w:p>
    <w:p w:rsidR="00000000" w:rsidDel="00000000" w:rsidP="00000000" w:rsidRDefault="00000000" w:rsidRPr="00000000" w14:paraId="00000018">
      <w:pPr>
        <w:ind w:left="567" w:right="567"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“Buen día, Con base en el artículo 6 y 8 constitucional, se agradece el envío de la siguiente información en formato electrónico en cualquiera de los siguientes extensiones .doc, .pdf, .csv y/o .xls. Favor de desglosar los datos conforme se especifican en cada uno de los puntos. 1. Versión pública de las actas de acuerdos o informes de todas las sesiones que ha llevado a cabo la Comisión Interinstitucional de autoridades corresponsables para el cumplimiento del artículo 7 de la Ley Nacional de Ejecución Penal. 2. Base de datos sin nombres o datos de identificación que contenga el lugar de origen de las personas privadas de la libertad de centros penitenciarios a cargo de la autoridad federal, desglosado por colonia, municipio, entidad federativa y país para los años 2018, 2019 y 2020. Es importante resaltar que solo se solicita la cantidad de personas privadas de la libertad por colonia, municipio, entidad y país de origen, sin incluir ningún dato personal que pueda llevar a la identificación de las personas. 3. Base de datos sin nombres o datos de identificación que contenga el lugar de origen de personas egresadas de los centros penitenciarios a cargo de la autoridad federal, desglosado por colonia, municipio, entidad federativa y país para los años 2018, 2019 y 2020. Es importante resaltar que solo se solicita la cantidad de personas privadas de la libertad por colonia, municipio, entidad y país de origen, sin incluir ningún dato personal que pueda llevar a la identificación de las personas.” (Sic)</w:t>
      </w:r>
    </w:p>
    <w:p w:rsidR="00000000" w:rsidDel="00000000" w:rsidP="00000000" w:rsidRDefault="00000000" w:rsidRPr="00000000" w14:paraId="00000019">
      <w:pPr>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1A">
      <w:pPr>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Señaló como modalidad de entrega de la información a través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Correo electrónico.</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treinta y uno (31) de mayo de dos mil veintiuno, el Sujeto Obligado dio respuesta a la solicitud en los siguientes términos: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“Metepec, México a 31 de Mayo de 2021</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Nombre del solicitante: </w:t>
      </w:r>
      <w:r w:rsidDel="00000000" w:rsidR="00000000" w:rsidRPr="00000000">
        <w:rPr>
          <w:rFonts w:ascii="Palatino Linotype" w:cs="Palatino Linotype" w:eastAsia="Palatino Linotype" w:hAnsi="Palatino Linotype"/>
          <w:i w:val="1"/>
          <w:sz w:val="22"/>
          <w:szCs w:val="22"/>
          <w:rtl w:val="0"/>
        </w:rPr>
        <w:t xml:space="preserve">XXXXXXXXXXXXXXXXXXX</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Folio de la solicitud: 00140/SEGEGOB/IP/2021</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ANEXA RESPUESTA EN UN ARCHIVO. EN CASO DE TENER ALGÚN PROBLEMA CON LA RECEPCIÓN DE ESTE ARCHIVO, FAVOR DE COMUNICARSE AL TELÉFONO 722 2138893, EXT. 111, 119 Y 132.</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ATENTAMENTE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 en D. ROSARIO ARZATE AGUILAR” (sic)</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Rpta. 00140-202131-05-2021.pdf: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Documento suscrito por el Titular de la Unidad de Transparencia, mediante el cual refiere que el Sujeto Obligado se encarga de conducir la política interior del Estado, por lo que carece de facultades legales para dar respuesta a su petición, orientándolo que realice su solicitud ante la Secretaría de Seguridad del Estado de México.</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quince (15) de junio de dos mil veintiuno,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interpuso el recurso de revisión, en contra de la respuesta y, señaló como:</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w:t>
      </w:r>
      <w:r w:rsidDel="00000000" w:rsidR="00000000" w:rsidRPr="00000000">
        <w:rPr>
          <w:rFonts w:ascii="Palatino Linotype" w:cs="Palatino Linotype" w:eastAsia="Palatino Linotype" w:hAnsi="Palatino Linotype"/>
          <w:b w:val="1"/>
          <w:i w:val="1"/>
          <w:smallCaps w:val="0"/>
          <w:strike w:val="0"/>
          <w:color w:val="2f549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Inconformidad ante la declaración de incompetencia por parte de la Secretaría General de Gobierno,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(Sic); y</w:t>
      </w:r>
      <w:r w:rsidDel="00000000" w:rsidR="00000000" w:rsidRPr="00000000">
        <w:rPr>
          <w:rtl w:val="0"/>
        </w:rPr>
      </w:r>
    </w:p>
    <w:p w:rsidR="00000000" w:rsidDel="00000000" w:rsidP="00000000" w:rsidRDefault="00000000" w:rsidRPr="00000000" w14:paraId="0000002A">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Razones o Motivos de inconformidad:</w:t>
      </w:r>
      <w:r w:rsidDel="00000000" w:rsidR="00000000" w:rsidRPr="00000000">
        <w:rPr>
          <w:rFonts w:ascii="Palatino Linotype" w:cs="Palatino Linotype" w:eastAsia="Palatino Linotype" w:hAnsi="Palatino Linotype"/>
          <w:b w:val="1"/>
          <w:color w:val="2f5496"/>
          <w:sz w:val="24"/>
          <w:szCs w:val="24"/>
          <w:rtl w:val="0"/>
        </w:rPr>
        <w:t xml:space="preserve"> </w:t>
      </w:r>
      <w:r w:rsidDel="00000000" w:rsidR="00000000" w:rsidRPr="00000000">
        <w:rPr>
          <w:rFonts w:ascii="Palatino Linotype" w:cs="Palatino Linotype" w:eastAsia="Palatino Linotype" w:hAnsi="Palatino Linotype"/>
          <w:i w:val="1"/>
          <w:sz w:val="22"/>
          <w:szCs w:val="22"/>
          <w:rtl w:val="0"/>
        </w:rPr>
        <w:t xml:space="preserve">“Inconformidad ante la declaración de incompetencia por parte de la Secretaría General de Gobierno,</w:t>
      </w:r>
      <w:r w:rsidDel="00000000" w:rsidR="00000000" w:rsidRPr="00000000">
        <w:rPr>
          <w:rFonts w:ascii="Palatino Linotype" w:cs="Palatino Linotype" w:eastAsia="Palatino Linotype" w:hAnsi="Palatino Linotype"/>
          <w:i w:val="1"/>
          <w:sz w:val="24"/>
          <w:szCs w:val="24"/>
          <w:rtl w:val="0"/>
        </w:rPr>
        <w:t xml:space="preserve">” (Sic)</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2B">
      <w:pPr>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284" w:right="113"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escrito de Recurso de Revisión, el Recurrente adjuntó el documento denominado RR_SEGOB_Edomex.docx el cual contiene lo siguiente:</w:t>
      </w:r>
    </w:p>
    <w:p w:rsidR="00000000" w:rsidDel="00000000" w:rsidP="00000000" w:rsidRDefault="00000000" w:rsidRPr="00000000" w14:paraId="0000002D">
      <w:pPr>
        <w:spacing w:after="240" w:before="240" w:lineRule="auto"/>
        <w:ind w:right="85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2E">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“…Al respecto manifiesto los siguientes hechos: </w:t>
      </w:r>
    </w:p>
    <w:p w:rsidR="00000000" w:rsidDel="00000000" w:rsidP="00000000" w:rsidRDefault="00000000" w:rsidRPr="00000000" w14:paraId="0000002F">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El 28 de mayo de 2021 se envió la solicitud de información 382088, en la que se pedía lo siguiente:</w:t>
      </w:r>
    </w:p>
    <w:p w:rsidR="00000000" w:rsidDel="00000000" w:rsidP="00000000" w:rsidRDefault="00000000" w:rsidRPr="00000000" w14:paraId="00000031">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2">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Versión pública de las actas de acuerdos o informes de todas las sesiones que ha llevado a cabo la Comisión Interinstitucional de autoridades corresponsables para el cumplimiento del artículo 7 de la Ley Nacional de Ejecución Penal. </w:t>
      </w:r>
    </w:p>
    <w:p w:rsidR="00000000" w:rsidDel="00000000" w:rsidP="00000000" w:rsidRDefault="00000000" w:rsidRPr="00000000" w14:paraId="00000033">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Base de datos sin nombres o datos de identificación que contenga el lugar de origen de las personas privadas de la libertad de centros penitenciarios a cargo de la autoridad federal, desglosado por colonia, municipio, entidad federativa y país para los años 2018, 2019 y 2020. Es importante resaltar que solo se solicita la cantidad de personas privadas de la libertad por colonia, municipio, entidad y país de origen, sin incluir ningún dato personal que pueda llevar a la identificación de las personas. </w:t>
      </w:r>
    </w:p>
    <w:p w:rsidR="00000000" w:rsidDel="00000000" w:rsidP="00000000" w:rsidRDefault="00000000" w:rsidRPr="00000000" w14:paraId="00000034">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Base de datos sin nombres o datos de identificación que contenga el lugar de origen de personas egresadas de los centros penitenciarios a cargo de la autoridad federal, desglosado por colonia, municipio, entidad federativa y país para los años 2018, 2019 y 2020. Es importante resaltar que solo se solicita la cantidad de personas privadas de la libertad por colonia, municipio, entidad y país de origen, sin incluir ningún dato personal que pueda llevar a la identificación de las personas.</w:t>
      </w:r>
    </w:p>
    <w:p w:rsidR="00000000" w:rsidDel="00000000" w:rsidP="00000000" w:rsidRDefault="00000000" w:rsidRPr="00000000" w14:paraId="00000035">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El 31 de mayo de 2021, la Secretaría de Gobernación del Estado de México respondió de manera parcial o negativa al numeral 1 argumentando lo siguiente: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“Una vez analizada su petición, me permito informar a Usted que la Secretaría General de Gobierno es la encargada de conducir la política interior del Estado, por lo que carece de falcutades legales para dar respuesta a su petición, correspondiendo su atención a la Secretaría de Seguridad del Estado de México”. </w:t>
      </w:r>
    </w:p>
    <w:p w:rsidR="00000000" w:rsidDel="00000000" w:rsidP="00000000" w:rsidRDefault="00000000" w:rsidRPr="00000000" w14:paraId="00000038">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Por lo anterior, emito los siguientes argumentos:</w:t>
      </w:r>
    </w:p>
    <w:p w:rsidR="00000000" w:rsidDel="00000000" w:rsidP="00000000" w:rsidRDefault="00000000" w:rsidRPr="00000000" w14:paraId="0000003A">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B">
      <w:pPr>
        <w:ind w:left="567" w:right="82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PRIMERO. DE ACUERDO CON LAS ATRIBUCIONES DE LA SECRETARÍA GENERAL DE GOBIERNO, ÉSTA DEBE TENER INFORMACIÓN REFERENTE AL NUMERAL 1 DE LA SOLICITUD EN COMENTO</w:t>
      </w:r>
    </w:p>
    <w:p w:rsidR="00000000" w:rsidDel="00000000" w:rsidP="00000000" w:rsidRDefault="00000000" w:rsidRPr="00000000" w14:paraId="0000003C">
      <w:pPr>
        <w:ind w:left="567" w:right="822"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Versión pública de las actas de acuerdos o informes de todas las sesiones que ha llevado a cabo la Comisión Interinstitucional de autoridades corresponsables para el cumplimiento del artículo 7 de la Ley Nacional de Ejecución Penal. </w:t>
      </w:r>
    </w:p>
    <w:p w:rsidR="00000000" w:rsidDel="00000000" w:rsidP="00000000" w:rsidRDefault="00000000" w:rsidRPr="00000000" w14:paraId="0000003E">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F">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Secretaría General de Gobierno la responsable de encabezar las acciones del a Comisión Intersecretarial de Ejecución Penal en el Estado de México, tal como lo estipula el artículo 7 de la </w:t>
      </w:r>
      <w:r w:rsidDel="00000000" w:rsidR="00000000" w:rsidRPr="00000000">
        <w:rPr>
          <w:rFonts w:ascii="Palatino Linotype" w:cs="Palatino Linotype" w:eastAsia="Palatino Linotype" w:hAnsi="Palatino Linotype"/>
          <w:b w:val="1"/>
          <w:i w:val="1"/>
          <w:rtl w:val="0"/>
        </w:rPr>
        <w:t xml:space="preserve">Ley Nacional de Ejecución Penal</w:t>
      </w:r>
      <w:r w:rsidDel="00000000" w:rsidR="00000000" w:rsidRPr="00000000">
        <w:rPr>
          <w:rFonts w:ascii="Palatino Linotype" w:cs="Palatino Linotype" w:eastAsia="Palatino Linotype" w:hAnsi="Palatino Linotype"/>
          <w:i w:val="1"/>
          <w:rtl w:val="0"/>
        </w:rPr>
        <w:t xml:space="preserve">, que se cita a continuación: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“Artículo 7. Coordinación interinstitucional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Los poderes judicial y ejecutivo competentes, se organizarán, en el ámbito de sus respectivas competencias, para el cumplimiento y aplicación de esta Ley y demás normatividad aplicable, así como para la cooperación con las autoridades penitenciarias e instituciones que intervienen en la ejecución de la prisión preventiva, de las sanciones penales y de las medidas de seguridad impuestas.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Son autoridades corresponsables para el cumplimiento de esta Ley, las Secretarías de Gobernación, de Desarrollo Social, de Economía, de Educación Pública, de Cultura, de Salud, del Trabajo y Previsión Social y la Comisión Nacional de Cultura Física y Deporte, el Sistema Nacional para el Desarrollo Integral de la Familia y la Secretaría Ejecutiva del Sistema Nacional de Protección Integral de Niñas, Niños y Adolescentes o sus equivalentes en las entidades federativas y la Ciudad de México, así como las demás que por la naturaleza de sus atribuciones deban intervenir en el cumplimiento de la presente Ley.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Encabezada por la Secretaría de Gobernación o su equivalente en las entidades federativas, se establecerán comisiones intersecretariales que incluirán a todas las autoridades corresponsables establecidas en esta Ley a nivel federal y en cada entidad federativa.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Adicionalmente serán las encargadas de diseñar e implementar los distintos programas de servicios para la reinserción al interior de los Centros Penitenciarios y de servicios post-penales a nivel federal y estatal. Las autoridades corresponsables en las entidades federativas establecerán su propia comisión a fin de cumplir con los mismos fines a nivel local.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La Autoridad Penitenciaria y las autoridades corresponsables podrán implementar mecanismos de participación y firmar convenios de colaboración con organizaciones de la sociedad civil a fin de diseñar, implementar o brindar servicios en internamiento o de naturaleza post-penal.”</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Asimsmo, en correspondencia con lo establecido en el </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Acuerdo del Titular del Poder Ejecutivo del Estado de México por el que se crea la Comisión Intersecretarial de Ejecución Penal del Estado de México</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 publicado el 17 de marzo de 2017 en el Periódico Oficial “Gaceta de Gobierno” del Estado de México, la Comisión funcionará de la siguiente manera: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“CUARTO. La Comisión se integrará por:</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I. Un Presidente, que será el o la Titular de la Secretaría General de Gobierno.</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II. Un Secretario, que será el o la Titular de la Comisión de Seguridad Ciudadana.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III. Vocales, que serán los o las titulares de las dependencias siguientes: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 Secretaría de Desarrollo Social.</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b) Secretaría de Desarrollo Económico.</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c) Secretaría de Educación.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d) Secretaría de Cultura.</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e) Secretaría de Salud.</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f) Secretaría del Trabajo.</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g) Sistema para el Desarrollo Integral de la Familia del Estado de México.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h) Secretaría Ejecutiva del Sistema de Protección Integral de Niñas, Niños y Adolescentes del Estado de México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SEXTO. La o el Presidente de la Comisión tendrá las funciones siguientes: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I. Presidir y representar a la Comisión.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II. Convocar por conducto de la o el Secretario a las sesiones ordinarias y extraordinarias.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III. Dirigir los debates de la Comisión.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IV. Autorizar y promover en la administración pública estatal, el cumplimiento de las acciones interinstitucionales que defina la Comisión.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V. Coordinar, vigilar y supervisar el cumplimiento de los acuerdos emitidos por la Comisión.</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VI. Aprobar y firmar las actas de las sesiones.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VII. Informar de las actividades y resultados obtenidos por la Comisión.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VIII. Resolver las diferencias de opinión que se presenten entre los integrantes.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IX. Someter a consideración de la Comisión, las propuestas emitidas por cada uno de ellos.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X. Supervisar el seguimiento de las actividades realizadas a favor de la Comisión.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XI. Formular estrategias y acciones para el cumplimiento de los fines de la Comisión.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XII. Las demás que sean necesarias para el cumplimiento del objeto de la Comisión.</w:t>
      </w:r>
    </w:p>
    <w:p w:rsidR="00000000" w:rsidDel="00000000" w:rsidP="00000000" w:rsidRDefault="00000000" w:rsidRPr="00000000" w14:paraId="00000065">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6">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esta manera, en tanto autoridad que encabeza el funcionamiento de la Comisión Intersecretarial de Ejecución Penal del Estado de México, es competencia de la Secretaría General de Gobierno aprobar y firmar las actas de las sesiones de la Comisión, así como dar seguimiento a los acuerdos que de ella emanen. Por lo tanto, y con el fin de poder cumplir sus funciones, debe tener acceso a las versiones públicas de las actas de acuerdos que fueron requeridos mediante la solicitud de información en comento.</w:t>
      </w:r>
    </w:p>
    <w:p w:rsidR="00000000" w:rsidDel="00000000" w:rsidP="00000000" w:rsidRDefault="00000000" w:rsidRPr="00000000" w14:paraId="00000067">
      <w:pPr>
        <w:ind w:left="567" w:right="822" w:firstLine="0"/>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68">
      <w:pPr>
        <w:ind w:left="567" w:right="822" w:firstLine="0"/>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69">
      <w:pPr>
        <w:ind w:left="567" w:right="82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SEGUNDO: El SUJETO OBLIGADO INCUMPLE CON EL PRINCIPIO DE MÁXIMA PUBLICIDAD EN ATENCIÓN AL DERECHO A LA INFORMACIÓN</w:t>
      </w:r>
    </w:p>
    <w:p w:rsidR="00000000" w:rsidDel="00000000" w:rsidP="00000000" w:rsidRDefault="00000000" w:rsidRPr="00000000" w14:paraId="0000006A">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w:t>
      </w:r>
    </w:p>
    <w:p w:rsidR="00000000" w:rsidDel="00000000" w:rsidP="00000000" w:rsidRDefault="00000000" w:rsidRPr="00000000" w14:paraId="0000006B">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C">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w:t>
      </w:r>
    </w:p>
    <w:p w:rsidR="00000000" w:rsidDel="00000000" w:rsidP="00000000" w:rsidRDefault="00000000" w:rsidRPr="00000000" w14:paraId="0000006D">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E">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Por ello, el principio de máxima publicidad, incorporado en el texto constitucional, implica para cualquier autoridad realizar un manejo de la información bajo la premisa inicial que toda ella es pública y sólo por excepción se podrá clasificar como confidencial o reservada.</w:t>
      </w:r>
    </w:p>
    <w:p w:rsidR="00000000" w:rsidDel="00000000" w:rsidP="00000000" w:rsidRDefault="00000000" w:rsidRPr="00000000" w14:paraId="0000006F">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0">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Así, la Ley de Transparencia y Acceso a la Información Pública del Estado de México, en el artículo 92 menciona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cotinuación se señalan:</w:t>
      </w:r>
    </w:p>
    <w:p w:rsidR="00000000" w:rsidDel="00000000" w:rsidP="00000000" w:rsidRDefault="00000000" w:rsidRPr="00000000" w14:paraId="00000071">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“L. Las actas de sesiones ordinarias y extraordinarias, así como las opiniones y recomendaciones de los consejos consultivos.”</w:t>
      </w:r>
    </w:p>
    <w:p w:rsidR="00000000" w:rsidDel="00000000" w:rsidP="00000000" w:rsidRDefault="00000000" w:rsidRPr="00000000" w14:paraId="00000073">
      <w:pPr>
        <w:ind w:left="567" w:right="822" w:firstLine="0"/>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4">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acuerdo con los artículos citados, es evidente que el interés tanto de la federación y del Estado de México proyectar y otorgar la máxima protección al derecho a la información, así como a la transparencia de los datos que son de interés público, por lo que no proporcionar la información solicitada vulnera estos principios y derechos.</w:t>
      </w:r>
    </w:p>
    <w:p w:rsidR="00000000" w:rsidDel="00000000" w:rsidP="00000000" w:rsidRDefault="00000000" w:rsidRPr="00000000" w14:paraId="00000075">
      <w:pPr>
        <w:ind w:left="567" w:right="82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6">
      <w:pPr>
        <w:ind w:left="567" w:right="82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POR LO ANTERIOR SOLICITO: </w:t>
      </w:r>
    </w:p>
    <w:p w:rsidR="00000000" w:rsidDel="00000000" w:rsidP="00000000" w:rsidRDefault="00000000" w:rsidRPr="00000000" w14:paraId="00000077">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Se tenga por presentado el recurso de revisión en tiempo y forma al cumplir con los requisitos y términos previstos en Ley General de Transparencia y Acceso a la Información Pública.</w:t>
      </w:r>
    </w:p>
    <w:p w:rsidR="00000000" w:rsidDel="00000000" w:rsidP="00000000" w:rsidRDefault="00000000" w:rsidRPr="00000000" w14:paraId="00000078">
      <w:pPr>
        <w:ind w:left="567" w:right="82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Se instruya a la Secretaría General de Gobierno del Estado de México me entregue la información solicitada. …”</w:t>
      </w:r>
    </w:p>
    <w:p w:rsidR="00000000" w:rsidDel="00000000" w:rsidP="00000000" w:rsidRDefault="00000000" w:rsidRPr="00000000" w14:paraId="00000079">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A">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registró el recurso de revisión bajo el número de expediente al rubro indicado, asimismo con fundamento en lo dispuesto por el artículo 185 fracción I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turnó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Comisionado José Guadalupe Luna Hernández,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el objeto de su análisis.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Comisionado Ponente con fundamento en lo dispuesto por el artículo 185 fracción II de la ley de la materia, a través del acuerdo de admisión de fecha dieciséis (16) de junio de dos mil veintiuno, puso a disposición de las partes el expediente electrónico vía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efecto de que en un plazo máximo de siete días manifestaran lo que a derecho convinieran, ofrecieran pruebas y alegatos según corresponda al caso concreto, de esta forma para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presentara el informe justificado procedente.</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veinticinco (25) de junio de dos mil veintiuno, el Sujeto Obligado remitió su informe justificado mediante el documento electrónico denominado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informe de justificscion 00140-202125-06-2021-175629.pdf</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cual, de manera general, contiene lo siguiente: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informe de justificsción 00140-202125-06-2021-175629.pdf: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Documento mediante el cual se ratifica su respuesta inicial y, añade que los motivos o razones de inconformidad que hace valer el Recurrente resultan infundados, toda vez que en la solicitud se requirió información relacionada con la Comisión Interinstitucional de autoridades corresponsables, mientras que en el recurso de revisión refiere la Comisión Intersecretarial de Ejecución Penal en el Estado de México, resultando un plus petitio y, de acuerdo al artículo 191 fracción VII, deben desecharse los nuevos contenidos.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su parte, el Recurrente fue omiso en presentar manifestaciones, pruebas o cualquier otro documento que a su derecho convenga.</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dos (2) de agosto de dos mil veintiuno, el Comisionado Ponente decretó el cierre de instrucción.</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veintitrés (23) de agosto del dos mil veintiuno, en la segunda sesión extraordinaria del Pleno del Instituto de Transparencia, Acceso a la Información Pública y Protección de Datos Personales del Estado de México y Municipios acordó el returno del recurso de revisión a la Comisionada María del Rosario Mejía Ayala para su resolución. - - - - - - - - - - - - - - - - - - - - - - - - - - - - - - - - - - - - - - - - - - - - - - - - - - </w:t>
      </w:r>
      <w:r w:rsidDel="00000000" w:rsidR="00000000" w:rsidRPr="00000000">
        <w:rPr>
          <w:rtl w:val="0"/>
        </w:rPr>
      </w:r>
    </w:p>
    <w:p w:rsidR="00000000" w:rsidDel="00000000" w:rsidP="00000000" w:rsidRDefault="00000000" w:rsidRPr="00000000" w14:paraId="00000088">
      <w:pPr>
        <w:pStyle w:val="Heading1"/>
        <w:jc w:val="center"/>
        <w:rPr>
          <w:rFonts w:ascii="Palatino Linotype" w:cs="Palatino Linotype" w:eastAsia="Palatino Linotype" w:hAnsi="Palatino Linotype"/>
          <w:b w:val="1"/>
          <w:sz w:val="24"/>
          <w:szCs w:val="24"/>
        </w:rPr>
      </w:pPr>
      <w:bookmarkStart w:colFirst="0" w:colLast="0" w:name="_heading=h.1fob9te" w:id="2"/>
      <w:bookmarkEnd w:id="2"/>
      <w:r w:rsidDel="00000000" w:rsidR="00000000" w:rsidRPr="00000000">
        <w:rPr>
          <w:rFonts w:ascii="Palatino Linotype" w:cs="Palatino Linotype" w:eastAsia="Palatino Linotype" w:hAnsi="Palatino Linotype"/>
          <w:b w:val="1"/>
          <w:color w:val="000000"/>
          <w:sz w:val="24"/>
          <w:szCs w:val="24"/>
          <w:rtl w:val="0"/>
        </w:rPr>
        <w:t xml:space="preserve">CONSIDERANDO</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89">
      <w:pPr>
        <w:pStyle w:val="Heading2"/>
        <w:rPr>
          <w:rFonts w:ascii="Palatino Linotype" w:cs="Palatino Linotype" w:eastAsia="Palatino Linotype" w:hAnsi="Palatino Linotype"/>
          <w:b w:val="1"/>
          <w:color w:val="000000"/>
          <w:sz w:val="24"/>
          <w:szCs w:val="24"/>
        </w:rPr>
      </w:pPr>
      <w:bookmarkStart w:colFirst="0" w:colLast="0" w:name="_heading=h.3znysh7" w:id="3"/>
      <w:bookmarkEnd w:id="3"/>
      <w:r w:rsidDel="00000000" w:rsidR="00000000" w:rsidRPr="00000000">
        <w:rPr>
          <w:rFonts w:ascii="Palatino Linotype" w:cs="Palatino Linotype" w:eastAsia="Palatino Linotype" w:hAnsi="Palatino Linotype"/>
          <w:b w:val="1"/>
          <w:color w:val="000000"/>
          <w:sz w:val="24"/>
          <w:szCs w:val="24"/>
          <w:rtl w:val="0"/>
        </w:rPr>
        <w:t xml:space="preserve">PRIMERO. De la competencia</w:t>
      </w:r>
    </w:p>
    <w:p w:rsidR="00000000" w:rsidDel="00000000" w:rsidP="00000000" w:rsidRDefault="00000000" w:rsidRPr="00000000" w14:paraId="000000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 los Estados Unidos Mexicanos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5, vigésimo noveno, trigésimo y trigésimo primero, fracciones I, II, III, IV y V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del Estado Libre y Soberano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artículos 1, 2 fracción II, 13, 29, 36 fracciones I y II, 176, 178, 179, 181 párrafo tercero y 185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10, 7, 9 fracciones I y XXIV, y 11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Reglamento Interior del Instituto de Transparencia, Acceso a la Información Pública y Protección de Datos Personales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00000" w:rsidDel="00000000" w:rsidP="00000000" w:rsidRDefault="00000000" w:rsidRPr="00000000" w14:paraId="0000008D">
      <w:pPr>
        <w:pStyle w:val="Heading2"/>
        <w:rPr>
          <w:rFonts w:ascii="Palatino Linotype" w:cs="Palatino Linotype" w:eastAsia="Palatino Linotype" w:hAnsi="Palatino Linotype"/>
          <w:b w:val="1"/>
          <w:color w:val="000000"/>
          <w:sz w:val="24"/>
          <w:szCs w:val="24"/>
        </w:rPr>
      </w:pPr>
      <w:bookmarkStart w:colFirst="0" w:colLast="0" w:name="_heading=h.2et92p0" w:id="4"/>
      <w:bookmarkEnd w:id="4"/>
      <w:r w:rsidDel="00000000" w:rsidR="00000000" w:rsidRPr="00000000">
        <w:rPr>
          <w:rFonts w:ascii="Palatino Linotype" w:cs="Palatino Linotype" w:eastAsia="Palatino Linotype" w:hAnsi="Palatino Linotype"/>
          <w:b w:val="1"/>
          <w:color w:val="000000"/>
          <w:sz w:val="24"/>
          <w:szCs w:val="24"/>
          <w:rtl w:val="0"/>
        </w:rPr>
        <w:t xml:space="preserve">SEGUNDO. De la oportunidad y procedencia.</w:t>
      </w:r>
    </w:p>
    <w:p w:rsidR="00000000" w:rsidDel="00000000" w:rsidP="00000000" w:rsidRDefault="00000000" w:rsidRPr="00000000" w14:paraId="0000008E">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4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medio de impugnación fue presentado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formato previamente aprobado para tal efecto y dentro del plazo legal de quince días hábiles otorgados; siendo así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entregó respuesta a la solicitud el día treinta y uno (31) de mayo de dos mil veintiuno, de tal forma que el plazo para interponer el recurso de revisión transcurrió del uno (1) al veintiuno (21) de junio de dos mil veintiuno; en consecuencia, presentó su inconformidad el día quince (15) de junio de dos mil veintiuno, por lo que se encuentra dentro de los márgenes temporales previstos en el artículo 178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vigente.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00000" w:rsidDel="00000000" w:rsidP="00000000" w:rsidRDefault="00000000" w:rsidRPr="00000000" w14:paraId="00000092">
      <w:pPr>
        <w:pStyle w:val="Heading1"/>
        <w:spacing w:before="0" w:line="360" w:lineRule="auto"/>
        <w:rPr>
          <w:rFonts w:ascii="Palatino Linotype" w:cs="Palatino Linotype" w:eastAsia="Palatino Linotype" w:hAnsi="Palatino Linotype"/>
          <w:b w:val="1"/>
          <w:color w:val="000000"/>
          <w:sz w:val="24"/>
          <w:szCs w:val="24"/>
        </w:rPr>
      </w:pPr>
      <w:bookmarkStart w:colFirst="0" w:colLast="0" w:name="_heading=h.tyjcwt" w:id="5"/>
      <w:bookmarkEnd w:id="5"/>
      <w:r w:rsidDel="00000000" w:rsidR="00000000" w:rsidRPr="00000000">
        <w:rPr>
          <w:rFonts w:ascii="Palatino Linotype" w:cs="Palatino Linotype" w:eastAsia="Palatino Linotype" w:hAnsi="Palatino Linotype"/>
          <w:b w:val="1"/>
          <w:color w:val="000000"/>
          <w:sz w:val="24"/>
          <w:szCs w:val="24"/>
          <w:rtl w:val="0"/>
        </w:rPr>
        <w:t xml:space="preserve">TERCERO. Planteamiento de la Litis.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recurrente solicitó:</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09"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Versión pública de las actas de acuerdos o informes de todas las sesiones que ha llevado a cabo la Comisión Interinstitucional de autoridades corresponsables para el cumplimiento del artículo 7 de la Ley Nacional de Ejecución Penal.</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09"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Base de datos sin nombres o datos de identificación que contenga el lugar de origen de las personas privadas de la libertad de centros penitenciarios a cargo de la autoridad federal, desglosado por colonia, municipio, entidad federativa y país para los años 2018, 2019 y 2020. Es importante resaltar que solo se solicita la cantidad de personas privadas de la libertad por colonia, municipio, entidad y país de origen, sin incluir ningún dato personal que pueda llevar a la identificación de las personas.</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09"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Base de datos sin nombres o datos de identificación que contenga el lugar de origen de personas egresadas de los centros penitenciarios a cargo de la autoridad federal, desglosado por colonia, municipio, entidad federativa y país para los años 2018, 2019 y 2020.</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Sujeto Obligado manifestó su incompetencia para atender la solicitud, por corresponder a atribuciones conferidas a la Secretaría de Seguridad del Estado de México.</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Recurrente se inconformó por la declaración de incompetencia.</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presente asunto se procederá a verificar si existió una afectación al derecho del recurrente, por lo que será necesario analizar si se actualiza la causal de procedencia establecida en la fracción IV relativa a declaración de incompetencia, del artículo 179 de la Ley de Transparencia y Acceso a la Información Pública del Estado de México y Municipios.</w:t>
      </w:r>
    </w:p>
    <w:p w:rsidR="00000000" w:rsidDel="00000000" w:rsidP="00000000" w:rsidRDefault="00000000" w:rsidRPr="00000000" w14:paraId="0000009F">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0">
      <w:pPr>
        <w:pStyle w:val="Heading2"/>
        <w:rPr>
          <w:rFonts w:ascii="Palatino Linotype" w:cs="Palatino Linotype" w:eastAsia="Palatino Linotype" w:hAnsi="Palatino Linotype"/>
          <w:b w:val="1"/>
          <w:color w:val="000000"/>
          <w:sz w:val="24"/>
          <w:szCs w:val="24"/>
        </w:rPr>
      </w:pPr>
      <w:bookmarkStart w:colFirst="0" w:colLast="0" w:name="_heading=h.1t3h5sf" w:id="7"/>
      <w:bookmarkEnd w:id="7"/>
      <w:r w:rsidDel="00000000" w:rsidR="00000000" w:rsidRPr="00000000">
        <w:rPr>
          <w:rFonts w:ascii="Palatino Linotype" w:cs="Palatino Linotype" w:eastAsia="Palatino Linotype" w:hAnsi="Palatino Linotype"/>
          <w:b w:val="1"/>
          <w:color w:val="000000"/>
          <w:sz w:val="24"/>
          <w:szCs w:val="24"/>
          <w:rtl w:val="0"/>
        </w:rPr>
        <w:t xml:space="preserve">CUARTO. Estudio y resolución del asunto</w:t>
      </w:r>
    </w:p>
    <w:p w:rsidR="00000000" w:rsidDel="00000000" w:rsidP="00000000" w:rsidRDefault="00000000" w:rsidRPr="00000000" w14:paraId="000000A1">
      <w:pPr>
        <w:spacing w:line="360" w:lineRule="auto"/>
        <w:rPr>
          <w:rFonts w:ascii="Palatino Linotype" w:cs="Palatino Linotype" w:eastAsia="Palatino Linotype" w:hAnsi="Palatino Linotype"/>
          <w:sz w:val="24"/>
          <w:szCs w:val="24"/>
        </w:rPr>
      </w:pPr>
      <w:bookmarkStart w:colFirst="0" w:colLast="0" w:name="_heading=h.4d34og8" w:id="8"/>
      <w:bookmarkEnd w:id="8"/>
      <w:r w:rsidDel="00000000" w:rsidR="00000000" w:rsidRPr="00000000">
        <w:rPr>
          <w:rtl w:val="0"/>
        </w:rPr>
      </w:r>
    </w:p>
    <w:p w:rsidR="00000000" w:rsidDel="00000000" w:rsidP="00000000" w:rsidRDefault="00000000" w:rsidRPr="00000000" w14:paraId="000000A2">
      <w:pPr>
        <w:pStyle w:val="Heading2"/>
        <w:numPr>
          <w:ilvl w:val="0"/>
          <w:numId w:val="1"/>
        </w:numPr>
        <w:spacing w:line="360" w:lineRule="auto"/>
        <w:ind w:left="720" w:hanging="360"/>
        <w:rPr>
          <w:rFonts w:ascii="Palatino Linotype" w:cs="Palatino Linotype" w:eastAsia="Palatino Linotype" w:hAnsi="Palatino Linotype"/>
          <w:b w:val="1"/>
          <w:color w:val="000000"/>
          <w:sz w:val="24"/>
          <w:szCs w:val="24"/>
        </w:rPr>
      </w:pPr>
      <w:bookmarkStart w:colFirst="0" w:colLast="0" w:name="_heading=h.2s8eyo1" w:id="9"/>
      <w:bookmarkEnd w:id="9"/>
      <w:r w:rsidDel="00000000" w:rsidR="00000000" w:rsidRPr="00000000">
        <w:rPr>
          <w:rFonts w:ascii="Palatino Linotype" w:cs="Palatino Linotype" w:eastAsia="Palatino Linotype" w:hAnsi="Palatino Linotype"/>
          <w:b w:val="1"/>
          <w:color w:val="000000"/>
          <w:sz w:val="24"/>
          <w:szCs w:val="24"/>
          <w:rtl w:val="0"/>
        </w:rPr>
        <w:t xml:space="preserve">De la incompetencia.</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el ámbito de sus atribuciones, de promover, respetar, proteger y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garantizar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derechos humanos.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cuanto al derecho de acceso a la información, la Ley de Transparencia y Acceso a la Información Pública del Estado de México y Municipios prevé establece que 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 procedimiento de acceso a la información es la garantía primaria del derecho en cuestión y se rige por los principios de simplicidad, rapidez y gratuidad del procedimiento, auxilio y orientación a los particulares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superscript"/>
        </w:rPr>
        <w:footnoteReference w:customMarkFollows="0" w:id="0"/>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establece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su obligación es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realizar, con efectividad, los trámites internos necesarios para la atención de las solicitudes de información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1"/>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decir, deben otorgar respuestas concisas, contundentes y sobre todo que den la certeza de los actos que realizan.</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presente asunto, se tiene que la solicitud de acceso a la información se presentó el día veintiocho (28) de mayo de dos mil veintiuno, y la declaración de incompetencia se efectuó el día treinta y uno (31) de mayo del mismo año, en consecuencia, se tiene que estuvieron en estricto apego a lo dispuesto en el artículo 167 de la Ley de Transparencia y Acceso a la Información Pública del Estado de México y Municipios que establece lo siguiente: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 </w:t>
      </w:r>
      <w:r w:rsidDel="00000000" w:rsidR="00000000" w:rsidRPr="00000000">
        <w:rPr>
          <w:rFonts w:ascii="Palatino Linotype" w:cs="Palatino Linotype" w:eastAsia="Palatino Linotype" w:hAnsi="Palatino Linotype"/>
          <w:i w:val="1"/>
          <w:sz w:val="22"/>
          <w:szCs w:val="22"/>
          <w:rtl w:val="0"/>
        </w:rPr>
        <w:t xml:space="preserve">Cuando las </w:t>
      </w:r>
      <w:r w:rsidDel="00000000" w:rsidR="00000000" w:rsidRPr="00000000">
        <w:rPr>
          <w:rFonts w:ascii="Palatino Linotype" w:cs="Palatino Linotype" w:eastAsia="Palatino Linotype" w:hAnsi="Palatino Linotype"/>
          <w:b w:val="1"/>
          <w:i w:val="1"/>
          <w:sz w:val="22"/>
          <w:szCs w:val="22"/>
          <w:rtl w:val="0"/>
        </w:rPr>
        <w:t xml:space="preserve">unidades de transparencia determinen la notoria incompetencia por parte de los sujetos obligado</w:t>
      </w:r>
      <w:r w:rsidDel="00000000" w:rsidR="00000000" w:rsidRPr="00000000">
        <w:rPr>
          <w:rFonts w:ascii="Palatino Linotype" w:cs="Palatino Linotype" w:eastAsia="Palatino Linotype" w:hAnsi="Palatino Linotype"/>
          <w:i w:val="1"/>
          <w:sz w:val="22"/>
          <w:szCs w:val="22"/>
          <w:rtl w:val="0"/>
        </w:rPr>
        <w:t xml:space="preserve">s, dentro del ámbito de aplicación, para atender la solicitud de acceso a la información, deberán comunicarlo al solicitante, dentro de los </w:t>
      </w:r>
      <w:r w:rsidDel="00000000" w:rsidR="00000000" w:rsidRPr="00000000">
        <w:rPr>
          <w:rFonts w:ascii="Palatino Linotype" w:cs="Palatino Linotype" w:eastAsia="Palatino Linotype" w:hAnsi="Palatino Linotype"/>
          <w:b w:val="1"/>
          <w:i w:val="1"/>
          <w:sz w:val="22"/>
          <w:szCs w:val="22"/>
          <w:u w:val="single"/>
          <w:rtl w:val="0"/>
        </w:rPr>
        <w:t xml:space="preserve">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en su caso orientar al solicitante, el o los sujetos obligados competentes.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Dicho lo anterior, es necesario mencionar que el Sujeto Obligado manifestó que es incompetente para contar con la información requerida por corresponder a información que obra en poder de la Secretaría de Seguridad.</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sentido, es que debemos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hacer referencia a la presunción de veracidad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2"/>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supone una declaración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iurus tantum</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ya que admite prueba en contra, por lo que este Órgano no está facultado para pronunciarse sobre la veracidad de la información entregada, aun y cuando el particular haya señalado que se encuentra incompleto.</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Sirve de apoyo a lo anterior por analogía el criterio 31-10 emitido por el entonces Instituto Federal de Acceso a la Información y Protección de Datos, que a la letra dice: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B5">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2"/>
        <w:numPr>
          <w:ilvl w:val="0"/>
          <w:numId w:val="1"/>
        </w:numPr>
        <w:spacing w:line="360" w:lineRule="auto"/>
        <w:ind w:left="720" w:hanging="360"/>
        <w:rPr>
          <w:rFonts w:ascii="Palatino Linotype" w:cs="Palatino Linotype" w:eastAsia="Palatino Linotype" w:hAnsi="Palatino Linotype"/>
          <w:b w:val="1"/>
          <w:color w:val="000000"/>
          <w:sz w:val="24"/>
          <w:szCs w:val="24"/>
        </w:rPr>
      </w:pPr>
      <w:bookmarkStart w:colFirst="0" w:colLast="0" w:name="_heading=h.17dp8vu" w:id="10"/>
      <w:bookmarkEnd w:id="10"/>
      <w:r w:rsidDel="00000000" w:rsidR="00000000" w:rsidRPr="00000000">
        <w:rPr>
          <w:rFonts w:ascii="Palatino Linotype" w:cs="Palatino Linotype" w:eastAsia="Palatino Linotype" w:hAnsi="Palatino Linotype"/>
          <w:b w:val="1"/>
          <w:color w:val="000000"/>
          <w:sz w:val="24"/>
          <w:szCs w:val="24"/>
          <w:rtl w:val="0"/>
        </w:rPr>
        <w:t xml:space="preserve">De la suplencia.</w:t>
      </w:r>
    </w:p>
    <w:p w:rsidR="00000000" w:rsidDel="00000000" w:rsidP="00000000" w:rsidRDefault="00000000" w:rsidRPr="00000000" w14:paraId="000000B8">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Sujeto Obligado en el informe justificado señaló que, los motivos o razones de inconformidad hechos valer por el Recurrente, configuran nuevos requerimientos que no fueron solicitados en un inicio, tratándose de un “plus petitio” en razón de que, mediante el Recurso de Revisión, el Recurrente, refiere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Comisión Intersecretarial de Ejecución Penal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Estado de México, mientras que en su escrito inicial hace referencia a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Comisión Interinstitucional de autoridades corresponsables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resultando en órganos colegiados totalmente diferentes.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determinar si le asiste la razón al Sujeto Obligado, debemos precisar que, un aspecto de vital importancia para el ejercicio del derecho de acceso a la información pública, a diferencia de otros derechos, permite que los propios particulares actúen sin la necesidad de contar con un representante legal tal y como lo señala el artículo 152 y 178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152. </w:t>
      </w:r>
      <w:r w:rsidDel="00000000" w:rsidR="00000000" w:rsidRPr="00000000">
        <w:rPr>
          <w:rFonts w:ascii="Palatino Linotype" w:cs="Palatino Linotype" w:eastAsia="Palatino Linotype" w:hAnsi="Palatino Linotype"/>
          <w:b w:val="1"/>
          <w:i w:val="1"/>
          <w:sz w:val="22"/>
          <w:szCs w:val="22"/>
          <w:u w:val="single"/>
          <w:rtl w:val="0"/>
        </w:rPr>
        <w:t xml:space="preserve">Cualquier persona por sí misma o a través de su representante, podrá presentar solicitud de acceso a información</w:t>
      </w:r>
      <w:r w:rsidDel="00000000" w:rsidR="00000000" w:rsidRPr="00000000">
        <w:rPr>
          <w:rFonts w:ascii="Palatino Linotype" w:cs="Palatino Linotype" w:eastAsia="Palatino Linotype" w:hAnsi="Palatino Linotype"/>
          <w:i w:val="1"/>
          <w:sz w:val="22"/>
          <w:szCs w:val="22"/>
          <w:rtl w:val="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rsidR="00000000" w:rsidDel="00000000" w:rsidP="00000000" w:rsidRDefault="00000000" w:rsidRPr="00000000" w14:paraId="000000BE">
      <w:pPr>
        <w:spacing w:line="36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616" w:firstLine="0"/>
        <w:jc w:val="both"/>
        <w:rPr>
          <w:rFonts w:ascii="Palatino Linotype" w:cs="Palatino Linotype" w:eastAsia="Palatino Linotype" w:hAnsi="Palatino Linotype"/>
          <w:b w:val="0"/>
          <w:i w:val="1"/>
          <w:smallCaps w:val="0"/>
          <w:strike w:val="0"/>
          <w:color w:val="000000"/>
          <w:sz w:val="22"/>
          <w:szCs w:val="22"/>
          <w:highlight w:val="yellow"/>
          <w:u w:val="none"/>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178.</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El solicitante podrá interponer, por sí mismo</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o a través de su representante, de manera directa o por medios electrónicos, recurso de revisión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ante el Instituto o ante la Unidad de Transparencia que haya conocido de la solicitud dentro de los quince días hábiles, siguientes a la fecha de la notificación de la respuesta.</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 w:val="left" w:pos="851"/>
        </w:tabs>
        <w:spacing w:after="0" w:before="0" w:line="360" w:lineRule="auto"/>
        <w:ind w:left="426"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Resultando que los particulares pueden ejercer el derecho de acceso a la información pública desde la solicitud, como la interposición del recurso de revisión y la sustanciación del mismo, ya sea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por sí mismos o a través de un representante legal;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falta de certeza de que quien promueve sea un experto en la materia, este Órgano Garante, así como los Sujetos Obligados deben apegar su actuar a los principios rectores del derecho de acceso a la información y, con fundamento en los artículos 13</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3"/>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181</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4"/>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penúltimo párrafo de la Ley de Transparencia y Acceso a la Información Pública del Estado de México y Municipios suplir cualquier deficiencia a favor del recurrente, sin cambiar los hechos expuestos.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presente asunto en particular es necesario verificar el requerimiento inicial del particular, siendo que solicitó:</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Versión pública de las actas de acuerdos o informes de todas las sesiones que ha llevado a cabo la Comisión Interinstitucional de autoridades corresponsables para el cumplimiento del artículo 7 de la Ley Nacional de Ejecución Penal.</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importante traer a contexto el artículo 7 de la Ley Nacional de Ejecución Penal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5"/>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dispone lo siguiente: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7. Coordinación interinstitucional Los poderes judicial y ejecutivo competentes, se organizarán, en el ámbito de sus respectivas competencias, para el cumplimiento y aplicación de esta Ley y demás normatividad aplicable, así como para la cooperación con las autoridades penitenciarias e instituciones que intervienen en la ejecución de la prisión preventiva, de las sanciones penales y de las medidas de seguridad impuestas.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Son autoridades corresponsables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el cumplimiento de esta Ley,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las Secretarías de Gobernación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Desarrollo Social, de Economía, de Educación Pública, de Cultura, de Salud, del Trabajo y Previsión Social y la Comisión Nacional de Cultura Física y Deporte, el Sistema Nacional para el Desarrollo Integral de la Familia y la Secretaría Ejecutiva del Sistema Nacional de Protección Integral de Niñas, Niños y Adolescentes o sus equivalentes en las entidades federativas y la Ciudad de México, así como las demás que por la naturaleza de sus atribuciones deban intervenir en el cumplimiento de la presente Ley.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Encabezada por la Secretaría de Gobernación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su equivalente en las entidades federativas,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 establecerán comisiones intersecretariales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incluirán a todas las autoridades corresponsables establecidas en esta Ley a nivel federal y en cada entidad federativa.</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Adicionalmente serán las encargadas de diseñar e implementar los distintos programas de servicios para la reinserción al interior de los Centros Penitenciarios y de servicios post-penales a nivel federal y estatal.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Las autoridades corresponsables en las entidades federativas establecerán su propia comisión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 fin de cumplir con los mismos fines a nivel local.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Autoridad Penitenciaria y las autoridades corresponsables podrán implementar mecanismos de participación y firmar convenios de colaboración con organizaciones de la sociedad civil a fin de diseñar, implementar o brindar servicios en internamiento o de naturaleza post-penal.</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2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la Ley Nacional de Ejecución Penal establece que son autoridades corresponsables de las Entidades Federativas, entre otras, las Secretarías de Gobernación o su equivalente, las cuales crearán comisiones intersecretariales encabezadas por la Secretaría de Gobernación o su equivalente.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360" w:lineRule="auto"/>
        <w:ind w:left="0" w:right="-2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no se debe perder de vista el Acuerdo del Titular del Poder Ejecutivo del Estado de México por el que se Crea la Comisión Intersecretarial de Ejecución Penal del Estado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6"/>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cual refiere que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crea la Comisión Intersecretarial de Ejecución Penal del Estado de México como un órgano colegiado interinstitucional de consulta, asesoría coordinación, concertación, opinión técnica y cooperación con las autoridades penitenciarias e instituciones que intervienen en la ejecución de la prisión preventiva, de las sanciones penales y de las medidas de seguridad impuestas, corresponsable en el cumplimiento de la Ley Nacional de Ejecución Penal y encargada de diseñar e implementar políticas, planes y programas de servicios para la reinserción al interior de los Centros Penitenciarios y de servicios post-penales en el Estado de México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Comisión tendrá las siguientes funciones:</w:t>
      </w:r>
      <w:r w:rsidDel="00000000" w:rsidR="00000000" w:rsidRPr="00000000">
        <w:rPr>
          <w:rtl w:val="0"/>
        </w:rPr>
      </w:r>
    </w:p>
    <w:p w:rsidR="00000000" w:rsidDel="00000000" w:rsidP="00000000" w:rsidRDefault="00000000" w:rsidRPr="00000000" w14:paraId="000000D8">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Participar en la elaboración de políticas de reinserción social. </w:t>
      </w:r>
    </w:p>
    <w:p w:rsidR="00000000" w:rsidDel="00000000" w:rsidP="00000000" w:rsidRDefault="00000000" w:rsidRPr="00000000" w14:paraId="000000D9">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Generar mecanismos de coordinación entre las dependencias corresponsables y en su caso, responsables para el cumplimiento de los principios y disposiciones de la Ley Nacional de Ejecución Penal. </w:t>
      </w:r>
    </w:p>
    <w:p w:rsidR="00000000" w:rsidDel="00000000" w:rsidP="00000000" w:rsidRDefault="00000000" w:rsidRPr="00000000" w14:paraId="000000DA">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Aprobar y dar seguimiento al calendario de las sesiones ordinarias. </w:t>
      </w:r>
    </w:p>
    <w:p w:rsidR="00000000" w:rsidDel="00000000" w:rsidP="00000000" w:rsidRDefault="00000000" w:rsidRPr="00000000" w14:paraId="000000DB">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Establecer, revisar y actualizar conforme las necesidades su programa general de trabajo. </w:t>
      </w:r>
    </w:p>
    <w:p w:rsidR="00000000" w:rsidDel="00000000" w:rsidP="00000000" w:rsidRDefault="00000000" w:rsidRPr="00000000" w14:paraId="000000DC">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Emitir y actualizar las reglas de operación, lineamientos o disposiciones necesarias para el cumplimiento de su objeto. </w:t>
      </w:r>
    </w:p>
    <w:p w:rsidR="00000000" w:rsidDel="00000000" w:rsidP="00000000" w:rsidRDefault="00000000" w:rsidRPr="00000000" w14:paraId="000000DD">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Realizar un diagnóstico constante de los procesos asociados al diseño e implementación de los distintos programas de servicios para la reinserción y las acciones de mejora que contribuyan a establecer una correcta aplicación de la Ley Nacional de Ejecución Penal y demás normatividad aplicable. </w:t>
      </w:r>
    </w:p>
    <w:p w:rsidR="00000000" w:rsidDel="00000000" w:rsidP="00000000" w:rsidRDefault="00000000" w:rsidRPr="00000000" w14:paraId="000000DE">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Promover y coordinar la incorporación de estrategias y acciones, como el intercambio de información entre las dependencias para el logro de los objetivos establecidos de reinserción al interior de los Centros Penitenciarios y de servicios post-penales. </w:t>
      </w:r>
    </w:p>
    <w:p w:rsidR="00000000" w:rsidDel="00000000" w:rsidP="00000000" w:rsidRDefault="00000000" w:rsidRPr="00000000" w14:paraId="000000DF">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Impulsar y establecer acciones de actualización y armonización del marco jurídico y procurar un entorno de certeza y confianza en materia de ejecución penal. </w:t>
      </w:r>
    </w:p>
    <w:p w:rsidR="00000000" w:rsidDel="00000000" w:rsidP="00000000" w:rsidRDefault="00000000" w:rsidRPr="00000000" w14:paraId="000000E0">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IX. Elaborar mecanismos de evaluación de las estrategias, proyectos y acciones que se realicen para el cumplimiento del objeto de la Comisión. </w:t>
      </w:r>
    </w:p>
    <w:p w:rsidR="00000000" w:rsidDel="00000000" w:rsidP="00000000" w:rsidRDefault="00000000" w:rsidRPr="00000000" w14:paraId="000000E1">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Diseñar, implementar o brindar servicios de internamiento o de naturaleza post-penal. </w:t>
      </w:r>
    </w:p>
    <w:p w:rsidR="00000000" w:rsidDel="00000000" w:rsidP="00000000" w:rsidRDefault="00000000" w:rsidRPr="00000000" w14:paraId="000000E2">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Formular y establecer programas de capacitación en materia de reinserción social y servicios post-penales. </w:t>
      </w:r>
    </w:p>
    <w:p w:rsidR="00000000" w:rsidDel="00000000" w:rsidP="00000000" w:rsidRDefault="00000000" w:rsidRPr="00000000" w14:paraId="000000E3">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Impulsar espacios de coordinación interinstitucional en las entidades federativas y en el orden federal con la participación de los sectores privado y social, para favorecer la inclusión laboral y de servicios de seguridad social, para el otorgamiento de servicios de salud, culturales, productivos y otros que las personas privadas de su libertad requieran para su adecuada reinserción social. </w:t>
      </w:r>
    </w:p>
    <w:p w:rsidR="00000000" w:rsidDel="00000000" w:rsidP="00000000" w:rsidRDefault="00000000" w:rsidRPr="00000000" w14:paraId="000000E4">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Concertar esfuerzos con los integrantes de la Comisión y demás autoridades que por la naturaleza de sus funciones deban intervenir en el cumplimiento de la Ley Nacional de Ejecución Penal y del presente Acuerdo. </w:t>
      </w:r>
    </w:p>
    <w:p w:rsidR="00000000" w:rsidDel="00000000" w:rsidP="00000000" w:rsidRDefault="00000000" w:rsidRPr="00000000" w14:paraId="000000E5">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Dar cumplimiento a los acuerdos generados en las sesiones de trabajo de la Comisión, conforme lo establecido en la Ley Nacional de Ejecución Penal y otros ordenamientos aplicables. </w:t>
      </w:r>
    </w:p>
    <w:p w:rsidR="00000000" w:rsidDel="00000000" w:rsidP="00000000" w:rsidRDefault="00000000" w:rsidRPr="00000000" w14:paraId="000000E6">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Coadyuvar con las autoridades penitenciarias que se vinculan con la ejecución de la prisión preventiva, de las sanciones penales y de las medidas de seguridad impuestas. </w:t>
      </w:r>
    </w:p>
    <w:p w:rsidR="00000000" w:rsidDel="00000000" w:rsidP="00000000" w:rsidRDefault="00000000" w:rsidRPr="00000000" w14:paraId="000000E7">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Celebrar convenios con instituciones públicas o privadas para el desarrollo y protección de los principios establecidos en la Ley Nacional de Ejecución Penal y otros ordenamientos aplicables e impulsar el desarrollo de proyectos de investigación en la materia.</w:t>
      </w:r>
    </w:p>
    <w:p w:rsidR="00000000" w:rsidDel="00000000" w:rsidP="00000000" w:rsidRDefault="00000000" w:rsidRPr="00000000" w14:paraId="000000E8">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Implementar mecanismos de participación para la firma de convenios con organizaciones de la sociedad civil a fin de diseñar, implementar o brindar servicios en internamiento o de naturaleza post-penal. </w:t>
      </w:r>
    </w:p>
    <w:p w:rsidR="00000000" w:rsidDel="00000000" w:rsidP="00000000" w:rsidRDefault="00000000" w:rsidRPr="00000000" w14:paraId="000000E9">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Divulgar la información técnica y de política pública derivada de las acciones implementadas por la Comisión en cumplimiento de los fines de la Ley Nacional de Ejecución Penal, como de servicios de internamiento o de naturaleza post-penal. </w:t>
      </w:r>
    </w:p>
    <w:p w:rsidR="00000000" w:rsidDel="00000000" w:rsidP="00000000" w:rsidRDefault="00000000" w:rsidRPr="00000000" w14:paraId="000000EA">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Las demás que sean necesarias para el cumplimiento de sus funciones.</w:t>
      </w:r>
    </w:p>
    <w:p w:rsidR="00000000" w:rsidDel="00000000" w:rsidP="00000000" w:rsidRDefault="00000000" w:rsidRPr="00000000" w14:paraId="000000EB">
      <w:pPr>
        <w:spacing w:after="240" w:lineRule="auto"/>
        <w:ind w:left="567"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el artículo CUARTO del referido acuerdo establece lo siguiente: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CUARTO. La Comisión se integrará por: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Un Presidente, que será el o la Titular de la Secretaría General de Gobierno.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Un Secretario, que será el o la Titular de la Comisión de Seguridad Ciudadana.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Vocales, que serán los o las titulares de las dependencias siguientes: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 Secretaría de Desarrollo Social.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b) Secretaría de Desarrollo Económico.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 Secretaría de Educación.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 Secretaría de Cultura.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 Secretaría de Salud.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 Secretaría del Trabajo.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g) Sistema para el Desarrollo Integral de la Familia del Estado de México.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h) Secretaría Ejecutiva del Sistema de Protección Integral de Niñas, Niños y Adolescentes del Estado de México.</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lo anterior se aprecia la participación de la Secretaría General de Gobierno como el Presidente de la Comisión Intersecretarial, por lo que se le atribuye la función de aprobar y dar seguimiento al calendario de sesiones ordinarias, además de las siguientes: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SEXTO. La o el Presidente de la Comisión tendrá las funciones siguientes: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Presidir y representar a la Comisión.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Convocar por conducto de la o el Secretario a las sesiones ordinarias y extraordinarias.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Dirigir los debates de la Comisión.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Autorizar y promover en la administración pública estatal, el cumplimiento de las acciones interinstitucionales que defina la Comisión.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Coordinar, vigilar y supervisar el cumplimiento de los acuerdos emitidos por la Comisión.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 Aprobar y firmar las actas de las sesiones.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 Informar de las actividades y resultados obtenidos por la Comisión.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VIII. Resolver las diferencias de opinión que se presenten entre los integrantes.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IX. Someter a consideración de la Comisión, las propuestas emitidas por cada uno de ellos.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 Supervisar el seguimiento de las actividades realizadas a favor de la Comisión.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 Formular estrategias y acciones para el cumplimiento de los fines de la Comisión.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82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 Las demás que sean necesarias para el cumplimiento del objeto de la Comisión.</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el artículo quinto refiere que la Comisión sesionará de manera ordinaria cada tres meses y de forma extraordinaria cuando la o el Presidente así lo determine. Como resultado de lo plasmado en líneas anteriores, se aprecia fuente obligacional para contar con la información de sesiones de la Comisión intersecretarial.</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bien es cierto, el Recurrente en la solicitud de acceso a la información refirió que requiere las actas de las sesiones de la Comisión Interinstitucional, cuando debió ser la Comisión Intersecretarial, pero también lo es que, al hacer referencia al Artículo 7 de la Ley Nacional de Ejecución Penal, el Sujeto Obligado debió realizar la suplencia a la deficiencia de la queja para entregar la información de la Comisión Intersecretarial y no limitarse a declarar la incompetencia, toda vez que, con los elementos proporcionados se puede verificar claramente la información a la que se refiere el particular.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Además, en repetidas ocasiones este Órgano Garante ha dejado en claro que cuando en una solicitud de información no se identifique un documento en específico,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si ésta tiene una expresión documental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sujeto obligado deberá entregar al particular el documento mediante el cual se pueda colmar aquella.</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sentido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entregar del mismo al solicitante mismo que a continuación se cita:</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240" w:line="360" w:lineRule="auto"/>
        <w:ind w:left="567" w:right="616" w:firstLine="0"/>
        <w:jc w:val="both"/>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222222"/>
          <w:sz w:val="22"/>
          <w:szCs w:val="22"/>
          <w:u w:val="none"/>
          <w:shd w:fill="auto" w:val="clear"/>
          <w:vertAlign w:val="baseline"/>
          <w:rtl w:val="0"/>
        </w:rPr>
        <w:t xml:space="preserve">“Cuando en una solicitud de información no se identifique un documento en específico, si ésta tiene una expresión documental, el sujeto obligado deberá entregar al particular el documento en específico.</w:t>
      </w:r>
      <w:r w:rsidDel="00000000" w:rsidR="00000000" w:rsidRPr="00000000">
        <w:rPr>
          <w:rFonts w:ascii="Palatino Linotype" w:cs="Palatino Linotype" w:eastAsia="Palatino Linotype" w:hAnsi="Palatino Linotype"/>
          <w:b w:val="0"/>
          <w:i w:val="1"/>
          <w:smallCaps w:val="0"/>
          <w:strike w:val="0"/>
          <w:color w:val="222222"/>
          <w:sz w:val="22"/>
          <w:szCs w:val="22"/>
          <w:u w:val="none"/>
          <w:shd w:fill="auto" w:val="clear"/>
          <w:vertAlign w:val="baseline"/>
          <w:rtl w:val="0"/>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Robustece lo anterior el criterio orientador 16/17 emitido de igual forma por el Instituto Nacional de Transparencia, Acceso a la Información y Protección de Datos Personales que a la literalidad prevé:</w:t>
      </w:r>
    </w:p>
    <w:p w:rsidR="00000000" w:rsidDel="00000000" w:rsidP="00000000" w:rsidRDefault="00000000" w:rsidRPr="00000000" w14:paraId="00000116">
      <w:pPr>
        <w:spacing w:after="240" w:before="240" w:line="36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“Expresión documental</w:t>
      </w:r>
      <w:r w:rsidDel="00000000" w:rsidR="00000000" w:rsidRPr="00000000">
        <w:rPr>
          <w:rFonts w:ascii="Palatino Linotype" w:cs="Palatino Linotype" w:eastAsia="Palatino Linotype" w:hAnsi="Palatino Linotype"/>
          <w:i w:val="1"/>
          <w:rtl w:val="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000000" w:rsidDel="00000000" w:rsidP="00000000" w:rsidRDefault="00000000" w:rsidRPr="00000000" w14:paraId="00000117">
      <w:pPr>
        <w:spacing w:after="240" w:before="240"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Resoluciones:</w:t>
      </w:r>
    </w:p>
    <w:p w:rsidR="00000000" w:rsidDel="00000000" w:rsidP="00000000" w:rsidRDefault="00000000" w:rsidRPr="00000000" w14:paraId="00000118">
      <w:pPr>
        <w:spacing w:after="240" w:before="240"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RRA 0774/16. Secretaría de Salud. 31 de agosto de 2016. Por unanimidad. Comisionada Ponente María Patricia Kurczyn Villalobos.</w:t>
      </w:r>
    </w:p>
    <w:p w:rsidR="00000000" w:rsidDel="00000000" w:rsidP="00000000" w:rsidRDefault="00000000" w:rsidRPr="00000000" w14:paraId="00000119">
      <w:pPr>
        <w:spacing w:after="240" w:before="240"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RRA 0143/17. Universidad Autónoma Agraria Antonio Narro. 22 de febrero de 2017. Por unanimidad. Comisionado Ponente Oscar Mauricio Guerra Ford. </w:t>
      </w:r>
    </w:p>
    <w:p w:rsidR="00000000" w:rsidDel="00000000" w:rsidP="00000000" w:rsidRDefault="00000000" w:rsidRPr="00000000" w14:paraId="0000011A">
      <w:pPr>
        <w:spacing w:after="240" w:before="240"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t xml:space="preserve">RRA 0540/17. Secretaría de Economía. 08 de marzo del 2017. Por unanimidad. Comisionado Ponente Francisco Javier Acuña Llamas”</w:t>
      </w:r>
    </w:p>
    <w:p w:rsidR="00000000" w:rsidDel="00000000" w:rsidP="00000000" w:rsidRDefault="00000000" w:rsidRPr="00000000" w14:paraId="000001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cuando se aprecien deficiencias en la solicitud, o bien, que los particulares no especifiquen el documento en donde consta la información requerida, los sujetos obligados deben realizar acciones tendientes a garantizar el derecho de los recurrentes, situación que no ocurrió en el presente asunto en particular. En consecuencia, se ORDENA al Sujeto Obligado entregar las actas de las sesiones de la Comisión Intersecretarial de Ejecución Penal del Estado de México, Ahora bien, es necesario precisar que el Recurrente fue omiso en señalar la temporalidad de la cual requiere la información sobre este punto; sin embargo, en aras de garantizar el derecho del recurrente, se tomará en cuenta la temporalidad que señaló en los dos puntos siguientes, es decir, de los años 2018, 2019 y 2020.</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ser el caso de que la información que se ha ordenado entregar contenga datos personales susceptibles de clasificarse como confidencial, el Sujeto Obligado deberá estar a lo dispuesto en el siguiente apartado.</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2"/>
        <w:numPr>
          <w:ilvl w:val="0"/>
          <w:numId w:val="1"/>
        </w:numPr>
        <w:ind w:left="720" w:hanging="360"/>
        <w:rPr>
          <w:rFonts w:ascii="Palatino Linotype" w:cs="Palatino Linotype" w:eastAsia="Palatino Linotype" w:hAnsi="Palatino Linotype"/>
          <w:b w:val="1"/>
          <w:color w:val="000000"/>
          <w:sz w:val="24"/>
          <w:szCs w:val="24"/>
          <w:highlight w:val="yellow"/>
        </w:rPr>
      </w:pPr>
      <w:bookmarkStart w:colFirst="0" w:colLast="0" w:name="_heading=h.3rdcrjn" w:id="11"/>
      <w:bookmarkEnd w:id="11"/>
      <w:r w:rsidDel="00000000" w:rsidR="00000000" w:rsidRPr="00000000">
        <w:rPr>
          <w:rFonts w:ascii="Palatino Linotype" w:cs="Palatino Linotype" w:eastAsia="Palatino Linotype" w:hAnsi="Palatino Linotype"/>
          <w:b w:val="1"/>
          <w:color w:val="000000"/>
          <w:sz w:val="24"/>
          <w:szCs w:val="24"/>
          <w:highlight w:val="yellow"/>
          <w:rtl w:val="0"/>
        </w:rPr>
        <w:t xml:space="preserve">De los datos abiertos.</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Por último y no menos importante, es necesario analizar el formato en que el recurrente solicitó la información; es decir, en formato docx; pdf; csv o xls. Al respecto, es elemental señalar que la Ley de Transparencia y Acceso a la Información Pública del Estado de México y Municipios, en su artículo 12 establece que </w:t>
      </w:r>
      <w:r w:rsidDel="00000000" w:rsidR="00000000" w:rsidRPr="00000000">
        <w:rPr>
          <w:rFonts w:ascii="Palatino Linotype" w:cs="Palatino Linotype" w:eastAsia="Palatino Linotype" w:hAnsi="Palatino Linotype"/>
          <w:b w:val="1"/>
          <w:i w:val="1"/>
          <w:smallCaps w:val="0"/>
          <w:strike w:val="0"/>
          <w:color w:val="000000"/>
          <w:sz w:val="24"/>
          <w:szCs w:val="24"/>
          <w:highlight w:val="yellow"/>
          <w:u w:val="none"/>
          <w:vertAlign w:val="baseline"/>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b w:val="1"/>
          <w:i w:val="0"/>
          <w:smallCaps w:val="0"/>
          <w:strike w:val="0"/>
          <w:color w:val="000000"/>
          <w:sz w:val="24"/>
          <w:szCs w:val="24"/>
          <w:highlight w:val="yellow"/>
          <w:u w:val="none"/>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highlight w:val="yellow"/>
          <w:u w:val="none"/>
          <w:vertAlign w:val="baseline"/>
          <w:rtl w:val="0"/>
        </w:rPr>
        <w:t xml:space="preserve">La obligación de proporcionar información no comprende el procesamiento de la misma, ni el presentarla conforme al interés del solicitante</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 no estarán obligados a generarla, resumirla, efectuar cálculos o practicar investigaciones.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No obstante lo anterior, si bien el </w:t>
      </w:r>
      <w:r w:rsidDel="00000000" w:rsidR="00000000" w:rsidRPr="00000000">
        <w:rPr>
          <w:rFonts w:ascii="Palatino Linotype" w:cs="Palatino Linotype" w:eastAsia="Palatino Linotype" w:hAnsi="Palatino Linotype"/>
          <w:b w:val="1"/>
          <w:i w:val="0"/>
          <w:smallCaps w:val="0"/>
          <w:strike w:val="0"/>
          <w:color w:val="000000"/>
          <w:sz w:val="24"/>
          <w:szCs w:val="24"/>
          <w:highlight w:val="yellow"/>
          <w:u w:val="none"/>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 solicitó, desde un inicio, la información en un formato docx, pdf, cvs o </w:t>
      </w:r>
      <w:r w:rsidDel="00000000" w:rsidR="00000000" w:rsidRPr="00000000">
        <w:rPr>
          <w:rFonts w:ascii="Palatino Linotype" w:cs="Palatino Linotype" w:eastAsia="Palatino Linotype" w:hAnsi="Palatino Linotype"/>
          <w:b w:val="0"/>
          <w:i w:val="1"/>
          <w:smallCaps w:val="0"/>
          <w:strike w:val="0"/>
          <w:color w:val="000000"/>
          <w:sz w:val="24"/>
          <w:szCs w:val="24"/>
          <w:highlight w:val="yellow"/>
          <w:u w:val="none"/>
          <w:vertAlign w:val="baseline"/>
          <w:rtl w:val="0"/>
        </w:rPr>
        <w:t xml:space="preserve">.xlsx</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 bien pudiera considerarse que éste no busca imponer al </w:t>
      </w:r>
      <w:r w:rsidDel="00000000" w:rsidR="00000000" w:rsidRPr="00000000">
        <w:rPr>
          <w:rFonts w:ascii="Palatino Linotype" w:cs="Palatino Linotype" w:eastAsia="Palatino Linotype" w:hAnsi="Palatino Linotype"/>
          <w:b w:val="1"/>
          <w:i w:val="0"/>
          <w:smallCaps w:val="0"/>
          <w:strike w:val="0"/>
          <w:color w:val="000000"/>
          <w:sz w:val="24"/>
          <w:szCs w:val="24"/>
          <w:highlight w:val="yellow"/>
          <w:u w:val="none"/>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 un formato electrónico específico para proveer la información, sino que posiblemente el particular busque hacerse de la información en </w:t>
      </w:r>
      <w:r w:rsidDel="00000000" w:rsidR="00000000" w:rsidRPr="00000000">
        <w:rPr>
          <w:rFonts w:ascii="Palatino Linotype" w:cs="Palatino Linotype" w:eastAsia="Palatino Linotype" w:hAnsi="Palatino Linotype"/>
          <w:b w:val="1"/>
          <w:i w:val="0"/>
          <w:smallCaps w:val="0"/>
          <w:strike w:val="0"/>
          <w:color w:val="000000"/>
          <w:sz w:val="24"/>
          <w:szCs w:val="24"/>
          <w:highlight w:val="yellow"/>
          <w:u w:val="none"/>
          <w:vertAlign w:val="baseline"/>
          <w:rtl w:val="0"/>
        </w:rPr>
        <w:t xml:space="preserve">datos abiertos</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426"/>
        </w:tabs>
        <w:spacing w:after="24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La Ley de Transparencia y Acceso a la Información Pública del Estado de México y Municipios, en su artículo 3, fracción VIII, establece que se entenderá por Datos Abiertos a los datos digitales de carácter público que son accesibles en línea que pueden ser usados, reutilizados y redistribuidos por cualquier interesado y que tienen las siguientes características:</w:t>
      </w:r>
    </w:p>
    <w:p w:rsidR="00000000" w:rsidDel="00000000" w:rsidP="00000000" w:rsidRDefault="00000000" w:rsidRPr="00000000" w14:paraId="00000126">
      <w:pPr>
        <w:numPr>
          <w:ilvl w:val="1"/>
          <w:numId w:val="9"/>
        </w:numPr>
        <w:tabs>
          <w:tab w:val="left" w:pos="426"/>
          <w:tab w:val="left" w:pos="3261"/>
        </w:tabs>
        <w:spacing w:line="360" w:lineRule="auto"/>
        <w:ind w:left="993" w:right="49" w:hanging="360"/>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b w:val="1"/>
          <w:color w:val="000000"/>
          <w:highlight w:val="yellow"/>
          <w:rtl w:val="0"/>
        </w:rPr>
        <w:t xml:space="preserve">Accesibles:</w:t>
      </w:r>
      <w:r w:rsidDel="00000000" w:rsidR="00000000" w:rsidRPr="00000000">
        <w:rPr>
          <w:rFonts w:ascii="Palatino Linotype" w:cs="Palatino Linotype" w:eastAsia="Palatino Linotype" w:hAnsi="Palatino Linotype"/>
          <w:color w:val="000000"/>
          <w:highlight w:val="yellow"/>
          <w:rtl w:val="0"/>
        </w:rPr>
        <w:t xml:space="preserve"> Los datos están disponibles para la gama más amplia de usuarios, para cualquier propósito; </w:t>
      </w:r>
    </w:p>
    <w:p w:rsidR="00000000" w:rsidDel="00000000" w:rsidP="00000000" w:rsidRDefault="00000000" w:rsidRPr="00000000" w14:paraId="00000127">
      <w:pPr>
        <w:numPr>
          <w:ilvl w:val="1"/>
          <w:numId w:val="9"/>
        </w:numPr>
        <w:tabs>
          <w:tab w:val="left" w:pos="426"/>
          <w:tab w:val="left" w:pos="3261"/>
        </w:tabs>
        <w:spacing w:line="360" w:lineRule="auto"/>
        <w:ind w:left="993" w:right="49" w:hanging="360"/>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b w:val="1"/>
          <w:color w:val="000000"/>
          <w:highlight w:val="yellow"/>
          <w:rtl w:val="0"/>
        </w:rPr>
        <w:t xml:space="preserve">Integrales:</w:t>
      </w:r>
      <w:r w:rsidDel="00000000" w:rsidR="00000000" w:rsidRPr="00000000">
        <w:rPr>
          <w:rFonts w:ascii="Palatino Linotype" w:cs="Palatino Linotype" w:eastAsia="Palatino Linotype" w:hAnsi="Palatino Linotype"/>
          <w:color w:val="000000"/>
          <w:highlight w:val="yellow"/>
          <w:rtl w:val="0"/>
        </w:rPr>
        <w:t xml:space="preserve"> Contienen el tema que describen a detalle y con los metadatos necesarios; </w:t>
      </w:r>
    </w:p>
    <w:p w:rsidR="00000000" w:rsidDel="00000000" w:rsidP="00000000" w:rsidRDefault="00000000" w:rsidRPr="00000000" w14:paraId="00000128">
      <w:pPr>
        <w:numPr>
          <w:ilvl w:val="1"/>
          <w:numId w:val="9"/>
        </w:numPr>
        <w:tabs>
          <w:tab w:val="left" w:pos="426"/>
          <w:tab w:val="left" w:pos="3261"/>
        </w:tabs>
        <w:spacing w:line="360" w:lineRule="auto"/>
        <w:ind w:left="993" w:right="49" w:hanging="360"/>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b w:val="1"/>
          <w:color w:val="000000"/>
          <w:highlight w:val="yellow"/>
          <w:rtl w:val="0"/>
        </w:rPr>
        <w:t xml:space="preserve">Gratuitos:</w:t>
      </w:r>
      <w:r w:rsidDel="00000000" w:rsidR="00000000" w:rsidRPr="00000000">
        <w:rPr>
          <w:rFonts w:ascii="Palatino Linotype" w:cs="Palatino Linotype" w:eastAsia="Palatino Linotype" w:hAnsi="Palatino Linotype"/>
          <w:color w:val="000000"/>
          <w:highlight w:val="yellow"/>
          <w:rtl w:val="0"/>
        </w:rPr>
        <w:t xml:space="preserve"> Se obtienen sin entregar a cambio contraprestación alguna; </w:t>
      </w:r>
    </w:p>
    <w:p w:rsidR="00000000" w:rsidDel="00000000" w:rsidP="00000000" w:rsidRDefault="00000000" w:rsidRPr="00000000" w14:paraId="00000129">
      <w:pPr>
        <w:numPr>
          <w:ilvl w:val="1"/>
          <w:numId w:val="9"/>
        </w:numPr>
        <w:tabs>
          <w:tab w:val="left" w:pos="426"/>
          <w:tab w:val="left" w:pos="3261"/>
        </w:tabs>
        <w:spacing w:line="360" w:lineRule="auto"/>
        <w:ind w:left="993" w:right="49" w:hanging="360"/>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b w:val="1"/>
          <w:color w:val="000000"/>
          <w:highlight w:val="yellow"/>
          <w:rtl w:val="0"/>
        </w:rPr>
        <w:t xml:space="preserve">No discriminatorios:</w:t>
      </w:r>
      <w:r w:rsidDel="00000000" w:rsidR="00000000" w:rsidRPr="00000000">
        <w:rPr>
          <w:rFonts w:ascii="Palatino Linotype" w:cs="Palatino Linotype" w:eastAsia="Palatino Linotype" w:hAnsi="Palatino Linotype"/>
          <w:color w:val="000000"/>
          <w:highlight w:val="yellow"/>
          <w:rtl w:val="0"/>
        </w:rPr>
        <w:t xml:space="preserve"> Los datos están disponibles para cualquier persona, sin necesidad de registro; </w:t>
      </w:r>
    </w:p>
    <w:p w:rsidR="00000000" w:rsidDel="00000000" w:rsidP="00000000" w:rsidRDefault="00000000" w:rsidRPr="00000000" w14:paraId="0000012A">
      <w:pPr>
        <w:numPr>
          <w:ilvl w:val="1"/>
          <w:numId w:val="9"/>
        </w:numPr>
        <w:tabs>
          <w:tab w:val="left" w:pos="426"/>
          <w:tab w:val="left" w:pos="3261"/>
        </w:tabs>
        <w:spacing w:line="360" w:lineRule="auto"/>
        <w:ind w:left="993" w:right="49" w:hanging="360"/>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b w:val="1"/>
          <w:color w:val="000000"/>
          <w:highlight w:val="yellow"/>
          <w:rtl w:val="0"/>
        </w:rPr>
        <w:t xml:space="preserve">Oportunos:</w:t>
      </w:r>
      <w:r w:rsidDel="00000000" w:rsidR="00000000" w:rsidRPr="00000000">
        <w:rPr>
          <w:rFonts w:ascii="Palatino Linotype" w:cs="Palatino Linotype" w:eastAsia="Palatino Linotype" w:hAnsi="Palatino Linotype"/>
          <w:color w:val="000000"/>
          <w:highlight w:val="yellow"/>
          <w:rtl w:val="0"/>
        </w:rPr>
        <w:t xml:space="preserve"> Son actualizados, periódicamente, conforme se generen; </w:t>
      </w:r>
    </w:p>
    <w:p w:rsidR="00000000" w:rsidDel="00000000" w:rsidP="00000000" w:rsidRDefault="00000000" w:rsidRPr="00000000" w14:paraId="0000012B">
      <w:pPr>
        <w:numPr>
          <w:ilvl w:val="1"/>
          <w:numId w:val="9"/>
        </w:numPr>
        <w:tabs>
          <w:tab w:val="left" w:pos="426"/>
          <w:tab w:val="left" w:pos="3261"/>
        </w:tabs>
        <w:spacing w:line="360" w:lineRule="auto"/>
        <w:ind w:left="993" w:right="49" w:hanging="360"/>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b w:val="1"/>
          <w:color w:val="000000"/>
          <w:highlight w:val="yellow"/>
          <w:rtl w:val="0"/>
        </w:rPr>
        <w:t xml:space="preserve">Permanentes:</w:t>
      </w:r>
      <w:r w:rsidDel="00000000" w:rsidR="00000000" w:rsidRPr="00000000">
        <w:rPr>
          <w:rFonts w:ascii="Palatino Linotype" w:cs="Palatino Linotype" w:eastAsia="Palatino Linotype" w:hAnsi="Palatino Linotype"/>
          <w:color w:val="000000"/>
          <w:highlight w:val="yellow"/>
          <w:rtl w:val="0"/>
        </w:rPr>
        <w:t xml:space="preserve"> Se conservan en el tiempo, para lo cual, las versiones históricas relevantes para uso público se mantendrán disponibles con identificadores adecuados al efecto; </w:t>
      </w:r>
    </w:p>
    <w:p w:rsidR="00000000" w:rsidDel="00000000" w:rsidP="00000000" w:rsidRDefault="00000000" w:rsidRPr="00000000" w14:paraId="0000012C">
      <w:pPr>
        <w:numPr>
          <w:ilvl w:val="1"/>
          <w:numId w:val="9"/>
        </w:numPr>
        <w:tabs>
          <w:tab w:val="left" w:pos="1134"/>
          <w:tab w:val="left" w:pos="3261"/>
        </w:tabs>
        <w:spacing w:line="360" w:lineRule="auto"/>
        <w:ind w:left="993" w:right="49" w:hanging="360"/>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b w:val="1"/>
          <w:color w:val="000000"/>
          <w:highlight w:val="yellow"/>
          <w:rtl w:val="0"/>
        </w:rPr>
        <w:t xml:space="preserve">Primarios:</w:t>
      </w:r>
      <w:r w:rsidDel="00000000" w:rsidR="00000000" w:rsidRPr="00000000">
        <w:rPr>
          <w:rFonts w:ascii="Palatino Linotype" w:cs="Palatino Linotype" w:eastAsia="Palatino Linotype" w:hAnsi="Palatino Linotype"/>
          <w:color w:val="000000"/>
          <w:highlight w:val="yellow"/>
          <w:rtl w:val="0"/>
        </w:rPr>
        <w:t xml:space="preserve"> Provienen de la fuente de origen con el máximo nivel de desagregación posible; </w:t>
      </w:r>
    </w:p>
    <w:p w:rsidR="00000000" w:rsidDel="00000000" w:rsidP="00000000" w:rsidRDefault="00000000" w:rsidRPr="00000000" w14:paraId="0000012D">
      <w:pPr>
        <w:numPr>
          <w:ilvl w:val="1"/>
          <w:numId w:val="9"/>
        </w:numPr>
        <w:tabs>
          <w:tab w:val="left" w:pos="1134"/>
        </w:tabs>
        <w:spacing w:line="360" w:lineRule="auto"/>
        <w:ind w:left="993" w:right="49" w:hanging="360"/>
        <w:jc w:val="both"/>
        <w:rPr>
          <w:rFonts w:ascii="Palatino Linotype" w:cs="Palatino Linotype" w:eastAsia="Palatino Linotype" w:hAnsi="Palatino Linotype"/>
          <w:b w:val="1"/>
          <w:color w:val="000000"/>
          <w:highlight w:val="yellow"/>
        </w:rPr>
      </w:pPr>
      <w:r w:rsidDel="00000000" w:rsidR="00000000" w:rsidRPr="00000000">
        <w:rPr>
          <w:rFonts w:ascii="Palatino Linotype" w:cs="Palatino Linotype" w:eastAsia="Palatino Linotype" w:hAnsi="Palatino Linotype"/>
          <w:b w:val="1"/>
          <w:color w:val="000000"/>
          <w:highlight w:val="yellow"/>
          <w:rtl w:val="0"/>
        </w:rPr>
        <w:t xml:space="preserve">Legibles por máquinas: Deberán estar estructurados, total o parcialmente, para ser procesados e interpretados por equipos electrónicos de manera automática; </w:t>
      </w:r>
    </w:p>
    <w:p w:rsidR="00000000" w:rsidDel="00000000" w:rsidP="00000000" w:rsidRDefault="00000000" w:rsidRPr="00000000" w14:paraId="0000012E">
      <w:pPr>
        <w:numPr>
          <w:ilvl w:val="1"/>
          <w:numId w:val="9"/>
        </w:numPr>
        <w:tabs>
          <w:tab w:val="left" w:pos="426"/>
          <w:tab w:val="left" w:pos="3261"/>
        </w:tabs>
        <w:spacing w:line="360" w:lineRule="auto"/>
        <w:ind w:left="993" w:right="49" w:hanging="360"/>
        <w:jc w:val="both"/>
        <w:rPr>
          <w:rFonts w:ascii="Palatino Linotype" w:cs="Palatino Linotype" w:eastAsia="Palatino Linotype" w:hAnsi="Palatino Linotype"/>
          <w:color w:val="000000"/>
          <w:highlight w:val="yellow"/>
        </w:rPr>
      </w:pPr>
      <w:r w:rsidDel="00000000" w:rsidR="00000000" w:rsidRPr="00000000">
        <w:rPr>
          <w:rFonts w:ascii="Palatino Linotype" w:cs="Palatino Linotype" w:eastAsia="Palatino Linotype" w:hAnsi="Palatino Linotype"/>
          <w:b w:val="1"/>
          <w:color w:val="000000"/>
          <w:highlight w:val="yellow"/>
          <w:rtl w:val="0"/>
        </w:rPr>
        <w:t xml:space="preserve">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Del="00000000" w:rsidR="00000000" w:rsidRPr="00000000">
        <w:rPr>
          <w:rFonts w:ascii="Palatino Linotype" w:cs="Palatino Linotype" w:eastAsia="Palatino Linotype" w:hAnsi="Palatino Linotype"/>
          <w:color w:val="000000"/>
          <w:highlight w:val="yellow"/>
          <w:rtl w:val="0"/>
        </w:rPr>
        <w:t xml:space="preserve">; y </w:t>
      </w:r>
    </w:p>
    <w:p w:rsidR="00000000" w:rsidDel="00000000" w:rsidP="00000000" w:rsidRDefault="00000000" w:rsidRPr="00000000" w14:paraId="0000012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pos="426"/>
        </w:tabs>
        <w:spacing w:after="0" w:before="240" w:line="360" w:lineRule="auto"/>
        <w:ind w:left="993" w:right="51" w:hanging="360"/>
        <w:jc w:val="both"/>
        <w:rPr>
          <w:rFonts w:ascii="Palatino Linotype" w:cs="Palatino Linotype" w:eastAsia="Palatino Linotype" w:hAnsi="Palatino Linotype"/>
          <w:b w:val="0"/>
          <w:i w:val="0"/>
          <w:smallCaps w:val="0"/>
          <w:strike w:val="0"/>
          <w:color w:val="000000"/>
          <w:sz w:val="22"/>
          <w:szCs w:val="22"/>
          <w:highlight w:val="yellow"/>
          <w:u w:val="none"/>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highlight w:val="yellow"/>
          <w:u w:val="none"/>
          <w:vertAlign w:val="baseline"/>
          <w:rtl w:val="0"/>
        </w:rPr>
        <w:t xml:space="preserve">De libre uso:</w:t>
      </w:r>
      <w:r w:rsidDel="00000000" w:rsidR="00000000" w:rsidRPr="00000000">
        <w:rPr>
          <w:rFonts w:ascii="Palatino Linotype" w:cs="Palatino Linotype" w:eastAsia="Palatino Linotype" w:hAnsi="Palatino Linotype"/>
          <w:b w:val="0"/>
          <w:i w:val="0"/>
          <w:smallCaps w:val="0"/>
          <w:strike w:val="0"/>
          <w:color w:val="000000"/>
          <w:sz w:val="22"/>
          <w:szCs w:val="22"/>
          <w:highlight w:val="yellow"/>
          <w:u w:val="none"/>
          <w:vertAlign w:val="baseline"/>
          <w:rtl w:val="0"/>
        </w:rPr>
        <w:t xml:space="preserve"> Citan la fuente de origen como único requerimiento para ser utilizados libremente.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Así las cosas, las características que determinan a los datos abiertos permite establecer el objetivo que busca su generación y uso: la interoperabilidad.</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La interoperabilidad denota la habilidad de diversos sistemas y organizaciones para trabajar juntos (interoperar). En este caso, es la habilidad para interoperar o integrar diferentes conjuntos de datos</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superscript"/>
        </w:rPr>
        <w:footnoteReference w:customMarkFollows="0" w:id="7"/>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Los datos abiertos son información pública del gobierno, que es puesta a disposición de toda la población de manera accesible, en formatos técnicos y legales que permiten su uso, reutilización y redistribución para cualquier fin legal que se desee</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superscript"/>
        </w:rPr>
        <w:footnoteReference w:customMarkFollows="0" w:id="8"/>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El avance en la generación de la información pública que posean, generen o administren los Sujetos Obligados en datos abiertos no ha sido rápido, no obstante, cada vez nacen más portales gubernamentales con información en datos abiertos disponible para todo aquél que pretenda usar, reutilizar y/o redistribuirla según sus pretensiones.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Un claro ejemplo de ello es el Portal de Datos Abiertos del Gobierno de la capital de nuestro país</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superscript"/>
        </w:rPr>
        <w:footnoteReference w:customMarkFollows="0" w:id="9"/>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 dentro del cual, se puede consultar información en datos abiertos por su categoría, como </w:t>
      </w:r>
      <w:r w:rsidDel="00000000" w:rsidR="00000000" w:rsidRPr="00000000">
        <w:rPr>
          <w:rFonts w:ascii="Palatino Linotype" w:cs="Palatino Linotype" w:eastAsia="Palatino Linotype" w:hAnsi="Palatino Linotype"/>
          <w:b w:val="0"/>
          <w:i w:val="1"/>
          <w:smallCaps w:val="0"/>
          <w:strike w:val="0"/>
          <w:color w:val="000000"/>
          <w:sz w:val="24"/>
          <w:szCs w:val="24"/>
          <w:highlight w:val="yellow"/>
          <w:u w:val="none"/>
          <w:vertAlign w:val="baseline"/>
          <w:rtl w:val="0"/>
        </w:rPr>
        <w:t xml:space="preserve">Administración y Finanzas, Cultura, Deporte, COVID-19, Desarrollo Urbano,</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 entre otros.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Al ingresar a una de estas categorías, nos refleja un listado de diversos documentos como, por mencionar algunos: </w:t>
      </w:r>
      <w:r w:rsidDel="00000000" w:rsidR="00000000" w:rsidRPr="00000000">
        <w:rPr>
          <w:rFonts w:ascii="Palatino Linotype" w:cs="Palatino Linotype" w:eastAsia="Palatino Linotype" w:hAnsi="Palatino Linotype"/>
          <w:b w:val="0"/>
          <w:i w:val="1"/>
          <w:smallCaps w:val="0"/>
          <w:strike w:val="0"/>
          <w:color w:val="000000"/>
          <w:sz w:val="24"/>
          <w:szCs w:val="24"/>
          <w:highlight w:val="yellow"/>
          <w:u w:val="none"/>
          <w:vertAlign w:val="baseline"/>
          <w:rtl w:val="0"/>
        </w:rPr>
        <w:t xml:space="preserve">Convocatorias de compras públicas, Ingresos del Sistema de Transporte Colectivo Metro, Presupuesto de egresos de la Ciudad, e, Ingresos de la Ciudad</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 Por su parte, cada uno de estos documentos ofrece su consulta y descarga a través de uno o varios formatos electrónicos como </w:t>
      </w:r>
      <w:r w:rsidDel="00000000" w:rsidR="00000000" w:rsidRPr="00000000">
        <w:rPr>
          <w:rFonts w:ascii="Palatino Linotype" w:cs="Palatino Linotype" w:eastAsia="Palatino Linotype" w:hAnsi="Palatino Linotype"/>
          <w:b w:val="0"/>
          <w:i w:val="1"/>
          <w:smallCaps w:val="0"/>
          <w:strike w:val="0"/>
          <w:color w:val="000000"/>
          <w:sz w:val="24"/>
          <w:szCs w:val="24"/>
          <w:highlight w:val="yellow"/>
          <w:u w:val="none"/>
          <w:vertAlign w:val="baseline"/>
          <w:rtl w:val="0"/>
        </w:rPr>
        <w:t xml:space="preserve">.csv, .txt., .pdf, .json, </w:t>
      </w:r>
      <w:r w:rsidDel="00000000" w:rsidR="00000000" w:rsidRPr="00000000">
        <w:rPr>
          <w:rFonts w:ascii="Palatino Linotype" w:cs="Palatino Linotype" w:eastAsia="Palatino Linotype" w:hAnsi="Palatino Linotype"/>
          <w:b w:val="1"/>
          <w:i w:val="1"/>
          <w:smallCaps w:val="0"/>
          <w:strike w:val="0"/>
          <w:color w:val="000000"/>
          <w:sz w:val="24"/>
          <w:szCs w:val="24"/>
          <w:highlight w:val="yellow"/>
          <w:u w:val="none"/>
          <w:vertAlign w:val="baseline"/>
          <w:rtl w:val="0"/>
        </w:rPr>
        <w:t xml:space="preserve">.xlsx</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 etcétera. Se adjuntan a continuación capturas de pantalla del portal como mera referencia:</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center"/>
        <w:rPr>
          <w:rFonts w:ascii="Palatino Linotype" w:cs="Palatino Linotype" w:eastAsia="Palatino Linotype" w:hAnsi="Palatino Linotype"/>
          <w:b w:val="0"/>
          <w:i w:val="0"/>
          <w:smallCaps w:val="0"/>
          <w:strike w:val="0"/>
          <w:color w:val="000000"/>
          <w:sz w:val="22"/>
          <w:szCs w:val="22"/>
          <w:highlight w:val="yellow"/>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yellow"/>
          <w:u w:val="none"/>
          <w:vertAlign w:val="baseline"/>
        </w:rPr>
        <w:drawing>
          <wp:inline distB="0" distT="0" distL="0" distR="0">
            <wp:extent cx="4761612" cy="2202294"/>
            <wp:effectExtent b="9525" l="9525" r="9525" t="9525"/>
            <wp:docPr descr="Interfaz de usuario gráfica, Texto, Aplicación&#10;&#10;Descripción generada automáticamente" id="8" name="image4.png"/>
            <a:graphic>
              <a:graphicData uri="http://schemas.openxmlformats.org/drawingml/2006/picture">
                <pic:pic>
                  <pic:nvPicPr>
                    <pic:cNvPr descr="Interfaz de usuario gráfica, Texto, Aplicación&#10;&#10;Descripción generada automáticamente" id="0" name="image4.png"/>
                    <pic:cNvPicPr preferRelativeResize="0"/>
                  </pic:nvPicPr>
                  <pic:blipFill>
                    <a:blip r:embed="rId11"/>
                    <a:srcRect b="17728" l="0" r="0" t="0"/>
                    <a:stretch>
                      <a:fillRect/>
                    </a:stretch>
                  </pic:blipFill>
                  <pic:spPr>
                    <a:xfrm>
                      <a:off x="0" y="0"/>
                      <a:ext cx="4761612" cy="2202294"/>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center"/>
        <w:rPr>
          <w:rFonts w:ascii="Palatino Linotype" w:cs="Palatino Linotype" w:eastAsia="Palatino Linotype" w:hAnsi="Palatino Linotype"/>
          <w:b w:val="0"/>
          <w:i w:val="0"/>
          <w:smallCaps w:val="0"/>
          <w:strike w:val="0"/>
          <w:color w:val="000000"/>
          <w:sz w:val="22"/>
          <w:szCs w:val="22"/>
          <w:highlight w:val="yellow"/>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yellow"/>
          <w:u w:val="none"/>
          <w:vertAlign w:val="baseline"/>
        </w:rPr>
        <w:drawing>
          <wp:inline distB="0" distT="0" distL="0" distR="0">
            <wp:extent cx="4704916" cy="2368785"/>
            <wp:effectExtent b="9525" l="9525" r="9525" t="9525"/>
            <wp:docPr descr="Imagen que contiene Calendario&#10;&#10;Descripción generada automáticamente" id="10" name="image5.png"/>
            <a:graphic>
              <a:graphicData uri="http://schemas.openxmlformats.org/drawingml/2006/picture">
                <pic:pic>
                  <pic:nvPicPr>
                    <pic:cNvPr descr="Imagen que contiene Calendario&#10;&#10;Descripción generada automáticamente" id="0" name="image5.png"/>
                    <pic:cNvPicPr preferRelativeResize="0"/>
                  </pic:nvPicPr>
                  <pic:blipFill>
                    <a:blip r:embed="rId12"/>
                    <a:srcRect b="10443" l="0" r="0" t="0"/>
                    <a:stretch>
                      <a:fillRect/>
                    </a:stretch>
                  </pic:blipFill>
                  <pic:spPr>
                    <a:xfrm>
                      <a:off x="0" y="0"/>
                      <a:ext cx="4704916" cy="236878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240" w:before="0" w:line="360" w:lineRule="auto"/>
        <w:ind w:left="0" w:right="51" w:firstLine="0"/>
        <w:jc w:val="center"/>
        <w:rPr>
          <w:rFonts w:ascii="Palatino Linotype" w:cs="Palatino Linotype" w:eastAsia="Palatino Linotype" w:hAnsi="Palatino Linotype"/>
          <w:b w:val="0"/>
          <w:i w:val="0"/>
          <w:smallCaps w:val="0"/>
          <w:strike w:val="0"/>
          <w:color w:val="000000"/>
          <w:sz w:val="22"/>
          <w:szCs w:val="22"/>
          <w:highlight w:val="yellow"/>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yellow"/>
          <w:u w:val="none"/>
          <w:vertAlign w:val="baseline"/>
        </w:rPr>
        <w:drawing>
          <wp:inline distB="0" distT="0" distL="0" distR="0">
            <wp:extent cx="4811293" cy="2496244"/>
            <wp:effectExtent b="9525" l="9525" r="9525" t="9525"/>
            <wp:docPr descr="Interfaz de usuario gráfica, Texto, Aplicación, Chat o mensaje de texto&#10;&#10;Descripción generada automáticamente" id="9" name="image6.png"/>
            <a:graphic>
              <a:graphicData uri="http://schemas.openxmlformats.org/drawingml/2006/picture">
                <pic:pic>
                  <pic:nvPicPr>
                    <pic:cNvPr descr="Interfaz de usuario gráfica, Texto, Aplicación, Chat o mensaje de texto&#10;&#10;Descripción generada automáticamente" id="0" name="image6.png"/>
                    <pic:cNvPicPr preferRelativeResize="0"/>
                  </pic:nvPicPr>
                  <pic:blipFill>
                    <a:blip r:embed="rId13"/>
                    <a:srcRect b="7710" l="0" r="0" t="0"/>
                    <a:stretch>
                      <a:fillRect/>
                    </a:stretch>
                  </pic:blipFill>
                  <pic:spPr>
                    <a:xfrm>
                      <a:off x="0" y="0"/>
                      <a:ext cx="4811293" cy="2496244"/>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F">
      <w:pPr>
        <w:numPr>
          <w:ilvl w:val="0"/>
          <w:numId w:val="9"/>
        </w:numPr>
        <w:tabs>
          <w:tab w:val="left" w:pos="426"/>
          <w:tab w:val="left" w:pos="3261"/>
        </w:tabs>
        <w:spacing w:after="240" w:before="240" w:line="360" w:lineRule="auto"/>
        <w:ind w:left="0" w:right="51" w:firstLine="0"/>
        <w:jc w:val="both"/>
        <w:rPr>
          <w:rFonts w:ascii="Palatino Linotype" w:cs="Palatino Linotype" w:eastAsia="Palatino Linotype" w:hAnsi="Palatino Linotype"/>
          <w:color w:val="000000"/>
          <w:sz w:val="24"/>
          <w:szCs w:val="24"/>
          <w:highlight w:val="yellow"/>
        </w:rPr>
      </w:pPr>
      <w:r w:rsidDel="00000000" w:rsidR="00000000" w:rsidRPr="00000000">
        <w:rPr>
          <w:rFonts w:ascii="Palatino Linotype" w:cs="Palatino Linotype" w:eastAsia="Palatino Linotype" w:hAnsi="Palatino Linotype"/>
          <w:color w:val="000000"/>
          <w:sz w:val="24"/>
          <w:szCs w:val="24"/>
          <w:highlight w:val="yellow"/>
          <w:rtl w:val="0"/>
        </w:rPr>
        <w:t xml:space="preserve">Es concluyente que </w:t>
      </w:r>
      <w:r w:rsidDel="00000000" w:rsidR="00000000" w:rsidRPr="00000000">
        <w:rPr>
          <w:rFonts w:ascii="Palatino Linotype" w:cs="Palatino Linotype" w:eastAsia="Palatino Linotype" w:hAnsi="Palatino Linotype"/>
          <w:b w:val="1"/>
          <w:color w:val="000000"/>
          <w:sz w:val="24"/>
          <w:szCs w:val="24"/>
          <w:highlight w:val="yellow"/>
          <w:rtl w:val="0"/>
        </w:rPr>
        <w:t xml:space="preserve">la generación de información en datos abiertos es parte de la cultura de transparencia proactiva</w:t>
      </w:r>
      <w:r w:rsidDel="00000000" w:rsidR="00000000" w:rsidRPr="00000000">
        <w:rPr>
          <w:rFonts w:ascii="Palatino Linotype" w:cs="Palatino Linotype" w:eastAsia="Palatino Linotype" w:hAnsi="Palatino Linotype"/>
          <w:color w:val="000000"/>
          <w:sz w:val="24"/>
          <w:szCs w:val="24"/>
          <w:highlight w:val="yellow"/>
          <w:rtl w:val="0"/>
        </w:rPr>
        <w:t xml:space="preserve">, mas no una obligación, como tal, por parte de los Sujetos Obligados, más aún porque -se insiste- los entes públicos únicamente tendrán la encomienda de poner a disposición de la ciudadanía la información que generen, posean o administren en el ejercicio de sus funciones y atribuciones; empero, no estarán obligados a procesarla o presentarla conforme a los intereses de los particulares, lo cual incluye que se otorgue en un formato electrónico específico.</w:t>
      </w:r>
    </w:p>
    <w:p w:rsidR="00000000" w:rsidDel="00000000" w:rsidP="00000000" w:rsidRDefault="00000000" w:rsidRPr="00000000" w14:paraId="000001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426"/>
        </w:tabs>
        <w:spacing w:after="24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En consecuencia, el </w:t>
      </w:r>
      <w:r w:rsidDel="00000000" w:rsidR="00000000" w:rsidRPr="00000000">
        <w:rPr>
          <w:rFonts w:ascii="Palatino Linotype" w:cs="Palatino Linotype" w:eastAsia="Palatino Linotype" w:hAnsi="Palatino Linotype"/>
          <w:b w:val="1"/>
          <w:i w:val="0"/>
          <w:smallCaps w:val="0"/>
          <w:strike w:val="0"/>
          <w:color w:val="000000"/>
          <w:sz w:val="24"/>
          <w:szCs w:val="24"/>
          <w:highlight w:val="yellow"/>
          <w:u w:val="none"/>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highlight w:val="yellow"/>
          <w:u w:val="none"/>
          <w:vertAlign w:val="baseline"/>
          <w:rtl w:val="0"/>
        </w:rPr>
        <w:t xml:space="preserve"> deberá realizar una búsqueda exhaustiva y razonable en sus archivos a efecto de entregar, preferentemente en datos abiertos, la información que se ha ordenado entregar, consistente en las actas </w:t>
      </w:r>
      <w:r w:rsidDel="00000000" w:rsidR="00000000" w:rsidRPr="00000000">
        <w:rPr>
          <w:rFonts w:ascii="Palatino Linotype" w:cs="Palatino Linotype" w:eastAsia="Palatino Linotype" w:hAnsi="Palatino Linotype"/>
          <w:b w:val="1"/>
          <w:i w:val="0"/>
          <w:smallCaps w:val="0"/>
          <w:strike w:val="0"/>
          <w:color w:val="000000"/>
          <w:sz w:val="24"/>
          <w:szCs w:val="24"/>
          <w:highlight w:val="yellow"/>
          <w:u w:val="none"/>
          <w:vertAlign w:val="baseline"/>
          <w:rtl w:val="0"/>
        </w:rPr>
        <w:t xml:space="preserve">de las sesiones de la Comisión Intersecretarial de Ejecución Penal del Estado de México de los años 2018, 2019 y 2020.</w:t>
      </w:r>
      <w:r w:rsidDel="00000000" w:rsidR="00000000" w:rsidRPr="00000000">
        <w:rPr>
          <w:rtl w:val="0"/>
        </w:rPr>
      </w:r>
    </w:p>
    <w:p w:rsidR="00000000" w:rsidDel="00000000" w:rsidP="00000000" w:rsidRDefault="00000000" w:rsidRPr="00000000" w14:paraId="00000141">
      <w:pPr>
        <w:pStyle w:val="Heading1"/>
        <w:rPr>
          <w:rFonts w:ascii="Palatino Linotype" w:cs="Palatino Linotype" w:eastAsia="Palatino Linotype" w:hAnsi="Palatino Linotype"/>
          <w:b w:val="1"/>
          <w:color w:val="000000"/>
          <w:sz w:val="24"/>
          <w:szCs w:val="24"/>
        </w:rPr>
      </w:pPr>
      <w:bookmarkStart w:colFirst="0" w:colLast="0" w:name="_heading=h.26in1rg" w:id="12"/>
      <w:bookmarkEnd w:id="12"/>
      <w:r w:rsidDel="00000000" w:rsidR="00000000" w:rsidRPr="00000000">
        <w:rPr>
          <w:rFonts w:ascii="Palatino Linotype" w:cs="Palatino Linotype" w:eastAsia="Palatino Linotype" w:hAnsi="Palatino Linotype"/>
          <w:b w:val="1"/>
          <w:color w:val="000000"/>
          <w:sz w:val="24"/>
          <w:szCs w:val="24"/>
          <w:rtl w:val="0"/>
        </w:rPr>
        <w:t xml:space="preserve">QUINTO. De la Versión Pública.</w:t>
      </w:r>
    </w:p>
    <w:p w:rsidR="00000000" w:rsidDel="00000000" w:rsidP="00000000" w:rsidRDefault="00000000" w:rsidRPr="00000000" w14:paraId="00000142">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3">
      <w:pPr>
        <w:pStyle w:val="Heading1"/>
        <w:numPr>
          <w:ilvl w:val="0"/>
          <w:numId w:val="8"/>
        </w:numPr>
        <w:spacing w:before="0" w:line="360" w:lineRule="auto"/>
        <w:ind w:left="1080" w:hanging="720"/>
        <w:rPr>
          <w:rFonts w:ascii="Palatino Linotype" w:cs="Palatino Linotype" w:eastAsia="Palatino Linotype" w:hAnsi="Palatino Linotype"/>
          <w:b w:val="1"/>
          <w:color w:val="000000"/>
          <w:sz w:val="24"/>
          <w:szCs w:val="24"/>
        </w:rPr>
      </w:pPr>
      <w:bookmarkStart w:colFirst="0" w:colLast="0" w:name="_heading=h.lnxbz9" w:id="13"/>
      <w:bookmarkEnd w:id="13"/>
      <w:r w:rsidDel="00000000" w:rsidR="00000000" w:rsidRPr="00000000">
        <w:rPr>
          <w:rFonts w:ascii="Palatino Linotype" w:cs="Palatino Linotype" w:eastAsia="Palatino Linotype" w:hAnsi="Palatino Linotype"/>
          <w:b w:val="1"/>
          <w:color w:val="000000"/>
          <w:sz w:val="24"/>
          <w:szCs w:val="24"/>
          <w:rtl w:val="0"/>
        </w:rPr>
        <w:t xml:space="preserve">Nociones generales. </w:t>
      </w:r>
    </w:p>
    <w:p w:rsidR="00000000" w:rsidDel="00000000" w:rsidP="00000000" w:rsidRDefault="00000000" w:rsidRPr="00000000" w14:paraId="000001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Debe destacarse que, debido a la naturaleza de la información solicitada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eventualmente pudiera obrar datos personales susceptibles de protegerse,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deberá de hacer la adecuada versión pública, protegiendo los datos que no son susceptibles de ser proporcionados.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46">
      <w:pPr>
        <w:numPr>
          <w:ilvl w:val="0"/>
          <w:numId w:val="9"/>
        </w:numPr>
        <w:spacing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No pasa desapercibido para este Órgano Garante que los </w:t>
      </w:r>
      <w:r w:rsidDel="00000000" w:rsidR="00000000" w:rsidRPr="00000000">
        <w:rPr>
          <w:rFonts w:ascii="Palatino Linotype" w:cs="Palatino Linotype" w:eastAsia="Palatino Linotype" w:hAnsi="Palatino Linotype"/>
          <w:b w:val="1"/>
          <w:color w:val="000000"/>
          <w:sz w:val="24"/>
          <w:szCs w:val="24"/>
          <w:rtl w:val="0"/>
        </w:rPr>
        <w:t xml:space="preserve">Sujetos Obligados </w:t>
      </w:r>
      <w:r w:rsidDel="00000000" w:rsidR="00000000" w:rsidRPr="00000000">
        <w:rPr>
          <w:rFonts w:ascii="Palatino Linotype" w:cs="Palatino Linotype" w:eastAsia="Palatino Linotype" w:hAnsi="Palatino Linotype"/>
          <w:color w:val="000000"/>
          <w:sz w:val="24"/>
          <w:szCs w:val="24"/>
          <w:rtl w:val="0"/>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00000" w:rsidDel="00000000" w:rsidP="00000000" w:rsidRDefault="00000000" w:rsidRPr="00000000" w14:paraId="00000147">
      <w:pPr>
        <w:spacing w:line="360" w:lineRule="auto"/>
        <w:ind w:right="49"/>
        <w:jc w:val="both"/>
        <w:rPr>
          <w:rFonts w:ascii="Palatino Linotype" w:cs="Palatino Linotype" w:eastAsia="Palatino Linotype" w:hAnsi="Palatino Linotype"/>
          <w:color w:val="000000"/>
        </w:rPr>
      </w:pPr>
      <w:r w:rsidDel="00000000" w:rsidR="00000000" w:rsidRPr="00000000">
        <w:rPr>
          <w:rtl w:val="0"/>
        </w:rPr>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38"/>
        <w:gridCol w:w="6990"/>
        <w:tblGridChange w:id="0">
          <w:tblGrid>
            <w:gridCol w:w="1838"/>
            <w:gridCol w:w="6990"/>
          </w:tblGrid>
        </w:tblGridChange>
      </w:tblGrid>
      <w:tr>
        <w:trPr>
          <w:cantSplit w:val="0"/>
          <w:tblHeader w:val="0"/>
        </w:trPr>
        <w:tc>
          <w:tcPr/>
          <w:p w:rsidR="00000000" w:rsidDel="00000000" w:rsidP="00000000" w:rsidRDefault="00000000" w:rsidRPr="00000000" w14:paraId="00000148">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Requisitos previos.</w:t>
            </w:r>
          </w:p>
        </w:tc>
        <w:tc>
          <w:tcPr/>
          <w:p w:rsidR="00000000" w:rsidDel="00000000" w:rsidP="00000000" w:rsidRDefault="00000000" w:rsidRPr="00000000" w14:paraId="00000149">
            <w:pPr>
              <w:spacing w:line="360" w:lineRule="auto"/>
              <w:ind w:right="49"/>
              <w:jc w:val="both"/>
              <w:rPr>
                <w:rFonts w:ascii="Palatino Linotype" w:cs="Palatino Linotype" w:eastAsia="Palatino Linotype" w:hAnsi="Palatino Linotype"/>
                <w:b w:val="0"/>
                <w:color w:val="000000"/>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00000" w:rsidDel="00000000" w:rsidP="00000000" w:rsidRDefault="00000000" w:rsidRPr="00000000" w14:paraId="0000014A">
            <w:pPr>
              <w:spacing w:line="360" w:lineRule="auto"/>
              <w:ind w:right="49"/>
              <w:jc w:val="both"/>
              <w:rPr>
                <w:rFonts w:ascii="Palatino Linotype" w:cs="Palatino Linotype" w:eastAsia="Palatino Linotype" w:hAnsi="Palatino Linotype"/>
                <w:b w:val="0"/>
                <w:color w:val="000000"/>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Al hacerlo tienen que precisar de qué información se trata, señalando el supuesto de clasificación (confidencialidad o reserva).</w:t>
            </w:r>
          </w:p>
          <w:p w:rsidR="00000000" w:rsidDel="00000000" w:rsidP="00000000" w:rsidRDefault="00000000" w:rsidRPr="00000000" w14:paraId="0000014B">
            <w:pPr>
              <w:spacing w:line="360" w:lineRule="auto"/>
              <w:ind w:right="49"/>
              <w:jc w:val="both"/>
              <w:rPr>
                <w:rFonts w:ascii="Palatino Linotype" w:cs="Palatino Linotype" w:eastAsia="Palatino Linotype" w:hAnsi="Palatino Linotype"/>
                <w:b w:val="0"/>
                <w:color w:val="000000"/>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Además, se debe señalar el procedimiento, de los tres que establecen los artículos 132 y 106 de la Ley Estatal y General, respectivamente.</w:t>
            </w:r>
          </w:p>
          <w:p w:rsidR="00000000" w:rsidDel="00000000" w:rsidP="00000000" w:rsidRDefault="00000000" w:rsidRPr="00000000" w14:paraId="0000014C">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El último de estos requisitos previos consiste en que no se pueden emitir acuerdos de carácter general ni particular, esto es, </w:t>
            </w:r>
            <w:r w:rsidDel="00000000" w:rsidR="00000000" w:rsidRPr="00000000">
              <w:rPr>
                <w:rFonts w:ascii="Palatino Linotype" w:cs="Palatino Linotype" w:eastAsia="Palatino Linotype" w:hAnsi="Palatino Linotype"/>
                <w:b w:val="0"/>
                <w:color w:val="000000"/>
                <w:sz w:val="20"/>
                <w:szCs w:val="20"/>
                <w:u w:val="single"/>
                <w:rtl w:val="0"/>
              </w:rPr>
              <w:t xml:space="preserve">no se puede hacer un acuerdo para clasificar de manera general todos los documentos de un expediente o área, sin</w:t>
            </w:r>
            <w:r w:rsidDel="00000000" w:rsidR="00000000" w:rsidRPr="00000000">
              <w:rPr>
                <w:rFonts w:ascii="Palatino Linotype" w:cs="Palatino Linotype" w:eastAsia="Palatino Linotype" w:hAnsi="Palatino Linotype"/>
                <w:b w:val="0"/>
                <w:color w:val="000000"/>
                <w:sz w:val="20"/>
                <w:szCs w:val="20"/>
                <w:rtl w:val="0"/>
              </w:rPr>
              <w:t xml:space="preserve"> individualizar su análisis y tampoco se puede hacer un acuerdo por cada dato que se vaya a clasificar dentro de un documento con diez datos, por ejemplo, susceptibles de ser clasificados.</w:t>
            </w:r>
            <w:r w:rsidDel="00000000" w:rsidR="00000000" w:rsidRPr="00000000">
              <w:rPr>
                <w:rtl w:val="0"/>
              </w:rPr>
            </w:r>
          </w:p>
        </w:tc>
      </w:tr>
      <w:tr>
        <w:trPr>
          <w:cantSplit w:val="0"/>
          <w:tblHeader w:val="0"/>
        </w:trPr>
        <w:tc>
          <w:tcPr/>
          <w:p w:rsidR="00000000" w:rsidDel="00000000" w:rsidP="00000000" w:rsidRDefault="00000000" w:rsidRPr="00000000" w14:paraId="0000014D">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Supuestos de clasificación.</w:t>
            </w:r>
          </w:p>
        </w:tc>
        <w:tc>
          <w:tcPr/>
          <w:p w:rsidR="00000000" w:rsidDel="00000000" w:rsidP="00000000" w:rsidRDefault="00000000" w:rsidRPr="00000000" w14:paraId="0000014E">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Las disposiciones constitucionales y legales en la materia establecen los dos supuestos generales para clasificar la información: por reserva y por confidencialidad.</w:t>
            </w:r>
          </w:p>
          <w:p w:rsidR="00000000" w:rsidDel="00000000" w:rsidP="00000000" w:rsidRDefault="00000000" w:rsidRPr="00000000" w14:paraId="0000014F">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00000" w:rsidDel="00000000" w:rsidP="00000000" w:rsidRDefault="00000000" w:rsidRPr="00000000" w14:paraId="00000150">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El </w:t>
            </w:r>
            <w:r w:rsidDel="00000000" w:rsidR="00000000" w:rsidRPr="00000000">
              <w:rPr>
                <w:rFonts w:ascii="Palatino Linotype" w:cs="Palatino Linotype" w:eastAsia="Palatino Linotype" w:hAnsi="Palatino Linotype"/>
                <w:b w:val="1"/>
                <w:color w:val="000000"/>
                <w:sz w:val="20"/>
                <w:szCs w:val="20"/>
                <w:rtl w:val="0"/>
              </w:rPr>
              <w:t xml:space="preserve">Sujeto Obligado</w:t>
            </w:r>
            <w:r w:rsidDel="00000000" w:rsidR="00000000" w:rsidRPr="00000000">
              <w:rPr>
                <w:rFonts w:ascii="Palatino Linotype" w:cs="Palatino Linotype" w:eastAsia="Palatino Linotype" w:hAnsi="Palatino Linotype"/>
                <w:color w:val="000000"/>
                <w:sz w:val="20"/>
                <w:szCs w:val="20"/>
                <w:rtl w:val="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r w:rsidDel="00000000" w:rsidR="00000000" w:rsidRPr="00000000">
              <w:rPr>
                <w:rtl w:val="0"/>
              </w:rPr>
            </w:r>
          </w:p>
        </w:tc>
      </w:tr>
      <w:tr>
        <w:trPr>
          <w:cantSplit w:val="0"/>
          <w:tblHeader w:val="0"/>
        </w:trPr>
        <w:tc>
          <w:tcPr/>
          <w:p w:rsidR="00000000" w:rsidDel="00000000" w:rsidP="00000000" w:rsidRDefault="00000000" w:rsidRPr="00000000" w14:paraId="00000151">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Formalidades para emitir el acuerdo de clasificación.</w:t>
            </w:r>
          </w:p>
        </w:tc>
        <w:tc>
          <w:tcPr/>
          <w:p w:rsidR="00000000" w:rsidDel="00000000" w:rsidP="00000000" w:rsidRDefault="00000000" w:rsidRPr="00000000" w14:paraId="00000152">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El Comité de Transparencia, según lo dispuesto en los artículos cuenta con las facultades para aprobar, modificar o revocar la clasificación de la información que haya propuesto. </w:t>
            </w:r>
          </w:p>
          <w:p w:rsidR="00000000" w:rsidDel="00000000" w:rsidP="00000000" w:rsidRDefault="00000000" w:rsidRPr="00000000" w14:paraId="00000153">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Es necesario que </w:t>
            </w:r>
            <w:r w:rsidDel="00000000" w:rsidR="00000000" w:rsidRPr="00000000">
              <w:rPr>
                <w:rFonts w:ascii="Palatino Linotype" w:cs="Palatino Linotype" w:eastAsia="Palatino Linotype" w:hAnsi="Palatino Linotype"/>
                <w:b w:val="1"/>
                <w:color w:val="000000"/>
                <w:sz w:val="20"/>
                <w:szCs w:val="20"/>
                <w:u w:val="single"/>
                <w:rtl w:val="0"/>
              </w:rPr>
              <w:t xml:space="preserve">el acto reúna con los requisitos elementales</w:t>
            </w:r>
            <w:r w:rsidDel="00000000" w:rsidR="00000000" w:rsidRPr="00000000">
              <w:rPr>
                <w:rFonts w:ascii="Palatino Linotype" w:cs="Palatino Linotype" w:eastAsia="Palatino Linotype" w:hAnsi="Palatino Linotype"/>
                <w:color w:val="000000"/>
                <w:sz w:val="20"/>
                <w:szCs w:val="20"/>
                <w:rtl w:val="0"/>
              </w:rPr>
              <w:t xml:space="preserve">, entre ellos, que la autoridad que va a emitir el acto de autoridad sea la legalmente facultada para ello.</w:t>
            </w:r>
          </w:p>
          <w:p w:rsidR="00000000" w:rsidDel="00000000" w:rsidP="00000000" w:rsidRDefault="00000000" w:rsidRPr="00000000" w14:paraId="00000154">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r w:rsidDel="00000000" w:rsidR="00000000" w:rsidRPr="00000000">
              <w:rPr>
                <w:rtl w:val="0"/>
              </w:rPr>
            </w:r>
          </w:p>
        </w:tc>
      </w:tr>
      <w:tr>
        <w:trPr>
          <w:cantSplit w:val="0"/>
          <w:tblHeader w:val="0"/>
        </w:trPr>
        <w:tc>
          <w:tcPr/>
          <w:p w:rsidR="00000000" w:rsidDel="00000000" w:rsidP="00000000" w:rsidRDefault="00000000" w:rsidRPr="00000000" w14:paraId="00000155">
            <w:pPr>
              <w:spacing w:line="360" w:lineRule="auto"/>
              <w:rPr>
                <w:rFonts w:ascii="Palatino Linotype" w:cs="Palatino Linotype" w:eastAsia="Palatino Linotype" w:hAnsi="Palatino Linotype"/>
                <w:b w:val="0"/>
                <w:sz w:val="20"/>
                <w:szCs w:val="20"/>
              </w:rPr>
            </w:pPr>
            <w:r w:rsidDel="00000000" w:rsidR="00000000" w:rsidRPr="00000000">
              <w:rPr>
                <w:rtl w:val="0"/>
              </w:rPr>
            </w:r>
          </w:p>
          <w:p w:rsidR="00000000" w:rsidDel="00000000" w:rsidP="00000000" w:rsidRDefault="00000000" w:rsidRPr="00000000" w14:paraId="00000156">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d) Requisitos de fondo del acuerdo de clasificación. </w:t>
            </w:r>
            <w:r w:rsidDel="00000000" w:rsidR="00000000" w:rsidRPr="00000000">
              <w:rPr>
                <w:rtl w:val="0"/>
              </w:rPr>
            </w:r>
          </w:p>
        </w:tc>
        <w:tc>
          <w:tcPr/>
          <w:p w:rsidR="00000000" w:rsidDel="00000000" w:rsidP="00000000" w:rsidRDefault="00000000" w:rsidRPr="00000000" w14:paraId="00000157">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Del="00000000" w:rsidR="00000000" w:rsidRPr="00000000">
              <w:rPr>
                <w:rFonts w:ascii="Palatino Linotype" w:cs="Palatino Linotype" w:eastAsia="Palatino Linotype" w:hAnsi="Palatino Linotype"/>
                <w:b w:val="1"/>
                <w:color w:val="000000"/>
                <w:sz w:val="20"/>
                <w:szCs w:val="20"/>
                <w:rtl w:val="0"/>
              </w:rPr>
              <w:t xml:space="preserve">Sujetos Obligados</w:t>
            </w:r>
            <w:r w:rsidDel="00000000" w:rsidR="00000000" w:rsidRPr="00000000">
              <w:rPr>
                <w:rFonts w:ascii="Palatino Linotype" w:cs="Palatino Linotype" w:eastAsia="Palatino Linotype" w:hAnsi="Palatino Linotype"/>
                <w:color w:val="000000"/>
                <w:sz w:val="20"/>
                <w:szCs w:val="20"/>
                <w:rtl w:val="0"/>
              </w:rPr>
              <w:t xml:space="preserve">, por lo que deberán fundar y motivar debidamente la clasificación. </w:t>
            </w:r>
          </w:p>
          <w:p w:rsidR="00000000" w:rsidDel="00000000" w:rsidP="00000000" w:rsidRDefault="00000000" w:rsidRPr="00000000" w14:paraId="00000158">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De lo anterior, se desprende que para una correcta </w:t>
            </w:r>
            <w:r w:rsidDel="00000000" w:rsidR="00000000" w:rsidRPr="00000000">
              <w:rPr>
                <w:rFonts w:ascii="Palatino Linotype" w:cs="Palatino Linotype" w:eastAsia="Palatino Linotype" w:hAnsi="Palatino Linotype"/>
                <w:b w:val="1"/>
                <w:color w:val="000000"/>
                <w:sz w:val="20"/>
                <w:szCs w:val="20"/>
                <w:rtl w:val="0"/>
              </w:rPr>
              <w:t xml:space="preserve">clasificación total o parcial</w:t>
            </w:r>
            <w:r w:rsidDel="00000000" w:rsidR="00000000" w:rsidRPr="00000000">
              <w:rPr>
                <w:rFonts w:ascii="Palatino Linotype" w:cs="Palatino Linotype" w:eastAsia="Palatino Linotype" w:hAnsi="Palatino Linotype"/>
                <w:color w:val="000000"/>
                <w:sz w:val="20"/>
                <w:szCs w:val="20"/>
                <w:rtl w:val="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00000" w:rsidDel="00000000" w:rsidP="00000000" w:rsidRDefault="00000000" w:rsidRPr="00000000" w14:paraId="00000159">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00000" w:rsidDel="00000000" w:rsidP="00000000" w:rsidRDefault="00000000" w:rsidRPr="00000000" w14:paraId="0000015A">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En ese mismo sentido, el numeral trigésimo tercero fracción V de los Lineamientos Generales, precisa que para motivar la clasificación se deben acreditar las circunstancias de tiempo, modo y lugar.</w:t>
            </w:r>
          </w:p>
          <w:p w:rsidR="00000000" w:rsidDel="00000000" w:rsidP="00000000" w:rsidRDefault="00000000" w:rsidRPr="00000000" w14:paraId="0000015B">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Ahora bien, </w:t>
            </w:r>
            <w:r w:rsidDel="00000000" w:rsidR="00000000" w:rsidRPr="00000000">
              <w:rPr>
                <w:rFonts w:ascii="Palatino Linotype" w:cs="Palatino Linotype" w:eastAsia="Palatino Linotype" w:hAnsi="Palatino Linotype"/>
                <w:b w:val="1"/>
                <w:color w:val="000000"/>
                <w:sz w:val="20"/>
                <w:szCs w:val="20"/>
                <w:u w:val="single"/>
                <w:rtl w:val="0"/>
              </w:rPr>
              <w:t xml:space="preserve">para cada caso además de fundar y motivar</w:t>
            </w:r>
            <w:r w:rsidDel="00000000" w:rsidR="00000000" w:rsidRPr="00000000">
              <w:rPr>
                <w:rFonts w:ascii="Palatino Linotype" w:cs="Palatino Linotype" w:eastAsia="Palatino Linotype" w:hAnsi="Palatino Linotype"/>
                <w:color w:val="000000"/>
                <w:sz w:val="20"/>
                <w:szCs w:val="20"/>
                <w:rtl w:val="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trPr>
          <w:cantSplit w:val="0"/>
          <w:tblHeader w:val="0"/>
        </w:trPr>
        <w:tc>
          <w:tcPr/>
          <w:p w:rsidR="00000000" w:rsidDel="00000000" w:rsidP="00000000" w:rsidRDefault="00000000" w:rsidRPr="00000000" w14:paraId="0000015C">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0"/>
                <w:sz w:val="20"/>
                <w:szCs w:val="20"/>
                <w:rtl w:val="0"/>
              </w:rPr>
              <w:t xml:space="preserve">e</w:t>
            </w:r>
            <w:r w:rsidDel="00000000" w:rsidR="00000000" w:rsidRPr="00000000">
              <w:rPr>
                <w:rFonts w:ascii="Palatino Linotype" w:cs="Palatino Linotype" w:eastAsia="Palatino Linotype" w:hAnsi="Palatino Linotype"/>
                <w:sz w:val="20"/>
                <w:szCs w:val="20"/>
                <w:rtl w:val="0"/>
              </w:rPr>
              <w:t xml:space="preserve">) Condiciones especiales de la clasificación de la información como confidencial. </w:t>
            </w:r>
          </w:p>
        </w:tc>
        <w:tc>
          <w:tcPr/>
          <w:p w:rsidR="00000000" w:rsidDel="00000000" w:rsidP="00000000" w:rsidRDefault="00000000" w:rsidRPr="00000000" w14:paraId="0000015D">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Los artículos 148 y 120 de la Ley Estatal y de la Ley General, respectivamente, establecen que aun tratándose de datos personales, se podrán proporcionar, incluso sin solicitar el consentimiento de su titular. </w:t>
            </w:r>
          </w:p>
          <w:p w:rsidR="00000000" w:rsidDel="00000000" w:rsidP="00000000" w:rsidRDefault="00000000" w:rsidRPr="00000000" w14:paraId="0000015E">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00000" w:rsidDel="00000000" w:rsidP="00000000" w:rsidRDefault="00000000" w:rsidRPr="00000000" w14:paraId="0000015F">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r w:rsidDel="00000000" w:rsidR="00000000" w:rsidRPr="00000000">
              <w:rPr>
                <w:rtl w:val="0"/>
              </w:rPr>
            </w:r>
          </w:p>
        </w:tc>
      </w:tr>
    </w:tbl>
    <w:p w:rsidR="00000000" w:rsidDel="00000000" w:rsidP="00000000" w:rsidRDefault="00000000" w:rsidRPr="00000000" w14:paraId="00000160">
      <w:pPr>
        <w:spacing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pStyle w:val="Heading1"/>
        <w:rPr>
          <w:rFonts w:ascii="Palatino Linotype" w:cs="Palatino Linotype" w:eastAsia="Palatino Linotype" w:hAnsi="Palatino Linotype"/>
          <w:b w:val="1"/>
          <w:color w:val="000000"/>
          <w:sz w:val="24"/>
          <w:szCs w:val="24"/>
        </w:rPr>
      </w:pPr>
      <w:bookmarkStart w:colFirst="0" w:colLast="0" w:name="_heading=h.35nkun2" w:id="14"/>
      <w:bookmarkEnd w:id="14"/>
      <w:r w:rsidDel="00000000" w:rsidR="00000000" w:rsidRPr="00000000">
        <w:rPr>
          <w:rFonts w:ascii="Palatino Linotype" w:cs="Palatino Linotype" w:eastAsia="Palatino Linotype" w:hAnsi="Palatino Linotype"/>
          <w:b w:val="1"/>
          <w:color w:val="000000"/>
          <w:sz w:val="24"/>
          <w:szCs w:val="24"/>
          <w:rtl w:val="0"/>
        </w:rPr>
        <w:t xml:space="preserve">SEXTO. De la Decisión.</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respuesta que emitió el Sujeto Obligado no fue completa, toda vez que, se limitó a atender la solicitud a literalidad, sin apreciar los detalles que aportó el Recurrente para precisar la información que solicitó, esto para estar en posibilidad de suplir las deficiencias atribuibles al Recurrente y proporcionar la información de interés para el particular.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Fue necesario realizar una suplencia a la deficiencia de la queja a favor del Recurrente para subsanar el hecho de que requiere las Actas de las Sesiones de la Comisión Intersecretarial de Ejecución Penal del Estado de México como lo dispone la Leu Nacional de Ejecución Penal y no así de la Comisión Interinstitucional de autoridades corresponsables.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 es necesario modificar la respuesta del Sujeto Obligado y se ORDENA entregar los documentos en donde consten las actas de las sesiones de la Comisión Intersecretarial de Ejecución Penal del Estado de México de los años 2018, 2019 y 2020.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anteriormente expuesto y fundado, este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ÓRGANO GARANTE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emite los siguientes:</w:t>
      </w:r>
    </w:p>
    <w:p w:rsidR="00000000" w:rsidDel="00000000" w:rsidP="00000000" w:rsidRDefault="00000000" w:rsidRPr="00000000" w14:paraId="0000016C">
      <w:pPr>
        <w:keepNext w:val="1"/>
        <w:keepLines w:val="1"/>
        <w:spacing w:line="360" w:lineRule="auto"/>
        <w:jc w:val="center"/>
        <w:rPr>
          <w:rFonts w:ascii="Palatino Linotype" w:cs="Palatino Linotype" w:eastAsia="Palatino Linotype" w:hAnsi="Palatino Linotype"/>
          <w:b w:val="1"/>
          <w:sz w:val="24"/>
          <w:szCs w:val="24"/>
        </w:rPr>
      </w:pPr>
      <w:bookmarkStart w:colFirst="0" w:colLast="0" w:name="_heading=h.44sinio" w:id="16"/>
      <w:bookmarkEnd w:id="16"/>
      <w:r w:rsidDel="00000000" w:rsidR="00000000" w:rsidRPr="00000000">
        <w:rPr>
          <w:rFonts w:ascii="Palatino Linotype" w:cs="Palatino Linotype" w:eastAsia="Palatino Linotype" w:hAnsi="Palatino Linotype"/>
          <w:b w:val="1"/>
          <w:sz w:val="24"/>
          <w:szCs w:val="24"/>
          <w:rtl w:val="0"/>
        </w:rPr>
        <w:t xml:space="preserve">R E S O L U T I V O S</w:t>
      </w:r>
    </w:p>
    <w:p w:rsidR="00000000" w:rsidDel="00000000" w:rsidP="00000000" w:rsidRDefault="00000000" w:rsidRPr="00000000" w14:paraId="0000016D">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parcialmente fundadas las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razones o motivos de inconformidad hechos valer en el recurso de revisión </w:t>
      </w:r>
      <w:r w:rsidDel="00000000" w:rsidR="00000000" w:rsidRPr="00000000">
        <w:rPr>
          <w:rFonts w:ascii="Palatino Linotype" w:cs="Palatino Linotype" w:eastAsia="Palatino Linotype" w:hAnsi="Palatino Linotype"/>
          <w:b w:val="1"/>
          <w:sz w:val="24"/>
          <w:szCs w:val="24"/>
          <w:rtl w:val="0"/>
        </w:rPr>
        <w:t xml:space="preserve">03423/INFOEM/IP/RR/2021, </w:t>
      </w:r>
      <w:r w:rsidDel="00000000" w:rsidR="00000000" w:rsidRPr="00000000">
        <w:rPr>
          <w:rFonts w:ascii="Palatino Linotype" w:cs="Palatino Linotype" w:eastAsia="Palatino Linotype" w:hAnsi="Palatino Linotype"/>
          <w:sz w:val="24"/>
          <w:szCs w:val="24"/>
          <w:rtl w:val="0"/>
        </w:rPr>
        <w:t xml:space="preserve">en términos de los considerandos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y </w:t>
      </w:r>
      <w:r w:rsidDel="00000000" w:rsidR="00000000" w:rsidRPr="00000000">
        <w:rPr>
          <w:rFonts w:ascii="Palatino Linotype" w:cs="Palatino Linotype" w:eastAsia="Palatino Linotype" w:hAnsi="Palatino Linotype"/>
          <w:b w:val="1"/>
          <w:sz w:val="24"/>
          <w:szCs w:val="24"/>
          <w:rtl w:val="0"/>
        </w:rPr>
        <w:t xml:space="preserve">QUINTO </w:t>
      </w:r>
      <w:r w:rsidDel="00000000" w:rsidR="00000000" w:rsidRPr="00000000">
        <w:rPr>
          <w:rFonts w:ascii="Palatino Linotype" w:cs="Palatino Linotype" w:eastAsia="Palatino Linotype" w:hAnsi="Palatino Linotype"/>
          <w:sz w:val="24"/>
          <w:szCs w:val="24"/>
          <w:rtl w:val="0"/>
        </w:rPr>
        <w:t xml:space="preserve">de la presente resolución.</w:t>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sz w:val="24"/>
          <w:szCs w:val="24"/>
        </w:rPr>
      </w:pPr>
      <w:bookmarkStart w:colFirst="0" w:colLast="0" w:name="_heading=h.2jxsxqh" w:id="17"/>
      <w:bookmarkEnd w:id="17"/>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b w:val="1"/>
          <w:color w:val="2f549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MODIFICA</w:t>
      </w:r>
      <w:r w:rsidDel="00000000" w:rsidR="00000000" w:rsidRPr="00000000">
        <w:rPr>
          <w:rFonts w:ascii="Palatino Linotype" w:cs="Palatino Linotype" w:eastAsia="Palatino Linotype" w:hAnsi="Palatino Linotype"/>
          <w:sz w:val="24"/>
          <w:szCs w:val="24"/>
          <w:rtl w:val="0"/>
        </w:rPr>
        <w:t xml:space="preserve"> la respuesta emitida por el </w:t>
      </w:r>
      <w:r w:rsidDel="00000000" w:rsidR="00000000" w:rsidRPr="00000000">
        <w:rPr>
          <w:rFonts w:ascii="Palatino Linotype" w:cs="Palatino Linotype" w:eastAsia="Palatino Linotype" w:hAnsi="Palatino Linotype"/>
          <w:b w:val="1"/>
          <w:sz w:val="24"/>
          <w:szCs w:val="24"/>
          <w:rtl w:val="0"/>
        </w:rPr>
        <w:t xml:space="preserve">Secretaría General de Gobierno</w:t>
      </w:r>
      <w:r w:rsidDel="00000000" w:rsidR="00000000" w:rsidRPr="00000000">
        <w:rPr>
          <w:rFonts w:ascii="Palatino Linotype" w:cs="Palatino Linotype" w:eastAsia="Palatino Linotype" w:hAnsi="Palatino Linotype"/>
          <w:sz w:val="24"/>
          <w:szCs w:val="24"/>
          <w:rtl w:val="0"/>
        </w:rPr>
        <w:t xml:space="preserve"> y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entregar, vía Sistema de Acceso a la Información Mexiquense</w:t>
      </w:r>
      <w:r w:rsidDel="00000000" w:rsidR="00000000" w:rsidRPr="00000000">
        <w:rPr>
          <w:rFonts w:ascii="Palatino Linotype" w:cs="Palatino Linotype" w:eastAsia="Palatino Linotype" w:hAnsi="Palatino Linotype"/>
          <w:b w:val="1"/>
          <w:sz w:val="24"/>
          <w:szCs w:val="24"/>
          <w:rtl w:val="0"/>
        </w:rPr>
        <w:t xml:space="preserve"> (SAIMEX)</w:t>
      </w:r>
      <w:r w:rsidDel="00000000" w:rsidR="00000000" w:rsidRPr="00000000">
        <w:rPr>
          <w:rFonts w:ascii="Palatino Linotype" w:cs="Palatino Linotype" w:eastAsia="Palatino Linotype" w:hAnsi="Palatino Linotype"/>
          <w:sz w:val="24"/>
          <w:szCs w:val="24"/>
          <w:rtl w:val="0"/>
        </w:rPr>
        <w:t xml:space="preserve"> y correo electrónico, en datos abiertos (</w:t>
      </w:r>
      <w:r w:rsidDel="00000000" w:rsidR="00000000" w:rsidRPr="00000000">
        <w:rPr>
          <w:rFonts w:ascii="Palatino Linotype" w:cs="Palatino Linotype" w:eastAsia="Palatino Linotype" w:hAnsi="Palatino Linotype"/>
          <w:sz w:val="24"/>
          <w:szCs w:val="24"/>
          <w:highlight w:val="yellow"/>
          <w:rtl w:val="0"/>
        </w:rPr>
        <w:t xml:space="preserve">docx; pdf; cvs; xls) o en el formato en el que se encuentre</w:t>
      </w:r>
      <w:r w:rsidDel="00000000" w:rsidR="00000000" w:rsidRPr="00000000">
        <w:rPr>
          <w:rFonts w:ascii="Palatino Linotype" w:cs="Palatino Linotype" w:eastAsia="Palatino Linotype" w:hAnsi="Palatino Linotype"/>
          <w:sz w:val="24"/>
          <w:szCs w:val="24"/>
          <w:rtl w:val="0"/>
        </w:rPr>
        <w:t xml:space="preserve">, previa búsqueda exhaustiva y razonable, de ser el caso en versión pública, los documentos en donde conste lo siguiente:</w:t>
      </w:r>
    </w:p>
    <w:p w:rsidR="00000000" w:rsidDel="00000000" w:rsidP="00000000" w:rsidRDefault="00000000" w:rsidRPr="00000000" w14:paraId="000001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1080" w:right="49" w:hanging="72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Actas de las sesiones de la Comisión Intersecretarial de Ejecución Penal del Estado de México de los años 2018, 2019 y 2020.</w:t>
      </w:r>
      <w:r w:rsidDel="00000000" w:rsidR="00000000" w:rsidRPr="00000000">
        <w:rPr>
          <w:rtl w:val="0"/>
        </w:rPr>
      </w:r>
    </w:p>
    <w:p w:rsidR="00000000" w:rsidDel="00000000" w:rsidP="00000000" w:rsidRDefault="00000000" w:rsidRPr="00000000" w14:paraId="00000171">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000000" w:rsidDel="00000000" w:rsidP="00000000" w:rsidRDefault="00000000" w:rsidRPr="00000000" w14:paraId="00000172">
      <w:pPr>
        <w:ind w:left="567" w:right="425"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73">
      <w:pPr>
        <w:tabs>
          <w:tab w:val="left" w:pos="8080"/>
        </w:tabs>
        <w:spacing w:line="360" w:lineRule="auto"/>
        <w:ind w:right="49"/>
        <w:jc w:val="both"/>
        <w:rPr>
          <w:rFonts w:ascii="Palatino Linotype" w:cs="Palatino Linotype" w:eastAsia="Palatino Linotype" w:hAnsi="Palatino Linotype"/>
          <w:color w:val="222222"/>
          <w:sz w:val="24"/>
          <w:szCs w:val="24"/>
          <w:highlight w:val="white"/>
        </w:rPr>
      </w:pPr>
      <w:r w:rsidDel="00000000" w:rsidR="00000000" w:rsidRPr="00000000">
        <w:rPr>
          <w:rFonts w:ascii="Palatino Linotype" w:cs="Palatino Linotype" w:eastAsia="Palatino Linotype" w:hAnsi="Palatino Linotype"/>
          <w:b w:val="1"/>
          <w:sz w:val="24"/>
          <w:szCs w:val="24"/>
          <w:rtl w:val="0"/>
        </w:rPr>
        <w:t xml:space="preserve">TERCERO. Notifíquese </w:t>
      </w:r>
      <w:r w:rsidDel="00000000" w:rsidR="00000000" w:rsidRPr="00000000">
        <w:rPr>
          <w:rFonts w:ascii="Palatino Linotype" w:cs="Palatino Linotype" w:eastAsia="Palatino Linotype" w:hAnsi="Palatino Linotype"/>
          <w:sz w:val="24"/>
          <w:szCs w:val="24"/>
          <w:rtl w:val="0"/>
        </w:rPr>
        <w:t xml:space="preserve">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conforme a los artículos 186 último párrafo, 189 párrafo segundo y 199 de la Ley de Transparencia y Acceso a la Información Pública del Estado de México y Municipios, </w:t>
      </w:r>
      <w:r w:rsidDel="00000000" w:rsidR="00000000" w:rsidRPr="00000000">
        <w:rPr>
          <w:rFonts w:ascii="Palatino Linotype" w:cs="Palatino Linotype" w:eastAsia="Palatino Linotype" w:hAnsi="Palatino Linotype"/>
          <w:color w:val="222222"/>
          <w:sz w:val="24"/>
          <w:szCs w:val="24"/>
          <w:highlight w:val="white"/>
          <w:rtl w:val="0"/>
        </w:rPr>
        <w:t xml:space="preserve">vigente, dé cumplimiento a lo ordenado dentro del plazo de diez días hábiles, debiendo rendir a este Instituto el informe de cumplimiento de la resolución en un plazo de tres días hábiles posteriores.</w:t>
      </w:r>
    </w:p>
    <w:p w:rsidR="00000000" w:rsidDel="00000000" w:rsidP="00000000" w:rsidRDefault="00000000" w:rsidRPr="00000000" w14:paraId="00000174">
      <w:pPr>
        <w:tabs>
          <w:tab w:val="left" w:pos="8080"/>
        </w:tabs>
        <w:spacing w:line="360" w:lineRule="auto"/>
        <w:ind w:right="49"/>
        <w:jc w:val="both"/>
        <w:rPr>
          <w:rFonts w:ascii="Palatino Linotype" w:cs="Palatino Linotype" w:eastAsia="Palatino Linotype" w:hAnsi="Palatino Linotype"/>
          <w:color w:val="222222"/>
          <w:sz w:val="24"/>
          <w:szCs w:val="24"/>
          <w:highlight w:val="white"/>
        </w:rPr>
      </w:pPr>
      <w:r w:rsidDel="00000000" w:rsidR="00000000" w:rsidRPr="00000000">
        <w:rPr>
          <w:rtl w:val="0"/>
        </w:rPr>
      </w:r>
    </w:p>
    <w:p w:rsidR="00000000" w:rsidDel="00000000" w:rsidP="00000000" w:rsidRDefault="00000000" w:rsidRPr="00000000" w14:paraId="00000175">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76">
      <w:pPr>
        <w:tabs>
          <w:tab w:val="left" w:pos="8080"/>
        </w:tabs>
        <w:spacing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77">
      <w:pPr>
        <w:shd w:fill="ffffff" w:val="clea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w:t>
      </w:r>
      <w:r w:rsidDel="00000000" w:rsidR="00000000" w:rsidRPr="00000000">
        <w:rPr>
          <w:rFonts w:ascii="Palatino Linotype" w:cs="Palatino Linotype" w:eastAsia="Palatino Linotype" w:hAnsi="Palatino Linotype"/>
          <w:b w:val="1"/>
          <w:color w:val="222222"/>
          <w:sz w:val="24"/>
          <w:szCs w:val="24"/>
          <w:rtl w:val="0"/>
        </w:rPr>
        <w:t xml:space="preserve">Notifíquese </w:t>
      </w:r>
      <w:r w:rsidDel="00000000" w:rsidR="00000000" w:rsidRPr="00000000">
        <w:rPr>
          <w:rFonts w:ascii="Palatino Linotype" w:cs="Palatino Linotype" w:eastAsia="Palatino Linotype" w:hAnsi="Palatino Linotype"/>
          <w:color w:val="222222"/>
          <w:sz w:val="24"/>
          <w:szCs w:val="24"/>
          <w:rtl w:val="0"/>
        </w:rPr>
        <w:t xml:space="preserve">a</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XXXXXXXXXXXXXXXXXXXXXXXXX</w:t>
      </w:r>
      <w:r w:rsidDel="00000000" w:rsidR="00000000" w:rsidRPr="00000000">
        <w:rPr>
          <w:rFonts w:ascii="Palatino Linotype" w:cs="Palatino Linotype" w:eastAsia="Palatino Linotype" w:hAnsi="Palatino Linotype"/>
          <w:sz w:val="24"/>
          <w:szCs w:val="24"/>
          <w:rtl w:val="0"/>
        </w:rPr>
        <w:t xml:space="preserve"> la presente resolución.</w:t>
      </w:r>
    </w:p>
    <w:p w:rsidR="00000000" w:rsidDel="00000000" w:rsidP="00000000" w:rsidRDefault="00000000" w:rsidRPr="00000000" w14:paraId="00000178">
      <w:pPr>
        <w:shd w:fill="ffffff" w:val="clea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9">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w:t>
      </w:r>
      <w:r w:rsidDel="00000000" w:rsidR="00000000" w:rsidRPr="00000000">
        <w:rPr>
          <w:rFonts w:ascii="Palatino Linotype" w:cs="Palatino Linotype" w:eastAsia="Palatino Linotype" w:hAnsi="Palatino Linotype"/>
          <w:sz w:val="24"/>
          <w:szCs w:val="24"/>
          <w:rtl w:val="0"/>
        </w:rPr>
        <w:t xml:space="preserve"> Se hace del conocimiento de </w:t>
      </w:r>
      <w:r w:rsidDel="00000000" w:rsidR="00000000" w:rsidRPr="00000000">
        <w:rPr>
          <w:rFonts w:ascii="Palatino Linotype" w:cs="Palatino Linotype" w:eastAsia="Palatino Linotype" w:hAnsi="Palatino Linotype"/>
          <w:b w:val="1"/>
          <w:sz w:val="24"/>
          <w:szCs w:val="24"/>
          <w:rtl w:val="0"/>
        </w:rPr>
        <w:t xml:space="preserve">XXXXXXXXXXXXXXXXXXXX</w:t>
      </w:r>
      <w:r w:rsidDel="00000000" w:rsidR="00000000" w:rsidRPr="00000000">
        <w:rPr>
          <w:rFonts w:ascii="Palatino Linotype" w:cs="Palatino Linotype" w:eastAsia="Palatino Linotype" w:hAnsi="Palatino Linotype"/>
          <w:sz w:val="24"/>
          <w:szCs w:val="24"/>
          <w:rtl w:val="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000000" w:rsidDel="00000000" w:rsidP="00000000" w:rsidRDefault="00000000" w:rsidRPr="00000000" w14:paraId="0000017A">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B">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000000"/>
          <w:sz w:val="24"/>
          <w:szCs w:val="24"/>
          <w:highlight w:val="white"/>
          <w:rtl w:val="0"/>
        </w:rPr>
        <w:t xml:space="preserve">SÉPTIMO.</w:t>
      </w:r>
      <w:r w:rsidDel="00000000" w:rsidR="00000000" w:rsidRPr="00000000">
        <w:rPr>
          <w:rFonts w:ascii="Palatino Linotype" w:cs="Palatino Linotype" w:eastAsia="Palatino Linotype" w:hAnsi="Palatino Linotype"/>
          <w:color w:val="000000"/>
          <w:sz w:val="24"/>
          <w:szCs w:val="24"/>
          <w:highlight w:val="white"/>
          <w:rtl w:val="0"/>
        </w:rPr>
        <w:t xml:space="preserve"> Con fundamento en el artículo 198 de la Ley de Transparencia y Acceso a la Información Pública del Estado de México y Municipios, se apercibe al </w:t>
      </w:r>
      <w:r w:rsidDel="00000000" w:rsidR="00000000" w:rsidRPr="00000000">
        <w:rPr>
          <w:rFonts w:ascii="Palatino Linotype" w:cs="Palatino Linotype" w:eastAsia="Palatino Linotype" w:hAnsi="Palatino Linotype"/>
          <w:b w:val="1"/>
          <w:color w:val="000000"/>
          <w:sz w:val="24"/>
          <w:szCs w:val="24"/>
          <w:highlight w:val="white"/>
          <w:rtl w:val="0"/>
        </w:rPr>
        <w:t xml:space="preserve">SUJETO OBLIGADO</w:t>
      </w:r>
      <w:r w:rsidDel="00000000" w:rsidR="00000000" w:rsidRPr="00000000">
        <w:rPr>
          <w:rFonts w:ascii="Palatino Linotype" w:cs="Palatino Linotype" w:eastAsia="Palatino Linotype" w:hAnsi="Palatino Linotype"/>
          <w:color w:val="000000"/>
          <w:sz w:val="24"/>
          <w:szCs w:val="24"/>
          <w:highlight w:val="white"/>
          <w:rtl w:val="0"/>
        </w:rPr>
        <w:t xml:space="preserve"> de que, en caso de incumplimiento total o parcial de la presente resolución, se actuará de conformidad con lo dispuesto en los artículos 213, 214, 215, 216 y 217 de la ley en cita. </w:t>
      </w:r>
      <w:r w:rsidDel="00000000" w:rsidR="00000000" w:rsidRPr="00000000">
        <w:rPr>
          <w:rtl w:val="0"/>
        </w:rPr>
      </w:r>
    </w:p>
    <w:p w:rsidR="00000000" w:rsidDel="00000000" w:rsidP="00000000" w:rsidRDefault="00000000" w:rsidRPr="00000000" w14:paraId="0000017C">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D">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VEINTICINCO DE AGOSTO DE DOS MIL VEINTIUNO, ANTE EL SECRETARIO TÉCNICO DEL PLENO ALEXIS TAPIA RAMÍREZ </w:t>
      </w:r>
    </w:p>
    <w:p w:rsidR="00000000" w:rsidDel="00000000" w:rsidP="00000000" w:rsidRDefault="00000000" w:rsidRPr="00000000" w14:paraId="0000017E">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F">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0">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1">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2">
      <w:pPr>
        <w:spacing w:line="360" w:lineRule="auto"/>
        <w:ind w:right="-93"/>
        <w:jc w:val="both"/>
        <w:rPr>
          <w:rFonts w:ascii="Palatino Linotype" w:cs="Palatino Linotype" w:eastAsia="Palatino Linotype" w:hAnsi="Palatino Linotype"/>
          <w:sz w:val="24"/>
          <w:szCs w:val="24"/>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pgSz w:h="15840" w:w="12240" w:orient="portrait"/>
      <w:pgMar w:bottom="1418" w:top="80" w:left="1588" w:right="1608" w:header="709" w:footer="73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font w:name="Century Gothic">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Artículo 150. Ley de Transparencia y Acceso a la Información Pública del Estado de México y Municipios.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Artículo 151. Ibídem.</w:t>
      </w:r>
    </w:p>
  </w:footnote>
  <w:footnote w:id="1">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Fracción IV. Artículo 53. Ibídem.</w:t>
      </w:r>
    </w:p>
  </w:footnote>
  <w:footnote w:id="2">
    <w:p w:rsidR="00000000" w:rsidDel="00000000" w:rsidP="00000000" w:rsidRDefault="00000000" w:rsidRPr="00000000" w14:paraId="00000186">
      <w:pPr>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188">
      <w:pPr>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b w:val="1"/>
          <w:rtl w:val="0"/>
        </w:rPr>
        <w:t xml:space="preserve">Artículo 13. </w:t>
      </w:r>
      <w:r w:rsidDel="00000000" w:rsidR="00000000" w:rsidRPr="00000000">
        <w:rPr>
          <w:rtl w:val="0"/>
        </w:rPr>
        <w:t xml:space="preserve">El Instituto, en el ámbito de sus atribuciones, deberá suplir cualquier deficiencia para garantizar el ejercicio del derecho de acceso a la información.</w:t>
      </w:r>
    </w:p>
  </w:footnote>
  <w:footnote w:id="4">
    <w:p w:rsidR="00000000" w:rsidDel="00000000" w:rsidP="00000000" w:rsidRDefault="00000000" w:rsidRPr="00000000" w14:paraId="00000189">
      <w:pPr>
        <w:jc w:val="both"/>
        <w:rPr/>
      </w:pPr>
      <w:r w:rsidDel="00000000" w:rsidR="00000000" w:rsidRPr="00000000">
        <w:rPr>
          <w:rStyle w:val="FootnoteReference"/>
          <w:vertAlign w:val="superscript"/>
        </w:rPr>
        <w:footnoteRef/>
      </w:r>
      <w:r w:rsidDel="00000000" w:rsidR="00000000" w:rsidRPr="00000000">
        <w:rPr>
          <w:b w:val="1"/>
          <w:rtl w:val="0"/>
        </w:rPr>
        <w:t xml:space="preserve"> Artículo 181</w:t>
      </w:r>
      <w:r w:rsidDel="00000000" w:rsidR="00000000" w:rsidRPr="00000000">
        <w:rPr>
          <w:rtl w:val="0"/>
        </w:rPr>
        <w:t xml:space="preserve">. …</w:t>
      </w:r>
    </w:p>
    <w:p w:rsidR="00000000" w:rsidDel="00000000" w:rsidP="00000000" w:rsidRDefault="00000000" w:rsidRPr="00000000" w14:paraId="0000018A">
      <w:pPr>
        <w:jc w:val="both"/>
        <w:rPr/>
      </w:pPr>
      <w:r w:rsidDel="00000000" w:rsidR="00000000" w:rsidRPr="00000000">
        <w:rPr>
          <w:rtl w:val="0"/>
        </w:rPr>
        <w:t xml:space="preserve">…</w:t>
      </w:r>
    </w:p>
    <w:p w:rsidR="00000000" w:rsidDel="00000000" w:rsidP="00000000" w:rsidRDefault="00000000" w:rsidRPr="00000000" w14:paraId="0000018B">
      <w:pPr>
        <w:jc w:val="both"/>
        <w:rPr/>
      </w:pPr>
      <w:r w:rsidDel="00000000" w:rsidR="00000000" w:rsidRPr="00000000">
        <w:rPr>
          <w:rtl w:val="0"/>
        </w:rPr>
        <w:t xml:space="preserve">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5">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http://www.diputados.gob.mx/LeyesBiblio/pdf/LNEP_090518.pdf</w:t>
        </w:r>
      </w:hyperlink>
      <w:r w:rsidDel="00000000" w:rsidR="00000000" w:rsidRPr="00000000">
        <w:rPr>
          <w:rtl w:val="0"/>
        </w:rPr>
      </w:r>
    </w:p>
  </w:footnote>
  <w:footnote w:id="6">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Disponible para su consulta en </w:t>
      </w:r>
      <w:hyperlink r:id="rId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https://legislacion.edomex.gob.mx/sites/legislacion.edomex.gob.mx/files/files/pdf/gct/2017/mar146.pdf</w:t>
        </w:r>
      </w:hyperlink>
      <w:r w:rsidDel="00000000" w:rsidR="00000000" w:rsidRPr="00000000">
        <w:rPr>
          <w:rtl w:val="0"/>
        </w:rPr>
      </w:r>
    </w:p>
  </w:footnote>
  <w:footnote w:id="7">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Open Knowledge Foundation,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¿Qué son los datos abiertos?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Open Data Handbook. Recuperado de: http://opendatahandbook.org/guide/es/what-is-open-data/</w:t>
      </w:r>
    </w:p>
  </w:footnote>
  <w:footnote w:id="8">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Datos Abiertos. Comisión Intersecretarial para el Desarrollo del Gobierno Electrónico. Consultable en https://www.gob.mx/cidge/acciones-y-programas/datos-abiertos#:~:text=Los%20Datos%20Abiertos%20son%20informaci%C3%B3n,fin%20legal%20que%20se%20desee.</w:t>
      </w:r>
    </w:p>
  </w:footnote>
  <w:footnote w:id="9">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https://datos.cdmx.gob.mx/</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356.0" w:type="dxa"/>
      <w:jc w:val="left"/>
      <w:tblInd w:w="0.0" w:type="dxa"/>
      <w:tblLayout w:type="fixed"/>
      <w:tblLook w:val="0400"/>
    </w:tblPr>
    <w:tblGrid>
      <w:gridCol w:w="1843"/>
      <w:gridCol w:w="7513"/>
      <w:tblGridChange w:id="0">
        <w:tblGrid>
          <w:gridCol w:w="1843"/>
          <w:gridCol w:w="7513"/>
        </w:tblGrid>
      </w:tblGridChange>
    </w:tblGrid>
    <w:tr>
      <w:trPr>
        <w:cantSplit w:val="0"/>
        <w:trHeight w:val="1435" w:hRule="atLeast"/>
        <w:tblHeader w:val="0"/>
      </w:trPr>
      <w:tc>
        <w:tcPr>
          <w:shd w:fill="auto" w:val="clear"/>
        </w:tcPr>
        <w:p w:rsidR="00000000" w:rsidDel="00000000" w:rsidP="00000000" w:rsidRDefault="00000000" w:rsidRPr="00000000" w14:paraId="00000192">
          <w:pPr>
            <w:tabs>
              <w:tab w:val="right" w:pos="4273"/>
            </w:tabs>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 </w:t>
          </w:r>
        </w:p>
      </w:tc>
      <w:tc>
        <w:tcPr>
          <w:shd w:fill="auto" w:val="clear"/>
        </w:tcPr>
        <w:p w:rsidR="00000000" w:rsidDel="00000000" w:rsidP="00000000" w:rsidRDefault="00000000" w:rsidRPr="00000000" w14:paraId="00000193">
          <w:pPr>
            <w:rPr/>
          </w:pPr>
          <w:r w:rsidDel="00000000" w:rsidR="00000000" w:rsidRPr="00000000">
            <w:rPr>
              <w:rtl w:val="0"/>
            </w:rPr>
          </w:r>
        </w:p>
        <w:tbl>
          <w:tblPr>
            <w:tblStyle w:val="Table3"/>
            <w:tblW w:w="7095.0" w:type="dxa"/>
            <w:jc w:val="left"/>
            <w:tblInd w:w="159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4544"/>
            <w:tblGridChange w:id="0">
              <w:tblGrid>
                <w:gridCol w:w="2551"/>
                <w:gridCol w:w="4544"/>
              </w:tblGrid>
            </w:tblGridChange>
          </w:tblGrid>
          <w:tr>
            <w:trPr>
              <w:cantSplit w:val="0"/>
              <w:trHeight w:val="338" w:hRule="atLeast"/>
              <w:tblHeader w:val="0"/>
            </w:trPr>
            <w:tc>
              <w:tcPr/>
              <w:p w:rsidR="00000000" w:rsidDel="00000000" w:rsidP="00000000" w:rsidRDefault="00000000" w:rsidRPr="00000000" w14:paraId="00000194">
                <w:pPr>
                  <w:tabs>
                    <w:tab w:val="right" w:pos="8838"/>
                  </w:tabs>
                  <w:ind w:right="-105"/>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95">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p w:rsidR="00000000" w:rsidDel="00000000" w:rsidP="00000000" w:rsidRDefault="00000000" w:rsidRPr="00000000" w14:paraId="00000196">
                <w:pPr>
                  <w:tabs>
                    <w:tab w:val="right" w:pos="8838"/>
                  </w:tabs>
                  <w:ind w:right="-105" w:hanging="10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7">
                <w:pPr>
                  <w:tabs>
                    <w:tab w:val="right" w:pos="8838"/>
                  </w:tabs>
                  <w:ind w:right="-105" w:hanging="10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03423/INFOEM/IP/RR/2021 </w:t>
                </w:r>
              </w:p>
            </w:tc>
          </w:tr>
          <w:tr>
            <w:trPr>
              <w:cantSplit w:val="0"/>
              <w:trHeight w:val="283" w:hRule="atLeast"/>
              <w:tblHeader w:val="0"/>
            </w:trPr>
            <w:tc>
              <w:tcPr/>
              <w:p w:rsidR="00000000" w:rsidDel="00000000" w:rsidP="00000000" w:rsidRDefault="00000000" w:rsidRPr="00000000" w14:paraId="00000198">
                <w:pPr>
                  <w:tabs>
                    <w:tab w:val="right" w:pos="8838"/>
                  </w:tabs>
                  <w:ind w:right="-105"/>
                  <w:rPr>
                    <w:rFonts w:ascii="Palatino Linotype" w:cs="Palatino Linotype" w:eastAsia="Palatino Linotype" w:hAnsi="Palatino Linotype"/>
                    <w:b w:val="1"/>
                    <w:sz w:val="22"/>
                    <w:szCs w:val="22"/>
                  </w:rPr>
                </w:pPr>
                <w:bookmarkStart w:colFirst="0" w:colLast="0" w:name="_heading=h.z337ya" w:id="18"/>
                <w:bookmarkEnd w:id="18"/>
                <w:r w:rsidDel="00000000" w:rsidR="00000000" w:rsidRPr="00000000">
                  <w:rPr>
                    <w:rFonts w:ascii="Palatino Linotype" w:cs="Palatino Linotype" w:eastAsia="Palatino Linotype" w:hAnsi="Palatino Linotype"/>
                    <w:b w:val="1"/>
                    <w:sz w:val="22"/>
                    <w:szCs w:val="22"/>
                    <w:rtl w:val="0"/>
                  </w:rPr>
                  <w:t xml:space="preserve">Sujeto Obligado:</w:t>
                </w:r>
              </w:p>
            </w:tc>
            <w:tc>
              <w:tcPr/>
              <w:p w:rsidR="00000000" w:rsidDel="00000000" w:rsidP="00000000" w:rsidRDefault="00000000" w:rsidRPr="00000000" w14:paraId="00000199">
                <w:pPr>
                  <w:tabs>
                    <w:tab w:val="left" w:pos="2834"/>
                    <w:tab w:val="right" w:pos="8838"/>
                  </w:tabs>
                  <w:ind w:left="-11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Secretaría General de Gobierno</w:t>
                </w:r>
              </w:p>
            </w:tc>
          </w:tr>
          <w:tr>
            <w:trPr>
              <w:cantSplit w:val="0"/>
              <w:trHeight w:val="283" w:hRule="atLeast"/>
              <w:tblHeader w:val="0"/>
            </w:trPr>
            <w:tc>
              <w:tcPr/>
              <w:p w:rsidR="00000000" w:rsidDel="00000000" w:rsidP="00000000" w:rsidRDefault="00000000" w:rsidRPr="00000000" w14:paraId="0000019A">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Ponente:</w:t>
                </w:r>
              </w:p>
            </w:tc>
            <w:tc>
              <w:tcPr/>
              <w:p w:rsidR="00000000" w:rsidDel="00000000" w:rsidP="00000000" w:rsidRDefault="00000000" w:rsidRPr="00000000" w14:paraId="0000019B">
                <w:pPr>
                  <w:tabs>
                    <w:tab w:val="right" w:pos="8838"/>
                  </w:tabs>
                  <w:ind w:left="-113" w:right="-10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María del Rosario Mejía Ayala</w:t>
                </w:r>
                <w:r w:rsidDel="00000000" w:rsidR="00000000" w:rsidRPr="00000000">
                  <w:rPr>
                    <w:rtl w:val="0"/>
                  </w:rPr>
                </w:r>
              </w:p>
            </w:tc>
          </w:tr>
        </w:tbl>
        <w:p w:rsidR="00000000" w:rsidDel="00000000" w:rsidP="00000000" w:rsidRDefault="00000000" w:rsidRPr="00000000" w14:paraId="0000019C">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pict>
        <v:shape id="WordPictureWatermark527053611" style="position:absolute;margin-left:-104.3pt;margin-top:-133.1pt;width:663.5pt;height:12in;z-index:-251656192;mso-position-horizontal-relative:margin;mso-position-vertical-relative:margin;mso-position-horizontal:absolute;mso-position-vertical:absolute;" o:spid="_x0000_s2051" o:allowincell="f" type="#_x0000_t75">
          <v:imagedata r:id="rId1" o:title="marcaaguaINFOEM"/>
          <w10:wrap/>
        </v:shape>
      </w:pict>
    </w: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527053610" style="position:absolute;width:663.5pt;height:12in;z-index:-251657216;mso-position-horizontal:center;mso-position-horizontal-relative:margin;mso-position-vertical:center;mso-position-vertical-relative:margin" o:spid="_x0000_s2050" o:allowincell="f" type="#_x0000_t75">
          <v:imagedata r:id="rId2" o:title="marcaaguaINFOEM"/>
          <w10:wrap/>
        </v:shape>
      </w:pic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9498.0" w:type="dxa"/>
      <w:jc w:val="left"/>
      <w:tblInd w:w="0.0" w:type="dxa"/>
      <w:tblLayout w:type="fixed"/>
      <w:tblLook w:val="0400"/>
    </w:tblPr>
    <w:tblGrid>
      <w:gridCol w:w="1560"/>
      <w:gridCol w:w="7938"/>
      <w:tblGridChange w:id="0">
        <w:tblGrid>
          <w:gridCol w:w="1560"/>
          <w:gridCol w:w="7938"/>
        </w:tblGrid>
      </w:tblGridChange>
    </w:tblGrid>
    <w:tr>
      <w:trPr>
        <w:cantSplit w:val="0"/>
        <w:trHeight w:val="1435" w:hRule="atLeast"/>
        <w:tblHeader w:val="0"/>
      </w:trPr>
      <w:tc>
        <w:tcPr>
          <w:shd w:fill="auto" w:val="clear"/>
        </w:tcPr>
        <w:p w:rsidR="00000000" w:rsidDel="00000000" w:rsidP="00000000" w:rsidRDefault="00000000" w:rsidRPr="00000000" w14:paraId="000001A2">
          <w:pPr>
            <w:tabs>
              <w:tab w:val="right" w:pos="4273"/>
            </w:tabs>
            <w:rPr>
              <w:rFonts w:ascii="Garamond" w:cs="Garamond" w:eastAsia="Garamond" w:hAnsi="Garamond"/>
              <w:sz w:val="22"/>
              <w:szCs w:val="22"/>
            </w:rPr>
          </w:pPr>
          <w:r w:rsidDel="00000000" w:rsidR="00000000" w:rsidRPr="00000000">
            <w:rPr>
              <w:rtl w:val="0"/>
            </w:rPr>
          </w:r>
        </w:p>
      </w:tc>
      <w:tc>
        <w:tcPr>
          <w:shd w:fill="auto" w:val="cle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2"/>
              <w:szCs w:val="22"/>
            </w:rPr>
          </w:pPr>
          <w:r w:rsidDel="00000000" w:rsidR="00000000" w:rsidRPr="00000000">
            <w:rPr>
              <w:rtl w:val="0"/>
            </w:rPr>
          </w:r>
        </w:p>
        <w:tbl>
          <w:tblPr>
            <w:tblStyle w:val="Table5"/>
            <w:tblW w:w="10492.0" w:type="dxa"/>
            <w:jc w:val="left"/>
            <w:tblInd w:w="18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44"/>
            <w:gridCol w:w="4646"/>
            <w:gridCol w:w="3402"/>
            <w:tblGridChange w:id="0">
              <w:tblGrid>
                <w:gridCol w:w="2444"/>
                <w:gridCol w:w="4646"/>
                <w:gridCol w:w="3402"/>
              </w:tblGrid>
            </w:tblGridChange>
          </w:tblGrid>
          <w:tr>
            <w:trPr>
              <w:cantSplit w:val="0"/>
              <w:trHeight w:val="144" w:hRule="atLeast"/>
              <w:tblHeader w:val="0"/>
            </w:trPr>
            <w:tc>
              <w:tcPr/>
              <w:p w:rsidR="00000000" w:rsidDel="00000000" w:rsidP="00000000" w:rsidRDefault="00000000" w:rsidRPr="00000000" w14:paraId="000001A4">
                <w:pPr>
                  <w:tabs>
                    <w:tab w:val="right" w:pos="8838"/>
                  </w:tabs>
                  <w:ind w:left="-74" w:right="-105" w:firstLine="0"/>
                  <w:rPr>
                    <w:rFonts w:ascii="Palatino Linotype" w:cs="Palatino Linotype" w:eastAsia="Palatino Linotype" w:hAnsi="Palatino Linotype"/>
                    <w:b w:val="1"/>
                    <w:sz w:val="22"/>
                    <w:szCs w:val="22"/>
                  </w:rPr>
                </w:pPr>
                <w:bookmarkStart w:colFirst="0" w:colLast="0" w:name="_heading=h.3j2qqm3" w:id="19"/>
                <w:bookmarkEnd w:id="19"/>
                <w:r w:rsidDel="00000000" w:rsidR="00000000" w:rsidRPr="00000000">
                  <w:rPr>
                    <w:rFonts w:ascii="Palatino Linotype" w:cs="Palatino Linotype" w:eastAsia="Palatino Linotype" w:hAnsi="Palatino Linotype"/>
                    <w:b w:val="1"/>
                    <w:sz w:val="22"/>
                    <w:szCs w:val="22"/>
                    <w:rtl w:val="0"/>
                  </w:rPr>
                  <w:t xml:space="preserve">Recurso de Revisión:</w:t>
                </w:r>
              </w:p>
            </w:tc>
            <w:tc>
              <w:tcPr/>
              <w:p w:rsidR="00000000" w:rsidDel="00000000" w:rsidP="00000000" w:rsidRDefault="00000000" w:rsidRPr="00000000" w14:paraId="000001A5">
                <w:pPr>
                  <w:tabs>
                    <w:tab w:val="right" w:pos="8838"/>
                  </w:tabs>
                  <w:ind w:left="-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03423/INFOEM/IP/RR/2021</w:t>
                </w:r>
              </w:p>
            </w:tc>
            <w:tc>
              <w:tcPr/>
              <w:p w:rsidR="00000000" w:rsidDel="00000000" w:rsidP="00000000" w:rsidRDefault="00000000" w:rsidRPr="00000000" w14:paraId="000001A6">
                <w:pPr>
                  <w:tabs>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1A7">
                <w:pPr>
                  <w:tabs>
                    <w:tab w:val="right" w:pos="8838"/>
                  </w:tabs>
                  <w:ind w:left="-74" w:right="-105" w:firstLine="0"/>
                  <w:rPr>
                    <w:rFonts w:ascii="Palatino Linotype" w:cs="Palatino Linotype" w:eastAsia="Palatino Linotype" w:hAnsi="Palatino Linotype"/>
                    <w:b w:val="1"/>
                    <w:sz w:val="22"/>
                    <w:szCs w:val="22"/>
                  </w:rPr>
                </w:pPr>
                <w:bookmarkStart w:colFirst="0" w:colLast="0" w:name="_heading=h.1y810tw" w:id="20"/>
                <w:bookmarkEnd w:id="20"/>
                <w:r w:rsidDel="00000000" w:rsidR="00000000" w:rsidRPr="00000000">
                  <w:rPr>
                    <w:rFonts w:ascii="Palatino Linotype" w:cs="Palatino Linotype" w:eastAsia="Palatino Linotype" w:hAnsi="Palatino Linotype"/>
                    <w:b w:val="1"/>
                    <w:sz w:val="22"/>
                    <w:szCs w:val="22"/>
                    <w:rtl w:val="0"/>
                  </w:rPr>
                  <w:t xml:space="preserve">Recurrente:</w:t>
                </w:r>
              </w:p>
            </w:tc>
            <w:tc>
              <w:tcPr/>
              <w:p w:rsidR="00000000" w:rsidDel="00000000" w:rsidP="00000000" w:rsidRDefault="00000000" w:rsidRPr="00000000" w14:paraId="000001A8">
                <w:pPr>
                  <w:tabs>
                    <w:tab w:val="left" w:pos="3122"/>
                    <w:tab w:val="right" w:pos="8838"/>
                  </w:tabs>
                  <w:ind w:right="145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XXXXXXXXXXXXXXXXXXXXXXXXXX</w:t>
                </w:r>
              </w:p>
            </w:tc>
            <w:tc>
              <w:tcPr/>
              <w:p w:rsidR="00000000" w:rsidDel="00000000" w:rsidP="00000000" w:rsidRDefault="00000000" w:rsidRPr="00000000" w14:paraId="000001A9">
                <w:pPr>
                  <w:tabs>
                    <w:tab w:val="left" w:pos="3122"/>
                    <w:tab w:val="right" w:pos="8838"/>
                  </w:tabs>
                  <w:ind w:right="-105"/>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AA">
                <w:pPr>
                  <w:tabs>
                    <w:tab w:val="right" w:pos="8838"/>
                  </w:tabs>
                  <w:ind w:left="-74" w:right="-10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p w:rsidR="00000000" w:rsidDel="00000000" w:rsidP="00000000" w:rsidRDefault="00000000" w:rsidRPr="00000000" w14:paraId="000001AB">
                <w:pPr>
                  <w:tabs>
                    <w:tab w:val="left" w:pos="2834"/>
                    <w:tab w:val="right" w:pos="8838"/>
                  </w:tabs>
                  <w:ind w:left="-3" w:right="131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Secretaría General de Gobierno</w:t>
                </w:r>
                <w:r w:rsidDel="00000000" w:rsidR="00000000" w:rsidRPr="00000000">
                  <w:rPr>
                    <w:rtl w:val="0"/>
                  </w:rPr>
                </w:r>
              </w:p>
            </w:tc>
            <w:tc>
              <w:tcPr/>
              <w:p w:rsidR="00000000" w:rsidDel="00000000" w:rsidP="00000000" w:rsidRDefault="00000000" w:rsidRPr="00000000" w14:paraId="000001AC">
                <w:pPr>
                  <w:tabs>
                    <w:tab w:val="left" w:pos="2834"/>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AD">
                <w:pPr>
                  <w:tabs>
                    <w:tab w:val="right" w:pos="8838"/>
                  </w:tabs>
                  <w:ind w:left="-74" w:right="-10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Ponente:</w:t>
                </w:r>
              </w:p>
            </w:tc>
            <w:tc>
              <w:tcPr/>
              <w:p w:rsidR="00000000" w:rsidDel="00000000" w:rsidP="00000000" w:rsidRDefault="00000000" w:rsidRPr="00000000" w14:paraId="000001AE">
                <w:pPr>
                  <w:tabs>
                    <w:tab w:val="right" w:pos="8838"/>
                  </w:tabs>
                  <w:ind w:left="-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María del Rosario Mejía Ayala</w:t>
                </w:r>
              </w:p>
            </w:tc>
            <w:tc>
              <w:tcPr/>
              <w:p w:rsidR="00000000" w:rsidDel="00000000" w:rsidP="00000000" w:rsidRDefault="00000000" w:rsidRPr="00000000" w14:paraId="000001AF">
                <w:pPr>
                  <w:tabs>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1B0">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center" w:pos="452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pict>
        <v:shape id="WordPictureWatermark527053609" style="position:absolute;margin-left:-105.8pt;margin-top:-134.3pt;width:663.5pt;height:12in;z-index:-251658240;mso-position-horizontal-relative:margin;mso-position-vertical-relative:margin;mso-position-horizontal:absolute;mso-position-vertical:absolute;" o:spid="_x0000_s2049" o:allowincell="f" type="#_x0000_t75">
          <v:imagedata r:id="rId3" o:title="marcaaguaINFOEM"/>
          <w10:wrap/>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2"/>
      <w:numFmt w:val="bullet"/>
      <w:lvlText w:val="-"/>
      <w:lvlJc w:val="left"/>
      <w:pPr>
        <w:ind w:left="720" w:hanging="360"/>
      </w:pPr>
      <w:rPr>
        <w:rFonts w:ascii="Palatino Linotype" w:cs="Palatino Linotype" w:eastAsia="Palatino Linotype" w:hAnsi="Palatino Linotype"/>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4330" w:hanging="360"/>
      </w:pPr>
      <w:rPr>
        <w:rFonts w:ascii="Palatino Linotype" w:cs="Palatino Linotype" w:eastAsia="Palatino Linotype" w:hAnsi="Palatino Linotype"/>
        <w:b w:val="1"/>
        <w:i w:val="0"/>
        <w:color w:val="000000"/>
        <w:sz w:val="24"/>
        <w:szCs w:val="24"/>
      </w:rPr>
    </w:lvl>
    <w:lvl w:ilvl="1">
      <w:start w:val="1"/>
      <w:numFmt w:val="upperRoman"/>
      <w:lvlText w:val="%2."/>
      <w:lvlJc w:val="left"/>
      <w:pPr>
        <w:ind w:left="1800" w:hanging="720"/>
      </w:pPr>
      <w:rPr>
        <w:rFonts w:ascii="Palatino Linotype" w:cs="Palatino Linotype" w:eastAsia="Palatino Linotype" w:hAnsi="Palatino Linotype"/>
        <w:b w:val="1"/>
        <w:color w:val="000000"/>
      </w:rPr>
    </w:lvl>
    <w:lvl w:ilvl="2">
      <w:start w:val="4"/>
      <w:numFmt w:val="lowerRoman"/>
      <w:lvlText w:val="%3."/>
      <w:lvlJc w:val="right"/>
      <w:pPr>
        <w:ind w:left="2160" w:hanging="180"/>
      </w:pPr>
      <w:rPr/>
    </w:lvl>
    <w:lvl w:ilvl="3">
      <w:start w:val="1"/>
      <w:numFmt w:val="lowerLetter"/>
      <w:lvlText w:val="%4)"/>
      <w:lvlJc w:val="left"/>
      <w:pPr>
        <w:ind w:left="2880" w:hanging="360"/>
      </w:pPr>
      <w:rPr/>
    </w:lvl>
    <w:lvl w:ilvl="4">
      <w:start w:val="104"/>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pPr>
      <w:spacing w:after="0" w:line="240" w:lineRule="auto"/>
    </w:pPr>
    <w:rPr>
      <w:rFonts w:eastAsia="Times New Roman"/>
      <w:lang w:eastAsia="es-ES"/>
    </w:rPr>
  </w:style>
  <w:style w:type="paragraph" w:styleId="Ttulo1">
    <w:name w:val="heading 1"/>
    <w:basedOn w:val="Normal"/>
    <w:next w:val="Normal"/>
    <w:link w:val="Ttulo1Car"/>
    <w:uiPriority w:val="9"/>
    <w:qFormat w:val="1"/>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8E6432"/>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unhideWhenUsed w:val="1"/>
    <w:qFormat w:val="1"/>
    <w:rsid w:val="008E6432"/>
    <w:pPr>
      <w:keepNext w:val="1"/>
      <w:keepLines w:val="1"/>
      <w:spacing w:before="40"/>
      <w:outlineLvl w:val="2"/>
    </w:pPr>
    <w:rPr>
      <w:rFonts w:asciiTheme="majorHAnsi" w:cstheme="majorBidi" w:eastAsiaTheme="majorEastAsia" w:hAnsiTheme="majorHAnsi"/>
      <w:color w:val="1f3763" w:themeColor="accent1" w:themeShade="00007F"/>
      <w:sz w:val="24"/>
      <w:szCs w:val="24"/>
      <w:lang w:val="es-ES_tradnl"/>
    </w:rPr>
  </w:style>
  <w:style w:type="paragraph" w:styleId="Ttulo4">
    <w:name w:val="heading 4"/>
    <w:basedOn w:val="Normal"/>
    <w:next w:val="Normal"/>
    <w:link w:val="Ttulo4Car"/>
    <w:uiPriority w:val="9"/>
    <w:unhideWhenUsed w:val="1"/>
    <w:qFormat w:val="1"/>
    <w:rsid w:val="008E6432"/>
    <w:pPr>
      <w:keepNext w:val="1"/>
      <w:keepLines w:val="1"/>
      <w:spacing w:before="40"/>
      <w:outlineLvl w:val="3"/>
    </w:pPr>
    <w:rPr>
      <w:rFonts w:asciiTheme="majorHAnsi" w:cstheme="majorBidi" w:eastAsiaTheme="majorEastAsia" w:hAnsiTheme="majorHAnsi"/>
      <w:i w:val="1"/>
      <w:iCs w:val="1"/>
      <w:color w:val="2f5496" w:themeColor="accent1" w:themeShade="0000BF"/>
      <w:sz w:val="24"/>
      <w:szCs w:val="24"/>
      <w:lang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val="1"/>
    <w:unhideWhenUsed w:val="1"/>
    <w:qFormat w:val="1"/>
    <w:rPr>
      <w:b w:val="1"/>
      <w:bCs w:val="1"/>
    </w:rPr>
  </w:style>
  <w:style w:type="paragraph" w:styleId="Textocomentario">
    <w:name w:val="annotation text"/>
    <w:basedOn w:val="Normal"/>
    <w:link w:val="TextocomentarioCar"/>
    <w:uiPriority w:val="99"/>
    <w:semiHidden w:val="1"/>
    <w:unhideWhenUsed w:val="1"/>
  </w:style>
  <w:style w:type="paragraph" w:styleId="Textodeglobo">
    <w:name w:val="Balloon Text"/>
    <w:basedOn w:val="Normal"/>
    <w:link w:val="TextodegloboCar"/>
    <w:uiPriority w:val="99"/>
    <w:semiHidden w:val="1"/>
    <w:unhideWhenUsed w:val="1"/>
    <w:qFormat w:val="1"/>
    <w:rPr>
      <w:rFonts w:ascii="Segoe UI" w:cs="Segoe UI" w:hAnsi="Segoe UI"/>
      <w:sz w:val="18"/>
      <w:szCs w:val="18"/>
    </w:rPr>
  </w:style>
  <w:style w:type="paragraph" w:styleId="Lista3">
    <w:name w:val="List 3"/>
    <w:basedOn w:val="Normal"/>
    <w:uiPriority w:val="99"/>
    <w:unhideWhenUsed w:val="1"/>
    <w:qFormat w:val="1"/>
    <w:pPr>
      <w:ind w:left="849" w:hanging="283"/>
      <w:contextualSpacing w:val="1"/>
    </w:pPr>
  </w:style>
  <w:style w:type="paragraph" w:styleId="Encabezado">
    <w:name w:val="header"/>
    <w:basedOn w:val="Normal"/>
    <w:link w:val="EncabezadoCar"/>
    <w:uiPriority w:val="99"/>
    <w:unhideWhenUsed w:val="1"/>
    <w:qFormat w:val="1"/>
    <w:pPr>
      <w:tabs>
        <w:tab w:val="center" w:pos="4419"/>
        <w:tab w:val="right" w:pos="8838"/>
      </w:tabs>
    </w:pPr>
  </w:style>
  <w:style w:type="paragraph" w:styleId="HTMLconformatoprevio">
    <w:name w:val="HTML Preformatted"/>
    <w:basedOn w:val="Normal"/>
    <w:link w:val="HTMLconformatoprevioCar"/>
    <w:uiPriority w:val="99"/>
    <w:semiHidden w:val="1"/>
    <w:unhideWhenUsed w:val="1"/>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lang w:eastAsia="es-MX"/>
    </w:rPr>
  </w:style>
  <w:style w:type="paragraph" w:styleId="Sangradetextonormal">
    <w:name w:val="Body Text Indent"/>
    <w:basedOn w:val="Normal"/>
    <w:link w:val="SangradetextonormalCar"/>
    <w:uiPriority w:val="99"/>
    <w:unhideWhenUsed w:val="1"/>
    <w:qFormat w:val="1"/>
    <w:pPr>
      <w:spacing w:after="120"/>
      <w:ind w:left="283"/>
    </w:pPr>
  </w:style>
  <w:style w:type="paragraph" w:styleId="Lista2">
    <w:name w:val="List 2"/>
    <w:basedOn w:val="Normal"/>
    <w:uiPriority w:val="99"/>
    <w:unhideWhenUsed w:val="1"/>
    <w:qFormat w:val="1"/>
    <w:pPr>
      <w:ind w:left="566" w:hanging="283"/>
      <w:contextualSpacing w:val="1"/>
    </w:pPr>
  </w:style>
  <w:style w:type="paragraph" w:styleId="Lista">
    <w:name w:val="List"/>
    <w:basedOn w:val="Normal"/>
    <w:uiPriority w:val="99"/>
    <w:unhideWhenUsed w:val="1"/>
    <w:qFormat w:val="1"/>
    <w:pPr>
      <w:ind w:left="283" w:hanging="283"/>
      <w:contextualSpacing w:val="1"/>
    </w:pPr>
  </w:style>
  <w:style w:type="paragraph" w:styleId="Lista4">
    <w:name w:val="List 4"/>
    <w:basedOn w:val="Normal"/>
    <w:uiPriority w:val="99"/>
    <w:unhideWhenUsed w:val="1"/>
    <w:qFormat w:val="1"/>
    <w:pPr>
      <w:ind w:left="1132" w:hanging="283"/>
      <w:contextualSpacing w:val="1"/>
    </w:pPr>
  </w:style>
  <w:style w:type="paragraph" w:styleId="Listaconvietas2">
    <w:name w:val="List Bullet 2"/>
    <w:basedOn w:val="Normal"/>
    <w:uiPriority w:val="99"/>
    <w:unhideWhenUsed w:val="1"/>
    <w:qFormat w:val="1"/>
    <w:pPr>
      <w:numPr>
        <w:numId w:val="1"/>
      </w:numPr>
      <w:contextualSpacing w:val="1"/>
    </w:pPr>
  </w:style>
  <w:style w:type="paragraph" w:styleId="Piedepgina">
    <w:name w:val="footer"/>
    <w:basedOn w:val="Normal"/>
    <w:link w:val="PiedepginaCar"/>
    <w:uiPriority w:val="99"/>
    <w:unhideWhenUsed w:val="1"/>
    <w:qFormat w:val="1"/>
    <w:pPr>
      <w:tabs>
        <w:tab w:val="center" w:pos="4419"/>
        <w:tab w:val="right" w:pos="8838"/>
      </w:tabs>
    </w:pPr>
  </w:style>
  <w:style w:type="paragraph" w:styleId="Saludo">
    <w:name w:val="Salutation"/>
    <w:basedOn w:val="Normal"/>
    <w:next w:val="Normal"/>
    <w:link w:val="SaludoCar"/>
    <w:uiPriority w:val="99"/>
    <w:unhideWhenUsed w:val="1"/>
    <w:qFormat w:val="1"/>
  </w:style>
  <w:style w:type="paragraph" w:styleId="Textoindependiente">
    <w:name w:val="Body Text"/>
    <w:basedOn w:val="Normal"/>
    <w:link w:val="TextoindependienteCar"/>
    <w:uiPriority w:val="99"/>
    <w:unhideWhenUsed w:val="1"/>
    <w:qFormat w:val="1"/>
    <w:pPr>
      <w:spacing w:after="120"/>
    </w:pPr>
  </w:style>
  <w:style w:type="paragraph" w:styleId="Textoindependienteprimerasangra2">
    <w:name w:val="Body Text First Indent 2"/>
    <w:basedOn w:val="Sangradetextonormal"/>
    <w:link w:val="Textoindependienteprimerasangra2Car"/>
    <w:uiPriority w:val="99"/>
    <w:unhideWhenUsed w:val="1"/>
    <w:qFormat w:val="1"/>
    <w:pPr>
      <w:spacing w:after="0"/>
      <w:ind w:left="360" w:firstLine="360"/>
    </w:pPr>
  </w:style>
  <w:style w:type="paragraph" w:styleId="Puesto">
    <w:name w:val="Title"/>
    <w:basedOn w:val="Normal"/>
    <w:next w:val="Normal"/>
    <w:link w:val="PuestoCar"/>
    <w:uiPriority w:val="10"/>
    <w:qFormat w:val="1"/>
    <w:pPr>
      <w:contextualSpacing w:val="1"/>
    </w:pPr>
    <w:rPr>
      <w:rFonts w:asciiTheme="majorHAnsi" w:cstheme="majorBidi" w:eastAsiaTheme="majorEastAsia" w:hAnsiTheme="majorHAnsi"/>
      <w:spacing w:val="-10"/>
      <w:kern w:val="28"/>
      <w:sz w:val="56"/>
      <w:szCs w:val="56"/>
    </w:rPr>
  </w:style>
  <w:style w:type="character" w:styleId="Refdecomentario">
    <w:name w:val="annotation reference"/>
    <w:basedOn w:val="Fuentedeprrafopredeter"/>
    <w:uiPriority w:val="99"/>
    <w:semiHidden w:val="1"/>
    <w:unhideWhenUsed w:val="1"/>
    <w:qFormat w:val="1"/>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qFormat w:val="1"/>
    <w:rPr>
      <w:color w:val="0563c1" w:themeColor="hyperlink"/>
      <w:u w:val="single"/>
    </w:rPr>
  </w:style>
  <w:style w:type="character" w:styleId="Hipervnculovisitado">
    <w:name w:val="FollowedHyperlink"/>
    <w:basedOn w:val="Fuentedeprrafopredeter"/>
    <w:uiPriority w:val="99"/>
    <w:semiHidden w:val="1"/>
    <w:unhideWhenUsed w:val="1"/>
    <w:qFormat w:val="1"/>
    <w:rPr>
      <w:color w:val="954f72" w:themeColor="followedHyperlink"/>
      <w:u w:val="single"/>
    </w:rPr>
  </w:style>
  <w:style w:type="character" w:styleId="Textoennegrita">
    <w:name w:val="Strong"/>
    <w:qFormat w:val="1"/>
    <w:rPr>
      <w:b w:val="1"/>
      <w:bCs w:val="1"/>
    </w:rPr>
  </w:style>
  <w:style w:type="table" w:styleId="Tablaconcuadrcula">
    <w:name w:val="Table Grid"/>
    <w:basedOn w:val="Tablanormal"/>
    <w:uiPriority w:val="39"/>
    <w:qFormat w:val="1"/>
    <w:pPr>
      <w:spacing w:after="0" w:line="240" w:lineRule="auto"/>
    </w:pPr>
    <w:rPr>
      <w:lang w:val="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1Car" w:customStyle="1">
    <w:name w:val="Título 1 Car"/>
    <w:basedOn w:val="Fuentedeprrafopredeter"/>
    <w:link w:val="Ttulo1"/>
    <w:uiPriority w:val="9"/>
    <w:rPr>
      <w:rFonts w:asciiTheme="majorHAnsi" w:cstheme="majorBidi" w:eastAsiaTheme="majorEastAsia" w:hAnsiTheme="majorHAnsi"/>
      <w:color w:val="2f5496" w:themeColor="accent1" w:themeShade="0000BF"/>
      <w:sz w:val="32"/>
      <w:szCs w:val="32"/>
      <w:lang w:eastAsia="es-ES" w:val="es-ES"/>
    </w:rPr>
  </w:style>
  <w:style w:type="character" w:styleId="EncabezadoCar" w:customStyle="1">
    <w:name w:val="Encabezado Car"/>
    <w:basedOn w:val="Fuentedeprrafopredeter"/>
    <w:link w:val="Encabezado"/>
    <w:uiPriority w:val="99"/>
    <w:qFormat w:val="1"/>
    <w:rPr>
      <w:rFonts w:ascii="Times New Roman" w:cs="Times New Roman" w:eastAsia="Times New Roman" w:hAnsi="Times New Roman"/>
      <w:sz w:val="20"/>
      <w:szCs w:val="20"/>
      <w:lang w:eastAsia="es-ES" w:val="es-ES"/>
    </w:rPr>
  </w:style>
  <w:style w:type="character" w:styleId="PiedepginaCar" w:customStyle="1">
    <w:name w:val="Pie de página Car"/>
    <w:basedOn w:val="Fuentedeprrafopredeter"/>
    <w:link w:val="Piedepgina"/>
    <w:uiPriority w:val="99"/>
    <w:qFormat w:val="1"/>
    <w:rPr>
      <w:rFonts w:ascii="Times New Roman" w:cs="Times New Roman" w:eastAsia="Times New Roman" w:hAnsi="Times New Roman"/>
      <w:sz w:val="20"/>
      <w:szCs w:val="20"/>
      <w:lang w:eastAsia="es-ES"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pPr>
      <w:ind w:left="720"/>
      <w:contextualSpacing w:val="1"/>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rPr>
      <w:rFonts w:ascii="Century Gothic" w:cs="Times New Roman" w:eastAsia="Times New Roman" w:hAnsi="Century Gothic"/>
      <w:szCs w:val="24"/>
      <w:lang w:eastAsia="es-E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cs="Times New Roman" w:eastAsia="Calibri" w:hAnsi="Calibri"/>
      <w:sz w:val="20"/>
      <w:szCs w:val="20"/>
    </w:rPr>
  </w:style>
  <w:style w:type="character" w:styleId="TextodegloboCar" w:customStyle="1">
    <w:name w:val="Texto de globo Car"/>
    <w:basedOn w:val="Fuentedeprrafopredeter"/>
    <w:link w:val="Textodeglobo"/>
    <w:uiPriority w:val="99"/>
    <w:semiHidden w:val="1"/>
    <w:qFormat w:val="1"/>
    <w:rPr>
      <w:rFonts w:ascii="Segoe UI" w:cs="Segoe UI" w:eastAsia="Times New Roman" w:hAnsi="Segoe UI"/>
      <w:sz w:val="18"/>
      <w:szCs w:val="18"/>
      <w:lang w:eastAsia="es-ES" w:val="es-ES"/>
    </w:rPr>
  </w:style>
  <w:style w:type="character" w:styleId="TextocomentarioCar" w:customStyle="1">
    <w:name w:val="Texto comentario Car"/>
    <w:basedOn w:val="Fuentedeprrafopredeter"/>
    <w:link w:val="Textocomentario"/>
    <w:uiPriority w:val="99"/>
    <w:semiHidden w:val="1"/>
    <w:qFormat w:val="1"/>
    <w:rPr>
      <w:rFonts w:ascii="Times New Roman" w:cs="Times New Roman" w:eastAsia="Times New Roman" w:hAnsi="Times New Roman"/>
      <w:sz w:val="20"/>
      <w:szCs w:val="20"/>
      <w:lang w:eastAsia="es-ES" w:val="es-ES"/>
    </w:rPr>
  </w:style>
  <w:style w:type="character" w:styleId="AsuntodelcomentarioCar" w:customStyle="1">
    <w:name w:val="Asunto del comentario Car"/>
    <w:basedOn w:val="TextocomentarioCar"/>
    <w:link w:val="Asuntodelcomentario"/>
    <w:uiPriority w:val="99"/>
    <w:semiHidden w:val="1"/>
    <w:qFormat w:val="1"/>
    <w:rPr>
      <w:rFonts w:ascii="Times New Roman" w:cs="Times New Roman" w:eastAsia="Times New Roman" w:hAnsi="Times New Roman"/>
      <w:b w:val="1"/>
      <w:bCs w:val="1"/>
      <w:sz w:val="20"/>
      <w:szCs w:val="20"/>
      <w:lang w:eastAsia="es-ES" w:val="es-ES"/>
    </w:rPr>
  </w:style>
  <w:style w:type="character" w:styleId="Mencionar1" w:customStyle="1">
    <w:name w:val="Mencionar1"/>
    <w:basedOn w:val="Fuentedeprrafopredeter"/>
    <w:uiPriority w:val="99"/>
    <w:semiHidden w:val="1"/>
    <w:unhideWhenUsed w:val="1"/>
    <w:qFormat w:val="1"/>
    <w:rPr>
      <w:color w:val="2b579a"/>
      <w:shd w:color="auto" w:fill="e6e6e6" w:val="clear"/>
    </w:rPr>
  </w:style>
  <w:style w:type="character" w:styleId="Mencionar2" w:customStyle="1">
    <w:name w:val="Mencionar2"/>
    <w:basedOn w:val="Fuentedeprrafopredeter"/>
    <w:uiPriority w:val="99"/>
    <w:semiHidden w:val="1"/>
    <w:unhideWhenUsed w:val="1"/>
    <w:qFormat w:val="1"/>
    <w:rPr>
      <w:color w:val="2b579a"/>
      <w:shd w:color="auto" w:fill="e6e6e6" w:val="clear"/>
    </w:rPr>
  </w:style>
  <w:style w:type="character" w:styleId="maestrofonttexto" w:customStyle="1">
    <w:name w:val="maestro_fonttexto"/>
    <w:basedOn w:val="Fuentedeprrafopredeter"/>
    <w:qFormat w:val="1"/>
  </w:style>
  <w:style w:type="character" w:styleId="HTMLconformatoprevioCar" w:customStyle="1">
    <w:name w:val="HTML con formato previo Car"/>
    <w:basedOn w:val="Fuentedeprrafopredeter"/>
    <w:link w:val="HTMLconformatoprevio"/>
    <w:uiPriority w:val="99"/>
    <w:semiHidden w:val="1"/>
    <w:qFormat w:val="1"/>
    <w:rPr>
      <w:rFonts w:ascii="Courier New" w:cs="Courier New" w:eastAsia="Times New Roman" w:hAnsi="Courier New"/>
      <w:sz w:val="20"/>
      <w:szCs w:val="20"/>
      <w:lang w:eastAsia="es-MX"/>
    </w:rPr>
  </w:style>
  <w:style w:type="paragraph" w:styleId="Default" w:customStyle="1">
    <w:name w:val="Default"/>
    <w:qFormat w:val="1"/>
    <w:pPr>
      <w:autoSpaceDE w:val="0"/>
      <w:autoSpaceDN w:val="0"/>
      <w:adjustRightInd w:val="0"/>
      <w:spacing w:after="0" w:line="240" w:lineRule="auto"/>
    </w:pPr>
    <w:rPr>
      <w:rFonts w:ascii="Arial" w:cs="Arial" w:hAnsi="Arial" w:eastAsiaTheme="minorHAnsi"/>
      <w:color w:val="000000"/>
      <w:sz w:val="24"/>
      <w:szCs w:val="24"/>
      <w:lang w:eastAsia="en-US"/>
    </w:rPr>
  </w:style>
  <w:style w:type="character" w:styleId="CharacterStyle1" w:customStyle="1">
    <w:name w:val="Character Style 1"/>
    <w:uiPriority w:val="99"/>
    <w:qFormat w:val="1"/>
    <w:rPr>
      <w:sz w:val="20"/>
      <w:szCs w:val="20"/>
    </w:rPr>
  </w:style>
  <w:style w:type="paragraph" w:styleId="Estilo1" w:customStyle="1">
    <w:name w:val="Estilo1"/>
    <w:basedOn w:val="Textoindependiente"/>
    <w:qFormat w:val="1"/>
  </w:style>
  <w:style w:type="character" w:styleId="TextoindependienteCar" w:customStyle="1">
    <w:name w:val="Texto independiente Car"/>
    <w:basedOn w:val="Fuentedeprrafopredeter"/>
    <w:link w:val="Textoindependiente"/>
    <w:uiPriority w:val="99"/>
    <w:qFormat w:val="1"/>
    <w:rPr>
      <w:rFonts w:ascii="Times New Roman" w:cs="Times New Roman" w:eastAsia="Times New Roman" w:hAnsi="Times New Roman"/>
      <w:sz w:val="20"/>
      <w:szCs w:val="20"/>
      <w:lang w:eastAsia="es-ES" w:val="es-ES"/>
    </w:rPr>
  </w:style>
  <w:style w:type="paragraph" w:styleId="Sinespaciado">
    <w:name w:val="No Spacing"/>
    <w:aliases w:val="Francesa,INAI"/>
    <w:link w:val="SinespaciadoCar"/>
    <w:qFormat w:val="1"/>
    <w:pPr>
      <w:spacing w:after="0" w:line="240" w:lineRule="auto"/>
      <w:ind w:left="567" w:right="567"/>
      <w:jc w:val="both"/>
    </w:pPr>
    <w:rPr>
      <w:rFonts w:ascii="Arial" w:eastAsia="Batang" w:hAnsi="Arial"/>
      <w:szCs w:val="24"/>
      <w:lang w:eastAsia="es-ES"/>
    </w:rPr>
  </w:style>
  <w:style w:type="character" w:styleId="SinespaciadoCar" w:customStyle="1">
    <w:name w:val="Sin espaciado Car"/>
    <w:aliases w:val="Francesa Car,INAI Car"/>
    <w:basedOn w:val="Fuentedeprrafopredeter"/>
    <w:link w:val="Sinespaciado"/>
    <w:uiPriority w:val="1"/>
    <w:qFormat w:val="1"/>
    <w:rPr>
      <w:rFonts w:ascii="Arial" w:cs="Times New Roman" w:eastAsia="Batang" w:hAnsi="Arial"/>
      <w:sz w:val="20"/>
      <w:szCs w:val="24"/>
      <w:lang w:eastAsia="es-ES"/>
    </w:rPr>
  </w:style>
  <w:style w:type="character" w:styleId="SaludoCar" w:customStyle="1">
    <w:name w:val="Saludo Car"/>
    <w:basedOn w:val="Fuentedeprrafopredeter"/>
    <w:link w:val="Saludo"/>
    <w:uiPriority w:val="99"/>
    <w:qFormat w:val="1"/>
    <w:rPr>
      <w:rFonts w:ascii="Times New Roman" w:cs="Times New Roman" w:eastAsia="Times New Roman" w:hAnsi="Times New Roman"/>
      <w:sz w:val="20"/>
      <w:szCs w:val="20"/>
      <w:lang w:eastAsia="es-ES" w:val="es-ES"/>
    </w:rPr>
  </w:style>
  <w:style w:type="character" w:styleId="PuestoCar" w:customStyle="1">
    <w:name w:val="Puesto Car"/>
    <w:basedOn w:val="Fuentedeprrafopredeter"/>
    <w:link w:val="Puesto"/>
    <w:uiPriority w:val="10"/>
    <w:qFormat w:val="1"/>
    <w:rPr>
      <w:rFonts w:asciiTheme="majorHAnsi" w:cstheme="majorBidi" w:eastAsiaTheme="majorEastAsia" w:hAnsiTheme="majorHAnsi"/>
      <w:spacing w:val="-10"/>
      <w:kern w:val="28"/>
      <w:sz w:val="56"/>
      <w:szCs w:val="56"/>
      <w:lang w:eastAsia="es-ES" w:val="es-ES"/>
    </w:rPr>
  </w:style>
  <w:style w:type="character" w:styleId="SangradetextonormalCar" w:customStyle="1">
    <w:name w:val="Sangría de texto normal Car"/>
    <w:basedOn w:val="Fuentedeprrafopredeter"/>
    <w:link w:val="Sangradetextonormal"/>
    <w:uiPriority w:val="99"/>
    <w:qFormat w:val="1"/>
    <w:rPr>
      <w:rFonts w:ascii="Times New Roman" w:cs="Times New Roman" w:eastAsia="Times New Roman" w:hAnsi="Times New Roman"/>
      <w:sz w:val="20"/>
      <w:szCs w:val="20"/>
      <w:lang w:eastAsia="es-ES" w:val="es-ES"/>
    </w:rPr>
  </w:style>
  <w:style w:type="character" w:styleId="Textoindependienteprimerasangra2Car" w:customStyle="1">
    <w:name w:val="Texto independiente primera sangría 2 Car"/>
    <w:basedOn w:val="SangradetextonormalCar"/>
    <w:link w:val="Textoindependienteprimerasangra2"/>
    <w:uiPriority w:val="99"/>
    <w:qFormat w:val="1"/>
    <w:rPr>
      <w:rFonts w:ascii="Times New Roman" w:cs="Times New Roman" w:eastAsia="Times New Roman" w:hAnsi="Times New Roman"/>
      <w:sz w:val="20"/>
      <w:szCs w:val="20"/>
      <w:lang w:eastAsia="es-ES" w:val="es-ES"/>
    </w:rPr>
  </w:style>
  <w:style w:type="character" w:styleId="Mencionar3" w:customStyle="1">
    <w:name w:val="Mencionar3"/>
    <w:basedOn w:val="Fuentedeprrafopredeter"/>
    <w:uiPriority w:val="99"/>
    <w:semiHidden w:val="1"/>
    <w:unhideWhenUsed w:val="1"/>
    <w:qFormat w:val="1"/>
    <w:rPr>
      <w:color w:val="2b579a"/>
      <w:shd w:color="auto" w:fill="e6e6e6" w:val="clear"/>
    </w:rPr>
  </w:style>
  <w:style w:type="character" w:styleId="Mencionar4" w:customStyle="1">
    <w:name w:val="Mencionar4"/>
    <w:basedOn w:val="Fuentedeprrafopredeter"/>
    <w:uiPriority w:val="99"/>
    <w:semiHidden w:val="1"/>
    <w:unhideWhenUsed w:val="1"/>
    <w:qFormat w:val="1"/>
    <w:rPr>
      <w:color w:val="2b579a"/>
      <w:shd w:color="auto" w:fill="e6e6e6" w:val="clear"/>
    </w:rPr>
  </w:style>
  <w:style w:type="character" w:styleId="maestrofonttexto1" w:customStyle="1">
    <w:name w:val="maestro_fonttexto1"/>
    <w:basedOn w:val="Fuentedeprrafopredeter"/>
    <w:qFormat w:val="1"/>
    <w:rPr>
      <w:rFonts w:ascii="Arial" w:cs="Arial" w:hAnsi="Arial" w:hint="default"/>
      <w:sz w:val="15"/>
      <w:szCs w:val="15"/>
    </w:rPr>
  </w:style>
  <w:style w:type="character" w:styleId="apple-converted-space" w:customStyle="1">
    <w:name w:val="apple-converted-space"/>
    <w:basedOn w:val="Fuentedeprrafopredeter"/>
    <w:qFormat w:val="1"/>
  </w:style>
  <w:style w:type="table" w:styleId="Tablaconcuadrcula1" w:customStyle="1">
    <w:name w:val="Tabla con cuadrícula1"/>
    <w:basedOn w:val="Tablanormal"/>
    <w:uiPriority w:val="59"/>
    <w:qFormat w:val="1"/>
    <w:pPr>
      <w:spacing w:after="0" w:line="240" w:lineRule="auto"/>
    </w:pPr>
    <w:rPr>
      <w:lang w:val="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2Car" w:customStyle="1">
    <w:name w:val="Título 2 Car"/>
    <w:basedOn w:val="Fuentedeprrafopredeter"/>
    <w:link w:val="Ttulo2"/>
    <w:uiPriority w:val="9"/>
    <w:rsid w:val="008E6432"/>
    <w:rPr>
      <w:rFonts w:asciiTheme="majorHAnsi" w:cstheme="majorBidi" w:eastAsiaTheme="majorEastAsia" w:hAnsiTheme="majorHAnsi"/>
      <w:color w:val="2f5496" w:themeColor="accent1" w:themeShade="0000BF"/>
      <w:sz w:val="26"/>
      <w:szCs w:val="26"/>
      <w:lang w:eastAsia="es-ES"/>
    </w:rPr>
  </w:style>
  <w:style w:type="character" w:styleId="Ttulo3Car" w:customStyle="1">
    <w:name w:val="Título 3 Car"/>
    <w:basedOn w:val="Fuentedeprrafopredeter"/>
    <w:link w:val="Ttulo3"/>
    <w:uiPriority w:val="9"/>
    <w:rsid w:val="008E6432"/>
    <w:rPr>
      <w:rFonts w:asciiTheme="majorHAnsi" w:cstheme="majorBidi" w:eastAsiaTheme="majorEastAsia" w:hAnsiTheme="majorHAnsi"/>
      <w:color w:val="1f3763" w:themeColor="accent1" w:themeShade="00007F"/>
      <w:sz w:val="24"/>
      <w:szCs w:val="24"/>
      <w:lang w:eastAsia="es-ES" w:val="es-ES_tradnl"/>
    </w:rPr>
  </w:style>
  <w:style w:type="character" w:styleId="Ttulo4Car" w:customStyle="1">
    <w:name w:val="Título 4 Car"/>
    <w:basedOn w:val="Fuentedeprrafopredeter"/>
    <w:link w:val="Ttulo4"/>
    <w:uiPriority w:val="9"/>
    <w:rsid w:val="008E6432"/>
    <w:rPr>
      <w:rFonts w:asciiTheme="majorHAnsi" w:cstheme="majorBidi" w:eastAsiaTheme="majorEastAsia" w:hAnsiTheme="majorHAnsi"/>
      <w:i w:val="1"/>
      <w:iCs w:val="1"/>
      <w:color w:val="2f5496" w:themeColor="accent1" w:themeShade="0000BF"/>
      <w:sz w:val="24"/>
      <w:szCs w:val="24"/>
      <w:lang w:eastAsia="es-ES" w:val="es-ES_tradnl"/>
    </w:rPr>
  </w:style>
  <w:style w:type="paragraph" w:styleId="TDC1">
    <w:name w:val="toc 1"/>
    <w:basedOn w:val="Normal"/>
    <w:next w:val="Normal"/>
    <w:autoRedefine w:val="1"/>
    <w:uiPriority w:val="39"/>
    <w:unhideWhenUsed w:val="1"/>
    <w:rsid w:val="008E6432"/>
    <w:pPr>
      <w:tabs>
        <w:tab w:val="right" w:leader="dot" w:pos="8779"/>
      </w:tabs>
      <w:spacing w:after="100"/>
      <w:ind w:left="142"/>
    </w:pPr>
    <w:rPr>
      <w:rFonts w:ascii="Palatino Linotype" w:hAnsi="Palatino Linotype" w:cstheme="minorBidi" w:eastAsiaTheme="minorEastAsia"/>
      <w:b w:val="1"/>
      <w:bCs w:val="1"/>
      <w:noProof w:val="1"/>
      <w:sz w:val="24"/>
      <w:szCs w:val="24"/>
      <w:lang w:val="es-ES_tradnl"/>
    </w:rPr>
  </w:style>
  <w:style w:type="paragraph" w:styleId="TDC2">
    <w:name w:val="toc 2"/>
    <w:basedOn w:val="Normal"/>
    <w:next w:val="Normal"/>
    <w:autoRedefine w:val="1"/>
    <w:uiPriority w:val="39"/>
    <w:unhideWhenUsed w:val="1"/>
    <w:rsid w:val="008E6432"/>
    <w:pPr>
      <w:tabs>
        <w:tab w:val="left" w:pos="567"/>
        <w:tab w:val="right" w:leader="dot" w:pos="8779"/>
      </w:tabs>
      <w:spacing w:after="100"/>
      <w:ind w:left="142"/>
    </w:pPr>
    <w:rPr>
      <w:rFonts w:asciiTheme="minorHAnsi" w:cstheme="minorBidi" w:eastAsiaTheme="minorEastAsia" w:hAnsiTheme="minorHAnsi"/>
      <w:sz w:val="24"/>
      <w:szCs w:val="24"/>
      <w:lang w:val="es-ES_tradnl"/>
    </w:rPr>
  </w:style>
  <w:style w:type="paragraph" w:styleId="TtulodeTDC">
    <w:name w:val="TOC Heading"/>
    <w:basedOn w:val="Ttulo1"/>
    <w:next w:val="Normal"/>
    <w:uiPriority w:val="39"/>
    <w:unhideWhenUsed w:val="1"/>
    <w:qFormat w:val="1"/>
    <w:rsid w:val="008E6432"/>
    <w:pPr>
      <w:spacing w:line="259" w:lineRule="auto"/>
      <w:outlineLvl w:val="9"/>
    </w:pPr>
    <w:rPr>
      <w:rFonts w:ascii="Palatino Linotype" w:hAnsi="Palatino Linotype"/>
      <w:b w:val="1"/>
      <w:color w:val="auto"/>
      <w:sz w:val="24"/>
      <w:lang w:eastAsia="es-MX"/>
    </w:rPr>
  </w:style>
  <w:style w:type="paragraph" w:styleId="Textoindependiente2">
    <w:name w:val="Body Text 2"/>
    <w:basedOn w:val="Normal"/>
    <w:link w:val="Textoindependiente2Car"/>
    <w:uiPriority w:val="99"/>
    <w:semiHidden w:val="1"/>
    <w:unhideWhenUsed w:val="1"/>
    <w:rsid w:val="008E6432"/>
    <w:pPr>
      <w:spacing w:after="120" w:line="480" w:lineRule="auto"/>
    </w:pPr>
    <w:rPr>
      <w:rFonts w:asciiTheme="minorHAnsi" w:cstheme="minorBidi" w:eastAsiaTheme="minorEastAsia" w:hAnsiTheme="minorHAnsi"/>
      <w:sz w:val="24"/>
      <w:szCs w:val="24"/>
      <w:lang w:val="es-ES_tradnl"/>
    </w:rPr>
  </w:style>
  <w:style w:type="character" w:styleId="Textoindependiente2Car" w:customStyle="1">
    <w:name w:val="Texto independiente 2 Car"/>
    <w:basedOn w:val="Fuentedeprrafopredeter"/>
    <w:link w:val="Textoindependiente2"/>
    <w:uiPriority w:val="99"/>
    <w:semiHidden w:val="1"/>
    <w:rsid w:val="008E6432"/>
    <w:rPr>
      <w:rFonts w:asciiTheme="minorHAnsi" w:cstheme="minorBidi" w:eastAsiaTheme="minorEastAsia" w:hAnsiTheme="minorHAnsi"/>
      <w:sz w:val="24"/>
      <w:szCs w:val="24"/>
      <w:lang w:eastAsia="es-ES" w:val="es-ES_tradnl"/>
    </w:rPr>
  </w:style>
  <w:style w:type="paragraph" w:styleId="Textonotapie1" w:customStyle="1">
    <w:name w:val="Texto nota pie1"/>
    <w:basedOn w:val="Normal"/>
    <w:next w:val="Textonotapie"/>
    <w:unhideWhenUsed w:val="1"/>
    <w:rsid w:val="008E6432"/>
    <w:rPr>
      <w:rFonts w:eastAsia="Cambria" w:asciiTheme="minorHAnsi" w:cstheme="minorBidi" w:hAnsiTheme="minorHAnsi"/>
      <w:lang w:eastAsia="en-US"/>
    </w:rPr>
  </w:style>
  <w:style w:type="paragraph" w:styleId="TDC3">
    <w:name w:val="toc 3"/>
    <w:basedOn w:val="Normal"/>
    <w:next w:val="Normal"/>
    <w:autoRedefine w:val="1"/>
    <w:uiPriority w:val="39"/>
    <w:unhideWhenUsed w:val="1"/>
    <w:rsid w:val="008E6432"/>
    <w:pPr>
      <w:tabs>
        <w:tab w:val="left" w:pos="567"/>
        <w:tab w:val="right" w:leader="dot" w:pos="8779"/>
      </w:tabs>
      <w:spacing w:after="100"/>
      <w:ind w:left="142"/>
    </w:pPr>
    <w:rPr>
      <w:rFonts w:asciiTheme="minorHAnsi" w:cstheme="minorBidi" w:eastAsiaTheme="minorEastAsia" w:hAnsiTheme="minorHAnsi"/>
      <w:sz w:val="24"/>
      <w:szCs w:val="24"/>
      <w:lang w:val="es-ES_tradnl"/>
    </w:rPr>
  </w:style>
  <w:style w:type="paragraph" w:styleId="m1609377113336227858gmail-msonormal" w:customStyle="1">
    <w:name w:val="m_1609377113336227858gmail-msonormal"/>
    <w:basedOn w:val="Normal"/>
    <w:rsid w:val="008E6432"/>
    <w:pPr>
      <w:spacing w:after="100" w:afterAutospacing="1" w:before="100" w:beforeAutospacing="1"/>
    </w:pPr>
    <w:rPr>
      <w:sz w:val="24"/>
      <w:szCs w:val="24"/>
      <w:lang w:val="es-ES"/>
    </w:rPr>
  </w:style>
  <w:style w:type="paragraph" w:styleId="m3527742037047551335gmail-msolistparagraph" w:customStyle="1">
    <w:name w:val="m_3527742037047551335gmail-msolistparagraph"/>
    <w:basedOn w:val="Normal"/>
    <w:rsid w:val="008E6432"/>
    <w:pPr>
      <w:spacing w:after="100" w:afterAutospacing="1" w:before="100" w:beforeAutospacing="1"/>
    </w:pPr>
    <w:rPr>
      <w:sz w:val="24"/>
      <w:szCs w:val="24"/>
      <w:lang w:eastAsia="es-MX"/>
    </w:rPr>
  </w:style>
  <w:style w:type="paragraph" w:styleId="m-698976158124685028gmail-msolistparagraph" w:customStyle="1">
    <w:name w:val="m_-698976158124685028gmail-msolistparagraph"/>
    <w:basedOn w:val="Normal"/>
    <w:rsid w:val="008E6432"/>
    <w:pPr>
      <w:spacing w:after="100" w:afterAutospacing="1" w:before="100" w:beforeAutospacing="1"/>
    </w:pPr>
    <w:rPr>
      <w:sz w:val="24"/>
      <w:szCs w:val="24"/>
      <w:lang w:eastAsia="es-MX"/>
    </w:rPr>
  </w:style>
  <w:style w:type="paragraph" w:styleId="m-698976158124685028gmail-default" w:customStyle="1">
    <w:name w:val="m_-698976158124685028gmail-default"/>
    <w:basedOn w:val="Normal"/>
    <w:rsid w:val="008E6432"/>
    <w:pPr>
      <w:spacing w:after="100" w:afterAutospacing="1" w:before="100" w:beforeAutospacing="1"/>
    </w:pPr>
    <w:rPr>
      <w:sz w:val="24"/>
      <w:szCs w:val="24"/>
      <w:lang w:eastAsia="es-MX"/>
    </w:rPr>
  </w:style>
  <w:style w:type="paragraph" w:styleId="m-698976158124685028gmail-m483811427706604298gmail-msolistparagraph" w:customStyle="1">
    <w:name w:val="m_-698976158124685028gmail-m483811427706604298gmail-msolistparagraph"/>
    <w:basedOn w:val="Normal"/>
    <w:rsid w:val="008E6432"/>
    <w:pPr>
      <w:spacing w:after="100" w:afterAutospacing="1" w:before="100" w:beforeAutospacing="1"/>
    </w:pPr>
    <w:rPr>
      <w:sz w:val="24"/>
      <w:szCs w:val="24"/>
      <w:lang w:eastAsia="es-MX"/>
    </w:rPr>
  </w:style>
  <w:style w:type="paragraph" w:styleId="m-698976158124685028gmail-msonormal" w:customStyle="1">
    <w:name w:val="m_-698976158124685028gmail-msonormal"/>
    <w:basedOn w:val="Normal"/>
    <w:rsid w:val="008E6432"/>
    <w:pPr>
      <w:spacing w:after="100" w:afterAutospacing="1" w:before="100" w:beforeAutospacing="1"/>
    </w:pPr>
    <w:rPr>
      <w:sz w:val="24"/>
      <w:szCs w:val="24"/>
      <w:lang w:eastAsia="es-MX"/>
    </w:rPr>
  </w:style>
  <w:style w:type="character" w:styleId="m-698976158124685028gmail-apple-converted-space" w:customStyle="1">
    <w:name w:val="m_-698976158124685028gmail-apple-converted-space"/>
    <w:basedOn w:val="Fuentedeprrafopredeter"/>
    <w:rsid w:val="008E6432"/>
  </w:style>
  <w:style w:type="character" w:styleId="apple-style-span" w:customStyle="1">
    <w:name w:val="apple-style-span"/>
    <w:rsid w:val="008E6432"/>
  </w:style>
  <w:style w:type="table" w:styleId="Tablaconcuadrcula2" w:customStyle="1">
    <w:name w:val="Tabla con cuadrícula2"/>
    <w:basedOn w:val="Tablanormal"/>
    <w:next w:val="Tablaconcuadrcula"/>
    <w:uiPriority w:val="39"/>
    <w:rsid w:val="008E6432"/>
    <w:pPr>
      <w:spacing w:after="0" w:line="240" w:lineRule="auto"/>
    </w:pPr>
    <w:rPr>
      <w:rFonts w:asciiTheme="minorHAnsi" w:cstheme="minorBidi" w:eastAsiaTheme="minorEastAsia" w:hAnsiTheme="minorHAnsi"/>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anormal11" w:customStyle="1">
    <w:name w:val="Tabla normal 11"/>
    <w:basedOn w:val="Tablanormal"/>
    <w:next w:val="Tablanormal1"/>
    <w:uiPriority w:val="41"/>
    <w:rsid w:val="008E6432"/>
    <w:pPr>
      <w:spacing w:after="0" w:line="240" w:lineRule="auto"/>
    </w:pPr>
    <w:rPr>
      <w:rFonts w:asciiTheme="minorHAnsi" w:cstheme="minorBidi" w:eastAsiaTheme="minorHAnsi" w:hAnsiTheme="minorHAnsi"/>
      <w:sz w:val="22"/>
      <w:szCs w:val="22"/>
      <w:lang w:eastAsia="en-US"/>
    </w:r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anormal1">
    <w:name w:val="Plain Table 1"/>
    <w:basedOn w:val="Tablanormal"/>
    <w:uiPriority w:val="41"/>
    <w:rsid w:val="008E6432"/>
    <w:pPr>
      <w:spacing w:after="0" w:line="240" w:lineRule="auto"/>
    </w:pPr>
    <w:rPr>
      <w:rFonts w:asciiTheme="minorHAnsi" w:cstheme="minorBidi" w:eastAsiaTheme="minorHAnsi" w:hAnsiTheme="minorHAnsi"/>
      <w:sz w:val="22"/>
      <w:szCs w:val="22"/>
      <w:lang w:eastAsia="en-US"/>
    </w:r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semiHidden w:val="1"/>
    <w:unhideWhenUsed w:val="1"/>
    <w:rsid w:val="008E6432"/>
    <w:pPr>
      <w:spacing w:after="100" w:afterAutospacing="1" w:before="100" w:before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cstheme="minorBidi" w:eastAsiaTheme="minorEastAsia" w:hAnsiTheme="minorHAnsi"/>
      <w:color w:val="000000" w:themeColor="text1"/>
      <w:sz w:val="24"/>
      <w:szCs w:val="24"/>
      <w:lang w:eastAsia="es-ES" w:val="es-ES_tradnl"/>
    </w:r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CellMar>
        <w:top w:w="0.0" w:type="dxa"/>
        <w:left w:w="108.0" w:type="dxa"/>
        <w:bottom w:w="0.0" w:type="dxa"/>
        <w:right w:w="108.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ADB1" w:customStyle="1">
    <w:name w:val="ADB1"/>
    <w:basedOn w:val="Normal"/>
    <w:next w:val="Textonotapie"/>
    <w:uiPriority w:val="99"/>
    <w:unhideWhenUsed w:val="1"/>
    <w:qFormat w:val="1"/>
    <w:rsid w:val="008E6432"/>
    <w:rPr>
      <w:rFonts w:eastAsia="Cambria" w:asciiTheme="minorHAnsi" w:cstheme="minorBidi" w:hAnsiTheme="minorHAnsi"/>
      <w:lang w:eastAsia="en-US"/>
    </w:rPr>
  </w:style>
  <w:style w:type="character" w:styleId="Mencinsinresolver1" w:customStyle="1">
    <w:name w:val="Mención sin resolver1"/>
    <w:basedOn w:val="Fuentedeprrafopredeter"/>
    <w:uiPriority w:val="99"/>
    <w:semiHidden w:val="1"/>
    <w:unhideWhenUsed w:val="1"/>
    <w:rsid w:val="008E6432"/>
    <w:rPr>
      <w:color w:val="605e5c"/>
      <w:shd w:color="auto" w:fill="e1dfdd" w:val="clear"/>
    </w:rPr>
  </w:style>
  <w:style w:type="table" w:styleId="Tablaconcuadrcula11" w:customStyle="1">
    <w:name w:val="Tabla con cuadrícula11"/>
    <w:basedOn w:val="Tablanormal"/>
    <w:next w:val="Tablaconcuadrcula"/>
    <w:uiPriority w:val="59"/>
    <w:rsid w:val="008E6432"/>
    <w:pPr>
      <w:spacing w:after="0" w:line="240" w:lineRule="auto"/>
    </w:pPr>
    <w:rPr>
      <w:rFonts w:eastAsia="Times New Roman" w:asciiTheme="minorHAnsi" w:cstheme="minorBidi" w:hAnsiTheme="minorHAnsi"/>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 w:customStyle="1">
    <w:name w:val="Texto"/>
    <w:basedOn w:val="Normal"/>
    <w:link w:val="TextoCar"/>
    <w:rsid w:val="008E6432"/>
    <w:pPr>
      <w:spacing w:after="101" w:line="216" w:lineRule="exact"/>
      <w:ind w:firstLine="288"/>
      <w:jc w:val="both"/>
    </w:pPr>
    <w:rPr>
      <w:rFonts w:ascii="Arial" w:cs="Arial" w:hAnsi="Arial"/>
      <w:sz w:val="18"/>
      <w:lang w:val="es-ES"/>
    </w:rPr>
  </w:style>
  <w:style w:type="character" w:styleId="TextoCar" w:customStyle="1">
    <w:name w:val="Texto Car"/>
    <w:link w:val="Texto"/>
    <w:locked w:val="1"/>
    <w:rsid w:val="008E6432"/>
    <w:rPr>
      <w:rFonts w:ascii="Arial" w:cs="Arial" w:eastAsia="Times New Roman" w:hAnsi="Arial"/>
      <w:sz w:val="18"/>
      <w:lang w:eastAsia="es-ES" w:val="es-ES"/>
    </w:rPr>
  </w:style>
  <w:style w:type="paragraph" w:styleId="m5907675151158779931gmail-msolistparagraph" w:customStyle="1">
    <w:name w:val="m_5907675151158779931gmail-msolistparagraph"/>
    <w:basedOn w:val="Normal"/>
    <w:rsid w:val="00427B9F"/>
    <w:pPr>
      <w:spacing w:after="100" w:afterAutospacing="1" w:before="100" w:beforeAutospacing="1"/>
    </w:pPr>
    <w:rPr>
      <w:sz w:val="24"/>
      <w:szCs w:val="24"/>
      <w:lang w:eastAsia="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4" Type="http://schemas.openxmlformats.org/officeDocument/2006/relationships/theme" Target="theme/theme1.xml"/><Relationship Id="rId9" Type="http://schemas.openxmlformats.org/officeDocument/2006/relationships/styles" Target="styles.xm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ettings" Target="settings.xml"/><Relationship Id="rId6" Type="http://schemas.openxmlformats.org/officeDocument/2006/relationships/fontTable" Target="fontTable.xml"/><Relationship Id="rId18" Type="http://schemas.openxmlformats.org/officeDocument/2006/relationships/footer" Target="footer2.xml"/><Relationship Id="rId7" Type="http://schemas.openxmlformats.org/officeDocument/2006/relationships/footnotes" Target="footnotes.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4" Type="http://schemas.openxmlformats.org/officeDocument/2006/relationships/font" Target="fonts/Garamond-regular.ttf"/><Relationship Id="rId11" Type="http://schemas.openxmlformats.org/officeDocument/2006/relationships/font" Target="fonts/PalatinoLinotype-boldItalic.ttf"/><Relationship Id="rId10" Type="http://schemas.openxmlformats.org/officeDocument/2006/relationships/font" Target="fonts/PalatinoLinotype-italic.ttf"/><Relationship Id="rId13" Type="http://schemas.openxmlformats.org/officeDocument/2006/relationships/font" Target="fonts/CenturyGothic-bold.ttf"/><Relationship Id="rId12" Type="http://schemas.openxmlformats.org/officeDocument/2006/relationships/font" Target="fonts/CenturyGothic-regular.ttf"/><Relationship Id="rId9" Type="http://schemas.openxmlformats.org/officeDocument/2006/relationships/font" Target="fonts/PalatinoLinotype-bold.ttf"/><Relationship Id="rId15" Type="http://schemas.openxmlformats.org/officeDocument/2006/relationships/font" Target="fonts/CenturyGothic-boldItalic.ttf"/><Relationship Id="rId14" Type="http://schemas.openxmlformats.org/officeDocument/2006/relationships/font" Target="fonts/CenturyGothic-italic.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PalatinoLinotype-regular.ttf"/></Relationships>
</file>

<file path=word/_rels/footnotes.xml.rels><?xml version="1.0" encoding="UTF-8" standalone="yes"?><Relationships xmlns="http://schemas.openxmlformats.org/package/2006/relationships"><Relationship Id="rId4" Type="http://schemas.openxmlformats.org/officeDocument/2006/relationships/hyperlink" Target="http://www.diputados.gob.mx/LeyesBiblio/pdf/LNEP_090518.pdf" TargetMode="External"/><Relationship Id="rId5" Type="http://schemas.openxmlformats.org/officeDocument/2006/relationships/hyperlink" Target="https://legislacion.edomex.gob.mx/sites/legislacion.edomex.gob.mx/files/files/pdf/gct/2017/mar14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0LBGdq4pNqjPlRRq+Pi/N5L3ww==">AMUW2mX9p5taqkXtLgImjJqoCxZ3yZm1YkzYZ66HIOQeKLBjY2eE31Q6z/ZkCWgq+s/a8nXGgmj8N2QnbPZyBTFuDTLYirsTV+8Hy6LAMSnfJX6aZANTkkdcFnGtaK7XcC/H6DDu1lDnIxNExS3eDNnMmYMR/88fswpPDTWrM4PWeHOTxI6tSbYtAR67RH3Im0s6V2ggaQ2pB5Uot+3eLORDyXepceNMCFyy3zqyTW4YayIkN+TQVMb/YrqODGxG4eGuU7ptUHG7CdGmBz7qldSZ1XNSpfVMiHlQpT3q6Hr97mvVBoPPQ5anoXqhSVdd9oMopaWQiJMSolQaCyY/6nXvWNxKQyVykyBXqrJqA9AWtPf5j76D/6oWRKZ1g/v4jZ0agierTkYjk6x457MYMt+mNBTner+O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2021-08-31T23:55:00Z</dcterms:created>
  <dc:creator>José Fernado Lobato Rodríguez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