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F77C08" w14:textId="22E67C08" w:rsidR="00091682" w:rsidRPr="00A4521A" w:rsidRDefault="00091682" w:rsidP="00091682">
      <w:pPr>
        <w:spacing w:before="240" w:after="240" w:line="360" w:lineRule="auto"/>
        <w:jc w:val="both"/>
        <w:rPr>
          <w:rFonts w:ascii="Palatino Linotype" w:hAnsi="Palatino Linotype"/>
        </w:rPr>
      </w:pPr>
      <w:r w:rsidRPr="00A4521A">
        <w:rPr>
          <w:rFonts w:ascii="Palatino Linotype" w:hAnsi="Palatino Linotype"/>
        </w:rPr>
        <w:t xml:space="preserve">Resolución del Pleno del Instituto de Transparencia, Acceso a la Información Pública y Protección de Datos Personales del Estado de México y Municipios, con domicilio en </w:t>
      </w:r>
      <w:r w:rsidR="004440AC" w:rsidRPr="00A4521A">
        <w:rPr>
          <w:rFonts w:ascii="Palatino Linotype" w:hAnsi="Palatino Linotype"/>
        </w:rPr>
        <w:t xml:space="preserve">Metepec, Estado de México, de </w:t>
      </w:r>
      <w:r w:rsidR="00963379">
        <w:rPr>
          <w:rFonts w:ascii="Palatino Linotype" w:hAnsi="Palatino Linotype"/>
        </w:rPr>
        <w:t>veinti</w:t>
      </w:r>
      <w:r w:rsidR="00D5352C">
        <w:rPr>
          <w:rFonts w:ascii="Palatino Linotype" w:hAnsi="Palatino Linotype"/>
        </w:rPr>
        <w:t>cuatro de marzo</w:t>
      </w:r>
      <w:r w:rsidR="00092DFC">
        <w:rPr>
          <w:rFonts w:ascii="Palatino Linotype" w:hAnsi="Palatino Linotype"/>
        </w:rPr>
        <w:t xml:space="preserve"> </w:t>
      </w:r>
      <w:r w:rsidRPr="00A4521A">
        <w:rPr>
          <w:rFonts w:ascii="Palatino Linotype" w:hAnsi="Palatino Linotype"/>
        </w:rPr>
        <w:t>de</w:t>
      </w:r>
      <w:r w:rsidR="00686279" w:rsidRPr="00A4521A">
        <w:rPr>
          <w:rFonts w:ascii="Palatino Linotype" w:hAnsi="Palatino Linotype"/>
        </w:rPr>
        <w:t>l</w:t>
      </w:r>
      <w:r w:rsidR="003C388A" w:rsidRPr="00A4521A">
        <w:rPr>
          <w:rFonts w:ascii="Palatino Linotype" w:hAnsi="Palatino Linotype"/>
        </w:rPr>
        <w:t xml:space="preserve"> dos mil </w:t>
      </w:r>
      <w:r w:rsidR="00306C3C" w:rsidRPr="00A4521A">
        <w:rPr>
          <w:rFonts w:ascii="Palatino Linotype" w:hAnsi="Palatino Linotype"/>
        </w:rPr>
        <w:t>ve</w:t>
      </w:r>
      <w:r w:rsidR="003C388A" w:rsidRPr="00A4521A">
        <w:rPr>
          <w:rFonts w:ascii="Palatino Linotype" w:hAnsi="Palatino Linotype"/>
        </w:rPr>
        <w:t>int</w:t>
      </w:r>
      <w:r w:rsidR="00883AE3">
        <w:rPr>
          <w:rFonts w:ascii="Palatino Linotype" w:hAnsi="Palatino Linotype"/>
        </w:rPr>
        <w:t>iuno.</w:t>
      </w:r>
    </w:p>
    <w:p w14:paraId="7D53FE2D" w14:textId="05C3D29A" w:rsidR="008E7698" w:rsidRPr="00A4521A" w:rsidRDefault="008E7698" w:rsidP="008E7698">
      <w:pPr>
        <w:spacing w:before="240" w:after="240" w:line="360" w:lineRule="auto"/>
        <w:jc w:val="both"/>
        <w:rPr>
          <w:rFonts w:ascii="Palatino Linotype" w:hAnsi="Palatino Linotype" w:cs="Arial"/>
        </w:rPr>
      </w:pPr>
      <w:r w:rsidRPr="00A4521A">
        <w:rPr>
          <w:rFonts w:ascii="Palatino Linotype" w:hAnsi="Palatino Linotype" w:cs="Arial"/>
          <w:b/>
          <w:sz w:val="28"/>
          <w:szCs w:val="28"/>
        </w:rPr>
        <w:t>Visto</w:t>
      </w:r>
      <w:r w:rsidRPr="00A4521A">
        <w:rPr>
          <w:rFonts w:ascii="Palatino Linotype" w:hAnsi="Palatino Linotype" w:cs="Arial"/>
        </w:rPr>
        <w:t xml:space="preserve"> el expediente relativo al recurso de revisión </w:t>
      </w:r>
      <w:r w:rsidR="009435F0">
        <w:rPr>
          <w:rFonts w:ascii="Palatino Linotype" w:hAnsi="Palatino Linotype" w:cs="Arial"/>
          <w:b/>
          <w:sz w:val="22"/>
          <w:szCs w:val="22"/>
        </w:rPr>
        <w:t>03489/INFOEM/IP/RR/2021</w:t>
      </w:r>
      <w:r w:rsidR="00945D23" w:rsidRPr="00A4521A">
        <w:rPr>
          <w:rFonts w:ascii="Palatino Linotype" w:hAnsi="Palatino Linotype" w:cs="Arial"/>
        </w:rPr>
        <w:t xml:space="preserve">, interpuesto por </w:t>
      </w:r>
      <w:r w:rsidR="00110741">
        <w:rPr>
          <w:rFonts w:ascii="Palatino Linotype" w:eastAsiaTheme="minorEastAsia" w:hAnsi="Palatino Linotype" w:cs="Arial"/>
          <w:b/>
          <w:lang w:val="es-MX"/>
        </w:rPr>
        <w:t>XXXXX XXXX</w:t>
      </w:r>
      <w:r w:rsidR="00B86BEE" w:rsidRPr="00A4521A">
        <w:rPr>
          <w:rFonts w:ascii="Palatino Linotype" w:eastAsiaTheme="minorEastAsia" w:hAnsi="Palatino Linotype" w:cs="Arial"/>
          <w:b/>
          <w:lang w:val="es-MX"/>
        </w:rPr>
        <w:t xml:space="preserve">, </w:t>
      </w:r>
      <w:r w:rsidR="00D66A2A" w:rsidRPr="00A4521A">
        <w:rPr>
          <w:rFonts w:ascii="Palatino Linotype" w:hAnsi="Palatino Linotype" w:cs="Arial"/>
        </w:rPr>
        <w:t xml:space="preserve">a </w:t>
      </w:r>
      <w:r w:rsidR="004440AC" w:rsidRPr="00A4521A">
        <w:rPr>
          <w:rFonts w:ascii="Palatino Linotype" w:hAnsi="Palatino Linotype" w:cs="Arial"/>
        </w:rPr>
        <w:t>quien</w:t>
      </w:r>
      <w:r w:rsidRPr="00A4521A">
        <w:rPr>
          <w:rFonts w:ascii="Palatino Linotype" w:hAnsi="Palatino Linotype" w:cs="Arial"/>
        </w:rPr>
        <w:t xml:space="preserve"> en lo sucesivo se le denominará </w:t>
      </w:r>
      <w:r w:rsidR="003C388A" w:rsidRPr="00A4521A">
        <w:rPr>
          <w:rFonts w:ascii="Palatino Linotype" w:hAnsi="Palatino Linotype" w:cs="Arial"/>
        </w:rPr>
        <w:t>el</w:t>
      </w:r>
      <w:r w:rsidR="00BA3262" w:rsidRPr="00A4521A">
        <w:rPr>
          <w:rFonts w:ascii="Palatino Linotype" w:hAnsi="Palatino Linotype" w:cs="Arial"/>
        </w:rPr>
        <w:t xml:space="preserve"> </w:t>
      </w:r>
      <w:r w:rsidR="004C7629" w:rsidRPr="00A4521A">
        <w:rPr>
          <w:rFonts w:ascii="Palatino Linotype" w:hAnsi="Palatino Linotype" w:cs="Arial"/>
          <w:b/>
          <w:i/>
        </w:rPr>
        <w:t>Recurrente</w:t>
      </w:r>
      <w:r w:rsidRPr="00A4521A">
        <w:rPr>
          <w:rFonts w:ascii="Palatino Linotype" w:hAnsi="Palatino Linotype" w:cs="Arial"/>
          <w:b/>
          <w:i/>
        </w:rPr>
        <w:t xml:space="preserve"> </w:t>
      </w:r>
      <w:r w:rsidRPr="00A4521A">
        <w:rPr>
          <w:rFonts w:ascii="Palatino Linotype" w:hAnsi="Palatino Linotype" w:cs="Arial"/>
        </w:rPr>
        <w:t xml:space="preserve">en contra de la </w:t>
      </w:r>
      <w:r w:rsidR="00211018" w:rsidRPr="00A4521A">
        <w:rPr>
          <w:rFonts w:ascii="Palatino Linotype" w:hAnsi="Palatino Linotype" w:cs="Arial"/>
        </w:rPr>
        <w:t>falta de respuesta</w:t>
      </w:r>
      <w:r w:rsidR="00E66AC9" w:rsidRPr="00A4521A">
        <w:rPr>
          <w:rFonts w:ascii="Palatino Linotype" w:hAnsi="Palatino Linotype" w:cs="Arial"/>
        </w:rPr>
        <w:t xml:space="preserve"> a</w:t>
      </w:r>
      <w:r w:rsidRPr="00A4521A">
        <w:rPr>
          <w:rFonts w:ascii="Palatino Linotype" w:hAnsi="Palatino Linotype" w:cs="Arial"/>
        </w:rPr>
        <w:t xml:space="preserve"> </w:t>
      </w:r>
      <w:r w:rsidR="00095E37" w:rsidRPr="00A4521A">
        <w:rPr>
          <w:rFonts w:ascii="Palatino Linotype" w:hAnsi="Palatino Linotype" w:cs="Arial"/>
        </w:rPr>
        <w:t>la</w:t>
      </w:r>
      <w:r w:rsidRPr="00A4521A">
        <w:rPr>
          <w:rFonts w:ascii="Palatino Linotype" w:hAnsi="Palatino Linotype" w:cs="Arial"/>
        </w:rPr>
        <w:t xml:space="preserve"> solicitud de in</w:t>
      </w:r>
      <w:r w:rsidR="004440AC" w:rsidRPr="00A4521A">
        <w:rPr>
          <w:rFonts w:ascii="Palatino Linotype" w:hAnsi="Palatino Linotype" w:cs="Arial"/>
        </w:rPr>
        <w:t xml:space="preserve">formación con número de folio </w:t>
      </w:r>
      <w:r w:rsidR="009435F0">
        <w:rPr>
          <w:rFonts w:ascii="Palatino Linotype" w:eastAsiaTheme="minorEastAsia" w:hAnsi="Palatino Linotype" w:cs="Arial"/>
          <w:b/>
          <w:sz w:val="22"/>
          <w:szCs w:val="22"/>
          <w:lang w:val="es-MX"/>
        </w:rPr>
        <w:t>00011/DIFTECAMAC/IP/2021</w:t>
      </w:r>
      <w:r w:rsidRPr="00A4521A">
        <w:rPr>
          <w:rFonts w:ascii="Palatino Linotype" w:hAnsi="Palatino Linotype" w:cs="Arial"/>
        </w:rPr>
        <w:t xml:space="preserve">, </w:t>
      </w:r>
      <w:r w:rsidR="00945D23" w:rsidRPr="00A4521A">
        <w:rPr>
          <w:rFonts w:ascii="Palatino Linotype" w:hAnsi="Palatino Linotype" w:cs="Arial"/>
        </w:rPr>
        <w:t xml:space="preserve">del </w:t>
      </w:r>
      <w:r w:rsidR="009435F0">
        <w:rPr>
          <w:rFonts w:ascii="Palatino Linotype" w:eastAsiaTheme="minorEastAsia" w:hAnsi="Palatino Linotype" w:cs="Arial"/>
          <w:b/>
          <w:lang w:val="es-MX"/>
        </w:rPr>
        <w:t>Sistema Municipal Para el Desarrollo Integral de la Familia de Tecámac</w:t>
      </w:r>
      <w:r w:rsidRPr="00A4521A">
        <w:rPr>
          <w:rFonts w:ascii="Palatino Linotype" w:hAnsi="Palatino Linotype" w:cs="Arial"/>
        </w:rPr>
        <w:t xml:space="preserve">, en lo sucesivo el </w:t>
      </w:r>
      <w:r w:rsidRPr="00A4521A">
        <w:rPr>
          <w:rFonts w:ascii="Palatino Linotype" w:hAnsi="Palatino Linotype" w:cs="Arial"/>
          <w:b/>
        </w:rPr>
        <w:t>Sujeto Obligado</w:t>
      </w:r>
      <w:r w:rsidRPr="00A4521A">
        <w:rPr>
          <w:rFonts w:ascii="Palatino Linotype" w:hAnsi="Palatino Linotype" w:cs="Arial"/>
        </w:rPr>
        <w:t>;</w:t>
      </w:r>
      <w:r w:rsidRPr="00A4521A">
        <w:rPr>
          <w:rFonts w:ascii="Palatino Linotype" w:hAnsi="Palatino Linotype" w:cs="Arial"/>
          <w:b/>
        </w:rPr>
        <w:t xml:space="preserve"> </w:t>
      </w:r>
      <w:r w:rsidRPr="00A4521A">
        <w:rPr>
          <w:rFonts w:ascii="Palatino Linotype" w:hAnsi="Palatino Linotype" w:cs="Arial"/>
        </w:rPr>
        <w:t>se procede a dictar la presente resolución, con base en lo siguiente.</w:t>
      </w:r>
    </w:p>
    <w:p w14:paraId="1A4B04B4" w14:textId="6FE3E403" w:rsidR="008E7698" w:rsidRPr="00A4521A" w:rsidRDefault="004A6EFE" w:rsidP="004A6EFE">
      <w:pPr>
        <w:pStyle w:val="Ttulo2"/>
        <w:jc w:val="center"/>
        <w:rPr>
          <w:rFonts w:ascii="Palatino Linotype" w:hAnsi="Palatino Linotype"/>
          <w:b/>
          <w:color w:val="auto"/>
          <w:sz w:val="24"/>
          <w:szCs w:val="24"/>
        </w:rPr>
      </w:pPr>
      <w:r w:rsidRPr="00A4521A">
        <w:rPr>
          <w:rFonts w:ascii="Palatino Linotype" w:hAnsi="Palatino Linotype"/>
          <w:b/>
          <w:color w:val="auto"/>
          <w:sz w:val="24"/>
          <w:szCs w:val="24"/>
        </w:rPr>
        <w:t xml:space="preserve">I. </w:t>
      </w:r>
      <w:r w:rsidR="008E7698" w:rsidRPr="00A4521A">
        <w:rPr>
          <w:rFonts w:ascii="Palatino Linotype" w:hAnsi="Palatino Linotype"/>
          <w:b/>
          <w:color w:val="auto"/>
          <w:sz w:val="24"/>
          <w:szCs w:val="24"/>
        </w:rPr>
        <w:t>A N T E C E D E N T E S:</w:t>
      </w:r>
    </w:p>
    <w:p w14:paraId="11987A51" w14:textId="0515883B" w:rsidR="00A377B0" w:rsidRPr="00A4521A" w:rsidRDefault="008E7698" w:rsidP="00A377B0">
      <w:pPr>
        <w:spacing w:before="240" w:after="240" w:line="360" w:lineRule="auto"/>
        <w:jc w:val="both"/>
        <w:rPr>
          <w:rFonts w:ascii="Palatino Linotype" w:hAnsi="Palatino Linotype" w:cs="Arial"/>
          <w:b/>
        </w:rPr>
      </w:pPr>
      <w:r w:rsidRPr="00A4521A">
        <w:rPr>
          <w:rFonts w:ascii="Palatino Linotype" w:hAnsi="Palatino Linotype" w:cs="Arial"/>
          <w:b/>
          <w:sz w:val="28"/>
          <w:szCs w:val="28"/>
        </w:rPr>
        <w:t xml:space="preserve">1. </w:t>
      </w:r>
      <w:r w:rsidR="00A377B0" w:rsidRPr="00A4521A">
        <w:rPr>
          <w:rFonts w:ascii="Palatino Linotype" w:hAnsi="Palatino Linotype" w:cs="Arial"/>
        </w:rPr>
        <w:t xml:space="preserve">Con fecha </w:t>
      </w:r>
      <w:r w:rsidR="0048181B">
        <w:rPr>
          <w:rFonts w:ascii="Palatino Linotype" w:hAnsi="Palatino Linotype" w:cs="Arial"/>
        </w:rPr>
        <w:t xml:space="preserve">veintitrés de </w:t>
      </w:r>
      <w:r w:rsidR="009435F0">
        <w:rPr>
          <w:rFonts w:ascii="Palatino Linotype" w:hAnsi="Palatino Linotype" w:cs="Arial"/>
        </w:rPr>
        <w:t>abril</w:t>
      </w:r>
      <w:r w:rsidR="007F1F16">
        <w:rPr>
          <w:rFonts w:ascii="Palatino Linotype" w:hAnsi="Palatino Linotype" w:cs="Arial"/>
        </w:rPr>
        <w:t xml:space="preserve"> d</w:t>
      </w:r>
      <w:r w:rsidR="00D5352C">
        <w:rPr>
          <w:rFonts w:ascii="Palatino Linotype" w:hAnsi="Palatino Linotype" w:cs="Arial"/>
        </w:rPr>
        <w:t>e</w:t>
      </w:r>
      <w:r w:rsidR="00043AE9">
        <w:rPr>
          <w:rFonts w:ascii="Palatino Linotype" w:hAnsi="Palatino Linotype" w:cs="Arial"/>
        </w:rPr>
        <w:t xml:space="preserve"> dos </w:t>
      </w:r>
      <w:r w:rsidR="00A377B0" w:rsidRPr="00A4521A">
        <w:rPr>
          <w:rFonts w:ascii="Palatino Linotype" w:hAnsi="Palatino Linotype" w:cs="Arial"/>
        </w:rPr>
        <w:t>mil ve</w:t>
      </w:r>
      <w:r w:rsidR="009B7603" w:rsidRPr="00A4521A">
        <w:rPr>
          <w:rFonts w:ascii="Palatino Linotype" w:hAnsi="Palatino Linotype" w:cs="Arial"/>
        </w:rPr>
        <w:t>int</w:t>
      </w:r>
      <w:r w:rsidR="007F1F16">
        <w:rPr>
          <w:rFonts w:ascii="Palatino Linotype" w:hAnsi="Palatino Linotype" w:cs="Arial"/>
        </w:rPr>
        <w:t>iuno</w:t>
      </w:r>
      <w:r w:rsidR="00A377B0" w:rsidRPr="00A4521A">
        <w:rPr>
          <w:rFonts w:ascii="Palatino Linotype" w:hAnsi="Palatino Linotype" w:cs="Arial"/>
        </w:rPr>
        <w:t xml:space="preserve">, </w:t>
      </w:r>
      <w:r w:rsidR="00D5352C">
        <w:rPr>
          <w:rFonts w:ascii="Palatino Linotype" w:hAnsi="Palatino Linotype" w:cs="Arial"/>
        </w:rPr>
        <w:t>el</w:t>
      </w:r>
      <w:r w:rsidR="00A377B0" w:rsidRPr="00A4521A">
        <w:rPr>
          <w:rFonts w:ascii="Palatino Linotype" w:hAnsi="Palatino Linotype" w:cs="Arial"/>
        </w:rPr>
        <w:t xml:space="preserve"> ahora </w:t>
      </w:r>
      <w:r w:rsidR="00A377B0" w:rsidRPr="00A4521A">
        <w:rPr>
          <w:rFonts w:ascii="Palatino Linotype" w:hAnsi="Palatino Linotype" w:cs="Arial"/>
          <w:b/>
          <w:i/>
        </w:rPr>
        <w:t>Recurrente</w:t>
      </w:r>
      <w:r w:rsidR="00A377B0" w:rsidRPr="00A4521A">
        <w:rPr>
          <w:rFonts w:ascii="Palatino Linotype" w:hAnsi="Palatino Linotype" w:cs="Arial"/>
        </w:rPr>
        <w:t xml:space="preserve"> formuló solicitud de acceso a la información pública al </w:t>
      </w:r>
      <w:r w:rsidR="00A377B0" w:rsidRPr="00A4521A">
        <w:rPr>
          <w:rFonts w:ascii="Palatino Linotype" w:hAnsi="Palatino Linotype" w:cs="Arial"/>
          <w:b/>
        </w:rPr>
        <w:t>Sujeto Obligado</w:t>
      </w:r>
      <w:r w:rsidR="00A377B0" w:rsidRPr="00A4521A">
        <w:rPr>
          <w:rFonts w:ascii="Palatino Linotype" w:hAnsi="Palatino Linotype" w:cs="Arial"/>
        </w:rPr>
        <w:t xml:space="preserve"> a través del Sistema de Acceso a la Información Mexiquense, en adelante </w:t>
      </w:r>
      <w:r w:rsidR="00A377B0" w:rsidRPr="00A4521A">
        <w:rPr>
          <w:rFonts w:ascii="Palatino Linotype" w:hAnsi="Palatino Linotype" w:cs="Arial"/>
          <w:b/>
        </w:rPr>
        <w:t>SAIMEX,</w:t>
      </w:r>
      <w:r w:rsidR="00A377B0" w:rsidRPr="00A4521A">
        <w:rPr>
          <w:rFonts w:ascii="Palatino Linotype" w:hAnsi="Palatino Linotype" w:cs="Arial"/>
        </w:rPr>
        <w:t xml:space="preserve"> requiriendo lo siguiente:</w:t>
      </w:r>
    </w:p>
    <w:p w14:paraId="219942AE" w14:textId="02EEDB4D" w:rsidR="00A377B0" w:rsidRPr="009435F0" w:rsidRDefault="00A377B0" w:rsidP="009435F0">
      <w:pPr>
        <w:spacing w:before="240" w:after="240" w:line="360" w:lineRule="auto"/>
        <w:ind w:left="851" w:right="902"/>
        <w:jc w:val="both"/>
        <w:rPr>
          <w:lang w:val="es-MX" w:eastAsia="es-MX"/>
        </w:rPr>
      </w:pPr>
      <w:r w:rsidRPr="009435F0">
        <w:rPr>
          <w:rFonts w:ascii="Palatino Linotype" w:hAnsi="Palatino Linotype"/>
          <w:i/>
        </w:rPr>
        <w:t>“</w:t>
      </w:r>
      <w:r w:rsidR="009435F0" w:rsidRPr="009435F0">
        <w:rPr>
          <w:rFonts w:ascii="Palatino Linotype" w:hAnsi="Palatino Linotype"/>
          <w:i/>
          <w:lang w:val="es-MX" w:eastAsia="es-MX"/>
        </w:rPr>
        <w:t xml:space="preserve">SOLICITO COPIA DE LA CERTIFICACION DEL PROCURADOR, LA TESORERA Y EL TITULAR DE LA UNIDAD DE TRANSPARENCIA, DEL SISTEMA MUNICIPAL DIF TECMAC. SOLICITO LOS PBRM DE LS CENTROS DE DESAROLLO COMUNITARIO, EL PANTEON MUNICIPAL Y SRVICIOS FUNERARIOS Y DE CENTROS DE DESARROLLO COMUNITARIO. SOLICITO LA NOMINA 2019, 2020 Y 2021 DE </w:t>
      </w:r>
      <w:r w:rsidR="009435F0" w:rsidRPr="009435F0">
        <w:rPr>
          <w:rFonts w:ascii="Palatino Linotype" w:hAnsi="Palatino Linotype"/>
          <w:i/>
          <w:lang w:val="es-MX" w:eastAsia="es-MX"/>
        </w:rPr>
        <w:lastRenderedPageBreak/>
        <w:t>TODOS LOS NIVELES DE TODAS LAS AREAS, ASI COMO ESPECIFICAR EL LUGAR DE TRABAJO. ESTA INFORMACION NO SE ENCUENTRA PUBLICADA EN LA PAGINA DE IPOMEX DE CORRESPONDIENTE DEL SISTEMA MUNICIPAL DIF TECAMAC. SOLICITO EL PADRON DE BENEFICIARIOS DE LAS TARJETAS DE APOYO EN EFECTIVO DEL AÑO 2019, ASI COMO LAS REGLAS DE OPERACION, ESTA INFORMACION ES PUBLICA Y NO SE ENCUENTRA EN LA PAGINA DE IPOMEX DEL SISTEMA MINCIPAL DIF. SOLICITO VIATICOS DE TESORERIA Y ADMINITRACION, ASI COMO DE LA DIRECCION DEL AÑO 2019, 2020 Y 2021 LISTA DE NOMINA ( NO RECIBOS) DE TODOS LOS NIVELES 2019, 2020 Y 2021, CON SUELDO BRUTO Y NETO, AREA Y LUGAR DE TRABAJO- SOLICITO LISTA DE NOMINA DE TODAS LAS AREAS 2021 DE ENERO, FEBRERO Y MARZO, CON AREA DE TRABAJO Y FUNCION DEL SISTEMA MUNCIPAL DIF TECAMAC `</w:t>
      </w:r>
      <w:r w:rsidRPr="00A4521A">
        <w:rPr>
          <w:rFonts w:ascii="Palatino Linotype" w:hAnsi="Palatino Linotype" w:cs="Arial"/>
          <w:i/>
        </w:rPr>
        <w:t>”(sic)</w:t>
      </w:r>
    </w:p>
    <w:p w14:paraId="0F9FCB1B" w14:textId="77777777" w:rsidR="00A377B0" w:rsidRPr="00A4521A" w:rsidRDefault="00A377B0" w:rsidP="00A377B0">
      <w:pPr>
        <w:spacing w:before="240" w:after="240" w:line="360" w:lineRule="auto"/>
        <w:jc w:val="both"/>
        <w:rPr>
          <w:rFonts w:ascii="Palatino Linotype" w:hAnsi="Palatino Linotype" w:cs="Arial"/>
          <w:b/>
        </w:rPr>
      </w:pPr>
      <w:r w:rsidRPr="00A4521A">
        <w:rPr>
          <w:rFonts w:ascii="Palatino Linotype" w:hAnsi="Palatino Linotype" w:cs="Arial"/>
        </w:rPr>
        <w:t>El solicitante indicó como modalidad de entrega el</w:t>
      </w:r>
      <w:r w:rsidRPr="00A4521A">
        <w:rPr>
          <w:rFonts w:ascii="Palatino Linotype" w:hAnsi="Palatino Linotype" w:cs="Arial"/>
          <w:b/>
        </w:rPr>
        <w:t xml:space="preserve"> SAIMEX.</w:t>
      </w:r>
    </w:p>
    <w:p w14:paraId="486A14B9" w14:textId="24FD4F13" w:rsidR="008E7698" w:rsidRPr="00A4521A" w:rsidRDefault="00C834AA" w:rsidP="00A377B0">
      <w:pPr>
        <w:spacing w:before="240" w:after="240" w:line="360" w:lineRule="auto"/>
        <w:jc w:val="both"/>
        <w:rPr>
          <w:rFonts w:ascii="Palatino Linotype" w:hAnsi="Palatino Linotype" w:cs="Arial"/>
        </w:rPr>
      </w:pPr>
      <w:r w:rsidRPr="00A4521A">
        <w:rPr>
          <w:rFonts w:ascii="Palatino Linotype" w:hAnsi="Palatino Linotype" w:cs="Arial"/>
          <w:b/>
          <w:sz w:val="28"/>
          <w:szCs w:val="28"/>
        </w:rPr>
        <w:t xml:space="preserve">2. </w:t>
      </w:r>
      <w:r w:rsidR="008E7698" w:rsidRPr="00A4521A">
        <w:rPr>
          <w:rFonts w:ascii="Palatino Linotype" w:hAnsi="Palatino Linotype" w:cs="Arial"/>
          <w:b/>
          <w:sz w:val="28"/>
          <w:szCs w:val="28"/>
        </w:rPr>
        <w:t>Respuesta.</w:t>
      </w:r>
      <w:r w:rsidR="008E7698" w:rsidRPr="00A4521A">
        <w:rPr>
          <w:rFonts w:ascii="Palatino Linotype" w:hAnsi="Palatino Linotype" w:cs="Arial"/>
          <w:b/>
        </w:rPr>
        <w:t xml:space="preserve"> </w:t>
      </w:r>
      <w:r w:rsidR="008E7698" w:rsidRPr="00A4521A">
        <w:rPr>
          <w:rFonts w:ascii="Palatino Linotype" w:hAnsi="Palatino Linotype" w:cs="Arial"/>
        </w:rPr>
        <w:t xml:space="preserve">Con </w:t>
      </w:r>
      <w:r w:rsidR="00DC3B6D" w:rsidRPr="00A4521A">
        <w:rPr>
          <w:rFonts w:ascii="Palatino Linotype" w:hAnsi="Palatino Linotype" w:cs="Arial"/>
        </w:rPr>
        <w:t xml:space="preserve">base en el detalle de seguimiento que obra en el </w:t>
      </w:r>
      <w:r w:rsidR="00DC3B6D" w:rsidRPr="00A4521A">
        <w:rPr>
          <w:rFonts w:ascii="Palatino Linotype" w:hAnsi="Palatino Linotype" w:cs="Arial"/>
          <w:b/>
        </w:rPr>
        <w:t xml:space="preserve">SAIMEX, </w:t>
      </w:r>
      <w:r w:rsidR="00DC3B6D" w:rsidRPr="00A4521A">
        <w:rPr>
          <w:rFonts w:ascii="Palatino Linotype" w:hAnsi="Palatino Linotype" w:cs="Arial"/>
        </w:rPr>
        <w:t xml:space="preserve">se advierte que el </w:t>
      </w:r>
      <w:r w:rsidR="00DC3B6D" w:rsidRPr="00A4521A">
        <w:rPr>
          <w:rFonts w:ascii="Palatino Linotype" w:hAnsi="Palatino Linotype" w:cs="Arial"/>
          <w:b/>
        </w:rPr>
        <w:t xml:space="preserve">Sujeto Obligado </w:t>
      </w:r>
      <w:r w:rsidR="00DC3B6D" w:rsidRPr="00A4521A">
        <w:rPr>
          <w:rFonts w:ascii="Palatino Linotype" w:hAnsi="Palatino Linotype" w:cs="Arial"/>
        </w:rPr>
        <w:t>omitió dar contestación a la solicitud de acceso a la información pública, tal y como se aprecia a continuación:</w:t>
      </w:r>
    </w:p>
    <w:p w14:paraId="3ED27A1E" w14:textId="77777777" w:rsidR="00110741" w:rsidRDefault="00110741" w:rsidP="00092DFC">
      <w:pPr>
        <w:spacing w:before="240" w:after="240" w:line="360" w:lineRule="auto"/>
        <w:rPr>
          <w:noProof/>
          <w:lang w:val="es-MX" w:eastAsia="es-MX"/>
        </w:rPr>
      </w:pPr>
    </w:p>
    <w:p w14:paraId="788BDF7A" w14:textId="77777777" w:rsidR="00110741" w:rsidRDefault="00110741" w:rsidP="00092DFC">
      <w:pPr>
        <w:spacing w:before="240" w:after="240" w:line="360" w:lineRule="auto"/>
        <w:rPr>
          <w:noProof/>
          <w:lang w:val="es-MX" w:eastAsia="es-MX"/>
        </w:rPr>
      </w:pPr>
    </w:p>
    <w:p w14:paraId="38359AC4" w14:textId="6D7CDA87" w:rsidR="00DC3B6D" w:rsidRPr="00A4521A" w:rsidRDefault="00110741" w:rsidP="00092DFC">
      <w:pPr>
        <w:spacing w:before="240" w:after="240" w:line="360" w:lineRule="auto"/>
        <w:rPr>
          <w:rFonts w:ascii="Palatino Linotype" w:hAnsi="Palatino Linotype" w:cs="Arial"/>
          <w:b/>
          <w:sz w:val="28"/>
          <w:szCs w:val="28"/>
        </w:rPr>
      </w:pPr>
      <w:r>
        <w:rPr>
          <w:noProof/>
          <w:lang w:val="es-MX" w:eastAsia="es-MX"/>
        </w:rPr>
        <w:lastRenderedPageBreak/>
        <w:drawing>
          <wp:inline distT="0" distB="0" distL="0" distR="0" wp14:anchorId="69D86CF2" wp14:editId="75F6A867">
            <wp:extent cx="5734050" cy="12001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602" t="20921" r="67242" b="66003"/>
                    <a:stretch/>
                  </pic:blipFill>
                  <pic:spPr bwMode="auto">
                    <a:xfrm>
                      <a:off x="0" y="0"/>
                      <a:ext cx="5734050" cy="1200150"/>
                    </a:xfrm>
                    <a:prstGeom prst="rect">
                      <a:avLst/>
                    </a:prstGeom>
                    <a:ln>
                      <a:noFill/>
                    </a:ln>
                    <a:extLst>
                      <a:ext uri="{53640926-AAD7-44D8-BBD7-CCE9431645EC}">
                        <a14:shadowObscured xmlns:a14="http://schemas.microsoft.com/office/drawing/2010/main"/>
                      </a:ext>
                    </a:extLst>
                  </pic:spPr>
                </pic:pic>
              </a:graphicData>
            </a:graphic>
          </wp:inline>
        </w:drawing>
      </w:r>
      <w:r w:rsidR="00B86BEE" w:rsidRPr="00A4521A">
        <w:rPr>
          <w:rFonts w:ascii="Palatino Linotype" w:hAnsi="Palatino Linotype" w:cs="Arial"/>
          <w:b/>
          <w:noProof/>
          <w:sz w:val="28"/>
          <w:szCs w:val="28"/>
          <w:lang w:val="es-MX" w:eastAsia="es-MX"/>
        </w:rPr>
        <w:t xml:space="preserve"> </w:t>
      </w:r>
    </w:p>
    <w:p w14:paraId="55F822E5" w14:textId="1FEE029E" w:rsidR="00A377B0" w:rsidRPr="00A4521A" w:rsidRDefault="00CE4ACF" w:rsidP="00A377B0">
      <w:pPr>
        <w:spacing w:before="240" w:after="240" w:line="360" w:lineRule="auto"/>
        <w:jc w:val="both"/>
        <w:rPr>
          <w:rFonts w:ascii="Palatino Linotype" w:hAnsi="Palatino Linotype" w:cs="Arial"/>
        </w:rPr>
      </w:pPr>
      <w:r w:rsidRPr="00A4521A">
        <w:rPr>
          <w:rFonts w:ascii="Palatino Linotype" w:hAnsi="Palatino Linotype" w:cs="Arial"/>
          <w:b/>
          <w:sz w:val="28"/>
          <w:szCs w:val="28"/>
        </w:rPr>
        <w:t>3</w:t>
      </w:r>
      <w:r w:rsidR="008E7698" w:rsidRPr="00A4521A">
        <w:rPr>
          <w:rFonts w:ascii="Palatino Linotype" w:hAnsi="Palatino Linotype" w:cs="Arial"/>
          <w:b/>
          <w:sz w:val="28"/>
          <w:szCs w:val="28"/>
        </w:rPr>
        <w:t xml:space="preserve">. </w:t>
      </w:r>
      <w:r w:rsidR="00A377B0" w:rsidRPr="00A4521A">
        <w:rPr>
          <w:rFonts w:ascii="Palatino Linotype" w:hAnsi="Palatino Linotype" w:cs="Arial"/>
          <w:b/>
          <w:sz w:val="28"/>
          <w:szCs w:val="28"/>
        </w:rPr>
        <w:t>Recurso de revisión.</w:t>
      </w:r>
      <w:r w:rsidR="00A377B0" w:rsidRPr="00A4521A">
        <w:rPr>
          <w:rFonts w:ascii="Palatino Linotype" w:hAnsi="Palatino Linotype" w:cs="Arial"/>
          <w:b/>
        </w:rPr>
        <w:t xml:space="preserve"> </w:t>
      </w:r>
      <w:r w:rsidR="00A377B0" w:rsidRPr="00A4521A">
        <w:rPr>
          <w:rFonts w:ascii="Palatino Linotype" w:hAnsi="Palatino Linotype" w:cs="Arial"/>
        </w:rPr>
        <w:t xml:space="preserve">El recurso de revisión se interpuso a través del SAIMEX con fecha </w:t>
      </w:r>
      <w:r w:rsidR="009435F0">
        <w:rPr>
          <w:rFonts w:ascii="Palatino Linotype" w:hAnsi="Palatino Linotype" w:cs="Arial"/>
        </w:rPr>
        <w:t>veintidós de junio</w:t>
      </w:r>
      <w:r w:rsidR="007F1F16">
        <w:rPr>
          <w:rFonts w:ascii="Palatino Linotype" w:hAnsi="Palatino Linotype" w:cs="Arial"/>
        </w:rPr>
        <w:t xml:space="preserve"> </w:t>
      </w:r>
      <w:r w:rsidR="00D5352C">
        <w:rPr>
          <w:rFonts w:ascii="Palatino Linotype" w:hAnsi="Palatino Linotype" w:cs="Arial"/>
        </w:rPr>
        <w:t>de dos mil veintiuno</w:t>
      </w:r>
      <w:r w:rsidR="00A377B0" w:rsidRPr="00A4521A">
        <w:rPr>
          <w:rFonts w:ascii="Palatino Linotype" w:hAnsi="Palatino Linotype" w:cs="Arial"/>
        </w:rPr>
        <w:t>, por parte del solicitante de información, quien expresó las siguientes manifestaciones:</w:t>
      </w:r>
    </w:p>
    <w:p w14:paraId="2B5F8076" w14:textId="77777777" w:rsidR="00A377B0" w:rsidRPr="00A4521A" w:rsidRDefault="00A377B0" w:rsidP="00A377B0">
      <w:pPr>
        <w:spacing w:before="240" w:after="240" w:line="360" w:lineRule="auto"/>
        <w:ind w:left="567"/>
        <w:rPr>
          <w:rFonts w:ascii="Palatino Linotype" w:hAnsi="Palatino Linotype" w:cs="Arial"/>
          <w:b/>
        </w:rPr>
      </w:pPr>
      <w:r w:rsidRPr="00A4521A">
        <w:rPr>
          <w:rFonts w:ascii="Palatino Linotype" w:hAnsi="Palatino Linotype" w:cs="Arial"/>
          <w:b/>
        </w:rPr>
        <w:t>a) Acto impugnado.</w:t>
      </w:r>
    </w:p>
    <w:p w14:paraId="09CFFD78" w14:textId="0225ADD3" w:rsidR="00A377B0" w:rsidRPr="00A4521A" w:rsidRDefault="00A377B0" w:rsidP="00A377B0">
      <w:pPr>
        <w:spacing w:before="240" w:after="240" w:line="360" w:lineRule="auto"/>
        <w:ind w:left="992" w:right="1043"/>
        <w:jc w:val="both"/>
        <w:rPr>
          <w:rFonts w:ascii="Palatino Linotype" w:hAnsi="Palatino Linotype" w:cs="Arial"/>
        </w:rPr>
      </w:pPr>
      <w:r w:rsidRPr="00A4521A">
        <w:rPr>
          <w:rFonts w:ascii="Palatino Linotype" w:hAnsi="Palatino Linotype"/>
          <w:i/>
        </w:rPr>
        <w:t>“</w:t>
      </w:r>
      <w:r w:rsidR="009435F0" w:rsidRPr="009435F0">
        <w:rPr>
          <w:rFonts w:ascii="Palatino Linotype" w:hAnsi="Palatino Linotype"/>
          <w:i/>
          <w:color w:val="000000"/>
        </w:rPr>
        <w:t>NO SE ENTREGO LA INFORMACION SOLICITADA FOLIO 00011/DIFTECAMAC/IP/2021</w:t>
      </w:r>
      <w:r w:rsidRPr="00A4521A">
        <w:rPr>
          <w:rFonts w:ascii="Palatino Linotype" w:hAnsi="Palatino Linotype"/>
          <w:i/>
        </w:rPr>
        <w:t>”</w:t>
      </w:r>
      <w:r w:rsidRPr="00A4521A">
        <w:rPr>
          <w:rFonts w:ascii="Palatino Linotype" w:hAnsi="Palatino Linotype" w:cs="Arial"/>
          <w:i/>
        </w:rPr>
        <w:t xml:space="preserve"> </w:t>
      </w:r>
      <w:r w:rsidRPr="00A4521A">
        <w:rPr>
          <w:rFonts w:ascii="Palatino Linotype" w:hAnsi="Palatino Linotype" w:cs="Arial"/>
        </w:rPr>
        <w:t>(sic)</w:t>
      </w:r>
    </w:p>
    <w:p w14:paraId="0B3BACD4" w14:textId="77777777" w:rsidR="00A377B0" w:rsidRPr="00A4521A" w:rsidRDefault="00A377B0" w:rsidP="00A377B0">
      <w:pPr>
        <w:spacing w:before="240" w:after="240" w:line="360" w:lineRule="auto"/>
        <w:ind w:left="567"/>
        <w:jc w:val="both"/>
        <w:rPr>
          <w:rFonts w:ascii="Palatino Linotype" w:hAnsi="Palatino Linotype" w:cs="Arial"/>
          <w:b/>
        </w:rPr>
      </w:pPr>
      <w:r w:rsidRPr="00A4521A">
        <w:rPr>
          <w:rFonts w:ascii="Palatino Linotype" w:hAnsi="Palatino Linotype" w:cs="Arial"/>
          <w:b/>
        </w:rPr>
        <w:t>b) Motivos de inconformidad.</w:t>
      </w:r>
    </w:p>
    <w:p w14:paraId="0B61F864" w14:textId="061652D0" w:rsidR="00A377B0" w:rsidRPr="00A4521A" w:rsidRDefault="00A377B0" w:rsidP="00CE4ACF">
      <w:pPr>
        <w:spacing w:before="240" w:after="240" w:line="360" w:lineRule="auto"/>
        <w:ind w:left="851"/>
        <w:jc w:val="both"/>
        <w:rPr>
          <w:rFonts w:ascii="Palatino Linotype" w:hAnsi="Palatino Linotype" w:cs="Arial"/>
          <w:i/>
        </w:rPr>
      </w:pPr>
      <w:r w:rsidRPr="00A4521A">
        <w:rPr>
          <w:rFonts w:ascii="Palatino Linotype" w:hAnsi="Palatino Linotype"/>
          <w:i/>
        </w:rPr>
        <w:t>“</w:t>
      </w:r>
      <w:r w:rsidR="009435F0" w:rsidRPr="009435F0">
        <w:rPr>
          <w:rFonts w:ascii="Palatino Linotype" w:hAnsi="Palatino Linotype"/>
          <w:i/>
          <w:color w:val="000000"/>
        </w:rPr>
        <w:t xml:space="preserve">SOLICITO COPIA DE LA CERTIFICACION DEL PROCURADOR, LA TESORERA Y EL TITULAR DE LA UNIDAD DE TRANSPARENCIA, DEL SISTEMA MUNICIPAL DIF TECMAC. SOLICITO LOS PBRM DE LS CENTROS DE DESAROLLO COMUNITARIO, EL PANTEON MUNICIPAL Y SRVICIOS FUNERARIOS Y DE CENTROS DE DESARROLLO COMUNITARIO. SOLICITO LA NOMINA 2019, 2020 Y 2021 DE TODOS LOS NIVELES DE TODAS LAS AREAS, ASI COMO ESPECIFICAR EL LUGAR DE TRABAJO. ESTA INFORMACION NO SE ENCUENTRA PUBLICADA EN LA PAGINA DE IPOMEX DE CORRESPONDIENTE DEL SISTEMA MUNICIPAL DIF TECAMAC. SOLICITO EL PADRON DE </w:t>
      </w:r>
      <w:r w:rsidR="009435F0" w:rsidRPr="009435F0">
        <w:rPr>
          <w:rFonts w:ascii="Palatino Linotype" w:hAnsi="Palatino Linotype"/>
          <w:i/>
          <w:color w:val="000000"/>
        </w:rPr>
        <w:lastRenderedPageBreak/>
        <w:t>BENEFICIARIOS DE LAS TARJETAS DE APOYO EN EFECTIVO DEL AÑO 2019, ASI COMO LAS REGLAS DE OPERACION, ESTA INFORMACION ES PUBLICA Y NO SE ENCUENTRA EN LA PAGINA DE IPOMEX DEL SISTEMA MINCIPAL DIF. SOLICITO VIATICOS DE TESORERIA Y ADMINITRACION, ASI COMO DE LA DIRECCION DEL AÑO 2019, 2020 Y 2021 LISTA DE NOMINA ( NO RECIBOS) DE TODOS LOS NIVELES 2019, 2020 Y 2021, CON SUELDO B</w:t>
      </w:r>
      <w:bookmarkStart w:id="0" w:name="_GoBack"/>
      <w:bookmarkEnd w:id="0"/>
      <w:r w:rsidR="009435F0" w:rsidRPr="009435F0">
        <w:rPr>
          <w:rFonts w:ascii="Palatino Linotype" w:hAnsi="Palatino Linotype"/>
          <w:i/>
          <w:color w:val="000000"/>
        </w:rPr>
        <w:t>RUTO Y NETO, AREA Y LUGAR DE TRABAJO- SOLICITO LISTA DE NOMINA DE TODAS LAS AREAS 2021 DE ENERO, FEBRERO Y MARZO, CON AREA DE TRABAJO Y FUNCION DEL SISTEMA MUNCIPAL DIF TECAMAC `</w:t>
      </w:r>
      <w:r w:rsidRPr="00A4521A">
        <w:rPr>
          <w:rFonts w:ascii="Palatino Linotype" w:hAnsi="Palatino Linotype"/>
          <w:i/>
        </w:rPr>
        <w:t>”</w:t>
      </w:r>
      <w:r w:rsidRPr="00A4521A">
        <w:rPr>
          <w:rFonts w:ascii="Palatino Linotype" w:hAnsi="Palatino Linotype" w:cs="Arial"/>
          <w:i/>
        </w:rPr>
        <w:t xml:space="preserve"> (sic)</w:t>
      </w:r>
    </w:p>
    <w:p w14:paraId="1D62F603" w14:textId="70DD7320" w:rsidR="00D41D70" w:rsidRPr="00A4521A" w:rsidRDefault="00CE4ACF" w:rsidP="00A377B0">
      <w:pPr>
        <w:spacing w:before="240" w:after="240" w:line="360" w:lineRule="auto"/>
        <w:jc w:val="both"/>
        <w:rPr>
          <w:rFonts w:ascii="Palatino Linotype" w:hAnsi="Palatino Linotype" w:cs="Arial"/>
        </w:rPr>
      </w:pPr>
      <w:r w:rsidRPr="00A4521A">
        <w:rPr>
          <w:rFonts w:ascii="Palatino Linotype" w:hAnsi="Palatino Linotype" w:cs="Arial"/>
          <w:b/>
          <w:sz w:val="28"/>
          <w:szCs w:val="28"/>
        </w:rPr>
        <w:t>4</w:t>
      </w:r>
      <w:r w:rsidR="008E7698" w:rsidRPr="00A4521A">
        <w:rPr>
          <w:rFonts w:ascii="Palatino Linotype" w:hAnsi="Palatino Linotype" w:cs="Arial"/>
          <w:b/>
          <w:sz w:val="28"/>
          <w:szCs w:val="28"/>
        </w:rPr>
        <w:t xml:space="preserve">. </w:t>
      </w:r>
      <w:r w:rsidR="00D41D70" w:rsidRPr="00A4521A">
        <w:rPr>
          <w:rFonts w:ascii="Palatino Linotype" w:eastAsia="Calibri" w:hAnsi="Palatino Linotype" w:cs="Arial"/>
          <w:b/>
          <w:sz w:val="28"/>
          <w:szCs w:val="28"/>
        </w:rPr>
        <w:t xml:space="preserve">Turno. </w:t>
      </w:r>
      <w:r w:rsidR="00D41D70" w:rsidRPr="00A4521A">
        <w:rPr>
          <w:rFonts w:ascii="Palatino Linotype" w:eastAsia="Calibri" w:hAnsi="Palatino Linotype" w:cs="Arial"/>
        </w:rPr>
        <w:t xml:space="preserve">De conformidad con el artículo 185 fracción I de la Ley de Transparencia y Acceso a la Información Pública del Estado de México y Municipios vigente, el presente recurso de revisión se envió electrónicamente al Instituto de Transparencia, Acceso a la Información Pública y Protección de Datos Personales del Estado de México y Municipios, que </w:t>
      </w:r>
      <w:r w:rsidR="00D41D70" w:rsidRPr="00A4521A">
        <w:rPr>
          <w:rFonts w:ascii="Palatino Linotype" w:hAnsi="Palatino Linotype" w:cs="Arial"/>
        </w:rPr>
        <w:t>por razón de turno fue asignado al</w:t>
      </w:r>
      <w:r w:rsidR="00D41D70" w:rsidRPr="00A4521A">
        <w:rPr>
          <w:rFonts w:ascii="Palatino Linotype" w:eastAsia="Calibri" w:hAnsi="Palatino Linotype" w:cs="Arial"/>
        </w:rPr>
        <w:t xml:space="preserve"> Comisionado </w:t>
      </w:r>
      <w:r w:rsidR="00D41D70" w:rsidRPr="00A4521A">
        <w:rPr>
          <w:rFonts w:ascii="Palatino Linotype" w:eastAsia="Calibri" w:hAnsi="Palatino Linotype" w:cs="Arial"/>
          <w:b/>
        </w:rPr>
        <w:t>Javier Martínez Cruz</w:t>
      </w:r>
      <w:r w:rsidR="00D41D70" w:rsidRPr="00A4521A">
        <w:rPr>
          <w:rFonts w:ascii="Palatino Linotype" w:hAnsi="Palatino Linotype" w:cs="Arial"/>
        </w:rPr>
        <w:t xml:space="preserve"> para su análisis, estudio, elaboración del proyecto y </w:t>
      </w:r>
      <w:r w:rsidR="00D41D70" w:rsidRPr="00A4521A">
        <w:rPr>
          <w:rFonts w:ascii="Palatino Linotype" w:eastAsia="Calibri" w:hAnsi="Palatino Linotype" w:cs="Arial"/>
        </w:rPr>
        <w:t>presentación ante el Pleno de este Instituto.</w:t>
      </w:r>
    </w:p>
    <w:p w14:paraId="64E6B459" w14:textId="04B21488" w:rsidR="00D41D70" w:rsidRPr="00A4521A" w:rsidRDefault="00CE4ACF" w:rsidP="00184FBA">
      <w:pPr>
        <w:spacing w:before="240" w:after="240" w:line="360" w:lineRule="auto"/>
        <w:jc w:val="both"/>
        <w:rPr>
          <w:rFonts w:cs="Arial"/>
        </w:rPr>
      </w:pPr>
      <w:r w:rsidRPr="00A4521A">
        <w:rPr>
          <w:rFonts w:ascii="Palatino Linotype" w:hAnsi="Palatino Linotype" w:cs="Arial"/>
          <w:b/>
          <w:sz w:val="28"/>
          <w:szCs w:val="28"/>
        </w:rPr>
        <w:t>5</w:t>
      </w:r>
      <w:r w:rsidR="00D41D70" w:rsidRPr="00A4521A">
        <w:rPr>
          <w:rFonts w:ascii="Palatino Linotype" w:hAnsi="Palatino Linotype" w:cs="Arial"/>
          <w:b/>
          <w:sz w:val="28"/>
          <w:szCs w:val="28"/>
        </w:rPr>
        <w:t xml:space="preserve">. Admisión. </w:t>
      </w:r>
      <w:r w:rsidR="00D41D70" w:rsidRPr="00A4521A">
        <w:rPr>
          <w:rFonts w:ascii="Palatino Linotype" w:hAnsi="Palatino Linotype" w:cs="Arial"/>
        </w:rPr>
        <w:t xml:space="preserve">Mediante auto de fecha </w:t>
      </w:r>
      <w:r w:rsidR="009435F0">
        <w:rPr>
          <w:rFonts w:ascii="Palatino Linotype" w:hAnsi="Palatino Linotype" w:cs="Arial"/>
        </w:rPr>
        <w:t xml:space="preserve">veintiocho de junio </w:t>
      </w:r>
      <w:r w:rsidR="007F1F16">
        <w:rPr>
          <w:rFonts w:ascii="Palatino Linotype" w:hAnsi="Palatino Linotype" w:cs="Arial"/>
        </w:rPr>
        <w:t>d</w:t>
      </w:r>
      <w:r w:rsidR="00D5352C">
        <w:rPr>
          <w:rFonts w:ascii="Palatino Linotype" w:hAnsi="Palatino Linotype" w:cs="Arial"/>
        </w:rPr>
        <w:t>el año en curso</w:t>
      </w:r>
      <w:r w:rsidR="00D41D70" w:rsidRPr="00A4521A">
        <w:rPr>
          <w:rFonts w:ascii="Palatino Linotype" w:hAnsi="Palatino Linotype" w:cs="Arial"/>
        </w:rPr>
        <w:t xml:space="preserve">, este Órgano Garante, admitió a trámite el recurso de revisión respectivo, </w:t>
      </w:r>
      <w:r w:rsidR="00BD000E" w:rsidRPr="00A4521A">
        <w:rPr>
          <w:rFonts w:ascii="Palatino Linotype" w:hAnsi="Palatino Linotype" w:cs="Arial"/>
        </w:rPr>
        <w:t xml:space="preserve">poniéndose </w:t>
      </w:r>
      <w:r w:rsidR="00D41D70" w:rsidRPr="00A4521A">
        <w:rPr>
          <w:rFonts w:ascii="Palatino Linotype" w:hAnsi="Palatino Linotype" w:cs="Arial"/>
        </w:rPr>
        <w:t xml:space="preserve">a disposición de las partes, para que </w:t>
      </w:r>
      <w:r w:rsidR="00092DFC" w:rsidRPr="00A4521A">
        <w:rPr>
          <w:rFonts w:ascii="Palatino Linotype" w:hAnsi="Palatino Linotype" w:cs="Arial"/>
        </w:rPr>
        <w:t>un plazo no mayor a siete días hábiles manifestase</w:t>
      </w:r>
      <w:r w:rsidR="00D41D70" w:rsidRPr="00A4521A">
        <w:rPr>
          <w:rFonts w:ascii="Palatino Linotype" w:hAnsi="Palatino Linotype" w:cs="Arial"/>
        </w:rPr>
        <w:t xml:space="preserve"> lo que a su derecho corresponda</w:t>
      </w:r>
      <w:r w:rsidR="00BD000E" w:rsidRPr="00A4521A">
        <w:rPr>
          <w:rFonts w:ascii="Palatino Linotype" w:hAnsi="Palatino Linotype" w:cs="Arial"/>
        </w:rPr>
        <w:t xml:space="preserve">, a efecto de ofrecer pruebas, informe justificado y alegatos, lo anterior con fundamento en el artículo 185 fracciones I, II y </w:t>
      </w:r>
      <w:r w:rsidR="00BD000E" w:rsidRPr="00A4521A">
        <w:rPr>
          <w:rFonts w:ascii="Palatino Linotype" w:hAnsi="Palatino Linotype" w:cs="Arial"/>
        </w:rPr>
        <w:lastRenderedPageBreak/>
        <w:t xml:space="preserve">IV de la Ley de Transparencia y Acceso a la Información </w:t>
      </w:r>
      <w:r w:rsidR="00D50580" w:rsidRPr="00A4521A">
        <w:rPr>
          <w:rFonts w:ascii="Palatino Linotype" w:hAnsi="Palatino Linotype" w:cs="Arial"/>
        </w:rPr>
        <w:t>Pública</w:t>
      </w:r>
      <w:r w:rsidR="00BD000E" w:rsidRPr="00A4521A">
        <w:rPr>
          <w:rFonts w:ascii="Palatino Linotype" w:hAnsi="Palatino Linotype" w:cs="Arial"/>
        </w:rPr>
        <w:t xml:space="preserve"> del </w:t>
      </w:r>
      <w:r w:rsidR="00104E08" w:rsidRPr="00A4521A">
        <w:rPr>
          <w:rFonts w:ascii="Palatino Linotype" w:hAnsi="Palatino Linotype" w:cs="Arial"/>
        </w:rPr>
        <w:t>E</w:t>
      </w:r>
      <w:r w:rsidR="00BD000E" w:rsidRPr="00A4521A">
        <w:rPr>
          <w:rFonts w:ascii="Palatino Linotype" w:hAnsi="Palatino Linotype" w:cs="Arial"/>
        </w:rPr>
        <w:t>stado de México y Municipios.</w:t>
      </w:r>
      <w:r w:rsidR="00D41D70" w:rsidRPr="00A4521A">
        <w:rPr>
          <w:rFonts w:ascii="Palatino Linotype" w:hAnsi="Palatino Linotype" w:cs="Arial"/>
        </w:rPr>
        <w:t xml:space="preserve"> </w:t>
      </w:r>
    </w:p>
    <w:p w14:paraId="105470DE" w14:textId="1B6863E4" w:rsidR="009435F0" w:rsidRPr="002450C8" w:rsidRDefault="00CE4ACF" w:rsidP="009435F0">
      <w:pPr>
        <w:spacing w:before="240" w:after="240" w:line="360" w:lineRule="auto"/>
        <w:jc w:val="both"/>
        <w:rPr>
          <w:rFonts w:ascii="Palatino Linotype" w:hAnsi="Palatino Linotype"/>
        </w:rPr>
      </w:pPr>
      <w:r w:rsidRPr="00A4521A">
        <w:rPr>
          <w:rFonts w:ascii="Palatino Linotype" w:hAnsi="Palatino Linotype" w:cs="Arial"/>
          <w:b/>
          <w:sz w:val="28"/>
          <w:szCs w:val="28"/>
        </w:rPr>
        <w:t>6</w:t>
      </w:r>
      <w:r w:rsidR="004E4987" w:rsidRPr="00A4521A">
        <w:rPr>
          <w:rFonts w:ascii="Palatino Linotype" w:hAnsi="Palatino Linotype" w:cs="Arial"/>
          <w:b/>
          <w:sz w:val="28"/>
          <w:szCs w:val="28"/>
        </w:rPr>
        <w:t xml:space="preserve">. </w:t>
      </w:r>
      <w:r w:rsidR="00E954B7" w:rsidRPr="00A4521A">
        <w:rPr>
          <w:rFonts w:ascii="Palatino Linotype" w:hAnsi="Palatino Linotype" w:cs="Arial"/>
          <w:b/>
          <w:sz w:val="28"/>
          <w:szCs w:val="28"/>
        </w:rPr>
        <w:t>Manifestaciones.</w:t>
      </w:r>
      <w:r w:rsidR="00E954B7" w:rsidRPr="00A4521A">
        <w:t xml:space="preserve"> </w:t>
      </w:r>
      <w:r w:rsidR="009435F0" w:rsidRPr="004B58D3">
        <w:rPr>
          <w:rFonts w:ascii="Palatino Linotype" w:hAnsi="Palatino Linotype"/>
        </w:rPr>
        <w:t>De las constancias del expediente electrónico del</w:t>
      </w:r>
      <w:r w:rsidR="009435F0" w:rsidRPr="004B58D3">
        <w:rPr>
          <w:rFonts w:ascii="Palatino Linotype" w:hAnsi="Palatino Linotype" w:cs="Arial"/>
          <w:b/>
        </w:rPr>
        <w:t xml:space="preserve"> Saimex</w:t>
      </w:r>
      <w:r w:rsidR="009435F0" w:rsidRPr="004B58D3">
        <w:rPr>
          <w:rFonts w:ascii="Palatino Linotype" w:hAnsi="Palatino Linotype"/>
        </w:rPr>
        <w:t xml:space="preserve">, se observa que el </w:t>
      </w:r>
      <w:r w:rsidR="009435F0" w:rsidRPr="004B58D3">
        <w:rPr>
          <w:rFonts w:ascii="Palatino Linotype" w:hAnsi="Palatino Linotype"/>
          <w:b/>
        </w:rPr>
        <w:t xml:space="preserve">Sujeto Obligado </w:t>
      </w:r>
      <w:r w:rsidR="009435F0" w:rsidRPr="004B58D3">
        <w:rPr>
          <w:rFonts w:ascii="Palatino Linotype" w:hAnsi="Palatino Linotype"/>
        </w:rPr>
        <w:t xml:space="preserve">envió en fecha </w:t>
      </w:r>
      <w:r w:rsidR="009435F0">
        <w:rPr>
          <w:rFonts w:ascii="Palatino Linotype" w:hAnsi="Palatino Linotype"/>
        </w:rPr>
        <w:t xml:space="preserve">seis de julio </w:t>
      </w:r>
      <w:r w:rsidR="009435F0" w:rsidRPr="004B58D3">
        <w:rPr>
          <w:rFonts w:ascii="Palatino Linotype" w:hAnsi="Palatino Linotype"/>
        </w:rPr>
        <w:t>dos mil veint</w:t>
      </w:r>
      <w:r w:rsidR="009435F0">
        <w:rPr>
          <w:rFonts w:ascii="Palatino Linotype" w:hAnsi="Palatino Linotype"/>
        </w:rPr>
        <w:t>iuno</w:t>
      </w:r>
      <w:r w:rsidR="009435F0" w:rsidRPr="004B58D3">
        <w:rPr>
          <w:rFonts w:ascii="Palatino Linotype" w:hAnsi="Palatino Linotype"/>
        </w:rPr>
        <w:t xml:space="preserve">, </w:t>
      </w:r>
      <w:r w:rsidR="009435F0">
        <w:rPr>
          <w:rFonts w:ascii="Palatino Linotype" w:hAnsi="Palatino Linotype"/>
        </w:rPr>
        <w:t>los</w:t>
      </w:r>
      <w:r w:rsidR="009435F0" w:rsidRPr="004B58D3">
        <w:rPr>
          <w:rFonts w:ascii="Palatino Linotype" w:hAnsi="Palatino Linotype"/>
        </w:rPr>
        <w:t xml:space="preserve"> archivo</w:t>
      </w:r>
      <w:r w:rsidR="009435F0">
        <w:rPr>
          <w:rFonts w:ascii="Palatino Linotype" w:hAnsi="Palatino Linotype"/>
        </w:rPr>
        <w:t>s denominados</w:t>
      </w:r>
      <w:r w:rsidR="009435F0" w:rsidRPr="004B58D3">
        <w:rPr>
          <w:rFonts w:ascii="Palatino Linotype" w:hAnsi="Palatino Linotype"/>
        </w:rPr>
        <w:t xml:space="preserve"> </w:t>
      </w:r>
      <w:r w:rsidR="009435F0">
        <w:rPr>
          <w:rFonts w:ascii="Palatino Linotype" w:hAnsi="Palatino Linotype"/>
          <w:b/>
        </w:rPr>
        <w:t xml:space="preserve">ADMINISTRACION 03489.pdf, BIENESTAR SOCIAL 03489.PDF, PROCURADURIA 03489.pdf, TESORERIA 03489.pdf TRANSPARENCIA 03489.pdf </w:t>
      </w:r>
      <w:r w:rsidR="009435F0">
        <w:rPr>
          <w:rFonts w:ascii="Palatino Linotype" w:hAnsi="Palatino Linotype"/>
        </w:rPr>
        <w:t xml:space="preserve">y </w:t>
      </w:r>
      <w:r w:rsidR="009435F0">
        <w:rPr>
          <w:rFonts w:ascii="Palatino Linotype" w:hAnsi="Palatino Linotype"/>
          <w:b/>
        </w:rPr>
        <w:t xml:space="preserve">UIPPE 03489.pdf, </w:t>
      </w:r>
      <w:r w:rsidR="00412DF5">
        <w:rPr>
          <w:rFonts w:ascii="Palatino Linotype" w:hAnsi="Palatino Linotype"/>
        </w:rPr>
        <w:t>los cuales fueron hechos del conocimiento del particular en fecha veintiséis de octubre del año en curso, excepto el segundo de los mencionados por contener datos personales.</w:t>
      </w:r>
    </w:p>
    <w:p w14:paraId="127AB28B" w14:textId="77777777" w:rsidR="009435F0" w:rsidRDefault="009435F0" w:rsidP="009435F0">
      <w:pPr>
        <w:spacing w:before="240" w:after="240" w:line="360" w:lineRule="auto"/>
        <w:jc w:val="both"/>
        <w:rPr>
          <w:rFonts w:ascii="Palatino Linotype" w:hAnsi="Palatino Linotype"/>
        </w:rPr>
      </w:pPr>
      <w:r w:rsidRPr="00764BEC">
        <w:rPr>
          <w:rFonts w:ascii="Palatino Linotype" w:hAnsi="Palatino Linotype"/>
        </w:rPr>
        <w:t xml:space="preserve">Cabe precisar que </w:t>
      </w:r>
      <w:r>
        <w:rPr>
          <w:rFonts w:ascii="Palatino Linotype" w:hAnsi="Palatino Linotype"/>
        </w:rPr>
        <w:t xml:space="preserve">la parte </w:t>
      </w:r>
      <w:r>
        <w:rPr>
          <w:rFonts w:ascii="Palatino Linotype" w:hAnsi="Palatino Linotype"/>
          <w:b/>
          <w:i/>
        </w:rPr>
        <w:t xml:space="preserve">Recurrente </w:t>
      </w:r>
      <w:r>
        <w:rPr>
          <w:rFonts w:ascii="Palatino Linotype" w:hAnsi="Palatino Linotype"/>
        </w:rPr>
        <w:t>fue omisa en presentar alegatos en el</w:t>
      </w:r>
      <w:r>
        <w:rPr>
          <w:rFonts w:ascii="Palatino Linotype" w:hAnsi="Palatino Linotype" w:cs="Arial"/>
        </w:rPr>
        <w:t xml:space="preserve"> </w:t>
      </w:r>
      <w:r w:rsidRPr="00764BEC">
        <w:rPr>
          <w:rFonts w:ascii="Palatino Linotype" w:hAnsi="Palatino Linotype"/>
        </w:rPr>
        <w:t>momento procesal determinado para ello.</w:t>
      </w:r>
    </w:p>
    <w:p w14:paraId="1C77FC16" w14:textId="77777777" w:rsidR="00B83E55" w:rsidRDefault="00D80763" w:rsidP="00B83E55">
      <w:pPr>
        <w:widowControl w:val="0"/>
        <w:autoSpaceDE w:val="0"/>
        <w:autoSpaceDN w:val="0"/>
        <w:adjustRightInd w:val="0"/>
        <w:spacing w:before="240" w:after="240" w:line="360" w:lineRule="auto"/>
        <w:jc w:val="both"/>
        <w:rPr>
          <w:rFonts w:ascii="Palatino Linotype" w:hAnsi="Palatino Linotype"/>
        </w:rPr>
      </w:pPr>
      <w:r>
        <w:rPr>
          <w:rFonts w:ascii="Palatino Linotype" w:eastAsia="Calibri" w:hAnsi="Palatino Linotype" w:cs="Arial"/>
          <w:b/>
          <w:sz w:val="28"/>
          <w:szCs w:val="28"/>
        </w:rPr>
        <w:t>7</w:t>
      </w:r>
      <w:r w:rsidR="00945D23" w:rsidRPr="00A4521A">
        <w:rPr>
          <w:rFonts w:ascii="Palatino Linotype" w:eastAsia="Calibri" w:hAnsi="Palatino Linotype" w:cs="Arial"/>
          <w:b/>
          <w:sz w:val="28"/>
          <w:szCs w:val="28"/>
        </w:rPr>
        <w:t>.</w:t>
      </w:r>
      <w:r w:rsidR="00B83E55">
        <w:rPr>
          <w:rFonts w:ascii="Palatino Linotype" w:eastAsia="Calibri" w:hAnsi="Palatino Linotype" w:cs="Arial"/>
          <w:b/>
          <w:sz w:val="28"/>
          <w:szCs w:val="28"/>
        </w:rPr>
        <w:t xml:space="preserve"> </w:t>
      </w:r>
      <w:r w:rsidR="00B83E55" w:rsidRPr="00EA6BB2">
        <w:rPr>
          <w:rFonts w:ascii="Palatino Linotype" w:hAnsi="Palatino Linotype" w:cs="Arial"/>
          <w:b/>
          <w:bCs/>
          <w:sz w:val="28"/>
          <w:szCs w:val="28"/>
        </w:rPr>
        <w:t>Returno.</w:t>
      </w:r>
      <w:r w:rsidR="00B83E55" w:rsidRPr="00EA6BB2">
        <w:rPr>
          <w:rFonts w:ascii="Palatino Linotype" w:hAnsi="Palatino Linotype" w:cs="Arial"/>
          <w:sz w:val="28"/>
          <w:szCs w:val="28"/>
        </w:rPr>
        <w:t xml:space="preserve"> </w:t>
      </w:r>
      <w:r w:rsidR="00B83E55">
        <w:rPr>
          <w:rFonts w:ascii="Palatino Linotype" w:hAnsi="Palatino Linotype" w:cs="Arial"/>
        </w:rPr>
        <w:t xml:space="preserve">En la </w:t>
      </w:r>
      <w:r w:rsidR="00B83E55">
        <w:rPr>
          <w:rFonts w:ascii="Palatino Linotype" w:hAnsi="Palatino Linotype"/>
        </w:rPr>
        <w:t xml:space="preserve">Segunda Sesión Extraordinaria, de fecha </w:t>
      </w:r>
      <w:r w:rsidR="00B83E55">
        <w:rPr>
          <w:rFonts w:ascii="Palatino Linotype" w:hAnsi="Palatino Linotype"/>
          <w:b/>
          <w:bCs/>
        </w:rPr>
        <w:t>veintitrés de agosto de dos mil veintiuno</w:t>
      </w:r>
      <w:r w:rsidR="00B83E55">
        <w:rPr>
          <w:rFonts w:ascii="Palatino Linotype" w:hAnsi="Palatino Linotype"/>
        </w:rPr>
        <w:t xml:space="preserve">, </w:t>
      </w:r>
      <w:r w:rsidR="00B83E55">
        <w:rPr>
          <w:rFonts w:ascii="Palatino Linotype" w:hAnsi="Palatino Linotype" w:cs="Arial"/>
        </w:rPr>
        <w:t xml:space="preserve">el Pleno de este Órgano Autónomo, </w:t>
      </w:r>
      <w:r w:rsidR="00B83E55">
        <w:rPr>
          <w:rFonts w:ascii="Palatino Linotype" w:hAnsi="Palatino Linotype"/>
        </w:rPr>
        <w:t xml:space="preserve">ordenó el returno del Recurso de Revisión a la </w:t>
      </w:r>
      <w:r w:rsidR="00B83E55">
        <w:rPr>
          <w:rFonts w:ascii="Palatino Linotype" w:hAnsi="Palatino Linotype"/>
          <w:bCs/>
        </w:rPr>
        <w:t>Comisionada</w:t>
      </w:r>
      <w:r w:rsidR="00B83E55">
        <w:rPr>
          <w:rFonts w:ascii="Palatino Linotype" w:hAnsi="Palatino Linotype"/>
          <w:b/>
        </w:rPr>
        <w:t xml:space="preserve"> Guadalupe Ramírez Peña</w:t>
      </w:r>
      <w:r w:rsidR="00B83E55">
        <w:rPr>
          <w:rFonts w:ascii="Palatino Linotype" w:hAnsi="Palatino Linotype"/>
        </w:rPr>
        <w:t>, a fin de que presentara el proyecto de resolución correspondiente.</w:t>
      </w:r>
    </w:p>
    <w:p w14:paraId="7E999664" w14:textId="717077C8" w:rsidR="00945D23" w:rsidRPr="00A4521A" w:rsidRDefault="00B83E55" w:rsidP="0048181B">
      <w:pPr>
        <w:spacing w:before="240" w:after="240" w:line="360" w:lineRule="auto"/>
        <w:jc w:val="both"/>
        <w:rPr>
          <w:rFonts w:ascii="Palatino Linotype" w:eastAsia="Calibri" w:hAnsi="Palatino Linotype" w:cs="Arial"/>
          <w:szCs w:val="28"/>
        </w:rPr>
      </w:pPr>
      <w:r>
        <w:rPr>
          <w:rFonts w:ascii="Palatino Linotype" w:eastAsia="Calibri" w:hAnsi="Palatino Linotype" w:cs="Arial"/>
          <w:b/>
          <w:sz w:val="28"/>
          <w:szCs w:val="28"/>
        </w:rPr>
        <w:t xml:space="preserve">8. </w:t>
      </w:r>
      <w:r w:rsidR="00945D23" w:rsidRPr="00A4521A">
        <w:rPr>
          <w:rFonts w:ascii="Palatino Linotype" w:eastAsia="Calibri" w:hAnsi="Palatino Linotype" w:cs="Arial"/>
          <w:b/>
          <w:sz w:val="28"/>
          <w:szCs w:val="28"/>
        </w:rPr>
        <w:t xml:space="preserve">Cierre de Instrucción. </w:t>
      </w:r>
      <w:r w:rsidR="00945D23" w:rsidRPr="00A4521A">
        <w:rPr>
          <w:rFonts w:ascii="Palatino Linotype" w:eastAsia="Calibri" w:hAnsi="Palatino Linotype" w:cs="Arial"/>
        </w:rPr>
        <w:t xml:space="preserve">Una vez transcurrido el plazo otorgado para que las partes manifestaran lo que a su derecho conviniera, y siguiendo </w:t>
      </w:r>
      <w:r w:rsidR="00945D23" w:rsidRPr="00A4521A">
        <w:rPr>
          <w:rFonts w:ascii="Palatino Linotype" w:hAnsi="Palatino Linotype"/>
        </w:rPr>
        <w:t xml:space="preserve">los trámites correspondientes con fundamento en el artículo 185 fracción VI de la Ley de Transparencia y Acceso a la Información Pública del Estado de México y Municipios, el día </w:t>
      </w:r>
      <w:r w:rsidR="00BD5D7A">
        <w:rPr>
          <w:rFonts w:ascii="Palatino Linotype" w:hAnsi="Palatino Linotype"/>
        </w:rPr>
        <w:t>cuatro</w:t>
      </w:r>
      <w:r w:rsidR="007A4CF0" w:rsidRPr="00352CD0">
        <w:rPr>
          <w:rFonts w:ascii="Palatino Linotype" w:hAnsi="Palatino Linotype"/>
        </w:rPr>
        <w:t xml:space="preserve"> de </w:t>
      </w:r>
      <w:r w:rsidR="00352CD0" w:rsidRPr="00352CD0">
        <w:rPr>
          <w:rFonts w:ascii="Palatino Linotype" w:hAnsi="Palatino Linotype"/>
        </w:rPr>
        <w:t>noviembre</w:t>
      </w:r>
      <w:r w:rsidR="00042350" w:rsidRPr="00352CD0">
        <w:rPr>
          <w:rFonts w:ascii="Palatino Linotype" w:hAnsi="Palatino Linotype"/>
        </w:rPr>
        <w:t xml:space="preserve"> de dos</w:t>
      </w:r>
      <w:r w:rsidR="00042350">
        <w:rPr>
          <w:rFonts w:ascii="Palatino Linotype" w:hAnsi="Palatino Linotype"/>
        </w:rPr>
        <w:t xml:space="preserve"> mil veintiuno</w:t>
      </w:r>
      <w:r w:rsidR="00BB4824" w:rsidRPr="00A4521A">
        <w:rPr>
          <w:rFonts w:ascii="Palatino Linotype" w:hAnsi="Palatino Linotype"/>
        </w:rPr>
        <w:t>,</w:t>
      </w:r>
      <w:r w:rsidR="00945D23" w:rsidRPr="00A4521A">
        <w:rPr>
          <w:rFonts w:ascii="Palatino Linotype" w:hAnsi="Palatino Linotype"/>
        </w:rPr>
        <w:t xml:space="preserve"> se procedió a decretar el ci</w:t>
      </w:r>
      <w:r w:rsidR="00200852" w:rsidRPr="00A4521A">
        <w:rPr>
          <w:rFonts w:ascii="Palatino Linotype" w:hAnsi="Palatino Linotype"/>
        </w:rPr>
        <w:t xml:space="preserve">erre de </w:t>
      </w:r>
      <w:r w:rsidR="00200852" w:rsidRPr="00A4521A">
        <w:rPr>
          <w:rFonts w:ascii="Palatino Linotype" w:hAnsi="Palatino Linotype"/>
        </w:rPr>
        <w:lastRenderedPageBreak/>
        <w:t>instrucción respectivo y</w:t>
      </w:r>
      <w:r w:rsidR="00945D23" w:rsidRPr="00A4521A">
        <w:rPr>
          <w:rFonts w:ascii="Palatino Linotype" w:eastAsia="Calibri" w:hAnsi="Palatino Linotype" w:cs="Arial"/>
          <w:szCs w:val="28"/>
        </w:rPr>
        <w:t xml:space="preserve"> no existiendo diligencia pendiente de desahogo, se ordenó emitir la resolución que conform</w:t>
      </w:r>
      <w:r w:rsidR="00F74ED2" w:rsidRPr="00A4521A">
        <w:rPr>
          <w:rFonts w:ascii="Palatino Linotype" w:eastAsia="Calibri" w:hAnsi="Palatino Linotype" w:cs="Arial"/>
          <w:szCs w:val="28"/>
        </w:rPr>
        <w:t>e a derecho proceda.</w:t>
      </w:r>
    </w:p>
    <w:p w14:paraId="2326DF6F" w14:textId="77777777" w:rsidR="000A515A" w:rsidRPr="00A4521A" w:rsidRDefault="000A515A" w:rsidP="004A6EFE">
      <w:pPr>
        <w:pStyle w:val="Ttulo2"/>
        <w:jc w:val="center"/>
        <w:rPr>
          <w:rFonts w:ascii="Palatino Linotype" w:hAnsi="Palatino Linotype"/>
          <w:b/>
          <w:color w:val="auto"/>
          <w:sz w:val="24"/>
          <w:szCs w:val="24"/>
        </w:rPr>
      </w:pPr>
    </w:p>
    <w:p w14:paraId="7CD5D137" w14:textId="10283084" w:rsidR="008E7698" w:rsidRPr="00A4521A" w:rsidRDefault="004A6EFE" w:rsidP="004A6EFE">
      <w:pPr>
        <w:pStyle w:val="Ttulo2"/>
        <w:jc w:val="center"/>
        <w:rPr>
          <w:rFonts w:ascii="Palatino Linotype" w:hAnsi="Palatino Linotype"/>
          <w:b/>
          <w:color w:val="auto"/>
          <w:sz w:val="24"/>
          <w:szCs w:val="24"/>
        </w:rPr>
      </w:pPr>
      <w:r w:rsidRPr="00A4521A">
        <w:rPr>
          <w:rFonts w:ascii="Palatino Linotype" w:hAnsi="Palatino Linotype"/>
          <w:b/>
          <w:color w:val="auto"/>
          <w:sz w:val="24"/>
          <w:szCs w:val="24"/>
        </w:rPr>
        <w:t xml:space="preserve">II. </w:t>
      </w:r>
      <w:r w:rsidR="008E7698" w:rsidRPr="00A4521A">
        <w:rPr>
          <w:rFonts w:ascii="Palatino Linotype" w:hAnsi="Palatino Linotype"/>
          <w:b/>
          <w:color w:val="auto"/>
          <w:sz w:val="24"/>
          <w:szCs w:val="24"/>
        </w:rPr>
        <w:t>C O N S I D E R A N D O</w:t>
      </w:r>
      <w:r w:rsidR="00DA0B77" w:rsidRPr="00A4521A">
        <w:rPr>
          <w:rFonts w:ascii="Palatino Linotype" w:hAnsi="Palatino Linotype"/>
          <w:b/>
          <w:color w:val="auto"/>
          <w:sz w:val="24"/>
          <w:szCs w:val="24"/>
        </w:rPr>
        <w:t xml:space="preserve"> S</w:t>
      </w:r>
      <w:r w:rsidR="008E7698" w:rsidRPr="00A4521A">
        <w:rPr>
          <w:rFonts w:ascii="Palatino Linotype" w:hAnsi="Palatino Linotype"/>
          <w:b/>
          <w:color w:val="auto"/>
          <w:sz w:val="24"/>
          <w:szCs w:val="24"/>
        </w:rPr>
        <w:t>:</w:t>
      </w:r>
    </w:p>
    <w:p w14:paraId="445D27E5" w14:textId="77777777" w:rsidR="002339A2" w:rsidRPr="00A4521A" w:rsidRDefault="00516E6A" w:rsidP="008E7698">
      <w:pPr>
        <w:spacing w:before="240" w:after="240" w:line="360" w:lineRule="auto"/>
        <w:jc w:val="both"/>
        <w:rPr>
          <w:rFonts w:ascii="Palatino Linotype" w:hAnsi="Palatino Linotype" w:cs="Arial"/>
          <w:b/>
        </w:rPr>
      </w:pPr>
      <w:r w:rsidRPr="00A4521A">
        <w:rPr>
          <w:rFonts w:ascii="Palatino Linotype" w:hAnsi="Palatino Linotype" w:cs="Arial"/>
          <w:b/>
          <w:sz w:val="28"/>
          <w:szCs w:val="28"/>
        </w:rPr>
        <w:t>PRIMERO</w:t>
      </w:r>
      <w:r w:rsidR="008E7698" w:rsidRPr="00A4521A">
        <w:rPr>
          <w:rFonts w:ascii="Palatino Linotype" w:hAnsi="Palatino Linotype" w:cs="Arial"/>
          <w:b/>
          <w:sz w:val="28"/>
          <w:szCs w:val="28"/>
        </w:rPr>
        <w:t>. Competencia</w:t>
      </w:r>
      <w:r w:rsidR="008E7698" w:rsidRPr="00A4521A">
        <w:rPr>
          <w:rFonts w:ascii="Palatino Linotype" w:hAnsi="Palatino Linotype" w:cs="Arial"/>
          <w:b/>
        </w:rPr>
        <w:t xml:space="preserve">. </w:t>
      </w:r>
    </w:p>
    <w:p w14:paraId="0B1FAD6B" w14:textId="1730DEC3" w:rsidR="00A5404F" w:rsidRPr="00A4521A" w:rsidRDefault="00A5404F" w:rsidP="008E7698">
      <w:pPr>
        <w:spacing w:before="240" w:after="240" w:line="360" w:lineRule="auto"/>
        <w:jc w:val="both"/>
        <w:rPr>
          <w:rFonts w:ascii="Palatino Linotype" w:hAnsi="Palatino Linotype"/>
          <w:shd w:val="clear" w:color="auto" w:fill="FFFFFF"/>
        </w:rPr>
      </w:pPr>
      <w:r w:rsidRPr="00A4521A">
        <w:rPr>
          <w:rFonts w:ascii="Palatino Linotype" w:hAnsi="Palatino Linotype"/>
          <w:shd w:val="clear" w:color="auto" w:fill="FFFFFF"/>
        </w:rPr>
        <w:t xml:space="preserve">El Instituto de Transparencia, Acceso a la Información Pública y Protección de Datos Personales del Estado de México y Municipios, es competente para conocer y resolver el presente recurso de revisión interpuesto por la parte </w:t>
      </w:r>
      <w:r w:rsidR="00DE7F9A" w:rsidRPr="00A4521A">
        <w:rPr>
          <w:rFonts w:ascii="Palatino Linotype" w:hAnsi="Palatino Linotype"/>
          <w:shd w:val="clear" w:color="auto" w:fill="FFFFFF"/>
        </w:rPr>
        <w:t>Recurrente</w:t>
      </w:r>
      <w:r w:rsidRPr="00A4521A">
        <w:rPr>
          <w:rFonts w:ascii="Palatino Linotype" w:hAnsi="Palatino Linotype"/>
          <w:shd w:val="clear" w:color="auto" w:fill="FFFFFF"/>
        </w:rPr>
        <w:t>, conforme a lo dispuesto en los artículos 6, apartado A de la Constitución Política de los Estados Unidos Mexican</w:t>
      </w:r>
      <w:r w:rsidR="00D371C6" w:rsidRPr="00A4521A">
        <w:rPr>
          <w:rFonts w:ascii="Palatino Linotype" w:hAnsi="Palatino Linotype"/>
          <w:shd w:val="clear" w:color="auto" w:fill="FFFFFF"/>
        </w:rPr>
        <w:t xml:space="preserve">os; 5, párrafos </w:t>
      </w:r>
      <w:r w:rsidR="00286E1D">
        <w:rPr>
          <w:rFonts w:ascii="Palatino Linotype" w:hAnsi="Palatino Linotype"/>
          <w:shd w:val="clear" w:color="auto" w:fill="FFFFFF"/>
        </w:rPr>
        <w:t>trigésimo</w:t>
      </w:r>
      <w:r w:rsidR="009435F0">
        <w:rPr>
          <w:rFonts w:ascii="Palatino Linotype" w:hAnsi="Palatino Linotype"/>
          <w:shd w:val="clear" w:color="auto" w:fill="FFFFFF"/>
        </w:rPr>
        <w:t xml:space="preserve">, </w:t>
      </w:r>
      <w:r w:rsidR="00031D34">
        <w:rPr>
          <w:rFonts w:ascii="Palatino Linotype" w:hAnsi="Palatino Linotype"/>
          <w:shd w:val="clear" w:color="auto" w:fill="FFFFFF"/>
        </w:rPr>
        <w:t>trigésimo primero y</w:t>
      </w:r>
      <w:r w:rsidR="009435F0">
        <w:rPr>
          <w:rFonts w:ascii="Palatino Linotype" w:hAnsi="Palatino Linotype"/>
          <w:shd w:val="clear" w:color="auto" w:fill="FFFFFF"/>
        </w:rPr>
        <w:t xml:space="preserve"> trigésimo</w:t>
      </w:r>
      <w:r w:rsidR="00031D34">
        <w:rPr>
          <w:rFonts w:ascii="Palatino Linotype" w:hAnsi="Palatino Linotype"/>
          <w:shd w:val="clear" w:color="auto" w:fill="FFFFFF"/>
        </w:rPr>
        <w:t xml:space="preserve"> segundo</w:t>
      </w:r>
      <w:r w:rsidR="00077347" w:rsidRPr="00A4521A">
        <w:rPr>
          <w:rFonts w:ascii="Palatino Linotype" w:hAnsi="Palatino Linotype"/>
          <w:shd w:val="clear" w:color="auto" w:fill="FFFFFF"/>
        </w:rPr>
        <w:t xml:space="preserve"> </w:t>
      </w:r>
      <w:r w:rsidR="00D371C6" w:rsidRPr="00A4521A">
        <w:rPr>
          <w:rFonts w:ascii="Palatino Linotype" w:hAnsi="Palatino Linotype"/>
          <w:shd w:val="clear" w:color="auto" w:fill="FFFFFF"/>
        </w:rPr>
        <w:t xml:space="preserve">fracción IV y V </w:t>
      </w:r>
      <w:r w:rsidRPr="00A4521A">
        <w:rPr>
          <w:rFonts w:ascii="Palatino Linotype" w:hAnsi="Palatino Linotype"/>
          <w:shd w:val="clear" w:color="auto" w:fill="FFFFFF"/>
        </w:rPr>
        <w:t>de la Constitución Política del Estado Libre y Soberano de México; 1,</w:t>
      </w:r>
      <w:r w:rsidR="00551BA4" w:rsidRPr="00A4521A">
        <w:rPr>
          <w:rFonts w:ascii="Palatino Linotype" w:hAnsi="Palatino Linotype"/>
          <w:shd w:val="clear" w:color="auto" w:fill="FFFFFF"/>
        </w:rPr>
        <w:t xml:space="preserve"> </w:t>
      </w:r>
      <w:r w:rsidR="00E34890" w:rsidRPr="00A4521A">
        <w:rPr>
          <w:rFonts w:ascii="Palatino Linotype" w:hAnsi="Palatino Linotype"/>
          <w:shd w:val="clear" w:color="auto" w:fill="FFFFFF"/>
        </w:rPr>
        <w:t>2, fracción II</w:t>
      </w:r>
      <w:r w:rsidR="00551BA4" w:rsidRPr="00A4521A">
        <w:rPr>
          <w:rFonts w:ascii="Palatino Linotype" w:hAnsi="Palatino Linotype"/>
          <w:shd w:val="clear" w:color="auto" w:fill="FFFFFF"/>
        </w:rPr>
        <w:t>;</w:t>
      </w:r>
      <w:r w:rsidR="00E34890" w:rsidRPr="00A4521A">
        <w:rPr>
          <w:rFonts w:ascii="Palatino Linotype" w:hAnsi="Palatino Linotype"/>
          <w:shd w:val="clear" w:color="auto" w:fill="FFFFFF"/>
        </w:rPr>
        <w:t xml:space="preserve"> 13, </w:t>
      </w:r>
      <w:r w:rsidRPr="00A4521A">
        <w:rPr>
          <w:rFonts w:ascii="Palatino Linotype" w:hAnsi="Palatino Linotype"/>
          <w:shd w:val="clear" w:color="auto" w:fill="FFFFFF"/>
        </w:rPr>
        <w:t xml:space="preserve"> 29, 36, fracciones I</w:t>
      </w:r>
      <w:r w:rsidR="005A232E" w:rsidRPr="00A4521A">
        <w:rPr>
          <w:rFonts w:ascii="Palatino Linotype" w:hAnsi="Palatino Linotype"/>
          <w:shd w:val="clear" w:color="auto" w:fill="FFFFFF"/>
        </w:rPr>
        <w:t xml:space="preserve"> y II;</w:t>
      </w:r>
      <w:r w:rsidRPr="00A4521A">
        <w:rPr>
          <w:rFonts w:ascii="Palatino Linotype" w:hAnsi="Palatino Linotype"/>
          <w:shd w:val="clear" w:color="auto" w:fill="FFFFFF"/>
        </w:rPr>
        <w:t xml:space="preserve"> 176,</w:t>
      </w:r>
      <w:r w:rsidR="004D5FEF" w:rsidRPr="00A4521A">
        <w:rPr>
          <w:rFonts w:ascii="Palatino Linotype" w:hAnsi="Palatino Linotype"/>
          <w:shd w:val="clear" w:color="auto" w:fill="FFFFFF"/>
        </w:rPr>
        <w:t xml:space="preserve"> 178,</w:t>
      </w:r>
      <w:r w:rsidRPr="00A4521A">
        <w:rPr>
          <w:rFonts w:ascii="Palatino Linotype" w:hAnsi="Palatino Linotype"/>
          <w:shd w:val="clear" w:color="auto" w:fill="FFFFFF"/>
        </w:rPr>
        <w:t xml:space="preserve"> 179, </w:t>
      </w:r>
      <w:r w:rsidR="004D5FEF" w:rsidRPr="00A4521A">
        <w:rPr>
          <w:rFonts w:ascii="Palatino Linotype" w:hAnsi="Palatino Linotype"/>
          <w:shd w:val="clear" w:color="auto" w:fill="FFFFFF"/>
        </w:rPr>
        <w:t xml:space="preserve">181 párrafo 3 y </w:t>
      </w:r>
      <w:r w:rsidRPr="00A4521A">
        <w:rPr>
          <w:rFonts w:ascii="Palatino Linotype" w:hAnsi="Palatino Linotype"/>
          <w:shd w:val="clear" w:color="auto" w:fill="FFFFFF"/>
        </w:rPr>
        <w:t>185</w:t>
      </w:r>
      <w:r w:rsidR="004D5FEF" w:rsidRPr="00A4521A">
        <w:rPr>
          <w:rFonts w:ascii="Palatino Linotype" w:hAnsi="Palatino Linotype"/>
          <w:shd w:val="clear" w:color="auto" w:fill="FFFFFF"/>
        </w:rPr>
        <w:t xml:space="preserve"> </w:t>
      </w:r>
      <w:r w:rsidRPr="00A4521A">
        <w:rPr>
          <w:rFonts w:ascii="Palatino Linotype" w:hAnsi="Palatino Linotype"/>
          <w:shd w:val="clear" w:color="auto" w:fill="FFFFFF"/>
        </w:rPr>
        <w:t xml:space="preserve">de la Ley Transparencia y Acceso a la Información Pública </w:t>
      </w:r>
      <w:r w:rsidR="0010152C" w:rsidRPr="00A4521A">
        <w:rPr>
          <w:rFonts w:ascii="Palatino Linotype" w:hAnsi="Palatino Linotype"/>
          <w:shd w:val="clear" w:color="auto" w:fill="FFFFFF"/>
        </w:rPr>
        <w:t>del Estado de México y Municipios</w:t>
      </w:r>
      <w:r w:rsidRPr="00A4521A">
        <w:rPr>
          <w:rFonts w:ascii="Palatino Linotype" w:hAnsi="Palatino Linotype"/>
          <w:shd w:val="clear" w:color="auto" w:fill="FFFFFF"/>
        </w:rPr>
        <w:t>;</w:t>
      </w:r>
      <w:r w:rsidR="00EB49F3" w:rsidRPr="00A4521A">
        <w:rPr>
          <w:rStyle w:val="apple-converted-space"/>
          <w:rFonts w:ascii="Palatino Linotype" w:hAnsi="Palatino Linotype"/>
          <w:shd w:val="clear" w:color="auto" w:fill="FFFFFF"/>
        </w:rPr>
        <w:t xml:space="preserve"> 9 fracciones I, XXIV y 11</w:t>
      </w:r>
      <w:r w:rsidR="005408FA" w:rsidRPr="00A4521A">
        <w:rPr>
          <w:rStyle w:val="apple-converted-space"/>
          <w:rFonts w:ascii="Palatino Linotype" w:hAnsi="Palatino Linotype"/>
          <w:shd w:val="clear" w:color="auto" w:fill="FFFFFF"/>
        </w:rPr>
        <w:t xml:space="preserve"> </w:t>
      </w:r>
      <w:r w:rsidRPr="00A4521A">
        <w:rPr>
          <w:rFonts w:ascii="Palatino Linotype" w:hAnsi="Palatino Linotype"/>
          <w:shd w:val="clear" w:color="auto" w:fill="FFFFFF"/>
        </w:rPr>
        <w:t>del Reglamento Interior del Instituto de Transparencia, Acceso a la Información Pública y Protección de Datos Personales del Estado de México y Municipios.</w:t>
      </w:r>
    </w:p>
    <w:p w14:paraId="658122E9" w14:textId="574FC785" w:rsidR="00CE4CC9" w:rsidRPr="00A4521A" w:rsidRDefault="00DF134A" w:rsidP="00CE4CC9">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A4521A">
        <w:rPr>
          <w:rFonts w:ascii="Palatino Linotype" w:hAnsi="Palatino Linotype" w:cs="Arial"/>
          <w:b/>
          <w:sz w:val="28"/>
          <w:szCs w:val="28"/>
        </w:rPr>
        <w:t>SEGUNDO. Oportunidad y Procediblidad del Recurso de Revisión.</w:t>
      </w:r>
      <w:r w:rsidRPr="00A4521A">
        <w:rPr>
          <w:rFonts w:ascii="Palatino Linotype" w:hAnsi="Palatino Linotype" w:cs="Arial"/>
          <w:b/>
        </w:rPr>
        <w:t xml:space="preserve"> </w:t>
      </w:r>
      <w:r w:rsidR="00E207FE" w:rsidRPr="00A4521A">
        <w:rPr>
          <w:rFonts w:ascii="Palatino Linotype" w:hAnsi="Palatino Linotype" w:cs="Arial"/>
        </w:rPr>
        <w:t xml:space="preserve">Previo </w:t>
      </w:r>
      <w:r w:rsidR="00CE4CC9" w:rsidRPr="00A4521A">
        <w:rPr>
          <w:rFonts w:ascii="Palatino Linotype" w:hAnsi="Palatino Linotype" w:cs="Arial"/>
        </w:rPr>
        <w:t xml:space="preserve">al </w:t>
      </w:r>
      <w:r w:rsidRPr="00A4521A">
        <w:rPr>
          <w:rFonts w:ascii="Palatino Linotype" w:hAnsi="Palatino Linotype" w:cs="Arial"/>
        </w:rPr>
        <w:t>es</w:t>
      </w:r>
      <w:r w:rsidR="00B006A9" w:rsidRPr="00A4521A">
        <w:rPr>
          <w:rFonts w:ascii="Palatino Linotype" w:hAnsi="Palatino Linotype" w:cs="Arial"/>
        </w:rPr>
        <w:t xml:space="preserve">tudio del fondo del asunto, </w:t>
      </w:r>
      <w:r w:rsidR="00CE4CC9" w:rsidRPr="00A4521A">
        <w:rPr>
          <w:rFonts w:ascii="Palatino Linotype" w:hAnsi="Palatino Linotype" w:cs="Arial"/>
        </w:rPr>
        <w:t>se procede a analizar los requisitos de oportunidad y procedibilidad que debe reunir el recurso de revisión, previstos en los artículos 178 y 180 de la Ley de Transparencia y Acceso a la Información Pública del Estado de México y Municipios.</w:t>
      </w:r>
    </w:p>
    <w:p w14:paraId="45A24001" w14:textId="77777777" w:rsidR="00CE4CC9" w:rsidRPr="00A4521A" w:rsidRDefault="00CE4CC9" w:rsidP="00CE4CC9">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A4521A">
        <w:rPr>
          <w:rFonts w:ascii="Palatino Linotype" w:hAnsi="Palatino Linotype" w:cs="Arial"/>
        </w:rPr>
        <w:t xml:space="preserve">Primeramente, es de precisar que la Ley de Transparencia y Acceso a la Información </w:t>
      </w:r>
      <w:r w:rsidRPr="00A4521A">
        <w:rPr>
          <w:rFonts w:ascii="Palatino Linotype" w:hAnsi="Palatino Linotype" w:cs="Arial"/>
        </w:rPr>
        <w:lastRenderedPageBreak/>
        <w:t>Pública del Estado de México y Municipios, describe el mecanismo de procedencia de los recursos de revisión, en ese sentido en su artículo 163 prevé lo siguiente:</w:t>
      </w:r>
    </w:p>
    <w:p w14:paraId="7C7E4332" w14:textId="77777777" w:rsidR="00CE4CC9" w:rsidRPr="00A4521A" w:rsidRDefault="00CE4CC9" w:rsidP="00CE4CC9">
      <w:pPr>
        <w:spacing w:before="120" w:after="240"/>
        <w:ind w:left="851" w:right="902"/>
        <w:jc w:val="both"/>
        <w:rPr>
          <w:rFonts w:ascii="Palatino Linotype" w:hAnsi="Palatino Linotype" w:cs="Arial"/>
          <w:i/>
          <w:sz w:val="20"/>
          <w:szCs w:val="20"/>
        </w:rPr>
      </w:pPr>
      <w:r w:rsidRPr="00A4521A">
        <w:rPr>
          <w:rFonts w:ascii="Palatino Linotype" w:hAnsi="Palatino Linotype" w:cs="Arial"/>
          <w:b/>
          <w:i/>
          <w:sz w:val="20"/>
          <w:szCs w:val="20"/>
        </w:rPr>
        <w:t>“Artículo 163.</w:t>
      </w:r>
      <w:r w:rsidRPr="00A4521A">
        <w:rPr>
          <w:rFonts w:ascii="Palatino Linotype" w:hAnsi="Palatino Linotype" w:cs="Arial"/>
          <w:i/>
          <w:sz w:val="20"/>
          <w:szCs w:val="20"/>
        </w:rPr>
        <w:t xml:space="preserve"> La Unidad de Transparencia deberá notificar la respuesta a la solicitud al interesado en el menor tiempo posible, que no podrá exceder de quince días hábiles, contados a partir del día siguiente a la presentación de aquélla.</w:t>
      </w:r>
    </w:p>
    <w:p w14:paraId="12E4D764" w14:textId="77777777" w:rsidR="00CE4CC9" w:rsidRPr="00A4521A" w:rsidRDefault="00CE4CC9" w:rsidP="00CE4CC9">
      <w:pPr>
        <w:spacing w:before="120" w:after="240"/>
        <w:ind w:left="851" w:right="902"/>
        <w:jc w:val="both"/>
        <w:rPr>
          <w:rFonts w:ascii="Palatino Linotype" w:hAnsi="Palatino Linotype" w:cs="Arial"/>
          <w:i/>
          <w:sz w:val="20"/>
          <w:szCs w:val="20"/>
        </w:rPr>
      </w:pPr>
      <w:r w:rsidRPr="00A4521A">
        <w:rPr>
          <w:rFonts w:ascii="Palatino Linotype" w:hAnsi="Palatino Linotype" w:cs="Arial"/>
          <w:i/>
          <w:sz w:val="20"/>
          <w:szCs w:val="20"/>
          <w:lang w:eastAsia="es-MX"/>
        </w:rPr>
        <w:t>Excepcionalmente</w:t>
      </w:r>
      <w:r w:rsidRPr="00A4521A">
        <w:rPr>
          <w:rFonts w:ascii="Palatino Linotype" w:hAnsi="Palatino Linotype" w:cs="Arial"/>
          <w:i/>
          <w:sz w:val="20"/>
          <w:szCs w:val="20"/>
        </w:rPr>
        <w:t>,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p w14:paraId="7027E57A" w14:textId="459B6478" w:rsidR="00CE4CC9" w:rsidRPr="00A4521A" w:rsidRDefault="00CE4CC9" w:rsidP="00CE4CC9">
      <w:pPr>
        <w:pStyle w:val="Prrafodelista"/>
        <w:widowControl w:val="0"/>
        <w:autoSpaceDE w:val="0"/>
        <w:autoSpaceDN w:val="0"/>
        <w:adjustRightInd w:val="0"/>
        <w:spacing w:before="120" w:after="120" w:line="360" w:lineRule="auto"/>
        <w:ind w:left="0"/>
        <w:jc w:val="both"/>
        <w:rPr>
          <w:rFonts w:ascii="Palatino Linotype" w:hAnsi="Palatino Linotype" w:cs="Arial"/>
        </w:rPr>
      </w:pPr>
      <w:r w:rsidRPr="00A4521A">
        <w:rPr>
          <w:rFonts w:ascii="Palatino Linotype" w:hAnsi="Palatino Linotype" w:cs="Arial"/>
        </w:rPr>
        <w:t>Del precepto legal inserto se advierte que el plazo que le asiste a los sujetos obligados para notificar la respuesta a una solicitud de información pública es de quince días hábiles posteriores a la presentación de ésta.</w:t>
      </w:r>
    </w:p>
    <w:p w14:paraId="6D486FFC" w14:textId="280A95F8" w:rsidR="00CE4CC9" w:rsidRPr="00A4521A" w:rsidRDefault="00CE4CC9" w:rsidP="00CE4CC9">
      <w:pPr>
        <w:spacing w:before="240" w:after="240" w:line="360" w:lineRule="auto"/>
        <w:jc w:val="both"/>
        <w:rPr>
          <w:rFonts w:ascii="Palatino Linotype" w:hAnsi="Palatino Linotype" w:cs="Arial"/>
        </w:rPr>
      </w:pPr>
      <w:r w:rsidRPr="00A4521A">
        <w:rPr>
          <w:rFonts w:ascii="Palatino Linotype" w:hAnsi="Palatino Linotype" w:cs="Arial"/>
        </w:rPr>
        <w:t>Caso contrario, se actualiza lo que en la doctrina se conoce como negativa ficta, figura jurídica cuya esencia consiste en atribuir un efecto negativo al silencio de la autoridad administrativa frente a las instancias y solicitudes que hagan los particulares; bajo este supuesto, es importante destacar lo establecido en la Ley de Transparencia y Acceso a la Información Pública del Estado de México y Municipios, que señala en su artículo 166 párrafo cuarto:</w:t>
      </w:r>
    </w:p>
    <w:p w14:paraId="0EFCFB67" w14:textId="77777777" w:rsidR="00CE4CC9" w:rsidRPr="00A4521A" w:rsidRDefault="00CE4CC9" w:rsidP="00380791">
      <w:pPr>
        <w:spacing w:after="120"/>
        <w:ind w:left="851" w:right="902"/>
        <w:jc w:val="both"/>
        <w:rPr>
          <w:rFonts w:ascii="Palatino Linotype" w:hAnsi="Palatino Linotype" w:cs="Arial"/>
          <w:i/>
          <w:sz w:val="20"/>
          <w:szCs w:val="20"/>
          <w:lang w:val="es-MX"/>
        </w:rPr>
      </w:pPr>
      <w:r w:rsidRPr="00A4521A">
        <w:rPr>
          <w:rFonts w:ascii="Palatino Linotype" w:hAnsi="Palatino Linotype" w:cs="Arial"/>
          <w:b/>
          <w:bCs/>
          <w:i/>
          <w:sz w:val="20"/>
          <w:szCs w:val="20"/>
          <w:lang w:val="es-MX"/>
        </w:rPr>
        <w:t xml:space="preserve">“Artículo 166. </w:t>
      </w:r>
      <w:r w:rsidRPr="00A4521A">
        <w:rPr>
          <w:rFonts w:ascii="Palatino Linotype" w:hAnsi="Palatino Linotype" w:cs="Arial"/>
          <w:i/>
          <w:sz w:val="20"/>
          <w:szCs w:val="20"/>
          <w:lang w:val="es-MX"/>
        </w:rPr>
        <w:t>La obligación de acceso a la información pública se tendrá por cumplida cuando el solicitante tenga a su disposición la información requerida, o cuando realice la consulta de la misma en el lugar en el que ésta se localice.</w:t>
      </w:r>
    </w:p>
    <w:p w14:paraId="1A4564C7" w14:textId="77777777" w:rsidR="00CE4CC9" w:rsidRPr="00A4521A" w:rsidRDefault="00CE4CC9" w:rsidP="00380791">
      <w:pPr>
        <w:spacing w:after="120"/>
        <w:ind w:left="851" w:right="902"/>
        <w:jc w:val="both"/>
        <w:rPr>
          <w:rFonts w:ascii="Palatino Linotype" w:hAnsi="Palatino Linotype" w:cs="Arial"/>
          <w:i/>
          <w:sz w:val="20"/>
          <w:szCs w:val="20"/>
          <w:lang w:val="es-MX"/>
        </w:rPr>
      </w:pPr>
      <w:r w:rsidRPr="00A4521A">
        <w:rPr>
          <w:rFonts w:ascii="Palatino Linotype" w:hAnsi="Palatino Linotype" w:cs="Arial"/>
          <w:i/>
          <w:sz w:val="20"/>
          <w:szCs w:val="20"/>
          <w:lang w:val="es-MX"/>
        </w:rPr>
        <w:t>…</w:t>
      </w:r>
    </w:p>
    <w:p w14:paraId="7337EF45" w14:textId="77777777" w:rsidR="00CE4CC9" w:rsidRPr="00A4521A" w:rsidRDefault="00CE4CC9" w:rsidP="00380791">
      <w:pPr>
        <w:spacing w:after="120"/>
        <w:ind w:left="851" w:right="902"/>
        <w:jc w:val="both"/>
        <w:rPr>
          <w:rFonts w:ascii="Palatino Linotype" w:hAnsi="Palatino Linotype" w:cs="Arial"/>
          <w:i/>
          <w:sz w:val="20"/>
          <w:szCs w:val="20"/>
        </w:rPr>
      </w:pPr>
      <w:r w:rsidRPr="00A4521A">
        <w:rPr>
          <w:rFonts w:ascii="Palatino Linotype" w:hAnsi="Palatino Linotype" w:cs="Arial"/>
          <w:i/>
          <w:sz w:val="20"/>
          <w:szCs w:val="20"/>
          <w:lang w:val="es-MX"/>
        </w:rPr>
        <w:t>Cuando el sujeto obligado no entregue la respuesta a la solicitud dentro del plazo previsto en la Ley, la solicitud se entenderá negada y el solicitante podrá interponer el recurso de revisión previsto en este ordenamiento.</w:t>
      </w:r>
      <w:r w:rsidRPr="00A4521A">
        <w:rPr>
          <w:rFonts w:ascii="Palatino Linotype" w:hAnsi="Palatino Linotype" w:cs="Arial"/>
          <w:i/>
          <w:sz w:val="20"/>
          <w:szCs w:val="20"/>
        </w:rPr>
        <w:t>”</w:t>
      </w:r>
    </w:p>
    <w:p w14:paraId="42D48EBC" w14:textId="52A55C1A" w:rsidR="00CE4CC9" w:rsidRPr="00A4521A" w:rsidRDefault="00CE4CC9" w:rsidP="00CE4CC9">
      <w:pPr>
        <w:spacing w:before="240" w:after="240" w:line="360" w:lineRule="auto"/>
        <w:jc w:val="both"/>
        <w:rPr>
          <w:rFonts w:ascii="Palatino Linotype" w:hAnsi="Palatino Linotype" w:cs="Arial"/>
        </w:rPr>
      </w:pPr>
      <w:r w:rsidRPr="00A4521A">
        <w:rPr>
          <w:rFonts w:ascii="Palatino Linotype" w:hAnsi="Palatino Linotype" w:cs="Arial"/>
        </w:rPr>
        <w:lastRenderedPageBreak/>
        <w:t xml:space="preserve">De lo anterior, se advierte que el recurso de revisión se ha de interponer dentro del plazo de quince días hábiles contados a partir del día siguiente en que el particular tiene conocimiento de la resolución respectiva, a partir de la fecha en que el Sujeto Obligado da respuesta a la solicitud de información; sin embargo, tratándose de negativa ficta no existe resolución que se haga del conocimiento del particular a partir de la cual pueda computarse dicho plazo, por lo que se concluye que la interposición de los recursos de revisión </w:t>
      </w:r>
      <w:r w:rsidR="001D36C6" w:rsidRPr="00A4521A">
        <w:rPr>
          <w:rFonts w:ascii="Palatino Linotype" w:hAnsi="Palatino Linotype" w:cs="Arial"/>
        </w:rPr>
        <w:t>pueden ser en cualquier momento</w:t>
      </w:r>
      <w:r w:rsidRPr="00A4521A">
        <w:rPr>
          <w:rFonts w:ascii="Palatino Linotype" w:hAnsi="Palatino Linotype" w:cs="Arial"/>
        </w:rPr>
        <w:t>; postura que ha sido adoptada por este Órgano Garante mediante criterio número 001-15, aprobado por unanimidad del Pleno del Instituto de Transparencia, Acceso a la Información Pública y Protección de Datos Personales del Estado de México y Municipios, que establece:</w:t>
      </w:r>
    </w:p>
    <w:p w14:paraId="6F74A02E" w14:textId="77777777" w:rsidR="00CE4CC9" w:rsidRPr="00A4521A" w:rsidRDefault="00CE4CC9" w:rsidP="00380791">
      <w:pPr>
        <w:spacing w:after="120"/>
        <w:ind w:left="851" w:right="902"/>
        <w:jc w:val="both"/>
        <w:rPr>
          <w:rFonts w:ascii="Palatino Linotype" w:hAnsi="Palatino Linotype" w:cs="Arial"/>
          <w:sz w:val="20"/>
          <w:szCs w:val="20"/>
        </w:rPr>
      </w:pPr>
      <w:r w:rsidRPr="00A4521A">
        <w:rPr>
          <w:rFonts w:ascii="Palatino Linotype" w:hAnsi="Palatino Linotype" w:cs="Arial"/>
          <w:b/>
          <w:i/>
          <w:sz w:val="20"/>
          <w:szCs w:val="20"/>
          <w:lang w:val="es-MX"/>
        </w:rPr>
        <w:t>“CRITERIO 0001-15 NEGATIVA FICTA. PLAZO PARA INTERPONER EL RECURSO DE REVISIÓN TRATÁNDOSE DE</w:t>
      </w:r>
      <w:r w:rsidRPr="00A4521A">
        <w:rPr>
          <w:rFonts w:ascii="Palatino Linotype" w:hAnsi="Palatino Linotype" w:cs="Arial"/>
          <w:i/>
          <w:sz w:val="20"/>
          <w:szCs w:val="20"/>
          <w:lang w:val="es-MX"/>
        </w:rPr>
        <w:t>.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6272F322" w14:textId="77777777" w:rsidR="00540D93" w:rsidRPr="00143EC9" w:rsidRDefault="00540D93" w:rsidP="00540D93">
      <w:pPr>
        <w:spacing w:before="240" w:after="240" w:line="360" w:lineRule="auto"/>
        <w:jc w:val="both"/>
        <w:rPr>
          <w:rStyle w:val="normaltextrun"/>
          <w:rFonts w:ascii="Palatino Linotype" w:hAnsi="Palatino Linotype" w:cs="Segoe UI"/>
        </w:rPr>
      </w:pPr>
      <w:r w:rsidRPr="00143EC9">
        <w:rPr>
          <w:rFonts w:ascii="Palatino Linotype" w:hAnsi="Palatino Linotype" w:cs="Arial"/>
        </w:rPr>
        <w:t>Así también, por cuanto hace a la procedibilidad del recurso de revisión una vez realizado el análisis del formato de interposición</w:t>
      </w:r>
      <w:r w:rsidRPr="00143EC9">
        <w:rPr>
          <w:rStyle w:val="normaltextrun"/>
          <w:rFonts w:ascii="Palatino Linotype" w:hAnsi="Palatino Linotype" w:cs="Segoe UI"/>
        </w:rPr>
        <w:t xml:space="preserve"> del recurso, se advierte que el artículo 180 de la</w:t>
      </w:r>
      <w:r w:rsidRPr="00143EC9">
        <w:rPr>
          <w:rStyle w:val="apple-converted-space"/>
          <w:rFonts w:ascii="Palatino Linotype" w:eastAsiaTheme="minorHAnsi" w:hAnsi="Palatino Linotype" w:cs="Segoe UI"/>
        </w:rPr>
        <w:t> </w:t>
      </w:r>
      <w:r w:rsidRPr="00143EC9">
        <w:rPr>
          <w:rStyle w:val="normaltextrun"/>
          <w:rFonts w:ascii="Palatino Linotype" w:hAnsi="Palatino Linotype" w:cs="Segoe UI"/>
        </w:rPr>
        <w:t xml:space="preserve">Ley de Transparencia y Acceso a la Información Pública del Estado </w:t>
      </w:r>
      <w:r w:rsidRPr="00143EC9">
        <w:rPr>
          <w:rStyle w:val="normaltextrun"/>
          <w:rFonts w:ascii="Palatino Linotype" w:hAnsi="Palatino Linotype" w:cs="Segoe UI"/>
        </w:rPr>
        <w:lastRenderedPageBreak/>
        <w:t>de México y Municipios, establece los siguientes elementos formales para la presentación del recurso:</w:t>
      </w:r>
    </w:p>
    <w:p w14:paraId="6EE64613" w14:textId="77777777" w:rsidR="00540D93" w:rsidRPr="00143EC9" w:rsidRDefault="00540D93" w:rsidP="00540D93">
      <w:pPr>
        <w:autoSpaceDE w:val="0"/>
        <w:autoSpaceDN w:val="0"/>
        <w:adjustRightInd w:val="0"/>
        <w:spacing w:after="120"/>
        <w:ind w:left="851" w:right="902"/>
        <w:jc w:val="both"/>
        <w:rPr>
          <w:rFonts w:ascii="Palatino Linotype" w:hAnsi="Palatino Linotype" w:cs="Arial"/>
          <w:i/>
          <w:sz w:val="20"/>
        </w:rPr>
      </w:pPr>
      <w:r w:rsidRPr="00143EC9">
        <w:rPr>
          <w:rFonts w:ascii="Palatino Linotype" w:hAnsi="Palatino Linotype" w:cs="Arial"/>
          <w:b/>
          <w:i/>
          <w:sz w:val="20"/>
        </w:rPr>
        <w:t>“Artículo 180.</w:t>
      </w:r>
      <w:r w:rsidRPr="00143EC9">
        <w:rPr>
          <w:rFonts w:ascii="Palatino Linotype" w:hAnsi="Palatino Linotype" w:cs="Arial"/>
          <w:i/>
          <w:sz w:val="20"/>
        </w:rPr>
        <w:t xml:space="preserve"> El recurso de revisión contendrá: </w:t>
      </w:r>
    </w:p>
    <w:p w14:paraId="131B483B" w14:textId="77777777" w:rsidR="00540D93" w:rsidRPr="00143EC9" w:rsidRDefault="00540D93" w:rsidP="00540D93">
      <w:pPr>
        <w:autoSpaceDE w:val="0"/>
        <w:autoSpaceDN w:val="0"/>
        <w:adjustRightInd w:val="0"/>
        <w:spacing w:after="120"/>
        <w:ind w:left="1134" w:right="902"/>
        <w:jc w:val="both"/>
        <w:rPr>
          <w:rFonts w:ascii="Palatino Linotype" w:hAnsi="Palatino Linotype" w:cs="Arial"/>
          <w:i/>
          <w:sz w:val="20"/>
        </w:rPr>
      </w:pPr>
      <w:r w:rsidRPr="00143EC9">
        <w:rPr>
          <w:rFonts w:ascii="Palatino Linotype" w:hAnsi="Palatino Linotype" w:cs="Arial"/>
          <w:i/>
          <w:sz w:val="20"/>
        </w:rPr>
        <w:t>(…)</w:t>
      </w:r>
    </w:p>
    <w:p w14:paraId="18AEC6B1" w14:textId="77777777" w:rsidR="00540D93" w:rsidRPr="00143EC9" w:rsidRDefault="00540D93" w:rsidP="00540D93">
      <w:pPr>
        <w:autoSpaceDE w:val="0"/>
        <w:autoSpaceDN w:val="0"/>
        <w:adjustRightInd w:val="0"/>
        <w:spacing w:after="120"/>
        <w:ind w:left="1134" w:right="902"/>
        <w:jc w:val="both"/>
        <w:rPr>
          <w:rFonts w:ascii="Palatino Linotype" w:hAnsi="Palatino Linotype" w:cs="Arial"/>
          <w:i/>
          <w:sz w:val="20"/>
        </w:rPr>
      </w:pPr>
      <w:r w:rsidRPr="00143EC9">
        <w:rPr>
          <w:rFonts w:ascii="Palatino Linotype" w:hAnsi="Palatino Linotype" w:cs="Arial"/>
          <w:i/>
          <w:sz w:val="20"/>
        </w:rPr>
        <w:t xml:space="preserve">II. El nombre del solicitante que recurre o de su representante y, en su caso, del tercero interesado, así como la dirección o medio que señale para recibir notificaciones; </w:t>
      </w:r>
    </w:p>
    <w:p w14:paraId="0409442E" w14:textId="77777777" w:rsidR="00540D93" w:rsidRPr="00143EC9" w:rsidRDefault="00540D93" w:rsidP="00540D93">
      <w:pPr>
        <w:autoSpaceDE w:val="0"/>
        <w:autoSpaceDN w:val="0"/>
        <w:adjustRightInd w:val="0"/>
        <w:spacing w:after="120"/>
        <w:ind w:left="851" w:right="902"/>
        <w:jc w:val="both"/>
        <w:rPr>
          <w:rFonts w:ascii="Palatino Linotype" w:hAnsi="Palatino Linotype" w:cs="Arial"/>
          <w:i/>
          <w:sz w:val="20"/>
        </w:rPr>
      </w:pPr>
      <w:r w:rsidRPr="00143EC9">
        <w:rPr>
          <w:rFonts w:ascii="Palatino Linotype" w:hAnsi="Palatino Linotype" w:cs="Arial"/>
          <w:i/>
          <w:sz w:val="20"/>
        </w:rPr>
        <w:t>(…)</w:t>
      </w:r>
    </w:p>
    <w:p w14:paraId="72893DF3" w14:textId="77777777" w:rsidR="00540D93" w:rsidRPr="00143EC9" w:rsidRDefault="00540D93" w:rsidP="00540D93">
      <w:pPr>
        <w:autoSpaceDE w:val="0"/>
        <w:autoSpaceDN w:val="0"/>
        <w:adjustRightInd w:val="0"/>
        <w:spacing w:after="120"/>
        <w:ind w:left="851" w:right="902"/>
        <w:jc w:val="both"/>
        <w:rPr>
          <w:rFonts w:ascii="Palatino Linotype" w:hAnsi="Palatino Linotype" w:cs="Arial"/>
          <w:i/>
          <w:sz w:val="20"/>
        </w:rPr>
      </w:pPr>
      <w:r w:rsidRPr="00143EC9">
        <w:rPr>
          <w:rFonts w:ascii="Palatino Linotype" w:hAnsi="Palatino Linotype" w:cs="Arial"/>
          <w:i/>
          <w:sz w:val="20"/>
        </w:rPr>
        <w:t>En caso de que el recurso se interponga de manera electrónica no será indispensable que contengan los requisitos establecidos en las fracciones II, IV, VII y VIII.”</w:t>
      </w:r>
    </w:p>
    <w:p w14:paraId="161A77AF" w14:textId="77777777" w:rsidR="00540D93" w:rsidRPr="00143EC9" w:rsidRDefault="00540D93" w:rsidP="00540D93">
      <w:pPr>
        <w:spacing w:before="240" w:after="240" w:line="360" w:lineRule="auto"/>
        <w:jc w:val="both"/>
        <w:rPr>
          <w:rStyle w:val="normaltextrun"/>
          <w:rFonts w:ascii="Palatino Linotype" w:hAnsi="Palatino Linotype" w:cs="Segoe UI"/>
        </w:rPr>
      </w:pPr>
      <w:r w:rsidRPr="00143EC9">
        <w:rPr>
          <w:rStyle w:val="normaltextrun"/>
          <w:rFonts w:ascii="Palatino Linotype" w:hAnsi="Palatino Linotype" w:cs="Segoe UI"/>
        </w:rPr>
        <w:t>Por su parte, el artículo 181 del citado ordenamiento dispone, que:</w:t>
      </w:r>
    </w:p>
    <w:p w14:paraId="106E3757" w14:textId="77777777" w:rsidR="00540D93" w:rsidRPr="00143EC9" w:rsidRDefault="00540D93" w:rsidP="00540D93">
      <w:pPr>
        <w:autoSpaceDE w:val="0"/>
        <w:autoSpaceDN w:val="0"/>
        <w:adjustRightInd w:val="0"/>
        <w:spacing w:after="120"/>
        <w:ind w:left="851" w:right="902"/>
        <w:jc w:val="both"/>
        <w:rPr>
          <w:rFonts w:ascii="Palatino Linotype" w:hAnsi="Palatino Linotype" w:cs="Arial"/>
          <w:i/>
          <w:sz w:val="20"/>
          <w:szCs w:val="20"/>
        </w:rPr>
      </w:pPr>
      <w:r w:rsidRPr="00143EC9">
        <w:rPr>
          <w:rFonts w:ascii="Palatino Linotype" w:hAnsi="Palatino Linotype" w:cs="Arial"/>
          <w:b/>
          <w:i/>
          <w:sz w:val="20"/>
          <w:szCs w:val="20"/>
        </w:rPr>
        <w:t>“Artículo 181.</w:t>
      </w:r>
      <w:r w:rsidRPr="00143EC9">
        <w:rPr>
          <w:rFonts w:ascii="Palatino Linotype" w:hAnsi="Palatino Linotype" w:cs="Arial"/>
          <w:i/>
          <w:sz w:val="20"/>
          <w:szCs w:val="20"/>
        </w:rPr>
        <w:t xml:space="preserve"> Si el escrito de interposición del recurso no cumple con alguno de los requisitos establecidos en el artículo anterior y el Instituto no cuenta con elementos para subsanarlos, se prevendrá al recurrente, por una sola ocasión y a través del medio que haya elegido para recibir notificaciones, con el objeto de que subsane las omisiones dentro de un plazo que no podrá exceder de cinco días hábiles, contados a partir del día siguiente de la notificación de la prevención, con el apercibimiento de que, de no cumplir, se desechará el recurso de revisión. </w:t>
      </w:r>
    </w:p>
    <w:p w14:paraId="6F4DB202" w14:textId="77777777" w:rsidR="00540D93" w:rsidRPr="00143EC9" w:rsidRDefault="00540D93" w:rsidP="00540D93">
      <w:pPr>
        <w:autoSpaceDE w:val="0"/>
        <w:autoSpaceDN w:val="0"/>
        <w:adjustRightInd w:val="0"/>
        <w:spacing w:after="120"/>
        <w:ind w:left="851" w:right="902"/>
        <w:jc w:val="both"/>
        <w:rPr>
          <w:rFonts w:ascii="Palatino Linotype" w:hAnsi="Palatino Linotype" w:cs="Arial"/>
          <w:i/>
          <w:sz w:val="20"/>
          <w:szCs w:val="20"/>
        </w:rPr>
      </w:pPr>
      <w:r w:rsidRPr="00143EC9">
        <w:rPr>
          <w:rFonts w:ascii="Palatino Linotype" w:hAnsi="Palatino Linotype" w:cs="Arial"/>
          <w:i/>
          <w:sz w:val="20"/>
          <w:szCs w:val="20"/>
        </w:rPr>
        <w:t xml:space="preserve">La prevención tendrá el efecto de interrumpir el plazo que tiene el Instituto para resolver el recurso, por lo que comenzará a computarse a partir del día siguiente a su desahogo. No podrá prevenirse por el nombre que proporcione el solicitante. </w:t>
      </w:r>
    </w:p>
    <w:p w14:paraId="12B2F9C7" w14:textId="77777777" w:rsidR="00540D93" w:rsidRPr="00143EC9" w:rsidRDefault="00540D93" w:rsidP="00540D93">
      <w:pPr>
        <w:autoSpaceDE w:val="0"/>
        <w:autoSpaceDN w:val="0"/>
        <w:adjustRightInd w:val="0"/>
        <w:spacing w:after="120"/>
        <w:ind w:left="851" w:right="902"/>
        <w:jc w:val="both"/>
        <w:rPr>
          <w:rFonts w:ascii="Palatino Linotype" w:hAnsi="Palatino Linotype" w:cs="Arial"/>
          <w:i/>
          <w:sz w:val="20"/>
          <w:szCs w:val="20"/>
        </w:rPr>
      </w:pPr>
      <w:r w:rsidRPr="00143EC9">
        <w:rPr>
          <w:rFonts w:ascii="Palatino Linotype" w:hAnsi="Palatino Linotype" w:cs="Arial"/>
          <w:i/>
          <w:sz w:val="20"/>
          <w:szCs w:val="20"/>
        </w:rPr>
        <w:t xml:space="preserve">El Instituto resolverá el recurso de revisión en un plazo que no podrá exceder de treinta días hábiles, contados a partir de la admisión del mismo, en los términos que establezca la presente ley, plazo que podrá ampliarse por una sola vez y hasta por un periodo de quince días hábiles. </w:t>
      </w:r>
    </w:p>
    <w:p w14:paraId="7725154A" w14:textId="77777777" w:rsidR="00540D93" w:rsidRPr="00143EC9" w:rsidRDefault="00540D93" w:rsidP="00540D93">
      <w:pPr>
        <w:autoSpaceDE w:val="0"/>
        <w:autoSpaceDN w:val="0"/>
        <w:adjustRightInd w:val="0"/>
        <w:spacing w:after="120"/>
        <w:ind w:left="851" w:right="902"/>
        <w:jc w:val="both"/>
        <w:rPr>
          <w:rFonts w:ascii="Palatino Linotype" w:hAnsi="Palatino Linotype" w:cs="Arial"/>
          <w:i/>
          <w:sz w:val="20"/>
          <w:szCs w:val="20"/>
        </w:rPr>
      </w:pPr>
      <w:r w:rsidRPr="00143EC9">
        <w:rPr>
          <w:rFonts w:ascii="Palatino Linotype" w:hAnsi="Palatino Linotype" w:cs="Arial"/>
          <w:i/>
          <w:sz w:val="20"/>
          <w:szCs w:val="20"/>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p>
    <w:p w14:paraId="64AEBB74" w14:textId="77777777" w:rsidR="00540D93" w:rsidRPr="00143EC9" w:rsidRDefault="00540D93" w:rsidP="00540D93">
      <w:pPr>
        <w:spacing w:after="120"/>
        <w:ind w:left="851" w:right="902"/>
        <w:jc w:val="both"/>
        <w:rPr>
          <w:rStyle w:val="normaltextrun"/>
          <w:rFonts w:ascii="Palatino Linotype" w:hAnsi="Palatino Linotype" w:cs="Segoe UI"/>
          <w:sz w:val="20"/>
          <w:szCs w:val="20"/>
        </w:rPr>
      </w:pPr>
      <w:r w:rsidRPr="00143EC9">
        <w:rPr>
          <w:rFonts w:ascii="Palatino Linotype" w:hAnsi="Palatino Linotype" w:cs="Arial"/>
          <w:i/>
          <w:sz w:val="20"/>
          <w:szCs w:val="20"/>
        </w:rPr>
        <w:t>Para el caso de interposición del recurso de revisión a través de la Plataforma Nacional o la plataforma que para tales efectos habilite el Instituto, éste podrá solicitar al particular subsane las deficiencias por ese medio.”</w:t>
      </w:r>
    </w:p>
    <w:p w14:paraId="1E5A4FD9" w14:textId="77777777" w:rsidR="00540D93" w:rsidRPr="00143EC9" w:rsidRDefault="00540D93" w:rsidP="00540D93">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 xml:space="preserve">De la interpretación sistemática a los artículos transcritos se advierten los requisitos de los recursos de revisión y por el otro la potestad de este Instituto para requerir al </w:t>
      </w:r>
      <w:r w:rsidRPr="00143EC9">
        <w:rPr>
          <w:rFonts w:ascii="Palatino Linotype" w:hAnsi="Palatino Linotype" w:cs="Arial"/>
        </w:rPr>
        <w:lastRenderedPageBreak/>
        <w:t>recurrente, por una sola ocasión y a través del medio que haya elegido para recibir notificaciones a fin de que subsane las omisiones de sus recursos o bien que aplique la suplencia de la queja a favor del recurrente sin cambiar los hechos expuestos.</w:t>
      </w:r>
    </w:p>
    <w:p w14:paraId="09B5F13B" w14:textId="10937FED" w:rsidR="00540D93" w:rsidRPr="00143EC9" w:rsidRDefault="00540D93" w:rsidP="00540D93">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 xml:space="preserve">Sobre el particular, de la revisión al expediente electrónico del SAIMEX se desprende que la parte solicitante, en ejercicio de su derecho de acceso a la información pública, y ahora recurrente, </w:t>
      </w:r>
      <w:r>
        <w:rPr>
          <w:rFonts w:ascii="Palatino Linotype" w:hAnsi="Palatino Linotype" w:cs="Arial"/>
        </w:rPr>
        <w:t>proporcionó nombre, pero no así el apel</w:t>
      </w:r>
      <w:r w:rsidRPr="00143EC9">
        <w:rPr>
          <w:rFonts w:ascii="Palatino Linotype" w:hAnsi="Palatino Linotype" w:cs="Arial"/>
        </w:rPr>
        <w:t>lido paterno</w:t>
      </w:r>
      <w:r>
        <w:rPr>
          <w:rFonts w:ascii="Palatino Linotype" w:hAnsi="Palatino Linotype" w:cs="Arial"/>
        </w:rPr>
        <w:t xml:space="preserve"> y materno</w:t>
      </w:r>
      <w:r w:rsidRPr="00143EC9">
        <w:rPr>
          <w:rFonts w:ascii="Palatino Linotype" w:hAnsi="Palatino Linotype" w:cs="Arial"/>
        </w:rPr>
        <w:t>, por ende, no se tiene certeza sobre su identidad, lo que en estricto sentido provoca que no se colmen los requisitos establecidos en el citado artículo 180 de la Ley de Transparencia.</w:t>
      </w:r>
    </w:p>
    <w:p w14:paraId="23F41D28" w14:textId="77777777" w:rsidR="00540D93" w:rsidRPr="00143EC9" w:rsidRDefault="00540D93" w:rsidP="00540D93">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 xml:space="preserve">Empero lo anterior, debe destacarse que el artículo 15 de </w:t>
      </w:r>
      <w:r w:rsidRPr="00143EC9">
        <w:rPr>
          <w:rFonts w:ascii="Palatino Linotype" w:hAnsi="Palatino Linotype" w:cs="Arial"/>
          <w:lang w:val="es-MX"/>
        </w:rPr>
        <w:t xml:space="preserve">Ley de Transparencia y Acceso a la Información Pública del Estado de México y Municipios </w:t>
      </w:r>
      <w:r w:rsidRPr="00143EC9">
        <w:rPr>
          <w:rFonts w:ascii="Palatino Linotype" w:hAnsi="Palatino Linotype" w:cs="Arial"/>
          <w:iCs/>
        </w:rPr>
        <w:t xml:space="preserve">prevé que </w:t>
      </w:r>
      <w:r w:rsidRPr="00143EC9">
        <w:rPr>
          <w:rFonts w:ascii="Palatino Linotype" w:hAnsi="Palatino Linotype" w:cs="Arial"/>
        </w:rPr>
        <w:t xml:space="preserve">toda persona tendrá acceso a la información sin necesidad de acreditar interés alguno o justificar su utilización, de lo que se infiere que para el ejercicio del derecho de acceso a la información pública, el nombre no es un requisito </w:t>
      </w:r>
      <w:r w:rsidRPr="00143EC9">
        <w:rPr>
          <w:rFonts w:ascii="Palatino Linotype" w:hAnsi="Palatino Linotype" w:cs="Arial"/>
          <w:i/>
        </w:rPr>
        <w:t>sine qua non</w:t>
      </w:r>
      <w:r w:rsidRPr="00143EC9">
        <w:rPr>
          <w:rFonts w:ascii="Palatino Linotype" w:hAnsi="Palatino Linotype" w:cs="Arial"/>
        </w:rPr>
        <w:t xml:space="preserve"> que los particulares y, en su caso, los recurrentes deban señalar, por el contrario la Ley de Transparencia prevé en su artículo 155, párrafos segundo, tercero y cuarto la posibilidad de que las solicitudes de información sean anónimas, con nombre incompleto o seudónimo.</w:t>
      </w:r>
    </w:p>
    <w:p w14:paraId="670F4E43" w14:textId="77777777" w:rsidR="00540D93" w:rsidRPr="00143EC9" w:rsidRDefault="00540D93" w:rsidP="00540D93">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 xml:space="preserve">Correlativo a ello, cabe mencionar que los artículos 6, apartado A, fracciones I, II, III y IV de la Constitución Política de los Estados Unidos Mexicanos y 5 vigésimo segundo, vigésimo tercero y vigésimo cuarto fracciones I, III, y V de la Constitución Política del Estado Libre y Soberano de México, garantizan el ejercicio del derecho de acceso a la información pública, toda vez que disponen que toda persona sin </w:t>
      </w:r>
      <w:r w:rsidRPr="00143EC9">
        <w:rPr>
          <w:rFonts w:ascii="Palatino Linotype" w:hAnsi="Palatino Linotype" w:cs="Arial"/>
        </w:rPr>
        <w:lastRenderedPageBreak/>
        <w:t>necesidad de acreditar interés alguno o justificar su utilización, tendrá acceso gratuito a la información pública; preceptos cuyo texto y sentido literal es el siguiente:</w:t>
      </w:r>
    </w:p>
    <w:p w14:paraId="513A4C29" w14:textId="77777777" w:rsidR="00540D93" w:rsidRPr="00143EC9" w:rsidRDefault="00540D93" w:rsidP="00540D93">
      <w:pPr>
        <w:autoSpaceDE w:val="0"/>
        <w:autoSpaceDN w:val="0"/>
        <w:adjustRightInd w:val="0"/>
        <w:spacing w:after="120"/>
        <w:ind w:left="851" w:right="902"/>
        <w:jc w:val="both"/>
        <w:rPr>
          <w:rFonts w:ascii="Palatino Linotype" w:hAnsi="Palatino Linotype" w:cs="Arial"/>
          <w:i/>
          <w:sz w:val="20"/>
        </w:rPr>
      </w:pPr>
      <w:r w:rsidRPr="00143EC9">
        <w:rPr>
          <w:rFonts w:ascii="Palatino Linotype" w:hAnsi="Palatino Linotype" w:cs="Arial"/>
          <w:i/>
          <w:sz w:val="20"/>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4488A958" w14:textId="77777777" w:rsidR="00540D93" w:rsidRPr="00143EC9" w:rsidRDefault="00540D93" w:rsidP="00540D93">
      <w:pPr>
        <w:autoSpaceDE w:val="0"/>
        <w:autoSpaceDN w:val="0"/>
        <w:adjustRightInd w:val="0"/>
        <w:spacing w:after="120"/>
        <w:ind w:left="851" w:right="902"/>
        <w:jc w:val="both"/>
        <w:rPr>
          <w:rFonts w:ascii="Palatino Linotype" w:hAnsi="Palatino Linotype" w:cs="Arial"/>
          <w:i/>
          <w:sz w:val="20"/>
        </w:rPr>
      </w:pPr>
      <w:r w:rsidRPr="00143EC9">
        <w:rPr>
          <w:rFonts w:ascii="Palatino Linotype" w:hAnsi="Palatino Linotype" w:cs="Arial"/>
          <w:i/>
          <w:sz w:val="20"/>
        </w:rPr>
        <w:t>(…)</w:t>
      </w:r>
    </w:p>
    <w:p w14:paraId="49D576C0" w14:textId="77777777" w:rsidR="00540D93" w:rsidRPr="00143EC9" w:rsidRDefault="00540D93" w:rsidP="00540D93">
      <w:pPr>
        <w:autoSpaceDE w:val="0"/>
        <w:autoSpaceDN w:val="0"/>
        <w:adjustRightInd w:val="0"/>
        <w:spacing w:after="120"/>
        <w:ind w:left="851" w:right="902"/>
        <w:jc w:val="both"/>
        <w:rPr>
          <w:rFonts w:ascii="Palatino Linotype" w:hAnsi="Palatino Linotype" w:cs="Arial"/>
          <w:i/>
          <w:sz w:val="20"/>
        </w:rPr>
      </w:pPr>
      <w:r w:rsidRPr="00143EC9">
        <w:rPr>
          <w:rFonts w:ascii="Palatino Linotype" w:hAnsi="Palatino Linotype" w:cs="Arial"/>
          <w:i/>
          <w:sz w:val="20"/>
        </w:rPr>
        <w:t xml:space="preserve"> Para efectos de lo dispuesto en el presente artículo se observará lo siguiente: </w:t>
      </w:r>
    </w:p>
    <w:p w14:paraId="1D397F2A" w14:textId="77777777" w:rsidR="00540D93" w:rsidRPr="00143EC9" w:rsidRDefault="00540D93" w:rsidP="00540D93">
      <w:pPr>
        <w:autoSpaceDE w:val="0"/>
        <w:autoSpaceDN w:val="0"/>
        <w:adjustRightInd w:val="0"/>
        <w:spacing w:after="120"/>
        <w:ind w:left="851" w:right="902"/>
        <w:jc w:val="both"/>
        <w:rPr>
          <w:rFonts w:ascii="Palatino Linotype" w:hAnsi="Palatino Linotype" w:cs="Arial"/>
          <w:i/>
          <w:sz w:val="20"/>
        </w:rPr>
      </w:pPr>
      <w:r w:rsidRPr="00143EC9">
        <w:rPr>
          <w:rFonts w:ascii="Palatino Linotype" w:hAnsi="Palatino Linotype" w:cs="Arial"/>
          <w:i/>
          <w:sz w:val="20"/>
        </w:rPr>
        <w:t xml:space="preserve">A. Para el ejercicio del derecho de acceso a la información, la Federación, los Estados y el Distrito Federal, en el ámbito de sus respectivas competencias, se regirán por los siguientes principios y bases: </w:t>
      </w:r>
    </w:p>
    <w:p w14:paraId="41D038D0" w14:textId="77777777" w:rsidR="00540D93" w:rsidRPr="00143EC9" w:rsidRDefault="00540D93" w:rsidP="00540D93">
      <w:pPr>
        <w:autoSpaceDE w:val="0"/>
        <w:autoSpaceDN w:val="0"/>
        <w:adjustRightInd w:val="0"/>
        <w:spacing w:after="120"/>
        <w:ind w:left="851" w:right="902"/>
        <w:jc w:val="both"/>
        <w:rPr>
          <w:rFonts w:ascii="Palatino Linotype" w:hAnsi="Palatino Linotype" w:cs="Arial"/>
          <w:i/>
          <w:sz w:val="20"/>
        </w:rPr>
      </w:pPr>
      <w:r w:rsidRPr="00143EC9">
        <w:rPr>
          <w:rFonts w:ascii="Palatino Linotype" w:hAnsi="Palatino Linotype" w:cs="Arial"/>
          <w:i/>
          <w:sz w:val="20"/>
        </w:rPr>
        <w:t xml:space="preserve">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6C205322" w14:textId="77777777" w:rsidR="00540D93" w:rsidRPr="00143EC9" w:rsidRDefault="00540D93" w:rsidP="00540D93">
      <w:pPr>
        <w:autoSpaceDE w:val="0"/>
        <w:autoSpaceDN w:val="0"/>
        <w:adjustRightInd w:val="0"/>
        <w:spacing w:after="120"/>
        <w:ind w:left="851" w:right="902"/>
        <w:jc w:val="both"/>
        <w:rPr>
          <w:rFonts w:ascii="Palatino Linotype" w:hAnsi="Palatino Linotype" w:cs="Arial"/>
          <w:i/>
          <w:sz w:val="20"/>
        </w:rPr>
      </w:pPr>
      <w:r w:rsidRPr="00143EC9">
        <w:rPr>
          <w:rFonts w:ascii="Palatino Linotype" w:hAnsi="Palatino Linotype" w:cs="Arial"/>
          <w:i/>
          <w:sz w:val="20"/>
        </w:rPr>
        <w:t xml:space="preserve">II. La información que se refiere a la vida privada y los datos personales será protegida en los términos y con las excepciones que fijen las leyes. </w:t>
      </w:r>
    </w:p>
    <w:p w14:paraId="2F223BCF" w14:textId="77777777" w:rsidR="00540D93" w:rsidRPr="00143EC9" w:rsidRDefault="00540D93" w:rsidP="00540D93">
      <w:pPr>
        <w:autoSpaceDE w:val="0"/>
        <w:autoSpaceDN w:val="0"/>
        <w:adjustRightInd w:val="0"/>
        <w:spacing w:after="120"/>
        <w:ind w:left="851" w:right="902"/>
        <w:jc w:val="both"/>
        <w:rPr>
          <w:rFonts w:ascii="Palatino Linotype" w:hAnsi="Palatino Linotype" w:cs="Arial"/>
          <w:i/>
          <w:sz w:val="20"/>
        </w:rPr>
      </w:pPr>
      <w:r w:rsidRPr="00143EC9">
        <w:rPr>
          <w:rFonts w:ascii="Palatino Linotype" w:hAnsi="Palatino Linotype" w:cs="Arial"/>
          <w:i/>
          <w:sz w:val="20"/>
        </w:rPr>
        <w:t xml:space="preserve">III. Toda persona, sin necesidad de acreditar interés alguno o justificar su utilización, tendrá acceso gratuito a la información pública, a sus datos personales o a la rectificación de éstos. </w:t>
      </w:r>
    </w:p>
    <w:p w14:paraId="4F5D42CC" w14:textId="77777777" w:rsidR="00540D93" w:rsidRPr="00143EC9" w:rsidRDefault="00540D93" w:rsidP="00540D93">
      <w:pPr>
        <w:autoSpaceDE w:val="0"/>
        <w:autoSpaceDN w:val="0"/>
        <w:adjustRightInd w:val="0"/>
        <w:spacing w:after="120"/>
        <w:ind w:left="851" w:right="902"/>
        <w:jc w:val="both"/>
        <w:rPr>
          <w:rFonts w:ascii="Palatino Linotype" w:hAnsi="Palatino Linotype" w:cs="Arial"/>
          <w:i/>
          <w:sz w:val="20"/>
        </w:rPr>
      </w:pPr>
      <w:r w:rsidRPr="00143EC9">
        <w:rPr>
          <w:rFonts w:ascii="Palatino Linotype" w:hAnsi="Palatino Linotype" w:cs="Arial"/>
          <w:i/>
          <w:sz w:val="20"/>
        </w:rPr>
        <w:t xml:space="preserve">IV. Se establecerán mecanismos de acceso a la información y procedimientos de revisión expeditos que se sustanciarán ante los organismos autónomos especializados e imparciales que establece esta Constitución.” </w:t>
      </w:r>
    </w:p>
    <w:p w14:paraId="47D87AB4" w14:textId="77777777" w:rsidR="00540D93" w:rsidRPr="00143EC9" w:rsidRDefault="00540D93" w:rsidP="00540D93">
      <w:pPr>
        <w:autoSpaceDE w:val="0"/>
        <w:autoSpaceDN w:val="0"/>
        <w:adjustRightInd w:val="0"/>
        <w:spacing w:after="120"/>
        <w:ind w:left="851" w:right="900"/>
        <w:jc w:val="both"/>
        <w:rPr>
          <w:rFonts w:ascii="Palatino Linotype" w:hAnsi="Palatino Linotype" w:cs="Arial"/>
          <w:i/>
          <w:sz w:val="20"/>
        </w:rPr>
      </w:pPr>
      <w:r w:rsidRPr="00143EC9">
        <w:rPr>
          <w:rFonts w:ascii="Palatino Linotype" w:hAnsi="Palatino Linotype" w:cs="Arial"/>
          <w:i/>
          <w:sz w:val="20"/>
        </w:rPr>
        <w:t xml:space="preserve"> “Artículo 5.- En el Estado de México todos los individuos son iguales y tienen las libertades, derechos y garantías que la Constitución Federal, esta Constitución, los Tratados Internacionales en materia de derechos fundamentales de los que el Estado Mexicano sea parte y las leyes del Estado establecen.</w:t>
      </w:r>
    </w:p>
    <w:p w14:paraId="56E82920" w14:textId="77777777" w:rsidR="00540D93" w:rsidRPr="00143EC9" w:rsidRDefault="00540D93" w:rsidP="00540D93">
      <w:pPr>
        <w:autoSpaceDE w:val="0"/>
        <w:autoSpaceDN w:val="0"/>
        <w:adjustRightInd w:val="0"/>
        <w:spacing w:after="120"/>
        <w:ind w:left="851" w:right="900"/>
        <w:jc w:val="both"/>
        <w:rPr>
          <w:rFonts w:ascii="Palatino Linotype" w:hAnsi="Palatino Linotype" w:cs="Arial"/>
          <w:i/>
          <w:sz w:val="20"/>
        </w:rPr>
      </w:pPr>
      <w:r w:rsidRPr="00143EC9">
        <w:rPr>
          <w:rFonts w:ascii="Palatino Linotype" w:hAnsi="Palatino Linotype" w:cs="Arial"/>
          <w:i/>
          <w:sz w:val="20"/>
        </w:rPr>
        <w:t>(…)</w:t>
      </w:r>
    </w:p>
    <w:p w14:paraId="237E9362" w14:textId="77777777" w:rsidR="00540D93" w:rsidRPr="00143EC9" w:rsidRDefault="00540D93" w:rsidP="00540D93">
      <w:pPr>
        <w:autoSpaceDE w:val="0"/>
        <w:autoSpaceDN w:val="0"/>
        <w:adjustRightInd w:val="0"/>
        <w:spacing w:after="120"/>
        <w:ind w:left="851" w:right="900"/>
        <w:jc w:val="both"/>
        <w:rPr>
          <w:rFonts w:ascii="Palatino Linotype" w:hAnsi="Palatino Linotype" w:cs="Arial"/>
          <w:i/>
          <w:sz w:val="20"/>
        </w:rPr>
      </w:pPr>
      <w:r w:rsidRPr="00143EC9">
        <w:rPr>
          <w:rFonts w:ascii="Palatino Linotype" w:hAnsi="Palatino Linotype" w:cs="Arial"/>
          <w:i/>
          <w:sz w:val="20"/>
        </w:rPr>
        <w:lastRenderedPageBreak/>
        <w:t xml:space="preserve"> 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9E8D983" w14:textId="77777777" w:rsidR="00540D93" w:rsidRPr="00143EC9" w:rsidRDefault="00540D93" w:rsidP="00540D93">
      <w:pPr>
        <w:autoSpaceDE w:val="0"/>
        <w:autoSpaceDN w:val="0"/>
        <w:adjustRightInd w:val="0"/>
        <w:spacing w:after="120"/>
        <w:ind w:left="851" w:right="900"/>
        <w:jc w:val="both"/>
        <w:rPr>
          <w:rFonts w:ascii="Palatino Linotype" w:hAnsi="Palatino Linotype" w:cs="Arial"/>
          <w:i/>
          <w:sz w:val="20"/>
        </w:rPr>
      </w:pPr>
      <w:r w:rsidRPr="00143EC9">
        <w:rPr>
          <w:rFonts w:ascii="Palatino Linotype" w:hAnsi="Palatino Linotype" w:cs="Arial"/>
          <w:i/>
          <w:sz w:val="20"/>
        </w:rPr>
        <w:t>Este derecho se regirá por los principios y bases siguientes:</w:t>
      </w:r>
    </w:p>
    <w:p w14:paraId="04ED584D" w14:textId="77777777" w:rsidR="00540D93" w:rsidRPr="00143EC9" w:rsidRDefault="00540D93" w:rsidP="00540D93">
      <w:pPr>
        <w:autoSpaceDE w:val="0"/>
        <w:autoSpaceDN w:val="0"/>
        <w:adjustRightInd w:val="0"/>
        <w:spacing w:after="120"/>
        <w:ind w:left="851" w:right="900"/>
        <w:jc w:val="both"/>
        <w:rPr>
          <w:rFonts w:ascii="Palatino Linotype" w:hAnsi="Palatino Linotype" w:cs="Arial"/>
          <w:i/>
          <w:sz w:val="20"/>
        </w:rPr>
      </w:pPr>
      <w:r w:rsidRPr="00143EC9">
        <w:rPr>
          <w:rFonts w:ascii="Palatino Linotype" w:hAnsi="Palatino Linotype" w:cs="Arial"/>
          <w:i/>
          <w:sz w:val="20"/>
        </w:rPr>
        <w:t>I.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2061300E" w14:textId="77777777" w:rsidR="00540D93" w:rsidRPr="00143EC9" w:rsidRDefault="00540D93" w:rsidP="00540D93">
      <w:pPr>
        <w:autoSpaceDE w:val="0"/>
        <w:autoSpaceDN w:val="0"/>
        <w:adjustRightInd w:val="0"/>
        <w:spacing w:after="120"/>
        <w:ind w:left="851" w:right="900"/>
        <w:jc w:val="both"/>
        <w:rPr>
          <w:rFonts w:ascii="Palatino Linotype" w:hAnsi="Palatino Linotype" w:cs="Arial"/>
          <w:i/>
          <w:sz w:val="20"/>
        </w:rPr>
      </w:pPr>
      <w:r w:rsidRPr="00143EC9">
        <w:rPr>
          <w:rFonts w:ascii="Palatino Linotype" w:hAnsi="Palatino Linotype" w:cs="Arial"/>
          <w:i/>
          <w:sz w:val="20"/>
        </w:rPr>
        <w:t>(…)</w:t>
      </w:r>
    </w:p>
    <w:p w14:paraId="4B7D57C3" w14:textId="77777777" w:rsidR="00540D93" w:rsidRPr="00143EC9" w:rsidRDefault="00540D93" w:rsidP="00540D93">
      <w:pPr>
        <w:autoSpaceDE w:val="0"/>
        <w:autoSpaceDN w:val="0"/>
        <w:adjustRightInd w:val="0"/>
        <w:spacing w:after="120"/>
        <w:ind w:left="851" w:right="900"/>
        <w:jc w:val="both"/>
        <w:rPr>
          <w:rFonts w:ascii="Palatino Linotype" w:hAnsi="Palatino Linotype" w:cs="Arial"/>
          <w:i/>
          <w:sz w:val="20"/>
        </w:rPr>
      </w:pPr>
      <w:r w:rsidRPr="00143EC9">
        <w:rPr>
          <w:rFonts w:ascii="Palatino Linotype" w:hAnsi="Palatino Linotype" w:cs="Arial"/>
          <w:i/>
          <w:sz w:val="20"/>
        </w:rPr>
        <w:t xml:space="preserve"> III. Toda persona, sin necesidad de acreditar interés alguno o justificar su utilización, tendrá acceso gratuito a la información pública, a sus datos personales o a la rectificación de éstos;</w:t>
      </w:r>
    </w:p>
    <w:p w14:paraId="229CA30B" w14:textId="77777777" w:rsidR="00540D93" w:rsidRPr="00143EC9" w:rsidRDefault="00540D93" w:rsidP="00540D93">
      <w:pPr>
        <w:autoSpaceDE w:val="0"/>
        <w:autoSpaceDN w:val="0"/>
        <w:adjustRightInd w:val="0"/>
        <w:spacing w:after="120"/>
        <w:ind w:left="851" w:right="900"/>
        <w:jc w:val="both"/>
        <w:rPr>
          <w:rFonts w:ascii="Palatino Linotype" w:hAnsi="Palatino Linotype" w:cs="Arial"/>
          <w:i/>
          <w:sz w:val="20"/>
        </w:rPr>
      </w:pPr>
      <w:r w:rsidRPr="00143EC9">
        <w:rPr>
          <w:rFonts w:ascii="Palatino Linotype" w:hAnsi="Palatino Linotype" w:cs="Arial"/>
          <w:i/>
          <w:sz w:val="20"/>
        </w:rPr>
        <w:t>(…)</w:t>
      </w:r>
    </w:p>
    <w:p w14:paraId="6E27903F" w14:textId="77777777" w:rsidR="00540D93" w:rsidRPr="00143EC9" w:rsidRDefault="00540D93" w:rsidP="00540D93">
      <w:pPr>
        <w:autoSpaceDE w:val="0"/>
        <w:autoSpaceDN w:val="0"/>
        <w:adjustRightInd w:val="0"/>
        <w:spacing w:after="120"/>
        <w:ind w:left="851" w:right="900"/>
        <w:jc w:val="both"/>
        <w:rPr>
          <w:rFonts w:ascii="Palatino Linotype" w:hAnsi="Palatino Linotype" w:cs="Arial"/>
          <w:i/>
          <w:sz w:val="20"/>
        </w:rPr>
      </w:pPr>
      <w:r w:rsidRPr="00143EC9">
        <w:rPr>
          <w:rFonts w:ascii="Palatino Linotype" w:hAnsi="Palatino Linotype" w:cs="Arial"/>
          <w:i/>
          <w:sz w:val="20"/>
        </w:rPr>
        <w:t xml:space="preserve"> 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7ED5A403" w14:textId="77777777" w:rsidR="00540D93" w:rsidRPr="00143EC9" w:rsidRDefault="00540D93" w:rsidP="00540D93">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Por otra parte, del contenido del artículo 1 de la Constitución Política de los Estados Unidos Mexicanos, se destaca lo siguiente:</w:t>
      </w:r>
    </w:p>
    <w:p w14:paraId="65021347" w14:textId="77777777" w:rsidR="00540D93" w:rsidRPr="00143EC9" w:rsidRDefault="00540D93" w:rsidP="00540D93">
      <w:pPr>
        <w:autoSpaceDE w:val="0"/>
        <w:autoSpaceDN w:val="0"/>
        <w:adjustRightInd w:val="0"/>
        <w:spacing w:after="120"/>
        <w:ind w:left="851" w:right="902"/>
        <w:jc w:val="both"/>
        <w:rPr>
          <w:rFonts w:ascii="Palatino Linotype" w:hAnsi="Palatino Linotype" w:cs="Arial"/>
          <w:i/>
          <w:sz w:val="20"/>
        </w:rPr>
      </w:pPr>
      <w:r w:rsidRPr="00143EC9">
        <w:rPr>
          <w:rFonts w:ascii="Palatino Linotype" w:hAnsi="Palatino Linotype" w:cs="Arial"/>
          <w:i/>
          <w:sz w:val="20"/>
        </w:rPr>
        <w:t>“Artículo 1o.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BAA854E" w14:textId="77777777" w:rsidR="00540D93" w:rsidRPr="00143EC9" w:rsidRDefault="00540D93" w:rsidP="00540D93">
      <w:pPr>
        <w:autoSpaceDE w:val="0"/>
        <w:autoSpaceDN w:val="0"/>
        <w:adjustRightInd w:val="0"/>
        <w:spacing w:after="120"/>
        <w:ind w:left="851" w:right="902"/>
        <w:jc w:val="both"/>
        <w:rPr>
          <w:rFonts w:ascii="Palatino Linotype" w:hAnsi="Palatino Linotype" w:cs="Arial"/>
          <w:i/>
          <w:sz w:val="20"/>
        </w:rPr>
      </w:pPr>
      <w:r w:rsidRPr="00143EC9">
        <w:rPr>
          <w:rFonts w:ascii="Palatino Linotype" w:hAnsi="Palatino Linotype" w:cs="Arial"/>
          <w:i/>
          <w:sz w:val="20"/>
        </w:rPr>
        <w:lastRenderedPageBreak/>
        <w:t>Las normas relativas a los derechos humanos se interpretarán de conformidad con esta Constitución y con los tratados internacionales de la materia favoreciendo en todo tiempo a las personas la protección más amplia.</w:t>
      </w:r>
    </w:p>
    <w:p w14:paraId="77C8B422" w14:textId="77777777" w:rsidR="00540D93" w:rsidRPr="00143EC9" w:rsidRDefault="00540D93" w:rsidP="00540D93">
      <w:pPr>
        <w:autoSpaceDE w:val="0"/>
        <w:autoSpaceDN w:val="0"/>
        <w:adjustRightInd w:val="0"/>
        <w:spacing w:after="120"/>
        <w:ind w:left="851" w:right="902"/>
        <w:jc w:val="both"/>
        <w:rPr>
          <w:rFonts w:ascii="Palatino Linotype" w:hAnsi="Palatino Linotype" w:cs="Arial"/>
          <w:i/>
          <w:sz w:val="20"/>
        </w:rPr>
      </w:pPr>
      <w:r w:rsidRPr="00143EC9">
        <w:rPr>
          <w:rFonts w:ascii="Palatino Linotype" w:hAnsi="Palatino Linotype" w:cs="Arial"/>
          <w:i/>
          <w:sz w:val="20"/>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9B38265" w14:textId="77777777" w:rsidR="00540D93" w:rsidRPr="00143EC9" w:rsidRDefault="00540D93" w:rsidP="00540D93">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69E5B3F" w14:textId="77777777" w:rsidR="00540D93" w:rsidRPr="00143EC9" w:rsidRDefault="00540D93" w:rsidP="00540D93">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Robustece lo anterior, el Criterio 6/2014 del entonces Instituto Federal de Acceso a la Información y Protección de Datos, el cual se reproduce para una mayor referencia:</w:t>
      </w:r>
    </w:p>
    <w:p w14:paraId="241F51B6" w14:textId="77777777" w:rsidR="00540D93" w:rsidRPr="00143EC9" w:rsidRDefault="00540D93" w:rsidP="00540D93">
      <w:pPr>
        <w:autoSpaceDE w:val="0"/>
        <w:autoSpaceDN w:val="0"/>
        <w:adjustRightInd w:val="0"/>
        <w:spacing w:after="120"/>
        <w:ind w:left="851" w:right="902"/>
        <w:jc w:val="both"/>
        <w:rPr>
          <w:rFonts w:ascii="Palatino Linotype" w:hAnsi="Palatino Linotype" w:cs="Arial"/>
          <w:i/>
          <w:sz w:val="22"/>
        </w:rPr>
      </w:pPr>
      <w:r w:rsidRPr="00143EC9">
        <w:rPr>
          <w:rFonts w:ascii="Palatino Linotype" w:hAnsi="Palatino Linotype" w:cs="Arial"/>
          <w:i/>
          <w:sz w:val="20"/>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608E7414" w14:textId="77777777" w:rsidR="00540D93" w:rsidRPr="00143EC9" w:rsidRDefault="00540D93" w:rsidP="00540D93">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lastRenderedPageBreak/>
        <w:t>En ese orden de ideas, se estima que el requerimiento relativo al nombre como presupuesto de procedibilidad podría limitar el ejercicio del derecho de acceso a la 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54080F9C" w14:textId="77777777" w:rsidR="00540D93" w:rsidRPr="00143EC9" w:rsidRDefault="00540D93" w:rsidP="00540D93">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544BC689" w14:textId="77777777" w:rsidR="00540D93" w:rsidRDefault="00540D93" w:rsidP="00540D93">
      <w:pPr>
        <w:autoSpaceDE w:val="0"/>
        <w:autoSpaceDN w:val="0"/>
        <w:adjustRightInd w:val="0"/>
        <w:spacing w:before="240" w:after="240" w:line="360" w:lineRule="auto"/>
        <w:ind w:right="-91"/>
        <w:jc w:val="both"/>
        <w:rPr>
          <w:rFonts w:ascii="Palatino Linotype" w:hAnsi="Palatino Linotype" w:cs="Arial"/>
        </w:rPr>
      </w:pPr>
      <w:r w:rsidRPr="00143EC9">
        <w:rPr>
          <w:rFonts w:ascii="Palatino Linotype" w:hAnsi="Palatino Linotype" w:cs="Arial"/>
        </w:rPr>
        <w:t xml:space="preserve">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cuarto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w:t>
      </w:r>
      <w:r w:rsidRPr="00143EC9">
        <w:rPr>
          <w:rFonts w:ascii="Palatino Linotype" w:hAnsi="Palatino Linotype" w:cs="Arial"/>
        </w:rPr>
        <w:lastRenderedPageBreak/>
        <w:t>circunstancia que se acredita en las constancias electrónicas del expediente en revisión, de las que se desprende que la parte recurrente, es la misma que realizó la solicitud de acceso a la información pública que ahora se impugna.</w:t>
      </w:r>
    </w:p>
    <w:p w14:paraId="42E955F0" w14:textId="77777777" w:rsidR="00C801FE" w:rsidRPr="00A4521A" w:rsidRDefault="00C801FE" w:rsidP="00C801FE">
      <w:pPr>
        <w:spacing w:before="240" w:after="240" w:line="360" w:lineRule="auto"/>
        <w:jc w:val="both"/>
        <w:rPr>
          <w:rFonts w:ascii="Segoe UI" w:hAnsi="Segoe UI" w:cs="Segoe UI"/>
        </w:rPr>
      </w:pPr>
      <w:r w:rsidRPr="00A4521A">
        <w:rPr>
          <w:rFonts w:ascii="Palatino Linotype" w:hAnsi="Palatino Linotype" w:cs="Arial"/>
        </w:rPr>
        <w:t xml:space="preserve">Entonces se concluye la acreditación plena de todos y cada uno de los elementos formales exigidos por el artículo 180 de la </w:t>
      </w:r>
      <w:r w:rsidRPr="00A4521A">
        <w:rPr>
          <w:rFonts w:ascii="Palatino Linotype" w:hAnsi="Palatino Linotype" w:cs="Arial"/>
          <w:lang w:val="es-MX"/>
        </w:rPr>
        <w:t xml:space="preserve">Ley de Transparencia y Acceso a la Información Pública del Estado de México y Municipios, y en consecuencia resulta conforme a derecho entrar al estudio de fondo y resolver el presente medio de impugnación, al actualizarse lo dispuesto en los </w:t>
      </w:r>
      <w:r w:rsidRPr="00A4521A">
        <w:rPr>
          <w:rStyle w:val="normaltextrun"/>
          <w:rFonts w:ascii="Palatino Linotype" w:hAnsi="Palatino Linotype" w:cs="Segoe UI"/>
        </w:rPr>
        <w:t>artículos 176 y</w:t>
      </w:r>
      <w:r w:rsidRPr="00A4521A">
        <w:rPr>
          <w:rStyle w:val="apple-converted-space"/>
          <w:rFonts w:ascii="Palatino Linotype" w:eastAsiaTheme="minorHAnsi" w:hAnsi="Palatino Linotype" w:cs="Segoe UI"/>
        </w:rPr>
        <w:t xml:space="preserve"> 179 fracción VII </w:t>
      </w:r>
      <w:r w:rsidRPr="00A4521A">
        <w:rPr>
          <w:rStyle w:val="normaltextrun"/>
          <w:rFonts w:ascii="Palatino Linotype" w:hAnsi="Palatino Linotype" w:cs="Segoe UI"/>
        </w:rPr>
        <w:t>del ordenamiento legal citado, que establecen los supuestos en que puede interponerse el recurso de revisión:</w:t>
      </w:r>
    </w:p>
    <w:p w14:paraId="0C92B062" w14:textId="77777777" w:rsidR="00C801FE" w:rsidRPr="00A4521A" w:rsidRDefault="00C801FE" w:rsidP="00C801FE">
      <w:pPr>
        <w:autoSpaceDE w:val="0"/>
        <w:autoSpaceDN w:val="0"/>
        <w:adjustRightInd w:val="0"/>
        <w:spacing w:before="240" w:after="240" w:line="360" w:lineRule="auto"/>
        <w:ind w:left="1134" w:right="902"/>
        <w:jc w:val="both"/>
        <w:rPr>
          <w:rStyle w:val="normaltextrun"/>
          <w:rFonts w:ascii="Palatino Linotype" w:hAnsi="Palatino Linotype" w:cs="Segoe UI"/>
          <w:bCs/>
          <w:i/>
          <w:sz w:val="20"/>
          <w:szCs w:val="22"/>
        </w:rPr>
      </w:pPr>
      <w:r w:rsidRPr="00A4521A">
        <w:rPr>
          <w:rStyle w:val="normaltextrun"/>
          <w:rFonts w:ascii="Palatino Linotype" w:hAnsi="Palatino Linotype" w:cs="Segoe UI"/>
          <w:b/>
          <w:bCs/>
          <w:i/>
          <w:iCs/>
          <w:sz w:val="20"/>
          <w:szCs w:val="22"/>
        </w:rPr>
        <w:t>“</w:t>
      </w:r>
      <w:r w:rsidRPr="00A4521A">
        <w:rPr>
          <w:rStyle w:val="normaltextrun"/>
          <w:rFonts w:ascii="Palatino Linotype" w:hAnsi="Palatino Linotype" w:cs="Segoe UI"/>
          <w:b/>
          <w:bCs/>
          <w:i/>
          <w:sz w:val="20"/>
          <w:szCs w:val="22"/>
        </w:rPr>
        <w:t xml:space="preserve">Artículo 176. </w:t>
      </w:r>
      <w:r w:rsidRPr="00A4521A">
        <w:rPr>
          <w:rStyle w:val="normaltextrun"/>
          <w:rFonts w:ascii="Palatino Linotype" w:hAnsi="Palatino Linotype" w:cs="Segoe UI"/>
          <w:bCs/>
          <w:i/>
          <w:sz w:val="20"/>
          <w:szCs w:val="22"/>
        </w:rPr>
        <w:t>El recurso de revisión  es la garantía secundaria mediante la cual se pretende reparar cualquier posible afectación al derecho de acceso a la información pública en términos del presente y siguiente Capítulo.</w:t>
      </w:r>
    </w:p>
    <w:p w14:paraId="72854B0F" w14:textId="77777777" w:rsidR="00C801FE" w:rsidRPr="00A4521A" w:rsidRDefault="00C801FE" w:rsidP="00C801FE">
      <w:pPr>
        <w:autoSpaceDE w:val="0"/>
        <w:autoSpaceDN w:val="0"/>
        <w:adjustRightInd w:val="0"/>
        <w:spacing w:before="240" w:after="240" w:line="360" w:lineRule="auto"/>
        <w:ind w:left="1134" w:right="902"/>
        <w:jc w:val="both"/>
        <w:rPr>
          <w:rStyle w:val="eop"/>
          <w:rFonts w:ascii="Palatino Linotype" w:eastAsiaTheme="majorEastAsia" w:hAnsi="Palatino Linotype" w:cs="Segoe UI"/>
          <w:i/>
          <w:sz w:val="20"/>
          <w:szCs w:val="20"/>
        </w:rPr>
      </w:pPr>
      <w:r w:rsidRPr="00A4521A">
        <w:rPr>
          <w:rStyle w:val="normaltextrun"/>
          <w:rFonts w:ascii="Palatino Linotype" w:hAnsi="Palatino Linotype" w:cs="Segoe UI"/>
          <w:b/>
          <w:bCs/>
          <w:i/>
          <w:sz w:val="20"/>
          <w:szCs w:val="22"/>
        </w:rPr>
        <w:t>Artículo 179</w:t>
      </w:r>
      <w:r w:rsidRPr="00A4521A">
        <w:rPr>
          <w:rStyle w:val="normaltextrun"/>
          <w:rFonts w:ascii="Palatino Linotype" w:hAnsi="Palatino Linotype" w:cs="Segoe UI"/>
          <w:b/>
          <w:bCs/>
          <w:sz w:val="20"/>
          <w:szCs w:val="22"/>
        </w:rPr>
        <w:t>.-</w:t>
      </w:r>
      <w:r w:rsidRPr="00A4521A">
        <w:rPr>
          <w:rFonts w:ascii="Bookman Old Style" w:eastAsiaTheme="minorEastAsia" w:hAnsi="Bookman Old Style" w:cs="Bookman Old Style"/>
          <w:sz w:val="18"/>
          <w:szCs w:val="20"/>
          <w:lang w:val="es-MX"/>
        </w:rPr>
        <w:t xml:space="preserve"> </w:t>
      </w:r>
      <w:r w:rsidRPr="00A4521A">
        <w:rPr>
          <w:rFonts w:ascii="Palatino Linotype" w:eastAsiaTheme="minorEastAsia" w:hAnsi="Palatino Linotype" w:cs="Bookman Old Style"/>
          <w:i/>
          <w:sz w:val="20"/>
          <w:szCs w:val="20"/>
          <w:lang w:val="es-MX"/>
        </w:rPr>
        <w:t>El recurso de revisión es un medio de protección que la Ley otorga a los particulares, para hacer valer su derecho de acceso a la información pública, y procederá en contra de las siguientes causas:</w:t>
      </w:r>
    </w:p>
    <w:p w14:paraId="7E9D65C6" w14:textId="77777777" w:rsidR="00C801FE" w:rsidRPr="00A4521A" w:rsidRDefault="00C801FE" w:rsidP="00C801FE">
      <w:pPr>
        <w:spacing w:before="240" w:after="240" w:line="360" w:lineRule="auto"/>
        <w:ind w:left="1276"/>
        <w:jc w:val="both"/>
        <w:rPr>
          <w:rFonts w:ascii="Palatino Linotype" w:eastAsiaTheme="minorEastAsia" w:hAnsi="Palatino Linotype" w:cs="Bookman Old Style"/>
          <w:b/>
          <w:i/>
          <w:sz w:val="20"/>
          <w:szCs w:val="20"/>
          <w:lang w:val="es-MX"/>
        </w:rPr>
      </w:pPr>
      <w:r w:rsidRPr="00A4521A">
        <w:rPr>
          <w:rFonts w:ascii="Palatino Linotype" w:hAnsi="Palatino Linotype" w:cs="Arial"/>
          <w:b/>
          <w:bCs/>
          <w:i/>
          <w:sz w:val="22"/>
          <w:szCs w:val="22"/>
        </w:rPr>
        <w:t>VII. La falta de respuesta a una solicitud de acceso a la información</w:t>
      </w:r>
      <w:r w:rsidRPr="00A4521A">
        <w:rPr>
          <w:rStyle w:val="eop"/>
          <w:rFonts w:ascii="Palatino Linotype" w:eastAsiaTheme="majorEastAsia" w:hAnsi="Palatino Linotype" w:cs="Segoe UI"/>
          <w:i/>
          <w:sz w:val="22"/>
          <w:szCs w:val="22"/>
        </w:rPr>
        <w:t>…”</w:t>
      </w:r>
    </w:p>
    <w:p w14:paraId="53BFCA30" w14:textId="10A91669" w:rsidR="0059069B" w:rsidRPr="00A4521A" w:rsidRDefault="0059069B" w:rsidP="0059069B">
      <w:pPr>
        <w:spacing w:before="240" w:after="240" w:line="360" w:lineRule="auto"/>
        <w:ind w:left="708" w:hanging="708"/>
        <w:jc w:val="both"/>
        <w:rPr>
          <w:rFonts w:ascii="Palatino Linotype" w:hAnsi="Palatino Linotype"/>
          <w:b/>
        </w:rPr>
      </w:pPr>
      <w:r w:rsidRPr="00A4521A">
        <w:rPr>
          <w:rFonts w:ascii="Palatino Linotype" w:hAnsi="Palatino Linotype"/>
          <w:b/>
          <w:sz w:val="28"/>
          <w:szCs w:val="28"/>
        </w:rPr>
        <w:t>TERCERO. Materia de la revisión</w:t>
      </w:r>
      <w:r w:rsidRPr="00A4521A">
        <w:rPr>
          <w:rFonts w:ascii="Palatino Linotype" w:hAnsi="Palatino Linotype"/>
          <w:b/>
        </w:rPr>
        <w:t>.</w:t>
      </w:r>
    </w:p>
    <w:p w14:paraId="53EC99EF" w14:textId="341C3559" w:rsidR="007121C5" w:rsidRPr="00A4521A" w:rsidRDefault="007121C5" w:rsidP="007121C5">
      <w:pPr>
        <w:spacing w:before="240" w:after="240" w:line="360" w:lineRule="auto"/>
        <w:jc w:val="both"/>
        <w:rPr>
          <w:rFonts w:ascii="Palatino Linotype" w:hAnsi="Palatino Linotype" w:cs="Arial"/>
        </w:rPr>
      </w:pPr>
      <w:r w:rsidRPr="00A4521A">
        <w:rPr>
          <w:rFonts w:ascii="Palatino Linotype" w:hAnsi="Palatino Linotype" w:cs="Arial"/>
        </w:rPr>
        <w:t xml:space="preserve">En ese orden de ideas, este Órgano Garante procede al análisis de los agravios hechos valer por </w:t>
      </w:r>
      <w:r w:rsidR="00BF1243">
        <w:rPr>
          <w:rFonts w:ascii="Palatino Linotype" w:hAnsi="Palatino Linotype" w:cs="Arial"/>
        </w:rPr>
        <w:t>el</w:t>
      </w:r>
      <w:r w:rsidRPr="00A4521A">
        <w:rPr>
          <w:rFonts w:ascii="Palatino Linotype" w:hAnsi="Palatino Linotype" w:cs="Arial"/>
        </w:rPr>
        <w:t xml:space="preserve"> </w:t>
      </w:r>
      <w:r w:rsidRPr="00A4521A">
        <w:rPr>
          <w:rFonts w:ascii="Palatino Linotype" w:hAnsi="Palatino Linotype" w:cs="Arial"/>
          <w:b/>
          <w:i/>
        </w:rPr>
        <w:t xml:space="preserve">Recurrente, </w:t>
      </w:r>
      <w:r w:rsidRPr="00A4521A">
        <w:rPr>
          <w:rFonts w:ascii="Palatino Linotype" w:hAnsi="Palatino Linotype" w:cs="Arial"/>
        </w:rPr>
        <w:t xml:space="preserve">a fin de determinar sí se violenta en perjuicio de éste, el derecho de acceso a la información previsto en la Constitución Política de los </w:t>
      </w:r>
      <w:r w:rsidRPr="00A4521A">
        <w:rPr>
          <w:rFonts w:ascii="Palatino Linotype" w:hAnsi="Palatino Linotype" w:cs="Arial"/>
        </w:rPr>
        <w:lastRenderedPageBreak/>
        <w:t>Estados Unidos Mexicanos y en la Constitución Política del Estado Libre y Soberano de México.</w:t>
      </w:r>
    </w:p>
    <w:p w14:paraId="2647A658" w14:textId="77777777" w:rsidR="0059069B" w:rsidRPr="00A4521A" w:rsidRDefault="0059069B" w:rsidP="0059069B">
      <w:pPr>
        <w:spacing w:before="240" w:after="240" w:line="360" w:lineRule="auto"/>
        <w:jc w:val="both"/>
        <w:rPr>
          <w:rFonts w:ascii="Palatino Linotype" w:hAnsi="Palatino Linotype"/>
          <w:b/>
          <w:sz w:val="28"/>
          <w:szCs w:val="28"/>
        </w:rPr>
      </w:pPr>
      <w:r w:rsidRPr="00A4521A">
        <w:rPr>
          <w:rFonts w:ascii="Palatino Linotype" w:hAnsi="Palatino Linotype"/>
          <w:b/>
          <w:sz w:val="28"/>
          <w:szCs w:val="28"/>
        </w:rPr>
        <w:t>CUARTO. Estudio del asunto.</w:t>
      </w:r>
    </w:p>
    <w:p w14:paraId="5306BF21" w14:textId="77777777" w:rsidR="00DE0BBF" w:rsidRPr="00A4521A" w:rsidRDefault="009C2C14" w:rsidP="00F65053">
      <w:pPr>
        <w:spacing w:before="240" w:after="240" w:line="360" w:lineRule="auto"/>
        <w:jc w:val="both"/>
        <w:rPr>
          <w:rFonts w:ascii="Palatino Linotype" w:hAnsi="Palatino Linotype" w:cs="Arial"/>
        </w:rPr>
      </w:pPr>
      <w:r w:rsidRPr="00A4521A">
        <w:rPr>
          <w:rFonts w:ascii="Palatino Linotype" w:hAnsi="Palatino Linotype"/>
        </w:rPr>
        <w:t xml:space="preserve">De la revisión </w:t>
      </w:r>
      <w:r w:rsidR="00820DEA" w:rsidRPr="00A4521A">
        <w:rPr>
          <w:rFonts w:ascii="Palatino Linotype" w:hAnsi="Palatino Linotype"/>
        </w:rPr>
        <w:t>a las constancias</w:t>
      </w:r>
      <w:r w:rsidR="00CC6364" w:rsidRPr="00A4521A">
        <w:rPr>
          <w:rFonts w:ascii="Palatino Linotype" w:hAnsi="Palatino Linotype"/>
        </w:rPr>
        <w:t xml:space="preserve"> </w:t>
      </w:r>
      <w:r w:rsidR="00CC6364" w:rsidRPr="00A4521A">
        <w:rPr>
          <w:rFonts w:ascii="Palatino Linotype" w:hAnsi="Palatino Linotype" w:cs="Arial"/>
        </w:rPr>
        <w:t>que integran el expediente electrónico del SAIMEX</w:t>
      </w:r>
      <w:r w:rsidR="00BB66A8" w:rsidRPr="00A4521A">
        <w:rPr>
          <w:rFonts w:ascii="Palatino Linotype" w:hAnsi="Palatino Linotype" w:cs="Arial"/>
        </w:rPr>
        <w:t xml:space="preserve">, se tiene que se acredita la falta de respuesta a la solicitud de información, acción </w:t>
      </w:r>
      <w:r w:rsidR="00DE0BBF" w:rsidRPr="00A4521A">
        <w:rPr>
          <w:rFonts w:ascii="Palatino Linotype" w:hAnsi="Palatino Linotype" w:cs="Arial"/>
        </w:rPr>
        <w:t xml:space="preserve">inconstitucional </w:t>
      </w:r>
      <w:r w:rsidR="00BB66A8" w:rsidRPr="00A4521A">
        <w:rPr>
          <w:rFonts w:ascii="Palatino Linotype" w:hAnsi="Palatino Linotype" w:cs="Arial"/>
        </w:rPr>
        <w:t>que vulnera el derecho de acceso a la información del particular</w:t>
      </w:r>
      <w:r w:rsidR="00DE0BBF" w:rsidRPr="00A4521A">
        <w:rPr>
          <w:rFonts w:ascii="Palatino Linotype" w:hAnsi="Palatino Linotype" w:cs="Arial"/>
        </w:rPr>
        <w:t>.</w:t>
      </w:r>
    </w:p>
    <w:p w14:paraId="0404795C" w14:textId="690B9062" w:rsidR="00F65053" w:rsidRPr="00A4521A" w:rsidRDefault="00DE0BBF" w:rsidP="00F65053">
      <w:pPr>
        <w:spacing w:before="240" w:after="240" w:line="360" w:lineRule="auto"/>
        <w:jc w:val="both"/>
        <w:rPr>
          <w:rFonts w:ascii="Palatino Linotype" w:hAnsi="Palatino Linotype"/>
        </w:rPr>
      </w:pPr>
      <w:r w:rsidRPr="00A4521A">
        <w:rPr>
          <w:rFonts w:ascii="Palatino Linotype" w:hAnsi="Palatino Linotype" w:cs="Arial"/>
        </w:rPr>
        <w:t xml:space="preserve">Toda vez que en términos del </w:t>
      </w:r>
      <w:r w:rsidR="00F65053" w:rsidRPr="00A4521A">
        <w:rPr>
          <w:rFonts w:ascii="Palatino Linotype" w:hAnsi="Palatino Linotype"/>
        </w:rPr>
        <w:t xml:space="preserve">artículo 6 de la Constitución Política </w:t>
      </w:r>
      <w:r w:rsidRPr="00A4521A">
        <w:rPr>
          <w:rFonts w:ascii="Palatino Linotype" w:hAnsi="Palatino Linotype"/>
        </w:rPr>
        <w:t xml:space="preserve">de los Estados Unidos Mexicanos, toda persona sin necesidad de acreditar interés alguno, tendrá acceso gratuito a la información pública </w:t>
      </w:r>
      <w:r w:rsidR="00F65053" w:rsidRPr="00A4521A">
        <w:rPr>
          <w:rFonts w:ascii="Palatino Linotype" w:hAnsi="Palatino Linotype"/>
        </w:rPr>
        <w:t xml:space="preserve">en posesión de cualquier autoridad, entidad, órgano y organismo federal, estatal y municipal, </w:t>
      </w:r>
      <w:r w:rsidRPr="00A4521A">
        <w:rPr>
          <w:rFonts w:ascii="Palatino Linotype" w:hAnsi="Palatino Linotype"/>
        </w:rPr>
        <w:t>la cual sólo</w:t>
      </w:r>
      <w:r w:rsidR="00F65053" w:rsidRPr="00A4521A">
        <w:rPr>
          <w:rFonts w:ascii="Palatino Linotype" w:hAnsi="Palatino Linotype"/>
        </w:rPr>
        <w:t xml:space="preserve"> podrá ser reservada temporalmente por razones de interés público en los términos que fijen las leyes, </w:t>
      </w:r>
      <w:r w:rsidRPr="00A4521A">
        <w:rPr>
          <w:rFonts w:ascii="Palatino Linotype" w:hAnsi="Palatino Linotype"/>
        </w:rPr>
        <w:t>debiendo prevalecer</w:t>
      </w:r>
      <w:r w:rsidR="00F65053" w:rsidRPr="00A4521A">
        <w:rPr>
          <w:rFonts w:ascii="Palatino Linotype" w:hAnsi="Palatino Linotype"/>
        </w:rPr>
        <w:t xml:space="preserve"> en la interpretación del derecho el principio de máxima publicidad, </w:t>
      </w:r>
      <w:r w:rsidRPr="00A4521A">
        <w:rPr>
          <w:rFonts w:ascii="Palatino Linotype" w:hAnsi="Palatino Linotype"/>
        </w:rPr>
        <w:t xml:space="preserve">de ahí que </w:t>
      </w:r>
      <w:r w:rsidR="00F65053" w:rsidRPr="00A4521A">
        <w:rPr>
          <w:rFonts w:ascii="Palatino Linotype" w:hAnsi="Palatino Linotype"/>
        </w:rPr>
        <w:t xml:space="preserve">los sujetos obligados </w:t>
      </w:r>
      <w:r w:rsidRPr="00A4521A">
        <w:rPr>
          <w:rFonts w:ascii="Palatino Linotype" w:hAnsi="Palatino Linotype"/>
        </w:rPr>
        <w:t>deban</w:t>
      </w:r>
      <w:r w:rsidR="00F65053" w:rsidRPr="00A4521A">
        <w:rPr>
          <w:rFonts w:ascii="Palatino Linotype" w:hAnsi="Palatino Linotype"/>
        </w:rPr>
        <w:t xml:space="preserve"> conservar sus documentos en archivos administrados actualizados.</w:t>
      </w:r>
    </w:p>
    <w:p w14:paraId="3D3BD20B" w14:textId="23F3513D" w:rsidR="00F65053" w:rsidRPr="00A4521A" w:rsidRDefault="00DE0BBF" w:rsidP="00F65053">
      <w:pPr>
        <w:spacing w:before="240" w:after="240" w:line="360" w:lineRule="auto"/>
        <w:jc w:val="both"/>
        <w:rPr>
          <w:rFonts w:ascii="Palatino Linotype" w:hAnsi="Palatino Linotype"/>
          <w:i/>
        </w:rPr>
      </w:pPr>
      <w:r w:rsidRPr="00A4521A">
        <w:rPr>
          <w:rFonts w:ascii="Palatino Linotype" w:hAnsi="Palatino Linotype"/>
        </w:rPr>
        <w:t>Por su parte,</w:t>
      </w:r>
      <w:r w:rsidR="00F65053" w:rsidRPr="00A4521A">
        <w:rPr>
          <w:rFonts w:ascii="Palatino Linotype" w:hAnsi="Palatino Linotype"/>
        </w:rPr>
        <w:t xml:space="preserve"> el diverso 5 párrafo catorce fracción I de la Constitución Política del Estado Libre y Soberano de México dispone que </w:t>
      </w:r>
      <w:r w:rsidR="00F65053" w:rsidRPr="00A4521A">
        <w:rPr>
          <w:rFonts w:ascii="Palatino Linotype" w:hAnsi="Palatino Linotype"/>
          <w:i/>
        </w:rPr>
        <w:t>“toda la información en posesión de cualquier autoridad Estatal o Municipal, así como de los órganos autónomos, es pública, asimismo cualquier persona física, jurídica colectiva o sindicato que reciba o ejerza recursos públicos o realice actos de autoridad en el ámbito estatal o municipal es pública”.</w:t>
      </w:r>
    </w:p>
    <w:p w14:paraId="40732048" w14:textId="77777777" w:rsidR="00BC411F" w:rsidRDefault="00BC411F" w:rsidP="00BC411F">
      <w:pPr>
        <w:autoSpaceDE w:val="0"/>
        <w:autoSpaceDN w:val="0"/>
        <w:adjustRightInd w:val="0"/>
        <w:spacing w:before="240" w:after="240" w:line="360" w:lineRule="auto"/>
        <w:ind w:right="51"/>
        <w:jc w:val="both"/>
        <w:rPr>
          <w:rFonts w:ascii="Palatino Linotype" w:eastAsiaTheme="minorEastAsia" w:hAnsi="Palatino Linotype" w:cs="Bookman Old Style"/>
          <w:lang w:val="es-MX"/>
        </w:rPr>
      </w:pPr>
      <w:r>
        <w:rPr>
          <w:rFonts w:ascii="Palatino Linotype" w:eastAsiaTheme="minorEastAsia" w:hAnsi="Palatino Linotype" w:cs="Bookman Old Style"/>
          <w:lang w:val="es-MX"/>
        </w:rPr>
        <w:t>Por su parte el artículo 3 fracción XXII y 4 de la Ley de Transparencia y Acceso a la Información Pública del Estado de México y Municipios, disponen lo siguiente:</w:t>
      </w:r>
    </w:p>
    <w:p w14:paraId="1BAA4918" w14:textId="77777777" w:rsidR="00BC411F" w:rsidRPr="00E21C20" w:rsidRDefault="00BC411F" w:rsidP="00BC411F">
      <w:pPr>
        <w:autoSpaceDE w:val="0"/>
        <w:autoSpaceDN w:val="0"/>
        <w:adjustRightInd w:val="0"/>
        <w:spacing w:before="120" w:after="240"/>
        <w:ind w:left="851" w:right="902"/>
        <w:jc w:val="both"/>
        <w:rPr>
          <w:rFonts w:ascii="Palatino Linotype" w:eastAsiaTheme="minorEastAsia" w:hAnsi="Palatino Linotype" w:cs="Bookman Old Style"/>
          <w:i/>
          <w:sz w:val="20"/>
          <w:szCs w:val="20"/>
          <w:lang w:val="es-MX"/>
        </w:rPr>
      </w:pPr>
      <w:r>
        <w:rPr>
          <w:rFonts w:ascii="Palatino Linotype" w:eastAsiaTheme="minorEastAsia" w:hAnsi="Palatino Linotype" w:cs="Bookman Old Style,Bold"/>
          <w:b/>
          <w:bCs/>
          <w:i/>
          <w:sz w:val="20"/>
          <w:szCs w:val="20"/>
          <w:lang w:val="es-MX"/>
        </w:rPr>
        <w:lastRenderedPageBreak/>
        <w:t>“</w:t>
      </w:r>
      <w:r w:rsidRPr="00E21C20">
        <w:rPr>
          <w:rFonts w:ascii="Palatino Linotype" w:eastAsiaTheme="minorEastAsia" w:hAnsi="Palatino Linotype" w:cs="Bookman Old Style,Bold"/>
          <w:b/>
          <w:bCs/>
          <w:i/>
          <w:sz w:val="20"/>
          <w:szCs w:val="20"/>
          <w:lang w:val="es-MX"/>
        </w:rPr>
        <w:t xml:space="preserve">Artículo 3. </w:t>
      </w:r>
      <w:r w:rsidRPr="00E21C20">
        <w:rPr>
          <w:rFonts w:ascii="Palatino Linotype" w:eastAsiaTheme="minorEastAsia" w:hAnsi="Palatino Linotype" w:cs="Bookman Old Style"/>
          <w:i/>
          <w:sz w:val="20"/>
          <w:szCs w:val="20"/>
          <w:lang w:val="es-MX"/>
        </w:rPr>
        <w:t>Para los efectos de la presente Ley se entenderá por:</w:t>
      </w:r>
    </w:p>
    <w:p w14:paraId="6EC2D683" w14:textId="77777777" w:rsidR="00BC411F" w:rsidRDefault="00BC411F" w:rsidP="00BC411F">
      <w:pPr>
        <w:autoSpaceDE w:val="0"/>
        <w:autoSpaceDN w:val="0"/>
        <w:adjustRightInd w:val="0"/>
        <w:spacing w:before="120" w:after="240"/>
        <w:ind w:left="1134" w:right="902"/>
        <w:rPr>
          <w:rFonts w:ascii="Palatino Linotype" w:eastAsiaTheme="minorEastAsia" w:hAnsi="Palatino Linotype" w:cs="Bookman Old Style,Bold"/>
          <w:b/>
          <w:bCs/>
          <w:i/>
          <w:sz w:val="20"/>
          <w:szCs w:val="20"/>
          <w:lang w:val="es-MX"/>
        </w:rPr>
      </w:pPr>
      <w:r>
        <w:rPr>
          <w:rFonts w:ascii="Palatino Linotype" w:eastAsiaTheme="minorEastAsia" w:hAnsi="Palatino Linotype" w:cs="Bookman Old Style,Bold"/>
          <w:b/>
          <w:bCs/>
          <w:i/>
          <w:sz w:val="20"/>
          <w:szCs w:val="20"/>
          <w:lang w:val="es-MX"/>
        </w:rPr>
        <w:t>(…)</w:t>
      </w:r>
    </w:p>
    <w:p w14:paraId="43AC53A7" w14:textId="77777777" w:rsidR="00BC411F" w:rsidRPr="00E21C20" w:rsidRDefault="00BC411F" w:rsidP="00BC411F">
      <w:pPr>
        <w:autoSpaceDE w:val="0"/>
        <w:autoSpaceDN w:val="0"/>
        <w:adjustRightInd w:val="0"/>
        <w:spacing w:before="120" w:after="240"/>
        <w:ind w:left="1134" w:right="902"/>
        <w:jc w:val="both"/>
        <w:rPr>
          <w:rFonts w:ascii="Palatino Linotype" w:eastAsiaTheme="minorEastAsia" w:hAnsi="Palatino Linotype" w:cs="Bookman Old Style"/>
          <w:i/>
          <w:sz w:val="20"/>
          <w:szCs w:val="20"/>
          <w:lang w:val="es-MX"/>
        </w:rPr>
      </w:pPr>
      <w:r w:rsidRPr="00E21C20">
        <w:rPr>
          <w:rFonts w:ascii="Palatino Linotype" w:eastAsiaTheme="minorEastAsia" w:hAnsi="Palatino Linotype" w:cs="Bookman Old Style,Bold"/>
          <w:b/>
          <w:bCs/>
          <w:i/>
          <w:sz w:val="20"/>
          <w:szCs w:val="20"/>
          <w:lang w:val="es-MX"/>
        </w:rPr>
        <w:t xml:space="preserve">XXII. Información de interés público: </w:t>
      </w:r>
      <w:r w:rsidRPr="00E21C20">
        <w:rPr>
          <w:rFonts w:ascii="Palatino Linotype" w:eastAsiaTheme="minorEastAsia" w:hAnsi="Palatino Linotype" w:cs="Bookman Old Style"/>
          <w:i/>
          <w:sz w:val="20"/>
          <w:szCs w:val="20"/>
          <w:lang w:val="es-MX"/>
        </w:rPr>
        <w:t>Se refiere a la información que resulta relevante o beneficiosa</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para la sociedad y no simplemente de interés individual, cuya divulgación resulta útil para que el</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público comprenda las actividades que llevan a cabo los sujetos obligados;</w:t>
      </w:r>
    </w:p>
    <w:p w14:paraId="45121572" w14:textId="77777777" w:rsidR="00BC411F" w:rsidRPr="00E21C20" w:rsidRDefault="00BC411F" w:rsidP="00BC411F">
      <w:pPr>
        <w:autoSpaceDE w:val="0"/>
        <w:autoSpaceDN w:val="0"/>
        <w:adjustRightInd w:val="0"/>
        <w:spacing w:before="120" w:after="240"/>
        <w:ind w:left="851" w:right="902"/>
        <w:jc w:val="both"/>
        <w:rPr>
          <w:rFonts w:ascii="Palatino Linotype" w:eastAsiaTheme="minorEastAsia" w:hAnsi="Palatino Linotype" w:cs="Bookman Old Style"/>
          <w:i/>
          <w:sz w:val="20"/>
          <w:szCs w:val="20"/>
          <w:lang w:val="es-MX"/>
        </w:rPr>
      </w:pPr>
      <w:r w:rsidRPr="00E21C20">
        <w:rPr>
          <w:rFonts w:ascii="Palatino Linotype" w:eastAsiaTheme="minorEastAsia" w:hAnsi="Palatino Linotype" w:cs="Bookman Old Style,Bold"/>
          <w:b/>
          <w:bCs/>
          <w:i/>
          <w:sz w:val="20"/>
          <w:szCs w:val="20"/>
          <w:lang w:val="es-MX"/>
        </w:rPr>
        <w:t xml:space="preserve">Artículo 4. </w:t>
      </w:r>
      <w:r w:rsidRPr="00E21C20">
        <w:rPr>
          <w:rFonts w:ascii="Palatino Linotype" w:eastAsiaTheme="minorEastAsia" w:hAnsi="Palatino Linotype" w:cs="Bookman Old Style"/>
          <w:i/>
          <w:sz w:val="20"/>
          <w:szCs w:val="20"/>
          <w:lang w:val="es-MX"/>
        </w:rPr>
        <w:t>El derecho humano de acceso a la información pública es la prerrogativa de las personas</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para buscar, difundir, investigar, recabar, recibir y solicitar información pública, sin necesidad de</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acreditar personalidad ni interés jurídico.</w:t>
      </w:r>
    </w:p>
    <w:p w14:paraId="61CD7FD8" w14:textId="77777777" w:rsidR="00BC411F" w:rsidRPr="00E21C20" w:rsidRDefault="00BC411F" w:rsidP="00BC411F">
      <w:pPr>
        <w:autoSpaceDE w:val="0"/>
        <w:autoSpaceDN w:val="0"/>
        <w:adjustRightInd w:val="0"/>
        <w:spacing w:before="120" w:after="240"/>
        <w:ind w:left="851" w:right="902"/>
        <w:jc w:val="both"/>
        <w:rPr>
          <w:rFonts w:ascii="Palatino Linotype" w:eastAsiaTheme="minorEastAsia" w:hAnsi="Palatino Linotype" w:cs="Bookman Old Style"/>
          <w:i/>
          <w:lang w:val="es-MX"/>
        </w:rPr>
      </w:pPr>
      <w:r w:rsidRPr="00E21C20">
        <w:rPr>
          <w:rFonts w:ascii="Palatino Linotype" w:eastAsiaTheme="minorEastAsia" w:hAnsi="Palatino Linotype" w:cs="Bookman Old Style"/>
          <w:i/>
          <w:sz w:val="20"/>
          <w:szCs w:val="20"/>
          <w:lang w:val="es-MX"/>
        </w:rPr>
        <w:t>Toda la información generada, obtenida, adquirida, transformada, administrada o en posesión de los</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sujetos obligados es pública y accesible de manera permanente a cualquier persona, en los términos y</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condiciones que se establezcan en los tratados internacionales de los que el Estado mexicano sea</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parte, en la Ley General, la presente Ley y demás disposiciones de la materia, privilegiando el principio</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de máxima publicidad de la información. Solo podrá ser clasificada excepcionalmente como reservada</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temporalmente por razones de interés público, en los términos de las causas legítimas y estrictamente</w:t>
      </w:r>
      <w:r>
        <w:rPr>
          <w:rFonts w:ascii="Palatino Linotype" w:eastAsiaTheme="minorEastAsia" w:hAnsi="Palatino Linotype" w:cs="Bookman Old Style"/>
          <w:i/>
          <w:sz w:val="20"/>
          <w:szCs w:val="20"/>
          <w:lang w:val="es-MX"/>
        </w:rPr>
        <w:t xml:space="preserve"> </w:t>
      </w:r>
      <w:r w:rsidRPr="00E21C20">
        <w:rPr>
          <w:rFonts w:ascii="Palatino Linotype" w:eastAsiaTheme="minorEastAsia" w:hAnsi="Palatino Linotype" w:cs="Bookman Old Style"/>
          <w:i/>
          <w:sz w:val="20"/>
          <w:szCs w:val="20"/>
          <w:lang w:val="es-MX"/>
        </w:rPr>
        <w:t>necesarias previstas por esta Ley</w:t>
      </w:r>
      <w:r>
        <w:rPr>
          <w:rFonts w:ascii="Palatino Linotype" w:eastAsiaTheme="minorEastAsia" w:hAnsi="Palatino Linotype" w:cs="Bookman Old Style"/>
          <w:i/>
          <w:sz w:val="20"/>
          <w:szCs w:val="20"/>
          <w:lang w:val="es-MX"/>
        </w:rPr>
        <w:t>…”</w:t>
      </w:r>
    </w:p>
    <w:p w14:paraId="23AE5B9C" w14:textId="77777777" w:rsidR="00BC411F" w:rsidRDefault="00BC411F" w:rsidP="00BC411F">
      <w:pPr>
        <w:spacing w:before="240" w:after="240" w:line="360" w:lineRule="auto"/>
        <w:ind w:right="49"/>
        <w:jc w:val="both"/>
        <w:rPr>
          <w:rFonts w:ascii="Palatino Linotype" w:eastAsiaTheme="minorEastAsia" w:hAnsi="Palatino Linotype" w:cs="Bookman Old Style"/>
          <w:lang w:val="es-MX"/>
        </w:rPr>
      </w:pPr>
      <w:r>
        <w:rPr>
          <w:rFonts w:ascii="Palatino Linotype" w:eastAsiaTheme="minorEastAsia" w:hAnsi="Palatino Linotype" w:cs="Bookman Old Style"/>
          <w:lang w:val="es-MX"/>
        </w:rPr>
        <w:t xml:space="preserve">De manera que el </w:t>
      </w:r>
      <w:r>
        <w:rPr>
          <w:rFonts w:ascii="Palatino Linotype" w:eastAsiaTheme="minorEastAsia" w:hAnsi="Palatino Linotype" w:cs="Bookman Old Style"/>
          <w:b/>
          <w:lang w:val="es-MX"/>
        </w:rPr>
        <w:t xml:space="preserve">Sujeto Obligado </w:t>
      </w:r>
      <w:r>
        <w:rPr>
          <w:rFonts w:ascii="Palatino Linotype" w:eastAsiaTheme="minorEastAsia" w:hAnsi="Palatino Linotype" w:cs="Bookman Old Style"/>
          <w:lang w:val="es-MX"/>
        </w:rPr>
        <w:t xml:space="preserve">fue omiso en atender los requerimientos de información, por lo que se advierte que los motivos aducidos por el </w:t>
      </w:r>
      <w:r>
        <w:rPr>
          <w:rFonts w:ascii="Palatino Linotype" w:eastAsiaTheme="minorEastAsia" w:hAnsi="Palatino Linotype" w:cs="Bookman Old Style"/>
          <w:b/>
          <w:i/>
          <w:lang w:val="es-MX"/>
        </w:rPr>
        <w:t xml:space="preserve">Recurrente </w:t>
      </w:r>
      <w:r>
        <w:rPr>
          <w:rFonts w:ascii="Palatino Linotype" w:eastAsiaTheme="minorEastAsia" w:hAnsi="Palatino Linotype" w:cs="Bookman Old Style"/>
          <w:lang w:val="es-MX"/>
        </w:rPr>
        <w:t>resultan fundados, toda vez que vulneró en su perjuicio lo estatuido en los artículos 6 de la Constitución Federal y 5 de la Constitución Local, considerando que es información pública toda aquella que sea generada, obtenida, adquirida, transformada, administrada o en posesión de los Sujetos Obligados, privilegiando siempre el principio de máxima publicidad.</w:t>
      </w:r>
    </w:p>
    <w:p w14:paraId="72FD36DA" w14:textId="77777777" w:rsidR="00BC411F" w:rsidRDefault="00BC411F" w:rsidP="00BC411F">
      <w:pPr>
        <w:spacing w:before="240" w:after="240" w:line="360" w:lineRule="auto"/>
        <w:ind w:right="49"/>
        <w:jc w:val="both"/>
        <w:rPr>
          <w:rFonts w:ascii="Palatino Linotype" w:eastAsiaTheme="minorEastAsia" w:hAnsi="Palatino Linotype" w:cs="Bookman Old Style"/>
          <w:lang w:val="es-MX"/>
        </w:rPr>
      </w:pPr>
      <w:r>
        <w:rPr>
          <w:rFonts w:ascii="Palatino Linotype" w:eastAsiaTheme="minorEastAsia" w:hAnsi="Palatino Linotype" w:cs="Bookman Old Style"/>
          <w:lang w:val="es-MX"/>
        </w:rPr>
        <w:t xml:space="preserve">Atendiendo a dichos preceptos jurídicos, el artículo 12 de la Ley de Transparencia y Acceso a la Información Pública del Estado de México y Municipios, establece que los sujetos obligados cuentan con el deber de satisfacer las solicitudes de acceso a la información que le sean formuladas, entregando la información pública que obre en </w:t>
      </w:r>
      <w:r>
        <w:rPr>
          <w:rFonts w:ascii="Palatino Linotype" w:eastAsiaTheme="minorEastAsia" w:hAnsi="Palatino Linotype" w:cs="Bookman Old Style"/>
          <w:lang w:val="es-MX"/>
        </w:rPr>
        <w:lastRenderedPageBreak/>
        <w:t>sus archivos y en el estado en que se encuentre, más si se trata de información de interés público por ser relevante o beneficiosa para sociedad o si esta contiene las actividades que llevan a cabo los sujetos obligados en el ejercicio de sus atribuciones.</w:t>
      </w:r>
    </w:p>
    <w:p w14:paraId="552BF3CF" w14:textId="77777777" w:rsidR="00505D12" w:rsidRDefault="00BC411F" w:rsidP="00DE0BBF">
      <w:pPr>
        <w:autoSpaceDE w:val="0"/>
        <w:autoSpaceDN w:val="0"/>
        <w:adjustRightInd w:val="0"/>
        <w:spacing w:before="240" w:after="240" w:line="360" w:lineRule="auto"/>
        <w:jc w:val="both"/>
        <w:rPr>
          <w:rFonts w:ascii="Palatino Linotype" w:hAnsi="Palatino Linotype"/>
        </w:rPr>
      </w:pPr>
      <w:r>
        <w:rPr>
          <w:rFonts w:ascii="Palatino Linotype" w:hAnsi="Palatino Linotype"/>
        </w:rPr>
        <w:t>Establecido</w:t>
      </w:r>
      <w:r w:rsidR="00505D12">
        <w:rPr>
          <w:rFonts w:ascii="Palatino Linotype" w:hAnsi="Palatino Linotype"/>
        </w:rPr>
        <w:t xml:space="preserve"> lo anterior, a efectos de analizar el asunto que nos ocupa, se determina esquematizar los requerimientos de información en relación con lo manifestado en vía de informe justificado, conforme a lo siguiente:</w:t>
      </w:r>
    </w:p>
    <w:tbl>
      <w:tblPr>
        <w:tblStyle w:val="Tablaconcuadrcula"/>
        <w:tblW w:w="8926" w:type="dxa"/>
        <w:tblLook w:val="04A0" w:firstRow="1" w:lastRow="0" w:firstColumn="1" w:lastColumn="0" w:noHBand="0" w:noVBand="1"/>
      </w:tblPr>
      <w:tblGrid>
        <w:gridCol w:w="1699"/>
        <w:gridCol w:w="7597"/>
      </w:tblGrid>
      <w:tr w:rsidR="00412DF5" w:rsidRPr="001F34BF" w14:paraId="39DC7664" w14:textId="77777777" w:rsidTr="00412DF5">
        <w:tc>
          <w:tcPr>
            <w:tcW w:w="1699" w:type="dxa"/>
          </w:tcPr>
          <w:p w14:paraId="428A7AC8" w14:textId="08B36D13" w:rsidR="00412DF5" w:rsidRPr="001F34BF" w:rsidRDefault="00412DF5" w:rsidP="001F34BF">
            <w:pPr>
              <w:autoSpaceDE w:val="0"/>
              <w:autoSpaceDN w:val="0"/>
              <w:adjustRightInd w:val="0"/>
              <w:jc w:val="center"/>
              <w:rPr>
                <w:rFonts w:ascii="Palatino Linotype" w:hAnsi="Palatino Linotype"/>
                <w:b/>
                <w:sz w:val="20"/>
                <w:szCs w:val="20"/>
              </w:rPr>
            </w:pPr>
            <w:r w:rsidRPr="001F34BF">
              <w:rPr>
                <w:rFonts w:ascii="Palatino Linotype" w:hAnsi="Palatino Linotype"/>
                <w:b/>
                <w:sz w:val="20"/>
                <w:szCs w:val="20"/>
              </w:rPr>
              <w:t>Solicitud</w:t>
            </w:r>
          </w:p>
        </w:tc>
        <w:tc>
          <w:tcPr>
            <w:tcW w:w="7227" w:type="dxa"/>
          </w:tcPr>
          <w:p w14:paraId="55952EE9" w14:textId="5177C0E9" w:rsidR="00412DF5" w:rsidRPr="001F34BF" w:rsidRDefault="00412DF5" w:rsidP="001F34BF">
            <w:pPr>
              <w:autoSpaceDE w:val="0"/>
              <w:autoSpaceDN w:val="0"/>
              <w:adjustRightInd w:val="0"/>
              <w:jc w:val="center"/>
              <w:rPr>
                <w:rFonts w:ascii="Palatino Linotype" w:hAnsi="Palatino Linotype"/>
                <w:b/>
                <w:sz w:val="20"/>
                <w:szCs w:val="20"/>
              </w:rPr>
            </w:pPr>
            <w:r w:rsidRPr="001F34BF">
              <w:rPr>
                <w:rFonts w:ascii="Palatino Linotype" w:hAnsi="Palatino Linotype"/>
                <w:b/>
                <w:sz w:val="20"/>
                <w:szCs w:val="20"/>
              </w:rPr>
              <w:t>Informe Justificado</w:t>
            </w:r>
          </w:p>
        </w:tc>
      </w:tr>
      <w:tr w:rsidR="00412DF5" w:rsidRPr="001F34BF" w14:paraId="334A1E1E" w14:textId="77777777" w:rsidTr="00412DF5">
        <w:tc>
          <w:tcPr>
            <w:tcW w:w="1699" w:type="dxa"/>
          </w:tcPr>
          <w:p w14:paraId="59B6B644" w14:textId="0F8EA961" w:rsidR="00412DF5" w:rsidRPr="001F34BF" w:rsidRDefault="00412DF5" w:rsidP="001F34BF">
            <w:pPr>
              <w:pStyle w:val="Prrafodelista"/>
              <w:numPr>
                <w:ilvl w:val="0"/>
                <w:numId w:val="21"/>
              </w:numPr>
              <w:ind w:left="29" w:firstLine="18"/>
              <w:jc w:val="both"/>
              <w:rPr>
                <w:rFonts w:ascii="Palatino Linotype" w:hAnsi="Palatino Linotype"/>
                <w:b/>
                <w:sz w:val="20"/>
                <w:szCs w:val="20"/>
                <w:lang w:val="es-MX" w:eastAsia="es-MX"/>
              </w:rPr>
            </w:pPr>
            <w:r w:rsidRPr="001F34BF">
              <w:rPr>
                <w:rFonts w:ascii="Palatino Linotype" w:hAnsi="Palatino Linotype"/>
                <w:b/>
                <w:sz w:val="20"/>
                <w:szCs w:val="20"/>
                <w:lang w:val="es-MX" w:eastAsia="es-MX"/>
              </w:rPr>
              <w:t>Copia de la certificación del Procurador, tesorera y Titular de la Unidad de Transparencia.</w:t>
            </w:r>
          </w:p>
        </w:tc>
        <w:tc>
          <w:tcPr>
            <w:tcW w:w="7227" w:type="dxa"/>
          </w:tcPr>
          <w:p w14:paraId="1B3CBCBC" w14:textId="77777777" w:rsidR="00412DF5" w:rsidRPr="001F34BF" w:rsidRDefault="00412DF5" w:rsidP="001F34BF">
            <w:pPr>
              <w:pStyle w:val="Prrafodelista"/>
              <w:numPr>
                <w:ilvl w:val="0"/>
                <w:numId w:val="22"/>
              </w:numPr>
              <w:autoSpaceDE w:val="0"/>
              <w:autoSpaceDN w:val="0"/>
              <w:adjustRightInd w:val="0"/>
              <w:jc w:val="both"/>
              <w:rPr>
                <w:rFonts w:ascii="Palatino Linotype" w:hAnsi="Palatino Linotype"/>
                <w:sz w:val="20"/>
                <w:szCs w:val="20"/>
              </w:rPr>
            </w:pPr>
            <w:r w:rsidRPr="001F34BF">
              <w:rPr>
                <w:rFonts w:ascii="Palatino Linotype" w:hAnsi="Palatino Linotype"/>
                <w:sz w:val="20"/>
                <w:szCs w:val="20"/>
              </w:rPr>
              <w:t>Titular de la Unidad de Transparencia, en PROCESO.</w:t>
            </w:r>
          </w:p>
          <w:p w14:paraId="02120C15" w14:textId="77777777" w:rsidR="00412DF5" w:rsidRPr="001F34BF" w:rsidRDefault="00412DF5" w:rsidP="001F34BF">
            <w:pPr>
              <w:pStyle w:val="Prrafodelista"/>
              <w:numPr>
                <w:ilvl w:val="0"/>
                <w:numId w:val="22"/>
              </w:numPr>
              <w:autoSpaceDE w:val="0"/>
              <w:autoSpaceDN w:val="0"/>
              <w:adjustRightInd w:val="0"/>
              <w:jc w:val="both"/>
              <w:rPr>
                <w:rFonts w:ascii="Palatino Linotype" w:hAnsi="Palatino Linotype"/>
                <w:sz w:val="20"/>
                <w:szCs w:val="20"/>
              </w:rPr>
            </w:pPr>
            <w:r w:rsidRPr="001F34BF">
              <w:rPr>
                <w:rFonts w:ascii="Palatino Linotype" w:hAnsi="Palatino Linotype"/>
                <w:sz w:val="20"/>
                <w:szCs w:val="20"/>
              </w:rPr>
              <w:t>Tesorera, en PROCESO.</w:t>
            </w:r>
          </w:p>
          <w:p w14:paraId="517B23AC" w14:textId="0462EDE4" w:rsidR="00412DF5" w:rsidRPr="001F34BF" w:rsidRDefault="00412DF5" w:rsidP="001F34BF">
            <w:pPr>
              <w:pStyle w:val="Prrafodelista"/>
              <w:numPr>
                <w:ilvl w:val="0"/>
                <w:numId w:val="22"/>
              </w:numPr>
              <w:autoSpaceDE w:val="0"/>
              <w:autoSpaceDN w:val="0"/>
              <w:adjustRightInd w:val="0"/>
              <w:jc w:val="both"/>
              <w:rPr>
                <w:rFonts w:ascii="Palatino Linotype" w:hAnsi="Palatino Linotype"/>
                <w:sz w:val="20"/>
                <w:szCs w:val="20"/>
              </w:rPr>
            </w:pPr>
            <w:r w:rsidRPr="001F34BF">
              <w:rPr>
                <w:rFonts w:ascii="Palatino Linotype" w:hAnsi="Palatino Linotype"/>
                <w:sz w:val="20"/>
                <w:szCs w:val="20"/>
              </w:rPr>
              <w:t>Procurador, en términos de Ley, no está obligado a contar con certificación.</w:t>
            </w:r>
          </w:p>
        </w:tc>
      </w:tr>
      <w:tr w:rsidR="00412DF5" w:rsidRPr="001F34BF" w14:paraId="45BD23C8" w14:textId="77777777" w:rsidTr="00412DF5">
        <w:tc>
          <w:tcPr>
            <w:tcW w:w="1699" w:type="dxa"/>
          </w:tcPr>
          <w:p w14:paraId="3D724123" w14:textId="543C5A14" w:rsidR="00412DF5" w:rsidRPr="001F34BF" w:rsidRDefault="00412DF5" w:rsidP="001F34BF">
            <w:pPr>
              <w:pStyle w:val="Prrafodelista"/>
              <w:numPr>
                <w:ilvl w:val="0"/>
                <w:numId w:val="21"/>
              </w:numPr>
              <w:ind w:left="-113" w:firstLine="18"/>
              <w:jc w:val="both"/>
              <w:rPr>
                <w:rFonts w:ascii="Palatino Linotype" w:hAnsi="Palatino Linotype"/>
                <w:b/>
                <w:sz w:val="20"/>
                <w:szCs w:val="20"/>
                <w:lang w:val="es-MX" w:eastAsia="es-MX"/>
              </w:rPr>
            </w:pPr>
            <w:r w:rsidRPr="001F34BF">
              <w:rPr>
                <w:rFonts w:ascii="Palatino Linotype" w:hAnsi="Palatino Linotype"/>
                <w:b/>
                <w:sz w:val="20"/>
                <w:szCs w:val="20"/>
                <w:lang w:val="es-MX" w:eastAsia="es-MX"/>
              </w:rPr>
              <w:t>Los pbrm de los Centros de Desarrollo Comunitario, Panteón Municipal y Servicios Funerarios.</w:t>
            </w:r>
          </w:p>
        </w:tc>
        <w:tc>
          <w:tcPr>
            <w:tcW w:w="7227" w:type="dxa"/>
          </w:tcPr>
          <w:p w14:paraId="7977CBCC" w14:textId="13BB89DD" w:rsidR="00412DF5" w:rsidRDefault="007144D6" w:rsidP="001F34BF">
            <w:pPr>
              <w:autoSpaceDE w:val="0"/>
              <w:autoSpaceDN w:val="0"/>
              <w:adjustRightInd w:val="0"/>
              <w:jc w:val="both"/>
              <w:rPr>
                <w:rFonts w:ascii="Palatino Linotype" w:hAnsi="Palatino Linotype"/>
                <w:noProof/>
                <w:sz w:val="20"/>
                <w:szCs w:val="20"/>
                <w:lang w:val="es-MX" w:eastAsia="es-MX"/>
              </w:rPr>
            </w:pPr>
            <w:r>
              <w:rPr>
                <w:rFonts w:ascii="Palatino Linotype" w:hAnsi="Palatino Linotype"/>
                <w:noProof/>
                <w:sz w:val="20"/>
                <w:szCs w:val="20"/>
                <w:lang w:val="es-MX" w:eastAsia="es-MX"/>
              </w:rPr>
              <w:t>Entregó el PbRM  del avance trimestral de metas y actividades por proyecto correspondiente al cuarto trimestre del año 2020 del Centro de Desarrollo Comunitario y Panteon Municipal, mediante los anexos 1 y 2.</w:t>
            </w:r>
          </w:p>
          <w:p w14:paraId="5C326358" w14:textId="60644CD7" w:rsidR="007144D6" w:rsidRDefault="007144D6" w:rsidP="001F34BF">
            <w:pPr>
              <w:autoSpaceDE w:val="0"/>
              <w:autoSpaceDN w:val="0"/>
              <w:adjustRightInd w:val="0"/>
              <w:jc w:val="both"/>
              <w:rPr>
                <w:rFonts w:ascii="Palatino Linotype" w:hAnsi="Palatino Linotype"/>
                <w:sz w:val="20"/>
                <w:szCs w:val="20"/>
              </w:rPr>
            </w:pPr>
            <w:r w:rsidRPr="001F34BF">
              <w:rPr>
                <w:rFonts w:ascii="Palatino Linotype" w:hAnsi="Palatino Linotype"/>
                <w:noProof/>
                <w:sz w:val="20"/>
                <w:szCs w:val="20"/>
                <w:lang w:val="es-MX" w:eastAsia="es-MX"/>
              </w:rPr>
              <w:drawing>
                <wp:inline distT="0" distB="0" distL="0" distR="0" wp14:anchorId="02E4D0CA" wp14:editId="1F2A9274">
                  <wp:extent cx="4352740" cy="1428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13012" cy="1448534"/>
                          </a:xfrm>
                          <a:prstGeom prst="rect">
                            <a:avLst/>
                          </a:prstGeom>
                        </pic:spPr>
                      </pic:pic>
                    </a:graphicData>
                  </a:graphic>
                </wp:inline>
              </w:drawing>
            </w:r>
          </w:p>
          <w:p w14:paraId="6339A631" w14:textId="152E5D1F" w:rsidR="007144D6" w:rsidRPr="001F34BF" w:rsidRDefault="007144D6" w:rsidP="001F34BF">
            <w:pPr>
              <w:autoSpaceDE w:val="0"/>
              <w:autoSpaceDN w:val="0"/>
              <w:adjustRightInd w:val="0"/>
              <w:jc w:val="both"/>
              <w:rPr>
                <w:rFonts w:ascii="Palatino Linotype" w:hAnsi="Palatino Linotype"/>
                <w:sz w:val="20"/>
                <w:szCs w:val="20"/>
              </w:rPr>
            </w:pPr>
            <w:r>
              <w:rPr>
                <w:rFonts w:ascii="Palatino Linotype" w:hAnsi="Palatino Linotype"/>
                <w:sz w:val="20"/>
                <w:szCs w:val="20"/>
              </w:rPr>
              <w:t>Los cuales son ilegibles.</w:t>
            </w:r>
          </w:p>
        </w:tc>
      </w:tr>
      <w:tr w:rsidR="00412DF5" w:rsidRPr="001F34BF" w14:paraId="2B214373" w14:textId="77777777" w:rsidTr="00412DF5">
        <w:tc>
          <w:tcPr>
            <w:tcW w:w="1699" w:type="dxa"/>
          </w:tcPr>
          <w:p w14:paraId="04127DCF" w14:textId="73505069" w:rsidR="00412DF5" w:rsidRPr="001F34BF" w:rsidRDefault="00412DF5" w:rsidP="001F34BF">
            <w:pPr>
              <w:pStyle w:val="Prrafodelista"/>
              <w:numPr>
                <w:ilvl w:val="0"/>
                <w:numId w:val="21"/>
              </w:numPr>
              <w:ind w:left="29" w:firstLine="18"/>
              <w:jc w:val="both"/>
              <w:rPr>
                <w:rFonts w:ascii="Palatino Linotype" w:hAnsi="Palatino Linotype"/>
                <w:b/>
                <w:sz w:val="20"/>
                <w:szCs w:val="20"/>
                <w:lang w:val="es-MX" w:eastAsia="es-MX"/>
              </w:rPr>
            </w:pPr>
            <w:r w:rsidRPr="001F34BF">
              <w:rPr>
                <w:rFonts w:ascii="Palatino Linotype" w:hAnsi="Palatino Linotype"/>
                <w:b/>
                <w:sz w:val="20"/>
                <w:szCs w:val="20"/>
                <w:lang w:val="es-MX" w:eastAsia="es-MX"/>
              </w:rPr>
              <w:t xml:space="preserve">Nomina 2019, 2020 y 2021 de todos los niveles de todas las áreas, así como especificar el </w:t>
            </w:r>
            <w:r w:rsidRPr="001F34BF">
              <w:rPr>
                <w:rFonts w:ascii="Palatino Linotype" w:hAnsi="Palatino Linotype"/>
                <w:b/>
                <w:sz w:val="20"/>
                <w:szCs w:val="20"/>
                <w:lang w:val="es-MX" w:eastAsia="es-MX"/>
              </w:rPr>
              <w:lastRenderedPageBreak/>
              <w:t>lugar de trabajo.</w:t>
            </w:r>
          </w:p>
        </w:tc>
        <w:tc>
          <w:tcPr>
            <w:tcW w:w="7227" w:type="dxa"/>
          </w:tcPr>
          <w:p w14:paraId="547132FC" w14:textId="70D8334A" w:rsidR="00412DF5" w:rsidRPr="001F34BF" w:rsidRDefault="00412DF5" w:rsidP="001F34BF">
            <w:pPr>
              <w:autoSpaceDE w:val="0"/>
              <w:autoSpaceDN w:val="0"/>
              <w:adjustRightInd w:val="0"/>
              <w:jc w:val="both"/>
              <w:rPr>
                <w:rFonts w:ascii="Palatino Linotype" w:hAnsi="Palatino Linotype"/>
                <w:sz w:val="20"/>
                <w:szCs w:val="20"/>
              </w:rPr>
            </w:pPr>
            <w:r w:rsidRPr="001F34BF">
              <w:rPr>
                <w:rFonts w:ascii="Palatino Linotype" w:hAnsi="Palatino Linotype"/>
                <w:sz w:val="20"/>
                <w:szCs w:val="20"/>
              </w:rPr>
              <w:lastRenderedPageBreak/>
              <w:t>Listados de servidores públicos que conforman el Sistema</w:t>
            </w:r>
            <w:r w:rsidR="007144D6">
              <w:rPr>
                <w:rFonts w:ascii="Palatino Linotype" w:hAnsi="Palatino Linotype"/>
                <w:sz w:val="20"/>
                <w:szCs w:val="20"/>
              </w:rPr>
              <w:t>, de los años 2019, 2020 y 2021, que contienen los rubros: clave, nombre, Departamento, Bruto y Neto, documentos que no legibles.</w:t>
            </w:r>
          </w:p>
        </w:tc>
      </w:tr>
      <w:tr w:rsidR="00412DF5" w:rsidRPr="001F34BF" w14:paraId="40D645D2" w14:textId="77777777" w:rsidTr="00412DF5">
        <w:tc>
          <w:tcPr>
            <w:tcW w:w="1699" w:type="dxa"/>
          </w:tcPr>
          <w:p w14:paraId="36256AD2" w14:textId="78593285" w:rsidR="00412DF5" w:rsidRPr="001F34BF" w:rsidRDefault="00412DF5" w:rsidP="00A44C9F">
            <w:pPr>
              <w:pStyle w:val="Prrafodelista"/>
              <w:numPr>
                <w:ilvl w:val="0"/>
                <w:numId w:val="21"/>
              </w:numPr>
              <w:ind w:left="29" w:firstLine="18"/>
              <w:jc w:val="both"/>
              <w:rPr>
                <w:rFonts w:ascii="Palatino Linotype" w:hAnsi="Palatino Linotype"/>
                <w:b/>
                <w:sz w:val="20"/>
                <w:szCs w:val="20"/>
                <w:lang w:val="es-MX" w:eastAsia="es-MX"/>
              </w:rPr>
            </w:pPr>
            <w:r w:rsidRPr="001F34BF">
              <w:rPr>
                <w:rFonts w:ascii="Palatino Linotype" w:hAnsi="Palatino Linotype"/>
                <w:b/>
                <w:sz w:val="20"/>
                <w:szCs w:val="20"/>
                <w:lang w:val="es-MX" w:eastAsia="es-MX"/>
              </w:rPr>
              <w:t>Padrón de beneficiarios de las tarjetas de apoyo en efectivo del año 2019, así como las Reglas de Operación.</w:t>
            </w:r>
          </w:p>
        </w:tc>
        <w:tc>
          <w:tcPr>
            <w:tcW w:w="7227" w:type="dxa"/>
          </w:tcPr>
          <w:p w14:paraId="3D259AE1" w14:textId="77777777" w:rsidR="00412DF5" w:rsidRDefault="007144D6" w:rsidP="001F34BF">
            <w:pPr>
              <w:autoSpaceDE w:val="0"/>
              <w:autoSpaceDN w:val="0"/>
              <w:adjustRightInd w:val="0"/>
              <w:jc w:val="both"/>
              <w:rPr>
                <w:rFonts w:ascii="Palatino Linotype" w:hAnsi="Palatino Linotype"/>
                <w:sz w:val="20"/>
                <w:szCs w:val="20"/>
              </w:rPr>
            </w:pPr>
            <w:r w:rsidRPr="007144D6">
              <w:rPr>
                <w:rFonts w:ascii="Palatino Linotype" w:hAnsi="Palatino Linotype"/>
                <w:noProof/>
                <w:sz w:val="20"/>
                <w:szCs w:val="20"/>
                <w:lang w:val="es-MX" w:eastAsia="es-MX"/>
              </w:rPr>
              <w:drawing>
                <wp:inline distT="0" distB="0" distL="0" distR="0" wp14:anchorId="18EE2207" wp14:editId="029C318D">
                  <wp:extent cx="4686954" cy="343900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86954" cy="3439005"/>
                          </a:xfrm>
                          <a:prstGeom prst="rect">
                            <a:avLst/>
                          </a:prstGeom>
                        </pic:spPr>
                      </pic:pic>
                    </a:graphicData>
                  </a:graphic>
                </wp:inline>
              </w:drawing>
            </w:r>
          </w:p>
          <w:p w14:paraId="547FBE2C" w14:textId="7F289F49" w:rsidR="007144D6" w:rsidRPr="001F34BF" w:rsidRDefault="007144D6" w:rsidP="001F34BF">
            <w:pPr>
              <w:autoSpaceDE w:val="0"/>
              <w:autoSpaceDN w:val="0"/>
              <w:adjustRightInd w:val="0"/>
              <w:jc w:val="both"/>
              <w:rPr>
                <w:rFonts w:ascii="Palatino Linotype" w:hAnsi="Palatino Linotype"/>
                <w:sz w:val="20"/>
                <w:szCs w:val="20"/>
              </w:rPr>
            </w:pPr>
            <w:r>
              <w:rPr>
                <w:rFonts w:ascii="Palatino Linotype" w:hAnsi="Palatino Linotype"/>
                <w:sz w:val="20"/>
                <w:szCs w:val="20"/>
              </w:rPr>
              <w:t>Además mediante los anexos 1 y 2, agregó el padrón de persona beneficiadas en: “Salud y Alimentación”, “Aparatos Funcionales” y “Contingencia”</w:t>
            </w:r>
          </w:p>
        </w:tc>
      </w:tr>
      <w:tr w:rsidR="00412DF5" w:rsidRPr="001F34BF" w14:paraId="6B1461F4" w14:textId="77777777" w:rsidTr="00412DF5">
        <w:tc>
          <w:tcPr>
            <w:tcW w:w="1699" w:type="dxa"/>
          </w:tcPr>
          <w:p w14:paraId="77415CD5" w14:textId="732B783A" w:rsidR="00412DF5" w:rsidRPr="001F34BF" w:rsidRDefault="00412DF5" w:rsidP="00A44C9F">
            <w:pPr>
              <w:pStyle w:val="Prrafodelista"/>
              <w:numPr>
                <w:ilvl w:val="0"/>
                <w:numId w:val="21"/>
              </w:numPr>
              <w:ind w:left="0" w:firstLine="18"/>
              <w:jc w:val="both"/>
              <w:rPr>
                <w:rFonts w:ascii="Palatino Linotype" w:hAnsi="Palatino Linotype"/>
                <w:b/>
                <w:sz w:val="20"/>
                <w:szCs w:val="20"/>
                <w:lang w:val="es-MX" w:eastAsia="es-MX"/>
              </w:rPr>
            </w:pPr>
            <w:r w:rsidRPr="001F34BF">
              <w:rPr>
                <w:rFonts w:ascii="Palatino Linotype" w:hAnsi="Palatino Linotype"/>
                <w:b/>
                <w:sz w:val="20"/>
                <w:szCs w:val="20"/>
                <w:lang w:val="es-MX" w:eastAsia="es-MX"/>
              </w:rPr>
              <w:t>Los viáticos de Tesorería y Administración.</w:t>
            </w:r>
          </w:p>
        </w:tc>
        <w:tc>
          <w:tcPr>
            <w:tcW w:w="7227" w:type="dxa"/>
          </w:tcPr>
          <w:p w14:paraId="21934587" w14:textId="5C58FD9D" w:rsidR="00412DF5" w:rsidRPr="001F34BF" w:rsidRDefault="00412DF5" w:rsidP="001F34BF">
            <w:pPr>
              <w:autoSpaceDE w:val="0"/>
              <w:autoSpaceDN w:val="0"/>
              <w:adjustRightInd w:val="0"/>
              <w:jc w:val="both"/>
              <w:rPr>
                <w:rFonts w:ascii="Palatino Linotype" w:hAnsi="Palatino Linotype"/>
                <w:sz w:val="20"/>
                <w:szCs w:val="20"/>
              </w:rPr>
            </w:pPr>
            <w:r w:rsidRPr="001F34BF">
              <w:rPr>
                <w:rFonts w:ascii="Palatino Linotype" w:hAnsi="Palatino Linotype"/>
                <w:sz w:val="20"/>
                <w:szCs w:val="20"/>
              </w:rPr>
              <w:t>No existe partida presupuestal llamada “Viáticos de tesorería y administración”</w:t>
            </w:r>
          </w:p>
        </w:tc>
      </w:tr>
      <w:tr w:rsidR="00412DF5" w:rsidRPr="001F34BF" w14:paraId="0752B048" w14:textId="77777777" w:rsidTr="00412DF5">
        <w:tc>
          <w:tcPr>
            <w:tcW w:w="1699" w:type="dxa"/>
          </w:tcPr>
          <w:p w14:paraId="07FEAC6E" w14:textId="5378273F" w:rsidR="00412DF5" w:rsidRPr="001F34BF" w:rsidRDefault="00412DF5" w:rsidP="00A44C9F">
            <w:pPr>
              <w:pStyle w:val="Prrafodelista"/>
              <w:numPr>
                <w:ilvl w:val="0"/>
                <w:numId w:val="21"/>
              </w:numPr>
              <w:ind w:left="29" w:firstLine="0"/>
              <w:jc w:val="both"/>
              <w:rPr>
                <w:rFonts w:ascii="Palatino Linotype" w:hAnsi="Palatino Linotype"/>
                <w:b/>
                <w:sz w:val="20"/>
                <w:szCs w:val="20"/>
                <w:lang w:val="es-MX" w:eastAsia="es-MX"/>
              </w:rPr>
            </w:pPr>
            <w:r w:rsidRPr="001F34BF">
              <w:rPr>
                <w:rFonts w:ascii="Palatino Linotype" w:hAnsi="Palatino Linotype"/>
                <w:b/>
                <w:sz w:val="20"/>
                <w:szCs w:val="20"/>
                <w:lang w:val="es-MX" w:eastAsia="es-MX"/>
              </w:rPr>
              <w:t>De la Dirección del año 2019, 2020 y 2021 lista de nomina (no recibos) de todos los niveles 2019, 2020 y 2021, con sueldo bruto y neto, área y lugar de trabajo.</w:t>
            </w:r>
          </w:p>
        </w:tc>
        <w:tc>
          <w:tcPr>
            <w:tcW w:w="7227" w:type="dxa"/>
          </w:tcPr>
          <w:p w14:paraId="5029A2E5" w14:textId="1F16252B" w:rsidR="00412DF5" w:rsidRPr="001F34BF" w:rsidRDefault="007144D6" w:rsidP="001F34BF">
            <w:pPr>
              <w:autoSpaceDE w:val="0"/>
              <w:autoSpaceDN w:val="0"/>
              <w:adjustRightInd w:val="0"/>
              <w:jc w:val="both"/>
              <w:rPr>
                <w:rFonts w:ascii="Palatino Linotype" w:hAnsi="Palatino Linotype"/>
                <w:sz w:val="20"/>
                <w:szCs w:val="20"/>
              </w:rPr>
            </w:pPr>
            <w:r w:rsidRPr="001F34BF">
              <w:rPr>
                <w:rFonts w:ascii="Palatino Linotype" w:hAnsi="Palatino Linotype"/>
                <w:sz w:val="20"/>
                <w:szCs w:val="20"/>
              </w:rPr>
              <w:t>Listados de servidores públicos que conforman el Sistema</w:t>
            </w:r>
            <w:r>
              <w:rPr>
                <w:rFonts w:ascii="Palatino Linotype" w:hAnsi="Palatino Linotype"/>
                <w:sz w:val="20"/>
                <w:szCs w:val="20"/>
              </w:rPr>
              <w:t>, de los años 2019, 2020 y 2021, que contienen los rubros: clave, nombre, Departamento, Bruto y Neto, documentos que no legibles.</w:t>
            </w:r>
          </w:p>
        </w:tc>
      </w:tr>
      <w:tr w:rsidR="00412DF5" w:rsidRPr="001F34BF" w14:paraId="56DD2EC7" w14:textId="77777777" w:rsidTr="00412DF5">
        <w:tc>
          <w:tcPr>
            <w:tcW w:w="1699" w:type="dxa"/>
          </w:tcPr>
          <w:p w14:paraId="41A57BF5" w14:textId="1141C3FC" w:rsidR="00412DF5" w:rsidRPr="001F34BF" w:rsidRDefault="00412DF5" w:rsidP="00A44C9F">
            <w:pPr>
              <w:pStyle w:val="Prrafodelista"/>
              <w:numPr>
                <w:ilvl w:val="0"/>
                <w:numId w:val="21"/>
              </w:numPr>
              <w:ind w:left="29" w:firstLine="0"/>
              <w:jc w:val="both"/>
              <w:rPr>
                <w:rFonts w:ascii="Palatino Linotype" w:hAnsi="Palatino Linotype"/>
                <w:b/>
                <w:sz w:val="20"/>
                <w:szCs w:val="20"/>
                <w:lang w:val="es-MX" w:eastAsia="es-MX"/>
              </w:rPr>
            </w:pPr>
            <w:r w:rsidRPr="001F34BF">
              <w:rPr>
                <w:rFonts w:ascii="Palatino Linotype" w:hAnsi="Palatino Linotype"/>
                <w:b/>
                <w:sz w:val="20"/>
                <w:szCs w:val="20"/>
                <w:lang w:val="es-MX" w:eastAsia="es-MX"/>
              </w:rPr>
              <w:lastRenderedPageBreak/>
              <w:t>Lista de nomina de todas las áreas 2021 de enero, febrero y marzo, con área de trabajo y función del sistema.</w:t>
            </w:r>
          </w:p>
        </w:tc>
        <w:tc>
          <w:tcPr>
            <w:tcW w:w="7227" w:type="dxa"/>
          </w:tcPr>
          <w:p w14:paraId="4A06A02E" w14:textId="2F9CA16A" w:rsidR="00412DF5" w:rsidRDefault="007144D6" w:rsidP="001F34BF">
            <w:pPr>
              <w:autoSpaceDE w:val="0"/>
              <w:autoSpaceDN w:val="0"/>
              <w:adjustRightInd w:val="0"/>
              <w:jc w:val="both"/>
              <w:rPr>
                <w:rFonts w:ascii="Palatino Linotype" w:hAnsi="Palatino Linotype"/>
                <w:sz w:val="20"/>
                <w:szCs w:val="20"/>
              </w:rPr>
            </w:pPr>
            <w:r w:rsidRPr="001F34BF">
              <w:rPr>
                <w:rFonts w:ascii="Palatino Linotype" w:hAnsi="Palatino Linotype"/>
                <w:sz w:val="20"/>
                <w:szCs w:val="20"/>
              </w:rPr>
              <w:t>Listados de servidores públicos que conforman el Sistema</w:t>
            </w:r>
            <w:r>
              <w:rPr>
                <w:rFonts w:ascii="Palatino Linotype" w:hAnsi="Palatino Linotype"/>
                <w:sz w:val="20"/>
                <w:szCs w:val="20"/>
              </w:rPr>
              <w:t>, de los años 2019, 2020 y 2021, que contienen los rubros: clave, nombre, Departamento, Bruto y Neto, documentos que no legibles.</w:t>
            </w:r>
          </w:p>
          <w:p w14:paraId="26E91B3A" w14:textId="77777777" w:rsidR="007144D6" w:rsidRPr="001F34BF" w:rsidRDefault="007144D6" w:rsidP="001F34BF">
            <w:pPr>
              <w:autoSpaceDE w:val="0"/>
              <w:autoSpaceDN w:val="0"/>
              <w:adjustRightInd w:val="0"/>
              <w:jc w:val="both"/>
              <w:rPr>
                <w:rFonts w:ascii="Palatino Linotype" w:hAnsi="Palatino Linotype"/>
                <w:sz w:val="20"/>
                <w:szCs w:val="20"/>
              </w:rPr>
            </w:pPr>
          </w:p>
          <w:p w14:paraId="77EF590D" w14:textId="00DFD205" w:rsidR="00412DF5" w:rsidRPr="001F34BF" w:rsidRDefault="00412DF5" w:rsidP="001F34BF">
            <w:pPr>
              <w:autoSpaceDE w:val="0"/>
              <w:autoSpaceDN w:val="0"/>
              <w:adjustRightInd w:val="0"/>
              <w:jc w:val="both"/>
              <w:rPr>
                <w:rFonts w:ascii="Palatino Linotype" w:hAnsi="Palatino Linotype"/>
                <w:sz w:val="20"/>
                <w:szCs w:val="20"/>
              </w:rPr>
            </w:pPr>
            <w:r w:rsidRPr="001F34BF">
              <w:rPr>
                <w:rFonts w:ascii="Palatino Linotype" w:hAnsi="Palatino Linotype"/>
                <w:sz w:val="20"/>
                <w:szCs w:val="20"/>
              </w:rPr>
              <w:t xml:space="preserve">Facultades y obligaciones de cada una de las direcciones: </w:t>
            </w:r>
            <w:hyperlink r:id="rId11" w:history="1">
              <w:r w:rsidRPr="001F34BF">
                <w:rPr>
                  <w:rStyle w:val="Hipervnculo"/>
                  <w:rFonts w:ascii="Palatino Linotype" w:hAnsi="Palatino Linotype"/>
                  <w:sz w:val="20"/>
                  <w:szCs w:val="20"/>
                </w:rPr>
                <w:t>https://www.dropbox.com/scl/fi/jej0xujch34unebb4ei5d/REGLAMENTO-NOVIEMBRE-2020.docx?dl=0&amp;rlkey=ljmrlpxl2cacmskrgcx6ydxa9</w:t>
              </w:r>
            </w:hyperlink>
          </w:p>
          <w:p w14:paraId="04913EF3" w14:textId="449C9259" w:rsidR="00412DF5" w:rsidRPr="001F34BF" w:rsidRDefault="00412DF5" w:rsidP="00412DF5">
            <w:pPr>
              <w:autoSpaceDE w:val="0"/>
              <w:autoSpaceDN w:val="0"/>
              <w:adjustRightInd w:val="0"/>
              <w:jc w:val="center"/>
              <w:rPr>
                <w:rFonts w:ascii="Palatino Linotype" w:hAnsi="Palatino Linotype"/>
                <w:sz w:val="20"/>
                <w:szCs w:val="20"/>
              </w:rPr>
            </w:pPr>
            <w:r w:rsidRPr="001F34BF">
              <w:rPr>
                <w:rFonts w:ascii="Palatino Linotype" w:hAnsi="Palatino Linotype"/>
                <w:noProof/>
                <w:sz w:val="20"/>
                <w:szCs w:val="20"/>
                <w:lang w:val="es-MX" w:eastAsia="es-MX"/>
              </w:rPr>
              <w:drawing>
                <wp:inline distT="0" distB="0" distL="0" distR="0" wp14:anchorId="45A7366D" wp14:editId="02503836">
                  <wp:extent cx="3058933" cy="990600"/>
                  <wp:effectExtent l="0" t="0" r="825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6610" cy="996324"/>
                          </a:xfrm>
                          <a:prstGeom prst="rect">
                            <a:avLst/>
                          </a:prstGeom>
                        </pic:spPr>
                      </pic:pic>
                    </a:graphicData>
                  </a:graphic>
                </wp:inline>
              </w:drawing>
            </w:r>
          </w:p>
        </w:tc>
      </w:tr>
    </w:tbl>
    <w:p w14:paraId="391DC314" w14:textId="77777777" w:rsidR="008F6F27" w:rsidRDefault="008F6F27" w:rsidP="008F6F27">
      <w:pPr>
        <w:spacing w:before="240" w:after="240" w:line="360" w:lineRule="auto"/>
        <w:ind w:right="49"/>
        <w:jc w:val="both"/>
        <w:rPr>
          <w:rFonts w:ascii="Palatino Linotype" w:eastAsiaTheme="minorEastAsia" w:hAnsi="Palatino Linotype" w:cs="Bookman Old Style"/>
          <w:lang w:val="es-MX"/>
        </w:rPr>
      </w:pPr>
      <w:r>
        <w:rPr>
          <w:rFonts w:ascii="Palatino Linotype" w:hAnsi="Palatino Linotype"/>
        </w:rPr>
        <w:t xml:space="preserve">en ese sentido, cabe señalar que en términos del </w:t>
      </w:r>
      <w:r>
        <w:rPr>
          <w:rFonts w:ascii="Palatino Linotype" w:eastAsiaTheme="minorEastAsia" w:hAnsi="Palatino Linotype" w:cs="Bookman Old Style"/>
          <w:lang w:val="es-MX"/>
        </w:rPr>
        <w:t>artículo 4 de la Ley de Transparencia y Acceso a la Información Pública del Estado de México y Municipios, el derecho humano de acceso a la información es la prerrogativa de las personas para buscar, difundir, investigar, recabar, recibir y solicitar información pública, sin necesidad de acreditar personalidad ni interés jurídico.</w:t>
      </w:r>
    </w:p>
    <w:p w14:paraId="27CA1584" w14:textId="77777777" w:rsidR="008F6F27" w:rsidRPr="00553835" w:rsidRDefault="008F6F27" w:rsidP="008F6F27">
      <w:pPr>
        <w:spacing w:before="240" w:after="240" w:line="360" w:lineRule="auto"/>
        <w:ind w:right="51"/>
        <w:jc w:val="both"/>
        <w:rPr>
          <w:rFonts w:ascii="Palatino Linotype" w:hAnsi="Palatino Linotype"/>
        </w:rPr>
      </w:pPr>
      <w:r>
        <w:rPr>
          <w:rFonts w:ascii="Palatino Linotype" w:eastAsiaTheme="minorEastAsia" w:hAnsi="Palatino Linotype" w:cs="Bookman Old Style"/>
          <w:lang w:val="es-MX"/>
        </w:rPr>
        <w:t xml:space="preserve">Consecuentemente, en </w:t>
      </w:r>
      <w:r>
        <w:rPr>
          <w:rFonts w:ascii="Palatino Linotype" w:hAnsi="Palatino Linotype"/>
        </w:rPr>
        <w:t xml:space="preserve">la </w:t>
      </w:r>
      <w:r w:rsidRPr="00553835">
        <w:rPr>
          <w:rFonts w:ascii="Palatino Linotype" w:hAnsi="Palatino Linotype"/>
        </w:rPr>
        <w:t>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r>
        <w:rPr>
          <w:rStyle w:val="Refdenotaalpie"/>
          <w:rFonts w:ascii="Palatino Linotype" w:hAnsi="Palatino Linotype"/>
        </w:rPr>
        <w:footnoteReference w:id="1"/>
      </w:r>
      <w:r>
        <w:rPr>
          <w:rFonts w:ascii="Palatino Linotype" w:hAnsi="Palatino Linotype"/>
        </w:rPr>
        <w:t>.</w:t>
      </w:r>
    </w:p>
    <w:p w14:paraId="5B738684" w14:textId="27824B07" w:rsidR="00BC411F" w:rsidRDefault="008F6F27" w:rsidP="00DE0BBF">
      <w:pPr>
        <w:autoSpaceDE w:val="0"/>
        <w:autoSpaceDN w:val="0"/>
        <w:adjustRightInd w:val="0"/>
        <w:spacing w:before="240" w:after="240" w:line="360" w:lineRule="auto"/>
        <w:jc w:val="both"/>
        <w:rPr>
          <w:rFonts w:ascii="Palatino Linotype" w:hAnsi="Palatino Linotype"/>
          <w:b/>
          <w:lang w:val="es-MX" w:eastAsia="es-MX"/>
        </w:rPr>
      </w:pPr>
      <w:r>
        <w:rPr>
          <w:rFonts w:ascii="Palatino Linotype" w:hAnsi="Palatino Linotype"/>
        </w:rPr>
        <w:lastRenderedPageBreak/>
        <w:t xml:space="preserve">Así las cosas, resulta procedente analizar el requerimiento marcado con el numeral 1 en esta resolución, a través del cual se tiene que el particular solicitó </w:t>
      </w:r>
      <w:r>
        <w:rPr>
          <w:rFonts w:ascii="Palatino Linotype" w:hAnsi="Palatino Linotype"/>
          <w:b/>
          <w:lang w:val="es-MX" w:eastAsia="es-MX"/>
        </w:rPr>
        <w:t>c</w:t>
      </w:r>
      <w:r w:rsidRPr="008F6F27">
        <w:rPr>
          <w:rFonts w:ascii="Palatino Linotype" w:hAnsi="Palatino Linotype"/>
          <w:b/>
          <w:lang w:val="es-MX" w:eastAsia="es-MX"/>
        </w:rPr>
        <w:t xml:space="preserve">opia de la certificación del Procurador, </w:t>
      </w:r>
      <w:r>
        <w:rPr>
          <w:rFonts w:ascii="Palatino Linotype" w:hAnsi="Palatino Linotype"/>
          <w:b/>
          <w:lang w:val="es-MX" w:eastAsia="es-MX"/>
        </w:rPr>
        <w:t>T</w:t>
      </w:r>
      <w:r w:rsidRPr="008F6F27">
        <w:rPr>
          <w:rFonts w:ascii="Palatino Linotype" w:hAnsi="Palatino Linotype"/>
          <w:b/>
          <w:lang w:val="es-MX" w:eastAsia="es-MX"/>
        </w:rPr>
        <w:t>esorera y Titular de la Unidad de Transparencia.</w:t>
      </w:r>
    </w:p>
    <w:p w14:paraId="4C851C51" w14:textId="5004FB9A" w:rsidR="008F6F27" w:rsidRDefault="008F6F27" w:rsidP="00DE0BBF">
      <w:pPr>
        <w:autoSpaceDE w:val="0"/>
        <w:autoSpaceDN w:val="0"/>
        <w:adjustRightInd w:val="0"/>
        <w:spacing w:before="240" w:after="240" w:line="360" w:lineRule="auto"/>
        <w:jc w:val="both"/>
        <w:rPr>
          <w:rFonts w:ascii="Palatino Linotype" w:hAnsi="Palatino Linotype"/>
          <w:lang w:val="es-MX" w:eastAsia="es-MX"/>
        </w:rPr>
      </w:pPr>
      <w:r>
        <w:rPr>
          <w:rFonts w:ascii="Palatino Linotype" w:hAnsi="Palatino Linotype"/>
          <w:lang w:val="es-MX" w:eastAsia="es-MX"/>
        </w:rPr>
        <w:t xml:space="preserve">Al respecto, el </w:t>
      </w:r>
      <w:r>
        <w:rPr>
          <w:rFonts w:ascii="Palatino Linotype" w:hAnsi="Palatino Linotype"/>
          <w:b/>
          <w:lang w:val="es-MX" w:eastAsia="es-MX"/>
        </w:rPr>
        <w:t xml:space="preserve">Sujeto Obligado </w:t>
      </w:r>
      <w:r>
        <w:rPr>
          <w:rFonts w:ascii="Palatino Linotype" w:hAnsi="Palatino Linotype"/>
          <w:lang w:val="es-MX" w:eastAsia="es-MX"/>
        </w:rPr>
        <w:t xml:space="preserve">en vía de informe justificado remitió los oficios </w:t>
      </w:r>
      <w:r w:rsidR="00473F1B">
        <w:rPr>
          <w:rFonts w:ascii="Palatino Linotype" w:hAnsi="Palatino Linotype"/>
          <w:lang w:val="es-MX" w:eastAsia="es-MX"/>
        </w:rPr>
        <w:t>números SMDIF/TEC/PPNNA/188-2021, SMDIF/TES/072/2021 y SMDIF/UT/00320/2021, suscritos</w:t>
      </w:r>
      <w:r>
        <w:rPr>
          <w:rFonts w:ascii="Palatino Linotype" w:hAnsi="Palatino Linotype"/>
          <w:lang w:val="es-MX" w:eastAsia="es-MX"/>
        </w:rPr>
        <w:t xml:space="preserve"> por el </w:t>
      </w:r>
      <w:r w:rsidRPr="008F6F27">
        <w:rPr>
          <w:rFonts w:ascii="Palatino Linotype" w:hAnsi="Palatino Linotype"/>
          <w:lang w:val="es-MX" w:eastAsia="es-MX"/>
        </w:rPr>
        <w:t>Procurador de Protección de Niñas, Niños y Adolescentes, Tesorera y Titular de la Unidad de Transparencia</w:t>
      </w:r>
      <w:r w:rsidR="00E35739">
        <w:rPr>
          <w:rFonts w:ascii="Palatino Linotype" w:hAnsi="Palatino Linotype"/>
          <w:lang w:val="es-MX" w:eastAsia="es-MX"/>
        </w:rPr>
        <w:t xml:space="preserve"> respectivamente,</w:t>
      </w:r>
      <w:r>
        <w:rPr>
          <w:rFonts w:ascii="Palatino Linotype" w:hAnsi="Palatino Linotype"/>
          <w:lang w:val="es-MX" w:eastAsia="es-MX"/>
        </w:rPr>
        <w:t xml:space="preserve"> de los que se puede leer lo siguiente:</w:t>
      </w:r>
    </w:p>
    <w:p w14:paraId="443CF5DF" w14:textId="48F5AED8" w:rsidR="008F6F27" w:rsidRPr="00C34CB6" w:rsidRDefault="008F6F27" w:rsidP="008F6F27">
      <w:pPr>
        <w:pStyle w:val="Prrafodelista"/>
        <w:numPr>
          <w:ilvl w:val="0"/>
          <w:numId w:val="23"/>
        </w:numPr>
        <w:autoSpaceDE w:val="0"/>
        <w:autoSpaceDN w:val="0"/>
        <w:adjustRightInd w:val="0"/>
        <w:spacing w:before="240" w:after="240" w:line="360" w:lineRule="auto"/>
        <w:jc w:val="both"/>
        <w:rPr>
          <w:rFonts w:ascii="Palatino Linotype" w:hAnsi="Palatino Linotype"/>
          <w:lang w:val="es-MX" w:eastAsia="es-MX"/>
        </w:rPr>
      </w:pPr>
      <w:r w:rsidRPr="008F6F27">
        <w:rPr>
          <w:rFonts w:ascii="Palatino Linotype" w:hAnsi="Palatino Linotype"/>
          <w:b/>
          <w:lang w:val="es-MX" w:eastAsia="es-MX"/>
        </w:rPr>
        <w:t>Procurador de Protección de Niñas, Niños y Adolescentes</w:t>
      </w:r>
      <w:r>
        <w:rPr>
          <w:rFonts w:ascii="Palatino Linotype" w:hAnsi="Palatino Linotype"/>
          <w:b/>
          <w:lang w:val="es-MX" w:eastAsia="es-MX"/>
        </w:rPr>
        <w:t xml:space="preserve">.- </w:t>
      </w:r>
      <w:r w:rsidRPr="00C34CB6">
        <w:rPr>
          <w:rFonts w:ascii="Palatino Linotype" w:hAnsi="Palatino Linotype"/>
          <w:lang w:val="es-MX" w:eastAsia="es-MX"/>
        </w:rPr>
        <w:t xml:space="preserve">conforme a lo prescrito por los artículos 94 Bis de la Ley de los Derechos de Niñas, Niños y Adolescentes del Estado de México y 32 de la Ley </w:t>
      </w:r>
      <w:r w:rsidR="00C34CB6" w:rsidRPr="00C34CB6">
        <w:rPr>
          <w:rFonts w:ascii="Palatino Linotype" w:hAnsi="Palatino Linotype"/>
          <w:lang w:val="es-MX" w:eastAsia="es-MX"/>
        </w:rPr>
        <w:t>Orgánica</w:t>
      </w:r>
      <w:r w:rsidRPr="00C34CB6">
        <w:rPr>
          <w:rFonts w:ascii="Palatino Linotype" w:hAnsi="Palatino Linotype"/>
          <w:lang w:val="es-MX" w:eastAsia="es-MX"/>
        </w:rPr>
        <w:t xml:space="preserve"> Municipal del Estado de México, </w:t>
      </w:r>
      <w:r w:rsidR="00C34CB6" w:rsidRPr="00C34CB6">
        <w:rPr>
          <w:rFonts w:ascii="Palatino Linotype" w:hAnsi="Palatino Linotype"/>
          <w:lang w:val="es-MX" w:eastAsia="es-MX"/>
        </w:rPr>
        <w:t>el Procurador no está obligado a contar con certificación alguna.</w:t>
      </w:r>
    </w:p>
    <w:p w14:paraId="14416A44" w14:textId="0878D2CF" w:rsidR="00C34CB6" w:rsidRPr="00C34CB6" w:rsidRDefault="008F6F27" w:rsidP="008F6F27">
      <w:pPr>
        <w:pStyle w:val="Prrafodelista"/>
        <w:numPr>
          <w:ilvl w:val="0"/>
          <w:numId w:val="23"/>
        </w:numPr>
        <w:autoSpaceDE w:val="0"/>
        <w:autoSpaceDN w:val="0"/>
        <w:adjustRightInd w:val="0"/>
        <w:spacing w:before="240" w:after="240" w:line="360" w:lineRule="auto"/>
        <w:jc w:val="both"/>
        <w:rPr>
          <w:rFonts w:ascii="Palatino Linotype" w:hAnsi="Palatino Linotype"/>
          <w:lang w:val="es-MX" w:eastAsia="es-MX"/>
        </w:rPr>
      </w:pPr>
      <w:r w:rsidRPr="008F6F27">
        <w:rPr>
          <w:rFonts w:ascii="Palatino Linotype" w:hAnsi="Palatino Linotype"/>
          <w:b/>
          <w:lang w:val="es-MX" w:eastAsia="es-MX"/>
        </w:rPr>
        <w:t>Tesorera</w:t>
      </w:r>
      <w:r w:rsidR="00C34CB6">
        <w:rPr>
          <w:rFonts w:ascii="Palatino Linotype" w:hAnsi="Palatino Linotype"/>
          <w:b/>
          <w:lang w:val="es-MX" w:eastAsia="es-MX"/>
        </w:rPr>
        <w:t xml:space="preserve">.- </w:t>
      </w:r>
      <w:r w:rsidR="00743F6F">
        <w:rPr>
          <w:rFonts w:ascii="Palatino Linotype" w:hAnsi="Palatino Linotype"/>
          <w:lang w:val="es-MX" w:eastAsia="es-MX"/>
        </w:rPr>
        <w:t>Derivado de la contingencia SARS-Cov-2 (COVID 19), el Instituto Hacendario del Estado de México (IHAEM), suspendió actividades durante el año 2020, no obstante, de dicho proceso se obtuvo una constancia, que acredita y respalda que la Servidora Pública se encuentra en proceso de evaluación para la certificación conforme al programa establecido por la COCERTEM, por tal motivo no es posible otorgar la información requerida.</w:t>
      </w:r>
    </w:p>
    <w:p w14:paraId="061722E0" w14:textId="7BDEAD4B" w:rsidR="008F6F27" w:rsidRPr="00743F6F" w:rsidRDefault="008F6F27" w:rsidP="008F6F27">
      <w:pPr>
        <w:pStyle w:val="Prrafodelista"/>
        <w:numPr>
          <w:ilvl w:val="0"/>
          <w:numId w:val="23"/>
        </w:numPr>
        <w:autoSpaceDE w:val="0"/>
        <w:autoSpaceDN w:val="0"/>
        <w:adjustRightInd w:val="0"/>
        <w:spacing w:before="240" w:after="240" w:line="360" w:lineRule="auto"/>
        <w:jc w:val="both"/>
        <w:rPr>
          <w:rFonts w:ascii="Palatino Linotype" w:hAnsi="Palatino Linotype"/>
          <w:lang w:val="es-MX" w:eastAsia="es-MX"/>
        </w:rPr>
      </w:pPr>
      <w:r w:rsidRPr="008F6F27">
        <w:rPr>
          <w:rFonts w:ascii="Palatino Linotype" w:hAnsi="Palatino Linotype"/>
          <w:b/>
          <w:lang w:val="es-MX" w:eastAsia="es-MX"/>
        </w:rPr>
        <w:t>Titular de la Unidad de Transparencia</w:t>
      </w:r>
      <w:r w:rsidR="00C34CB6">
        <w:rPr>
          <w:rFonts w:ascii="Palatino Linotype" w:hAnsi="Palatino Linotype"/>
          <w:b/>
          <w:lang w:val="es-MX" w:eastAsia="es-MX"/>
        </w:rPr>
        <w:t xml:space="preserve">.- </w:t>
      </w:r>
      <w:r w:rsidR="00743F6F" w:rsidRPr="000E6378">
        <w:rPr>
          <w:rFonts w:ascii="Palatino Linotype" w:hAnsi="Palatino Linotype"/>
          <w:lang w:val="es-MX" w:eastAsia="es-MX"/>
        </w:rPr>
        <w:t>I</w:t>
      </w:r>
      <w:r w:rsidR="00743F6F" w:rsidRPr="00743F6F">
        <w:rPr>
          <w:rFonts w:ascii="Palatino Linotype" w:hAnsi="Palatino Linotype"/>
          <w:lang w:val="es-MX" w:eastAsia="es-MX"/>
        </w:rPr>
        <w:t>nformó que se encuentra en proceso de certificaci</w:t>
      </w:r>
      <w:r w:rsidR="00743F6F">
        <w:rPr>
          <w:rFonts w:ascii="Palatino Linotype" w:hAnsi="Palatino Linotype"/>
          <w:lang w:val="es-MX" w:eastAsia="es-MX"/>
        </w:rPr>
        <w:t>ón por parte d</w:t>
      </w:r>
      <w:r w:rsidR="00743F6F" w:rsidRPr="00743F6F">
        <w:rPr>
          <w:rFonts w:ascii="Palatino Linotype" w:hAnsi="Palatino Linotype"/>
          <w:lang w:val="es-MX" w:eastAsia="es-MX"/>
        </w:rPr>
        <w:t>e</w:t>
      </w:r>
      <w:r w:rsidR="00743F6F">
        <w:rPr>
          <w:rFonts w:ascii="Palatino Linotype" w:hAnsi="Palatino Linotype"/>
          <w:lang w:val="es-MX" w:eastAsia="es-MX"/>
        </w:rPr>
        <w:t xml:space="preserve"> </w:t>
      </w:r>
      <w:r w:rsidR="00743F6F" w:rsidRPr="00743F6F">
        <w:rPr>
          <w:rFonts w:ascii="Palatino Linotype" w:hAnsi="Palatino Linotype"/>
          <w:lang w:val="es-MX" w:eastAsia="es-MX"/>
        </w:rPr>
        <w:t xml:space="preserve">la Dirección General de Capacitación, </w:t>
      </w:r>
      <w:r w:rsidR="00743F6F" w:rsidRPr="00743F6F">
        <w:rPr>
          <w:rFonts w:ascii="Palatino Linotype" w:hAnsi="Palatino Linotype"/>
          <w:lang w:val="es-MX" w:eastAsia="es-MX"/>
        </w:rPr>
        <w:lastRenderedPageBreak/>
        <w:t>Certificación y Políticas Públicas del Infoem, motivo por el cual, le resulta imposible adjuntar el documento oficial que acredite la misma.</w:t>
      </w:r>
    </w:p>
    <w:p w14:paraId="19EC45E1" w14:textId="297DBBF7" w:rsidR="008F6F27" w:rsidRDefault="00D437AD" w:rsidP="00DE0BBF">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Tras la lectura a los argumentos aducidos por el </w:t>
      </w:r>
      <w:r>
        <w:rPr>
          <w:rFonts w:ascii="Palatino Linotype" w:hAnsi="Palatino Linotype"/>
          <w:b/>
        </w:rPr>
        <w:t xml:space="preserve">Sujeto Obligado, </w:t>
      </w:r>
      <w:r>
        <w:rPr>
          <w:rFonts w:ascii="Palatino Linotype" w:hAnsi="Palatino Linotype"/>
        </w:rPr>
        <w:t>se tiene que el Procurador no está obligado a contar con certificación, mientras que el Tesorero y Titular de la Unidad de Transparencia, no cuentan con ella, por encontrarse en proceso de certificación.</w:t>
      </w:r>
    </w:p>
    <w:p w14:paraId="57A0AD9F" w14:textId="44E6D879" w:rsidR="00D437AD" w:rsidRDefault="00E35739" w:rsidP="00DE0BBF">
      <w:pPr>
        <w:autoSpaceDE w:val="0"/>
        <w:autoSpaceDN w:val="0"/>
        <w:adjustRightInd w:val="0"/>
        <w:spacing w:before="240" w:after="240" w:line="360" w:lineRule="auto"/>
        <w:jc w:val="both"/>
        <w:rPr>
          <w:rFonts w:ascii="Palatino Linotype" w:hAnsi="Palatino Linotype"/>
        </w:rPr>
      </w:pPr>
      <w:r>
        <w:rPr>
          <w:rFonts w:ascii="Palatino Linotype" w:hAnsi="Palatino Linotype"/>
        </w:rPr>
        <w:t>Siendo las cosas así, resultó</w:t>
      </w:r>
      <w:r w:rsidR="00D437AD">
        <w:rPr>
          <w:rFonts w:ascii="Palatino Linotype" w:hAnsi="Palatino Linotype"/>
        </w:rPr>
        <w:t xml:space="preserve"> indispensa</w:t>
      </w:r>
      <w:r w:rsidR="00433C4A">
        <w:rPr>
          <w:rFonts w:ascii="Palatino Linotype" w:hAnsi="Palatino Linotype"/>
        </w:rPr>
        <w:t>ble remitirnos al contenido de la Ley que Crea los Organismo Públicos Descentralizados de Asistencia Social, de Carácter Municipal, denominados “Sistemas Municipales para el Desarrollo Integral de la Familia”, de cuyo contenido se advierte lo siguiente:</w:t>
      </w:r>
    </w:p>
    <w:p w14:paraId="757B46BE" w14:textId="5AA85FC2" w:rsidR="00433C4A" w:rsidRPr="00433C4A" w:rsidRDefault="00433C4A" w:rsidP="00433C4A">
      <w:pPr>
        <w:autoSpaceDE w:val="0"/>
        <w:autoSpaceDN w:val="0"/>
        <w:adjustRightInd w:val="0"/>
        <w:spacing w:after="120"/>
        <w:ind w:left="851" w:right="902"/>
        <w:jc w:val="both"/>
        <w:rPr>
          <w:rFonts w:ascii="Palatino Linotype" w:hAnsi="Palatino Linotype"/>
          <w:i/>
          <w:sz w:val="20"/>
          <w:szCs w:val="20"/>
        </w:rPr>
      </w:pPr>
      <w:r>
        <w:rPr>
          <w:rFonts w:ascii="Palatino Linotype" w:hAnsi="Palatino Linotype"/>
          <w:b/>
          <w:i/>
          <w:sz w:val="20"/>
          <w:szCs w:val="20"/>
        </w:rPr>
        <w:t>“</w:t>
      </w:r>
      <w:r w:rsidRPr="00433C4A">
        <w:rPr>
          <w:rFonts w:ascii="Palatino Linotype" w:hAnsi="Palatino Linotype"/>
          <w:b/>
          <w:i/>
          <w:sz w:val="20"/>
          <w:szCs w:val="20"/>
        </w:rPr>
        <w:t xml:space="preserve">Artículo 20 ter. </w:t>
      </w:r>
      <w:r w:rsidRPr="00433C4A">
        <w:rPr>
          <w:rFonts w:ascii="Palatino Linotype" w:hAnsi="Palatino Linotype"/>
          <w:i/>
          <w:sz w:val="20"/>
          <w:szCs w:val="20"/>
        </w:rPr>
        <w:t xml:space="preserve">El titular de la </w:t>
      </w:r>
      <w:r w:rsidRPr="00E35739">
        <w:rPr>
          <w:rFonts w:ascii="Palatino Linotype" w:hAnsi="Palatino Linotype"/>
          <w:b/>
          <w:i/>
          <w:sz w:val="20"/>
          <w:szCs w:val="20"/>
        </w:rPr>
        <w:t xml:space="preserve">Procuraduría de Protección Municipal </w:t>
      </w:r>
      <w:r w:rsidRPr="00433C4A">
        <w:rPr>
          <w:rFonts w:ascii="Palatino Linotype" w:hAnsi="Palatino Linotype"/>
          <w:i/>
          <w:sz w:val="20"/>
          <w:szCs w:val="20"/>
        </w:rPr>
        <w:t>deberá contar con título y cédula profesional de licenciado en derecho con una experiencia mínima de tres años en el ejercicio de su profesión, no haber sido sentenciado por delito doloso y será nombrado por la Junta de Gobierno a propuesta de quien presida el Sistema Municipal para el Desarrollo Integral de la Familia.</w:t>
      </w:r>
    </w:p>
    <w:p w14:paraId="48AF4CF1" w14:textId="44E7C623" w:rsidR="00433C4A" w:rsidRPr="00433C4A" w:rsidRDefault="00433C4A" w:rsidP="00433C4A">
      <w:pPr>
        <w:autoSpaceDE w:val="0"/>
        <w:autoSpaceDN w:val="0"/>
        <w:adjustRightInd w:val="0"/>
        <w:spacing w:after="120"/>
        <w:ind w:left="851" w:right="902"/>
        <w:jc w:val="both"/>
        <w:rPr>
          <w:rFonts w:ascii="Palatino Linotype" w:hAnsi="Palatino Linotype"/>
          <w:i/>
          <w:sz w:val="20"/>
          <w:szCs w:val="20"/>
        </w:rPr>
      </w:pPr>
      <w:r w:rsidRPr="00433C4A">
        <w:rPr>
          <w:rFonts w:ascii="Palatino Linotype" w:hAnsi="Palatino Linotype"/>
          <w:b/>
          <w:i/>
          <w:sz w:val="20"/>
          <w:szCs w:val="20"/>
        </w:rPr>
        <w:t>Artículo 15 Ter.-</w:t>
      </w:r>
      <w:r w:rsidRPr="00433C4A">
        <w:rPr>
          <w:rFonts w:ascii="Palatino Linotype" w:hAnsi="Palatino Linotype"/>
          <w:i/>
          <w:sz w:val="20"/>
          <w:szCs w:val="20"/>
        </w:rPr>
        <w:t xml:space="preserve"> Para ocupar el cargo de </w:t>
      </w:r>
      <w:r w:rsidRPr="00E35739">
        <w:rPr>
          <w:rFonts w:ascii="Palatino Linotype" w:hAnsi="Palatino Linotype"/>
          <w:b/>
          <w:i/>
          <w:sz w:val="20"/>
          <w:szCs w:val="20"/>
        </w:rPr>
        <w:t>Tesorero</w:t>
      </w:r>
      <w:r w:rsidRPr="00433C4A">
        <w:rPr>
          <w:rFonts w:ascii="Palatino Linotype" w:hAnsi="Palatino Linotype"/>
          <w:i/>
          <w:sz w:val="20"/>
          <w:szCs w:val="20"/>
        </w:rPr>
        <w:t xml:space="preserve"> del organismo, o equivalentes, se deberán satisfacer los siguientes requisitos: </w:t>
      </w:r>
    </w:p>
    <w:p w14:paraId="79CB5962" w14:textId="77777777" w:rsidR="00433C4A" w:rsidRDefault="00433C4A" w:rsidP="00433C4A">
      <w:pPr>
        <w:autoSpaceDE w:val="0"/>
        <w:autoSpaceDN w:val="0"/>
        <w:adjustRightInd w:val="0"/>
        <w:spacing w:after="120"/>
        <w:ind w:left="1134" w:right="902"/>
        <w:jc w:val="both"/>
        <w:rPr>
          <w:rFonts w:ascii="Palatino Linotype" w:hAnsi="Palatino Linotype"/>
          <w:i/>
          <w:sz w:val="20"/>
          <w:szCs w:val="20"/>
        </w:rPr>
      </w:pPr>
      <w:r>
        <w:rPr>
          <w:rFonts w:ascii="Palatino Linotype" w:hAnsi="Palatino Linotype"/>
          <w:i/>
          <w:sz w:val="20"/>
          <w:szCs w:val="20"/>
        </w:rPr>
        <w:t>(…)</w:t>
      </w:r>
    </w:p>
    <w:p w14:paraId="34FDB1ED" w14:textId="7DCC5626" w:rsidR="00433C4A" w:rsidRPr="00433C4A" w:rsidRDefault="00433C4A" w:rsidP="00433C4A">
      <w:pPr>
        <w:autoSpaceDE w:val="0"/>
        <w:autoSpaceDN w:val="0"/>
        <w:adjustRightInd w:val="0"/>
        <w:spacing w:after="120"/>
        <w:ind w:left="1134" w:right="902"/>
        <w:jc w:val="both"/>
        <w:rPr>
          <w:rFonts w:ascii="Palatino Linotype" w:hAnsi="Palatino Linotype"/>
          <w:i/>
          <w:sz w:val="20"/>
          <w:szCs w:val="20"/>
        </w:rPr>
      </w:pPr>
      <w:r w:rsidRPr="00433C4A">
        <w:rPr>
          <w:rFonts w:ascii="Palatino Linotype" w:hAnsi="Palatino Linotype"/>
          <w:i/>
          <w:sz w:val="20"/>
          <w:szCs w:val="20"/>
        </w:rPr>
        <w:t xml:space="preserve">IV. Acreditar ante el Titular del organismo o ante el Consejo Directivo, cuando sea el caso, el tener los conocimientos suficientes para poder desempeñar el cargo, contar con título profesional en las áreas económicas o contable-administrativas con experiencia mínima de un año en la materia y con la </w:t>
      </w:r>
      <w:r w:rsidRPr="00E35739">
        <w:rPr>
          <w:rFonts w:ascii="Palatino Linotype" w:hAnsi="Palatino Linotype"/>
          <w:b/>
          <w:i/>
          <w:sz w:val="20"/>
          <w:szCs w:val="20"/>
        </w:rPr>
        <w:t>certificación de competencia laboral específica</w:t>
      </w:r>
      <w:r w:rsidRPr="00433C4A">
        <w:rPr>
          <w:rFonts w:ascii="Palatino Linotype" w:hAnsi="Palatino Linotype"/>
          <w:i/>
          <w:sz w:val="20"/>
          <w:szCs w:val="20"/>
        </w:rPr>
        <w:t>, correspondiente al puesto, expedida por el Instituto Hacendario del Estado de México o cualquier autoridad competente</w:t>
      </w:r>
      <w:r>
        <w:rPr>
          <w:rFonts w:ascii="Palatino Linotype" w:hAnsi="Palatino Linotype"/>
          <w:i/>
          <w:sz w:val="20"/>
          <w:szCs w:val="20"/>
        </w:rPr>
        <w:t>…”</w:t>
      </w:r>
    </w:p>
    <w:p w14:paraId="0BA30BD4" w14:textId="1D1EEB82" w:rsidR="00003170" w:rsidRDefault="00433C4A" w:rsidP="00DE0BBF">
      <w:pPr>
        <w:autoSpaceDE w:val="0"/>
        <w:autoSpaceDN w:val="0"/>
        <w:adjustRightInd w:val="0"/>
        <w:spacing w:before="240" w:after="240" w:line="360" w:lineRule="auto"/>
        <w:jc w:val="both"/>
        <w:rPr>
          <w:rFonts w:ascii="Palatino Linotype" w:hAnsi="Palatino Linotype"/>
        </w:rPr>
      </w:pPr>
      <w:r>
        <w:rPr>
          <w:rFonts w:ascii="Palatino Linotype" w:hAnsi="Palatino Linotype"/>
        </w:rPr>
        <w:t>De l</w:t>
      </w:r>
      <w:r w:rsidR="00003170">
        <w:rPr>
          <w:rFonts w:ascii="Palatino Linotype" w:hAnsi="Palatino Linotype"/>
        </w:rPr>
        <w:t>o transcrito</w:t>
      </w:r>
      <w:r>
        <w:rPr>
          <w:rFonts w:ascii="Palatino Linotype" w:hAnsi="Palatino Linotype"/>
        </w:rPr>
        <w:t xml:space="preserve"> se corrobora que, efectivamente el Procurador </w:t>
      </w:r>
      <w:r w:rsidRPr="00433C4A">
        <w:rPr>
          <w:rFonts w:ascii="Palatino Linotype" w:hAnsi="Palatino Linotype"/>
        </w:rPr>
        <w:t>Municipal de Protección de Niñas, Niños y Adolescentes</w:t>
      </w:r>
      <w:r>
        <w:rPr>
          <w:rFonts w:ascii="Palatino Linotype" w:hAnsi="Palatino Linotype"/>
        </w:rPr>
        <w:t xml:space="preserve"> no está obligado a contar con </w:t>
      </w:r>
      <w:r>
        <w:rPr>
          <w:rFonts w:ascii="Palatino Linotype" w:hAnsi="Palatino Linotype"/>
        </w:rPr>
        <w:lastRenderedPageBreak/>
        <w:t>certificaci</w:t>
      </w:r>
      <w:r w:rsidR="00003170">
        <w:rPr>
          <w:rFonts w:ascii="Palatino Linotype" w:hAnsi="Palatino Linotype"/>
        </w:rPr>
        <w:t>ón alguna, aunado a que no existe ordenamiento jurídico que lo señale, por lo tanto, no resulta procedente ordenar su entrega.</w:t>
      </w:r>
    </w:p>
    <w:p w14:paraId="7A13EE73" w14:textId="77777777" w:rsidR="00E35739" w:rsidRDefault="00003170" w:rsidP="00DE0BBF">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En lo que corresponde al Tesorero, se desprende que deberá contar con la </w:t>
      </w:r>
      <w:r w:rsidRPr="00003170">
        <w:rPr>
          <w:rFonts w:ascii="Palatino Linotype" w:hAnsi="Palatino Linotype"/>
        </w:rPr>
        <w:t>certificación de competencia laboral específica, correspondiente al puesto, expedida por el Instituto Hacendario del Estado de México o cualquier autoridad competent</w:t>
      </w:r>
      <w:r>
        <w:rPr>
          <w:rFonts w:ascii="Palatino Linotype" w:hAnsi="Palatino Linotype"/>
        </w:rPr>
        <w:t>e,</w:t>
      </w:r>
      <w:r w:rsidR="00E35739">
        <w:rPr>
          <w:rFonts w:ascii="Palatino Linotype" w:hAnsi="Palatino Linotype"/>
        </w:rPr>
        <w:t xml:space="preserve"> siendo aplicable por analogía, que el plazo para el cumplimiento de dicha obligación el Servidor Público debió </w:t>
      </w:r>
      <w:r w:rsidR="00E35739" w:rsidRPr="00E35739">
        <w:rPr>
          <w:rFonts w:ascii="Palatino Linotype" w:hAnsi="Palatino Linotype"/>
        </w:rPr>
        <w:t>acreditar dicho requisito dentro de los seis meses siguientes a la fecha en que inicien sus funciones</w:t>
      </w:r>
      <w:r w:rsidR="00E35739">
        <w:rPr>
          <w:rFonts w:ascii="Palatino Linotype" w:hAnsi="Palatino Linotype"/>
        </w:rPr>
        <w:t>.</w:t>
      </w:r>
    </w:p>
    <w:p w14:paraId="0E63295E" w14:textId="785362F9" w:rsidR="00EB680A" w:rsidRDefault="00EB680A" w:rsidP="00DE0BBF">
      <w:pPr>
        <w:autoSpaceDE w:val="0"/>
        <w:autoSpaceDN w:val="0"/>
        <w:adjustRightInd w:val="0"/>
        <w:spacing w:before="240" w:after="240" w:line="360" w:lineRule="auto"/>
        <w:jc w:val="both"/>
        <w:rPr>
          <w:rFonts w:ascii="Palatino Linotype" w:hAnsi="Palatino Linotype"/>
        </w:rPr>
      </w:pPr>
      <w:r>
        <w:rPr>
          <w:rFonts w:ascii="Palatino Linotype" w:hAnsi="Palatino Linotype"/>
        </w:rPr>
        <w:t>En ese sentido, cabe señalar que de la información publicada en la página oficial del Ayuntamiento de Tecámac, en el rubro, “DIF Tecámac”, se advierte diversa información financiera, la cual fue firmada desde el año 2019 por María Guadalupe Gómez Barrera, como Tesorera, tal cual se advierte de las siguientes capturas de pantalla:</w:t>
      </w:r>
    </w:p>
    <w:p w14:paraId="3208EEDB" w14:textId="0EFB1DC5" w:rsidR="00EB680A" w:rsidRDefault="00EB680A" w:rsidP="00DE0BBF">
      <w:pPr>
        <w:autoSpaceDE w:val="0"/>
        <w:autoSpaceDN w:val="0"/>
        <w:adjustRightInd w:val="0"/>
        <w:spacing w:before="240" w:after="240" w:line="360" w:lineRule="auto"/>
        <w:jc w:val="both"/>
        <w:rPr>
          <w:rFonts w:ascii="Palatino Linotype" w:hAnsi="Palatino Linotype"/>
        </w:rPr>
      </w:pPr>
      <w:r w:rsidRPr="00EB680A">
        <w:rPr>
          <w:rFonts w:ascii="Palatino Linotype" w:hAnsi="Palatino Linotype"/>
          <w:noProof/>
          <w:lang w:val="es-MX" w:eastAsia="es-MX"/>
        </w:rPr>
        <w:drawing>
          <wp:inline distT="0" distB="0" distL="0" distR="0" wp14:anchorId="52B1C3B1" wp14:editId="423468E2">
            <wp:extent cx="5612130" cy="2847975"/>
            <wp:effectExtent l="0" t="0" r="762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847975"/>
                    </a:xfrm>
                    <a:prstGeom prst="rect">
                      <a:avLst/>
                    </a:prstGeom>
                  </pic:spPr>
                </pic:pic>
              </a:graphicData>
            </a:graphic>
          </wp:inline>
        </w:drawing>
      </w:r>
    </w:p>
    <w:p w14:paraId="6FA88901" w14:textId="4E8EFC84" w:rsidR="00EB680A" w:rsidRDefault="00EB680A" w:rsidP="00DE0BBF">
      <w:pPr>
        <w:autoSpaceDE w:val="0"/>
        <w:autoSpaceDN w:val="0"/>
        <w:adjustRightInd w:val="0"/>
        <w:spacing w:before="240" w:after="240" w:line="360" w:lineRule="auto"/>
        <w:jc w:val="both"/>
        <w:rPr>
          <w:rFonts w:ascii="Palatino Linotype" w:hAnsi="Palatino Linotype"/>
        </w:rPr>
      </w:pPr>
      <w:r w:rsidRPr="00EB680A">
        <w:rPr>
          <w:rFonts w:ascii="Palatino Linotype" w:hAnsi="Palatino Linotype"/>
          <w:noProof/>
          <w:lang w:val="es-MX" w:eastAsia="es-MX"/>
        </w:rPr>
        <w:lastRenderedPageBreak/>
        <w:drawing>
          <wp:inline distT="0" distB="0" distL="0" distR="0" wp14:anchorId="5E7A2D31" wp14:editId="5C59A37A">
            <wp:extent cx="5612130" cy="520763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5207635"/>
                    </a:xfrm>
                    <a:prstGeom prst="rect">
                      <a:avLst/>
                    </a:prstGeom>
                  </pic:spPr>
                </pic:pic>
              </a:graphicData>
            </a:graphic>
          </wp:inline>
        </w:drawing>
      </w:r>
    </w:p>
    <w:p w14:paraId="4DED212F" w14:textId="14D48E5D" w:rsidR="00003170" w:rsidRPr="00EB680A" w:rsidRDefault="00EB680A" w:rsidP="00DE0BBF">
      <w:pPr>
        <w:autoSpaceDE w:val="0"/>
        <w:autoSpaceDN w:val="0"/>
        <w:adjustRightInd w:val="0"/>
        <w:spacing w:before="240" w:after="240" w:line="360" w:lineRule="auto"/>
        <w:jc w:val="both"/>
        <w:rPr>
          <w:rFonts w:ascii="Palatino Linotype" w:hAnsi="Palatino Linotype"/>
        </w:rPr>
      </w:pPr>
      <w:r>
        <w:rPr>
          <w:rFonts w:ascii="Palatino Linotype" w:hAnsi="Palatino Linotype"/>
        </w:rPr>
        <w:t xml:space="preserve">En consecuencia, el pronunciamiento hecho por el </w:t>
      </w:r>
      <w:r>
        <w:rPr>
          <w:rFonts w:ascii="Palatino Linotype" w:hAnsi="Palatino Linotype"/>
          <w:b/>
        </w:rPr>
        <w:t xml:space="preserve">Sujeto Obligado </w:t>
      </w:r>
      <w:r>
        <w:rPr>
          <w:rFonts w:ascii="Palatino Linotype" w:hAnsi="Palatino Linotype"/>
        </w:rPr>
        <w:t xml:space="preserve">no colma </w:t>
      </w:r>
      <w:r w:rsidR="00003170">
        <w:rPr>
          <w:rFonts w:ascii="Palatino Linotype" w:hAnsi="Palatino Linotype"/>
        </w:rPr>
        <w:t xml:space="preserve">el requerimiento </w:t>
      </w:r>
      <w:r>
        <w:rPr>
          <w:rFonts w:ascii="Palatino Linotype" w:hAnsi="Palatino Linotype"/>
        </w:rPr>
        <w:t xml:space="preserve">de información, toda vez que en términos de Ley, la Tesorera, debe contar con la </w:t>
      </w:r>
      <w:r w:rsidRPr="00EB680A">
        <w:rPr>
          <w:rFonts w:ascii="Palatino Linotype" w:hAnsi="Palatino Linotype"/>
          <w:b/>
        </w:rPr>
        <w:t>certificación de competencia laboral específica</w:t>
      </w:r>
      <w:r w:rsidRPr="00EB680A">
        <w:rPr>
          <w:rFonts w:ascii="Palatino Linotype" w:hAnsi="Palatino Linotype"/>
        </w:rPr>
        <w:t>, expedida por el Instituto Hacendario del Estado de México</w:t>
      </w:r>
      <w:r>
        <w:rPr>
          <w:rFonts w:ascii="Palatino Linotype" w:hAnsi="Palatino Linotype"/>
        </w:rPr>
        <w:t>.</w:t>
      </w:r>
    </w:p>
    <w:p w14:paraId="479B07D6" w14:textId="511C802D" w:rsidR="00003170" w:rsidRDefault="00003170" w:rsidP="00003170">
      <w:pPr>
        <w:autoSpaceDE w:val="0"/>
        <w:autoSpaceDN w:val="0"/>
        <w:adjustRightInd w:val="0"/>
        <w:spacing w:before="240" w:after="240" w:line="360" w:lineRule="auto"/>
        <w:jc w:val="both"/>
        <w:rPr>
          <w:rFonts w:ascii="Palatino Linotype" w:hAnsi="Palatino Linotype"/>
          <w:color w:val="000000"/>
        </w:rPr>
      </w:pPr>
      <w:r>
        <w:rPr>
          <w:rFonts w:ascii="Palatino Linotype" w:hAnsi="Palatino Linotype"/>
        </w:rPr>
        <w:lastRenderedPageBreak/>
        <w:t>E</w:t>
      </w:r>
      <w:r w:rsidR="00EB680A">
        <w:rPr>
          <w:rFonts w:ascii="Palatino Linotype" w:hAnsi="Palatino Linotype"/>
        </w:rPr>
        <w:t>n lo referente a la Unidad de T</w:t>
      </w:r>
      <w:r>
        <w:rPr>
          <w:rFonts w:ascii="Palatino Linotype" w:hAnsi="Palatino Linotype"/>
        </w:rPr>
        <w:t>ra</w:t>
      </w:r>
      <w:r w:rsidR="00EB680A">
        <w:rPr>
          <w:rFonts w:ascii="Palatino Linotype" w:hAnsi="Palatino Linotype"/>
        </w:rPr>
        <w:t>ns</w:t>
      </w:r>
      <w:r>
        <w:rPr>
          <w:rFonts w:ascii="Palatino Linotype" w:hAnsi="Palatino Linotype"/>
        </w:rPr>
        <w:t xml:space="preserve">parencia, cabe hacer alusión al </w:t>
      </w:r>
      <w:r>
        <w:rPr>
          <w:rFonts w:ascii="Palatino Linotype" w:hAnsi="Palatino Linotype"/>
          <w:color w:val="000000"/>
        </w:rPr>
        <w:t>artículo 57 de la Ley de Transparencia en la entidad, el cual dispone que el responsable de la Unidad de Transparencia deberá tener el perfil adecuado para el cumplimiento de las obligaciones que deriven de la misma, debiendo reunir por lo menos los siguientes requisitos:</w:t>
      </w:r>
    </w:p>
    <w:p w14:paraId="21886F04" w14:textId="77777777" w:rsidR="00003170" w:rsidRPr="0030498E" w:rsidRDefault="00003170" w:rsidP="00003170">
      <w:pPr>
        <w:autoSpaceDE w:val="0"/>
        <w:autoSpaceDN w:val="0"/>
        <w:adjustRightInd w:val="0"/>
        <w:spacing w:before="240" w:after="240" w:line="360" w:lineRule="auto"/>
        <w:ind w:left="567"/>
        <w:jc w:val="both"/>
        <w:rPr>
          <w:rFonts w:ascii="Palatino Linotype" w:hAnsi="Palatino Linotype"/>
          <w:color w:val="000000"/>
        </w:rPr>
      </w:pPr>
      <w:r w:rsidRPr="0030498E">
        <w:rPr>
          <w:rFonts w:ascii="Palatino Linotype" w:hAnsi="Palatino Linotype"/>
          <w:color w:val="000000"/>
        </w:rPr>
        <w:t xml:space="preserve">I. Contar con conocimiento o, tratándose de las entidades gubernamentales estatales y los municipios certificación en materia de acceso a la información, transparencia y protección de datos personales, que para tal efecto emita el Instituto;  </w:t>
      </w:r>
    </w:p>
    <w:p w14:paraId="0A17B0DE" w14:textId="77777777" w:rsidR="00003170" w:rsidRPr="0030498E" w:rsidRDefault="00003170" w:rsidP="00003170">
      <w:pPr>
        <w:autoSpaceDE w:val="0"/>
        <w:autoSpaceDN w:val="0"/>
        <w:adjustRightInd w:val="0"/>
        <w:spacing w:before="240" w:after="240" w:line="360" w:lineRule="auto"/>
        <w:ind w:left="567"/>
        <w:jc w:val="both"/>
        <w:rPr>
          <w:rFonts w:ascii="Palatino Linotype" w:hAnsi="Palatino Linotype"/>
          <w:color w:val="000000"/>
        </w:rPr>
      </w:pPr>
      <w:r w:rsidRPr="0030498E">
        <w:rPr>
          <w:rFonts w:ascii="Palatino Linotype" w:hAnsi="Palatino Linotype"/>
          <w:color w:val="000000"/>
        </w:rPr>
        <w:t xml:space="preserve">II. Experiencia en materia de acceso a la información y protección de datos personales; y  </w:t>
      </w:r>
    </w:p>
    <w:p w14:paraId="49E8E1E8" w14:textId="77777777" w:rsidR="00003170" w:rsidRDefault="00003170" w:rsidP="00003170">
      <w:pPr>
        <w:autoSpaceDE w:val="0"/>
        <w:autoSpaceDN w:val="0"/>
        <w:adjustRightInd w:val="0"/>
        <w:spacing w:before="240" w:after="240" w:line="360" w:lineRule="auto"/>
        <w:ind w:left="567"/>
        <w:jc w:val="both"/>
        <w:rPr>
          <w:rFonts w:ascii="Palatino Linotype" w:hAnsi="Palatino Linotype"/>
          <w:color w:val="000000"/>
        </w:rPr>
      </w:pPr>
      <w:r w:rsidRPr="0030498E">
        <w:rPr>
          <w:rFonts w:ascii="Palatino Linotype" w:hAnsi="Palatino Linotype"/>
          <w:color w:val="000000"/>
        </w:rPr>
        <w:t>III. Habilidades de organización y comunicación, así como visión y liderazgo.</w:t>
      </w:r>
    </w:p>
    <w:p w14:paraId="601E1912" w14:textId="7BC29ABF" w:rsidR="00003170" w:rsidRDefault="00003170" w:rsidP="00EB680A">
      <w:pPr>
        <w:autoSpaceDE w:val="0"/>
        <w:autoSpaceDN w:val="0"/>
        <w:adjustRightInd w:val="0"/>
        <w:spacing w:before="240" w:after="240" w:line="360" w:lineRule="auto"/>
        <w:jc w:val="both"/>
        <w:rPr>
          <w:rFonts w:ascii="Palatino Linotype" w:hAnsi="Palatino Linotype" w:cs="Arial"/>
          <w:color w:val="222222"/>
        </w:rPr>
      </w:pPr>
      <w:r>
        <w:rPr>
          <w:rFonts w:ascii="Palatino Linotype" w:hAnsi="Palatino Linotype"/>
          <w:color w:val="000000"/>
        </w:rPr>
        <w:t xml:space="preserve">De lo que se obtiene que el responsable de la Unidad de Transparencia debe estar certificado en materia de acceso a la información, transparencia y protección de datos personales ante el </w:t>
      </w:r>
      <w:r w:rsidR="00EB680A">
        <w:rPr>
          <w:rFonts w:ascii="Palatino Linotype" w:hAnsi="Palatino Linotype"/>
          <w:color w:val="000000"/>
        </w:rPr>
        <w:t xml:space="preserve">Instituto, de conformidad con lo previsto en </w:t>
      </w:r>
      <w:r>
        <w:rPr>
          <w:rFonts w:ascii="Palatino Linotype" w:eastAsiaTheme="minorEastAsia" w:hAnsi="Palatino Linotype" w:cs="Bookman Old Style"/>
          <w:lang w:val="es-MX"/>
        </w:rPr>
        <w:t xml:space="preserve">, </w:t>
      </w:r>
      <w:r>
        <w:rPr>
          <w:rFonts w:ascii="Palatino Linotype" w:hAnsi="Palatino Linotype" w:cs="Arial"/>
          <w:color w:val="222222"/>
        </w:rPr>
        <w:t xml:space="preserve">los artículos </w:t>
      </w:r>
      <w:r w:rsidRPr="00AF2EB5">
        <w:rPr>
          <w:rFonts w:ascii="Palatino Linotype" w:hAnsi="Palatino Linotype" w:cs="Arial"/>
        </w:rPr>
        <w:t>36, fracción XI y 57, fracción I, de la Ley de Transparencia y Acceso a la Información Pública del Estado de México y Municipios</w:t>
      </w:r>
      <w:r>
        <w:rPr>
          <w:rFonts w:ascii="Palatino Linotype" w:hAnsi="Palatino Linotype" w:cs="Arial"/>
          <w:color w:val="222222"/>
        </w:rPr>
        <w:t>, establecen lo siguiente:</w:t>
      </w:r>
    </w:p>
    <w:p w14:paraId="7DB4C364" w14:textId="77777777" w:rsidR="00003170" w:rsidRPr="002B45F2" w:rsidRDefault="00003170" w:rsidP="00003170">
      <w:pPr>
        <w:autoSpaceDE w:val="0"/>
        <w:autoSpaceDN w:val="0"/>
        <w:adjustRightInd w:val="0"/>
        <w:spacing w:before="120" w:after="120"/>
        <w:ind w:left="851" w:right="900"/>
        <w:jc w:val="both"/>
        <w:rPr>
          <w:rFonts w:ascii="Palatino Linotype" w:hAnsi="Palatino Linotype" w:cs="Arial"/>
          <w:bCs/>
          <w:i/>
          <w:noProof/>
          <w:sz w:val="20"/>
          <w:szCs w:val="20"/>
        </w:rPr>
      </w:pPr>
      <w:r w:rsidRPr="002B45F2">
        <w:rPr>
          <w:rFonts w:ascii="Palatino Linotype" w:hAnsi="Palatino Linotype"/>
          <w:i/>
          <w:sz w:val="20"/>
          <w:szCs w:val="20"/>
        </w:rPr>
        <w:t>“</w:t>
      </w:r>
      <w:r w:rsidRPr="002B45F2">
        <w:rPr>
          <w:rFonts w:ascii="Palatino Linotype" w:hAnsi="Palatino Linotype" w:cs="Arial"/>
          <w:b/>
          <w:bCs/>
          <w:i/>
          <w:noProof/>
          <w:sz w:val="20"/>
          <w:szCs w:val="20"/>
        </w:rPr>
        <w:t xml:space="preserve">Artículo 36. </w:t>
      </w:r>
      <w:r w:rsidRPr="002B45F2">
        <w:rPr>
          <w:rFonts w:ascii="Palatino Linotype" w:hAnsi="Palatino Linotype" w:cs="Arial"/>
          <w:bCs/>
          <w:i/>
          <w:noProof/>
          <w:sz w:val="20"/>
          <w:szCs w:val="20"/>
        </w:rPr>
        <w:t>El Instituto tendrá, en el ámbito de su competencia, las atribuciones siguientes:</w:t>
      </w:r>
    </w:p>
    <w:p w14:paraId="1AB8DD33" w14:textId="77777777" w:rsidR="00003170" w:rsidRPr="002B45F2" w:rsidRDefault="00003170" w:rsidP="00003170">
      <w:pPr>
        <w:autoSpaceDE w:val="0"/>
        <w:autoSpaceDN w:val="0"/>
        <w:adjustRightInd w:val="0"/>
        <w:spacing w:before="120" w:after="120"/>
        <w:ind w:left="1134" w:right="900"/>
        <w:jc w:val="both"/>
        <w:rPr>
          <w:rFonts w:ascii="Palatino Linotype" w:hAnsi="Palatino Linotype" w:cs="Arial"/>
          <w:bCs/>
          <w:i/>
          <w:noProof/>
          <w:sz w:val="20"/>
          <w:szCs w:val="20"/>
        </w:rPr>
      </w:pPr>
      <w:r>
        <w:rPr>
          <w:rFonts w:ascii="Palatino Linotype" w:hAnsi="Palatino Linotype" w:cs="Arial"/>
          <w:bCs/>
          <w:i/>
          <w:noProof/>
          <w:sz w:val="20"/>
          <w:szCs w:val="20"/>
        </w:rPr>
        <w:t>(…)</w:t>
      </w:r>
    </w:p>
    <w:p w14:paraId="410AA965" w14:textId="77777777" w:rsidR="00003170" w:rsidRPr="002B45F2" w:rsidRDefault="00003170" w:rsidP="00003170">
      <w:pPr>
        <w:autoSpaceDE w:val="0"/>
        <w:autoSpaceDN w:val="0"/>
        <w:adjustRightInd w:val="0"/>
        <w:spacing w:before="120" w:after="120"/>
        <w:ind w:left="1134" w:right="900"/>
        <w:jc w:val="both"/>
        <w:rPr>
          <w:rFonts w:ascii="Palatino Linotype" w:hAnsi="Palatino Linotype" w:cs="Arial"/>
          <w:bCs/>
          <w:i/>
          <w:noProof/>
          <w:sz w:val="20"/>
          <w:szCs w:val="20"/>
        </w:rPr>
      </w:pPr>
      <w:r w:rsidRPr="002B45F2">
        <w:rPr>
          <w:rFonts w:ascii="Palatino Linotype" w:hAnsi="Palatino Linotype" w:cs="Arial"/>
          <w:bCs/>
          <w:i/>
          <w:noProof/>
          <w:sz w:val="20"/>
          <w:szCs w:val="20"/>
        </w:rPr>
        <w:t>XI. Certificar las competencias de los titulares de las unidades de transparencia;</w:t>
      </w:r>
      <w:r>
        <w:rPr>
          <w:rFonts w:ascii="Palatino Linotype" w:hAnsi="Palatino Linotype" w:cs="Arial"/>
          <w:bCs/>
          <w:i/>
          <w:noProof/>
          <w:sz w:val="20"/>
          <w:szCs w:val="20"/>
        </w:rPr>
        <w:t>…</w:t>
      </w:r>
    </w:p>
    <w:p w14:paraId="5111668D" w14:textId="77777777" w:rsidR="00003170" w:rsidRPr="002B45F2" w:rsidRDefault="00003170" w:rsidP="00003170">
      <w:pPr>
        <w:autoSpaceDE w:val="0"/>
        <w:autoSpaceDN w:val="0"/>
        <w:adjustRightInd w:val="0"/>
        <w:spacing w:before="120" w:after="120"/>
        <w:ind w:left="851" w:right="900"/>
        <w:jc w:val="both"/>
        <w:rPr>
          <w:rFonts w:ascii="Palatino Linotype" w:hAnsi="Palatino Linotype" w:cs="Arial"/>
          <w:bCs/>
          <w:i/>
          <w:noProof/>
          <w:sz w:val="20"/>
          <w:szCs w:val="20"/>
        </w:rPr>
      </w:pPr>
      <w:r w:rsidRPr="002B45F2">
        <w:rPr>
          <w:rFonts w:ascii="Palatino Linotype" w:hAnsi="Palatino Linotype" w:cs="Arial"/>
          <w:b/>
          <w:bCs/>
          <w:i/>
          <w:noProof/>
          <w:sz w:val="20"/>
          <w:szCs w:val="20"/>
        </w:rPr>
        <w:t>Artículo 57.</w:t>
      </w:r>
      <w:r w:rsidRPr="002B45F2">
        <w:rPr>
          <w:rFonts w:ascii="Palatino Linotype" w:hAnsi="Palatino Linotype" w:cs="Arial"/>
          <w:bCs/>
          <w:i/>
          <w:noProof/>
          <w:sz w:val="20"/>
          <w:szCs w:val="20"/>
        </w:rPr>
        <w:t xml:space="preserve"> El responsable de la Unidad de Transparencia deberá tener el perfil adecuado para el cumplimiento de las obligaciones que se derivan de la presente Ley. Para ser </w:t>
      </w:r>
      <w:r w:rsidRPr="002B45F2">
        <w:rPr>
          <w:rFonts w:ascii="Palatino Linotype" w:hAnsi="Palatino Linotype" w:cs="Arial"/>
          <w:bCs/>
          <w:i/>
          <w:noProof/>
          <w:sz w:val="20"/>
          <w:szCs w:val="20"/>
        </w:rPr>
        <w:lastRenderedPageBreak/>
        <w:t xml:space="preserve">nombrado titular de la Unidad de Transparencia, deberá cumplir, por lo menos, con los siguientes requisitos: </w:t>
      </w:r>
    </w:p>
    <w:p w14:paraId="2398076A" w14:textId="77777777" w:rsidR="00003170" w:rsidRPr="002B45F2" w:rsidRDefault="00003170" w:rsidP="00003170">
      <w:pPr>
        <w:autoSpaceDE w:val="0"/>
        <w:autoSpaceDN w:val="0"/>
        <w:adjustRightInd w:val="0"/>
        <w:spacing w:before="120" w:after="120"/>
        <w:ind w:left="1134" w:right="900"/>
        <w:jc w:val="both"/>
        <w:rPr>
          <w:rFonts w:ascii="Palatino Linotype" w:hAnsi="Palatino Linotype" w:cs="Arial"/>
          <w:bCs/>
          <w:i/>
          <w:noProof/>
          <w:sz w:val="20"/>
          <w:szCs w:val="20"/>
        </w:rPr>
      </w:pPr>
      <w:r w:rsidRPr="002B45F2">
        <w:rPr>
          <w:rFonts w:ascii="Palatino Linotype" w:hAnsi="Palatino Linotype" w:cs="Arial"/>
          <w:bCs/>
          <w:i/>
          <w:noProof/>
          <w:sz w:val="20"/>
          <w:szCs w:val="20"/>
        </w:rPr>
        <w:t>I. Contar con conocimiento o, tratándose de las entidades gubernamentales estatales y los municipios certificación en materia de acceso a la información, transparencia y protección de datos personales, que para tal efecto emita el Instituto; …”</w:t>
      </w:r>
    </w:p>
    <w:p w14:paraId="77ED3DD7" w14:textId="65FCDD79" w:rsidR="002B1B78" w:rsidRDefault="002B1B78" w:rsidP="002B1B78">
      <w:pPr>
        <w:autoSpaceDE w:val="0"/>
        <w:autoSpaceDN w:val="0"/>
        <w:adjustRightInd w:val="0"/>
        <w:spacing w:before="240" w:after="240" w:line="360" w:lineRule="auto"/>
        <w:jc w:val="both"/>
        <w:rPr>
          <w:rFonts w:ascii="Palatino Linotype" w:hAnsi="Palatino Linotype"/>
          <w:color w:val="000000"/>
        </w:rPr>
      </w:pPr>
      <w:r w:rsidRPr="008706C8">
        <w:rPr>
          <w:rFonts w:ascii="Palatino Linotype" w:hAnsi="Palatino Linotype"/>
        </w:rPr>
        <w:t xml:space="preserve">De lo que </w:t>
      </w:r>
      <w:r>
        <w:rPr>
          <w:rFonts w:ascii="Palatino Linotype" w:hAnsi="Palatino Linotype"/>
          <w:color w:val="000000"/>
        </w:rPr>
        <w:t>se obtiene que el responsable de la Unidad de Transparencia debe estar certificado en materia de acceso a la información, transparencia y protección de datos personales ante el Instituto, toda vez que es de suma importancia que los sujetos obligados cuenten con personal calificado y capacitado para atender la solicitudes de acceso a la información y/o de protección de datos personales.</w:t>
      </w:r>
    </w:p>
    <w:p w14:paraId="62DAB7A1" w14:textId="36B9DCC1" w:rsidR="00003170" w:rsidRPr="00AC0A61" w:rsidRDefault="00003170" w:rsidP="00003170">
      <w:pPr>
        <w:shd w:val="clear" w:color="auto" w:fill="FFFFFF"/>
        <w:spacing w:before="240" w:after="360" w:line="360" w:lineRule="auto"/>
        <w:jc w:val="both"/>
        <w:rPr>
          <w:rFonts w:ascii="Georgia" w:hAnsi="Georgia"/>
          <w:color w:val="222222"/>
          <w:lang w:eastAsia="es-MX"/>
        </w:rPr>
      </w:pPr>
      <w:r>
        <w:rPr>
          <w:rFonts w:ascii="Palatino Linotype" w:hAnsi="Palatino Linotype"/>
        </w:rPr>
        <w:t xml:space="preserve">Por lo que se concluye, que tanto el Tesorero como el </w:t>
      </w:r>
      <w:r w:rsidR="002B1B78">
        <w:rPr>
          <w:rFonts w:ascii="Palatino Linotype" w:hAnsi="Palatino Linotype"/>
        </w:rPr>
        <w:t>T</w:t>
      </w:r>
      <w:r>
        <w:rPr>
          <w:rFonts w:ascii="Palatino Linotype" w:hAnsi="Palatino Linotype"/>
        </w:rPr>
        <w:t xml:space="preserve">itular de la Unidad de Transparencia deberían estar certificados por autoridad competente, por lo que resulta procedente ordenar su entrega, y para el caso de no localizarse, el </w:t>
      </w:r>
      <w:r w:rsidRPr="00BD5D32">
        <w:rPr>
          <w:rFonts w:ascii="Palatino Linotype" w:hAnsi="Palatino Linotype"/>
        </w:rPr>
        <w:t xml:space="preserve">Comité de Transparencia deberá emitir </w:t>
      </w:r>
      <w:r>
        <w:rPr>
          <w:rFonts w:ascii="Palatino Linotype" w:hAnsi="Palatino Linotype"/>
        </w:rPr>
        <w:t>la</w:t>
      </w:r>
      <w:r w:rsidRPr="00BD5D32">
        <w:rPr>
          <w:rFonts w:ascii="Palatino Linotype" w:hAnsi="Palatino Linotype"/>
          <w:b/>
        </w:rPr>
        <w:t xml:space="preserve"> declaratoria de inexistencia</w:t>
      </w:r>
      <w:r w:rsidRPr="00BD5D32">
        <w:rPr>
          <w:rFonts w:ascii="Palatino Linotype" w:hAnsi="Palatino Linotype"/>
        </w:rPr>
        <w:t xml:space="preserve">, </w:t>
      </w:r>
      <w:r>
        <w:rPr>
          <w:rFonts w:ascii="Palatino Linotype" w:hAnsi="Palatino Linotype"/>
        </w:rPr>
        <w:t xml:space="preserve">debidamente fundada y motivada como todo acto de autoridad, más aun cuando debe tomarse en cuenta que se trata de una negativa de información, lo anterior, </w:t>
      </w:r>
      <w:r w:rsidRPr="00AC0A61">
        <w:rPr>
          <w:rFonts w:ascii="Palatino Linotype" w:hAnsi="Palatino Linotype"/>
          <w:color w:val="222222"/>
          <w:lang w:eastAsia="es-MX"/>
        </w:rPr>
        <w:t>conforme</w:t>
      </w:r>
      <w:r>
        <w:rPr>
          <w:rFonts w:ascii="Palatino Linotype" w:hAnsi="Palatino Linotype"/>
          <w:color w:val="222222"/>
          <w:lang w:eastAsia="es-MX"/>
        </w:rPr>
        <w:t xml:space="preserve"> </w:t>
      </w:r>
      <w:r w:rsidRPr="00AC0A61">
        <w:rPr>
          <w:rFonts w:ascii="Palatino Linotype" w:hAnsi="Palatino Linotype"/>
          <w:color w:val="222222"/>
          <w:lang w:eastAsia="es-MX"/>
        </w:rPr>
        <w:t>a</w:t>
      </w:r>
      <w:r>
        <w:rPr>
          <w:rFonts w:ascii="Palatino Linotype" w:hAnsi="Palatino Linotype"/>
          <w:color w:val="222222"/>
          <w:lang w:eastAsia="es-MX"/>
        </w:rPr>
        <w:t xml:space="preserve"> </w:t>
      </w:r>
      <w:r w:rsidRPr="00AC0A61">
        <w:rPr>
          <w:rFonts w:ascii="Palatino Linotype" w:hAnsi="Palatino Linotype"/>
          <w:color w:val="222222"/>
          <w:lang w:eastAsia="es-MX"/>
        </w:rPr>
        <w:t>lo</w:t>
      </w:r>
      <w:r>
        <w:rPr>
          <w:rFonts w:ascii="Palatino Linotype" w:hAnsi="Palatino Linotype"/>
          <w:color w:val="222222"/>
          <w:lang w:eastAsia="es-MX"/>
        </w:rPr>
        <w:t xml:space="preserve"> </w:t>
      </w:r>
      <w:r w:rsidRPr="00AC0A61">
        <w:rPr>
          <w:rFonts w:ascii="Palatino Linotype" w:hAnsi="Palatino Linotype"/>
          <w:color w:val="222222"/>
          <w:lang w:eastAsia="es-MX"/>
        </w:rPr>
        <w:t>dispuesto</w:t>
      </w:r>
      <w:r>
        <w:rPr>
          <w:rFonts w:ascii="Palatino Linotype" w:hAnsi="Palatino Linotype"/>
          <w:color w:val="222222"/>
          <w:lang w:eastAsia="es-MX"/>
        </w:rPr>
        <w:t xml:space="preserve"> </w:t>
      </w:r>
      <w:r w:rsidRPr="00AC0A61">
        <w:rPr>
          <w:rFonts w:ascii="Palatino Linotype" w:hAnsi="Palatino Linotype"/>
          <w:color w:val="222222"/>
          <w:lang w:eastAsia="es-MX"/>
        </w:rPr>
        <w:t>en</w:t>
      </w:r>
      <w:r>
        <w:rPr>
          <w:rFonts w:ascii="Palatino Linotype" w:hAnsi="Palatino Linotype"/>
          <w:color w:val="222222"/>
          <w:lang w:eastAsia="es-MX"/>
        </w:rPr>
        <w:t xml:space="preserve"> </w:t>
      </w:r>
      <w:r w:rsidRPr="00AC0A61">
        <w:rPr>
          <w:rFonts w:ascii="Palatino Linotype" w:hAnsi="Palatino Linotype"/>
          <w:color w:val="222222"/>
          <w:lang w:eastAsia="es-MX"/>
        </w:rPr>
        <w:t>los</w:t>
      </w:r>
      <w:r>
        <w:rPr>
          <w:rFonts w:ascii="Palatino Linotype" w:hAnsi="Palatino Linotype"/>
          <w:color w:val="222222"/>
          <w:lang w:eastAsia="es-MX"/>
        </w:rPr>
        <w:t xml:space="preserve"> </w:t>
      </w:r>
      <w:r w:rsidRPr="00AC0A61">
        <w:rPr>
          <w:rFonts w:ascii="Palatino Linotype" w:hAnsi="Palatino Linotype"/>
          <w:color w:val="222222"/>
          <w:lang w:eastAsia="es-MX"/>
        </w:rPr>
        <w:t>artículos</w:t>
      </w:r>
      <w:r>
        <w:rPr>
          <w:rFonts w:ascii="Palatino Linotype" w:hAnsi="Palatino Linotype"/>
          <w:color w:val="222222"/>
          <w:lang w:eastAsia="es-MX"/>
        </w:rPr>
        <w:t xml:space="preserve"> </w:t>
      </w:r>
      <w:r w:rsidRPr="00AC0A61">
        <w:rPr>
          <w:rFonts w:ascii="Palatino Linotype" w:hAnsi="Palatino Linotype"/>
          <w:color w:val="222222"/>
          <w:lang w:eastAsia="es-MX"/>
        </w:rPr>
        <w:t>19,</w:t>
      </w:r>
      <w:r>
        <w:rPr>
          <w:rFonts w:ascii="Palatino Linotype" w:hAnsi="Palatino Linotype"/>
          <w:color w:val="222222"/>
          <w:lang w:eastAsia="es-MX"/>
        </w:rPr>
        <w:t xml:space="preserve"> </w:t>
      </w:r>
      <w:r w:rsidRPr="00AC0A61">
        <w:rPr>
          <w:rFonts w:ascii="Palatino Linotype" w:hAnsi="Palatino Linotype"/>
          <w:color w:val="222222"/>
          <w:lang w:eastAsia="es-MX"/>
        </w:rPr>
        <w:t>49</w:t>
      </w:r>
      <w:r>
        <w:rPr>
          <w:rFonts w:ascii="Palatino Linotype" w:hAnsi="Palatino Linotype"/>
          <w:color w:val="222222"/>
          <w:lang w:eastAsia="es-MX"/>
        </w:rPr>
        <w:t xml:space="preserve"> </w:t>
      </w:r>
      <w:r w:rsidRPr="00AC0A61">
        <w:rPr>
          <w:rFonts w:ascii="Palatino Linotype" w:hAnsi="Palatino Linotype"/>
          <w:color w:val="222222"/>
          <w:lang w:eastAsia="es-MX"/>
        </w:rPr>
        <w:t>fracción</w:t>
      </w:r>
      <w:r>
        <w:rPr>
          <w:rFonts w:ascii="Palatino Linotype" w:hAnsi="Palatino Linotype"/>
          <w:color w:val="222222"/>
          <w:lang w:eastAsia="es-MX"/>
        </w:rPr>
        <w:t xml:space="preserve"> </w:t>
      </w:r>
      <w:r w:rsidRPr="00AC0A61">
        <w:rPr>
          <w:rFonts w:ascii="Palatino Linotype" w:hAnsi="Palatino Linotype"/>
          <w:color w:val="222222"/>
          <w:lang w:eastAsia="es-MX"/>
        </w:rPr>
        <w:t>III,</w:t>
      </w:r>
      <w:r>
        <w:rPr>
          <w:rFonts w:ascii="Palatino Linotype" w:hAnsi="Palatino Linotype"/>
          <w:color w:val="222222"/>
          <w:lang w:eastAsia="es-MX"/>
        </w:rPr>
        <w:t xml:space="preserve"> </w:t>
      </w:r>
      <w:r w:rsidRPr="00AC0A61">
        <w:rPr>
          <w:rFonts w:ascii="Palatino Linotype" w:hAnsi="Palatino Linotype"/>
          <w:color w:val="222222"/>
          <w:lang w:eastAsia="es-MX"/>
        </w:rPr>
        <w:t>169</w:t>
      </w:r>
      <w:r>
        <w:rPr>
          <w:rFonts w:ascii="Palatino Linotype" w:hAnsi="Palatino Linotype"/>
          <w:color w:val="222222"/>
          <w:lang w:eastAsia="es-MX"/>
        </w:rPr>
        <w:t xml:space="preserve"> </w:t>
      </w:r>
      <w:r w:rsidRPr="00AC0A61">
        <w:rPr>
          <w:rFonts w:ascii="Palatino Linotype" w:hAnsi="Palatino Linotype"/>
          <w:color w:val="222222"/>
          <w:lang w:eastAsia="es-MX"/>
        </w:rPr>
        <w:t>fracción</w:t>
      </w:r>
      <w:r>
        <w:rPr>
          <w:rFonts w:ascii="Palatino Linotype" w:hAnsi="Palatino Linotype"/>
          <w:color w:val="222222"/>
          <w:lang w:eastAsia="es-MX"/>
        </w:rPr>
        <w:t xml:space="preserve"> </w:t>
      </w:r>
      <w:r w:rsidRPr="00AC0A61">
        <w:rPr>
          <w:rFonts w:ascii="Palatino Linotype" w:hAnsi="Palatino Linotype"/>
          <w:color w:val="222222"/>
          <w:lang w:eastAsia="es-MX"/>
        </w:rPr>
        <w:t>II</w:t>
      </w:r>
      <w:r>
        <w:rPr>
          <w:rFonts w:ascii="Palatino Linotype" w:hAnsi="Palatino Linotype"/>
          <w:color w:val="222222"/>
          <w:lang w:eastAsia="es-MX"/>
        </w:rPr>
        <w:t xml:space="preserve"> </w:t>
      </w:r>
      <w:r w:rsidRPr="00AC0A61">
        <w:rPr>
          <w:rFonts w:ascii="Palatino Linotype" w:hAnsi="Palatino Linotype"/>
          <w:color w:val="222222"/>
          <w:lang w:eastAsia="es-MX"/>
        </w:rPr>
        <w:t>y</w:t>
      </w:r>
      <w:r>
        <w:rPr>
          <w:rFonts w:ascii="Palatino Linotype" w:hAnsi="Palatino Linotype"/>
          <w:color w:val="222222"/>
          <w:lang w:eastAsia="es-MX"/>
        </w:rPr>
        <w:t xml:space="preserve"> </w:t>
      </w:r>
      <w:r w:rsidRPr="00AC0A61">
        <w:rPr>
          <w:rFonts w:ascii="Palatino Linotype" w:hAnsi="Palatino Linotype"/>
          <w:color w:val="222222"/>
          <w:lang w:eastAsia="es-MX"/>
        </w:rPr>
        <w:t>170</w:t>
      </w:r>
      <w:r>
        <w:rPr>
          <w:rFonts w:ascii="Palatino Linotype" w:hAnsi="Palatino Linotype"/>
          <w:color w:val="222222"/>
          <w:lang w:eastAsia="es-MX"/>
        </w:rPr>
        <w:t xml:space="preserve"> </w:t>
      </w:r>
      <w:r w:rsidRPr="00AC0A61">
        <w:rPr>
          <w:rFonts w:ascii="Palatino Linotype" w:hAnsi="Palatino Linotype"/>
          <w:color w:val="222222"/>
          <w:lang w:eastAsia="es-MX"/>
        </w:rPr>
        <w:t>de</w:t>
      </w:r>
      <w:r>
        <w:rPr>
          <w:rFonts w:ascii="Palatino Linotype" w:hAnsi="Palatino Linotype"/>
          <w:color w:val="222222"/>
          <w:lang w:eastAsia="es-MX"/>
        </w:rPr>
        <w:t xml:space="preserve"> </w:t>
      </w:r>
      <w:r w:rsidRPr="00AC0A61">
        <w:rPr>
          <w:rFonts w:ascii="Palatino Linotype" w:hAnsi="Palatino Linotype"/>
          <w:color w:val="222222"/>
          <w:lang w:eastAsia="es-MX"/>
        </w:rPr>
        <w:t>la</w:t>
      </w:r>
      <w:r>
        <w:rPr>
          <w:rFonts w:ascii="Palatino Linotype" w:hAnsi="Palatino Linotype"/>
          <w:color w:val="222222"/>
          <w:lang w:eastAsia="es-MX"/>
        </w:rPr>
        <w:t xml:space="preserve"> </w:t>
      </w:r>
      <w:r w:rsidRPr="00AC0A61">
        <w:rPr>
          <w:rFonts w:ascii="Palatino Linotype" w:hAnsi="Palatino Linotype"/>
          <w:color w:val="222222"/>
          <w:lang w:eastAsia="es-MX"/>
        </w:rPr>
        <w:t>Ley</w:t>
      </w:r>
      <w:r>
        <w:rPr>
          <w:rFonts w:ascii="Palatino Linotype" w:hAnsi="Palatino Linotype"/>
          <w:color w:val="222222"/>
          <w:lang w:eastAsia="es-MX"/>
        </w:rPr>
        <w:t xml:space="preserve"> </w:t>
      </w:r>
      <w:r w:rsidRPr="00AC0A61">
        <w:rPr>
          <w:rFonts w:ascii="Palatino Linotype" w:hAnsi="Palatino Linotype"/>
          <w:color w:val="222222"/>
          <w:lang w:eastAsia="es-MX"/>
        </w:rPr>
        <w:t>de</w:t>
      </w:r>
      <w:r>
        <w:rPr>
          <w:rFonts w:ascii="Palatino Linotype" w:hAnsi="Palatino Linotype"/>
          <w:color w:val="222222"/>
          <w:lang w:eastAsia="es-MX"/>
        </w:rPr>
        <w:t xml:space="preserve"> </w:t>
      </w:r>
      <w:r w:rsidRPr="00AC0A61">
        <w:rPr>
          <w:rFonts w:ascii="Palatino Linotype" w:hAnsi="Palatino Linotype"/>
          <w:color w:val="222222"/>
          <w:lang w:eastAsia="es-MX"/>
        </w:rPr>
        <w:t>Transparencia</w:t>
      </w:r>
      <w:r>
        <w:rPr>
          <w:rFonts w:ascii="Palatino Linotype" w:hAnsi="Palatino Linotype"/>
          <w:color w:val="222222"/>
          <w:lang w:eastAsia="es-MX"/>
        </w:rPr>
        <w:t xml:space="preserve"> </w:t>
      </w:r>
      <w:r w:rsidRPr="00AC0A61">
        <w:rPr>
          <w:rFonts w:ascii="Palatino Linotype" w:hAnsi="Palatino Linotype"/>
          <w:color w:val="222222"/>
          <w:lang w:eastAsia="es-MX"/>
        </w:rPr>
        <w:t>y</w:t>
      </w:r>
      <w:r>
        <w:rPr>
          <w:rFonts w:ascii="Palatino Linotype" w:hAnsi="Palatino Linotype"/>
          <w:color w:val="222222"/>
          <w:lang w:eastAsia="es-MX"/>
        </w:rPr>
        <w:t xml:space="preserve"> </w:t>
      </w:r>
      <w:r w:rsidRPr="00AC0A61">
        <w:rPr>
          <w:rFonts w:ascii="Palatino Linotype" w:hAnsi="Palatino Linotype"/>
          <w:color w:val="222222"/>
          <w:lang w:eastAsia="es-MX"/>
        </w:rPr>
        <w:t>Acceso</w:t>
      </w:r>
      <w:r>
        <w:rPr>
          <w:rFonts w:ascii="Palatino Linotype" w:hAnsi="Palatino Linotype"/>
          <w:color w:val="222222"/>
          <w:lang w:eastAsia="es-MX"/>
        </w:rPr>
        <w:t xml:space="preserve"> </w:t>
      </w:r>
      <w:r w:rsidRPr="00AC0A61">
        <w:rPr>
          <w:rFonts w:ascii="Palatino Linotype" w:hAnsi="Palatino Linotype"/>
          <w:color w:val="222222"/>
          <w:lang w:eastAsia="es-MX"/>
        </w:rPr>
        <w:t>a</w:t>
      </w:r>
      <w:r>
        <w:rPr>
          <w:rFonts w:ascii="Palatino Linotype" w:hAnsi="Palatino Linotype"/>
          <w:color w:val="222222"/>
          <w:lang w:eastAsia="es-MX"/>
        </w:rPr>
        <w:t xml:space="preserve"> </w:t>
      </w:r>
      <w:r w:rsidRPr="00AC0A61">
        <w:rPr>
          <w:rFonts w:ascii="Palatino Linotype" w:hAnsi="Palatino Linotype"/>
          <w:color w:val="222222"/>
          <w:lang w:eastAsia="es-MX"/>
        </w:rPr>
        <w:t>la</w:t>
      </w:r>
      <w:r>
        <w:rPr>
          <w:rFonts w:ascii="Palatino Linotype" w:hAnsi="Palatino Linotype"/>
          <w:color w:val="222222"/>
          <w:lang w:eastAsia="es-MX"/>
        </w:rPr>
        <w:t xml:space="preserve"> </w:t>
      </w:r>
      <w:r w:rsidRPr="00AC0A61">
        <w:rPr>
          <w:rFonts w:ascii="Palatino Linotype" w:hAnsi="Palatino Linotype"/>
          <w:color w:val="222222"/>
          <w:lang w:eastAsia="es-MX"/>
        </w:rPr>
        <w:t>Información</w:t>
      </w:r>
      <w:r>
        <w:rPr>
          <w:rFonts w:ascii="Palatino Linotype" w:hAnsi="Palatino Linotype"/>
          <w:color w:val="222222"/>
          <w:lang w:eastAsia="es-MX"/>
        </w:rPr>
        <w:t xml:space="preserve"> </w:t>
      </w:r>
      <w:r w:rsidRPr="00AC0A61">
        <w:rPr>
          <w:rFonts w:ascii="Palatino Linotype" w:hAnsi="Palatino Linotype"/>
          <w:color w:val="222222"/>
          <w:lang w:eastAsia="es-MX"/>
        </w:rPr>
        <w:t>Pública</w:t>
      </w:r>
      <w:r>
        <w:rPr>
          <w:rFonts w:ascii="Palatino Linotype" w:hAnsi="Palatino Linotype"/>
          <w:color w:val="222222"/>
          <w:lang w:eastAsia="es-MX"/>
        </w:rPr>
        <w:t xml:space="preserve"> </w:t>
      </w:r>
      <w:r w:rsidRPr="00AC0A61">
        <w:rPr>
          <w:rFonts w:ascii="Palatino Linotype" w:hAnsi="Palatino Linotype"/>
          <w:color w:val="222222"/>
          <w:lang w:eastAsia="es-MX"/>
        </w:rPr>
        <w:t>del</w:t>
      </w:r>
      <w:r>
        <w:rPr>
          <w:rFonts w:ascii="Palatino Linotype" w:hAnsi="Palatino Linotype"/>
          <w:color w:val="222222"/>
          <w:lang w:eastAsia="es-MX"/>
        </w:rPr>
        <w:t xml:space="preserve"> </w:t>
      </w:r>
      <w:r w:rsidRPr="00AC0A61">
        <w:rPr>
          <w:rFonts w:ascii="Palatino Linotype" w:hAnsi="Palatino Linotype"/>
          <w:color w:val="222222"/>
          <w:lang w:eastAsia="es-MX"/>
        </w:rPr>
        <w:t>Estado</w:t>
      </w:r>
      <w:r>
        <w:rPr>
          <w:rFonts w:ascii="Palatino Linotype" w:hAnsi="Palatino Linotype"/>
          <w:color w:val="222222"/>
          <w:lang w:eastAsia="es-MX"/>
        </w:rPr>
        <w:t xml:space="preserve"> </w:t>
      </w:r>
      <w:r w:rsidRPr="00AC0A61">
        <w:rPr>
          <w:rFonts w:ascii="Palatino Linotype" w:hAnsi="Palatino Linotype"/>
          <w:color w:val="222222"/>
          <w:lang w:eastAsia="es-MX"/>
        </w:rPr>
        <w:t>de</w:t>
      </w:r>
      <w:r>
        <w:rPr>
          <w:rFonts w:ascii="Palatino Linotype" w:hAnsi="Palatino Linotype"/>
          <w:color w:val="222222"/>
          <w:lang w:eastAsia="es-MX"/>
        </w:rPr>
        <w:t xml:space="preserve"> </w:t>
      </w:r>
      <w:r w:rsidRPr="00AC0A61">
        <w:rPr>
          <w:rFonts w:ascii="Palatino Linotype" w:hAnsi="Palatino Linotype"/>
          <w:color w:val="222222"/>
          <w:lang w:eastAsia="es-MX"/>
        </w:rPr>
        <w:t>México</w:t>
      </w:r>
      <w:r>
        <w:rPr>
          <w:rFonts w:ascii="Palatino Linotype" w:hAnsi="Palatino Linotype"/>
          <w:color w:val="222222"/>
          <w:lang w:eastAsia="es-MX"/>
        </w:rPr>
        <w:t xml:space="preserve"> </w:t>
      </w:r>
      <w:r w:rsidRPr="00AC0A61">
        <w:rPr>
          <w:rFonts w:ascii="Palatino Linotype" w:hAnsi="Palatino Linotype"/>
          <w:color w:val="222222"/>
          <w:lang w:eastAsia="es-MX"/>
        </w:rPr>
        <w:t>y</w:t>
      </w:r>
      <w:r>
        <w:rPr>
          <w:rFonts w:ascii="Palatino Linotype" w:hAnsi="Palatino Linotype"/>
          <w:color w:val="222222"/>
          <w:lang w:eastAsia="es-MX"/>
        </w:rPr>
        <w:t xml:space="preserve"> </w:t>
      </w:r>
      <w:r w:rsidRPr="00AC0A61">
        <w:rPr>
          <w:rFonts w:ascii="Palatino Linotype" w:hAnsi="Palatino Linotype"/>
          <w:color w:val="222222"/>
          <w:lang w:eastAsia="es-MX"/>
        </w:rPr>
        <w:t>Municipios,</w:t>
      </w:r>
      <w:r>
        <w:rPr>
          <w:rFonts w:ascii="Palatino Linotype" w:hAnsi="Palatino Linotype"/>
          <w:color w:val="222222"/>
          <w:lang w:eastAsia="es-MX"/>
        </w:rPr>
        <w:t xml:space="preserve"> </w:t>
      </w:r>
      <w:r w:rsidRPr="00AC0A61">
        <w:rPr>
          <w:rFonts w:ascii="Palatino Linotype" w:hAnsi="Palatino Linotype"/>
          <w:color w:val="222222"/>
          <w:lang w:eastAsia="es-MX"/>
        </w:rPr>
        <w:t>que</w:t>
      </w:r>
      <w:r>
        <w:rPr>
          <w:rFonts w:ascii="Palatino Linotype" w:hAnsi="Palatino Linotype"/>
          <w:color w:val="222222"/>
          <w:lang w:eastAsia="es-MX"/>
        </w:rPr>
        <w:t xml:space="preserve"> </w:t>
      </w:r>
      <w:r w:rsidRPr="00AC0A61">
        <w:rPr>
          <w:rFonts w:ascii="Palatino Linotype" w:hAnsi="Palatino Linotype"/>
          <w:color w:val="222222"/>
          <w:lang w:eastAsia="es-MX"/>
        </w:rPr>
        <w:t>establecen</w:t>
      </w:r>
      <w:r>
        <w:rPr>
          <w:rFonts w:ascii="Palatino Linotype" w:hAnsi="Palatino Linotype"/>
          <w:color w:val="222222"/>
          <w:lang w:eastAsia="es-MX"/>
        </w:rPr>
        <w:t xml:space="preserve"> </w:t>
      </w:r>
      <w:r w:rsidRPr="00AC0A61">
        <w:rPr>
          <w:rFonts w:ascii="Palatino Linotype" w:hAnsi="Palatino Linotype"/>
          <w:color w:val="222222"/>
          <w:lang w:eastAsia="es-MX"/>
        </w:rPr>
        <w:t>la</w:t>
      </w:r>
      <w:r>
        <w:rPr>
          <w:rFonts w:ascii="Palatino Linotype" w:hAnsi="Palatino Linotype"/>
          <w:color w:val="222222"/>
          <w:lang w:eastAsia="es-MX"/>
        </w:rPr>
        <w:t xml:space="preserve"> </w:t>
      </w:r>
      <w:r w:rsidRPr="00AC0A61">
        <w:rPr>
          <w:rFonts w:ascii="Palatino Linotype" w:hAnsi="Palatino Linotype"/>
          <w:color w:val="222222"/>
          <w:lang w:eastAsia="es-MX"/>
        </w:rPr>
        <w:t>forma</w:t>
      </w:r>
      <w:r>
        <w:rPr>
          <w:rFonts w:ascii="Palatino Linotype" w:hAnsi="Palatino Linotype"/>
          <w:color w:val="222222"/>
          <w:lang w:eastAsia="es-MX"/>
        </w:rPr>
        <w:t xml:space="preserve"> </w:t>
      </w:r>
      <w:r w:rsidRPr="00AC0A61">
        <w:rPr>
          <w:rFonts w:ascii="Palatino Linotype" w:hAnsi="Palatino Linotype"/>
          <w:color w:val="222222"/>
          <w:lang w:eastAsia="es-MX"/>
        </w:rPr>
        <w:t>en</w:t>
      </w:r>
      <w:r>
        <w:rPr>
          <w:rFonts w:ascii="Palatino Linotype" w:hAnsi="Palatino Linotype"/>
          <w:color w:val="222222"/>
          <w:lang w:eastAsia="es-MX"/>
        </w:rPr>
        <w:t xml:space="preserve"> </w:t>
      </w:r>
      <w:r w:rsidRPr="00AC0A61">
        <w:rPr>
          <w:rFonts w:ascii="Palatino Linotype" w:hAnsi="Palatino Linotype"/>
          <w:color w:val="222222"/>
          <w:lang w:eastAsia="es-MX"/>
        </w:rPr>
        <w:t>que</w:t>
      </w:r>
      <w:r>
        <w:rPr>
          <w:rFonts w:ascii="Palatino Linotype" w:hAnsi="Palatino Linotype"/>
          <w:color w:val="222222"/>
          <w:lang w:eastAsia="es-MX"/>
        </w:rPr>
        <w:t xml:space="preserve"> </w:t>
      </w:r>
      <w:r w:rsidRPr="00AC0A61">
        <w:rPr>
          <w:rFonts w:ascii="Palatino Linotype" w:hAnsi="Palatino Linotype"/>
          <w:color w:val="222222"/>
          <w:lang w:eastAsia="es-MX"/>
        </w:rPr>
        <w:t>los</w:t>
      </w:r>
      <w:r>
        <w:rPr>
          <w:rFonts w:ascii="Palatino Linotype" w:hAnsi="Palatino Linotype"/>
          <w:color w:val="222222"/>
          <w:lang w:eastAsia="es-MX"/>
        </w:rPr>
        <w:t xml:space="preserve"> </w:t>
      </w:r>
      <w:r w:rsidRPr="00AC0A61">
        <w:rPr>
          <w:rFonts w:ascii="Palatino Linotype" w:hAnsi="Palatino Linotype"/>
          <w:color w:val="222222"/>
          <w:lang w:eastAsia="es-MX"/>
        </w:rPr>
        <w:t>Sujetos</w:t>
      </w:r>
      <w:r>
        <w:rPr>
          <w:rFonts w:ascii="Palatino Linotype" w:hAnsi="Palatino Linotype"/>
          <w:color w:val="222222"/>
          <w:lang w:eastAsia="es-MX"/>
        </w:rPr>
        <w:t xml:space="preserve"> </w:t>
      </w:r>
      <w:r w:rsidRPr="00AC0A61">
        <w:rPr>
          <w:rFonts w:ascii="Palatino Linotype" w:hAnsi="Palatino Linotype"/>
          <w:color w:val="222222"/>
          <w:lang w:eastAsia="es-MX"/>
        </w:rPr>
        <w:t>Obligados</w:t>
      </w:r>
      <w:r>
        <w:rPr>
          <w:rFonts w:ascii="Palatino Linotype" w:hAnsi="Palatino Linotype"/>
          <w:color w:val="222222"/>
          <w:lang w:eastAsia="es-MX"/>
        </w:rPr>
        <w:t xml:space="preserve"> </w:t>
      </w:r>
      <w:r w:rsidRPr="00AC0A61">
        <w:rPr>
          <w:rFonts w:ascii="Palatino Linotype" w:hAnsi="Palatino Linotype"/>
          <w:color w:val="222222"/>
          <w:lang w:eastAsia="es-MX"/>
        </w:rPr>
        <w:t>deben</w:t>
      </w:r>
      <w:r>
        <w:rPr>
          <w:rFonts w:ascii="Palatino Linotype" w:hAnsi="Palatino Linotype"/>
          <w:color w:val="222222"/>
          <w:lang w:eastAsia="es-MX"/>
        </w:rPr>
        <w:t xml:space="preserve"> </w:t>
      </w:r>
      <w:r w:rsidRPr="00AC0A61">
        <w:rPr>
          <w:rFonts w:ascii="Palatino Linotype" w:hAnsi="Palatino Linotype"/>
          <w:color w:val="222222"/>
          <w:lang w:eastAsia="es-MX"/>
        </w:rPr>
        <w:t>dar</w:t>
      </w:r>
      <w:r>
        <w:rPr>
          <w:rFonts w:ascii="Palatino Linotype" w:hAnsi="Palatino Linotype"/>
          <w:color w:val="222222"/>
          <w:lang w:eastAsia="es-MX"/>
        </w:rPr>
        <w:t xml:space="preserve"> </w:t>
      </w:r>
      <w:r w:rsidRPr="00AC0A61">
        <w:rPr>
          <w:rFonts w:ascii="Palatino Linotype" w:hAnsi="Palatino Linotype"/>
          <w:color w:val="222222"/>
          <w:lang w:eastAsia="es-MX"/>
        </w:rPr>
        <w:t>curso;</w:t>
      </w:r>
      <w:r>
        <w:rPr>
          <w:rFonts w:ascii="Palatino Linotype" w:hAnsi="Palatino Linotype"/>
          <w:color w:val="222222"/>
          <w:lang w:eastAsia="es-MX"/>
        </w:rPr>
        <w:t xml:space="preserve"> </w:t>
      </w:r>
      <w:r w:rsidRPr="00AC0A61">
        <w:rPr>
          <w:rFonts w:ascii="Palatino Linotype" w:hAnsi="Palatino Linotype"/>
          <w:color w:val="222222"/>
          <w:lang w:eastAsia="es-MX"/>
        </w:rPr>
        <w:t>preceptos</w:t>
      </w:r>
      <w:r>
        <w:rPr>
          <w:rFonts w:ascii="Palatino Linotype" w:hAnsi="Palatino Linotype"/>
          <w:color w:val="222222"/>
          <w:lang w:eastAsia="es-MX"/>
        </w:rPr>
        <w:t xml:space="preserve"> </w:t>
      </w:r>
      <w:r w:rsidRPr="00AC0A61">
        <w:rPr>
          <w:rFonts w:ascii="Palatino Linotype" w:hAnsi="Palatino Linotype"/>
          <w:color w:val="222222"/>
          <w:lang w:eastAsia="es-MX"/>
        </w:rPr>
        <w:t>que</w:t>
      </w:r>
      <w:r>
        <w:rPr>
          <w:rFonts w:ascii="Palatino Linotype" w:hAnsi="Palatino Linotype"/>
          <w:color w:val="222222"/>
          <w:lang w:eastAsia="es-MX"/>
        </w:rPr>
        <w:t xml:space="preserve"> </w:t>
      </w:r>
      <w:r w:rsidRPr="00AC0A61">
        <w:rPr>
          <w:rFonts w:ascii="Palatino Linotype" w:hAnsi="Palatino Linotype"/>
          <w:color w:val="222222"/>
          <w:lang w:eastAsia="es-MX"/>
        </w:rPr>
        <w:t>se</w:t>
      </w:r>
      <w:r>
        <w:rPr>
          <w:rFonts w:ascii="Palatino Linotype" w:hAnsi="Palatino Linotype"/>
          <w:color w:val="222222"/>
          <w:lang w:eastAsia="es-MX"/>
        </w:rPr>
        <w:t xml:space="preserve"> </w:t>
      </w:r>
      <w:r w:rsidRPr="00AC0A61">
        <w:rPr>
          <w:rFonts w:ascii="Palatino Linotype" w:hAnsi="Palatino Linotype"/>
          <w:color w:val="222222"/>
          <w:lang w:eastAsia="es-MX"/>
        </w:rPr>
        <w:t>transcriben</w:t>
      </w:r>
      <w:r>
        <w:rPr>
          <w:rFonts w:ascii="Palatino Linotype" w:hAnsi="Palatino Linotype"/>
          <w:color w:val="222222"/>
          <w:lang w:eastAsia="es-MX"/>
        </w:rPr>
        <w:t xml:space="preserve"> </w:t>
      </w:r>
      <w:r w:rsidRPr="00AC0A61">
        <w:rPr>
          <w:rFonts w:ascii="Palatino Linotype" w:hAnsi="Palatino Linotype"/>
          <w:color w:val="222222"/>
          <w:lang w:eastAsia="es-MX"/>
        </w:rPr>
        <w:t>a</w:t>
      </w:r>
      <w:r>
        <w:rPr>
          <w:rFonts w:ascii="Palatino Linotype" w:hAnsi="Palatino Linotype"/>
          <w:color w:val="222222"/>
          <w:lang w:eastAsia="es-MX"/>
        </w:rPr>
        <w:t xml:space="preserve"> </w:t>
      </w:r>
      <w:r w:rsidRPr="00AC0A61">
        <w:rPr>
          <w:rFonts w:ascii="Palatino Linotype" w:hAnsi="Palatino Linotype"/>
          <w:color w:val="222222"/>
          <w:lang w:eastAsia="es-MX"/>
        </w:rPr>
        <w:t>continuación:</w:t>
      </w:r>
    </w:p>
    <w:p w14:paraId="7BC384D6" w14:textId="77777777" w:rsidR="00003170" w:rsidRPr="00483C1E" w:rsidRDefault="00003170" w:rsidP="00003170">
      <w:pPr>
        <w:shd w:val="clear" w:color="auto" w:fill="FFFFFF"/>
        <w:spacing w:before="120" w:after="240"/>
        <w:ind w:left="851" w:right="900"/>
        <w:jc w:val="both"/>
        <w:rPr>
          <w:rFonts w:ascii="Georgia" w:hAnsi="Georgia"/>
          <w:color w:val="222222"/>
          <w:sz w:val="20"/>
          <w:szCs w:val="20"/>
          <w:lang w:eastAsia="es-MX"/>
        </w:rPr>
      </w:pPr>
      <w:r w:rsidRPr="00483C1E">
        <w:rPr>
          <w:rFonts w:ascii="Palatino Linotype" w:hAnsi="Palatino Linotype"/>
          <w:b/>
          <w:bCs/>
          <w:i/>
          <w:iCs/>
          <w:color w:val="222222"/>
          <w:sz w:val="20"/>
          <w:szCs w:val="20"/>
          <w:lang w:eastAsia="es-MX"/>
        </w:rPr>
        <w:t>“Artículo 19.</w:t>
      </w:r>
      <w:r w:rsidRPr="00483C1E">
        <w:rPr>
          <w:rFonts w:ascii="Palatino Linotype" w:hAnsi="Palatino Linotype"/>
          <w:bCs/>
          <w:i/>
          <w:iCs/>
          <w:color w:val="222222"/>
          <w:sz w:val="20"/>
          <w:szCs w:val="20"/>
          <w:lang w:eastAsia="es-MX"/>
        </w:rPr>
        <w:t xml:space="preserve"> </w:t>
      </w:r>
      <w:r w:rsidRPr="00483C1E">
        <w:rPr>
          <w:rFonts w:ascii="Palatino Linotype" w:hAnsi="Palatino Linotype"/>
          <w:i/>
          <w:iCs/>
          <w:color w:val="222222"/>
          <w:sz w:val="20"/>
          <w:szCs w:val="20"/>
          <w:lang w:eastAsia="es-MX"/>
        </w:rPr>
        <w:t>Se presume que la información debe existir si se refiere a las facultades, competencias y funciones que los ordenamientos jurídicos aplicables otorgan a los sujetos obligados.</w:t>
      </w:r>
    </w:p>
    <w:p w14:paraId="16CBEE6B" w14:textId="77777777" w:rsidR="00003170" w:rsidRPr="00483C1E" w:rsidRDefault="00003170" w:rsidP="00003170">
      <w:pPr>
        <w:shd w:val="clear" w:color="auto" w:fill="FFFFFF"/>
        <w:spacing w:before="120" w:after="240"/>
        <w:ind w:left="851" w:right="900"/>
        <w:jc w:val="both"/>
        <w:rPr>
          <w:rFonts w:ascii="Georgia" w:hAnsi="Georgia"/>
          <w:color w:val="222222"/>
          <w:sz w:val="20"/>
          <w:szCs w:val="20"/>
          <w:lang w:eastAsia="es-MX"/>
        </w:rPr>
      </w:pPr>
      <w:r>
        <w:rPr>
          <w:rFonts w:ascii="Palatino Linotype" w:hAnsi="Palatino Linotype"/>
          <w:i/>
          <w:iCs/>
          <w:color w:val="222222"/>
          <w:sz w:val="20"/>
          <w:szCs w:val="20"/>
          <w:lang w:eastAsia="es-MX"/>
        </w:rPr>
        <w:t>(</w:t>
      </w:r>
      <w:r w:rsidRPr="00483C1E">
        <w:rPr>
          <w:rFonts w:ascii="Palatino Linotype" w:hAnsi="Palatino Linotype"/>
          <w:i/>
          <w:iCs/>
          <w:color w:val="222222"/>
          <w:sz w:val="20"/>
          <w:szCs w:val="20"/>
          <w:lang w:eastAsia="es-MX"/>
        </w:rPr>
        <w:t>…</w:t>
      </w:r>
      <w:r>
        <w:rPr>
          <w:rFonts w:ascii="Palatino Linotype" w:hAnsi="Palatino Linotype"/>
          <w:i/>
          <w:iCs/>
          <w:color w:val="222222"/>
          <w:sz w:val="20"/>
          <w:szCs w:val="20"/>
          <w:lang w:eastAsia="es-MX"/>
        </w:rPr>
        <w:t>)</w:t>
      </w:r>
    </w:p>
    <w:p w14:paraId="28864F45" w14:textId="77777777" w:rsidR="00003170" w:rsidRPr="00483C1E" w:rsidRDefault="00003170" w:rsidP="00003170">
      <w:pPr>
        <w:shd w:val="clear" w:color="auto" w:fill="FFFFFF"/>
        <w:spacing w:before="120" w:after="240"/>
        <w:ind w:left="851" w:right="900"/>
        <w:jc w:val="both"/>
        <w:rPr>
          <w:rFonts w:ascii="Georgia" w:hAnsi="Georgia"/>
          <w:color w:val="222222"/>
          <w:sz w:val="20"/>
          <w:szCs w:val="20"/>
          <w:lang w:eastAsia="es-MX"/>
        </w:rPr>
      </w:pPr>
      <w:r w:rsidRPr="00483C1E">
        <w:rPr>
          <w:rFonts w:ascii="Palatino Linotype" w:hAnsi="Palatino Linotype"/>
          <w:i/>
          <w:iCs/>
          <w:color w:val="222222"/>
          <w:sz w:val="20"/>
          <w:szCs w:val="20"/>
          <w:lang w:eastAsia="es-MX"/>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439BE016" w14:textId="77777777" w:rsidR="00003170" w:rsidRPr="00483C1E" w:rsidRDefault="00003170" w:rsidP="00003170">
      <w:pPr>
        <w:shd w:val="clear" w:color="auto" w:fill="FFFFFF"/>
        <w:spacing w:before="120" w:after="240"/>
        <w:ind w:left="851" w:right="900"/>
        <w:jc w:val="both"/>
        <w:rPr>
          <w:rFonts w:ascii="Georgia" w:hAnsi="Georgia"/>
          <w:color w:val="222222"/>
          <w:sz w:val="20"/>
          <w:szCs w:val="20"/>
          <w:lang w:eastAsia="es-MX"/>
        </w:rPr>
      </w:pPr>
      <w:r w:rsidRPr="00483C1E">
        <w:rPr>
          <w:rFonts w:ascii="Palatino Linotype" w:hAnsi="Palatino Linotype"/>
          <w:b/>
          <w:bCs/>
          <w:i/>
          <w:iCs/>
          <w:color w:val="222222"/>
          <w:sz w:val="20"/>
          <w:szCs w:val="20"/>
          <w:lang w:eastAsia="es-MX"/>
        </w:rPr>
        <w:t>Artículo 49.</w:t>
      </w:r>
      <w:r w:rsidRPr="00483C1E">
        <w:rPr>
          <w:rFonts w:ascii="Palatino Linotype" w:hAnsi="Palatino Linotype"/>
          <w:i/>
          <w:iCs/>
          <w:color w:val="222222"/>
          <w:sz w:val="20"/>
          <w:szCs w:val="20"/>
          <w:lang w:eastAsia="es-MX"/>
        </w:rPr>
        <w:t xml:space="preserve"> Los Comités de Transparencia tendrán las siguientes atribuciones:</w:t>
      </w:r>
    </w:p>
    <w:p w14:paraId="4DF0738C" w14:textId="77777777" w:rsidR="00003170" w:rsidRPr="00483C1E" w:rsidRDefault="00003170" w:rsidP="00003170">
      <w:pPr>
        <w:shd w:val="clear" w:color="auto" w:fill="FFFFFF"/>
        <w:spacing w:before="120" w:after="240"/>
        <w:ind w:left="1134" w:right="900"/>
        <w:jc w:val="both"/>
        <w:rPr>
          <w:rFonts w:ascii="Georgia" w:hAnsi="Georgia"/>
          <w:color w:val="222222"/>
          <w:sz w:val="20"/>
          <w:szCs w:val="20"/>
          <w:lang w:eastAsia="es-MX"/>
        </w:rPr>
      </w:pPr>
      <w:r>
        <w:rPr>
          <w:rFonts w:ascii="Palatino Linotype" w:hAnsi="Palatino Linotype"/>
          <w:i/>
          <w:iCs/>
          <w:color w:val="222222"/>
          <w:sz w:val="20"/>
          <w:szCs w:val="20"/>
          <w:lang w:eastAsia="es-MX"/>
        </w:rPr>
        <w:t>(</w:t>
      </w:r>
      <w:r w:rsidRPr="00483C1E">
        <w:rPr>
          <w:rFonts w:ascii="Palatino Linotype" w:hAnsi="Palatino Linotype"/>
          <w:i/>
          <w:iCs/>
          <w:color w:val="222222"/>
          <w:sz w:val="20"/>
          <w:szCs w:val="20"/>
          <w:lang w:eastAsia="es-MX"/>
        </w:rPr>
        <w:t>…</w:t>
      </w:r>
      <w:r>
        <w:rPr>
          <w:rFonts w:ascii="Palatino Linotype" w:hAnsi="Palatino Linotype"/>
          <w:i/>
          <w:iCs/>
          <w:color w:val="222222"/>
          <w:sz w:val="20"/>
          <w:szCs w:val="20"/>
          <w:lang w:eastAsia="es-MX"/>
        </w:rPr>
        <w:t>)</w:t>
      </w:r>
    </w:p>
    <w:p w14:paraId="1C8DAD9C" w14:textId="77777777" w:rsidR="00003170" w:rsidRPr="00483C1E" w:rsidRDefault="00003170" w:rsidP="00003170">
      <w:pPr>
        <w:shd w:val="clear" w:color="auto" w:fill="FFFFFF"/>
        <w:spacing w:before="120" w:after="240"/>
        <w:ind w:left="1134" w:right="900"/>
        <w:jc w:val="both"/>
        <w:rPr>
          <w:rFonts w:ascii="Georgia" w:hAnsi="Georgia"/>
          <w:color w:val="222222"/>
          <w:sz w:val="20"/>
          <w:szCs w:val="20"/>
          <w:lang w:eastAsia="es-MX"/>
        </w:rPr>
      </w:pPr>
      <w:r w:rsidRPr="00483C1E">
        <w:rPr>
          <w:rFonts w:ascii="Palatino Linotype" w:hAnsi="Palatino Linotype"/>
          <w:bCs/>
          <w:i/>
          <w:iCs/>
          <w:color w:val="222222"/>
          <w:sz w:val="20"/>
          <w:szCs w:val="20"/>
          <w:lang w:eastAsia="es-MX"/>
        </w:rPr>
        <w:t>III.</w:t>
      </w:r>
      <w:r w:rsidRPr="00483C1E">
        <w:rPr>
          <w:rFonts w:ascii="Palatino Linotype" w:hAnsi="Palatino Linotype"/>
          <w:i/>
          <w:iCs/>
          <w:color w:val="222222"/>
          <w:sz w:val="20"/>
          <w:szCs w:val="20"/>
          <w:lang w:eastAsia="es-MX"/>
        </w:rPr>
        <w:t xml:space="preserve"> </w:t>
      </w:r>
      <w:r>
        <w:rPr>
          <w:rFonts w:ascii="Palatino Linotype" w:hAnsi="Palatino Linotype"/>
          <w:i/>
          <w:iCs/>
          <w:color w:val="222222"/>
          <w:sz w:val="20"/>
          <w:szCs w:val="20"/>
          <w:lang w:eastAsia="es-MX"/>
        </w:rPr>
        <w:t>Ordenar, en su caso a las áreas competentes que generen la información que derivado de sus facultades, competencias y funciones deban tener en posesión o que previa acreditación de la imposibilidad de su generación, exponga, de forma fundada y  motivada las razones por las cuales, en el caso particular, no ejercieron dichas facultades, competencias o funciones;…</w:t>
      </w:r>
    </w:p>
    <w:p w14:paraId="0249F4CB" w14:textId="77777777" w:rsidR="00003170" w:rsidRPr="00483C1E" w:rsidRDefault="00003170" w:rsidP="00003170">
      <w:pPr>
        <w:shd w:val="clear" w:color="auto" w:fill="FFFFFF"/>
        <w:spacing w:before="120" w:after="240"/>
        <w:ind w:left="851" w:right="900"/>
        <w:jc w:val="both"/>
        <w:rPr>
          <w:rFonts w:ascii="Georgia" w:hAnsi="Georgia"/>
          <w:color w:val="222222"/>
          <w:sz w:val="20"/>
          <w:szCs w:val="20"/>
          <w:lang w:eastAsia="es-MX"/>
        </w:rPr>
      </w:pPr>
      <w:r w:rsidRPr="00483C1E">
        <w:rPr>
          <w:rFonts w:ascii="Palatino Linotype" w:hAnsi="Palatino Linotype"/>
          <w:b/>
          <w:bCs/>
          <w:i/>
          <w:iCs/>
          <w:color w:val="222222"/>
          <w:sz w:val="20"/>
          <w:szCs w:val="20"/>
          <w:lang w:eastAsia="es-MX"/>
        </w:rPr>
        <w:t>Artículo 169.</w:t>
      </w:r>
      <w:r w:rsidRPr="00483C1E">
        <w:rPr>
          <w:rFonts w:ascii="Palatino Linotype" w:hAnsi="Palatino Linotype"/>
          <w:i/>
          <w:iCs/>
          <w:color w:val="222222"/>
          <w:sz w:val="20"/>
          <w:szCs w:val="20"/>
          <w:lang w:eastAsia="es-MX"/>
        </w:rPr>
        <w:t xml:space="preserve"> Cuando la información no se encuentre en los archivos del sujeto obligado, el Comité de Transparencia:</w:t>
      </w:r>
    </w:p>
    <w:p w14:paraId="6A40CF48" w14:textId="77777777" w:rsidR="00003170" w:rsidRPr="00483C1E" w:rsidRDefault="00003170" w:rsidP="00003170">
      <w:pPr>
        <w:shd w:val="clear" w:color="auto" w:fill="FFFFFF"/>
        <w:spacing w:before="120" w:after="240"/>
        <w:ind w:left="1134" w:right="900"/>
        <w:jc w:val="both"/>
        <w:rPr>
          <w:rFonts w:ascii="Georgia" w:hAnsi="Georgia"/>
          <w:color w:val="222222"/>
          <w:sz w:val="20"/>
          <w:szCs w:val="20"/>
          <w:lang w:eastAsia="es-MX"/>
        </w:rPr>
      </w:pPr>
      <w:r>
        <w:rPr>
          <w:rFonts w:ascii="Palatino Linotype" w:hAnsi="Palatino Linotype"/>
          <w:bCs/>
          <w:i/>
          <w:iCs/>
          <w:color w:val="222222"/>
          <w:sz w:val="20"/>
          <w:szCs w:val="20"/>
          <w:lang w:eastAsia="es-MX"/>
        </w:rPr>
        <w:t>(</w:t>
      </w:r>
      <w:r w:rsidRPr="00483C1E">
        <w:rPr>
          <w:rFonts w:ascii="Palatino Linotype" w:hAnsi="Palatino Linotype"/>
          <w:bCs/>
          <w:i/>
          <w:iCs/>
          <w:color w:val="222222"/>
          <w:sz w:val="20"/>
          <w:szCs w:val="20"/>
          <w:lang w:eastAsia="es-MX"/>
        </w:rPr>
        <w:t>…</w:t>
      </w:r>
      <w:r>
        <w:rPr>
          <w:rFonts w:ascii="Palatino Linotype" w:hAnsi="Palatino Linotype"/>
          <w:bCs/>
          <w:i/>
          <w:iCs/>
          <w:color w:val="222222"/>
          <w:sz w:val="20"/>
          <w:szCs w:val="20"/>
          <w:lang w:eastAsia="es-MX"/>
        </w:rPr>
        <w:t>)</w:t>
      </w:r>
    </w:p>
    <w:p w14:paraId="535CFE8F" w14:textId="77777777" w:rsidR="00003170" w:rsidRPr="00483C1E" w:rsidRDefault="00003170" w:rsidP="00003170">
      <w:pPr>
        <w:shd w:val="clear" w:color="auto" w:fill="FFFFFF"/>
        <w:spacing w:before="120" w:after="240"/>
        <w:ind w:left="1134" w:right="900"/>
        <w:jc w:val="both"/>
        <w:rPr>
          <w:rFonts w:ascii="Georgia" w:hAnsi="Georgia"/>
          <w:color w:val="222222"/>
          <w:sz w:val="20"/>
          <w:szCs w:val="20"/>
          <w:lang w:eastAsia="es-MX"/>
        </w:rPr>
      </w:pPr>
      <w:r w:rsidRPr="00483C1E">
        <w:rPr>
          <w:rFonts w:ascii="Palatino Linotype" w:hAnsi="Palatino Linotype"/>
          <w:bCs/>
          <w:i/>
          <w:iCs/>
          <w:color w:val="222222"/>
          <w:sz w:val="20"/>
          <w:szCs w:val="20"/>
          <w:lang w:eastAsia="es-MX"/>
        </w:rPr>
        <w:t>II.</w:t>
      </w:r>
      <w:r w:rsidRPr="00483C1E">
        <w:rPr>
          <w:rFonts w:ascii="Palatino Linotype" w:hAnsi="Palatino Linotype"/>
          <w:i/>
          <w:iCs/>
          <w:color w:val="222222"/>
          <w:sz w:val="20"/>
          <w:szCs w:val="20"/>
          <w:lang w:eastAsia="es-MX"/>
        </w:rPr>
        <w:t xml:space="preserve"> Expedirá una resolución que confirme la inexistencia del documento;…</w:t>
      </w:r>
    </w:p>
    <w:p w14:paraId="319E9907" w14:textId="77777777" w:rsidR="00003170" w:rsidRPr="00483C1E" w:rsidRDefault="00003170" w:rsidP="00003170">
      <w:pPr>
        <w:shd w:val="clear" w:color="auto" w:fill="FFFFFF"/>
        <w:spacing w:before="120" w:after="240"/>
        <w:ind w:left="851" w:right="900"/>
        <w:jc w:val="both"/>
        <w:rPr>
          <w:rFonts w:ascii="Georgia" w:hAnsi="Georgia"/>
          <w:color w:val="222222"/>
          <w:sz w:val="20"/>
          <w:szCs w:val="20"/>
          <w:lang w:eastAsia="es-MX"/>
        </w:rPr>
      </w:pPr>
      <w:r w:rsidRPr="00483C1E">
        <w:rPr>
          <w:rFonts w:ascii="Palatino Linotype" w:hAnsi="Palatino Linotype"/>
          <w:b/>
          <w:bCs/>
          <w:i/>
          <w:iCs/>
          <w:color w:val="222222"/>
          <w:sz w:val="20"/>
          <w:szCs w:val="20"/>
          <w:lang w:eastAsia="es-MX"/>
        </w:rPr>
        <w:t>Artículo 170.</w:t>
      </w:r>
      <w:r w:rsidRPr="00483C1E">
        <w:rPr>
          <w:rFonts w:ascii="Palatino Linotype" w:hAnsi="Palatino Linotype"/>
          <w:i/>
          <w:iCs/>
          <w:color w:val="222222"/>
          <w:sz w:val="20"/>
          <w:szCs w:val="20"/>
          <w:lang w:eastAsia="es-MX"/>
        </w:rPr>
        <w:t xml:space="preserve">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2C617CA8" w14:textId="77777777" w:rsidR="00003170" w:rsidRPr="00BD5D32" w:rsidRDefault="00003170" w:rsidP="00003170">
      <w:pPr>
        <w:spacing w:before="240" w:after="240" w:line="360" w:lineRule="auto"/>
        <w:jc w:val="both"/>
        <w:rPr>
          <w:rFonts w:ascii="Palatino Linotype" w:hAnsi="Palatino Linotype"/>
        </w:rPr>
      </w:pPr>
      <w:r>
        <w:rPr>
          <w:rFonts w:ascii="Palatino Linotype" w:hAnsi="Palatino Linotype"/>
        </w:rPr>
        <w:t xml:space="preserve">De los dispositivos legales se desprende, que los sujetos obligados deben emitir la Declaratoria de Inexistencia </w:t>
      </w:r>
      <w:r w:rsidRPr="00BD5D32">
        <w:rPr>
          <w:rFonts w:ascii="Palatino Linotype" w:hAnsi="Palatino Linotype"/>
        </w:rPr>
        <w:t>precisando de manera enunciativa más no limitativa, las áreas en las que se instruyó la búsqueda, las respuestas otorgadas por los Servidores Públicos habilitados y las circunstancias que tomó en cuenta para determinar que la información requerida no obra en los archivos, debiendo notificar al interesado de tal circunstancia.</w:t>
      </w:r>
    </w:p>
    <w:p w14:paraId="32F80E13" w14:textId="77777777" w:rsidR="00003170" w:rsidRPr="002B050A" w:rsidRDefault="00003170" w:rsidP="00003170">
      <w:pPr>
        <w:spacing w:before="240" w:after="240" w:line="360" w:lineRule="auto"/>
        <w:jc w:val="both"/>
        <w:rPr>
          <w:rFonts w:ascii="Palatino Linotype" w:hAnsi="Palatino Linotype" w:cs="Arial"/>
        </w:rPr>
      </w:pPr>
      <w:r w:rsidRPr="002B050A">
        <w:rPr>
          <w:rFonts w:ascii="Palatino Linotype" w:hAnsi="Palatino Linotype" w:cs="Arial"/>
        </w:rPr>
        <w:lastRenderedPageBreak/>
        <w:t xml:space="preserve">Robustece a lo anterior, los Criterios 0003-11 y 0004-11, emitidos por el Pleno de este Instituto, </w:t>
      </w:r>
      <w:r>
        <w:rPr>
          <w:rFonts w:ascii="Palatino Linotype" w:hAnsi="Palatino Linotype" w:cs="Arial"/>
        </w:rPr>
        <w:t>publica</w:t>
      </w:r>
      <w:r w:rsidRPr="002B050A">
        <w:rPr>
          <w:rFonts w:ascii="Palatino Linotype" w:hAnsi="Palatino Linotype" w:cs="Arial"/>
        </w:rPr>
        <w:t>dos en el periódico oficial del Estado de México “Gaceta del Gobierno”, el diecinueve de octubre de dos mil once, que establecen lo siguiente:</w:t>
      </w:r>
    </w:p>
    <w:p w14:paraId="7140CEF5" w14:textId="77777777" w:rsidR="00003170" w:rsidRPr="00483C1E" w:rsidRDefault="00003170" w:rsidP="00003170">
      <w:pPr>
        <w:spacing w:before="120" w:after="240"/>
        <w:ind w:left="851" w:right="902"/>
        <w:jc w:val="center"/>
        <w:rPr>
          <w:rFonts w:ascii="Palatino Linotype" w:hAnsi="Palatino Linotype" w:cs="Arial"/>
          <w:b/>
          <w:bCs/>
          <w:i/>
          <w:sz w:val="20"/>
          <w:szCs w:val="20"/>
        </w:rPr>
      </w:pPr>
      <w:r w:rsidRPr="00483C1E">
        <w:rPr>
          <w:rFonts w:ascii="Palatino Linotype" w:hAnsi="Palatino Linotype" w:cs="Arial"/>
          <w:bCs/>
          <w:i/>
          <w:sz w:val="20"/>
          <w:szCs w:val="20"/>
        </w:rPr>
        <w:t>“</w:t>
      </w:r>
      <w:r w:rsidRPr="00483C1E">
        <w:rPr>
          <w:rFonts w:ascii="Palatino Linotype" w:hAnsi="Palatino Linotype" w:cs="Arial"/>
          <w:b/>
          <w:bCs/>
          <w:i/>
          <w:sz w:val="20"/>
          <w:szCs w:val="20"/>
        </w:rPr>
        <w:t>CRITERIO 0003-11</w:t>
      </w:r>
    </w:p>
    <w:p w14:paraId="5E5087F6" w14:textId="77777777" w:rsidR="00003170" w:rsidRPr="00483C1E" w:rsidRDefault="00003170" w:rsidP="00003170">
      <w:pPr>
        <w:spacing w:before="120" w:after="240"/>
        <w:ind w:left="851" w:right="902"/>
        <w:jc w:val="both"/>
        <w:rPr>
          <w:rFonts w:ascii="Palatino Linotype" w:hAnsi="Palatino Linotype" w:cs="Arial"/>
          <w:i/>
          <w:sz w:val="20"/>
          <w:szCs w:val="20"/>
        </w:rPr>
      </w:pPr>
      <w:r w:rsidRPr="00483C1E">
        <w:rPr>
          <w:rFonts w:ascii="Palatino Linotype" w:hAnsi="Palatino Linotype" w:cs="Arial"/>
          <w:b/>
          <w:i/>
          <w:sz w:val="20"/>
          <w:szCs w:val="20"/>
        </w:rPr>
        <w:t>INEXISTENCIA, CONCEPTO DE, EN MATERIA DE TRANSPARENCIA.</w:t>
      </w:r>
      <w:r w:rsidRPr="00483C1E">
        <w:rPr>
          <w:rFonts w:ascii="Palatino Linotype" w:hAnsi="Palatino Linotype" w:cs="Arial"/>
          <w:i/>
          <w:sz w:val="20"/>
          <w:szCs w:val="20"/>
        </w:rPr>
        <w:t xml:space="preserve"> 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w:t>
      </w:r>
    </w:p>
    <w:p w14:paraId="527CC50D" w14:textId="77777777" w:rsidR="00003170" w:rsidRPr="00483C1E" w:rsidRDefault="00003170" w:rsidP="00003170">
      <w:pPr>
        <w:spacing w:before="120" w:after="240"/>
        <w:ind w:left="851" w:right="902"/>
        <w:jc w:val="both"/>
        <w:rPr>
          <w:rFonts w:ascii="Palatino Linotype" w:hAnsi="Palatino Linotype" w:cs="Arial"/>
          <w:i/>
          <w:sz w:val="20"/>
          <w:szCs w:val="20"/>
        </w:rPr>
      </w:pPr>
      <w:r w:rsidRPr="00483C1E">
        <w:rPr>
          <w:rFonts w:ascii="Palatino Linotype" w:hAnsi="Palatino Linotype" w:cs="Arial"/>
          <w:i/>
          <w:sz w:val="20"/>
          <w:szCs w:val="20"/>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14:paraId="17A07804" w14:textId="77777777" w:rsidR="00003170" w:rsidRPr="00483C1E" w:rsidRDefault="00003170" w:rsidP="00003170">
      <w:pPr>
        <w:spacing w:before="120" w:after="240"/>
        <w:ind w:left="851" w:right="902"/>
        <w:jc w:val="both"/>
        <w:rPr>
          <w:rFonts w:ascii="Palatino Linotype" w:hAnsi="Palatino Linotype" w:cs="Arial"/>
          <w:i/>
          <w:sz w:val="20"/>
          <w:szCs w:val="20"/>
        </w:rPr>
      </w:pPr>
      <w:r w:rsidRPr="00483C1E">
        <w:rPr>
          <w:rFonts w:ascii="Palatino Linotype" w:hAnsi="Palatino Linotype" w:cs="Arial"/>
          <w:i/>
          <w:sz w:val="20"/>
          <w:szCs w:val="20"/>
        </w:rPr>
        <w:t>b) En los casos en que por las atribuciones conferidas al Sujeto Obligado éste debió generar, administrar o poseer la información, pero en incumplimiento a la normatividad respectiva no llevó a cabo ninguna de es acciones.</w:t>
      </w:r>
    </w:p>
    <w:p w14:paraId="0228E156" w14:textId="77777777" w:rsidR="00003170" w:rsidRPr="00483C1E" w:rsidRDefault="00003170" w:rsidP="00003170">
      <w:pPr>
        <w:spacing w:before="120" w:after="240"/>
        <w:ind w:left="851" w:right="902"/>
        <w:jc w:val="both"/>
        <w:rPr>
          <w:rFonts w:ascii="Palatino Linotype" w:hAnsi="Palatino Linotype" w:cs="Arial"/>
          <w:i/>
          <w:sz w:val="20"/>
          <w:szCs w:val="20"/>
        </w:rPr>
      </w:pPr>
      <w:r w:rsidRPr="00483C1E">
        <w:rPr>
          <w:rFonts w:ascii="Palatino Linotype" w:hAnsi="Palatino Linotype" w:cs="Arial"/>
          <w:i/>
          <w:sz w:val="20"/>
          <w:szCs w:val="20"/>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14:paraId="75595656" w14:textId="77777777" w:rsidR="00003170" w:rsidRPr="00483C1E" w:rsidRDefault="00003170" w:rsidP="00003170">
      <w:pPr>
        <w:spacing w:before="120" w:after="240"/>
        <w:ind w:left="851" w:right="902"/>
        <w:jc w:val="center"/>
        <w:rPr>
          <w:rFonts w:ascii="Palatino Linotype" w:hAnsi="Palatino Linotype" w:cs="Arial"/>
          <w:b/>
          <w:bCs/>
          <w:i/>
          <w:sz w:val="20"/>
          <w:szCs w:val="20"/>
        </w:rPr>
      </w:pPr>
      <w:r w:rsidRPr="00483C1E">
        <w:rPr>
          <w:rFonts w:ascii="Palatino Linotype" w:hAnsi="Palatino Linotype" w:cs="Arial"/>
          <w:b/>
          <w:bCs/>
          <w:i/>
          <w:sz w:val="20"/>
          <w:szCs w:val="20"/>
        </w:rPr>
        <w:t>CRITERIO 0004-11</w:t>
      </w:r>
    </w:p>
    <w:p w14:paraId="7F5226FD" w14:textId="77777777" w:rsidR="00003170" w:rsidRPr="00483C1E" w:rsidRDefault="00003170" w:rsidP="00003170">
      <w:pPr>
        <w:spacing w:before="120" w:after="240"/>
        <w:ind w:left="851" w:right="902"/>
        <w:jc w:val="both"/>
        <w:rPr>
          <w:rFonts w:ascii="Palatino Linotype" w:hAnsi="Palatino Linotype" w:cs="Arial"/>
          <w:i/>
          <w:sz w:val="20"/>
          <w:szCs w:val="20"/>
        </w:rPr>
      </w:pPr>
      <w:r w:rsidRPr="00483C1E">
        <w:rPr>
          <w:rFonts w:ascii="Palatino Linotype" w:hAnsi="Palatino Linotype" w:cs="Arial"/>
          <w:b/>
          <w:i/>
          <w:sz w:val="20"/>
          <w:szCs w:val="20"/>
        </w:rPr>
        <w:t>INEXISTENCIA, DECLARATORIA DE LA. ALCANCES Y PROCEDIMIENTOS</w:t>
      </w:r>
      <w:r w:rsidRPr="00483C1E">
        <w:rPr>
          <w:rFonts w:ascii="Palatino Linotype" w:hAnsi="Palatino Linotype" w:cs="Arial"/>
          <w:i/>
          <w:sz w:val="20"/>
          <w:szCs w:val="20"/>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w:t>
      </w:r>
      <w:r w:rsidRPr="00483C1E">
        <w:rPr>
          <w:rFonts w:ascii="Palatino Linotype" w:hAnsi="Palatino Linotype" w:cs="Arial"/>
          <w:i/>
          <w:sz w:val="20"/>
          <w:szCs w:val="20"/>
        </w:rPr>
        <w:lastRenderedPageBreak/>
        <w:t>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14:paraId="0DAEB186" w14:textId="77777777" w:rsidR="00003170" w:rsidRPr="00483C1E" w:rsidRDefault="00003170" w:rsidP="00003170">
      <w:pPr>
        <w:spacing w:before="120" w:after="240"/>
        <w:ind w:left="851" w:right="902"/>
        <w:jc w:val="both"/>
        <w:rPr>
          <w:rFonts w:ascii="Palatino Linotype" w:hAnsi="Palatino Linotype" w:cs="Arial"/>
          <w:i/>
          <w:sz w:val="20"/>
          <w:szCs w:val="20"/>
        </w:rPr>
      </w:pPr>
      <w:r w:rsidRPr="00483C1E">
        <w:rPr>
          <w:rFonts w:ascii="Palatino Linotype" w:hAnsi="Palatino Linotype" w:cs="Arial"/>
          <w:i/>
          <w:sz w:val="20"/>
          <w:szCs w:val="20"/>
        </w:rPr>
        <w:t>Bajo el entendido de que dicha búsqueda exhaustiva permitirá dos determinaciones:</w:t>
      </w:r>
    </w:p>
    <w:p w14:paraId="01DD0DAB" w14:textId="77777777" w:rsidR="00003170" w:rsidRPr="00483C1E" w:rsidRDefault="00003170" w:rsidP="00003170">
      <w:pPr>
        <w:spacing w:before="120" w:after="240"/>
        <w:ind w:left="851" w:right="902"/>
        <w:jc w:val="both"/>
        <w:rPr>
          <w:rFonts w:ascii="Palatino Linotype" w:hAnsi="Palatino Linotype" w:cs="Arial"/>
          <w:i/>
          <w:sz w:val="20"/>
          <w:szCs w:val="20"/>
        </w:rPr>
      </w:pPr>
      <w:r w:rsidRPr="00483C1E">
        <w:rPr>
          <w:rFonts w:ascii="Palatino Linotype" w:hAnsi="Palatino Linotype" w:cs="Arial"/>
          <w:i/>
          <w:sz w:val="20"/>
          <w:szCs w:val="20"/>
        </w:rPr>
        <w:t>1ª) Que se localice la documentación que contenga la información solicitada y de ser así la información pueda entregarse al solicitante en la forma en que se encuentra disponible, o</w:t>
      </w:r>
    </w:p>
    <w:p w14:paraId="1861FE23" w14:textId="77777777" w:rsidR="00003170" w:rsidRPr="00483C1E" w:rsidRDefault="00003170" w:rsidP="00003170">
      <w:pPr>
        <w:spacing w:before="120" w:after="240"/>
        <w:ind w:left="851" w:right="902"/>
        <w:jc w:val="both"/>
        <w:rPr>
          <w:rFonts w:ascii="Palatino Linotype" w:hAnsi="Palatino Linotype" w:cs="Arial"/>
          <w:i/>
          <w:sz w:val="20"/>
          <w:szCs w:val="20"/>
        </w:rPr>
      </w:pPr>
      <w:r w:rsidRPr="00483C1E">
        <w:rPr>
          <w:rFonts w:ascii="Palatino Linotype" w:hAnsi="Palatino Linotype" w:cs="Arial"/>
          <w:i/>
          <w:sz w:val="20"/>
          <w:szCs w:val="20"/>
        </w:rPr>
        <w:t>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14:paraId="025F5438" w14:textId="77777777" w:rsidR="00003170" w:rsidRPr="00D858AB" w:rsidRDefault="00003170" w:rsidP="00003170">
      <w:pPr>
        <w:spacing w:before="240" w:after="240" w:line="360" w:lineRule="auto"/>
        <w:jc w:val="both"/>
        <w:rPr>
          <w:rFonts w:ascii="Palatino Linotype" w:hAnsi="Palatino Linotype"/>
        </w:rPr>
      </w:pPr>
      <w:r w:rsidRPr="00D858AB">
        <w:rPr>
          <w:rFonts w:ascii="Palatino Linotype" w:hAnsi="Palatino Linotype"/>
        </w:rPr>
        <w:t>En las relatadas argumentaciones, se puede afirmar que cuando la información requeri</w:t>
      </w:r>
      <w:r>
        <w:rPr>
          <w:rFonts w:ascii="Palatino Linotype" w:hAnsi="Palatino Linotype"/>
        </w:rPr>
        <w:t>d</w:t>
      </w:r>
      <w:r w:rsidRPr="00D858AB">
        <w:rPr>
          <w:rFonts w:ascii="Palatino Linotype" w:hAnsi="Palatino Linotype"/>
        </w:rPr>
        <w:t xml:space="preserve">a por un particular no exista en los archivos de los </w:t>
      </w:r>
      <w:r>
        <w:rPr>
          <w:rFonts w:ascii="Palatino Linotype" w:hAnsi="Palatino Linotype"/>
        </w:rPr>
        <w:t>sujetos obligados</w:t>
      </w:r>
      <w:r w:rsidRPr="00D858AB">
        <w:rPr>
          <w:rFonts w:ascii="Palatino Linotype" w:hAnsi="Palatino Linotype"/>
        </w:rPr>
        <w:t>; se requiere de un mecanismo para brindar certeza jurídica y a la vez para determinar el tipo y grado de responsabilidad de los servidores públicos que intervienen en el proceso de elaboración de</w:t>
      </w:r>
      <w:r>
        <w:rPr>
          <w:rFonts w:ascii="Palatino Linotype" w:hAnsi="Palatino Linotype"/>
        </w:rPr>
        <w:t xml:space="preserve"> </w:t>
      </w:r>
      <w:r w:rsidRPr="00D858AB">
        <w:rPr>
          <w:rFonts w:ascii="Palatino Linotype" w:hAnsi="Palatino Linotype"/>
        </w:rPr>
        <w:t>la información.</w:t>
      </w:r>
    </w:p>
    <w:p w14:paraId="1E2EA81C" w14:textId="77777777" w:rsidR="00003170" w:rsidRPr="00D858AB" w:rsidRDefault="00003170" w:rsidP="00003170">
      <w:pPr>
        <w:spacing w:before="240" w:after="240" w:line="360" w:lineRule="auto"/>
        <w:jc w:val="both"/>
        <w:rPr>
          <w:rFonts w:ascii="Palatino Linotype" w:hAnsi="Palatino Linotype"/>
        </w:rPr>
      </w:pPr>
      <w:r w:rsidRPr="00D858AB">
        <w:rPr>
          <w:rFonts w:ascii="Palatino Linotype" w:hAnsi="Palatino Linotype"/>
        </w:rPr>
        <w:t>Por tanto, la declaratoria de inexistencia no es un mero trámite por el cual de</w:t>
      </w:r>
      <w:r>
        <w:rPr>
          <w:rFonts w:ascii="Palatino Linotype" w:hAnsi="Palatino Linotype"/>
        </w:rPr>
        <w:t xml:space="preserve"> </w:t>
      </w:r>
      <w:r w:rsidRPr="00D858AB">
        <w:rPr>
          <w:rFonts w:ascii="Palatino Linotype" w:hAnsi="Palatino Linotype"/>
        </w:rPr>
        <w:t xml:space="preserve">manera mecánica o simple </w:t>
      </w:r>
      <w:r>
        <w:rPr>
          <w:rFonts w:ascii="Palatino Linotype" w:hAnsi="Palatino Linotype"/>
        </w:rPr>
        <w:t>manifieste</w:t>
      </w:r>
      <w:r w:rsidRPr="00D858AB">
        <w:rPr>
          <w:rFonts w:ascii="Palatino Linotype" w:hAnsi="Palatino Linotype"/>
        </w:rPr>
        <w:t xml:space="preserve"> que la información no existe en </w:t>
      </w:r>
      <w:r>
        <w:rPr>
          <w:rFonts w:ascii="Palatino Linotype" w:hAnsi="Palatino Linotype"/>
        </w:rPr>
        <w:t xml:space="preserve">sus </w:t>
      </w:r>
      <w:r w:rsidRPr="00D858AB">
        <w:rPr>
          <w:rFonts w:ascii="Palatino Linotype" w:hAnsi="Palatino Linotype"/>
        </w:rPr>
        <w:t>archivos</w:t>
      </w:r>
      <w:r w:rsidRPr="00D858AB">
        <w:rPr>
          <w:rFonts w:ascii="Palatino Linotype" w:hAnsi="Palatino Linotype"/>
          <w:b/>
        </w:rPr>
        <w:t xml:space="preserve">, </w:t>
      </w:r>
      <w:r w:rsidRPr="00D858AB">
        <w:rPr>
          <w:rFonts w:ascii="Palatino Linotype" w:hAnsi="Palatino Linotype"/>
        </w:rPr>
        <w:t xml:space="preserve"> cuando la misma por disposición legal debería de obrar, sino que su contenido y alcance implica la responsabilidad y atribución del Comité de </w:t>
      </w:r>
      <w:r>
        <w:rPr>
          <w:rFonts w:ascii="Palatino Linotype" w:hAnsi="Palatino Linotype"/>
        </w:rPr>
        <w:t>Transparencia</w:t>
      </w:r>
      <w:r w:rsidRPr="00D858AB">
        <w:rPr>
          <w:rFonts w:ascii="Palatino Linotype" w:hAnsi="Palatino Linotype"/>
        </w:rPr>
        <w:t xml:space="preserve"> del sujeto obligado</w:t>
      </w:r>
      <w:r w:rsidRPr="00D858AB">
        <w:rPr>
          <w:rFonts w:ascii="Palatino Linotype" w:hAnsi="Palatino Linotype"/>
          <w:b/>
        </w:rPr>
        <w:t xml:space="preserve">, </w:t>
      </w:r>
      <w:r w:rsidRPr="00D858AB">
        <w:rPr>
          <w:rFonts w:ascii="Palatino Linotype" w:hAnsi="Palatino Linotype"/>
        </w:rPr>
        <w:t xml:space="preserve">de instruir una búsqueda exhaustiva a todas y cada una de las áreas administrativas de las </w:t>
      </w:r>
      <w:r>
        <w:rPr>
          <w:rFonts w:ascii="Palatino Linotype" w:hAnsi="Palatino Linotype"/>
        </w:rPr>
        <w:t xml:space="preserve">que </w:t>
      </w:r>
      <w:r w:rsidRPr="00D858AB">
        <w:rPr>
          <w:rFonts w:ascii="Palatino Linotype" w:hAnsi="Palatino Linotype"/>
        </w:rPr>
        <w:t>se compone, para localizar los documentos que contengan la información materia de una solicitud, asimismo, para supervisar que esa búsqueda se lleve a cabo en todas y cada una de las áreas</w:t>
      </w:r>
      <w:r>
        <w:rPr>
          <w:rFonts w:ascii="Palatino Linotype" w:hAnsi="Palatino Linotype"/>
        </w:rPr>
        <w:t xml:space="preserve"> de que se compone </w:t>
      </w:r>
      <w:r>
        <w:rPr>
          <w:rFonts w:ascii="Palatino Linotype" w:hAnsi="Palatino Linotype"/>
        </w:rPr>
        <w:lastRenderedPageBreak/>
        <w:t>dicho órgano, con fundamento en el artículo 162 de la Ley de Transparencia y acceso a la Información Pública del Estado de México y Municipios.</w:t>
      </w:r>
    </w:p>
    <w:p w14:paraId="7EF403C0" w14:textId="77777777" w:rsidR="00003170" w:rsidRPr="00D858AB" w:rsidRDefault="00003170" w:rsidP="00003170">
      <w:pPr>
        <w:spacing w:before="240" w:after="240" w:line="360" w:lineRule="auto"/>
        <w:jc w:val="both"/>
        <w:rPr>
          <w:rFonts w:ascii="Palatino Linotype" w:hAnsi="Palatino Linotype"/>
        </w:rPr>
      </w:pPr>
      <w:r w:rsidRPr="00D858AB">
        <w:rPr>
          <w:rFonts w:ascii="Palatino Linotype" w:hAnsi="Palatino Linotype"/>
        </w:rPr>
        <w:t>Bajo el entendido de que dicha búsqueda exhaustiva permitirá:</w:t>
      </w:r>
    </w:p>
    <w:p w14:paraId="7240DBD3" w14:textId="77777777" w:rsidR="00003170" w:rsidRPr="00D858AB" w:rsidRDefault="00003170" w:rsidP="00003170">
      <w:pPr>
        <w:pStyle w:val="Prrafodelista"/>
        <w:numPr>
          <w:ilvl w:val="0"/>
          <w:numId w:val="18"/>
        </w:numPr>
        <w:spacing w:before="240" w:after="240" w:line="360" w:lineRule="auto"/>
        <w:contextualSpacing/>
        <w:jc w:val="both"/>
        <w:rPr>
          <w:rFonts w:ascii="Palatino Linotype" w:hAnsi="Palatino Linotype"/>
        </w:rPr>
      </w:pPr>
      <w:r w:rsidRPr="00D858AB">
        <w:rPr>
          <w:rFonts w:ascii="Palatino Linotype" w:hAnsi="Palatino Linotype"/>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14:paraId="3D3E3041" w14:textId="77777777" w:rsidR="00003170" w:rsidRPr="00D858AB" w:rsidRDefault="00003170" w:rsidP="00003170">
      <w:pPr>
        <w:spacing w:before="240" w:after="240" w:line="360" w:lineRule="auto"/>
        <w:jc w:val="both"/>
        <w:rPr>
          <w:rFonts w:ascii="Palatino Linotype" w:hAnsi="Palatino Linotype"/>
        </w:rPr>
      </w:pPr>
      <w:r w:rsidRPr="00D858AB">
        <w:rPr>
          <w:rFonts w:ascii="Palatino Linotype" w:hAnsi="Palatino Linotype"/>
        </w:rPr>
        <w:t xml:space="preserve">De actualizarse esta primera hipótesis, la información debe entregarse al </w:t>
      </w:r>
      <w:r w:rsidRPr="00D858AB">
        <w:rPr>
          <w:rFonts w:ascii="Palatino Linotype" w:hAnsi="Palatino Linotype"/>
          <w:b/>
          <w:i/>
        </w:rPr>
        <w:t xml:space="preserve">Recurrente </w:t>
      </w:r>
      <w:r w:rsidRPr="00D858AB">
        <w:rPr>
          <w:rFonts w:ascii="Palatino Linotype" w:hAnsi="Palatino Linotype"/>
        </w:rPr>
        <w:t>a través del o los documentos fuente.</w:t>
      </w:r>
    </w:p>
    <w:p w14:paraId="15CDF82B" w14:textId="77777777" w:rsidR="00003170" w:rsidRPr="00D858AB" w:rsidRDefault="00003170" w:rsidP="00003170">
      <w:pPr>
        <w:pStyle w:val="Prrafodelista"/>
        <w:numPr>
          <w:ilvl w:val="0"/>
          <w:numId w:val="18"/>
        </w:numPr>
        <w:spacing w:before="240" w:after="240" w:line="360" w:lineRule="auto"/>
        <w:contextualSpacing/>
        <w:jc w:val="both"/>
        <w:rPr>
          <w:rFonts w:ascii="Palatino Linotype" w:hAnsi="Palatino Linotype"/>
        </w:rPr>
      </w:pPr>
      <w:r w:rsidRPr="00D858AB">
        <w:rPr>
          <w:rFonts w:ascii="Palatino Linotype" w:hAnsi="Palatino Linotype"/>
        </w:rPr>
        <w:t xml:space="preserve">Que no se localice documento alguno que contenga la información requerida, </w:t>
      </w:r>
      <w:r>
        <w:rPr>
          <w:rFonts w:ascii="Palatino Linotype" w:hAnsi="Palatino Linotype"/>
        </w:rPr>
        <w:t>en este supuesto, el Comité de Transparencia</w:t>
      </w:r>
      <w:r w:rsidRPr="00D858AB">
        <w:rPr>
          <w:rFonts w:ascii="Palatino Linotype" w:hAnsi="Palatino Linotype"/>
        </w:rPr>
        <w:t xml:space="preserve"> deberá resolver la declaratoria de inexistencia de la información y notificarla al recurrente</w:t>
      </w:r>
      <w:r w:rsidRPr="00D858AB">
        <w:rPr>
          <w:rFonts w:ascii="Palatino Linotype" w:hAnsi="Palatino Linotype"/>
          <w:b/>
          <w:i/>
        </w:rPr>
        <w:t xml:space="preserve"> </w:t>
      </w:r>
      <w:r w:rsidRPr="00D858AB">
        <w:rPr>
          <w:rFonts w:ascii="Palatino Linotype" w:hAnsi="Palatino Linotype"/>
        </w:rPr>
        <w:t>y a este Pleno.</w:t>
      </w:r>
    </w:p>
    <w:p w14:paraId="19B65933" w14:textId="77777777" w:rsidR="00003170" w:rsidRPr="00D858AB" w:rsidRDefault="00003170" w:rsidP="00003170">
      <w:pPr>
        <w:spacing w:before="240" w:after="240" w:line="360" w:lineRule="auto"/>
        <w:jc w:val="both"/>
        <w:rPr>
          <w:rFonts w:ascii="Palatino Linotype" w:hAnsi="Palatino Linotype"/>
        </w:rPr>
      </w:pPr>
      <w:r>
        <w:rPr>
          <w:rFonts w:ascii="Palatino Linotype" w:hAnsi="Palatino Linotype"/>
        </w:rPr>
        <w:t>Además d</w:t>
      </w:r>
      <w:r w:rsidRPr="00D858AB">
        <w:rPr>
          <w:rFonts w:ascii="Palatino Linotype" w:hAnsi="Palatino Linotype"/>
        </w:rPr>
        <w:t>e</w:t>
      </w:r>
      <w:r>
        <w:rPr>
          <w:rFonts w:ascii="Palatino Linotype" w:hAnsi="Palatino Linotype"/>
        </w:rPr>
        <w:t xml:space="preserve"> </w:t>
      </w:r>
      <w:r w:rsidRPr="00D858AB">
        <w:rPr>
          <w:rFonts w:ascii="Palatino Linotype" w:hAnsi="Palatino Linotype"/>
        </w:rPr>
        <w:t xml:space="preserve">los requisitos formales y sustanciales señalados, la declaratoria de inexistencia de la información debe exponer las razones por las que se buscó la información, las áreas en las que se instruyó la búsqueda, los criterios y los métodos de búsqueda de la información utilizados, las respuestas otorgadas por los servidores públicos habilitados y en general, todas aquellas circunstancias que se tomaron en cuenta para llegar a determinar que no obra en sus archivos las información requerida. Con el fin de que el particular pueda tener certeza de que se hizo una búsqueda exhaustiva de la información solicitada y que se le dio la </w:t>
      </w:r>
      <w:r w:rsidRPr="00D858AB">
        <w:rPr>
          <w:rFonts w:ascii="Palatino Linotype" w:hAnsi="Palatino Linotype"/>
        </w:rPr>
        <w:lastRenderedPageBreak/>
        <w:t>adecuada atención a su solicitud, bajo el entendido que la búsqueda es un elemento previo acreditable antes de la emisión del acuerdo de inexistencia.</w:t>
      </w:r>
    </w:p>
    <w:p w14:paraId="0388A943" w14:textId="77777777" w:rsidR="00003170" w:rsidRPr="00D858AB" w:rsidRDefault="00003170" w:rsidP="00003170">
      <w:pPr>
        <w:spacing w:before="240" w:after="240" w:line="360" w:lineRule="auto"/>
        <w:jc w:val="both"/>
        <w:rPr>
          <w:rFonts w:ascii="Palatino Linotype" w:hAnsi="Palatino Linotype"/>
        </w:rPr>
      </w:pPr>
      <w:r w:rsidRPr="00D858AB">
        <w:rPr>
          <w:rFonts w:ascii="Palatino Linotype" w:hAnsi="Palatino Linotype"/>
        </w:rPr>
        <w:t>En efecto, la búsqueda exhaustiva presupone que el Comité deba tomar o acordar las medidas pertinentes para la debida localización dentro de la dependencia de la información solicitada, y en general de adoptar cualquier otra medida que considere conducente para tales efectos y velar por la certeza en el derecho de acceso a la información, y s</w:t>
      </w:r>
      <w:r>
        <w:rPr>
          <w:rFonts w:ascii="Palatino Linotype" w:hAnsi="Palatino Linotype"/>
        </w:rPr>
        <w:t>ó</w:t>
      </w:r>
      <w:r w:rsidRPr="00D858AB">
        <w:rPr>
          <w:rFonts w:ascii="Palatino Linotype" w:hAnsi="Palatino Linotype"/>
        </w:rPr>
        <w:t>lo agotadas las medidas necesarias de búsqueda de la información, y en caso de no encontrarla. Procede expedir una resolución que confirme la inexistencia de la información o documento solicitado y notificar el acuerdo correspondiente.</w:t>
      </w:r>
    </w:p>
    <w:p w14:paraId="67BD1457" w14:textId="5F638A31" w:rsidR="00D437AD" w:rsidRDefault="00433C4A" w:rsidP="00DE0BBF">
      <w:pPr>
        <w:autoSpaceDE w:val="0"/>
        <w:autoSpaceDN w:val="0"/>
        <w:adjustRightInd w:val="0"/>
        <w:spacing w:before="240" w:after="240" w:line="360" w:lineRule="auto"/>
        <w:jc w:val="both"/>
        <w:rPr>
          <w:rFonts w:ascii="Palatino Linotype" w:hAnsi="Palatino Linotype"/>
          <w:b/>
          <w:lang w:val="es-MX" w:eastAsia="es-MX"/>
        </w:rPr>
      </w:pPr>
      <w:r>
        <w:rPr>
          <w:rFonts w:ascii="Palatino Linotype" w:hAnsi="Palatino Linotype"/>
        </w:rPr>
        <w:t xml:space="preserve"> </w:t>
      </w:r>
      <w:r w:rsidR="00D27A23">
        <w:rPr>
          <w:rFonts w:ascii="Palatino Linotype" w:hAnsi="Palatino Linotype"/>
        </w:rPr>
        <w:t xml:space="preserve">En otro punto, de los requerimientos de información, se advierte que bajo el numeral 2 se tiene que el particular solicitó </w:t>
      </w:r>
      <w:r w:rsidR="00D27A23" w:rsidRPr="00D27A23">
        <w:rPr>
          <w:rFonts w:ascii="Palatino Linotype" w:hAnsi="Palatino Linotype"/>
          <w:b/>
        </w:rPr>
        <w:t>los</w:t>
      </w:r>
      <w:r w:rsidR="00D27A23">
        <w:rPr>
          <w:rFonts w:ascii="Palatino Linotype" w:hAnsi="Palatino Linotype"/>
        </w:rPr>
        <w:t xml:space="preserve"> </w:t>
      </w:r>
      <w:r w:rsidR="00D27A23" w:rsidRPr="00D27A23">
        <w:rPr>
          <w:rFonts w:ascii="Palatino Linotype" w:hAnsi="Palatino Linotype"/>
          <w:b/>
          <w:lang w:val="es-MX" w:eastAsia="es-MX"/>
        </w:rPr>
        <w:t>pbrm de los Centros de Desarrollo Comunitario, Panteón Municipal y Servicios Funerarios.</w:t>
      </w:r>
    </w:p>
    <w:p w14:paraId="406A046E" w14:textId="1962046F" w:rsidR="00D27A23" w:rsidRDefault="002B1B78" w:rsidP="00DE0BBF">
      <w:pPr>
        <w:autoSpaceDE w:val="0"/>
        <w:autoSpaceDN w:val="0"/>
        <w:adjustRightInd w:val="0"/>
        <w:spacing w:before="240" w:after="240" w:line="360" w:lineRule="auto"/>
        <w:jc w:val="both"/>
        <w:rPr>
          <w:rFonts w:ascii="Palatino Linotype" w:hAnsi="Palatino Linotype"/>
          <w:lang w:val="es-MX" w:eastAsia="es-MX"/>
        </w:rPr>
      </w:pPr>
      <w:r>
        <w:rPr>
          <w:rFonts w:ascii="Palatino Linotype" w:hAnsi="Palatino Linotype"/>
          <w:lang w:val="es-MX" w:eastAsia="es-MX"/>
        </w:rPr>
        <w:t>Al respecto, e</w:t>
      </w:r>
      <w:r w:rsidR="00D27A23">
        <w:rPr>
          <w:rFonts w:ascii="Palatino Linotype" w:hAnsi="Palatino Linotype"/>
          <w:lang w:val="es-MX" w:eastAsia="es-MX"/>
        </w:rPr>
        <w:t xml:space="preserve">l Titular de la Unidad de Información, Planeación, Programación y Evaluación, </w:t>
      </w:r>
      <w:r>
        <w:rPr>
          <w:rFonts w:ascii="Palatino Linotype" w:hAnsi="Palatino Linotype"/>
          <w:lang w:val="es-MX" w:eastAsia="es-MX"/>
        </w:rPr>
        <w:t xml:space="preserve">remitió </w:t>
      </w:r>
      <w:r w:rsidR="00D27A23">
        <w:rPr>
          <w:rFonts w:ascii="Palatino Linotype" w:hAnsi="Palatino Linotype"/>
          <w:lang w:val="es-MX" w:eastAsia="es-MX"/>
        </w:rPr>
        <w:t xml:space="preserve">bajos los anexos 1 y 2, </w:t>
      </w:r>
      <w:r>
        <w:rPr>
          <w:rFonts w:ascii="Palatino Linotype" w:hAnsi="Palatino Linotype"/>
          <w:lang w:val="es-MX" w:eastAsia="es-MX"/>
        </w:rPr>
        <w:t xml:space="preserve">lo que se inserta mediante captura de </w:t>
      </w:r>
      <w:r w:rsidR="00D27A23">
        <w:rPr>
          <w:rFonts w:ascii="Palatino Linotype" w:hAnsi="Palatino Linotype"/>
          <w:lang w:val="es-MX" w:eastAsia="es-MX"/>
        </w:rPr>
        <w:t>pantalla</w:t>
      </w:r>
      <w:r>
        <w:rPr>
          <w:rFonts w:ascii="Palatino Linotype" w:hAnsi="Palatino Linotype"/>
          <w:lang w:val="es-MX" w:eastAsia="es-MX"/>
        </w:rPr>
        <w:t xml:space="preserve"> enseguida</w:t>
      </w:r>
      <w:r w:rsidR="00D27A23">
        <w:rPr>
          <w:rFonts w:ascii="Palatino Linotype" w:hAnsi="Palatino Linotype"/>
          <w:lang w:val="es-MX" w:eastAsia="es-MX"/>
        </w:rPr>
        <w:t>:</w:t>
      </w:r>
    </w:p>
    <w:p w14:paraId="402FCAA9" w14:textId="26F42A08" w:rsidR="00D27A23" w:rsidRDefault="00D27A23" w:rsidP="00DE0BBF">
      <w:pPr>
        <w:autoSpaceDE w:val="0"/>
        <w:autoSpaceDN w:val="0"/>
        <w:adjustRightInd w:val="0"/>
        <w:spacing w:before="240" w:after="240" w:line="360" w:lineRule="auto"/>
        <w:jc w:val="both"/>
        <w:rPr>
          <w:rFonts w:ascii="Palatino Linotype" w:hAnsi="Palatino Linotype"/>
          <w:lang w:val="es-MX" w:eastAsia="es-MX"/>
        </w:rPr>
      </w:pPr>
      <w:r w:rsidRPr="00D27A23">
        <w:rPr>
          <w:rFonts w:ascii="Palatino Linotype" w:hAnsi="Palatino Linotype"/>
          <w:noProof/>
          <w:lang w:val="es-MX" w:eastAsia="es-MX"/>
        </w:rPr>
        <w:drawing>
          <wp:inline distT="0" distB="0" distL="0" distR="0" wp14:anchorId="7FFD4DD8" wp14:editId="7CA36864">
            <wp:extent cx="5612130" cy="172402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1724025"/>
                    </a:xfrm>
                    <a:prstGeom prst="rect">
                      <a:avLst/>
                    </a:prstGeom>
                  </pic:spPr>
                </pic:pic>
              </a:graphicData>
            </a:graphic>
          </wp:inline>
        </w:drawing>
      </w:r>
    </w:p>
    <w:p w14:paraId="07519D70" w14:textId="71C8989F" w:rsidR="00D27A23" w:rsidRDefault="00D27A23" w:rsidP="00DE0BBF">
      <w:pPr>
        <w:autoSpaceDE w:val="0"/>
        <w:autoSpaceDN w:val="0"/>
        <w:adjustRightInd w:val="0"/>
        <w:spacing w:before="240" w:after="240" w:line="360" w:lineRule="auto"/>
        <w:jc w:val="both"/>
        <w:rPr>
          <w:rFonts w:ascii="Palatino Linotype" w:hAnsi="Palatino Linotype"/>
          <w:lang w:val="es-MX" w:eastAsia="es-MX"/>
        </w:rPr>
      </w:pPr>
      <w:r w:rsidRPr="00D27A23">
        <w:rPr>
          <w:rFonts w:ascii="Palatino Linotype" w:hAnsi="Palatino Linotype"/>
          <w:noProof/>
          <w:lang w:val="es-MX" w:eastAsia="es-MX"/>
        </w:rPr>
        <w:lastRenderedPageBreak/>
        <w:drawing>
          <wp:inline distT="0" distB="0" distL="0" distR="0" wp14:anchorId="3793F2CA" wp14:editId="026020A5">
            <wp:extent cx="5612130" cy="1600200"/>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12130" cy="1600200"/>
                    </a:xfrm>
                    <a:prstGeom prst="rect">
                      <a:avLst/>
                    </a:prstGeom>
                  </pic:spPr>
                </pic:pic>
              </a:graphicData>
            </a:graphic>
          </wp:inline>
        </w:drawing>
      </w:r>
    </w:p>
    <w:p w14:paraId="21C79825" w14:textId="4BDCAB7D" w:rsidR="00FC5295" w:rsidRPr="00FC5295" w:rsidRDefault="00D276C6" w:rsidP="00FC5295">
      <w:pPr>
        <w:spacing w:before="240" w:after="240" w:line="360" w:lineRule="auto"/>
        <w:jc w:val="both"/>
        <w:rPr>
          <w:rFonts w:ascii="Palatino Linotype" w:hAnsi="Palatino Linotype" w:cs="Arial"/>
        </w:rPr>
      </w:pPr>
      <w:r>
        <w:rPr>
          <w:rFonts w:ascii="Palatino Linotype" w:hAnsi="Palatino Linotype"/>
          <w:lang w:val="es-MX" w:eastAsia="es-MX"/>
        </w:rPr>
        <w:t>En ese sentido, es de subrayar que el</w:t>
      </w:r>
      <w:r w:rsidR="008A5D3C">
        <w:rPr>
          <w:rFonts w:ascii="Palatino Linotype" w:hAnsi="Palatino Linotype"/>
          <w:lang w:val="es-MX" w:eastAsia="es-MX"/>
        </w:rPr>
        <w:t xml:space="preserve"> </w:t>
      </w:r>
      <w:r w:rsidR="008A5D3C" w:rsidRPr="008A5D3C">
        <w:rPr>
          <w:rFonts w:ascii="Palatino Linotype" w:hAnsi="Palatino Linotype" w:cs="Arial"/>
          <w:b/>
        </w:rPr>
        <w:t>Sujeto Obligado</w:t>
      </w:r>
      <w:r w:rsidR="008A5D3C">
        <w:rPr>
          <w:rFonts w:ascii="Palatino Linotype" w:hAnsi="Palatino Linotype" w:cs="Arial"/>
        </w:rPr>
        <w:t xml:space="preserve"> no negó la existencia de la información materia de análisis, sino por lo contrario acep</w:t>
      </w:r>
      <w:r w:rsidR="00FC5295">
        <w:rPr>
          <w:rFonts w:ascii="Palatino Linotype" w:hAnsi="Palatino Linotype" w:cs="Arial"/>
        </w:rPr>
        <w:t xml:space="preserve">tó expresamente contar con ella, pero la entregó de manera ilegible, </w:t>
      </w:r>
      <w:r w:rsidR="00FC5295" w:rsidRPr="00FC5295">
        <w:rPr>
          <w:rFonts w:ascii="Palatino Linotype" w:hAnsi="Palatino Linotype" w:cs="Arial"/>
        </w:rPr>
        <w:t xml:space="preserve">por lo que no está garantizando el derecho de acceso a la información, pues no pone en práctica políticas y programas de acceso a la información que se apeguen a un criterio de publicidad y precisión, ya que la documentación tal y como fue entregada no facilita su acceso, ni permite que el solicitante la obtenga de manera directa y sencilla. </w:t>
      </w:r>
    </w:p>
    <w:p w14:paraId="01248FCC" w14:textId="0E768B0F" w:rsidR="00FC5295" w:rsidRPr="00FC5295" w:rsidRDefault="00FC5295" w:rsidP="00FC5295">
      <w:pPr>
        <w:spacing w:before="240" w:after="240" w:line="360" w:lineRule="auto"/>
        <w:jc w:val="both"/>
        <w:rPr>
          <w:rFonts w:ascii="Palatino Linotype" w:hAnsi="Palatino Linotype" w:cs="Arial"/>
        </w:rPr>
      </w:pPr>
      <w:r w:rsidRPr="00FC5295">
        <w:rPr>
          <w:rFonts w:ascii="Palatino Linotype" w:hAnsi="Palatino Linotype" w:cs="Arial"/>
        </w:rPr>
        <w:t xml:space="preserve"> Primeramente, debe dejarse claro que el </w:t>
      </w:r>
      <w:r>
        <w:rPr>
          <w:rFonts w:ascii="Palatino Linotype" w:hAnsi="Palatino Linotype" w:cs="Arial"/>
          <w:b/>
        </w:rPr>
        <w:t>S</w:t>
      </w:r>
      <w:r w:rsidRPr="00FC5295">
        <w:rPr>
          <w:rFonts w:ascii="Palatino Linotype" w:hAnsi="Palatino Linotype" w:cs="Arial"/>
          <w:b/>
        </w:rPr>
        <w:t xml:space="preserve">ujeto </w:t>
      </w:r>
      <w:r>
        <w:rPr>
          <w:rFonts w:ascii="Palatino Linotype" w:hAnsi="Palatino Linotype" w:cs="Arial"/>
          <w:b/>
        </w:rPr>
        <w:t>O</w:t>
      </w:r>
      <w:r w:rsidRPr="00FC5295">
        <w:rPr>
          <w:rFonts w:ascii="Palatino Linotype" w:hAnsi="Palatino Linotype" w:cs="Arial"/>
          <w:b/>
        </w:rPr>
        <w:t>bligado</w:t>
      </w:r>
      <w:r w:rsidRPr="00FC5295">
        <w:rPr>
          <w:rFonts w:ascii="Palatino Linotype" w:hAnsi="Palatino Linotype" w:cs="Arial"/>
        </w:rPr>
        <w:t xml:space="preserve"> en el desahogo de los procedimientos de acceso a la información pública, debe observar los criterios de publicidad, suficiencia, precisión, veracidad y oportunidad en beneficio del solicitante en términos del</w:t>
      </w:r>
      <w:r>
        <w:rPr>
          <w:rFonts w:ascii="Palatino Linotype" w:hAnsi="Palatino Linotype" w:cs="Arial"/>
        </w:rPr>
        <w:t xml:space="preserve"> párrafo tercera del</w:t>
      </w:r>
      <w:r w:rsidRPr="00FC5295">
        <w:rPr>
          <w:rFonts w:ascii="Palatino Linotype" w:hAnsi="Palatino Linotype" w:cs="Arial"/>
        </w:rPr>
        <w:t xml:space="preserve"> artículo </w:t>
      </w:r>
      <w:r>
        <w:rPr>
          <w:rFonts w:ascii="Palatino Linotype" w:hAnsi="Palatino Linotype" w:cs="Arial"/>
        </w:rPr>
        <w:t xml:space="preserve">4 </w:t>
      </w:r>
      <w:r w:rsidRPr="00FC5295">
        <w:rPr>
          <w:rFonts w:ascii="Palatino Linotype" w:hAnsi="Palatino Linotype" w:cs="Arial"/>
        </w:rPr>
        <w:t xml:space="preserve">de la Ley de la materia. </w:t>
      </w:r>
    </w:p>
    <w:p w14:paraId="72AD3C1B" w14:textId="32DE29F6" w:rsidR="00FC5295" w:rsidRPr="00FC5295" w:rsidRDefault="00FC5295" w:rsidP="00FC5295">
      <w:pPr>
        <w:spacing w:before="240" w:after="240" w:line="360" w:lineRule="auto"/>
        <w:jc w:val="both"/>
        <w:rPr>
          <w:rFonts w:ascii="Palatino Linotype" w:hAnsi="Palatino Linotype" w:cs="Arial"/>
        </w:rPr>
      </w:pPr>
      <w:r w:rsidRPr="00FC5295">
        <w:rPr>
          <w:rFonts w:ascii="Palatino Linotype" w:hAnsi="Palatino Linotype" w:cs="Arial"/>
        </w:rPr>
        <w:t>Por lo que en esta tesitura cabe mencionar que como se aprecia</w:t>
      </w:r>
      <w:r w:rsidR="00EC21A7">
        <w:rPr>
          <w:rFonts w:ascii="Palatino Linotype" w:hAnsi="Palatino Linotype" w:cs="Arial"/>
        </w:rPr>
        <w:t>,</w:t>
      </w:r>
      <w:r w:rsidRPr="00FC5295">
        <w:rPr>
          <w:rFonts w:ascii="Palatino Linotype" w:hAnsi="Palatino Linotype" w:cs="Arial"/>
        </w:rPr>
        <w:t xml:space="preserve"> el </w:t>
      </w:r>
      <w:r w:rsidR="00EC21A7">
        <w:rPr>
          <w:rFonts w:ascii="Palatino Linotype" w:hAnsi="Palatino Linotype" w:cs="Arial"/>
          <w:b/>
        </w:rPr>
        <w:t>S</w:t>
      </w:r>
      <w:r w:rsidR="00EC21A7" w:rsidRPr="00FC5295">
        <w:rPr>
          <w:rFonts w:ascii="Palatino Linotype" w:hAnsi="Palatino Linotype" w:cs="Arial"/>
          <w:b/>
        </w:rPr>
        <w:t xml:space="preserve">ujeto </w:t>
      </w:r>
      <w:r w:rsidR="00EC21A7">
        <w:rPr>
          <w:rFonts w:ascii="Palatino Linotype" w:hAnsi="Palatino Linotype" w:cs="Arial"/>
          <w:b/>
        </w:rPr>
        <w:t>O</w:t>
      </w:r>
      <w:r w:rsidR="00EC21A7" w:rsidRPr="00FC5295">
        <w:rPr>
          <w:rFonts w:ascii="Palatino Linotype" w:hAnsi="Palatino Linotype" w:cs="Arial"/>
          <w:b/>
        </w:rPr>
        <w:t>bligado</w:t>
      </w:r>
      <w:r w:rsidRPr="00FC5295">
        <w:rPr>
          <w:rFonts w:ascii="Palatino Linotype" w:hAnsi="Palatino Linotype" w:cs="Arial"/>
        </w:rPr>
        <w:t xml:space="preserve"> proporcion</w:t>
      </w:r>
      <w:r w:rsidR="00EC21A7">
        <w:rPr>
          <w:rFonts w:ascii="Palatino Linotype" w:hAnsi="Palatino Linotype" w:cs="Arial"/>
        </w:rPr>
        <w:t>ó</w:t>
      </w:r>
      <w:r w:rsidRPr="00FC5295">
        <w:rPr>
          <w:rFonts w:ascii="Palatino Linotype" w:hAnsi="Palatino Linotype" w:cs="Arial"/>
        </w:rPr>
        <w:t xml:space="preserve"> la información solicitada </w:t>
      </w:r>
      <w:r w:rsidR="00EC21A7">
        <w:rPr>
          <w:rFonts w:ascii="Palatino Linotype" w:hAnsi="Palatino Linotype" w:cs="Arial"/>
        </w:rPr>
        <w:t>en documentos</w:t>
      </w:r>
      <w:r w:rsidRPr="00FC5295">
        <w:rPr>
          <w:rFonts w:ascii="Palatino Linotype" w:hAnsi="Palatino Linotype" w:cs="Arial"/>
        </w:rPr>
        <w:t xml:space="preserve"> que resultan ilegibles para su debida lectura. Asimismo, se hace notar que en principio podría considerarse que se pretende satisfacer la entrega en la forma y términos requeridos de la información, sin embargo los documento</w:t>
      </w:r>
      <w:r w:rsidR="00EC21A7">
        <w:rPr>
          <w:rFonts w:ascii="Palatino Linotype" w:hAnsi="Palatino Linotype" w:cs="Arial"/>
        </w:rPr>
        <w:t>s enviados resultan ilegibles.</w:t>
      </w:r>
      <w:r w:rsidRPr="00FC5295">
        <w:rPr>
          <w:rFonts w:ascii="Palatino Linotype" w:hAnsi="Palatino Linotype" w:cs="Arial"/>
        </w:rPr>
        <w:t xml:space="preserve"> </w:t>
      </w:r>
    </w:p>
    <w:p w14:paraId="1DA9D321" w14:textId="2C0F555C" w:rsidR="00DC3650" w:rsidRDefault="00FC5295" w:rsidP="00EC21A7">
      <w:pPr>
        <w:spacing w:before="240" w:after="240" w:line="360" w:lineRule="auto"/>
        <w:jc w:val="both"/>
        <w:rPr>
          <w:rFonts w:ascii="Palatino Linotype" w:hAnsi="Palatino Linotype"/>
        </w:rPr>
      </w:pPr>
      <w:r w:rsidRPr="00FC5295">
        <w:rPr>
          <w:rFonts w:ascii="Palatino Linotype" w:hAnsi="Palatino Linotype" w:cs="Arial"/>
        </w:rPr>
        <w:lastRenderedPageBreak/>
        <w:t xml:space="preserve">Por lo que deberá realizar las acciones correspondientes a efecto de proporcionar la información solicitada en </w:t>
      </w:r>
      <w:r w:rsidR="00EC21A7">
        <w:rPr>
          <w:rFonts w:ascii="Palatino Linotype" w:hAnsi="Palatino Linotype" w:cs="Arial"/>
        </w:rPr>
        <w:t xml:space="preserve">un formato legible; además de considerar que conforme </w:t>
      </w:r>
      <w:r w:rsidR="00D276C6">
        <w:rPr>
          <w:rFonts w:ascii="Palatino Linotype" w:hAnsi="Palatino Linotype" w:cs="Arial"/>
        </w:rPr>
        <w:t>a las Políticas para la Entrega del Presupuesto de Egresos Municipal 2021, el Sistema para el Desarrollo Integral de la Familia de Tecámac,</w:t>
      </w:r>
      <w:r w:rsidR="00DC3650">
        <w:rPr>
          <w:rFonts w:ascii="Palatino Linotype" w:hAnsi="Palatino Linotype" w:cs="Arial"/>
        </w:rPr>
        <w:t xml:space="preserve"> es una entidad fiscalizable obligada a entregar el Presupuesto Municipal al </w:t>
      </w:r>
      <w:r>
        <w:rPr>
          <w:rFonts w:ascii="Palatino Linotype" w:hAnsi="Palatino Linotype" w:cs="Arial"/>
        </w:rPr>
        <w:t>Órgano</w:t>
      </w:r>
      <w:r w:rsidR="00DC3650">
        <w:rPr>
          <w:rFonts w:ascii="Palatino Linotype" w:hAnsi="Palatino Linotype" w:cs="Arial"/>
        </w:rPr>
        <w:t xml:space="preserve"> Superior de Fiscalización del Estado de México (OSFEM), </w:t>
      </w:r>
      <w:r w:rsidR="00DC3650">
        <w:rPr>
          <w:rFonts w:ascii="Palatino Linotype" w:hAnsi="Palatino Linotype"/>
        </w:rPr>
        <w:t>se acompañará por información impresa y archivos electrónicos, con base a lo siguiente, atendiendo siempre los lineamientos y disposiciones que establezca el Órgano:</w:t>
      </w:r>
    </w:p>
    <w:p w14:paraId="461B2C91" w14:textId="6567813C" w:rsidR="00DC3650" w:rsidRDefault="00DC3650" w:rsidP="00DC3650">
      <w:pPr>
        <w:pStyle w:val="Prrafodelista"/>
        <w:numPr>
          <w:ilvl w:val="0"/>
          <w:numId w:val="29"/>
        </w:numPr>
        <w:spacing w:before="240" w:after="240" w:line="360" w:lineRule="auto"/>
        <w:jc w:val="both"/>
        <w:rPr>
          <w:rFonts w:ascii="Palatino Linotype" w:hAnsi="Palatino Linotype"/>
        </w:rPr>
      </w:pPr>
      <w:r w:rsidRPr="00DC3650">
        <w:rPr>
          <w:rFonts w:ascii="Palatino Linotype" w:hAnsi="Palatino Linotype"/>
          <w:b/>
        </w:rPr>
        <w:t>Integración de formatos del Programa Anual</w:t>
      </w:r>
      <w:r>
        <w:rPr>
          <w:rFonts w:ascii="Palatino Linotype" w:hAnsi="Palatino Linotype"/>
        </w:rPr>
        <w:t>.</w:t>
      </w:r>
    </w:p>
    <w:p w14:paraId="34A82027" w14:textId="77777777" w:rsidR="00DC3650" w:rsidRDefault="00DC3650" w:rsidP="00DC3650">
      <w:pPr>
        <w:pStyle w:val="Prrafodelista"/>
        <w:spacing w:before="240" w:after="240" w:line="360" w:lineRule="auto"/>
        <w:ind w:left="720"/>
        <w:jc w:val="both"/>
        <w:rPr>
          <w:rFonts w:ascii="Palatino Linotype" w:hAnsi="Palatino Linotype"/>
        </w:rPr>
      </w:pPr>
      <w:r w:rsidRPr="00DC3650">
        <w:sym w:font="Symbol" w:char="F0A7"/>
      </w:r>
      <w:r w:rsidRPr="00DC3650">
        <w:rPr>
          <w:rFonts w:ascii="Palatino Linotype" w:hAnsi="Palatino Linotype"/>
        </w:rPr>
        <w:t xml:space="preserve"> Programa Anual Dimensión Administrativa del Gasto (PbRM-01a) </w:t>
      </w:r>
    </w:p>
    <w:p w14:paraId="0CA32265" w14:textId="77777777" w:rsidR="00DC3650" w:rsidRDefault="00DC3650" w:rsidP="00DC3650">
      <w:pPr>
        <w:pStyle w:val="Prrafodelista"/>
        <w:spacing w:before="240" w:after="240" w:line="360" w:lineRule="auto"/>
        <w:ind w:left="720"/>
        <w:jc w:val="both"/>
        <w:rPr>
          <w:rFonts w:ascii="Palatino Linotype" w:hAnsi="Palatino Linotype"/>
        </w:rPr>
      </w:pPr>
      <w:r w:rsidRPr="00DC3650">
        <w:sym w:font="Symbol" w:char="F0A7"/>
      </w:r>
      <w:r w:rsidRPr="00DC3650">
        <w:rPr>
          <w:rFonts w:ascii="Palatino Linotype" w:hAnsi="Palatino Linotype"/>
        </w:rPr>
        <w:t xml:space="preserve"> Programa Anual Descripción del Programa Presupuestario (PbRM01b) </w:t>
      </w:r>
    </w:p>
    <w:p w14:paraId="53796CE2" w14:textId="77777777" w:rsidR="00DC3650" w:rsidRDefault="00DC3650" w:rsidP="00DC3650">
      <w:pPr>
        <w:pStyle w:val="Prrafodelista"/>
        <w:spacing w:before="240" w:after="240" w:line="360" w:lineRule="auto"/>
        <w:ind w:left="720"/>
        <w:jc w:val="both"/>
        <w:rPr>
          <w:rFonts w:ascii="Palatino Linotype" w:hAnsi="Palatino Linotype"/>
        </w:rPr>
      </w:pPr>
      <w:r w:rsidRPr="00DC3650">
        <w:sym w:font="Symbol" w:char="F0A7"/>
      </w:r>
      <w:r w:rsidRPr="00DC3650">
        <w:rPr>
          <w:rFonts w:ascii="Palatino Linotype" w:hAnsi="Palatino Linotype"/>
        </w:rPr>
        <w:t xml:space="preserve"> Programa Anual de Metas de Actividad por Proyecto (PbRM-01c) </w:t>
      </w:r>
    </w:p>
    <w:p w14:paraId="5DCBC5B7" w14:textId="7452F729" w:rsidR="00DC3650" w:rsidRPr="00DC3650" w:rsidRDefault="00DC3650" w:rsidP="00DC3650">
      <w:pPr>
        <w:pStyle w:val="Prrafodelista"/>
        <w:spacing w:before="240" w:after="240" w:line="360" w:lineRule="auto"/>
        <w:ind w:left="720"/>
        <w:jc w:val="both"/>
        <w:rPr>
          <w:rFonts w:ascii="Palatino Linotype" w:hAnsi="Palatino Linotype"/>
        </w:rPr>
      </w:pPr>
      <w:r w:rsidRPr="00DC3650">
        <w:sym w:font="Symbol" w:char="F0A7"/>
      </w:r>
      <w:r w:rsidRPr="00DC3650">
        <w:rPr>
          <w:rFonts w:ascii="Palatino Linotype" w:hAnsi="Palatino Linotype"/>
        </w:rPr>
        <w:t xml:space="preserve"> Calendarización de Metas de Actividad por Proyecto (PbRM-02a) </w:t>
      </w:r>
    </w:p>
    <w:p w14:paraId="2DE0D0AA" w14:textId="6A984898" w:rsidR="00DC3650" w:rsidRPr="00DC3650" w:rsidRDefault="00DC3650" w:rsidP="00DC3650">
      <w:pPr>
        <w:pStyle w:val="Prrafodelista"/>
        <w:numPr>
          <w:ilvl w:val="0"/>
          <w:numId w:val="29"/>
        </w:numPr>
        <w:spacing w:before="240" w:after="240" w:line="360" w:lineRule="auto"/>
        <w:jc w:val="both"/>
        <w:rPr>
          <w:rFonts w:ascii="Palatino Linotype" w:hAnsi="Palatino Linotype"/>
        </w:rPr>
      </w:pPr>
      <w:r w:rsidRPr="00DC3650">
        <w:rPr>
          <w:rFonts w:ascii="Palatino Linotype" w:hAnsi="Palatino Linotype"/>
          <w:b/>
        </w:rPr>
        <w:t>Integración de formatos para el apartado de Ley de Ingresos</w:t>
      </w:r>
      <w:r>
        <w:rPr>
          <w:rFonts w:ascii="Palatino Linotype" w:hAnsi="Palatino Linotype"/>
          <w:b/>
        </w:rPr>
        <w:t>.</w:t>
      </w:r>
    </w:p>
    <w:p w14:paraId="046FF873" w14:textId="77777777" w:rsidR="00DC3650" w:rsidRDefault="00DC3650" w:rsidP="00DC3650">
      <w:pPr>
        <w:pStyle w:val="Prrafodelista"/>
        <w:spacing w:before="240" w:after="240" w:line="360" w:lineRule="auto"/>
        <w:ind w:left="720"/>
        <w:jc w:val="both"/>
        <w:rPr>
          <w:rFonts w:ascii="Palatino Linotype" w:hAnsi="Palatino Linotype"/>
        </w:rPr>
      </w:pPr>
      <w:r w:rsidRPr="00DC3650">
        <w:rPr>
          <w:rFonts w:ascii="Palatino Linotype" w:hAnsi="Palatino Linotype"/>
        </w:rPr>
        <w:sym w:font="Symbol" w:char="F0A7"/>
      </w:r>
      <w:r w:rsidRPr="00DC3650">
        <w:rPr>
          <w:rFonts w:ascii="Palatino Linotype" w:hAnsi="Palatino Linotype"/>
        </w:rPr>
        <w:t xml:space="preserve"> Carátula de Presupuesto de Ingresos (PbRM-03b) </w:t>
      </w:r>
    </w:p>
    <w:p w14:paraId="512D92AC" w14:textId="1A7F979D" w:rsidR="00DC3650" w:rsidRDefault="00DC3650" w:rsidP="00DC3650">
      <w:pPr>
        <w:pStyle w:val="Prrafodelista"/>
        <w:spacing w:before="240" w:after="240" w:line="360" w:lineRule="auto"/>
        <w:ind w:left="720"/>
        <w:jc w:val="both"/>
        <w:rPr>
          <w:rFonts w:ascii="Palatino Linotype" w:hAnsi="Palatino Linotype"/>
        </w:rPr>
      </w:pPr>
      <w:r w:rsidRPr="00DC3650">
        <w:rPr>
          <w:rFonts w:ascii="Palatino Linotype" w:hAnsi="Palatino Linotype"/>
        </w:rPr>
        <w:sym w:font="Symbol" w:char="F0A7"/>
      </w:r>
      <w:r w:rsidRPr="00DC3650">
        <w:rPr>
          <w:rFonts w:ascii="Palatino Linotype" w:hAnsi="Palatino Linotype"/>
        </w:rPr>
        <w:t xml:space="preserve"> Presupuesto de Ingresos Detallado (PbRM-03</w:t>
      </w:r>
      <w:r>
        <w:rPr>
          <w:rFonts w:ascii="Palatino Linotype" w:hAnsi="Palatino Linotype"/>
        </w:rPr>
        <w:t>ª)</w:t>
      </w:r>
    </w:p>
    <w:p w14:paraId="3FA375E5" w14:textId="77777777" w:rsidR="00DC3650" w:rsidRPr="00DC3650" w:rsidRDefault="00DC3650" w:rsidP="00DC3650">
      <w:pPr>
        <w:pStyle w:val="Prrafodelista"/>
        <w:numPr>
          <w:ilvl w:val="0"/>
          <w:numId w:val="29"/>
        </w:numPr>
        <w:spacing w:before="240" w:after="240" w:line="360" w:lineRule="auto"/>
        <w:jc w:val="both"/>
        <w:rPr>
          <w:rFonts w:ascii="Palatino Linotype" w:hAnsi="Palatino Linotype"/>
        </w:rPr>
      </w:pPr>
      <w:r w:rsidRPr="00DC3650">
        <w:rPr>
          <w:rFonts w:ascii="Palatino Linotype" w:hAnsi="Palatino Linotype"/>
        </w:rPr>
        <w:t>I</w:t>
      </w:r>
      <w:r w:rsidRPr="00DC3650">
        <w:rPr>
          <w:rFonts w:ascii="Palatino Linotype" w:hAnsi="Palatino Linotype"/>
          <w:b/>
        </w:rPr>
        <w:t>ntegración de formatos para el apartado de Presupuesto de Egresos.</w:t>
      </w:r>
    </w:p>
    <w:p w14:paraId="4ED5BCBA" w14:textId="77777777" w:rsidR="00DC3650" w:rsidRDefault="00DC3650" w:rsidP="00DC3650">
      <w:pPr>
        <w:pStyle w:val="Prrafodelista"/>
        <w:spacing w:before="240" w:after="240" w:line="360" w:lineRule="auto"/>
        <w:ind w:left="720"/>
        <w:jc w:val="both"/>
        <w:rPr>
          <w:rFonts w:ascii="Palatino Linotype" w:hAnsi="Palatino Linotype"/>
        </w:rPr>
      </w:pPr>
      <w:r w:rsidRPr="00DC3650">
        <w:rPr>
          <w:rFonts w:ascii="Palatino Linotype" w:hAnsi="Palatino Linotype"/>
        </w:rPr>
        <w:sym w:font="Symbol" w:char="F0A7"/>
      </w:r>
      <w:r w:rsidRPr="00DC3650">
        <w:rPr>
          <w:rFonts w:ascii="Palatino Linotype" w:hAnsi="Palatino Linotype"/>
        </w:rPr>
        <w:t xml:space="preserve">Carátula de Presupuesto de Egresos (PbRM-04d) </w:t>
      </w:r>
    </w:p>
    <w:p w14:paraId="7C4D640B" w14:textId="77777777" w:rsidR="00DC3650" w:rsidRDefault="00DC3650" w:rsidP="00DC3650">
      <w:pPr>
        <w:pStyle w:val="Prrafodelista"/>
        <w:spacing w:before="240" w:after="240" w:line="360" w:lineRule="auto"/>
        <w:ind w:left="720"/>
        <w:jc w:val="both"/>
        <w:rPr>
          <w:rFonts w:ascii="Palatino Linotype" w:hAnsi="Palatino Linotype"/>
        </w:rPr>
      </w:pPr>
      <w:r w:rsidRPr="00DC3650">
        <w:rPr>
          <w:rFonts w:ascii="Palatino Linotype" w:hAnsi="Palatino Linotype"/>
        </w:rPr>
        <w:lastRenderedPageBreak/>
        <w:sym w:font="Symbol" w:char="F0A7"/>
      </w:r>
      <w:r w:rsidRPr="00DC3650">
        <w:rPr>
          <w:rFonts w:ascii="Palatino Linotype" w:hAnsi="Palatino Linotype"/>
        </w:rPr>
        <w:t xml:space="preserve"> Presupuesto de Egresos Global Calendarizado (PbRM-04c) </w:t>
      </w:r>
    </w:p>
    <w:p w14:paraId="72381891" w14:textId="77777777" w:rsidR="00DC3650" w:rsidRDefault="00DC3650" w:rsidP="00DC3650">
      <w:pPr>
        <w:pStyle w:val="Prrafodelista"/>
        <w:spacing w:before="240" w:after="240" w:line="360" w:lineRule="auto"/>
        <w:ind w:left="720"/>
        <w:jc w:val="both"/>
        <w:rPr>
          <w:rFonts w:ascii="Palatino Linotype" w:hAnsi="Palatino Linotype"/>
        </w:rPr>
      </w:pPr>
      <w:r w:rsidRPr="00DC3650">
        <w:rPr>
          <w:rFonts w:ascii="Palatino Linotype" w:hAnsi="Palatino Linotype"/>
        </w:rPr>
        <w:sym w:font="Symbol" w:char="F0A7"/>
      </w:r>
      <w:r w:rsidRPr="00DC3650">
        <w:rPr>
          <w:rFonts w:ascii="Palatino Linotype" w:hAnsi="Palatino Linotype"/>
        </w:rPr>
        <w:t xml:space="preserve"> Tabulador de Sueldos (PbRM-05) </w:t>
      </w:r>
    </w:p>
    <w:p w14:paraId="72C0D33F" w14:textId="77777777" w:rsidR="00DC3650" w:rsidRDefault="00DC3650" w:rsidP="00DC3650">
      <w:pPr>
        <w:pStyle w:val="Prrafodelista"/>
        <w:spacing w:before="240" w:after="240" w:line="360" w:lineRule="auto"/>
        <w:ind w:left="720"/>
        <w:jc w:val="both"/>
        <w:rPr>
          <w:rFonts w:ascii="Palatino Linotype" w:hAnsi="Palatino Linotype"/>
        </w:rPr>
      </w:pPr>
      <w:r w:rsidRPr="00DC3650">
        <w:rPr>
          <w:rFonts w:ascii="Palatino Linotype" w:hAnsi="Palatino Linotype"/>
        </w:rPr>
        <w:sym w:font="Symbol" w:char="F0A7"/>
      </w:r>
      <w:r w:rsidRPr="00DC3650">
        <w:rPr>
          <w:rFonts w:ascii="Palatino Linotype" w:hAnsi="Palatino Linotype"/>
        </w:rPr>
        <w:t xml:space="preserve"> Programa Anual de Adquisiciones (PbRM-06) </w:t>
      </w:r>
    </w:p>
    <w:p w14:paraId="1C78E6F1" w14:textId="6A75008F" w:rsidR="00DC3650" w:rsidRDefault="00DC3650" w:rsidP="00DC3650">
      <w:pPr>
        <w:pStyle w:val="Prrafodelista"/>
        <w:spacing w:before="240" w:after="240" w:line="360" w:lineRule="auto"/>
        <w:ind w:left="720"/>
        <w:jc w:val="both"/>
        <w:rPr>
          <w:rFonts w:ascii="Palatino Linotype" w:hAnsi="Palatino Linotype"/>
        </w:rPr>
      </w:pPr>
      <w:r w:rsidRPr="00DC3650">
        <w:rPr>
          <w:rFonts w:ascii="Palatino Linotype" w:hAnsi="Palatino Linotype"/>
        </w:rPr>
        <w:sym w:font="Symbol" w:char="F0A7"/>
      </w:r>
      <w:r w:rsidRPr="00DC3650">
        <w:rPr>
          <w:rFonts w:ascii="Palatino Linotype" w:hAnsi="Palatino Linotype"/>
        </w:rPr>
        <w:t xml:space="preserve"> Programa Anual de Obra (PbRM-07a) </w:t>
      </w:r>
    </w:p>
    <w:p w14:paraId="5ED9B7CE" w14:textId="6540671E" w:rsidR="00DC3650" w:rsidRPr="00DC3650" w:rsidRDefault="00DC3650" w:rsidP="00DC3650">
      <w:pPr>
        <w:pStyle w:val="Prrafodelista"/>
        <w:spacing w:before="240" w:after="240" w:line="360" w:lineRule="auto"/>
        <w:ind w:left="720"/>
        <w:jc w:val="both"/>
        <w:rPr>
          <w:rFonts w:ascii="Palatino Linotype" w:hAnsi="Palatino Linotype"/>
        </w:rPr>
      </w:pPr>
      <w:r w:rsidRPr="00DC3650">
        <w:rPr>
          <w:rFonts w:ascii="Palatino Linotype" w:hAnsi="Palatino Linotype"/>
        </w:rPr>
        <w:sym w:font="Symbol" w:char="F0A7"/>
      </w:r>
      <w:r w:rsidRPr="00DC3650">
        <w:rPr>
          <w:rFonts w:ascii="Palatino Linotype" w:hAnsi="Palatino Linotype"/>
        </w:rPr>
        <w:t xml:space="preserve"> Programa Anual de Obra (Reparaciones y Mantenimiento) (PbRM-07b)</w:t>
      </w:r>
    </w:p>
    <w:p w14:paraId="0CA81F69" w14:textId="56C6BAE5" w:rsidR="006726A4" w:rsidRDefault="006726A4" w:rsidP="006726A4">
      <w:pPr>
        <w:spacing w:before="240" w:after="240" w:line="360" w:lineRule="auto"/>
        <w:jc w:val="both"/>
        <w:rPr>
          <w:rFonts w:ascii="Palatino Linotype" w:hAnsi="Palatino Linotype"/>
        </w:rPr>
      </w:pPr>
      <w:r w:rsidRPr="006726A4">
        <w:rPr>
          <w:rFonts w:ascii="Palatino Linotype" w:hAnsi="Palatino Linotype"/>
        </w:rPr>
        <w:t>Como se lee, el presupuesto de egresos se acompaña por los formatos PbRM-01a, PbRM01b, PbRM-01c, PbRM-02a, PbRM-03b, PbRM-03a, PbRM-04d, PbRM</w:t>
      </w:r>
      <w:r>
        <w:rPr>
          <w:rFonts w:ascii="Palatino Linotype" w:hAnsi="Palatino Linotype"/>
        </w:rPr>
        <w:t xml:space="preserve">-04c, </w:t>
      </w:r>
      <w:r w:rsidRPr="00DC3650">
        <w:rPr>
          <w:rFonts w:ascii="Palatino Linotype" w:hAnsi="Palatino Linotype"/>
        </w:rPr>
        <w:t>PbRM-05</w:t>
      </w:r>
      <w:r>
        <w:rPr>
          <w:rFonts w:ascii="Palatino Linotype" w:hAnsi="Palatino Linotype"/>
        </w:rPr>
        <w:t xml:space="preserve">, </w:t>
      </w:r>
      <w:r w:rsidRPr="00DC3650">
        <w:rPr>
          <w:rFonts w:ascii="Palatino Linotype" w:hAnsi="Palatino Linotype"/>
        </w:rPr>
        <w:t>PbRM-06</w:t>
      </w:r>
      <w:r>
        <w:rPr>
          <w:rFonts w:ascii="Palatino Linotype" w:hAnsi="Palatino Linotype"/>
        </w:rPr>
        <w:t xml:space="preserve">, </w:t>
      </w:r>
      <w:r w:rsidRPr="00DC3650">
        <w:rPr>
          <w:rFonts w:ascii="Palatino Linotype" w:hAnsi="Palatino Linotype"/>
        </w:rPr>
        <w:t>PbRM-07a</w:t>
      </w:r>
      <w:r>
        <w:rPr>
          <w:rFonts w:ascii="Palatino Linotype" w:hAnsi="Palatino Linotype"/>
        </w:rPr>
        <w:t>, PbRM-07b, entre otros documentos.</w:t>
      </w:r>
    </w:p>
    <w:p w14:paraId="1E72934C" w14:textId="77777777" w:rsidR="00A454E6" w:rsidRDefault="006726A4" w:rsidP="00A454E6">
      <w:pPr>
        <w:spacing w:before="240" w:after="240" w:line="360" w:lineRule="auto"/>
        <w:jc w:val="both"/>
        <w:rPr>
          <w:rFonts w:ascii="Palatino Linotype" w:hAnsi="Palatino Linotype" w:cs="Arial"/>
          <w:bCs/>
          <w:color w:val="000000"/>
        </w:rPr>
      </w:pPr>
      <w:r>
        <w:rPr>
          <w:rFonts w:ascii="Palatino Linotype" w:hAnsi="Palatino Linotype"/>
        </w:rPr>
        <w:t xml:space="preserve">Por lo que se considera, que los dos documentos entregados en vía de informe justificado, no son suficientes para atender el requerimiento de información, por lo que resulta procedente ordenar la entrega de los PbRM generados, poseídos y/o administrados por el </w:t>
      </w:r>
      <w:r>
        <w:rPr>
          <w:rFonts w:ascii="Palatino Linotype" w:hAnsi="Palatino Linotype"/>
          <w:b/>
        </w:rPr>
        <w:t xml:space="preserve">Sujeto Obligado </w:t>
      </w:r>
      <w:r>
        <w:rPr>
          <w:rFonts w:ascii="Palatino Linotype" w:hAnsi="Palatino Linotype"/>
        </w:rPr>
        <w:t>entre el veintitrés de abril de dos mil veinte al veintitrés de abril de dos mil veintiuno, con apoyo en el criterio 09/13</w:t>
      </w:r>
      <w:r w:rsidR="00A454E6">
        <w:rPr>
          <w:rStyle w:val="Refdenotaalpie"/>
          <w:rFonts w:ascii="Palatino Linotype" w:hAnsi="Palatino Linotype"/>
        </w:rPr>
        <w:footnoteReference w:id="2"/>
      </w:r>
      <w:r>
        <w:rPr>
          <w:rFonts w:ascii="Palatino Linotype" w:hAnsi="Palatino Linotype"/>
        </w:rPr>
        <w:t xml:space="preserve"> de los emitidos por el entonces IFAI</w:t>
      </w:r>
      <w:r w:rsidR="00A454E6">
        <w:rPr>
          <w:rFonts w:ascii="Palatino Linotype" w:hAnsi="Palatino Linotype"/>
        </w:rPr>
        <w:t>, toda vez que</w:t>
      </w:r>
      <w:r w:rsidR="008A5D3C">
        <w:rPr>
          <w:rFonts w:ascii="Palatino Linotype" w:hAnsi="Palatino Linotype" w:cs="Arial"/>
          <w:bCs/>
        </w:rPr>
        <w:t xml:space="preserve"> el particular no señaló la temporalidad </w:t>
      </w:r>
      <w:r w:rsidR="00A454E6">
        <w:rPr>
          <w:rFonts w:ascii="Palatino Linotype" w:hAnsi="Palatino Linotype" w:cs="Arial"/>
          <w:bCs/>
        </w:rPr>
        <w:t xml:space="preserve">de entrega </w:t>
      </w:r>
      <w:r w:rsidR="008A5D3C">
        <w:rPr>
          <w:rFonts w:ascii="Palatino Linotype" w:hAnsi="Palatino Linotype" w:cs="Arial"/>
          <w:bCs/>
        </w:rPr>
        <w:t>de la información</w:t>
      </w:r>
      <w:r w:rsidR="00A454E6">
        <w:rPr>
          <w:rFonts w:ascii="Palatino Linotype" w:hAnsi="Palatino Linotype" w:cs="Arial"/>
          <w:bCs/>
          <w:color w:val="000000"/>
        </w:rPr>
        <w:t>.</w:t>
      </w:r>
    </w:p>
    <w:p w14:paraId="253F468A" w14:textId="2C8982A8" w:rsidR="008A5D3C" w:rsidRDefault="006D1AB0" w:rsidP="00A454E6">
      <w:pPr>
        <w:spacing w:before="240" w:after="240" w:line="360" w:lineRule="auto"/>
        <w:jc w:val="both"/>
        <w:rPr>
          <w:rFonts w:ascii="Palatino Linotype" w:hAnsi="Palatino Linotype"/>
        </w:rPr>
      </w:pPr>
      <w:r>
        <w:rPr>
          <w:rFonts w:ascii="Palatino Linotype" w:hAnsi="Palatino Linotype"/>
        </w:rPr>
        <w:lastRenderedPageBreak/>
        <w:t>Cabe considerar por otra parte, los requerimientos de información marcados bajo los numerales 3, 6 y 7, que consisten en lo siguiente:</w:t>
      </w:r>
    </w:p>
    <w:p w14:paraId="24C2E725" w14:textId="642A4052" w:rsidR="006D1AB0" w:rsidRPr="006D1AB0" w:rsidRDefault="006D1AB0" w:rsidP="006D1AB0">
      <w:pPr>
        <w:pStyle w:val="Prrafodelista"/>
        <w:numPr>
          <w:ilvl w:val="0"/>
          <w:numId w:val="25"/>
        </w:numPr>
        <w:autoSpaceDE w:val="0"/>
        <w:autoSpaceDN w:val="0"/>
        <w:adjustRightInd w:val="0"/>
        <w:spacing w:before="240" w:after="240" w:line="360" w:lineRule="auto"/>
        <w:jc w:val="both"/>
        <w:rPr>
          <w:rFonts w:ascii="Palatino Linotype" w:hAnsi="Palatino Linotype"/>
          <w:b/>
          <w:lang w:val="es-MX" w:eastAsia="es-MX"/>
        </w:rPr>
      </w:pPr>
      <w:r w:rsidRPr="006D1AB0">
        <w:rPr>
          <w:rFonts w:ascii="Palatino Linotype" w:hAnsi="Palatino Linotype"/>
          <w:b/>
          <w:lang w:val="es-MX" w:eastAsia="es-MX"/>
        </w:rPr>
        <w:t>Nomina 2019, 2020 y 2021 de todos los niveles de todas las áreas, así como especificar el lugar de trabajo.</w:t>
      </w:r>
    </w:p>
    <w:p w14:paraId="269251D2" w14:textId="56599FE2" w:rsidR="006D1AB0" w:rsidRPr="006D1AB0" w:rsidRDefault="006D1AB0" w:rsidP="006D1AB0">
      <w:pPr>
        <w:pStyle w:val="Prrafodelista"/>
        <w:numPr>
          <w:ilvl w:val="0"/>
          <w:numId w:val="25"/>
        </w:numPr>
        <w:autoSpaceDE w:val="0"/>
        <w:autoSpaceDN w:val="0"/>
        <w:adjustRightInd w:val="0"/>
        <w:spacing w:before="240" w:after="240" w:line="360" w:lineRule="auto"/>
        <w:jc w:val="both"/>
        <w:rPr>
          <w:rFonts w:ascii="Palatino Linotype" w:hAnsi="Palatino Linotype"/>
          <w:b/>
          <w:lang w:val="es-MX" w:eastAsia="es-MX"/>
        </w:rPr>
      </w:pPr>
      <w:r w:rsidRPr="006D1AB0">
        <w:rPr>
          <w:rFonts w:ascii="Palatino Linotype" w:hAnsi="Palatino Linotype"/>
          <w:b/>
          <w:lang w:val="es-MX" w:eastAsia="es-MX"/>
        </w:rPr>
        <w:t>De la Dirección del año 2019, 2020 y 2021 lista de nomina (no recibos) de todos los niveles 2019, 2020 y 2021, con sueldo bruto y neto, área y lugar de trabajo.</w:t>
      </w:r>
    </w:p>
    <w:p w14:paraId="7C20CEC4" w14:textId="11A93D93" w:rsidR="006D1AB0" w:rsidRPr="006D1AB0" w:rsidRDefault="006D1AB0" w:rsidP="006D1AB0">
      <w:pPr>
        <w:pStyle w:val="Prrafodelista"/>
        <w:numPr>
          <w:ilvl w:val="0"/>
          <w:numId w:val="25"/>
        </w:numPr>
        <w:autoSpaceDE w:val="0"/>
        <w:autoSpaceDN w:val="0"/>
        <w:adjustRightInd w:val="0"/>
        <w:spacing w:before="240" w:after="240" w:line="360" w:lineRule="auto"/>
        <w:jc w:val="both"/>
        <w:rPr>
          <w:rFonts w:ascii="Palatino Linotype" w:hAnsi="Palatino Linotype"/>
        </w:rPr>
      </w:pPr>
      <w:r w:rsidRPr="006D1AB0">
        <w:rPr>
          <w:rFonts w:ascii="Palatino Linotype" w:hAnsi="Palatino Linotype"/>
          <w:b/>
          <w:lang w:val="es-MX" w:eastAsia="es-MX"/>
        </w:rPr>
        <w:t>Lista de nomina de todas las áreas 2021 de enero, febrero y marzo, con área de trabajo y función del sistema.</w:t>
      </w:r>
    </w:p>
    <w:p w14:paraId="1BB7CD25" w14:textId="2A6E67A2" w:rsidR="008A5D3C" w:rsidRDefault="001A0491" w:rsidP="008A5D3C">
      <w:pPr>
        <w:spacing w:before="240" w:after="240" w:line="360" w:lineRule="auto"/>
        <w:jc w:val="both"/>
        <w:rPr>
          <w:rFonts w:ascii="Palatino Linotype" w:hAnsi="Palatino Linotype" w:cs="Arial"/>
        </w:rPr>
      </w:pPr>
      <w:r>
        <w:rPr>
          <w:rFonts w:ascii="Palatino Linotype" w:hAnsi="Palatino Linotype" w:cs="Arial"/>
        </w:rPr>
        <w:t xml:space="preserve">Requerimientos de información que fueron atendidos por la Coordinadora Administrativa del Sistema Municipal DIF Tecámac, mediante un documento </w:t>
      </w:r>
      <w:r>
        <w:rPr>
          <w:rFonts w:ascii="Palatino Linotype" w:hAnsi="Palatino Linotype" w:cs="Arial"/>
          <w:i/>
        </w:rPr>
        <w:t xml:space="preserve">ad hoc, </w:t>
      </w:r>
      <w:r>
        <w:rPr>
          <w:rFonts w:ascii="Palatino Linotype" w:hAnsi="Palatino Linotype" w:cs="Arial"/>
        </w:rPr>
        <w:t>en el que se enlista al parecer nombre de los servidores públicos, departamentos, sueldo bruto y neto pagado, como se advierte de la siguiente captura de pantalla que se inserta a modo de ejemplo:</w:t>
      </w:r>
    </w:p>
    <w:p w14:paraId="513788BC" w14:textId="1EBD4348" w:rsidR="001A0491" w:rsidRDefault="001A0491" w:rsidP="008A5D3C">
      <w:pPr>
        <w:spacing w:before="240" w:after="240" w:line="360" w:lineRule="auto"/>
        <w:jc w:val="both"/>
        <w:rPr>
          <w:rFonts w:ascii="Palatino Linotype" w:hAnsi="Palatino Linotype" w:cs="Arial"/>
        </w:rPr>
      </w:pPr>
      <w:r w:rsidRPr="001A0491">
        <w:rPr>
          <w:rFonts w:ascii="Palatino Linotype" w:hAnsi="Palatino Linotype" w:cs="Arial"/>
          <w:noProof/>
          <w:lang w:val="es-MX" w:eastAsia="es-MX"/>
        </w:rPr>
        <w:drawing>
          <wp:inline distT="0" distB="0" distL="0" distR="0" wp14:anchorId="5DCAEB69" wp14:editId="21D093D8">
            <wp:extent cx="5612130" cy="1076325"/>
            <wp:effectExtent l="0" t="0" r="762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1076325"/>
                    </a:xfrm>
                    <a:prstGeom prst="rect">
                      <a:avLst/>
                    </a:prstGeom>
                  </pic:spPr>
                </pic:pic>
              </a:graphicData>
            </a:graphic>
          </wp:inline>
        </w:drawing>
      </w:r>
    </w:p>
    <w:p w14:paraId="0042C7F8" w14:textId="77777777" w:rsidR="006740C5" w:rsidRDefault="001A0491" w:rsidP="008E36B5">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De lo anterior cabe resaltar que</w:t>
      </w:r>
      <w:r w:rsidR="006740C5">
        <w:rPr>
          <w:rFonts w:ascii="Palatino Linotype" w:hAnsi="Palatino Linotype" w:cs="Arial"/>
        </w:rPr>
        <w:t xml:space="preserve">, </w:t>
      </w:r>
      <w:r w:rsidR="006740C5" w:rsidRPr="006740C5">
        <w:rPr>
          <w:rFonts w:ascii="Palatino Linotype" w:hAnsi="Palatino Linotype" w:cs="Arial"/>
        </w:rPr>
        <w:t>los sujetos obligados</w:t>
      </w:r>
      <w:r w:rsidR="006740C5">
        <w:rPr>
          <w:rFonts w:ascii="Palatino Linotype" w:hAnsi="Palatino Linotype" w:cs="Arial"/>
        </w:rPr>
        <w:t xml:space="preserve"> en el ejercicio del derecho de acceso a la información, no </w:t>
      </w:r>
      <w:r w:rsidR="006740C5" w:rsidRPr="006740C5">
        <w:rPr>
          <w:rFonts w:ascii="Palatino Linotype" w:hAnsi="Palatino Linotype" w:cs="Arial"/>
        </w:rPr>
        <w:t xml:space="preserve">están </w:t>
      </w:r>
      <w:r w:rsidR="006740C5">
        <w:rPr>
          <w:rFonts w:ascii="Palatino Linotype" w:hAnsi="Palatino Linotype" w:cs="Arial"/>
        </w:rPr>
        <w:t xml:space="preserve">constreñidos </w:t>
      </w:r>
      <w:r w:rsidR="006740C5" w:rsidRPr="006740C5">
        <w:rPr>
          <w:rFonts w:ascii="Palatino Linotype" w:hAnsi="Palatino Linotype" w:cs="Arial"/>
        </w:rPr>
        <w:t xml:space="preserve">a generar documentos </w:t>
      </w:r>
      <w:r w:rsidR="006740C5" w:rsidRPr="006740C5">
        <w:rPr>
          <w:rFonts w:ascii="Palatino Linotype" w:hAnsi="Palatino Linotype" w:cs="Arial"/>
          <w:i/>
        </w:rPr>
        <w:t>ad hoc</w:t>
      </w:r>
      <w:r w:rsidR="006740C5">
        <w:rPr>
          <w:rFonts w:ascii="Palatino Linotype" w:hAnsi="Palatino Linotype" w:cs="Arial"/>
          <w:i/>
        </w:rPr>
        <w:t xml:space="preserve">, </w:t>
      </w:r>
      <w:r w:rsidR="006740C5">
        <w:rPr>
          <w:rFonts w:ascii="Palatino Linotype" w:hAnsi="Palatino Linotype" w:cs="Arial"/>
        </w:rPr>
        <w:t xml:space="preserve">en el entendido de que el derecho en cuestión, se </w:t>
      </w:r>
      <w:r w:rsidR="006740C5" w:rsidRPr="006740C5">
        <w:rPr>
          <w:rFonts w:ascii="Palatino Linotype" w:hAnsi="Palatino Linotype" w:cs="Arial"/>
        </w:rPr>
        <w:t>satisface con</w:t>
      </w:r>
      <w:r w:rsidR="006740C5">
        <w:rPr>
          <w:rFonts w:ascii="Palatino Linotype" w:hAnsi="Palatino Linotype" w:cs="Arial"/>
        </w:rPr>
        <w:t xml:space="preserve"> entregar </w:t>
      </w:r>
      <w:r w:rsidR="006740C5" w:rsidRPr="006740C5">
        <w:rPr>
          <w:rFonts w:ascii="Palatino Linotype" w:hAnsi="Palatino Linotype" w:cs="Arial"/>
        </w:rPr>
        <w:t xml:space="preserve">los documentos </w:t>
      </w:r>
      <w:r w:rsidR="006740C5" w:rsidRPr="006740C5">
        <w:rPr>
          <w:rFonts w:ascii="Palatino Linotype" w:hAnsi="Palatino Linotype" w:cs="Arial"/>
        </w:rPr>
        <w:lastRenderedPageBreak/>
        <w:t>que generen, posee y administren en el ejercicio de sus atribuciones</w:t>
      </w:r>
      <w:r w:rsidR="006740C5">
        <w:rPr>
          <w:rFonts w:ascii="Palatino Linotype" w:hAnsi="Palatino Linotype" w:cs="Arial"/>
        </w:rPr>
        <w:t>, y en el caso concreto, se observa que el particular desea tener acceso a la nómina.</w:t>
      </w:r>
    </w:p>
    <w:p w14:paraId="7856EB92" w14:textId="60710922" w:rsidR="008E36B5" w:rsidRDefault="006740C5" w:rsidP="008E36B5">
      <w:pPr>
        <w:autoSpaceDE w:val="0"/>
        <w:autoSpaceDN w:val="0"/>
        <w:adjustRightInd w:val="0"/>
        <w:spacing w:before="240" w:after="240" w:line="360" w:lineRule="auto"/>
        <w:jc w:val="both"/>
        <w:rPr>
          <w:rFonts w:ascii="Palatino Linotype" w:hAnsi="Palatino Linotype" w:cstheme="minorBidi"/>
        </w:rPr>
      </w:pPr>
      <w:r>
        <w:rPr>
          <w:rFonts w:ascii="Palatino Linotype" w:hAnsi="Palatino Linotype" w:cs="Arial"/>
        </w:rPr>
        <w:t xml:space="preserve">Consecuentemente es necesario hacer alusión a lo dispuesto por el </w:t>
      </w:r>
      <w:r w:rsidR="008E36B5">
        <w:rPr>
          <w:rFonts w:ascii="Palatino Linotype" w:hAnsi="Palatino Linotype" w:cs="Arial"/>
          <w:color w:val="222222"/>
        </w:rPr>
        <w:t xml:space="preserve">artículo 350 del Código Financiero del Estado de México y Municipios, </w:t>
      </w:r>
      <w:r>
        <w:rPr>
          <w:rFonts w:ascii="Palatino Linotype" w:hAnsi="Palatino Linotype" w:cs="Arial"/>
          <w:color w:val="222222"/>
        </w:rPr>
        <w:t xml:space="preserve">en el que se dispone que </w:t>
      </w:r>
      <w:r w:rsidR="008E36B5">
        <w:rPr>
          <w:rFonts w:ascii="Palatino Linotype" w:hAnsi="Palatino Linotype" w:cs="Arial"/>
          <w:color w:val="222222"/>
        </w:rPr>
        <w:t>los sujetos obligados deberán entregar m</w:t>
      </w:r>
      <w:r w:rsidR="008E36B5">
        <w:rPr>
          <w:rFonts w:ascii="Palatino Linotype" w:hAnsi="Palatino Linotype"/>
        </w:rPr>
        <w:t>ensualmente dentro de los primeros veinte días hábile</w:t>
      </w:r>
      <w:r w:rsidR="008E36B5">
        <w:rPr>
          <w:rFonts w:ascii="Palatino Linotype" w:hAnsi="Palatino Linotype"/>
          <w:i/>
          <w:sz w:val="20"/>
          <w:szCs w:val="20"/>
        </w:rPr>
        <w:t>s</w:t>
      </w:r>
      <w:r w:rsidR="008E36B5">
        <w:rPr>
          <w:rFonts w:ascii="Palatino Linotype" w:hAnsi="Palatino Linotype"/>
        </w:rPr>
        <w:t xml:space="preserve">, a través de la Secretaría y las Tesorerías al Órgano Superior de Fiscalización del Estado de México (OSFEM), para su análisis y evaluación la siguiente información: </w:t>
      </w:r>
    </w:p>
    <w:p w14:paraId="39983BF9" w14:textId="77777777" w:rsidR="008E36B5" w:rsidRDefault="008E36B5" w:rsidP="008E36B5">
      <w:pPr>
        <w:autoSpaceDE w:val="0"/>
        <w:autoSpaceDN w:val="0"/>
        <w:adjustRightInd w:val="0"/>
        <w:spacing w:before="120" w:after="240"/>
        <w:ind w:left="851" w:right="902"/>
        <w:jc w:val="both"/>
        <w:rPr>
          <w:rFonts w:ascii="Palatino Linotype" w:hAnsi="Palatino Linotype"/>
          <w:i/>
          <w:sz w:val="20"/>
          <w:szCs w:val="20"/>
        </w:rPr>
      </w:pPr>
      <w:r>
        <w:rPr>
          <w:rFonts w:ascii="Palatino Linotype" w:hAnsi="Palatino Linotype"/>
          <w:i/>
          <w:sz w:val="20"/>
          <w:szCs w:val="20"/>
        </w:rPr>
        <w:t xml:space="preserve">I. Información patrimonial. </w:t>
      </w:r>
    </w:p>
    <w:p w14:paraId="204183B8" w14:textId="77777777" w:rsidR="008E36B5" w:rsidRDefault="008E36B5" w:rsidP="008E36B5">
      <w:pPr>
        <w:autoSpaceDE w:val="0"/>
        <w:autoSpaceDN w:val="0"/>
        <w:adjustRightInd w:val="0"/>
        <w:spacing w:before="120" w:after="240"/>
        <w:ind w:left="851" w:right="902"/>
        <w:jc w:val="both"/>
        <w:rPr>
          <w:rFonts w:ascii="Palatino Linotype" w:hAnsi="Palatino Linotype"/>
          <w:i/>
          <w:sz w:val="20"/>
          <w:szCs w:val="20"/>
        </w:rPr>
      </w:pPr>
      <w:r>
        <w:rPr>
          <w:rFonts w:ascii="Palatino Linotype" w:hAnsi="Palatino Linotype"/>
          <w:i/>
          <w:sz w:val="20"/>
          <w:szCs w:val="20"/>
        </w:rPr>
        <w:t xml:space="preserve">II. Información presupuestal. </w:t>
      </w:r>
    </w:p>
    <w:p w14:paraId="0C66EF88" w14:textId="77777777" w:rsidR="008E36B5" w:rsidRDefault="008E36B5" w:rsidP="008E36B5">
      <w:pPr>
        <w:autoSpaceDE w:val="0"/>
        <w:autoSpaceDN w:val="0"/>
        <w:adjustRightInd w:val="0"/>
        <w:spacing w:before="120" w:after="240"/>
        <w:ind w:left="851" w:right="902"/>
        <w:jc w:val="both"/>
        <w:rPr>
          <w:rFonts w:ascii="Palatino Linotype" w:hAnsi="Palatino Linotype"/>
          <w:i/>
          <w:sz w:val="20"/>
          <w:szCs w:val="20"/>
        </w:rPr>
      </w:pPr>
      <w:r>
        <w:rPr>
          <w:rFonts w:ascii="Palatino Linotype" w:hAnsi="Palatino Linotype"/>
          <w:i/>
          <w:sz w:val="20"/>
          <w:szCs w:val="20"/>
        </w:rPr>
        <w:t xml:space="preserve">III. Información de la obra pública. </w:t>
      </w:r>
    </w:p>
    <w:p w14:paraId="63FFE508" w14:textId="77777777" w:rsidR="008E36B5" w:rsidRDefault="008E36B5" w:rsidP="008E36B5">
      <w:pPr>
        <w:autoSpaceDE w:val="0"/>
        <w:autoSpaceDN w:val="0"/>
        <w:adjustRightInd w:val="0"/>
        <w:spacing w:before="120" w:after="240"/>
        <w:ind w:left="851" w:right="902"/>
        <w:jc w:val="both"/>
        <w:rPr>
          <w:rFonts w:ascii="Palatino Linotype" w:hAnsi="Palatino Linotype" w:cs="Arial"/>
          <w:i/>
          <w:color w:val="222222"/>
          <w:sz w:val="20"/>
          <w:szCs w:val="20"/>
        </w:rPr>
      </w:pPr>
      <w:r>
        <w:rPr>
          <w:rFonts w:ascii="Palatino Linotype" w:hAnsi="Palatino Linotype"/>
          <w:i/>
          <w:sz w:val="20"/>
          <w:szCs w:val="20"/>
        </w:rPr>
        <w:t>IV. Información de nómina.”</w:t>
      </w:r>
    </w:p>
    <w:p w14:paraId="6B025FAF" w14:textId="42042016" w:rsidR="008E36B5" w:rsidRDefault="008E36B5" w:rsidP="008E36B5">
      <w:pPr>
        <w:shd w:val="clear" w:color="auto" w:fill="FFFFFF"/>
        <w:spacing w:before="240" w:after="240" w:line="360" w:lineRule="auto"/>
        <w:jc w:val="both"/>
        <w:rPr>
          <w:rFonts w:ascii="Palatino Linotype" w:hAnsi="Palatino Linotype" w:cs="Arial"/>
          <w:sz w:val="22"/>
          <w:szCs w:val="22"/>
          <w:lang w:eastAsia="es-MX"/>
        </w:rPr>
      </w:pPr>
      <w:r>
        <w:rPr>
          <w:rFonts w:ascii="Palatino Linotype" w:hAnsi="Palatino Linotype" w:cs="Arial"/>
          <w:lang w:eastAsia="es-MX"/>
        </w:rPr>
        <w:t>Como se advierte del numeral IV deberán enviar la información rel</w:t>
      </w:r>
      <w:r w:rsidR="0067325D">
        <w:rPr>
          <w:rFonts w:ascii="Palatino Linotype" w:hAnsi="Palatino Linotype" w:cs="Arial"/>
          <w:lang w:eastAsia="es-MX"/>
        </w:rPr>
        <w:t>ativa a la nómina del Municipio</w:t>
      </w:r>
      <w:r>
        <w:rPr>
          <w:rFonts w:ascii="Palatino Linotype" w:hAnsi="Palatino Linotype" w:cs="Arial"/>
          <w:lang w:eastAsia="es-MX"/>
        </w:rPr>
        <w:t>.</w:t>
      </w:r>
    </w:p>
    <w:p w14:paraId="551DBF79" w14:textId="55428EA5" w:rsidR="008E36B5" w:rsidRDefault="0067325D" w:rsidP="008E36B5">
      <w:pPr>
        <w:shd w:val="clear" w:color="auto" w:fill="FFFFFF"/>
        <w:spacing w:before="240" w:after="240" w:line="360" w:lineRule="auto"/>
        <w:jc w:val="both"/>
        <w:rPr>
          <w:rFonts w:ascii="Palatino Linotype" w:hAnsi="Palatino Linotype" w:cs="Arial"/>
          <w:lang w:eastAsia="es-MX"/>
        </w:rPr>
      </w:pPr>
      <w:r>
        <w:rPr>
          <w:rFonts w:ascii="Palatino Linotype" w:hAnsi="Palatino Linotype" w:cs="Arial"/>
          <w:lang w:eastAsia="es-MX"/>
        </w:rPr>
        <w:t xml:space="preserve">Así, en la </w:t>
      </w:r>
      <w:r w:rsidR="008E36B5">
        <w:rPr>
          <w:rFonts w:ascii="Palatino Linotype" w:hAnsi="Palatino Linotype" w:cs="Arial"/>
          <w:lang w:eastAsia="es-MX"/>
        </w:rPr>
        <w:t>integración de información de nómina contenida en la Estructura de Integración del Módulo 4, submódulo “Nómina y Comprobantes Fiscales “se compone con la información concerniente a la nómina general, como se advierte de la imagen que se inserta a continuación:</w:t>
      </w:r>
    </w:p>
    <w:p w14:paraId="71476B62" w14:textId="77777777" w:rsidR="008E36B5" w:rsidRDefault="008E36B5" w:rsidP="008E36B5">
      <w:pPr>
        <w:shd w:val="clear" w:color="auto" w:fill="FFFFFF"/>
        <w:spacing w:before="240" w:after="240" w:line="360" w:lineRule="auto"/>
        <w:jc w:val="both"/>
        <w:rPr>
          <w:rFonts w:ascii="Palatino Linotype" w:hAnsi="Palatino Linotype" w:cs="Arial"/>
          <w:lang w:eastAsia="es-MX"/>
        </w:rPr>
      </w:pPr>
      <w:r w:rsidRPr="00D46356">
        <w:rPr>
          <w:rFonts w:ascii="Palatino Linotype" w:hAnsi="Palatino Linotype" w:cs="Arial"/>
          <w:noProof/>
          <w:lang w:val="es-MX" w:eastAsia="es-MX"/>
        </w:rPr>
        <w:lastRenderedPageBreak/>
        <w:drawing>
          <wp:inline distT="0" distB="0" distL="0" distR="0" wp14:anchorId="0C4414D5" wp14:editId="2ADFD764">
            <wp:extent cx="5610560" cy="150982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39732" cy="1517673"/>
                    </a:xfrm>
                    <a:prstGeom prst="rect">
                      <a:avLst/>
                    </a:prstGeom>
                  </pic:spPr>
                </pic:pic>
              </a:graphicData>
            </a:graphic>
          </wp:inline>
        </w:drawing>
      </w:r>
    </w:p>
    <w:p w14:paraId="334FCF33" w14:textId="40C84580" w:rsidR="0067325D" w:rsidRDefault="0067325D" w:rsidP="008E36B5">
      <w:pPr>
        <w:shd w:val="clear" w:color="auto" w:fill="FFFFFF"/>
        <w:spacing w:before="240" w:after="240" w:line="360" w:lineRule="auto"/>
        <w:jc w:val="both"/>
        <w:rPr>
          <w:rFonts w:ascii="Palatino Linotype" w:hAnsi="Palatino Linotype" w:cs="Arial"/>
          <w:lang w:eastAsia="es-MX"/>
        </w:rPr>
      </w:pPr>
      <w:r>
        <w:rPr>
          <w:rFonts w:ascii="Palatino Linotype" w:hAnsi="Palatino Linotype" w:cs="Arial"/>
          <w:lang w:eastAsia="es-MX"/>
        </w:rPr>
        <w:t>La cual deberá entregarse conforme al siguiente formato:</w:t>
      </w:r>
    </w:p>
    <w:p w14:paraId="5BB27223" w14:textId="0DDB9EE4" w:rsidR="0067325D" w:rsidRDefault="0067325D" w:rsidP="008E36B5">
      <w:pPr>
        <w:shd w:val="clear" w:color="auto" w:fill="FFFFFF"/>
        <w:spacing w:before="240" w:after="240" w:line="360" w:lineRule="auto"/>
        <w:jc w:val="both"/>
        <w:rPr>
          <w:rFonts w:ascii="Palatino Linotype" w:hAnsi="Palatino Linotype" w:cs="Arial"/>
          <w:lang w:eastAsia="es-MX"/>
        </w:rPr>
      </w:pPr>
      <w:r w:rsidRPr="0067325D">
        <w:rPr>
          <w:rFonts w:ascii="Palatino Linotype" w:hAnsi="Palatino Linotype" w:cs="Arial"/>
          <w:noProof/>
          <w:lang w:val="es-MX" w:eastAsia="es-MX"/>
        </w:rPr>
        <w:drawing>
          <wp:inline distT="0" distB="0" distL="0" distR="0" wp14:anchorId="3D6B3D56" wp14:editId="05B43711">
            <wp:extent cx="5612130" cy="779780"/>
            <wp:effectExtent l="0" t="0" r="7620"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779780"/>
                    </a:xfrm>
                    <a:prstGeom prst="rect">
                      <a:avLst/>
                    </a:prstGeom>
                  </pic:spPr>
                </pic:pic>
              </a:graphicData>
            </a:graphic>
          </wp:inline>
        </w:drawing>
      </w:r>
    </w:p>
    <w:p w14:paraId="3FF76E14" w14:textId="33C86CC1" w:rsidR="0067325D" w:rsidRPr="006740C5" w:rsidRDefault="0067325D" w:rsidP="008E36B5">
      <w:pPr>
        <w:spacing w:before="240" w:after="240" w:line="360" w:lineRule="auto"/>
        <w:ind w:right="49"/>
        <w:jc w:val="both"/>
        <w:rPr>
          <w:rFonts w:ascii="Palatino Linotype" w:hAnsi="Palatino Linotype"/>
          <w:lang w:val="es-MX" w:eastAsia="es-MX"/>
        </w:rPr>
      </w:pPr>
      <w:r>
        <w:rPr>
          <w:rFonts w:ascii="Palatino Linotype" w:hAnsi="Palatino Linotype"/>
        </w:rPr>
        <w:t xml:space="preserve">Documento de cuyo contenido se advierte nombre, </w:t>
      </w:r>
      <w:r w:rsidRPr="0067325D">
        <w:rPr>
          <w:rFonts w:ascii="Palatino Linotype" w:hAnsi="Palatino Linotype"/>
          <w:lang w:val="es-MX" w:eastAsia="es-MX"/>
        </w:rPr>
        <w:t>sueldo bruto y neto, área</w:t>
      </w:r>
      <w:r>
        <w:rPr>
          <w:rFonts w:ascii="Palatino Linotype" w:hAnsi="Palatino Linotype"/>
          <w:lang w:val="es-MX" w:eastAsia="es-MX"/>
        </w:rPr>
        <w:t xml:space="preserve"> de adscripción, datos que también pueden identificarse conforme a los formatos establecidos en los Lineamientos para la Entrega del Informe Mensual 2019 y 2020, por lo que resulta procedente ordenar su entrega, en su versión pública de conformida</w:t>
      </w:r>
      <w:r w:rsidR="006740C5">
        <w:rPr>
          <w:rFonts w:ascii="Palatino Linotype" w:hAnsi="Palatino Linotype"/>
          <w:lang w:val="es-MX" w:eastAsia="es-MX"/>
        </w:rPr>
        <w:t xml:space="preserve">d con el considerando siguiente, toda vez, que lo entregado no corresponde con la nómina que genera de manera quincenal el </w:t>
      </w:r>
      <w:r w:rsidR="006740C5">
        <w:rPr>
          <w:rFonts w:ascii="Palatino Linotype" w:hAnsi="Palatino Linotype"/>
          <w:b/>
          <w:lang w:val="es-MX" w:eastAsia="es-MX"/>
        </w:rPr>
        <w:t xml:space="preserve">Sujeto Obligado, </w:t>
      </w:r>
      <w:r w:rsidR="006740C5">
        <w:rPr>
          <w:rFonts w:ascii="Palatino Linotype" w:hAnsi="Palatino Linotype"/>
          <w:lang w:val="es-MX" w:eastAsia="es-MX"/>
        </w:rPr>
        <w:t>máxime que no es legible.</w:t>
      </w:r>
    </w:p>
    <w:p w14:paraId="373BFA43" w14:textId="77777777" w:rsidR="00B25B51" w:rsidRDefault="00B00329" w:rsidP="00B00329">
      <w:pPr>
        <w:autoSpaceDE w:val="0"/>
        <w:autoSpaceDN w:val="0"/>
        <w:adjustRightInd w:val="0"/>
        <w:spacing w:before="240" w:after="240" w:line="360" w:lineRule="auto"/>
        <w:jc w:val="both"/>
        <w:rPr>
          <w:rFonts w:ascii="Palatino Linotype" w:hAnsi="Palatino Linotype"/>
        </w:rPr>
      </w:pPr>
      <w:r w:rsidRPr="00B25B51">
        <w:rPr>
          <w:rFonts w:ascii="Palatino Linotype" w:hAnsi="Palatino Linotype"/>
        </w:rPr>
        <w:t xml:space="preserve">Por otro lado, no pasa por alto </w:t>
      </w:r>
      <w:r w:rsidR="00F23450" w:rsidRPr="00B25B51">
        <w:rPr>
          <w:rFonts w:ascii="Palatino Linotype" w:hAnsi="Palatino Linotype"/>
        </w:rPr>
        <w:t>este Instituto</w:t>
      </w:r>
      <w:r w:rsidRPr="00B25B51">
        <w:rPr>
          <w:rFonts w:ascii="Palatino Linotype" w:hAnsi="Palatino Linotype"/>
        </w:rPr>
        <w:t xml:space="preserve">, que del requerimiento de información marcado con el numeral 7, </w:t>
      </w:r>
      <w:r w:rsidR="00B25B51" w:rsidRPr="00B25B51">
        <w:rPr>
          <w:rFonts w:ascii="Palatino Linotype" w:hAnsi="Palatino Linotype"/>
        </w:rPr>
        <w:t>se despre</w:t>
      </w:r>
      <w:r w:rsidR="00B25B51">
        <w:rPr>
          <w:rFonts w:ascii="Palatino Linotype" w:hAnsi="Palatino Linotype"/>
        </w:rPr>
        <w:t>nde que también solicitó la función del Sistema.</w:t>
      </w:r>
    </w:p>
    <w:p w14:paraId="789C35C7" w14:textId="1CA29E3B" w:rsidR="00B00329" w:rsidRDefault="00B25B51" w:rsidP="00B00329">
      <w:pPr>
        <w:autoSpaceDE w:val="0"/>
        <w:autoSpaceDN w:val="0"/>
        <w:adjustRightInd w:val="0"/>
        <w:spacing w:before="240" w:after="240" w:line="360" w:lineRule="auto"/>
        <w:jc w:val="both"/>
        <w:rPr>
          <w:rStyle w:val="Hipervnculo"/>
          <w:rFonts w:ascii="Palatino Linotype" w:hAnsi="Palatino Linotype"/>
          <w:color w:val="auto"/>
          <w:u w:val="none"/>
        </w:rPr>
      </w:pPr>
      <w:r>
        <w:rPr>
          <w:rFonts w:ascii="Palatino Linotype" w:hAnsi="Palatino Linotype"/>
        </w:rPr>
        <w:t>E</w:t>
      </w:r>
      <w:r w:rsidRPr="00B00329">
        <w:rPr>
          <w:rFonts w:ascii="Palatino Linotype" w:hAnsi="Palatino Linotype"/>
        </w:rPr>
        <w:t>n vía de informe justificado</w:t>
      </w:r>
      <w:r w:rsidR="00B00329" w:rsidRPr="00B00329">
        <w:rPr>
          <w:rFonts w:ascii="Palatino Linotype" w:hAnsi="Palatino Linotype"/>
        </w:rPr>
        <w:t xml:space="preserve">, el </w:t>
      </w:r>
      <w:r w:rsidR="00B00329" w:rsidRPr="00B00329">
        <w:rPr>
          <w:rFonts w:ascii="Palatino Linotype" w:hAnsi="Palatino Linotype"/>
          <w:b/>
        </w:rPr>
        <w:t xml:space="preserve">Sujeto Obligado </w:t>
      </w:r>
      <w:r>
        <w:rPr>
          <w:rFonts w:ascii="Palatino Linotype" w:hAnsi="Palatino Linotype"/>
        </w:rPr>
        <w:t>informó</w:t>
      </w:r>
      <w:r w:rsidR="00B00329" w:rsidRPr="00B00329">
        <w:rPr>
          <w:rFonts w:ascii="Palatino Linotype" w:hAnsi="Palatino Linotype"/>
        </w:rPr>
        <w:t xml:space="preserve"> que las facultades y obligaciones de una de las direcciones se encuentra la liga electrónica </w:t>
      </w:r>
      <w:hyperlink r:id="rId20" w:history="1">
        <w:r w:rsidR="00B00329" w:rsidRPr="00B00329">
          <w:rPr>
            <w:rStyle w:val="Hipervnculo"/>
            <w:rFonts w:ascii="Palatino Linotype" w:hAnsi="Palatino Linotype"/>
            <w:u w:val="none"/>
          </w:rPr>
          <w:t>https://www.dropbox.com/scl/fi/jej0xujch34unebb4ei5d/REGLAMENTO-</w:t>
        </w:r>
        <w:r w:rsidR="00B00329" w:rsidRPr="00B00329">
          <w:rPr>
            <w:rStyle w:val="Hipervnculo"/>
            <w:rFonts w:ascii="Palatino Linotype" w:hAnsi="Palatino Linotype"/>
            <w:u w:val="none"/>
          </w:rPr>
          <w:lastRenderedPageBreak/>
          <w:t>NOVIEMBRE-2020.docx?dl=0&amp;rlkey=ljmrlpxl2cacmskrgcx6ydxa9</w:t>
        </w:r>
      </w:hyperlink>
      <w:r w:rsidR="00B00329">
        <w:rPr>
          <w:rStyle w:val="Hipervnculo"/>
          <w:rFonts w:ascii="Palatino Linotype" w:hAnsi="Palatino Linotype"/>
          <w:u w:val="none"/>
        </w:rPr>
        <w:t xml:space="preserve">, </w:t>
      </w:r>
      <w:r w:rsidR="00B00329">
        <w:rPr>
          <w:rStyle w:val="Hipervnculo"/>
          <w:rFonts w:ascii="Palatino Linotype" w:hAnsi="Palatino Linotype"/>
          <w:color w:val="auto"/>
          <w:u w:val="none"/>
        </w:rPr>
        <w:t xml:space="preserve">la cual fue consultada para mejor proveer en el asunto que nos ocupa, localizando el Reglamento Interior del Sistema Municipal para el Desarrollo Integral de la Familia de Tecámac, en donde establecen las atribuciones de cada área, </w:t>
      </w:r>
      <w:r>
        <w:rPr>
          <w:rStyle w:val="Hipervnculo"/>
          <w:rFonts w:ascii="Palatino Linotype" w:hAnsi="Palatino Linotype"/>
          <w:color w:val="auto"/>
          <w:u w:val="none"/>
        </w:rPr>
        <w:t>con lo cual se satisface el derecho de acceso a la información, en virtud por contener las funciones del Sistema, así como de todas las unidades administrativas.</w:t>
      </w:r>
    </w:p>
    <w:p w14:paraId="579473E9" w14:textId="762BC104" w:rsidR="00B00329" w:rsidRDefault="00B00329" w:rsidP="00B00329">
      <w:pPr>
        <w:autoSpaceDE w:val="0"/>
        <w:autoSpaceDN w:val="0"/>
        <w:adjustRightInd w:val="0"/>
        <w:spacing w:before="240" w:after="240" w:line="360" w:lineRule="auto"/>
        <w:jc w:val="both"/>
        <w:rPr>
          <w:rFonts w:ascii="Palatino Linotype" w:hAnsi="Palatino Linotype"/>
          <w:b/>
          <w:lang w:val="es-MX" w:eastAsia="es-MX"/>
        </w:rPr>
      </w:pPr>
      <w:r>
        <w:rPr>
          <w:rStyle w:val="Hipervnculo"/>
          <w:rFonts w:ascii="Palatino Linotype" w:hAnsi="Palatino Linotype"/>
          <w:color w:val="auto"/>
          <w:u w:val="none"/>
        </w:rPr>
        <w:t xml:space="preserve">Ahora bien, en lo que se refiere al requerimiento marcado con el arábigo 4, el particular solicitó el </w:t>
      </w:r>
      <w:r w:rsidRPr="00B00329">
        <w:rPr>
          <w:rFonts w:ascii="Palatino Linotype" w:hAnsi="Palatino Linotype"/>
          <w:b/>
          <w:lang w:val="es-MX" w:eastAsia="es-MX"/>
        </w:rPr>
        <w:t>padrón de beneficiarios de las tarjetas de apoyo en efectivo del año 2019, así como las Reglas de Operación.</w:t>
      </w:r>
    </w:p>
    <w:p w14:paraId="404A366B" w14:textId="5833C879" w:rsidR="00085DE5" w:rsidRPr="00085DE5" w:rsidRDefault="00B00329" w:rsidP="00085DE5">
      <w:pPr>
        <w:autoSpaceDE w:val="0"/>
        <w:autoSpaceDN w:val="0"/>
        <w:adjustRightInd w:val="0"/>
        <w:spacing w:before="240" w:after="240" w:line="360" w:lineRule="auto"/>
        <w:jc w:val="both"/>
        <w:rPr>
          <w:rFonts w:ascii="Palatino Linotype" w:hAnsi="Palatino Linotype"/>
          <w:lang w:val="es-MX" w:eastAsia="es-MX"/>
        </w:rPr>
      </w:pPr>
      <w:r>
        <w:rPr>
          <w:rFonts w:ascii="Palatino Linotype" w:hAnsi="Palatino Linotype"/>
          <w:lang w:val="es-MX" w:eastAsia="es-MX"/>
        </w:rPr>
        <w:t>En este punto, el Director de Bienestar Social</w:t>
      </w:r>
      <w:r w:rsidR="00085DE5">
        <w:rPr>
          <w:rFonts w:ascii="Palatino Linotype" w:hAnsi="Palatino Linotype"/>
          <w:lang w:val="es-MX" w:eastAsia="es-MX"/>
        </w:rPr>
        <w:t xml:space="preserve"> informó que </w:t>
      </w:r>
      <w:r w:rsidR="00910DDE">
        <w:rPr>
          <w:rFonts w:ascii="Palatino Linotype" w:hAnsi="Palatino Linotype"/>
          <w:lang w:val="es-MX" w:eastAsia="es-MX"/>
        </w:rPr>
        <w:t>e</w:t>
      </w:r>
      <w:r w:rsidR="00085DE5" w:rsidRPr="00085DE5">
        <w:rPr>
          <w:rFonts w:ascii="Palatino Linotype" w:hAnsi="Palatino Linotype"/>
          <w:lang w:val="es-MX" w:eastAsia="es-MX"/>
        </w:rPr>
        <w:t>l padrón de beneficiarios de las tarjetas entregadas en el año 2019</w:t>
      </w:r>
      <w:r w:rsidR="00085DE5">
        <w:rPr>
          <w:rFonts w:ascii="Palatino Linotype" w:hAnsi="Palatino Linotype"/>
          <w:lang w:val="es-MX" w:eastAsia="es-MX"/>
        </w:rPr>
        <w:t xml:space="preserve">, </w:t>
      </w:r>
      <w:r w:rsidR="00085DE5" w:rsidRPr="00085DE5">
        <w:rPr>
          <w:rFonts w:ascii="Palatino Linotype" w:hAnsi="Palatino Linotype"/>
          <w:lang w:val="es-MX" w:eastAsia="es-MX"/>
        </w:rPr>
        <w:t>pueden se</w:t>
      </w:r>
      <w:r w:rsidR="00085DE5">
        <w:rPr>
          <w:rFonts w:ascii="Palatino Linotype" w:hAnsi="Palatino Linotype"/>
          <w:lang w:val="es-MX" w:eastAsia="es-MX"/>
        </w:rPr>
        <w:t>r</w:t>
      </w:r>
      <w:r w:rsidR="00085DE5" w:rsidRPr="00085DE5">
        <w:rPr>
          <w:rFonts w:ascii="Palatino Linotype" w:hAnsi="Palatino Linotype"/>
          <w:lang w:val="es-MX" w:eastAsia="es-MX"/>
        </w:rPr>
        <w:t xml:space="preserve"> </w:t>
      </w:r>
      <w:r w:rsidR="00910DDE" w:rsidRPr="00085DE5">
        <w:rPr>
          <w:rFonts w:ascii="Palatino Linotype" w:hAnsi="Palatino Linotype"/>
          <w:lang w:val="es-MX" w:eastAsia="es-MX"/>
        </w:rPr>
        <w:t>consultados</w:t>
      </w:r>
      <w:r w:rsidR="00085DE5" w:rsidRPr="00085DE5">
        <w:rPr>
          <w:rFonts w:ascii="Palatino Linotype" w:hAnsi="Palatino Linotype"/>
          <w:lang w:val="es-MX" w:eastAsia="es-MX"/>
        </w:rPr>
        <w:t xml:space="preserve"> en el A</w:t>
      </w:r>
      <w:r w:rsidR="00085DE5">
        <w:rPr>
          <w:rFonts w:ascii="Palatino Linotype" w:hAnsi="Palatino Linotype"/>
          <w:lang w:val="es-MX" w:eastAsia="es-MX"/>
        </w:rPr>
        <w:t>NEXO 1 y 2, además de indicar que hacía llegar</w:t>
      </w:r>
      <w:r w:rsidR="00085DE5" w:rsidRPr="00085DE5">
        <w:rPr>
          <w:rFonts w:ascii="Palatino Linotype" w:hAnsi="Palatino Linotype"/>
          <w:lang w:val="es-MX" w:eastAsia="es-MX"/>
        </w:rPr>
        <w:t xml:space="preserve"> las re</w:t>
      </w:r>
      <w:r w:rsidR="00910DDE">
        <w:rPr>
          <w:rFonts w:ascii="Palatino Linotype" w:hAnsi="Palatino Linotype"/>
          <w:lang w:val="es-MX" w:eastAsia="es-MX"/>
        </w:rPr>
        <w:t>glas de operación del programa, como se puede leer enseguida:</w:t>
      </w:r>
    </w:p>
    <w:p w14:paraId="7A168401" w14:textId="54EED457" w:rsidR="00085DE5" w:rsidRPr="00085DE5" w:rsidRDefault="00085DE5" w:rsidP="00085DE5">
      <w:pPr>
        <w:autoSpaceDE w:val="0"/>
        <w:autoSpaceDN w:val="0"/>
        <w:adjustRightInd w:val="0"/>
        <w:spacing w:before="240" w:after="240" w:line="360" w:lineRule="auto"/>
        <w:ind w:left="851" w:right="900"/>
        <w:jc w:val="both"/>
        <w:rPr>
          <w:rFonts w:ascii="Palatino Linotype" w:hAnsi="Palatino Linotype"/>
          <w:i/>
          <w:lang w:val="es-MX" w:eastAsia="es-MX"/>
        </w:rPr>
      </w:pPr>
      <w:r>
        <w:rPr>
          <w:rFonts w:ascii="Palatino Linotype" w:hAnsi="Palatino Linotype"/>
          <w:i/>
          <w:lang w:val="es-MX" w:eastAsia="es-MX"/>
        </w:rPr>
        <w:t>“</w:t>
      </w:r>
      <w:r w:rsidRPr="00085DE5">
        <w:rPr>
          <w:rFonts w:ascii="Palatino Linotype" w:hAnsi="Palatino Linotype"/>
          <w:i/>
          <w:lang w:val="es-MX" w:eastAsia="es-MX"/>
        </w:rPr>
        <w:t>El apoyo que se brindará a través de este programa será gratuito y cubierto en su totalidad por un fondo específico del SMDIF, los recursos para la aplicación del programa son recursos propios del Municipio, que se transfieran al (SMDIF) de acuerdo a la disponibilidad presupuesta</w:t>
      </w:r>
      <w:r>
        <w:rPr>
          <w:rFonts w:ascii="Palatino Linotype" w:hAnsi="Palatino Linotype"/>
          <w:i/>
          <w:lang w:val="es-MX" w:eastAsia="es-MX"/>
        </w:rPr>
        <w:t>l</w:t>
      </w:r>
      <w:r w:rsidRPr="00085DE5">
        <w:rPr>
          <w:rFonts w:ascii="Palatino Linotype" w:hAnsi="Palatino Linotype"/>
          <w:i/>
          <w:lang w:val="es-MX" w:eastAsia="es-MX"/>
        </w:rPr>
        <w:t xml:space="preserve">, que, bajo principios de equidad, igualdad y no discriminación se asignaran los apoyos que resulte para apoyo de alimentación y/o salud equivalente de una hasta doce ocasiones de manera mensual, atendiendo a los resultados del semáforo de vulnerabilidad que serán en su fase verde por un monto de$ 900.00 M/N, fase amarilla, por un monto $1,500.00 M/N en su fase </w:t>
      </w:r>
      <w:r w:rsidRPr="00085DE5">
        <w:rPr>
          <w:rFonts w:ascii="Palatino Linotype" w:hAnsi="Palatino Linotype"/>
          <w:i/>
          <w:lang w:val="es-MX" w:eastAsia="es-MX"/>
        </w:rPr>
        <w:lastRenderedPageBreak/>
        <w:t xml:space="preserve">roja $2,500.00 M/N. Cuando la situación se trate de un apoyo a contingencia se atenderá conforme al semáforo de vulnerabilidad, para apoyar a las personas por única ocasión derivado de una contingencia. </w:t>
      </w:r>
    </w:p>
    <w:p w14:paraId="0B3D49B7" w14:textId="4CD31219" w:rsidR="00B00329" w:rsidRDefault="00085DE5" w:rsidP="00085DE5">
      <w:pPr>
        <w:autoSpaceDE w:val="0"/>
        <w:autoSpaceDN w:val="0"/>
        <w:adjustRightInd w:val="0"/>
        <w:spacing w:before="240" w:after="240" w:line="360" w:lineRule="auto"/>
        <w:ind w:left="851" w:right="900"/>
        <w:jc w:val="both"/>
        <w:rPr>
          <w:rFonts w:ascii="Palatino Linotype" w:hAnsi="Palatino Linotype"/>
          <w:i/>
          <w:lang w:val="es-MX" w:eastAsia="es-MX"/>
        </w:rPr>
      </w:pPr>
      <w:r w:rsidRPr="00085DE5">
        <w:rPr>
          <w:rFonts w:ascii="Palatino Linotype" w:hAnsi="Palatino Linotype"/>
          <w:i/>
          <w:lang w:val="es-MX" w:eastAsia="es-MX"/>
        </w:rPr>
        <w:t>Se considera como apoyo contingencias los siguientes rubros:</w:t>
      </w:r>
    </w:p>
    <w:p w14:paraId="15D59539" w14:textId="77777777" w:rsidR="00085DE5" w:rsidRPr="00085DE5" w:rsidRDefault="00085DE5" w:rsidP="00085DE5">
      <w:pPr>
        <w:autoSpaceDE w:val="0"/>
        <w:autoSpaceDN w:val="0"/>
        <w:adjustRightInd w:val="0"/>
        <w:spacing w:after="120"/>
        <w:ind w:left="851" w:right="902"/>
        <w:jc w:val="both"/>
        <w:rPr>
          <w:rStyle w:val="Hipervnculo"/>
          <w:rFonts w:ascii="Palatino Linotype" w:hAnsi="Palatino Linotype"/>
          <w:i/>
          <w:color w:val="auto"/>
          <w:u w:val="none"/>
        </w:rPr>
      </w:pPr>
      <w:r w:rsidRPr="00085DE5">
        <w:rPr>
          <w:rStyle w:val="Hipervnculo"/>
          <w:rFonts w:ascii="Palatino Linotype" w:hAnsi="Palatino Linotype"/>
          <w:i/>
          <w:color w:val="auto"/>
          <w:u w:val="none"/>
        </w:rPr>
        <w:t>•</w:t>
      </w:r>
      <w:r w:rsidRPr="00085DE5">
        <w:rPr>
          <w:rStyle w:val="Hipervnculo"/>
          <w:rFonts w:ascii="Palatino Linotype" w:hAnsi="Palatino Linotype"/>
          <w:i/>
          <w:color w:val="auto"/>
          <w:u w:val="none"/>
        </w:rPr>
        <w:tab/>
        <w:t>Apoyo ayuda funcional</w:t>
      </w:r>
    </w:p>
    <w:p w14:paraId="3DCA6E8B" w14:textId="77777777" w:rsidR="00085DE5" w:rsidRPr="00085DE5" w:rsidRDefault="00085DE5" w:rsidP="00085DE5">
      <w:pPr>
        <w:autoSpaceDE w:val="0"/>
        <w:autoSpaceDN w:val="0"/>
        <w:adjustRightInd w:val="0"/>
        <w:spacing w:after="120"/>
        <w:ind w:left="851" w:right="902"/>
        <w:jc w:val="both"/>
        <w:rPr>
          <w:rStyle w:val="Hipervnculo"/>
          <w:rFonts w:ascii="Palatino Linotype" w:hAnsi="Palatino Linotype"/>
          <w:i/>
          <w:color w:val="auto"/>
          <w:u w:val="none"/>
        </w:rPr>
      </w:pPr>
      <w:r w:rsidRPr="00085DE5">
        <w:rPr>
          <w:rStyle w:val="Hipervnculo"/>
          <w:rFonts w:ascii="Palatino Linotype" w:hAnsi="Palatino Linotype"/>
          <w:i/>
          <w:color w:val="auto"/>
          <w:u w:val="none"/>
        </w:rPr>
        <w:t>•</w:t>
      </w:r>
      <w:r w:rsidRPr="00085DE5">
        <w:rPr>
          <w:rStyle w:val="Hipervnculo"/>
          <w:rFonts w:ascii="Palatino Linotype" w:hAnsi="Palatino Linotype"/>
          <w:i/>
          <w:color w:val="auto"/>
          <w:u w:val="none"/>
        </w:rPr>
        <w:tab/>
        <w:t>Apoyo ayuda técnica.</w:t>
      </w:r>
    </w:p>
    <w:p w14:paraId="19FFA53D" w14:textId="77777777" w:rsidR="00085DE5" w:rsidRPr="00085DE5" w:rsidRDefault="00085DE5" w:rsidP="00085DE5">
      <w:pPr>
        <w:autoSpaceDE w:val="0"/>
        <w:autoSpaceDN w:val="0"/>
        <w:adjustRightInd w:val="0"/>
        <w:spacing w:after="120"/>
        <w:ind w:left="851" w:right="902"/>
        <w:jc w:val="both"/>
        <w:rPr>
          <w:rStyle w:val="Hipervnculo"/>
          <w:rFonts w:ascii="Palatino Linotype" w:hAnsi="Palatino Linotype"/>
          <w:i/>
          <w:color w:val="auto"/>
          <w:u w:val="none"/>
        </w:rPr>
      </w:pPr>
      <w:r w:rsidRPr="00085DE5">
        <w:rPr>
          <w:rStyle w:val="Hipervnculo"/>
          <w:rFonts w:ascii="Palatino Linotype" w:hAnsi="Palatino Linotype"/>
          <w:i/>
          <w:color w:val="auto"/>
          <w:u w:val="none"/>
        </w:rPr>
        <w:t>•</w:t>
      </w:r>
      <w:r w:rsidRPr="00085DE5">
        <w:rPr>
          <w:rStyle w:val="Hipervnculo"/>
          <w:rFonts w:ascii="Palatino Linotype" w:hAnsi="Palatino Linotype"/>
          <w:i/>
          <w:color w:val="auto"/>
          <w:u w:val="none"/>
        </w:rPr>
        <w:tab/>
        <w:t>Apoyo ayuda para medicamentos especializados</w:t>
      </w:r>
    </w:p>
    <w:p w14:paraId="21F60B27" w14:textId="7F72C75C" w:rsidR="00085DE5" w:rsidRDefault="00085DE5" w:rsidP="00085DE5">
      <w:pPr>
        <w:autoSpaceDE w:val="0"/>
        <w:autoSpaceDN w:val="0"/>
        <w:adjustRightInd w:val="0"/>
        <w:spacing w:after="120"/>
        <w:ind w:left="851" w:right="902"/>
        <w:jc w:val="both"/>
        <w:rPr>
          <w:rStyle w:val="Hipervnculo"/>
          <w:rFonts w:ascii="Palatino Linotype" w:hAnsi="Palatino Linotype"/>
          <w:i/>
          <w:color w:val="auto"/>
          <w:u w:val="none"/>
        </w:rPr>
      </w:pPr>
      <w:r w:rsidRPr="00085DE5">
        <w:rPr>
          <w:rStyle w:val="Hipervnculo"/>
          <w:rFonts w:ascii="Palatino Linotype" w:hAnsi="Palatino Linotype"/>
          <w:i/>
          <w:color w:val="auto"/>
          <w:u w:val="none"/>
        </w:rPr>
        <w:t>•</w:t>
      </w:r>
      <w:r w:rsidRPr="00085DE5">
        <w:rPr>
          <w:rStyle w:val="Hipervnculo"/>
          <w:rFonts w:ascii="Palatino Linotype" w:hAnsi="Palatino Linotype"/>
          <w:i/>
          <w:color w:val="auto"/>
          <w:u w:val="none"/>
        </w:rPr>
        <w:tab/>
        <w:t>Apoyo ayuda para gastos de hospitalización y honorarios</w:t>
      </w:r>
    </w:p>
    <w:p w14:paraId="5F48751C" w14:textId="77777777" w:rsidR="00085DE5" w:rsidRPr="00085DE5" w:rsidRDefault="00085DE5" w:rsidP="00085DE5">
      <w:pPr>
        <w:autoSpaceDE w:val="0"/>
        <w:autoSpaceDN w:val="0"/>
        <w:adjustRightInd w:val="0"/>
        <w:spacing w:after="120"/>
        <w:ind w:left="851" w:right="902"/>
        <w:jc w:val="both"/>
        <w:rPr>
          <w:rStyle w:val="Hipervnculo"/>
          <w:rFonts w:ascii="Palatino Linotype" w:hAnsi="Palatino Linotype"/>
          <w:i/>
          <w:color w:val="auto"/>
          <w:u w:val="none"/>
        </w:rPr>
      </w:pPr>
      <w:r w:rsidRPr="00085DE5">
        <w:rPr>
          <w:rStyle w:val="Hipervnculo"/>
          <w:rFonts w:ascii="Palatino Linotype" w:hAnsi="Palatino Linotype"/>
          <w:i/>
          <w:color w:val="auto"/>
          <w:u w:val="none"/>
        </w:rPr>
        <w:t>•</w:t>
      </w:r>
      <w:r w:rsidRPr="00085DE5">
        <w:rPr>
          <w:rStyle w:val="Hipervnculo"/>
          <w:rFonts w:ascii="Palatino Linotype" w:hAnsi="Palatino Linotype"/>
          <w:i/>
          <w:color w:val="auto"/>
          <w:u w:val="none"/>
        </w:rPr>
        <w:tab/>
        <w:t>Apoyo ayuda para estudios de laboratorio y gabinete</w:t>
      </w:r>
    </w:p>
    <w:p w14:paraId="79C18E5B" w14:textId="77777777" w:rsidR="00085DE5" w:rsidRPr="00085DE5" w:rsidRDefault="00085DE5" w:rsidP="00085DE5">
      <w:pPr>
        <w:autoSpaceDE w:val="0"/>
        <w:autoSpaceDN w:val="0"/>
        <w:adjustRightInd w:val="0"/>
        <w:spacing w:after="120"/>
        <w:ind w:left="851" w:right="902"/>
        <w:jc w:val="both"/>
        <w:rPr>
          <w:rStyle w:val="Hipervnculo"/>
          <w:rFonts w:ascii="Palatino Linotype" w:hAnsi="Palatino Linotype"/>
          <w:i/>
          <w:color w:val="auto"/>
          <w:u w:val="none"/>
        </w:rPr>
      </w:pPr>
      <w:r w:rsidRPr="00085DE5">
        <w:rPr>
          <w:rStyle w:val="Hipervnculo"/>
          <w:rFonts w:ascii="Palatino Linotype" w:hAnsi="Palatino Linotype"/>
          <w:i/>
          <w:color w:val="auto"/>
          <w:u w:val="none"/>
        </w:rPr>
        <w:t>•</w:t>
      </w:r>
      <w:r w:rsidRPr="00085DE5">
        <w:rPr>
          <w:rStyle w:val="Hipervnculo"/>
          <w:rFonts w:ascii="Palatino Linotype" w:hAnsi="Palatino Linotype"/>
          <w:i/>
          <w:color w:val="auto"/>
          <w:u w:val="none"/>
        </w:rPr>
        <w:tab/>
        <w:t>Apoyo ayuda para la atención de enfermedades crónico degenerativas, oncológicas, neurológicas o psiquiátrica</w:t>
      </w:r>
    </w:p>
    <w:p w14:paraId="71570915" w14:textId="4843C7CA" w:rsidR="00085DE5" w:rsidRPr="00085DE5" w:rsidRDefault="00085DE5" w:rsidP="00085DE5">
      <w:pPr>
        <w:autoSpaceDE w:val="0"/>
        <w:autoSpaceDN w:val="0"/>
        <w:adjustRightInd w:val="0"/>
        <w:spacing w:after="120"/>
        <w:ind w:left="851" w:right="902"/>
        <w:jc w:val="both"/>
        <w:rPr>
          <w:rStyle w:val="Hipervnculo"/>
          <w:rFonts w:ascii="Palatino Linotype" w:hAnsi="Palatino Linotype"/>
          <w:i/>
          <w:color w:val="auto"/>
          <w:u w:val="none"/>
        </w:rPr>
      </w:pPr>
      <w:r w:rsidRPr="00085DE5">
        <w:rPr>
          <w:rStyle w:val="Hipervnculo"/>
          <w:rFonts w:ascii="Palatino Linotype" w:hAnsi="Palatino Linotype"/>
          <w:i/>
          <w:color w:val="auto"/>
          <w:u w:val="none"/>
        </w:rPr>
        <w:t>•</w:t>
      </w:r>
      <w:r w:rsidRPr="00085DE5">
        <w:rPr>
          <w:rStyle w:val="Hipervnculo"/>
          <w:rFonts w:ascii="Palatino Linotype" w:hAnsi="Palatino Linotype"/>
          <w:i/>
          <w:color w:val="auto"/>
          <w:u w:val="none"/>
        </w:rPr>
        <w:tab/>
        <w:t>Apoyo a la vivienda.</w:t>
      </w:r>
      <w:r>
        <w:rPr>
          <w:rStyle w:val="Hipervnculo"/>
          <w:rFonts w:ascii="Palatino Linotype" w:hAnsi="Palatino Linotype"/>
          <w:i/>
          <w:color w:val="auto"/>
          <w:u w:val="none"/>
        </w:rPr>
        <w:t>”</w:t>
      </w:r>
    </w:p>
    <w:p w14:paraId="67DCBFB6" w14:textId="77777777" w:rsidR="00910DDE" w:rsidRDefault="00085DE5" w:rsidP="00910DDE">
      <w:pPr>
        <w:autoSpaceDE w:val="0"/>
        <w:autoSpaceDN w:val="0"/>
        <w:adjustRightInd w:val="0"/>
        <w:spacing w:before="240" w:after="240" w:line="360" w:lineRule="auto"/>
        <w:jc w:val="both"/>
        <w:rPr>
          <w:rFonts w:ascii="Palatino Linotype" w:eastAsiaTheme="minorEastAsia" w:hAnsi="Palatino Linotype" w:cs="Arial"/>
          <w:lang w:val="es-MX"/>
        </w:rPr>
      </w:pPr>
      <w:r>
        <w:rPr>
          <w:rFonts w:ascii="Palatino Linotype" w:hAnsi="Palatino Linotype"/>
        </w:rPr>
        <w:t>Además adjunt</w:t>
      </w:r>
      <w:r w:rsidR="00B25B51">
        <w:rPr>
          <w:rFonts w:ascii="Palatino Linotype" w:hAnsi="Palatino Linotype"/>
        </w:rPr>
        <w:t>ó</w:t>
      </w:r>
      <w:r>
        <w:rPr>
          <w:rFonts w:ascii="Palatino Linotype" w:hAnsi="Palatino Linotype"/>
        </w:rPr>
        <w:t xml:space="preserve"> los dictámenes que emitieron el Comité de Admisión, Evaluación y Seguimiento del Sistema Municipal de Bienestar Social, mediante el cual se publicó la procedencia de beneficiarios, de los que se desprende el nombre y vertiente de los be</w:t>
      </w:r>
      <w:r w:rsidR="00910DDE">
        <w:rPr>
          <w:rFonts w:ascii="Palatino Linotype" w:hAnsi="Palatino Linotype"/>
        </w:rPr>
        <w:t xml:space="preserve">neficiarios, es decir el padrón; de cuyo contenido se advierte </w:t>
      </w:r>
      <w:r w:rsidR="004C7623">
        <w:rPr>
          <w:rFonts w:ascii="Palatino Linotype" w:eastAsiaTheme="minorEastAsia" w:hAnsi="Palatino Linotype" w:cs="Arial"/>
          <w:lang w:val="es-MX"/>
        </w:rPr>
        <w:t>el nombre de las personas que fueron beneficiadas y/o apoyadas</w:t>
      </w:r>
      <w:r w:rsidR="00910DDE">
        <w:rPr>
          <w:rFonts w:ascii="Palatino Linotype" w:eastAsiaTheme="minorEastAsia" w:hAnsi="Palatino Linotype" w:cs="Arial"/>
          <w:lang w:val="es-MX"/>
        </w:rPr>
        <w:t xml:space="preserve"> en los rubros de</w:t>
      </w:r>
      <w:r w:rsidR="004C7623">
        <w:rPr>
          <w:rFonts w:ascii="Palatino Linotype" w:eastAsiaTheme="minorEastAsia" w:hAnsi="Palatino Linotype" w:cs="Arial"/>
          <w:lang w:val="es-MX"/>
        </w:rPr>
        <w:t xml:space="preserve"> </w:t>
      </w:r>
      <w:r w:rsidR="004C7623">
        <w:rPr>
          <w:rFonts w:ascii="Palatino Linotype" w:eastAsia="Calibri" w:hAnsi="Palatino Linotype"/>
          <w:lang w:val="es-MX" w:eastAsia="en-US"/>
        </w:rPr>
        <w:t>salud</w:t>
      </w:r>
      <w:r w:rsidR="00910DDE">
        <w:rPr>
          <w:rFonts w:ascii="Palatino Linotype" w:eastAsia="Calibri" w:hAnsi="Palatino Linotype"/>
          <w:lang w:val="es-MX" w:eastAsia="en-US"/>
        </w:rPr>
        <w:t xml:space="preserve"> y</w:t>
      </w:r>
      <w:r w:rsidR="004C7623">
        <w:rPr>
          <w:rFonts w:ascii="Palatino Linotype" w:eastAsia="Calibri" w:hAnsi="Palatino Linotype"/>
          <w:lang w:val="es-MX" w:eastAsia="en-US"/>
        </w:rPr>
        <w:t xml:space="preserve"> alimentación</w:t>
      </w:r>
      <w:r w:rsidR="00910DDE">
        <w:rPr>
          <w:rFonts w:ascii="Palatino Linotype" w:eastAsia="Calibri" w:hAnsi="Palatino Linotype"/>
          <w:lang w:val="es-MX" w:eastAsia="en-US"/>
        </w:rPr>
        <w:t>; así como con:</w:t>
      </w:r>
      <w:r w:rsidR="004C7623">
        <w:rPr>
          <w:rFonts w:ascii="Palatino Linotype" w:eastAsia="Calibri" w:hAnsi="Palatino Linotype"/>
          <w:lang w:val="es-MX" w:eastAsia="en-US"/>
        </w:rPr>
        <w:t xml:space="preserve"> sillas de ruedas, aparatos auditivos, andadera, lentes, glucómetro, baumanometro, bastón,  materiales de construcción</w:t>
      </w:r>
      <w:r w:rsidR="00910DDE">
        <w:rPr>
          <w:rFonts w:ascii="Palatino Linotype" w:eastAsiaTheme="minorEastAsia" w:hAnsi="Palatino Linotype" w:cs="Arial"/>
          <w:lang w:val="es-MX"/>
        </w:rPr>
        <w:t>.</w:t>
      </w:r>
    </w:p>
    <w:p w14:paraId="4AED966B" w14:textId="246A3CFC" w:rsidR="00910DDE" w:rsidRDefault="00910DDE" w:rsidP="00910DDE">
      <w:pPr>
        <w:spacing w:before="240" w:after="240" w:line="360" w:lineRule="auto"/>
        <w:jc w:val="both"/>
        <w:rPr>
          <w:rFonts w:ascii="Palatino Linotype" w:hAnsi="Palatino Linotype" w:cs="Arial"/>
        </w:rPr>
      </w:pPr>
      <w:r>
        <w:rPr>
          <w:rFonts w:ascii="Palatino Linotype" w:hAnsi="Palatino Linotype" w:cs="Arial"/>
        </w:rPr>
        <w:t xml:space="preserve">En ese sentido, este Pleno considera que lo entregado no atiende los requerimientos de información, toda vez que el </w:t>
      </w:r>
      <w:r>
        <w:rPr>
          <w:rFonts w:ascii="Palatino Linotype" w:hAnsi="Palatino Linotype" w:cs="Arial"/>
          <w:b/>
        </w:rPr>
        <w:t xml:space="preserve">Sujeto Obligado </w:t>
      </w:r>
      <w:r>
        <w:rPr>
          <w:rFonts w:ascii="Palatino Linotype" w:hAnsi="Palatino Linotype" w:cs="Arial"/>
        </w:rPr>
        <w:t>en un principio aceptó que entrega apoyos en efectivo, conforme al siguiente semáforo de contingencia:</w:t>
      </w:r>
    </w:p>
    <w:p w14:paraId="17247B8F" w14:textId="77777777" w:rsidR="00910DDE" w:rsidRPr="00910DDE" w:rsidRDefault="00910DDE" w:rsidP="00910DDE">
      <w:pPr>
        <w:pStyle w:val="Prrafodelista"/>
        <w:numPr>
          <w:ilvl w:val="0"/>
          <w:numId w:val="30"/>
        </w:numPr>
        <w:spacing w:after="120"/>
        <w:ind w:left="714" w:hanging="357"/>
        <w:jc w:val="both"/>
        <w:rPr>
          <w:rFonts w:ascii="Palatino Linotype" w:eastAsia="Calibri" w:hAnsi="Palatino Linotype"/>
          <w:lang w:val="es-MX" w:eastAsia="en-US"/>
        </w:rPr>
      </w:pPr>
      <w:r w:rsidRPr="00910DDE">
        <w:rPr>
          <w:rFonts w:ascii="Palatino Linotype" w:hAnsi="Palatino Linotype" w:cs="Arial"/>
          <w:i/>
        </w:rPr>
        <w:lastRenderedPageBreak/>
        <w:t xml:space="preserve">Fase verde </w:t>
      </w:r>
      <w:r w:rsidRPr="00910DDE">
        <w:rPr>
          <w:rFonts w:ascii="Palatino Linotype" w:hAnsi="Palatino Linotype"/>
          <w:i/>
          <w:lang w:val="es-MX" w:eastAsia="es-MX"/>
        </w:rPr>
        <w:t>$ 900.00 M/N</w:t>
      </w:r>
      <w:r>
        <w:rPr>
          <w:rFonts w:ascii="Palatino Linotype" w:hAnsi="Palatino Linotype"/>
          <w:i/>
          <w:lang w:val="es-MX" w:eastAsia="es-MX"/>
        </w:rPr>
        <w:t>.</w:t>
      </w:r>
    </w:p>
    <w:p w14:paraId="5BA48D27" w14:textId="77777777" w:rsidR="00910DDE" w:rsidRPr="00910DDE" w:rsidRDefault="00910DDE" w:rsidP="00910DDE">
      <w:pPr>
        <w:pStyle w:val="Prrafodelista"/>
        <w:numPr>
          <w:ilvl w:val="0"/>
          <w:numId w:val="30"/>
        </w:numPr>
        <w:spacing w:after="120"/>
        <w:ind w:left="714" w:hanging="357"/>
        <w:jc w:val="both"/>
        <w:rPr>
          <w:rFonts w:ascii="Palatino Linotype" w:eastAsia="Calibri" w:hAnsi="Palatino Linotype"/>
          <w:lang w:val="es-MX" w:eastAsia="en-US"/>
        </w:rPr>
      </w:pPr>
      <w:r>
        <w:rPr>
          <w:rFonts w:ascii="Palatino Linotype" w:hAnsi="Palatino Linotype"/>
          <w:i/>
          <w:lang w:val="es-MX" w:eastAsia="es-MX"/>
        </w:rPr>
        <w:t>F</w:t>
      </w:r>
      <w:r w:rsidRPr="00910DDE">
        <w:rPr>
          <w:rFonts w:ascii="Palatino Linotype" w:hAnsi="Palatino Linotype"/>
          <w:i/>
          <w:lang w:val="es-MX" w:eastAsia="es-MX"/>
        </w:rPr>
        <w:t>ase amarilla, $1,500.00 M/N</w:t>
      </w:r>
      <w:r>
        <w:rPr>
          <w:rFonts w:ascii="Palatino Linotype" w:hAnsi="Palatino Linotype"/>
          <w:i/>
          <w:lang w:val="es-MX" w:eastAsia="es-MX"/>
        </w:rPr>
        <w:t>.</w:t>
      </w:r>
    </w:p>
    <w:p w14:paraId="334085A1" w14:textId="77777777" w:rsidR="00910DDE" w:rsidRPr="00910DDE" w:rsidRDefault="00910DDE" w:rsidP="00910DDE">
      <w:pPr>
        <w:pStyle w:val="Prrafodelista"/>
        <w:numPr>
          <w:ilvl w:val="0"/>
          <w:numId w:val="30"/>
        </w:numPr>
        <w:spacing w:after="120"/>
        <w:ind w:left="714" w:hanging="357"/>
        <w:jc w:val="both"/>
        <w:rPr>
          <w:rFonts w:ascii="Palatino Linotype" w:eastAsia="Calibri" w:hAnsi="Palatino Linotype"/>
          <w:lang w:val="es-MX" w:eastAsia="en-US"/>
        </w:rPr>
      </w:pPr>
      <w:r>
        <w:rPr>
          <w:rFonts w:ascii="Palatino Linotype" w:hAnsi="Palatino Linotype"/>
          <w:i/>
          <w:lang w:val="es-MX" w:eastAsia="es-MX"/>
        </w:rPr>
        <w:t>F</w:t>
      </w:r>
      <w:r w:rsidRPr="00910DDE">
        <w:rPr>
          <w:rFonts w:ascii="Palatino Linotype" w:hAnsi="Palatino Linotype"/>
          <w:i/>
          <w:lang w:val="es-MX" w:eastAsia="es-MX"/>
        </w:rPr>
        <w:t>ase roja $2,500.00 M/N.</w:t>
      </w:r>
    </w:p>
    <w:p w14:paraId="6D4EB058" w14:textId="5AF986A7" w:rsidR="00F04610" w:rsidRDefault="00910DDE" w:rsidP="00F04610">
      <w:pPr>
        <w:spacing w:before="240" w:after="240" w:line="360" w:lineRule="auto"/>
        <w:jc w:val="both"/>
        <w:rPr>
          <w:rFonts w:ascii="Palatino Linotype" w:eastAsiaTheme="minorEastAsia" w:hAnsi="Palatino Linotype" w:cs="Arial"/>
          <w:lang w:val="es-MX"/>
        </w:rPr>
      </w:pPr>
      <w:r>
        <w:rPr>
          <w:rFonts w:ascii="Palatino Linotype" w:hAnsi="Palatino Linotype" w:cs="Arial"/>
        </w:rPr>
        <w:t xml:space="preserve">Sin embargo, el padrón proporcionado hace referencia a apoyos en especie, bajo los rubros </w:t>
      </w:r>
      <w:r w:rsidRPr="00910DDE">
        <w:rPr>
          <w:rFonts w:ascii="Palatino Linotype" w:hAnsi="Palatino Linotype"/>
          <w:lang w:val="es-MX" w:eastAsia="es-MX"/>
        </w:rPr>
        <w:t>s</w:t>
      </w:r>
      <w:r w:rsidRPr="00910DDE">
        <w:rPr>
          <w:rFonts w:ascii="Palatino Linotype" w:eastAsia="Calibri" w:hAnsi="Palatino Linotype"/>
          <w:lang w:val="es-MX" w:eastAsia="en-US"/>
        </w:rPr>
        <w:t>alud, alimentación, sillas de ruedas, aparatos auditivos, andadera, lentes, glucómetro, baumanometro, bast</w:t>
      </w:r>
      <w:r w:rsidR="00F04610">
        <w:rPr>
          <w:rFonts w:ascii="Palatino Linotype" w:eastAsia="Calibri" w:hAnsi="Palatino Linotype"/>
          <w:lang w:val="es-MX" w:eastAsia="en-US"/>
        </w:rPr>
        <w:t xml:space="preserve">ón y materiales de construcción, por lo que se determinó no hacer del conocimiento del particular, al considerarse que los beneficiarios </w:t>
      </w:r>
      <w:r w:rsidR="004C7623">
        <w:rPr>
          <w:rFonts w:ascii="Palatino Linotype" w:eastAsiaTheme="minorEastAsia" w:hAnsi="Palatino Linotype" w:cs="Arial"/>
          <w:lang w:val="es-MX"/>
        </w:rPr>
        <w:t>pudieran ser expuestos a situaciones de discriminación</w:t>
      </w:r>
      <w:r w:rsidR="00F04610">
        <w:rPr>
          <w:rFonts w:ascii="Palatino Linotype" w:eastAsiaTheme="minorEastAsia" w:hAnsi="Palatino Linotype" w:cs="Arial"/>
          <w:lang w:val="es-MX"/>
        </w:rPr>
        <w:t>.</w:t>
      </w:r>
    </w:p>
    <w:p w14:paraId="403804B7" w14:textId="31AF98A0" w:rsidR="004C7623" w:rsidRPr="005A682E" w:rsidRDefault="00F04610" w:rsidP="00F04610">
      <w:pPr>
        <w:spacing w:before="240" w:after="240" w:line="360" w:lineRule="auto"/>
        <w:jc w:val="both"/>
        <w:rPr>
          <w:rFonts w:ascii="Palatino Linotype" w:hAnsi="Palatino Linotype"/>
        </w:rPr>
      </w:pPr>
      <w:r>
        <w:rPr>
          <w:rFonts w:ascii="Palatino Linotype" w:eastAsiaTheme="minorEastAsia" w:hAnsi="Palatino Linotype" w:cs="Arial"/>
          <w:lang w:val="es-MX"/>
        </w:rPr>
        <w:t>T</w:t>
      </w:r>
      <w:r w:rsidR="004C7623" w:rsidRPr="00F36CCC">
        <w:rPr>
          <w:rFonts w:ascii="Palatino Linotype" w:eastAsiaTheme="minorEastAsia" w:hAnsi="Palatino Linotype" w:cs="Arial"/>
          <w:lang w:val="es-MX"/>
        </w:rPr>
        <w:t>oda vez que</w:t>
      </w:r>
      <w:r>
        <w:rPr>
          <w:rFonts w:ascii="Palatino Linotype" w:eastAsiaTheme="minorEastAsia" w:hAnsi="Palatino Linotype" w:cs="Arial"/>
          <w:lang w:val="es-MX"/>
        </w:rPr>
        <w:t>,</w:t>
      </w:r>
      <w:r w:rsidR="004C7623" w:rsidRPr="00F36CCC">
        <w:rPr>
          <w:rFonts w:ascii="Palatino Linotype" w:eastAsiaTheme="minorEastAsia" w:hAnsi="Palatino Linotype" w:cs="Arial"/>
          <w:lang w:val="es-MX"/>
        </w:rPr>
        <w:t xml:space="preserve"> el Sistema Municipal para el Desarrollo Integral de la Familia de </w:t>
      </w:r>
      <w:r w:rsidR="004C7623">
        <w:rPr>
          <w:rFonts w:ascii="Palatino Linotype" w:eastAsiaTheme="minorEastAsia" w:hAnsi="Palatino Linotype" w:cs="Arial"/>
          <w:lang w:val="es-MX"/>
        </w:rPr>
        <w:t>Tecámac,</w:t>
      </w:r>
      <w:r w:rsidR="004C7623" w:rsidRPr="00F36CCC">
        <w:rPr>
          <w:rFonts w:ascii="Palatino Linotype" w:eastAsiaTheme="minorEastAsia" w:hAnsi="Palatino Linotype" w:cs="Arial"/>
          <w:lang w:val="es-MX"/>
        </w:rPr>
        <w:t xml:space="preserve"> tiene como</w:t>
      </w:r>
      <w:r w:rsidR="004C7623">
        <w:rPr>
          <w:rFonts w:ascii="Palatino Linotype" w:eastAsiaTheme="minorEastAsia" w:hAnsi="Palatino Linotype" w:cs="Arial"/>
          <w:lang w:val="es-MX"/>
        </w:rPr>
        <w:t xml:space="preserve"> objetivos asegurar la atención permanente a la población marginada </w:t>
      </w:r>
      <w:r w:rsidR="004C7623" w:rsidRPr="005A682E">
        <w:rPr>
          <w:rFonts w:ascii="Palatino Linotype" w:hAnsi="Palatino Linotype"/>
        </w:rPr>
        <w:t>brindando servicios integrales de asistencia social</w:t>
      </w:r>
      <w:r w:rsidR="004C7623">
        <w:rPr>
          <w:rStyle w:val="Refdenotaalpie"/>
          <w:rFonts w:ascii="Palatino Linotype" w:hAnsi="Palatino Linotype"/>
        </w:rPr>
        <w:footnoteReference w:id="3"/>
      </w:r>
      <w:r w:rsidR="004C7623">
        <w:rPr>
          <w:rFonts w:ascii="Palatino Linotype" w:hAnsi="Palatino Linotype"/>
        </w:rPr>
        <w:t xml:space="preserve"> y beneficio colectivo, promoviendo los niveles mínimos de bienestar y salud, </w:t>
      </w:r>
      <w:r w:rsidR="004C7623" w:rsidRPr="005A682E">
        <w:rPr>
          <w:rFonts w:ascii="Palatino Linotype" w:hAnsi="Palatino Linotype"/>
        </w:rPr>
        <w:t xml:space="preserve">atendiendo la problemática que se presenta en las familias, proporcionándoles para tales efectos la atención especializada en servicios jurídicos en materia familiar, médicos, de educación inicial, de prevención, de servicios para el desarrollo comunitario, de atención a la nutrición a grupos vulnerables, de personas con discapacidad y de adultos mayores; a fin de contribuir en el mejoramiento de la calidad de vida en las familias, enmarcadas dentro de los programas básicos. </w:t>
      </w:r>
    </w:p>
    <w:p w14:paraId="0F35E9C9" w14:textId="635D9FA6" w:rsidR="001C4CF3" w:rsidRPr="00B57B09" w:rsidRDefault="009002BC" w:rsidP="001C4CF3">
      <w:pPr>
        <w:spacing w:before="240" w:after="240" w:line="360" w:lineRule="auto"/>
        <w:jc w:val="both"/>
        <w:rPr>
          <w:rFonts w:ascii="Palatino Linotype" w:hAnsi="Palatino Linotype"/>
        </w:rPr>
      </w:pPr>
      <w:r>
        <w:rPr>
          <w:rFonts w:ascii="Palatino Linotype" w:hAnsi="Palatino Linotype"/>
        </w:rPr>
        <w:t xml:space="preserve">Empero, </w:t>
      </w:r>
      <w:r w:rsidR="001C4CF3">
        <w:rPr>
          <w:rFonts w:ascii="Palatino Linotype" w:hAnsi="Palatino Linotype"/>
        </w:rPr>
        <w:t>e</w:t>
      </w:r>
      <w:r w:rsidR="001C4CF3" w:rsidRPr="00B57B09">
        <w:rPr>
          <w:rFonts w:ascii="Palatino Linotype" w:eastAsia="Calibri" w:hAnsi="Palatino Linotype" w:cs="Arial"/>
        </w:rPr>
        <w:t xml:space="preserve">l artículo </w:t>
      </w:r>
      <w:r w:rsidR="001C4CF3" w:rsidRPr="00B57B09">
        <w:rPr>
          <w:rFonts w:ascii="Palatino Linotype" w:hAnsi="Palatino Linotype"/>
        </w:rPr>
        <w:t xml:space="preserve">92, fracción XIV inciso p), de la </w:t>
      </w:r>
      <w:r w:rsidR="001C4CF3" w:rsidRPr="001C4CF3">
        <w:rPr>
          <w:rFonts w:ascii="Palatino Linotype" w:hAnsi="Palatino Linotype" w:cs="Arial"/>
          <w:lang w:eastAsia="es-MX"/>
        </w:rPr>
        <w:t>Ley de Transparencia y Acceso a la Información Pública del Estado de México y Municipios</w:t>
      </w:r>
      <w:r w:rsidR="001C4CF3" w:rsidRPr="00B57B09">
        <w:rPr>
          <w:rFonts w:ascii="Palatino Linotype" w:hAnsi="Palatino Linotype" w:cs="Arial"/>
          <w:lang w:eastAsia="es-MX"/>
        </w:rPr>
        <w:t>,</w:t>
      </w:r>
      <w:r>
        <w:rPr>
          <w:rFonts w:ascii="Palatino Linotype" w:hAnsi="Palatino Linotype" w:cs="Arial"/>
          <w:lang w:eastAsia="es-MX"/>
        </w:rPr>
        <w:t xml:space="preserve"> establece que los </w:t>
      </w:r>
      <w:r w:rsidR="001C4CF3" w:rsidRPr="00B57B09">
        <w:rPr>
          <w:rFonts w:ascii="Palatino Linotype" w:hAnsi="Palatino Linotype"/>
        </w:rPr>
        <w:t xml:space="preserve">Sujetos </w:t>
      </w:r>
      <w:r w:rsidR="001C4CF3" w:rsidRPr="00B57B09">
        <w:rPr>
          <w:rFonts w:ascii="Palatino Linotype" w:hAnsi="Palatino Linotype"/>
        </w:rPr>
        <w:lastRenderedPageBreak/>
        <w:t>Obligados deben poner a disposición del público</w:t>
      </w:r>
      <w:r w:rsidR="001C4CF3">
        <w:rPr>
          <w:rFonts w:ascii="Palatino Linotype" w:hAnsi="Palatino Linotype"/>
        </w:rPr>
        <w:t>,</w:t>
      </w:r>
      <w:r w:rsidR="001C4CF3" w:rsidRPr="00B57B09">
        <w:rPr>
          <w:rFonts w:ascii="Palatino Linotype" w:hAnsi="Palatino Linotype"/>
        </w:rPr>
        <w:t xml:space="preserve"> en sus respectivos medios electrónicos, la información relativa a los programas de subsidios, estímulos y apoyos, que incluya entre otros datos, la relativa al padrón de beneficiarios, como se lee enseguida:</w:t>
      </w:r>
    </w:p>
    <w:p w14:paraId="225677F2" w14:textId="77777777" w:rsidR="001C4CF3" w:rsidRPr="001C4CF3" w:rsidRDefault="001C4CF3" w:rsidP="001C4CF3">
      <w:pPr>
        <w:spacing w:after="120"/>
        <w:ind w:left="851" w:right="902"/>
        <w:jc w:val="both"/>
        <w:rPr>
          <w:rFonts w:ascii="Palatino Linotype" w:hAnsi="Palatino Linotype" w:cs="Arial"/>
          <w:i/>
          <w:sz w:val="20"/>
          <w:szCs w:val="20"/>
        </w:rPr>
      </w:pPr>
      <w:r w:rsidRPr="001C4CF3">
        <w:rPr>
          <w:rFonts w:ascii="Palatino Linotype" w:hAnsi="Palatino Linotype"/>
          <w:i/>
          <w:sz w:val="20"/>
          <w:szCs w:val="20"/>
        </w:rPr>
        <w:t>“</w:t>
      </w:r>
      <w:r w:rsidRPr="001C4CF3">
        <w:rPr>
          <w:rFonts w:ascii="Palatino Linotype" w:hAnsi="Palatino Linotype" w:cs="Arial"/>
          <w:b/>
          <w:i/>
          <w:sz w:val="20"/>
          <w:szCs w:val="20"/>
        </w:rPr>
        <w:t>Artículo 92</w:t>
      </w:r>
      <w:r w:rsidRPr="001C4CF3">
        <w:rPr>
          <w:rFonts w:ascii="Palatino Linotype" w:hAnsi="Palatino Linotype" w:cs="Arial"/>
          <w:i/>
          <w:sz w:val="20"/>
          <w:szCs w:val="20"/>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señalan:0</w:t>
      </w:r>
    </w:p>
    <w:p w14:paraId="6A445408" w14:textId="77777777" w:rsidR="001C4CF3" w:rsidRPr="001C4CF3" w:rsidRDefault="001C4CF3" w:rsidP="001C4CF3">
      <w:pPr>
        <w:spacing w:after="120"/>
        <w:ind w:left="1134" w:right="902"/>
        <w:jc w:val="both"/>
        <w:rPr>
          <w:rFonts w:ascii="Palatino Linotype" w:hAnsi="Palatino Linotype"/>
          <w:b/>
          <w:bCs/>
          <w:i/>
          <w:sz w:val="20"/>
          <w:szCs w:val="20"/>
        </w:rPr>
      </w:pPr>
      <w:r w:rsidRPr="001C4CF3">
        <w:rPr>
          <w:rFonts w:ascii="Palatino Linotype" w:hAnsi="Palatino Linotype"/>
          <w:b/>
          <w:bCs/>
          <w:i/>
          <w:sz w:val="20"/>
          <w:szCs w:val="20"/>
        </w:rPr>
        <w:t>(…)</w:t>
      </w:r>
    </w:p>
    <w:p w14:paraId="5A589DEE" w14:textId="77777777" w:rsidR="001C4CF3" w:rsidRPr="001C4CF3" w:rsidRDefault="001C4CF3" w:rsidP="001C4CF3">
      <w:pPr>
        <w:spacing w:after="120"/>
        <w:ind w:left="1134" w:right="902"/>
        <w:jc w:val="both"/>
        <w:rPr>
          <w:rFonts w:ascii="Palatino Linotype" w:hAnsi="Palatino Linotype"/>
          <w:i/>
          <w:sz w:val="20"/>
          <w:szCs w:val="20"/>
        </w:rPr>
      </w:pPr>
      <w:r w:rsidRPr="001C4CF3">
        <w:rPr>
          <w:rFonts w:ascii="Palatino Linotype" w:hAnsi="Palatino Linotype"/>
          <w:b/>
          <w:bCs/>
          <w:i/>
          <w:sz w:val="20"/>
          <w:szCs w:val="20"/>
        </w:rPr>
        <w:t xml:space="preserve">XIV. </w:t>
      </w:r>
      <w:r w:rsidRPr="001C4CF3">
        <w:rPr>
          <w:rFonts w:ascii="Palatino Linotype" w:hAnsi="Palatino Linotype"/>
          <w:i/>
          <w:sz w:val="20"/>
          <w:szCs w:val="20"/>
        </w:rPr>
        <w:t xml:space="preserve">La información de los programas de subsidios, estímulos y apoyos, en el que se deberá informar respecto de los programas de transferencia, de servicios, de infraestructura social y de subsidio, en los que se deberá contener lo siguiente: </w:t>
      </w:r>
    </w:p>
    <w:p w14:paraId="14AFAA4D" w14:textId="77777777" w:rsidR="001C4CF3" w:rsidRPr="001C4CF3" w:rsidRDefault="001C4CF3" w:rsidP="001C4CF3">
      <w:pPr>
        <w:spacing w:after="120"/>
        <w:ind w:left="1134" w:right="902"/>
        <w:jc w:val="both"/>
        <w:rPr>
          <w:rFonts w:ascii="Palatino Linotype" w:hAnsi="Palatino Linotype"/>
          <w:i/>
          <w:sz w:val="20"/>
          <w:szCs w:val="20"/>
        </w:rPr>
      </w:pPr>
      <w:r w:rsidRPr="001C4CF3">
        <w:rPr>
          <w:rFonts w:ascii="Palatino Linotype" w:hAnsi="Palatino Linotype"/>
          <w:b/>
          <w:bCs/>
          <w:i/>
          <w:sz w:val="20"/>
          <w:szCs w:val="20"/>
        </w:rPr>
        <w:t>…</w:t>
      </w:r>
    </w:p>
    <w:p w14:paraId="32250299" w14:textId="77777777" w:rsidR="001C4CF3" w:rsidRPr="001C4CF3" w:rsidRDefault="001C4CF3" w:rsidP="001C4CF3">
      <w:pPr>
        <w:spacing w:after="120"/>
        <w:ind w:left="1418" w:right="902"/>
        <w:jc w:val="both"/>
        <w:rPr>
          <w:rFonts w:ascii="Palatino Linotype" w:hAnsi="Palatino Linotype"/>
          <w:i/>
          <w:sz w:val="20"/>
          <w:szCs w:val="20"/>
        </w:rPr>
      </w:pPr>
      <w:r w:rsidRPr="001C4CF3">
        <w:rPr>
          <w:rFonts w:ascii="Palatino Linotype" w:hAnsi="Palatino Linotype"/>
          <w:b/>
          <w:bCs/>
          <w:i/>
          <w:sz w:val="20"/>
          <w:szCs w:val="20"/>
        </w:rPr>
        <w:t xml:space="preserve">p) </w:t>
      </w:r>
      <w:r w:rsidRPr="001C4CF3">
        <w:rPr>
          <w:rFonts w:ascii="Palatino Linotype" w:hAnsi="Palatino Linotype"/>
          <w:b/>
          <w:i/>
          <w:sz w:val="20"/>
          <w:szCs w:val="20"/>
        </w:rPr>
        <w:t>Padrón de beneficiarios</w:t>
      </w:r>
      <w:r w:rsidRPr="001C4CF3">
        <w:rPr>
          <w:rFonts w:ascii="Palatino Linotype" w:hAnsi="Palatino Linotype"/>
          <w:i/>
          <w:sz w:val="20"/>
          <w:szCs w:val="20"/>
        </w:rPr>
        <w:t xml:space="preserve"> mismo que deberá contener los siguientes datos: nombre de la persona física o denominación social de las personas jurídicas colectivas beneficiadas, el monto, recurso, beneficio o apoyo otorgado para cada una de ellas, unidad territorial, en su caso, edad y sexo.”</w:t>
      </w:r>
    </w:p>
    <w:p w14:paraId="642C189A" w14:textId="2C240CA7" w:rsidR="00D1245C" w:rsidRDefault="00D1245C" w:rsidP="00D1245C">
      <w:pPr>
        <w:spacing w:before="240" w:after="240" w:line="360" w:lineRule="auto"/>
        <w:ind w:firstLine="1"/>
        <w:jc w:val="both"/>
        <w:rPr>
          <w:rFonts w:ascii="Palatino Linotype" w:eastAsiaTheme="minorEastAsia" w:hAnsi="Palatino Linotype" w:cs="Arial"/>
          <w:lang w:val="es-MX"/>
        </w:rPr>
      </w:pPr>
      <w:r>
        <w:rPr>
          <w:rFonts w:ascii="Palatino Linotype" w:eastAsiaTheme="minorEastAsia" w:hAnsi="Palatino Linotype" w:cs="Arial"/>
          <w:lang w:val="es-MX"/>
        </w:rPr>
        <w:t xml:space="preserve">No obstante, deberá valorar que </w:t>
      </w:r>
      <w:r w:rsidR="004C7623">
        <w:rPr>
          <w:rFonts w:ascii="Palatino Linotype" w:eastAsiaTheme="minorEastAsia" w:hAnsi="Palatino Linotype" w:cs="Arial"/>
          <w:lang w:val="es-MX"/>
        </w:rPr>
        <w:t xml:space="preserve">el nombre contenido en los </w:t>
      </w:r>
      <w:r>
        <w:rPr>
          <w:rFonts w:ascii="Palatino Linotype" w:eastAsiaTheme="minorEastAsia" w:hAnsi="Palatino Linotype" w:cs="Arial"/>
          <w:lang w:val="es-MX"/>
        </w:rPr>
        <w:t>padrones, no se encuentre relacionado</w:t>
      </w:r>
      <w:r w:rsidR="004C7623">
        <w:rPr>
          <w:rFonts w:ascii="Palatino Linotype" w:eastAsiaTheme="minorEastAsia" w:hAnsi="Palatino Linotype" w:cs="Arial"/>
          <w:lang w:val="es-MX"/>
        </w:rPr>
        <w:t xml:space="preserve"> </w:t>
      </w:r>
      <w:r>
        <w:rPr>
          <w:rFonts w:ascii="Palatino Linotype" w:eastAsiaTheme="minorEastAsia" w:hAnsi="Palatino Linotype" w:cs="Arial"/>
          <w:lang w:val="es-MX"/>
        </w:rPr>
        <w:t xml:space="preserve">con apoyos a personas adultas mayores o en </w:t>
      </w:r>
      <w:r w:rsidR="004C7623">
        <w:rPr>
          <w:rFonts w:ascii="Palatino Linotype" w:eastAsiaTheme="minorEastAsia" w:hAnsi="Palatino Linotype" w:cs="Arial"/>
          <w:lang w:val="es-MX"/>
        </w:rPr>
        <w:t>condiciones de desigualdad económica</w:t>
      </w:r>
      <w:r>
        <w:rPr>
          <w:rFonts w:ascii="Palatino Linotype" w:eastAsiaTheme="minorEastAsia" w:hAnsi="Palatino Linotype" w:cs="Arial"/>
          <w:lang w:val="es-MX"/>
        </w:rPr>
        <w:t>; e</w:t>
      </w:r>
      <w:r>
        <w:rPr>
          <w:rFonts w:ascii="Palatino Linotype" w:hAnsi="Palatino Linotype"/>
        </w:rPr>
        <w:t xml:space="preserve">n virtud, de que el </w:t>
      </w:r>
      <w:r>
        <w:rPr>
          <w:rFonts w:ascii="Palatino Linotype" w:eastAsiaTheme="minorEastAsia" w:hAnsi="Palatino Linotype" w:cs="Arial"/>
          <w:b/>
          <w:lang w:val="es-MX"/>
        </w:rPr>
        <w:t xml:space="preserve">Sujeto Obligado </w:t>
      </w:r>
      <w:r>
        <w:rPr>
          <w:rFonts w:ascii="Palatino Linotype" w:eastAsiaTheme="minorEastAsia" w:hAnsi="Palatino Linotype" w:cs="Arial"/>
          <w:lang w:val="es-MX"/>
        </w:rPr>
        <w:t>debe</w:t>
      </w:r>
      <w:r>
        <w:rPr>
          <w:rFonts w:ascii="Palatino Linotype" w:eastAsiaTheme="minorEastAsia" w:hAnsi="Palatino Linotype" w:cs="Arial"/>
          <w:b/>
          <w:lang w:val="es-MX"/>
        </w:rPr>
        <w:t xml:space="preserve"> </w:t>
      </w:r>
      <w:r>
        <w:rPr>
          <w:rFonts w:ascii="Palatino Linotype" w:eastAsiaTheme="minorEastAsia" w:hAnsi="Palatino Linotype" w:cs="Arial"/>
          <w:lang w:val="es-MX"/>
        </w:rPr>
        <w:t>implementar acciones para mejorar el tratamiento de los datos personales recabados que garanticen la no alteración, perdida, transmisión o acceso no autorizados a ellos, al ser responsable del tratamiento y resguardo de los datos personales de un sector vulnerable en la sociedad, que en muchos casos desconoce sus derechos y que por tal motivo requieren una mayor protección, incluso sobre aquellos que sí reconocen sus derechos.</w:t>
      </w:r>
    </w:p>
    <w:p w14:paraId="0AB8B6F2" w14:textId="77777777" w:rsidR="00D1245C" w:rsidRPr="006058FE" w:rsidRDefault="00D1245C" w:rsidP="00D1245C">
      <w:pPr>
        <w:autoSpaceDE w:val="0"/>
        <w:autoSpaceDN w:val="0"/>
        <w:adjustRightInd w:val="0"/>
        <w:spacing w:before="240" w:after="240" w:line="360" w:lineRule="auto"/>
        <w:ind w:right="51"/>
        <w:jc w:val="both"/>
        <w:rPr>
          <w:rFonts w:eastAsiaTheme="minorEastAsia"/>
        </w:rPr>
      </w:pPr>
      <w:r>
        <w:rPr>
          <w:rFonts w:ascii="Palatino Linotype" w:eastAsiaTheme="minorEastAsia" w:hAnsi="Palatino Linotype" w:cs="Arial"/>
          <w:lang w:val="es-MX"/>
        </w:rPr>
        <w:lastRenderedPageBreak/>
        <w:t xml:space="preserve">En el entendido, que corresponde </w:t>
      </w:r>
      <w:r w:rsidRPr="006058FE">
        <w:rPr>
          <w:rFonts w:ascii="Palatino Linotype" w:hAnsi="Palatino Linotype" w:cs="Arial"/>
        </w:rPr>
        <w:t>a cada sujeto obligado determinar a través de su titular, o en su caso del órgano competente la creación, modificación o supresión de sistemas de datos personales en su ámbito de competencia respectivo.</w:t>
      </w:r>
    </w:p>
    <w:p w14:paraId="46309A4A" w14:textId="43D88326" w:rsidR="001C4CF3" w:rsidRPr="00B57B09" w:rsidRDefault="001C4CF3" w:rsidP="00D1245C">
      <w:pPr>
        <w:spacing w:before="240" w:after="240" w:line="360" w:lineRule="auto"/>
        <w:ind w:firstLine="1"/>
        <w:jc w:val="both"/>
        <w:rPr>
          <w:rFonts w:ascii="Palatino Linotype" w:hAnsi="Palatino Linotype"/>
          <w:noProof/>
          <w:lang w:val="es-MX" w:eastAsia="es-MX"/>
        </w:rPr>
      </w:pPr>
      <w:r w:rsidRPr="00B57B09">
        <w:rPr>
          <w:rFonts w:ascii="Palatino Linotype" w:hAnsi="Palatino Linotype"/>
          <w:noProof/>
          <w:lang w:val="es-MX" w:eastAsia="es-MX"/>
        </w:rPr>
        <w:t xml:space="preserve">Sirve de sustento de lo anterior, el Criterio reiterado 04/19, emitido sustentado por el Pleno de éste Órgano Garante que al efecto establece: </w:t>
      </w:r>
    </w:p>
    <w:p w14:paraId="519BE4AB" w14:textId="77777777" w:rsidR="001C4CF3" w:rsidRPr="00B57B09" w:rsidRDefault="001C4CF3" w:rsidP="001C4CF3">
      <w:pPr>
        <w:ind w:left="851" w:right="900"/>
        <w:jc w:val="both"/>
        <w:rPr>
          <w:rFonts w:ascii="Palatino Linotype" w:hAnsi="Palatino Linotype"/>
          <w:i/>
          <w:sz w:val="22"/>
          <w:szCs w:val="20"/>
        </w:rPr>
      </w:pPr>
      <w:r w:rsidRPr="00B57B09">
        <w:rPr>
          <w:rFonts w:ascii="Palatino Linotype" w:hAnsi="Palatino Linotype"/>
          <w:b/>
          <w:i/>
          <w:sz w:val="22"/>
          <w:szCs w:val="20"/>
        </w:rPr>
        <w:t xml:space="preserve">“PADRÓN DE BENEFICIARIOS EN POSESIÓN DE SUJETOS OBLIGADOS. EXCEPCIONES PARA LA PUBLICACIÓN DE DATOS PERSONALES CONTENIDOS EN AQUÉL. </w:t>
      </w:r>
      <w:r w:rsidRPr="00B57B09">
        <w:rPr>
          <w:rFonts w:ascii="Palatino Linotype" w:hAnsi="Palatino Linotype"/>
          <w:i/>
          <w:sz w:val="22"/>
          <w:szCs w:val="20"/>
        </w:rPr>
        <w:t>De conformidad con el artículo 1º, párrafo segundo de la Constitución Política de los Estados Unidos Mexicanos, las normas de derechos humanos se interpretarán de conformidad con dicha Constitución y los Tratados Internaciones de la materia, favoreciendo en todo tiempo a las personas la protección más amplia. En ese tenor, si bien el numeral 92, fracción XIV, inciso p) de la Ley de Transparencia y Acceso a la Información Pública del Estado de México y Municipios establece como obligación de transparencia común, la publicación de manera permanente y actualizada de los programas de subsidios, estímulos y apoyos, así como el padrón de los beneficiarios, dentro del cual se contienen en esencia, datos personales como el nombre de la persona física o denominación de la persona jurídica colectiva beneficiada, lo cierto es que</w:t>
      </w:r>
      <w:r w:rsidRPr="004C7623">
        <w:rPr>
          <w:rFonts w:ascii="Palatino Linotype" w:hAnsi="Palatino Linotype"/>
          <w:i/>
          <w:sz w:val="22"/>
          <w:szCs w:val="20"/>
        </w:rPr>
        <w:t xml:space="preserve">, esta disposición normativa debe ser interpretada con los principios y derechos establecidos en nuestra Constitución general, como aquellos previstos en los artículos 1º, párrafo quinto, 4°, párrafo noveno, y 16, párrafo segundo; </w:t>
      </w:r>
      <w:r w:rsidRPr="004C7623">
        <w:rPr>
          <w:rFonts w:ascii="Palatino Linotype" w:hAnsi="Palatino Linotype"/>
          <w:b/>
          <w:i/>
          <w:sz w:val="22"/>
          <w:szCs w:val="20"/>
        </w:rPr>
        <w:t>el primero de ellos relativo al principio de no discriminación, el cual prohíbe toda anulación o menoscabo de los derechos y libertades de las personas moti</w:t>
      </w:r>
      <w:r w:rsidRPr="00803936">
        <w:rPr>
          <w:rFonts w:ascii="Palatino Linotype" w:hAnsi="Palatino Linotype"/>
          <w:b/>
          <w:i/>
          <w:sz w:val="22"/>
          <w:szCs w:val="20"/>
        </w:rPr>
        <w:t>vada, entre otras cosas, por origen étnico, el género, la edad, las discapacidades, la condición social, las condiciones de salud o cualquier otra que atente contra la dignidad humana; el segundo relativo al interés superior de la niñez, mandatando que en todas las decisiones y actuaciones del Estado se velará y cumplirá aquél, garantizando de manera plena sus derechos; y finalmente, el derecho a la protección de datos personales, mismo que se reconoce a toda persona, en los términos que fije la ley, en la cual se establecerán los supuestos de excepción a los principios que rijan el tratamiento de datos.</w:t>
      </w:r>
      <w:r w:rsidRPr="00B57B09">
        <w:rPr>
          <w:rFonts w:ascii="Palatino Linotype" w:hAnsi="Palatino Linotype"/>
          <w:i/>
          <w:sz w:val="22"/>
          <w:szCs w:val="20"/>
        </w:rPr>
        <w:t xml:space="preserve"> Bajo esas directrices, </w:t>
      </w:r>
      <w:r w:rsidRPr="00803936">
        <w:rPr>
          <w:rFonts w:ascii="Palatino Linotype" w:hAnsi="Palatino Linotype"/>
          <w:b/>
          <w:i/>
          <w:sz w:val="22"/>
          <w:szCs w:val="20"/>
        </w:rPr>
        <w:t xml:space="preserve">el dispositivo legal en cita de la Ley de Transparencia, debe interpretarse a la luz de los principios y derechos de referencia, a fin </w:t>
      </w:r>
      <w:r w:rsidRPr="00803936">
        <w:rPr>
          <w:rFonts w:ascii="Palatino Linotype" w:hAnsi="Palatino Linotype"/>
          <w:b/>
          <w:i/>
          <w:sz w:val="22"/>
          <w:szCs w:val="20"/>
        </w:rPr>
        <w:lastRenderedPageBreak/>
        <w:t>de excluir los nombres de las personas menores de edad y las de capacidades diferentes, contenidos en los padrones de beneficiarios en posesión de los Sujetos Obligados, toda vez que la publicidad de estos datos personales puede revelar condiciones sociales, culturales y su plena identidad, que por regla general corresponden a grupos vulnerables o grupos sociales en condiciones de desventaja y que naturalmente representan datos sensibles que pueden afectar irreparablemente a su titular, los cuales requieren de una mayor protección, dado que de hacerse públicos generarían un riesgo o afectación que atenta contra la dignidad, la no discriminación y especialmente a la protección de los datos personales, con la única excepción de que, a través de un test de interés público se justifique de manera razonable, la publicidad de dichos datos personales</w:t>
      </w:r>
      <w:r w:rsidRPr="00B57B09">
        <w:rPr>
          <w:rFonts w:ascii="Palatino Linotype" w:hAnsi="Palatino Linotype"/>
          <w:i/>
          <w:sz w:val="22"/>
          <w:szCs w:val="20"/>
        </w:rPr>
        <w:t>; por tanto, los referidos datos personales deberán clasificarse como confidenciales, en términos de lo dispuesto por los dispositivos Constitucionales previamente invocados y los diversos 3, fracciones IX, XX, XXI, XXIII, XXXII; 8; 6; 137 y 143, fracción I de la Ley de Transparencia y Acceso a la Información Pública del Estado de México y Municipios así como 4, fracciones XI y XII; 6; 7; 8 y 10, de la Ley de Protección de Datos Personales en Posesión de Sujetos Obligados del Estado de México y Municipios.”</w:t>
      </w:r>
    </w:p>
    <w:p w14:paraId="2CB4E78F" w14:textId="77777777" w:rsidR="004C7623" w:rsidRPr="006058FE" w:rsidRDefault="004C7623" w:rsidP="004C7623">
      <w:pPr>
        <w:spacing w:before="240" w:after="240" w:line="360" w:lineRule="auto"/>
        <w:jc w:val="both"/>
        <w:rPr>
          <w:rFonts w:ascii="Palatino Linotype" w:hAnsi="Palatino Linotype" w:cs="Arial"/>
        </w:rPr>
      </w:pPr>
      <w:r w:rsidRPr="006058FE">
        <w:rPr>
          <w:rFonts w:ascii="Palatino Linotype" w:hAnsi="Palatino Linotype" w:cs="Arial"/>
        </w:rPr>
        <w:t>En suma, si bien la información que obra en posesión de los sujetos obligados, en principio es pública, también debe tomarse en consideración que hay restricciones claras y concisas especificadas en la Ley secundaria que permiten conservar como confidencial o reservada la información respectiva.</w:t>
      </w:r>
    </w:p>
    <w:p w14:paraId="14FEF98B" w14:textId="145EBA02" w:rsidR="00256AAD" w:rsidRPr="00256AAD" w:rsidRDefault="004C7623" w:rsidP="00D1245C">
      <w:pPr>
        <w:spacing w:before="240" w:after="240" w:line="360" w:lineRule="auto"/>
        <w:ind w:right="-91"/>
        <w:jc w:val="both"/>
        <w:rPr>
          <w:rFonts w:ascii="Palatino Linotype" w:hAnsi="Palatino Linotype" w:cs="Arial"/>
        </w:rPr>
      </w:pPr>
      <w:r>
        <w:rPr>
          <w:rFonts w:ascii="Palatino Linotype" w:hAnsi="Palatino Linotype" w:cs="Arial"/>
          <w:lang w:eastAsia="es-MX"/>
        </w:rPr>
        <w:t xml:space="preserve">Visto desde esta perspectiva, </w:t>
      </w:r>
      <w:r w:rsidR="00D1245C">
        <w:rPr>
          <w:rFonts w:ascii="Palatino Linotype" w:hAnsi="Palatino Linotype" w:cs="Arial"/>
          <w:lang w:eastAsia="es-MX"/>
        </w:rPr>
        <w:t xml:space="preserve">y </w:t>
      </w:r>
      <w:r w:rsidR="00D1245C">
        <w:rPr>
          <w:rFonts w:ascii="Palatino Linotype" w:eastAsia="Calibri" w:hAnsi="Palatino Linotype"/>
          <w:lang w:val="es-MX" w:eastAsia="en-US"/>
        </w:rPr>
        <w:t>toda</w:t>
      </w:r>
      <w:r w:rsidR="00256AAD">
        <w:rPr>
          <w:rFonts w:ascii="Palatino Linotype" w:eastAsia="Calibri" w:hAnsi="Palatino Linotype"/>
          <w:lang w:val="es-MX" w:eastAsia="en-US"/>
        </w:rPr>
        <w:t xml:space="preserve"> vez que el Sistema para el Desarrollo Integral de la Familia de Tecámac no negó la existencia de la información, resulta procedente ordenar </w:t>
      </w:r>
      <w:r w:rsidR="00D1245C">
        <w:rPr>
          <w:rFonts w:ascii="Palatino Linotype" w:eastAsia="Calibri" w:hAnsi="Palatino Linotype"/>
          <w:lang w:val="es-MX" w:eastAsia="en-US"/>
        </w:rPr>
        <w:t>el</w:t>
      </w:r>
      <w:r w:rsidR="00256AAD">
        <w:rPr>
          <w:rFonts w:ascii="Palatino Linotype" w:eastAsia="Calibri" w:hAnsi="Palatino Linotype"/>
          <w:lang w:val="es-MX" w:eastAsia="en-US"/>
        </w:rPr>
        <w:t xml:space="preserve"> </w:t>
      </w:r>
      <w:r w:rsidR="00D1245C" w:rsidRPr="00B00329">
        <w:rPr>
          <w:rFonts w:ascii="Palatino Linotype" w:hAnsi="Palatino Linotype"/>
          <w:b/>
          <w:lang w:val="es-MX" w:eastAsia="es-MX"/>
        </w:rPr>
        <w:t>padrón de beneficiarios de las tarjetas de apoyo en efectivo del año 2019, así como las Reglas de Operación</w:t>
      </w:r>
      <w:r w:rsidR="00D1245C">
        <w:rPr>
          <w:rFonts w:ascii="Palatino Linotype" w:hAnsi="Palatino Linotype"/>
          <w:b/>
          <w:lang w:val="es-MX" w:eastAsia="es-MX"/>
        </w:rPr>
        <w:t xml:space="preserve">, </w:t>
      </w:r>
      <w:r w:rsidR="00256AAD">
        <w:rPr>
          <w:rFonts w:ascii="Palatino Linotype" w:eastAsia="Calibri" w:hAnsi="Palatino Linotype"/>
          <w:lang w:val="es-MX" w:eastAsia="en-US"/>
        </w:rPr>
        <w:t xml:space="preserve">para el caso, de que </w:t>
      </w:r>
      <w:r w:rsidR="00D1245C">
        <w:rPr>
          <w:rFonts w:ascii="Palatino Linotype" w:eastAsia="Calibri" w:hAnsi="Palatino Linotype"/>
          <w:lang w:val="es-MX" w:eastAsia="en-US"/>
        </w:rPr>
        <w:t>se actualice alguna causal de clasificación deberá entregarla en versión pública de conformidad con el considerando siguiente.</w:t>
      </w:r>
    </w:p>
    <w:p w14:paraId="44213896" w14:textId="3BE9016B" w:rsidR="00085DE5" w:rsidRDefault="00240AAD" w:rsidP="00B00329">
      <w:pPr>
        <w:autoSpaceDE w:val="0"/>
        <w:autoSpaceDN w:val="0"/>
        <w:adjustRightInd w:val="0"/>
        <w:spacing w:before="240" w:after="240" w:line="360" w:lineRule="auto"/>
        <w:jc w:val="both"/>
        <w:rPr>
          <w:rFonts w:ascii="Palatino Linotype" w:hAnsi="Palatino Linotype"/>
          <w:b/>
          <w:lang w:val="es-MX" w:eastAsia="es-MX"/>
        </w:rPr>
      </w:pPr>
      <w:r>
        <w:rPr>
          <w:rFonts w:ascii="Palatino Linotype" w:hAnsi="Palatino Linotype"/>
        </w:rPr>
        <w:lastRenderedPageBreak/>
        <w:t xml:space="preserve">Por último, de los requerimientos de información, se tiene que el particular solicitó </w:t>
      </w:r>
      <w:r>
        <w:rPr>
          <w:rFonts w:ascii="Palatino Linotype" w:hAnsi="Palatino Linotype"/>
          <w:b/>
          <w:lang w:val="es-MX" w:eastAsia="es-MX"/>
        </w:rPr>
        <w:t>l</w:t>
      </w:r>
      <w:r w:rsidRPr="00240AAD">
        <w:rPr>
          <w:rFonts w:ascii="Palatino Linotype" w:hAnsi="Palatino Linotype"/>
          <w:b/>
          <w:lang w:val="es-MX" w:eastAsia="es-MX"/>
        </w:rPr>
        <w:t xml:space="preserve">os viáticos de Tesorería y </w:t>
      </w:r>
      <w:r>
        <w:rPr>
          <w:rFonts w:ascii="Palatino Linotype" w:hAnsi="Palatino Linotype"/>
          <w:b/>
          <w:lang w:val="es-MX" w:eastAsia="es-MX"/>
        </w:rPr>
        <w:t>Administración.</w:t>
      </w:r>
    </w:p>
    <w:p w14:paraId="14AC9551" w14:textId="012E111A" w:rsidR="00240AAD" w:rsidRDefault="00240AAD" w:rsidP="00B00329">
      <w:pPr>
        <w:autoSpaceDE w:val="0"/>
        <w:autoSpaceDN w:val="0"/>
        <w:adjustRightInd w:val="0"/>
        <w:spacing w:before="240" w:after="240" w:line="360" w:lineRule="auto"/>
        <w:jc w:val="both"/>
        <w:rPr>
          <w:rFonts w:ascii="Palatino Linotype" w:hAnsi="Palatino Linotype"/>
        </w:rPr>
      </w:pPr>
      <w:r>
        <w:rPr>
          <w:rFonts w:ascii="Palatino Linotype" w:hAnsi="Palatino Linotype"/>
          <w:lang w:val="es-MX" w:eastAsia="es-MX"/>
        </w:rPr>
        <w:t xml:space="preserve">Para lo cual, la Tesorera emitió pronunciamiento bajo el oficio SMDIF/TES/072/2021, indicando que </w:t>
      </w:r>
      <w:r>
        <w:rPr>
          <w:rFonts w:ascii="Palatino Linotype" w:hAnsi="Palatino Linotype"/>
        </w:rPr>
        <w:t>n</w:t>
      </w:r>
      <w:r w:rsidRPr="00240AAD">
        <w:rPr>
          <w:rFonts w:ascii="Palatino Linotype" w:hAnsi="Palatino Linotype"/>
        </w:rPr>
        <w:t>o existe partida presupuestal llamada “Viáticos de tesorería y administración”</w:t>
      </w:r>
      <w:r>
        <w:rPr>
          <w:rFonts w:ascii="Palatino Linotype" w:hAnsi="Palatino Linotype"/>
        </w:rPr>
        <w:t>.</w:t>
      </w:r>
    </w:p>
    <w:p w14:paraId="4778B68C" w14:textId="5A7620A7" w:rsidR="00240AAD" w:rsidRPr="00D55EF5" w:rsidRDefault="00240AAD" w:rsidP="00240AAD">
      <w:pPr>
        <w:spacing w:before="240" w:after="240" w:line="360" w:lineRule="auto"/>
        <w:jc w:val="both"/>
        <w:rPr>
          <w:rFonts w:ascii="Palatino Linotype" w:hAnsi="Palatino Linotype" w:cs="Arial"/>
        </w:rPr>
      </w:pPr>
      <w:r>
        <w:rPr>
          <w:rFonts w:ascii="Palatino Linotype" w:hAnsi="Palatino Linotype" w:cs="Arial"/>
        </w:rPr>
        <w:t xml:space="preserve">En ese sentido, cabe </w:t>
      </w:r>
      <w:r w:rsidR="00CD0055">
        <w:rPr>
          <w:rFonts w:ascii="Palatino Linotype" w:hAnsi="Palatino Linotype" w:cs="Arial"/>
        </w:rPr>
        <w:t>mencionar que</w:t>
      </w:r>
      <w:r>
        <w:rPr>
          <w:rFonts w:ascii="Palatino Linotype" w:hAnsi="Palatino Linotype" w:cs="Arial"/>
        </w:rPr>
        <w:t xml:space="preserve"> el </w:t>
      </w:r>
      <w:r w:rsidR="000655AC">
        <w:rPr>
          <w:rFonts w:ascii="Palatino Linotype" w:hAnsi="Palatino Linotype" w:cs="Arial"/>
        </w:rPr>
        <w:t xml:space="preserve">Código Financiero </w:t>
      </w:r>
      <w:r w:rsidR="00CD0055">
        <w:rPr>
          <w:rFonts w:ascii="Palatino Linotype" w:hAnsi="Palatino Linotype" w:cs="Arial"/>
        </w:rPr>
        <w:t>establece</w:t>
      </w:r>
      <w:r w:rsidR="000655AC" w:rsidRPr="00D55EF5">
        <w:rPr>
          <w:rFonts w:ascii="Palatino Linotype" w:hAnsi="Palatino Linotype" w:cs="Arial"/>
        </w:rPr>
        <w:t xml:space="preserve"> en su artículo </w:t>
      </w:r>
      <w:r w:rsidRPr="00D55EF5">
        <w:rPr>
          <w:rFonts w:ascii="Palatino Linotype" w:hAnsi="Palatino Linotype" w:cs="Arial"/>
        </w:rPr>
        <w:t>292</w:t>
      </w:r>
      <w:r w:rsidR="00CD0055">
        <w:rPr>
          <w:rFonts w:ascii="Palatino Linotype" w:hAnsi="Palatino Linotype" w:cs="Arial"/>
        </w:rPr>
        <w:t>,</w:t>
      </w:r>
      <w:r w:rsidRPr="00D55EF5">
        <w:rPr>
          <w:rFonts w:ascii="Palatino Linotype" w:hAnsi="Palatino Linotype" w:cs="Arial"/>
        </w:rPr>
        <w:t xml:space="preserve"> que el Proyecto de Presupuesto de Egresos del Gobierno del Estado de México deberá contribuir a un balance presupuestario sostenible en términos de la legislación en la materia, será elaborado atendiendo el modelo de Presupuesto Basado en Resultados y sujeto a la evaluación del desempeño de sus programas presupuestarios, y se integrará con los recursos que se destinen a los poderes Ejecutivo, Legislativo y Judicial, a los organismos autónomos y a los municipios, en el caso de los municipios el proyecto se integrara con los recursos que destinen al Ayuntamiento y organismos municipales, por lo tanto la distribución indica ser hará conforme a lo siguiente:</w:t>
      </w:r>
    </w:p>
    <w:p w14:paraId="7CFFE9EE" w14:textId="77777777" w:rsidR="00240AAD" w:rsidRPr="00D614D6" w:rsidRDefault="00240AAD" w:rsidP="00240AAD">
      <w:pPr>
        <w:pStyle w:val="paragraph"/>
        <w:spacing w:before="0" w:beforeAutospacing="0" w:after="0" w:afterAutospacing="0"/>
        <w:ind w:left="851" w:right="900"/>
        <w:jc w:val="both"/>
        <w:textAlignment w:val="baseline"/>
        <w:rPr>
          <w:rStyle w:val="normaltextrun"/>
          <w:rFonts w:ascii="Palatino Linotype" w:hAnsi="Palatino Linotype" w:cs="Segoe UI"/>
          <w:b/>
          <w:bCs/>
          <w:i/>
          <w:iCs/>
          <w:sz w:val="20"/>
          <w:szCs w:val="20"/>
        </w:rPr>
      </w:pPr>
      <w:r w:rsidRPr="00D614D6">
        <w:rPr>
          <w:rStyle w:val="normaltextrun"/>
          <w:rFonts w:ascii="Palatino Linotype" w:hAnsi="Palatino Linotype" w:cs="Segoe UI"/>
          <w:b/>
          <w:bCs/>
          <w:i/>
          <w:iCs/>
          <w:sz w:val="20"/>
          <w:szCs w:val="20"/>
        </w:rPr>
        <w:t>“Artículo 292.-</w:t>
      </w:r>
    </w:p>
    <w:p w14:paraId="00BE3DD6" w14:textId="77777777" w:rsidR="00240AAD" w:rsidRPr="00D614D6" w:rsidRDefault="00240AAD" w:rsidP="00240AAD">
      <w:pPr>
        <w:pStyle w:val="paragraph"/>
        <w:spacing w:before="0" w:beforeAutospacing="0" w:after="0" w:afterAutospacing="0"/>
        <w:ind w:left="851" w:right="900"/>
        <w:jc w:val="both"/>
        <w:textAlignment w:val="baseline"/>
        <w:rPr>
          <w:rStyle w:val="normaltextrun"/>
          <w:rFonts w:ascii="Palatino Linotype" w:hAnsi="Palatino Linotype" w:cs="Segoe UI"/>
          <w:b/>
          <w:bCs/>
          <w:i/>
          <w:iCs/>
          <w:sz w:val="20"/>
          <w:szCs w:val="20"/>
        </w:rPr>
      </w:pPr>
      <w:r w:rsidRPr="00D614D6">
        <w:rPr>
          <w:rStyle w:val="normaltextrun"/>
          <w:rFonts w:ascii="Palatino Linotype" w:hAnsi="Palatino Linotype" w:cs="Segoe UI"/>
          <w:b/>
          <w:bCs/>
          <w:i/>
          <w:iCs/>
          <w:sz w:val="20"/>
          <w:szCs w:val="20"/>
        </w:rPr>
        <w:t>…</w:t>
      </w:r>
    </w:p>
    <w:p w14:paraId="1D56DD49" w14:textId="77777777" w:rsidR="00240AAD" w:rsidRPr="00D614D6" w:rsidRDefault="00240AAD" w:rsidP="00240AAD">
      <w:pPr>
        <w:pStyle w:val="paragraph"/>
        <w:spacing w:before="0" w:beforeAutospacing="0" w:after="0" w:afterAutospacing="0"/>
        <w:ind w:left="851" w:right="900"/>
        <w:jc w:val="both"/>
        <w:textAlignment w:val="baseline"/>
        <w:rPr>
          <w:rStyle w:val="normaltextrun"/>
          <w:rFonts w:ascii="Palatino Linotype" w:hAnsi="Palatino Linotype" w:cs="Segoe UI"/>
          <w:b/>
          <w:bCs/>
          <w:i/>
          <w:iCs/>
          <w:sz w:val="20"/>
          <w:szCs w:val="20"/>
        </w:rPr>
      </w:pPr>
      <w:r w:rsidRPr="00D614D6">
        <w:rPr>
          <w:rStyle w:val="normaltextrun"/>
          <w:rFonts w:ascii="Palatino Linotype" w:hAnsi="Palatino Linotype" w:cs="Segoe UI"/>
          <w:b/>
          <w:bCs/>
          <w:i/>
          <w:iCs/>
          <w:sz w:val="20"/>
          <w:szCs w:val="20"/>
        </w:rPr>
        <w:t xml:space="preserve">Para el caso de los Municipios, el Proyecto de Presupuesto se integrará con los recursos que se destinen al Ayuntamiento y a los organismos municipales. La distribución será conforme a lo siguiente: </w:t>
      </w:r>
    </w:p>
    <w:p w14:paraId="2874093F" w14:textId="77777777" w:rsidR="00240AAD" w:rsidRPr="00D614D6" w:rsidRDefault="00240AAD" w:rsidP="00240AAD">
      <w:pPr>
        <w:pStyle w:val="paragraph"/>
        <w:spacing w:before="0" w:beforeAutospacing="0" w:after="0" w:afterAutospacing="0"/>
        <w:ind w:left="851" w:right="900"/>
        <w:jc w:val="both"/>
        <w:textAlignment w:val="baseline"/>
        <w:rPr>
          <w:rStyle w:val="normaltextrun"/>
          <w:rFonts w:ascii="Palatino Linotype" w:hAnsi="Palatino Linotype" w:cs="Segoe UI"/>
          <w:b/>
          <w:bCs/>
          <w:i/>
          <w:iCs/>
          <w:sz w:val="20"/>
          <w:szCs w:val="20"/>
        </w:rPr>
      </w:pPr>
      <w:r w:rsidRPr="00D614D6">
        <w:rPr>
          <w:rStyle w:val="normaltextrun"/>
          <w:rFonts w:ascii="Palatino Linotype" w:hAnsi="Palatino Linotype" w:cs="Segoe UI"/>
          <w:b/>
          <w:bCs/>
          <w:i/>
          <w:iCs/>
          <w:sz w:val="20"/>
          <w:szCs w:val="20"/>
        </w:rPr>
        <w:t>I. El gasto programable comprende los siguientes capítulos:</w:t>
      </w:r>
    </w:p>
    <w:p w14:paraId="06937F0F" w14:textId="77777777" w:rsidR="00240AAD" w:rsidRPr="00D614D6" w:rsidRDefault="00240AAD" w:rsidP="00240AAD">
      <w:pPr>
        <w:pStyle w:val="paragraph"/>
        <w:spacing w:before="0" w:beforeAutospacing="0" w:after="0" w:afterAutospacing="0"/>
        <w:ind w:left="851" w:right="900"/>
        <w:jc w:val="both"/>
        <w:textAlignment w:val="baseline"/>
        <w:rPr>
          <w:rStyle w:val="normaltextrun"/>
          <w:rFonts w:ascii="Palatino Linotype" w:hAnsi="Palatino Linotype" w:cs="Segoe UI"/>
          <w:bCs/>
          <w:i/>
          <w:iCs/>
          <w:sz w:val="20"/>
          <w:szCs w:val="20"/>
        </w:rPr>
      </w:pPr>
      <w:r w:rsidRPr="00D614D6">
        <w:rPr>
          <w:rStyle w:val="normaltextrun"/>
          <w:rFonts w:ascii="Palatino Linotype" w:hAnsi="Palatino Linotype" w:cs="Segoe UI"/>
          <w:bCs/>
          <w:i/>
          <w:iCs/>
          <w:sz w:val="20"/>
          <w:szCs w:val="20"/>
        </w:rPr>
        <w:t>a). 1000 Servicios Personales.</w:t>
      </w:r>
    </w:p>
    <w:p w14:paraId="637E1104" w14:textId="77777777" w:rsidR="00240AAD" w:rsidRPr="00D614D6" w:rsidRDefault="00240AAD" w:rsidP="00240AAD">
      <w:pPr>
        <w:pStyle w:val="paragraph"/>
        <w:spacing w:before="0" w:beforeAutospacing="0" w:after="0" w:afterAutospacing="0"/>
        <w:ind w:left="851" w:right="900"/>
        <w:jc w:val="both"/>
        <w:textAlignment w:val="baseline"/>
        <w:rPr>
          <w:rStyle w:val="normaltextrun"/>
          <w:rFonts w:ascii="Palatino Linotype" w:hAnsi="Palatino Linotype" w:cs="Segoe UI"/>
          <w:bCs/>
          <w:i/>
          <w:iCs/>
          <w:sz w:val="20"/>
          <w:szCs w:val="20"/>
        </w:rPr>
      </w:pPr>
      <w:r w:rsidRPr="00D614D6">
        <w:rPr>
          <w:rStyle w:val="normaltextrun"/>
          <w:rFonts w:ascii="Palatino Linotype" w:hAnsi="Palatino Linotype" w:cs="Segoe UI"/>
          <w:bCs/>
          <w:i/>
          <w:iCs/>
          <w:sz w:val="20"/>
          <w:szCs w:val="20"/>
        </w:rPr>
        <w:t xml:space="preserve"> b). 2000 Materiales y Suministros.</w:t>
      </w:r>
    </w:p>
    <w:p w14:paraId="765FAF3D" w14:textId="77777777" w:rsidR="00240AAD" w:rsidRPr="00D614D6" w:rsidRDefault="00240AAD" w:rsidP="00240AAD">
      <w:pPr>
        <w:pStyle w:val="paragraph"/>
        <w:spacing w:before="0" w:beforeAutospacing="0" w:after="0" w:afterAutospacing="0"/>
        <w:ind w:left="851" w:right="900"/>
        <w:jc w:val="both"/>
        <w:textAlignment w:val="baseline"/>
        <w:rPr>
          <w:rStyle w:val="normaltextrun"/>
          <w:rFonts w:ascii="Palatino Linotype" w:hAnsi="Palatino Linotype" w:cs="Segoe UI"/>
          <w:bCs/>
          <w:i/>
          <w:iCs/>
          <w:sz w:val="20"/>
          <w:szCs w:val="20"/>
        </w:rPr>
      </w:pPr>
      <w:r w:rsidRPr="00D614D6">
        <w:rPr>
          <w:rStyle w:val="normaltextrun"/>
          <w:rFonts w:ascii="Palatino Linotype" w:hAnsi="Palatino Linotype" w:cs="Segoe UI"/>
          <w:bCs/>
          <w:i/>
          <w:iCs/>
          <w:sz w:val="20"/>
          <w:szCs w:val="20"/>
        </w:rPr>
        <w:t xml:space="preserve"> c). 3000 Servicios Generales.</w:t>
      </w:r>
    </w:p>
    <w:p w14:paraId="4FD2A527" w14:textId="77777777" w:rsidR="00240AAD" w:rsidRPr="00D614D6" w:rsidRDefault="00240AAD" w:rsidP="00240AAD">
      <w:pPr>
        <w:pStyle w:val="paragraph"/>
        <w:spacing w:before="0" w:beforeAutospacing="0" w:after="0" w:afterAutospacing="0"/>
        <w:ind w:left="851" w:right="900"/>
        <w:jc w:val="both"/>
        <w:textAlignment w:val="baseline"/>
        <w:rPr>
          <w:rStyle w:val="normaltextrun"/>
          <w:rFonts w:ascii="Palatino Linotype" w:hAnsi="Palatino Linotype" w:cs="Segoe UI"/>
          <w:bCs/>
          <w:i/>
          <w:iCs/>
          <w:sz w:val="20"/>
          <w:szCs w:val="20"/>
        </w:rPr>
      </w:pPr>
      <w:r w:rsidRPr="00D614D6">
        <w:rPr>
          <w:rStyle w:val="normaltextrun"/>
          <w:rFonts w:ascii="Palatino Linotype" w:hAnsi="Palatino Linotype" w:cs="Segoe UI"/>
          <w:bCs/>
          <w:i/>
          <w:iCs/>
          <w:sz w:val="20"/>
          <w:szCs w:val="20"/>
        </w:rPr>
        <w:t xml:space="preserve"> d). 4000 Transferencias, Asignaciones, Subsidios y otras ayudas.</w:t>
      </w:r>
    </w:p>
    <w:p w14:paraId="5F16BBE2" w14:textId="77777777" w:rsidR="00240AAD" w:rsidRPr="00D614D6" w:rsidRDefault="00240AAD" w:rsidP="00240AAD">
      <w:pPr>
        <w:pStyle w:val="paragraph"/>
        <w:spacing w:before="0" w:beforeAutospacing="0" w:after="0" w:afterAutospacing="0"/>
        <w:ind w:left="851" w:right="900"/>
        <w:jc w:val="both"/>
        <w:textAlignment w:val="baseline"/>
        <w:rPr>
          <w:rStyle w:val="normaltextrun"/>
          <w:rFonts w:ascii="Palatino Linotype" w:hAnsi="Palatino Linotype" w:cs="Segoe UI"/>
          <w:bCs/>
          <w:i/>
          <w:iCs/>
          <w:sz w:val="20"/>
          <w:szCs w:val="20"/>
        </w:rPr>
      </w:pPr>
      <w:r w:rsidRPr="00D614D6">
        <w:rPr>
          <w:rStyle w:val="normaltextrun"/>
          <w:rFonts w:ascii="Palatino Linotype" w:hAnsi="Palatino Linotype" w:cs="Segoe UI"/>
          <w:bCs/>
          <w:i/>
          <w:iCs/>
          <w:sz w:val="20"/>
          <w:szCs w:val="20"/>
        </w:rPr>
        <w:t xml:space="preserve"> e). 5000 Bienes Muebles, Inmuebles e Intangibles.</w:t>
      </w:r>
    </w:p>
    <w:p w14:paraId="0632AA77" w14:textId="77777777" w:rsidR="00240AAD" w:rsidRPr="00D614D6" w:rsidRDefault="00240AAD" w:rsidP="00240AAD">
      <w:pPr>
        <w:pStyle w:val="paragraph"/>
        <w:spacing w:before="0" w:beforeAutospacing="0" w:after="0" w:afterAutospacing="0"/>
        <w:ind w:left="851" w:right="900"/>
        <w:jc w:val="both"/>
        <w:textAlignment w:val="baseline"/>
        <w:rPr>
          <w:rStyle w:val="normaltextrun"/>
          <w:rFonts w:ascii="Palatino Linotype" w:hAnsi="Palatino Linotype" w:cs="Segoe UI"/>
          <w:bCs/>
          <w:i/>
          <w:iCs/>
          <w:sz w:val="20"/>
          <w:szCs w:val="20"/>
        </w:rPr>
      </w:pPr>
      <w:r w:rsidRPr="00D614D6">
        <w:rPr>
          <w:rStyle w:val="normaltextrun"/>
          <w:rFonts w:ascii="Palatino Linotype" w:hAnsi="Palatino Linotype" w:cs="Segoe UI"/>
          <w:bCs/>
          <w:i/>
          <w:iCs/>
          <w:sz w:val="20"/>
          <w:szCs w:val="20"/>
        </w:rPr>
        <w:t xml:space="preserve">f). 6000 Inversión Pública. </w:t>
      </w:r>
    </w:p>
    <w:p w14:paraId="60C25725" w14:textId="77777777" w:rsidR="00240AAD" w:rsidRPr="00D614D6" w:rsidRDefault="00240AAD" w:rsidP="00240AAD">
      <w:pPr>
        <w:pStyle w:val="paragraph"/>
        <w:spacing w:before="0" w:beforeAutospacing="0" w:after="0" w:afterAutospacing="0"/>
        <w:ind w:left="851" w:right="900"/>
        <w:jc w:val="both"/>
        <w:textAlignment w:val="baseline"/>
        <w:rPr>
          <w:rStyle w:val="normaltextrun"/>
          <w:rFonts w:ascii="Palatino Linotype" w:hAnsi="Palatino Linotype" w:cs="Segoe UI"/>
          <w:bCs/>
          <w:i/>
          <w:iCs/>
          <w:sz w:val="20"/>
          <w:szCs w:val="20"/>
        </w:rPr>
      </w:pPr>
      <w:r w:rsidRPr="00D614D6">
        <w:rPr>
          <w:rStyle w:val="normaltextrun"/>
          <w:rFonts w:ascii="Palatino Linotype" w:hAnsi="Palatino Linotype" w:cs="Segoe UI"/>
          <w:bCs/>
          <w:i/>
          <w:iCs/>
          <w:sz w:val="20"/>
          <w:szCs w:val="20"/>
        </w:rPr>
        <w:t>g). 7000 Inversiones Financieras y otras provisiones.</w:t>
      </w:r>
    </w:p>
    <w:p w14:paraId="1A95FDF6" w14:textId="77777777" w:rsidR="00240AAD" w:rsidRPr="00D614D6" w:rsidRDefault="00240AAD" w:rsidP="00240AAD">
      <w:pPr>
        <w:pStyle w:val="paragraph"/>
        <w:spacing w:before="0" w:beforeAutospacing="0" w:after="0" w:afterAutospacing="0"/>
        <w:ind w:left="851" w:right="900"/>
        <w:jc w:val="both"/>
        <w:textAlignment w:val="baseline"/>
        <w:rPr>
          <w:rStyle w:val="normaltextrun"/>
          <w:rFonts w:ascii="Palatino Linotype" w:hAnsi="Palatino Linotype" w:cs="Segoe UI"/>
          <w:b/>
          <w:bCs/>
          <w:i/>
          <w:iCs/>
          <w:sz w:val="20"/>
          <w:szCs w:val="20"/>
        </w:rPr>
      </w:pPr>
      <w:r w:rsidRPr="00D614D6">
        <w:rPr>
          <w:rStyle w:val="normaltextrun"/>
          <w:rFonts w:ascii="Palatino Linotype" w:hAnsi="Palatino Linotype" w:cs="Segoe UI"/>
          <w:b/>
          <w:bCs/>
          <w:i/>
          <w:iCs/>
          <w:sz w:val="20"/>
          <w:szCs w:val="20"/>
        </w:rPr>
        <w:lastRenderedPageBreak/>
        <w:t>II. El gasto no programable comprende los siguientes capítulos:</w:t>
      </w:r>
    </w:p>
    <w:p w14:paraId="073C7FD7" w14:textId="77777777" w:rsidR="00240AAD" w:rsidRPr="00D614D6" w:rsidRDefault="00240AAD" w:rsidP="00240AAD">
      <w:pPr>
        <w:pStyle w:val="paragraph"/>
        <w:spacing w:before="0" w:beforeAutospacing="0" w:after="0" w:afterAutospacing="0"/>
        <w:ind w:left="851" w:right="900"/>
        <w:jc w:val="both"/>
        <w:textAlignment w:val="baseline"/>
        <w:rPr>
          <w:rStyle w:val="normaltextrun"/>
          <w:rFonts w:ascii="Palatino Linotype" w:hAnsi="Palatino Linotype" w:cs="Segoe UI"/>
          <w:bCs/>
          <w:i/>
          <w:iCs/>
          <w:sz w:val="20"/>
          <w:szCs w:val="20"/>
        </w:rPr>
      </w:pPr>
      <w:r w:rsidRPr="00D614D6">
        <w:rPr>
          <w:rStyle w:val="normaltextrun"/>
          <w:rFonts w:ascii="Palatino Linotype" w:hAnsi="Palatino Linotype" w:cs="Segoe UI"/>
          <w:b/>
          <w:bCs/>
          <w:i/>
          <w:iCs/>
          <w:sz w:val="20"/>
          <w:szCs w:val="20"/>
        </w:rPr>
        <w:t xml:space="preserve"> </w:t>
      </w:r>
      <w:r w:rsidRPr="00D614D6">
        <w:rPr>
          <w:rStyle w:val="normaltextrun"/>
          <w:rFonts w:ascii="Palatino Linotype" w:hAnsi="Palatino Linotype" w:cs="Segoe UI"/>
          <w:bCs/>
          <w:i/>
          <w:iCs/>
          <w:sz w:val="20"/>
          <w:szCs w:val="20"/>
        </w:rPr>
        <w:t xml:space="preserve">a). 8000 Participaciones y Aportaciones. </w:t>
      </w:r>
    </w:p>
    <w:p w14:paraId="37011ACC" w14:textId="77777777" w:rsidR="00240AAD" w:rsidRPr="00D614D6" w:rsidRDefault="00240AAD" w:rsidP="00240AAD">
      <w:pPr>
        <w:pStyle w:val="paragraph"/>
        <w:spacing w:before="0" w:beforeAutospacing="0" w:after="0" w:afterAutospacing="0"/>
        <w:ind w:left="851" w:right="900"/>
        <w:jc w:val="both"/>
        <w:textAlignment w:val="baseline"/>
        <w:rPr>
          <w:rStyle w:val="normaltextrun"/>
          <w:rFonts w:ascii="Palatino Linotype" w:hAnsi="Palatino Linotype" w:cs="Segoe UI"/>
          <w:bCs/>
          <w:i/>
          <w:iCs/>
          <w:sz w:val="20"/>
          <w:szCs w:val="20"/>
        </w:rPr>
      </w:pPr>
      <w:r w:rsidRPr="00D614D6">
        <w:rPr>
          <w:rStyle w:val="normaltextrun"/>
          <w:rFonts w:ascii="Palatino Linotype" w:hAnsi="Palatino Linotype" w:cs="Segoe UI"/>
          <w:bCs/>
          <w:i/>
          <w:iCs/>
          <w:sz w:val="20"/>
          <w:szCs w:val="20"/>
        </w:rPr>
        <w:t>b). 9000 Deuda Pública.”</w:t>
      </w:r>
    </w:p>
    <w:p w14:paraId="406DC6B9" w14:textId="77777777" w:rsidR="00240AAD" w:rsidRDefault="00240AAD" w:rsidP="00240AAD">
      <w:pPr>
        <w:spacing w:before="240" w:after="240" w:line="360" w:lineRule="auto"/>
        <w:jc w:val="both"/>
        <w:rPr>
          <w:rFonts w:ascii="Palatino Linotype" w:hAnsi="Palatino Linotype"/>
        </w:rPr>
      </w:pPr>
      <w:r w:rsidRPr="00D55EF5">
        <w:rPr>
          <w:rFonts w:ascii="Palatino Linotype" w:hAnsi="Palatino Linotype" w:cs="Arial"/>
        </w:rPr>
        <w:t xml:space="preserve">Como se puede observar, para la formulación del presupuesto de egresos se debe hacer en relación al gasto programable conforme a los capítulos señalados por el Código Financiero vigente en la entidad, estos capítulos </w:t>
      </w:r>
      <w:r w:rsidRPr="00D55EF5">
        <w:rPr>
          <w:rFonts w:ascii="Palatino Linotype" w:hAnsi="Palatino Linotype"/>
        </w:rPr>
        <w:t xml:space="preserve">de gasto se dividirán en concepto, partida genérica y partida específica, que representarán las autorizaciones específicas del presupuesto, las cuales se encuentran contenidas en el clasificador por objeto de gasto </w:t>
      </w:r>
      <w:r>
        <w:rPr>
          <w:rFonts w:ascii="Palatino Linotype" w:hAnsi="Palatino Linotype"/>
        </w:rPr>
        <w:t>que determine la Secretaría de F</w:t>
      </w:r>
      <w:r w:rsidRPr="00D55EF5">
        <w:rPr>
          <w:rFonts w:ascii="Palatino Linotype" w:hAnsi="Palatino Linotype"/>
        </w:rPr>
        <w:t>inanzas del Estado, y en el caso de los Municipios corresponderá a su Tesorería emitir el Clasificador por Objeto del Gasto, el cual deberá guardar congruencia y homogeneidad con el que determine la Secretaría, según lo estipulado en el artículo 293 de la norma de referencia.</w:t>
      </w:r>
    </w:p>
    <w:p w14:paraId="071B4CCC" w14:textId="036DA307" w:rsidR="00240AAD" w:rsidRDefault="00240AAD" w:rsidP="00240AAD">
      <w:pPr>
        <w:spacing w:before="240" w:after="240" w:line="360" w:lineRule="auto"/>
        <w:jc w:val="both"/>
        <w:rPr>
          <w:rFonts w:ascii="Palatino Linotype" w:hAnsi="Palatino Linotype"/>
          <w:color w:val="000000"/>
        </w:rPr>
      </w:pPr>
      <w:r>
        <w:rPr>
          <w:rFonts w:ascii="Palatino Linotype" w:hAnsi="Palatino Linotype"/>
        </w:rPr>
        <w:t xml:space="preserve">En ese sentido, la </w:t>
      </w:r>
      <w:r w:rsidRPr="00D55EF5">
        <w:rPr>
          <w:rFonts w:ascii="Palatino Linotype" w:hAnsi="Palatino Linotype"/>
          <w:color w:val="000000"/>
        </w:rPr>
        <w:t xml:space="preserve">Secretaría de Finanzas emite anualmente los manuales para la realización de los anteproyectos de presupuesto, </w:t>
      </w:r>
      <w:r>
        <w:rPr>
          <w:rFonts w:ascii="Palatino Linotype" w:hAnsi="Palatino Linotype"/>
          <w:color w:val="000000"/>
        </w:rPr>
        <w:t>denominado</w:t>
      </w:r>
      <w:r w:rsidRPr="00D55EF5">
        <w:rPr>
          <w:rFonts w:ascii="Palatino Linotype" w:hAnsi="Palatino Linotype"/>
          <w:color w:val="000000"/>
        </w:rPr>
        <w:t xml:space="preserve"> “Manual para la planeación, programación y presupuesto de egresos municipal para el ejercicio fiscal 20</w:t>
      </w:r>
      <w:r>
        <w:rPr>
          <w:rFonts w:ascii="Palatino Linotype" w:hAnsi="Palatino Linotype"/>
          <w:color w:val="000000"/>
        </w:rPr>
        <w:t>21”</w:t>
      </w:r>
      <w:r w:rsidRPr="00D55EF5">
        <w:rPr>
          <w:rFonts w:ascii="Palatino Linotype" w:hAnsi="Palatino Linotype"/>
          <w:color w:val="000000"/>
        </w:rPr>
        <w:t>,</w:t>
      </w:r>
      <w:r>
        <w:rPr>
          <w:rFonts w:ascii="Palatino Linotype" w:hAnsi="Palatino Linotype"/>
          <w:color w:val="000000"/>
        </w:rPr>
        <w:t xml:space="preserve"> que </w:t>
      </w:r>
      <w:r w:rsidRPr="00D55EF5">
        <w:rPr>
          <w:rFonts w:ascii="Palatino Linotype" w:hAnsi="Palatino Linotype"/>
          <w:color w:val="000000"/>
        </w:rPr>
        <w:t>tiene como propósito apoyar a los Ayuntamientos y entidades públicas municipales para la integración del anteproyecto d</w:t>
      </w:r>
      <w:r>
        <w:rPr>
          <w:rFonts w:ascii="Palatino Linotype" w:hAnsi="Palatino Linotype"/>
          <w:color w:val="000000"/>
        </w:rPr>
        <w:t xml:space="preserve">e presupuesto y el presupuesto, </w:t>
      </w:r>
      <w:r w:rsidRPr="00D55EF5">
        <w:rPr>
          <w:rFonts w:ascii="Palatino Linotype" w:hAnsi="Palatino Linotype"/>
          <w:color w:val="000000"/>
        </w:rPr>
        <w:t xml:space="preserve">por lo tanto dispone que para la formulación respectiva se deberán realizar tres etapas: </w:t>
      </w:r>
    </w:p>
    <w:p w14:paraId="3D5DF25F" w14:textId="77777777" w:rsidR="00240AAD" w:rsidRDefault="00240AAD" w:rsidP="00240AAD">
      <w:pPr>
        <w:spacing w:after="120"/>
        <w:ind w:left="567"/>
        <w:jc w:val="both"/>
        <w:rPr>
          <w:rFonts w:ascii="Palatino Linotype" w:hAnsi="Palatino Linotype"/>
          <w:color w:val="000000"/>
        </w:rPr>
      </w:pPr>
      <w:r w:rsidRPr="00D55EF5">
        <w:rPr>
          <w:rFonts w:ascii="Palatino Linotype" w:hAnsi="Palatino Linotype"/>
          <w:color w:val="000000"/>
        </w:rPr>
        <w:t>1)</w:t>
      </w:r>
      <w:r>
        <w:rPr>
          <w:rFonts w:ascii="Palatino Linotype" w:hAnsi="Palatino Linotype"/>
          <w:color w:val="000000"/>
        </w:rPr>
        <w:t xml:space="preserve"> </w:t>
      </w:r>
      <w:r w:rsidRPr="00D55EF5">
        <w:rPr>
          <w:rFonts w:ascii="Palatino Linotype" w:hAnsi="Palatino Linotype"/>
          <w:color w:val="000000"/>
        </w:rPr>
        <w:t>Anteproyecto de presupuesto de egresos</w:t>
      </w:r>
      <w:r>
        <w:rPr>
          <w:rFonts w:ascii="Palatino Linotype" w:hAnsi="Palatino Linotype"/>
          <w:color w:val="000000"/>
        </w:rPr>
        <w:t>;</w:t>
      </w:r>
      <w:r w:rsidRPr="00D55EF5">
        <w:rPr>
          <w:rFonts w:ascii="Palatino Linotype" w:hAnsi="Palatino Linotype"/>
          <w:color w:val="000000"/>
        </w:rPr>
        <w:t xml:space="preserve"> </w:t>
      </w:r>
    </w:p>
    <w:p w14:paraId="5827EC32" w14:textId="77777777" w:rsidR="00240AAD" w:rsidRDefault="00240AAD" w:rsidP="00240AAD">
      <w:pPr>
        <w:spacing w:after="120"/>
        <w:ind w:left="567"/>
        <w:jc w:val="both"/>
        <w:rPr>
          <w:rFonts w:ascii="Palatino Linotype" w:hAnsi="Palatino Linotype"/>
          <w:color w:val="000000"/>
        </w:rPr>
      </w:pPr>
      <w:r w:rsidRPr="00D55EF5">
        <w:rPr>
          <w:rFonts w:ascii="Palatino Linotype" w:hAnsi="Palatino Linotype"/>
          <w:color w:val="000000"/>
        </w:rPr>
        <w:t>2) Proyecto de presupuesto de egresos</w:t>
      </w:r>
      <w:r>
        <w:rPr>
          <w:rFonts w:ascii="Palatino Linotype" w:hAnsi="Palatino Linotype"/>
          <w:color w:val="000000"/>
        </w:rPr>
        <w:t>;</w:t>
      </w:r>
      <w:r w:rsidRPr="00D55EF5">
        <w:rPr>
          <w:rFonts w:ascii="Palatino Linotype" w:hAnsi="Palatino Linotype"/>
          <w:color w:val="000000"/>
        </w:rPr>
        <w:t xml:space="preserve"> y </w:t>
      </w:r>
    </w:p>
    <w:p w14:paraId="0E9D1129" w14:textId="77777777" w:rsidR="00240AAD" w:rsidRPr="00D55EF5" w:rsidRDefault="00240AAD" w:rsidP="00240AAD">
      <w:pPr>
        <w:spacing w:after="120"/>
        <w:ind w:left="567"/>
        <w:jc w:val="both"/>
        <w:rPr>
          <w:rFonts w:ascii="Palatino Linotype" w:hAnsi="Palatino Linotype"/>
          <w:color w:val="000000"/>
        </w:rPr>
      </w:pPr>
      <w:r w:rsidRPr="00D55EF5">
        <w:rPr>
          <w:rFonts w:ascii="Palatino Linotype" w:hAnsi="Palatino Linotype"/>
          <w:color w:val="000000"/>
        </w:rPr>
        <w:t>3) Presupuesto de egresos municipal.</w:t>
      </w:r>
    </w:p>
    <w:p w14:paraId="3AA800F3" w14:textId="77777777" w:rsidR="00240AAD" w:rsidRDefault="00240AAD" w:rsidP="00240AAD">
      <w:pPr>
        <w:spacing w:before="240" w:after="240" w:line="360" w:lineRule="auto"/>
        <w:jc w:val="both"/>
        <w:rPr>
          <w:rFonts w:ascii="Palatino Linotype" w:hAnsi="Palatino Linotype"/>
        </w:rPr>
      </w:pPr>
      <w:r>
        <w:rPr>
          <w:rFonts w:ascii="Palatino Linotype" w:hAnsi="Palatino Linotype"/>
          <w:color w:val="000000"/>
        </w:rPr>
        <w:t xml:space="preserve">Asimismo, </w:t>
      </w:r>
      <w:r>
        <w:rPr>
          <w:rFonts w:ascii="Palatino Linotype" w:hAnsi="Palatino Linotype"/>
        </w:rPr>
        <w:t>en su numeral 1.2 denominado “Marco Conceptual”, establece la siguiente definición:</w:t>
      </w:r>
    </w:p>
    <w:p w14:paraId="5A3946D0" w14:textId="77777777" w:rsidR="00240AAD" w:rsidRPr="00911BE1" w:rsidRDefault="00240AAD" w:rsidP="00240AAD">
      <w:pPr>
        <w:autoSpaceDE w:val="0"/>
        <w:autoSpaceDN w:val="0"/>
        <w:adjustRightInd w:val="0"/>
        <w:spacing w:after="120"/>
        <w:ind w:left="851" w:right="902"/>
        <w:jc w:val="both"/>
        <w:rPr>
          <w:rFonts w:ascii="Palatino Linotype" w:hAnsi="Palatino Linotype"/>
          <w:i/>
          <w:sz w:val="20"/>
          <w:szCs w:val="20"/>
        </w:rPr>
      </w:pPr>
      <w:r w:rsidRPr="00911BE1">
        <w:rPr>
          <w:rFonts w:ascii="Palatino Linotype" w:hAnsi="Palatino Linotype"/>
          <w:i/>
          <w:sz w:val="20"/>
          <w:szCs w:val="20"/>
        </w:rPr>
        <w:lastRenderedPageBreak/>
        <w:t>“1.2 Marco Conceptual</w:t>
      </w:r>
    </w:p>
    <w:p w14:paraId="625E7FEA" w14:textId="77777777" w:rsidR="00240AAD" w:rsidRPr="00911BE1" w:rsidRDefault="00240AAD" w:rsidP="00240AAD">
      <w:pPr>
        <w:autoSpaceDE w:val="0"/>
        <w:autoSpaceDN w:val="0"/>
        <w:adjustRightInd w:val="0"/>
        <w:spacing w:after="120"/>
        <w:ind w:left="851" w:right="902"/>
        <w:jc w:val="both"/>
        <w:rPr>
          <w:rFonts w:ascii="Palatino Linotype" w:hAnsi="Palatino Linotype"/>
          <w:i/>
          <w:sz w:val="20"/>
          <w:szCs w:val="20"/>
        </w:rPr>
      </w:pPr>
      <w:r w:rsidRPr="00911BE1">
        <w:rPr>
          <w:rFonts w:ascii="Palatino Linotype" w:hAnsi="Palatino Linotype"/>
          <w:i/>
          <w:sz w:val="20"/>
          <w:szCs w:val="20"/>
        </w:rPr>
        <w:t>Definición del Presupuesto</w:t>
      </w:r>
    </w:p>
    <w:p w14:paraId="5E5E127E" w14:textId="77777777" w:rsidR="00240AAD" w:rsidRDefault="00240AAD" w:rsidP="00240AAD">
      <w:pPr>
        <w:autoSpaceDE w:val="0"/>
        <w:autoSpaceDN w:val="0"/>
        <w:adjustRightInd w:val="0"/>
        <w:spacing w:after="120"/>
        <w:ind w:left="851" w:right="902"/>
        <w:jc w:val="both"/>
        <w:rPr>
          <w:rFonts w:ascii="Palatino Linotype" w:hAnsi="Palatino Linotype"/>
          <w:i/>
          <w:sz w:val="20"/>
          <w:szCs w:val="20"/>
        </w:rPr>
      </w:pPr>
      <w:r w:rsidRPr="00911BE1">
        <w:rPr>
          <w:rFonts w:ascii="Palatino Linotype" w:hAnsi="Palatino Linotype"/>
          <w:i/>
          <w:sz w:val="20"/>
          <w:szCs w:val="20"/>
        </w:rPr>
        <w:t xml:space="preserve">Con base en lo que establece el artículo 285 del Código Financiero del Estado de México y Municipios, el Presupuesto de Egresos Municipal se conceptualiza como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 </w:t>
      </w:r>
    </w:p>
    <w:p w14:paraId="59F8477C" w14:textId="77777777" w:rsidR="00240AAD" w:rsidRDefault="00240AAD" w:rsidP="00240AAD">
      <w:pPr>
        <w:autoSpaceDE w:val="0"/>
        <w:autoSpaceDN w:val="0"/>
        <w:adjustRightInd w:val="0"/>
        <w:spacing w:after="120"/>
        <w:ind w:left="851" w:right="902"/>
        <w:jc w:val="both"/>
        <w:rPr>
          <w:rFonts w:ascii="Palatino Linotype" w:hAnsi="Palatino Linotype"/>
          <w:i/>
          <w:sz w:val="20"/>
          <w:szCs w:val="20"/>
        </w:rPr>
      </w:pPr>
      <w:r w:rsidRPr="00911BE1">
        <w:rPr>
          <w:rFonts w:ascii="Palatino Linotype" w:hAnsi="Palatino Linotype"/>
          <w:i/>
          <w:sz w:val="20"/>
          <w:szCs w:val="20"/>
        </w:rPr>
        <w:t xml:space="preserve">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 </w:t>
      </w:r>
    </w:p>
    <w:p w14:paraId="24DB467A" w14:textId="77777777" w:rsidR="00240AAD" w:rsidRPr="00911BE1" w:rsidRDefault="00240AAD" w:rsidP="00240AAD">
      <w:pPr>
        <w:autoSpaceDE w:val="0"/>
        <w:autoSpaceDN w:val="0"/>
        <w:adjustRightInd w:val="0"/>
        <w:spacing w:after="120"/>
        <w:ind w:left="851" w:right="902"/>
        <w:jc w:val="both"/>
        <w:rPr>
          <w:rFonts w:ascii="Palatino Linotype" w:hAnsi="Palatino Linotype"/>
          <w:i/>
          <w:sz w:val="20"/>
          <w:szCs w:val="20"/>
        </w:rPr>
      </w:pPr>
      <w:r w:rsidRPr="00911BE1">
        <w:rPr>
          <w:rFonts w:ascii="Palatino Linotype" w:hAnsi="Palatino Linotype"/>
          <w:i/>
          <w:sz w:val="20"/>
          <w:szCs w:val="20"/>
        </w:rPr>
        <w:t>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14:paraId="0B2B756A" w14:textId="77777777" w:rsidR="00240AAD" w:rsidRDefault="00240AAD" w:rsidP="00240AAD">
      <w:pPr>
        <w:autoSpaceDE w:val="0"/>
        <w:autoSpaceDN w:val="0"/>
        <w:adjustRightInd w:val="0"/>
        <w:spacing w:after="120"/>
        <w:ind w:left="851" w:right="902"/>
        <w:jc w:val="both"/>
        <w:rPr>
          <w:rFonts w:ascii="Palatino Linotype" w:hAnsi="Palatino Linotype"/>
          <w:i/>
          <w:sz w:val="20"/>
          <w:szCs w:val="20"/>
        </w:rPr>
      </w:pPr>
      <w:r w:rsidRPr="00911BE1">
        <w:rPr>
          <w:rFonts w:ascii="Palatino Linotype" w:hAnsi="Palatino Linotype"/>
          <w:i/>
          <w:sz w:val="20"/>
          <w:szCs w:val="20"/>
        </w:rPr>
        <w:t>El presupuesto público involucra los planes, políticas, programas, proyectos, estrategias y objetivos del municipio, como medio efectivo de control del gasto público y en ellos se fundamentan las diferentes alternativas de asignación de recursos para gastos e inversiones</w:t>
      </w:r>
      <w:r>
        <w:rPr>
          <w:rFonts w:ascii="Palatino Linotype" w:hAnsi="Palatino Linotype"/>
          <w:i/>
          <w:sz w:val="20"/>
          <w:szCs w:val="20"/>
        </w:rPr>
        <w:t>…</w:t>
      </w:r>
      <w:r w:rsidRPr="00911BE1">
        <w:rPr>
          <w:rFonts w:ascii="Palatino Linotype" w:hAnsi="Palatino Linotype"/>
          <w:i/>
          <w:sz w:val="20"/>
          <w:szCs w:val="20"/>
        </w:rPr>
        <w:t>”</w:t>
      </w:r>
    </w:p>
    <w:p w14:paraId="1E96FADE" w14:textId="3187F2C1" w:rsidR="000655AC" w:rsidRDefault="000655AC" w:rsidP="00240AAD">
      <w:pPr>
        <w:spacing w:before="240" w:after="240" w:line="360" w:lineRule="auto"/>
        <w:jc w:val="both"/>
        <w:rPr>
          <w:rFonts w:ascii="Palatino Linotype" w:hAnsi="Palatino Linotype"/>
        </w:rPr>
      </w:pPr>
      <w:r>
        <w:rPr>
          <w:rFonts w:ascii="Palatino Linotype" w:hAnsi="Palatino Linotype"/>
        </w:rPr>
        <w:t>Por su parte, la Ley General de Contabilidad Gubernamental, establece las bases, tal y como se muestra a continuación:</w:t>
      </w:r>
    </w:p>
    <w:p w14:paraId="2122D6A4" w14:textId="77777777" w:rsidR="000655AC" w:rsidRDefault="000655AC" w:rsidP="000655AC">
      <w:pPr>
        <w:pStyle w:val="Default"/>
        <w:spacing w:after="120"/>
        <w:ind w:left="851" w:right="902"/>
        <w:jc w:val="both"/>
        <w:rPr>
          <w:rFonts w:ascii="Palatino Linotype" w:hAnsi="Palatino Linotype"/>
          <w:i/>
          <w:sz w:val="20"/>
          <w:szCs w:val="20"/>
        </w:rPr>
      </w:pPr>
      <w:r>
        <w:rPr>
          <w:rFonts w:ascii="Palatino Linotype" w:hAnsi="Palatino Linotype"/>
          <w:b/>
          <w:i/>
          <w:sz w:val="20"/>
          <w:szCs w:val="20"/>
        </w:rPr>
        <w:t>“</w:t>
      </w:r>
      <w:r w:rsidRPr="007F3260">
        <w:rPr>
          <w:rFonts w:ascii="Palatino Linotype" w:hAnsi="Palatino Linotype"/>
          <w:b/>
          <w:i/>
          <w:sz w:val="20"/>
          <w:szCs w:val="20"/>
        </w:rPr>
        <w:t>Artículo 61.-</w:t>
      </w:r>
      <w:r w:rsidRPr="007F3260">
        <w:rPr>
          <w:rFonts w:ascii="Palatino Linotype" w:hAnsi="Palatino Linotype"/>
          <w:i/>
          <w:sz w:val="20"/>
          <w:szCs w:val="20"/>
        </w:rPr>
        <w:t xml:space="preserve"> Además de la información prevista en las respectivas leyes en materia financiera, fiscal y presupuestaria y la información señalada en los artículos 46 a 48 de esta Ley, la Federación, las entidades federativas, los municipios, y en su caso, las demarcaciones territoriales del Distrito Federal, incluirán en sus respectivas leyes de ingresos y presupuestos de egresos u ordenamientos equivalentes, apartados específicos con la información siguiente:</w:t>
      </w:r>
    </w:p>
    <w:p w14:paraId="509120B4" w14:textId="77777777" w:rsidR="000655AC" w:rsidRDefault="000655AC" w:rsidP="000655AC">
      <w:pPr>
        <w:pStyle w:val="Default"/>
        <w:spacing w:after="120"/>
        <w:ind w:left="1134" w:right="902"/>
        <w:jc w:val="both"/>
        <w:rPr>
          <w:rFonts w:ascii="Palatino Linotype" w:hAnsi="Palatino Linotype"/>
          <w:i/>
          <w:sz w:val="20"/>
          <w:szCs w:val="20"/>
        </w:rPr>
      </w:pPr>
      <w:r>
        <w:rPr>
          <w:rFonts w:ascii="Palatino Linotype" w:hAnsi="Palatino Linotype"/>
          <w:i/>
          <w:sz w:val="20"/>
          <w:szCs w:val="20"/>
        </w:rPr>
        <w:t>(…)</w:t>
      </w:r>
    </w:p>
    <w:p w14:paraId="6AA06C09" w14:textId="77777777" w:rsidR="000655AC" w:rsidRDefault="000655AC" w:rsidP="000655AC">
      <w:pPr>
        <w:pStyle w:val="Default"/>
        <w:spacing w:after="120"/>
        <w:ind w:left="1134" w:right="902"/>
        <w:jc w:val="both"/>
        <w:rPr>
          <w:rFonts w:ascii="Palatino Linotype" w:hAnsi="Palatino Linotype"/>
          <w:i/>
          <w:sz w:val="20"/>
          <w:szCs w:val="20"/>
        </w:rPr>
      </w:pPr>
      <w:r w:rsidRPr="007F3260">
        <w:rPr>
          <w:rFonts w:ascii="Palatino Linotype" w:hAnsi="Palatino Linotype"/>
          <w:i/>
          <w:sz w:val="20"/>
          <w:szCs w:val="20"/>
        </w:rPr>
        <w:t xml:space="preserve">II. Presupuestos de Egresos: </w:t>
      </w:r>
    </w:p>
    <w:p w14:paraId="275D7C86" w14:textId="77777777" w:rsidR="000655AC" w:rsidRDefault="000655AC" w:rsidP="000655AC">
      <w:pPr>
        <w:pStyle w:val="Default"/>
        <w:spacing w:after="120"/>
        <w:ind w:left="1418" w:right="902"/>
        <w:jc w:val="both"/>
        <w:rPr>
          <w:rFonts w:ascii="Palatino Linotype" w:hAnsi="Palatino Linotype"/>
          <w:i/>
          <w:sz w:val="20"/>
          <w:szCs w:val="20"/>
        </w:rPr>
      </w:pPr>
      <w:r w:rsidRPr="007F3260">
        <w:rPr>
          <w:rFonts w:ascii="Palatino Linotype" w:hAnsi="Palatino Linotype"/>
          <w:i/>
          <w:sz w:val="20"/>
          <w:szCs w:val="20"/>
        </w:rPr>
        <w:t xml:space="preserve">a) Las prioridades de gasto, los programas y proyectos, así como la distribución del presupuesto, detallando el gasto en servicios personales, incluyendo el analítico de plazas y desglosando todas las remuneraciones; las contrataciones de servicios por honorarios y, en su caso, previsiones para personal eventual; pensiones; gastos de </w:t>
      </w:r>
      <w:r w:rsidRPr="007F3260">
        <w:rPr>
          <w:rFonts w:ascii="Palatino Linotype" w:hAnsi="Palatino Linotype"/>
          <w:i/>
          <w:sz w:val="20"/>
          <w:szCs w:val="20"/>
        </w:rPr>
        <w:lastRenderedPageBreak/>
        <w:t xml:space="preserve">operación, incluyendo gasto en comunicación social; gasto de inversión; así como gasto correspondiente a compromisos plurianuales, proyectos de asociaciones público privadas y proyectos de prestación de servicios, entre otros; </w:t>
      </w:r>
    </w:p>
    <w:p w14:paraId="487EDFB2" w14:textId="77777777" w:rsidR="000655AC" w:rsidRDefault="000655AC" w:rsidP="000655AC">
      <w:pPr>
        <w:pStyle w:val="Default"/>
        <w:spacing w:after="120"/>
        <w:ind w:left="1418" w:right="902"/>
        <w:jc w:val="both"/>
        <w:rPr>
          <w:rFonts w:ascii="Palatino Linotype" w:hAnsi="Palatino Linotype"/>
          <w:i/>
          <w:sz w:val="20"/>
          <w:szCs w:val="20"/>
        </w:rPr>
      </w:pPr>
      <w:r w:rsidRPr="007F3260">
        <w:rPr>
          <w:rFonts w:ascii="Palatino Linotype" w:hAnsi="Palatino Linotype"/>
          <w:i/>
          <w:sz w:val="20"/>
          <w:szCs w:val="20"/>
        </w:rPr>
        <w:t xml:space="preserve">b) El listado de programas así como sus indicadores estratégicos y de gestión aprobados, y </w:t>
      </w:r>
    </w:p>
    <w:p w14:paraId="46588049" w14:textId="77777777" w:rsidR="000655AC" w:rsidRDefault="000655AC" w:rsidP="000655AC">
      <w:pPr>
        <w:pStyle w:val="Default"/>
        <w:spacing w:after="120"/>
        <w:ind w:left="1418" w:right="902"/>
        <w:jc w:val="both"/>
        <w:rPr>
          <w:rFonts w:ascii="Palatino Linotype" w:hAnsi="Palatino Linotype"/>
          <w:i/>
          <w:sz w:val="20"/>
          <w:szCs w:val="20"/>
        </w:rPr>
      </w:pPr>
      <w:r w:rsidRPr="007F3260">
        <w:rPr>
          <w:rFonts w:ascii="Palatino Linotype" w:hAnsi="Palatino Linotype"/>
          <w:i/>
          <w:sz w:val="20"/>
          <w:szCs w:val="20"/>
        </w:rPr>
        <w:t xml:space="preserve">c) La aplicación de los recursos conforme a las clasificaciones administrativa, funcional, programática, económica y, en su caso, geográfica y sus interrelaciones que faciliten el análisis para valorar la eficiencia y eficacia en el uso y destino de los recursos y sus resultados. </w:t>
      </w:r>
    </w:p>
    <w:p w14:paraId="4C3E5B71" w14:textId="77777777" w:rsidR="000655AC" w:rsidRPr="007F3260" w:rsidRDefault="000655AC" w:rsidP="000655AC">
      <w:pPr>
        <w:pStyle w:val="Default"/>
        <w:spacing w:after="120"/>
        <w:ind w:left="1134" w:right="902"/>
        <w:jc w:val="both"/>
        <w:rPr>
          <w:rFonts w:ascii="Palatino Linotype" w:hAnsi="Palatino Linotype"/>
          <w:i/>
          <w:sz w:val="20"/>
          <w:szCs w:val="20"/>
        </w:rPr>
      </w:pPr>
      <w:r w:rsidRPr="007F3260">
        <w:rPr>
          <w:rFonts w:ascii="Palatino Linotype" w:hAnsi="Palatino Linotype"/>
          <w:i/>
          <w:sz w:val="20"/>
          <w:szCs w:val="20"/>
        </w:rPr>
        <w:t>En el proceso de integración de la información financiera para la elaboración de los presupuestos se deberán incorporar los resultados que deriven de los procesos de implantación y operación del presupuesto basado en resultados y del sistema de evaluación del desempeño, establecidos en términos del artículo 134 de la Constitución Política d</w:t>
      </w:r>
      <w:r>
        <w:rPr>
          <w:rFonts w:ascii="Palatino Linotype" w:hAnsi="Palatino Linotype"/>
          <w:i/>
          <w:sz w:val="20"/>
          <w:szCs w:val="20"/>
        </w:rPr>
        <w:t>e los Estados Unidos Mexicanos…”</w:t>
      </w:r>
    </w:p>
    <w:p w14:paraId="4F64FC0A" w14:textId="77777777" w:rsidR="00240AAD" w:rsidRDefault="00240AAD" w:rsidP="00240AAD">
      <w:pPr>
        <w:autoSpaceDE w:val="0"/>
        <w:autoSpaceDN w:val="0"/>
        <w:adjustRightInd w:val="0"/>
        <w:spacing w:before="240" w:after="240" w:line="360" w:lineRule="auto"/>
        <w:ind w:right="-91"/>
        <w:jc w:val="both"/>
        <w:rPr>
          <w:rFonts w:ascii="Palatino Linotype" w:hAnsi="Palatino Linotype"/>
        </w:rPr>
      </w:pPr>
      <w:r>
        <w:rPr>
          <w:rFonts w:ascii="Palatino Linotype" w:hAnsi="Palatino Linotype"/>
        </w:rPr>
        <w:t xml:space="preserve">Instrumento que permite a los ayuntamientos y a las entidades públicas municipales, componer la asignación de los recursos públicos </w:t>
      </w:r>
      <w:r w:rsidRPr="00274CB2">
        <w:rPr>
          <w:rFonts w:ascii="Palatino Linotype" w:hAnsi="Palatino Linotype"/>
        </w:rPr>
        <w:t xml:space="preserve">destinadas a la adquisición de toda clase de insumos y suministros requeridos para la prestación de bienes y servicios públicos y para el desempeño de </w:t>
      </w:r>
      <w:r>
        <w:rPr>
          <w:rFonts w:ascii="Palatino Linotype" w:hAnsi="Palatino Linotype"/>
        </w:rPr>
        <w:t xml:space="preserve">las actividades administrativas, con un enfoque de resultados de conformidad con lo establecido en los ordenamientos legales, </w:t>
      </w:r>
      <w:r w:rsidRPr="00274CB2">
        <w:rPr>
          <w:rFonts w:ascii="Palatino Linotype" w:hAnsi="Palatino Linotype"/>
        </w:rPr>
        <w:t>las asignaciones</w:t>
      </w:r>
      <w:r>
        <w:rPr>
          <w:rFonts w:ascii="Palatino Linotype" w:hAnsi="Palatino Linotype"/>
        </w:rPr>
        <w:t>, de las resulta indispensable resaltar las siguientes:</w:t>
      </w:r>
    </w:p>
    <w:p w14:paraId="7025EB77" w14:textId="77777777" w:rsidR="00240AAD" w:rsidRPr="005B625C" w:rsidRDefault="00240AAD" w:rsidP="00240AAD">
      <w:pPr>
        <w:autoSpaceDE w:val="0"/>
        <w:autoSpaceDN w:val="0"/>
        <w:adjustRightInd w:val="0"/>
        <w:spacing w:after="120"/>
        <w:ind w:left="851" w:right="902"/>
        <w:jc w:val="both"/>
        <w:rPr>
          <w:rFonts w:ascii="Palatino Linotype" w:hAnsi="Palatino Linotype"/>
          <w:i/>
          <w:sz w:val="20"/>
          <w:szCs w:val="20"/>
        </w:rPr>
      </w:pPr>
      <w:r>
        <w:rPr>
          <w:rFonts w:ascii="Palatino Linotype" w:hAnsi="Palatino Linotype"/>
          <w:b/>
          <w:i/>
          <w:sz w:val="20"/>
          <w:szCs w:val="20"/>
        </w:rPr>
        <w:t>“…</w:t>
      </w:r>
      <w:r w:rsidRPr="005B625C">
        <w:rPr>
          <w:rFonts w:ascii="Palatino Linotype" w:hAnsi="Palatino Linotype"/>
          <w:b/>
          <w:i/>
          <w:sz w:val="20"/>
          <w:szCs w:val="20"/>
        </w:rPr>
        <w:t>1593 Viáticos.</w:t>
      </w:r>
      <w:r w:rsidRPr="005B625C">
        <w:rPr>
          <w:rFonts w:ascii="Palatino Linotype" w:hAnsi="Palatino Linotype"/>
          <w:i/>
          <w:sz w:val="20"/>
          <w:szCs w:val="20"/>
        </w:rPr>
        <w:t xml:space="preserve"> Asignación a servidores públicos que desarrollan funciones inherentes a su puesto fuera de su lugar permanente de trabajo, con fundamento en el análisis del tipo, frecuencia, distancia características de los desplazamientos que realice el servidor público, así como los apoyos que se le brinden, tales como vehículo o pago de casetas, entre otros. No podrán asignarse viáticos fijos a servidores públicos de mandos medios y superiores, ni a los de puestos de enlace y apoyo técnico.</w:t>
      </w:r>
    </w:p>
    <w:p w14:paraId="10CBD12A" w14:textId="090D56DC" w:rsidR="009002BC" w:rsidRPr="009002BC" w:rsidRDefault="00240AAD" w:rsidP="009002BC">
      <w:pPr>
        <w:spacing w:line="360" w:lineRule="auto"/>
        <w:jc w:val="both"/>
        <w:rPr>
          <w:rFonts w:ascii="Palatino Linotype" w:eastAsia="Calibri" w:hAnsi="Palatino Linotype" w:cs="Tahoma"/>
          <w:bCs/>
          <w:lang w:eastAsia="en-US"/>
        </w:rPr>
      </w:pPr>
      <w:r w:rsidRPr="009002BC">
        <w:rPr>
          <w:rFonts w:ascii="Palatino Linotype" w:hAnsi="Palatino Linotype" w:cs="Arial"/>
        </w:rPr>
        <w:t xml:space="preserve">Atento a lo anterior, </w:t>
      </w:r>
      <w:r w:rsidR="009002BC" w:rsidRPr="009002BC">
        <w:rPr>
          <w:rFonts w:ascii="Palatino Linotype" w:eastAsia="Calibri" w:hAnsi="Palatino Linotype" w:cs="Tahoma"/>
          <w:bCs/>
          <w:lang w:eastAsia="en-US"/>
        </w:rPr>
        <w:t>resulta conveniente traer a colación lo señalado por la Ley de Transparencia y Acceso a la Información Pública, debido a que la naturaleza de la información no sólo se trata de información pública, sino que además</w:t>
      </w:r>
      <w:r w:rsidR="009002BC">
        <w:rPr>
          <w:rFonts w:ascii="Palatino Linotype" w:eastAsia="Calibri" w:hAnsi="Palatino Linotype" w:cs="Tahoma"/>
          <w:bCs/>
          <w:lang w:eastAsia="en-US"/>
        </w:rPr>
        <w:t>,</w:t>
      </w:r>
      <w:r w:rsidR="009002BC" w:rsidRPr="009002BC">
        <w:rPr>
          <w:rFonts w:ascii="Palatino Linotype" w:eastAsia="Calibri" w:hAnsi="Palatino Linotype" w:cs="Tahoma"/>
          <w:bCs/>
          <w:lang w:eastAsia="en-US"/>
        </w:rPr>
        <w:t xml:space="preserve"> corresponde a las obligaciones de transparencia, de acuerdo a lo señalado en el artículo 92, fracción IX, que se transcribe a continuación:</w:t>
      </w:r>
    </w:p>
    <w:p w14:paraId="76240282" w14:textId="77777777" w:rsidR="009002BC" w:rsidRPr="00E854EC" w:rsidRDefault="009002BC" w:rsidP="009002BC">
      <w:pPr>
        <w:spacing w:line="360" w:lineRule="auto"/>
        <w:ind w:right="-93"/>
        <w:jc w:val="both"/>
        <w:rPr>
          <w:rFonts w:ascii="Palatino Linotype" w:eastAsia="Calibri" w:hAnsi="Palatino Linotype" w:cs="Tahoma"/>
          <w:bCs/>
          <w:sz w:val="22"/>
          <w:szCs w:val="22"/>
          <w:lang w:eastAsia="en-US"/>
        </w:rPr>
      </w:pPr>
    </w:p>
    <w:p w14:paraId="35486FD9" w14:textId="77777777" w:rsidR="009002BC" w:rsidRDefault="009002BC" w:rsidP="009002BC">
      <w:pPr>
        <w:spacing w:after="120"/>
        <w:ind w:left="851" w:right="900"/>
        <w:jc w:val="both"/>
        <w:rPr>
          <w:rFonts w:ascii="Palatino Linotype" w:hAnsi="Palatino Linotype"/>
          <w:i/>
          <w:sz w:val="20"/>
          <w:szCs w:val="20"/>
        </w:rPr>
      </w:pPr>
      <w:r>
        <w:rPr>
          <w:rFonts w:ascii="Palatino Linotype" w:hAnsi="Palatino Linotype"/>
          <w:b/>
          <w:i/>
          <w:sz w:val="20"/>
          <w:szCs w:val="20"/>
        </w:rPr>
        <w:t>“</w:t>
      </w:r>
      <w:r w:rsidRPr="009002BC">
        <w:rPr>
          <w:rFonts w:ascii="Palatino Linotype" w:hAnsi="Palatino Linotype"/>
          <w:b/>
          <w:i/>
          <w:sz w:val="20"/>
          <w:szCs w:val="20"/>
        </w:rPr>
        <w:t>Artículo 92.</w:t>
      </w:r>
      <w:r w:rsidRPr="009002BC">
        <w:rPr>
          <w:rFonts w:ascii="Palatino Linotype" w:hAnsi="Palatino Linotype"/>
          <w:i/>
          <w:sz w:val="20"/>
          <w:szCs w:val="20"/>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7E991D2" w14:textId="77777777" w:rsidR="009002BC" w:rsidRPr="009002BC" w:rsidRDefault="009002BC" w:rsidP="009002BC">
      <w:pPr>
        <w:spacing w:after="120"/>
        <w:ind w:left="1134" w:right="900"/>
        <w:jc w:val="both"/>
        <w:rPr>
          <w:rFonts w:ascii="Palatino Linotype" w:hAnsi="Palatino Linotype"/>
          <w:i/>
          <w:sz w:val="20"/>
          <w:szCs w:val="20"/>
        </w:rPr>
      </w:pPr>
      <w:r w:rsidRPr="009002BC">
        <w:rPr>
          <w:rFonts w:ascii="Palatino Linotype" w:hAnsi="Palatino Linotype"/>
          <w:i/>
          <w:sz w:val="20"/>
          <w:szCs w:val="20"/>
        </w:rPr>
        <w:t>(…)</w:t>
      </w:r>
    </w:p>
    <w:p w14:paraId="636FAB4C" w14:textId="339F074A" w:rsidR="009002BC" w:rsidRPr="009002BC" w:rsidRDefault="009002BC" w:rsidP="009002BC">
      <w:pPr>
        <w:spacing w:after="120"/>
        <w:ind w:left="1134" w:right="900"/>
        <w:jc w:val="both"/>
        <w:rPr>
          <w:rFonts w:ascii="Palatino Linotype" w:hAnsi="Palatino Linotype"/>
          <w:i/>
          <w:sz w:val="20"/>
          <w:szCs w:val="20"/>
        </w:rPr>
      </w:pPr>
      <w:r w:rsidRPr="009002BC">
        <w:rPr>
          <w:rFonts w:ascii="Palatino Linotype" w:hAnsi="Palatino Linotype"/>
          <w:i/>
          <w:sz w:val="20"/>
          <w:szCs w:val="20"/>
        </w:rPr>
        <w:t>IX. Los gastos de representación y viáticos, así como el objeto e informe de comisión correspondiente;…”</w:t>
      </w:r>
    </w:p>
    <w:p w14:paraId="762AEA65" w14:textId="77777777" w:rsidR="009002BC" w:rsidRDefault="009002BC" w:rsidP="009002BC">
      <w:pPr>
        <w:autoSpaceDE w:val="0"/>
        <w:autoSpaceDN w:val="0"/>
        <w:adjustRightInd w:val="0"/>
        <w:spacing w:line="360" w:lineRule="auto"/>
        <w:jc w:val="both"/>
        <w:rPr>
          <w:rFonts w:ascii="Palatino Linotype" w:eastAsia="Calibri" w:hAnsi="Palatino Linotype"/>
          <w:sz w:val="22"/>
          <w:szCs w:val="22"/>
          <w:lang w:val="es-ES_tradnl"/>
        </w:rPr>
      </w:pPr>
      <w:r w:rsidRPr="00ED2845">
        <w:rPr>
          <w:rFonts w:ascii="Palatino Linotype" w:eastAsia="Calibri" w:hAnsi="Palatino Linotype"/>
          <w:sz w:val="22"/>
          <w:szCs w:val="22"/>
          <w:lang w:val="es-ES_tradnl"/>
        </w:rPr>
        <w:t>Información que debe ser publicada de conformidad con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w:t>
      </w:r>
      <w:r>
        <w:rPr>
          <w:rFonts w:ascii="Palatino Linotype" w:eastAsia="Calibri" w:hAnsi="Palatino Linotype"/>
          <w:sz w:val="22"/>
          <w:szCs w:val="22"/>
          <w:lang w:val="es-ES_tradnl"/>
        </w:rPr>
        <w:t>forma Nacional de Transparencia, conforme al siguiente formato:</w:t>
      </w:r>
    </w:p>
    <w:p w14:paraId="676F1562" w14:textId="77777777" w:rsidR="009002BC" w:rsidRPr="00ED2845" w:rsidRDefault="009002BC" w:rsidP="009002BC">
      <w:pPr>
        <w:autoSpaceDE w:val="0"/>
        <w:autoSpaceDN w:val="0"/>
        <w:adjustRightInd w:val="0"/>
        <w:spacing w:line="360" w:lineRule="auto"/>
        <w:jc w:val="both"/>
        <w:rPr>
          <w:rFonts w:ascii="Palatino Linotype" w:eastAsia="Calibri" w:hAnsi="Palatino Linotype"/>
          <w:sz w:val="22"/>
          <w:szCs w:val="22"/>
          <w:lang w:val="es-ES_tradnl"/>
        </w:rPr>
      </w:pPr>
      <w:r w:rsidRPr="009002BC">
        <w:rPr>
          <w:rFonts w:ascii="Palatino Linotype" w:eastAsia="Calibri" w:hAnsi="Palatino Linotype"/>
          <w:noProof/>
          <w:sz w:val="22"/>
          <w:szCs w:val="22"/>
          <w:lang w:val="es-MX" w:eastAsia="es-MX"/>
        </w:rPr>
        <w:lastRenderedPageBreak/>
        <w:drawing>
          <wp:inline distT="0" distB="0" distL="0" distR="0" wp14:anchorId="2B9431A3" wp14:editId="6F40F64E">
            <wp:extent cx="5612130" cy="4914900"/>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4914900"/>
                    </a:xfrm>
                    <a:prstGeom prst="rect">
                      <a:avLst/>
                    </a:prstGeom>
                  </pic:spPr>
                </pic:pic>
              </a:graphicData>
            </a:graphic>
          </wp:inline>
        </w:drawing>
      </w:r>
    </w:p>
    <w:p w14:paraId="4E701001" w14:textId="77777777" w:rsidR="009002BC" w:rsidRPr="009002BC" w:rsidRDefault="009002BC" w:rsidP="009002BC">
      <w:pPr>
        <w:spacing w:line="360" w:lineRule="auto"/>
        <w:ind w:right="-93"/>
        <w:jc w:val="both"/>
        <w:rPr>
          <w:rFonts w:ascii="Palatino Linotype" w:hAnsi="Palatino Linotype" w:cs="Tahoma"/>
        </w:rPr>
      </w:pPr>
      <w:r w:rsidRPr="009002BC">
        <w:rPr>
          <w:rFonts w:ascii="Palatino Linotype" w:hAnsi="Palatino Linotype" w:cs="Tahoma"/>
        </w:rPr>
        <w:t xml:space="preserve">Conforme a lo anterior, se advierte, que el </w:t>
      </w:r>
      <w:r w:rsidRPr="009002BC">
        <w:rPr>
          <w:rFonts w:ascii="Palatino Linotype" w:hAnsi="Palatino Linotype" w:cs="Tahoma"/>
          <w:b/>
        </w:rPr>
        <w:t>Sujeto Obligado</w:t>
      </w:r>
      <w:r w:rsidRPr="009002BC">
        <w:rPr>
          <w:rFonts w:ascii="Palatino Linotype" w:hAnsi="Palatino Linotype" w:cs="Tahoma"/>
        </w:rPr>
        <w:t xml:space="preserve"> debe tener en sus archivos los documentos que solicita el Particular; en virtud de que 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w:t>
      </w:r>
      <w:r w:rsidRPr="009002BC">
        <w:rPr>
          <w:rFonts w:ascii="Palatino Linotype" w:hAnsi="Palatino Linotype" w:cs="Tahoma"/>
        </w:rPr>
        <w:lastRenderedPageBreak/>
        <w:t>efectuar cálculos o practicar investigaciones. Por lo que deberá de proceder, según lo establecido en el artículo 162 de la Ley de Transparencia y Acceso a la Información Pública del Estado de México, turnando la solicitud a todas las área competentes que cuenten o deban tener la información, con objeto de que realicen una búsqueda exhaustiva y razonable de la información solicitada.</w:t>
      </w:r>
    </w:p>
    <w:p w14:paraId="3C22CD21" w14:textId="77777777" w:rsidR="009002BC" w:rsidRPr="00401946" w:rsidRDefault="009002BC" w:rsidP="009002BC">
      <w:pPr>
        <w:spacing w:line="360" w:lineRule="auto"/>
        <w:ind w:right="-93"/>
        <w:jc w:val="both"/>
        <w:rPr>
          <w:rFonts w:ascii="Palatino Linotype" w:hAnsi="Palatino Linotype" w:cs="Tahoma"/>
          <w:sz w:val="22"/>
          <w:szCs w:val="22"/>
        </w:rPr>
      </w:pPr>
    </w:p>
    <w:p w14:paraId="1B3B82D7" w14:textId="77777777" w:rsidR="00CA210B" w:rsidRPr="0035532A" w:rsidRDefault="00CA210B" w:rsidP="00CA210B">
      <w:pPr>
        <w:autoSpaceDE w:val="0"/>
        <w:autoSpaceDN w:val="0"/>
        <w:adjustRightInd w:val="0"/>
        <w:spacing w:before="240" w:after="240" w:line="360" w:lineRule="auto"/>
        <w:ind w:right="51"/>
        <w:jc w:val="both"/>
        <w:rPr>
          <w:rFonts w:ascii="Palatino Linotype" w:eastAsiaTheme="minorEastAsia" w:hAnsi="Palatino Linotype" w:cs="Bookman Old Style"/>
          <w:b/>
          <w:sz w:val="28"/>
          <w:szCs w:val="28"/>
          <w:lang w:val="es-MX"/>
        </w:rPr>
      </w:pPr>
      <w:r w:rsidRPr="000F49A2">
        <w:rPr>
          <w:rFonts w:ascii="Palatino Linotype" w:eastAsiaTheme="minorEastAsia" w:hAnsi="Palatino Linotype" w:cs="Bookman Old Style"/>
          <w:b/>
          <w:sz w:val="28"/>
          <w:szCs w:val="28"/>
          <w:lang w:val="es-MX"/>
        </w:rPr>
        <w:t>QUINTO. Versión Pública.</w:t>
      </w:r>
    </w:p>
    <w:p w14:paraId="55172CB3" w14:textId="77777777" w:rsidR="00CA210B" w:rsidRDefault="00CA210B" w:rsidP="00CA210B">
      <w:pPr>
        <w:autoSpaceDE w:val="0"/>
        <w:autoSpaceDN w:val="0"/>
        <w:adjustRightInd w:val="0"/>
        <w:spacing w:before="240" w:after="240" w:line="360" w:lineRule="auto"/>
        <w:ind w:right="51"/>
        <w:jc w:val="both"/>
        <w:rPr>
          <w:rFonts w:ascii="Palatino Linotype" w:eastAsiaTheme="minorEastAsia" w:hAnsi="Palatino Linotype" w:cs="Bookman Old Style"/>
          <w:lang w:val="es-MX"/>
        </w:rPr>
      </w:pPr>
      <w:r>
        <w:rPr>
          <w:rFonts w:ascii="Palatino Linotype" w:eastAsiaTheme="minorEastAsia" w:hAnsi="Palatino Linotype" w:cs="Bookman Old Style"/>
          <w:lang w:val="es-MX"/>
        </w:rPr>
        <w:t xml:space="preserve">Por último, cabe señalar que respecto a la versión pública de los documentos que contenga la información solicitada, el Comité de Transparencia del </w:t>
      </w:r>
      <w:r w:rsidRPr="00745403">
        <w:rPr>
          <w:rFonts w:ascii="Palatino Linotype" w:eastAsiaTheme="minorEastAsia" w:hAnsi="Palatino Linotype" w:cs="Bookman Old Style"/>
          <w:b/>
          <w:lang w:val="es-MX"/>
        </w:rPr>
        <w:t>Sujeto Obligado</w:t>
      </w:r>
      <w:r>
        <w:rPr>
          <w:rFonts w:ascii="Palatino Linotype" w:eastAsiaTheme="minorEastAsia" w:hAnsi="Palatino Linotype" w:cs="Bookman Old Style"/>
          <w:lang w:val="es-MX"/>
        </w:rPr>
        <w:t>, deberá emitir el acuerdo de clasificación de información reservada con fundamento en el artículo 3 y 143 de la Ley de Transparencia y Acceso a la Información Pública del Estado de México, que establece lo siguiente respecto a los datos personales:</w:t>
      </w:r>
    </w:p>
    <w:p w14:paraId="751AAA83" w14:textId="77777777" w:rsidR="00CA210B" w:rsidRDefault="00CA210B" w:rsidP="00CA210B">
      <w:pPr>
        <w:autoSpaceDE w:val="0"/>
        <w:autoSpaceDN w:val="0"/>
        <w:adjustRightInd w:val="0"/>
        <w:spacing w:before="120" w:after="240"/>
        <w:ind w:left="851" w:right="902"/>
        <w:jc w:val="both"/>
        <w:rPr>
          <w:rFonts w:ascii="Palatino Linotype" w:eastAsiaTheme="minorEastAsia" w:hAnsi="Palatino Linotype" w:cs="Bookman Old Style"/>
          <w:i/>
          <w:sz w:val="20"/>
          <w:szCs w:val="20"/>
          <w:lang w:val="es-MX"/>
        </w:rPr>
      </w:pPr>
      <w:r>
        <w:rPr>
          <w:rFonts w:ascii="Palatino Linotype" w:eastAsiaTheme="minorEastAsia" w:hAnsi="Palatino Linotype" w:cs="Bookman Old Style"/>
          <w:b/>
          <w:i/>
          <w:sz w:val="20"/>
          <w:szCs w:val="20"/>
          <w:lang w:val="es-MX"/>
        </w:rPr>
        <w:t xml:space="preserve">“Artículo 3. </w:t>
      </w:r>
      <w:r>
        <w:rPr>
          <w:rFonts w:ascii="Palatino Linotype" w:eastAsiaTheme="minorEastAsia" w:hAnsi="Palatino Linotype" w:cs="Bookman Old Style"/>
          <w:i/>
          <w:sz w:val="20"/>
          <w:szCs w:val="20"/>
          <w:lang w:val="es-MX"/>
        </w:rPr>
        <w:t>Para los efectos de la presente Ley se entenderá por:</w:t>
      </w:r>
    </w:p>
    <w:p w14:paraId="1B0C5B7A" w14:textId="77777777" w:rsidR="00CA210B" w:rsidRDefault="00CA210B" w:rsidP="00CA210B">
      <w:pPr>
        <w:autoSpaceDE w:val="0"/>
        <w:autoSpaceDN w:val="0"/>
        <w:adjustRightInd w:val="0"/>
        <w:spacing w:before="120" w:after="240"/>
        <w:ind w:left="851" w:right="902"/>
        <w:jc w:val="both"/>
        <w:rPr>
          <w:rFonts w:ascii="Palatino Linotype" w:eastAsiaTheme="minorEastAsia" w:hAnsi="Palatino Linotype" w:cs="Bookman Old Style"/>
          <w:i/>
          <w:sz w:val="20"/>
          <w:szCs w:val="20"/>
          <w:lang w:val="es-MX"/>
        </w:rPr>
      </w:pPr>
      <w:r>
        <w:rPr>
          <w:rFonts w:ascii="Palatino Linotype" w:eastAsiaTheme="minorEastAsia" w:hAnsi="Palatino Linotype" w:cs="Bookman Old Style"/>
          <w:b/>
          <w:i/>
          <w:sz w:val="20"/>
          <w:szCs w:val="20"/>
          <w:lang w:val="es-MX"/>
        </w:rPr>
        <w:t>(…</w:t>
      </w:r>
      <w:r>
        <w:rPr>
          <w:rFonts w:ascii="Palatino Linotype" w:eastAsiaTheme="minorEastAsia" w:hAnsi="Palatino Linotype" w:cs="Bookman Old Style"/>
          <w:i/>
          <w:sz w:val="20"/>
          <w:szCs w:val="20"/>
          <w:lang w:val="es-MX"/>
        </w:rPr>
        <w:t>)</w:t>
      </w:r>
    </w:p>
    <w:p w14:paraId="441E22C6" w14:textId="77777777" w:rsidR="00CA210B" w:rsidRDefault="00CA210B" w:rsidP="00CA210B">
      <w:pPr>
        <w:autoSpaceDE w:val="0"/>
        <w:autoSpaceDN w:val="0"/>
        <w:adjustRightInd w:val="0"/>
        <w:spacing w:before="120" w:after="240"/>
        <w:ind w:left="851" w:right="902"/>
        <w:jc w:val="both"/>
        <w:rPr>
          <w:rFonts w:ascii="Palatino Linotype" w:eastAsiaTheme="minorEastAsia" w:hAnsi="Palatino Linotype" w:cs="Bookman Old Style"/>
          <w:i/>
          <w:sz w:val="20"/>
          <w:szCs w:val="20"/>
          <w:lang w:val="es-MX"/>
        </w:rPr>
      </w:pPr>
      <w:r w:rsidRPr="002F7D4B">
        <w:rPr>
          <w:rFonts w:ascii="Palatino Linotype" w:eastAsiaTheme="minorEastAsia" w:hAnsi="Palatino Linotype" w:cs="Bookman Old Style,Bold"/>
          <w:b/>
          <w:bCs/>
          <w:i/>
          <w:sz w:val="20"/>
          <w:szCs w:val="20"/>
          <w:lang w:val="es-MX"/>
        </w:rPr>
        <w:t xml:space="preserve">IX. Datos personales: </w:t>
      </w:r>
      <w:r w:rsidRPr="002F7D4B">
        <w:rPr>
          <w:rFonts w:ascii="Palatino Linotype" w:eastAsiaTheme="minorEastAsia" w:hAnsi="Palatino Linotype" w:cs="Bookman Old Style"/>
          <w:i/>
          <w:sz w:val="20"/>
          <w:szCs w:val="20"/>
          <w:lang w:val="es-MX"/>
        </w:rPr>
        <w:t>La información concerniente a una persona, identificada o identificable según lo</w:t>
      </w:r>
      <w:r>
        <w:rPr>
          <w:rFonts w:ascii="Palatino Linotype" w:eastAsiaTheme="minorEastAsia" w:hAnsi="Palatino Linotype" w:cs="Bookman Old Style"/>
          <w:i/>
          <w:sz w:val="20"/>
          <w:szCs w:val="20"/>
          <w:lang w:val="es-MX"/>
        </w:rPr>
        <w:t xml:space="preserve"> </w:t>
      </w:r>
      <w:r w:rsidRPr="002F7D4B">
        <w:rPr>
          <w:rFonts w:ascii="Palatino Linotype" w:eastAsiaTheme="minorEastAsia" w:hAnsi="Palatino Linotype" w:cs="Bookman Old Style"/>
          <w:i/>
          <w:sz w:val="20"/>
          <w:szCs w:val="20"/>
          <w:lang w:val="es-MX"/>
        </w:rPr>
        <w:t>dispuesto por la Ley de Protección de Datos Personales del Estado de México;</w:t>
      </w:r>
    </w:p>
    <w:p w14:paraId="5328DC65" w14:textId="77777777" w:rsidR="00CA210B" w:rsidRDefault="00CA210B" w:rsidP="00CA210B">
      <w:pPr>
        <w:autoSpaceDE w:val="0"/>
        <w:autoSpaceDN w:val="0"/>
        <w:adjustRightInd w:val="0"/>
        <w:spacing w:before="120" w:after="240"/>
        <w:ind w:left="851" w:right="902"/>
        <w:jc w:val="both"/>
        <w:rPr>
          <w:rFonts w:ascii="Palatino Linotype" w:eastAsiaTheme="minorEastAsia" w:hAnsi="Palatino Linotype" w:cs="Bookman Old Style"/>
          <w:i/>
          <w:sz w:val="20"/>
          <w:szCs w:val="20"/>
          <w:lang w:val="es-MX"/>
        </w:rPr>
      </w:pPr>
      <w:r>
        <w:rPr>
          <w:rFonts w:ascii="Palatino Linotype" w:eastAsiaTheme="minorEastAsia" w:hAnsi="Palatino Linotype" w:cs="Bookman Old Style,Bold"/>
          <w:b/>
          <w:bCs/>
          <w:i/>
          <w:sz w:val="20"/>
          <w:szCs w:val="20"/>
          <w:lang w:val="es-MX"/>
        </w:rPr>
        <w:t>(…</w:t>
      </w:r>
      <w:r>
        <w:rPr>
          <w:rFonts w:ascii="Palatino Linotype" w:eastAsiaTheme="minorEastAsia" w:hAnsi="Palatino Linotype" w:cs="Bookman Old Style"/>
          <w:i/>
          <w:sz w:val="20"/>
          <w:szCs w:val="20"/>
          <w:lang w:val="es-MX"/>
        </w:rPr>
        <w:t>).”</w:t>
      </w:r>
    </w:p>
    <w:p w14:paraId="619C000E" w14:textId="77777777" w:rsidR="00CA210B" w:rsidRPr="00656036" w:rsidRDefault="00CA210B" w:rsidP="00CA210B">
      <w:pPr>
        <w:autoSpaceDE w:val="0"/>
        <w:autoSpaceDN w:val="0"/>
        <w:adjustRightInd w:val="0"/>
        <w:ind w:left="851" w:right="900"/>
        <w:jc w:val="both"/>
        <w:rPr>
          <w:rFonts w:ascii="Palatino Linotype" w:eastAsiaTheme="minorEastAsia" w:hAnsi="Palatino Linotype" w:cs="Bookman Old Style"/>
          <w:i/>
          <w:sz w:val="20"/>
          <w:szCs w:val="20"/>
          <w:lang w:val="es-MX"/>
        </w:rPr>
      </w:pPr>
      <w:r w:rsidRPr="00656036">
        <w:rPr>
          <w:rFonts w:ascii="Palatino Linotype" w:eastAsiaTheme="minorEastAsia" w:hAnsi="Palatino Linotype" w:cs="Bookman Old Style,Bold"/>
          <w:b/>
          <w:bCs/>
          <w:i/>
          <w:sz w:val="20"/>
          <w:szCs w:val="20"/>
          <w:lang w:val="es-MX"/>
        </w:rPr>
        <w:t xml:space="preserve">“Artículo 143. </w:t>
      </w:r>
      <w:r w:rsidRPr="00656036">
        <w:rPr>
          <w:rFonts w:ascii="Palatino Linotype" w:eastAsiaTheme="minorEastAsia" w:hAnsi="Palatino Linotype" w:cs="Bookman Old Style"/>
          <w:i/>
          <w:sz w:val="20"/>
          <w:szCs w:val="20"/>
          <w:lang w:val="es-MX"/>
        </w:rPr>
        <w:t>Para los efectos de esta Ley se considera información confidencial, la clasificada como</w:t>
      </w:r>
      <w:r>
        <w:rPr>
          <w:rFonts w:ascii="Palatino Linotype" w:eastAsiaTheme="minorEastAsia" w:hAnsi="Palatino Linotype" w:cs="Bookman Old Style"/>
          <w:i/>
          <w:sz w:val="20"/>
          <w:szCs w:val="20"/>
          <w:lang w:val="es-MX"/>
        </w:rPr>
        <w:t xml:space="preserve"> </w:t>
      </w:r>
      <w:r w:rsidRPr="00656036">
        <w:rPr>
          <w:rFonts w:ascii="Palatino Linotype" w:eastAsiaTheme="minorEastAsia" w:hAnsi="Palatino Linotype" w:cs="Bookman Old Style"/>
          <w:i/>
          <w:sz w:val="20"/>
          <w:szCs w:val="20"/>
          <w:lang w:val="es-MX"/>
        </w:rPr>
        <w:t>tal, de manera permanente, por su naturaleza, cuando:</w:t>
      </w:r>
    </w:p>
    <w:p w14:paraId="38BB1278" w14:textId="77777777" w:rsidR="00CA210B" w:rsidRPr="00656036" w:rsidRDefault="00CA210B" w:rsidP="00CA210B">
      <w:pPr>
        <w:autoSpaceDE w:val="0"/>
        <w:autoSpaceDN w:val="0"/>
        <w:adjustRightInd w:val="0"/>
        <w:ind w:left="1134" w:right="900"/>
        <w:jc w:val="both"/>
        <w:rPr>
          <w:rFonts w:ascii="Palatino Linotype" w:eastAsiaTheme="minorEastAsia" w:hAnsi="Palatino Linotype" w:cs="Bookman Old Style"/>
          <w:i/>
          <w:sz w:val="20"/>
          <w:szCs w:val="20"/>
          <w:lang w:val="es-MX"/>
        </w:rPr>
      </w:pPr>
      <w:r w:rsidRPr="00656036">
        <w:rPr>
          <w:rFonts w:ascii="Palatino Linotype" w:eastAsiaTheme="minorEastAsia" w:hAnsi="Palatino Linotype" w:cs="Bookman Old Style,Bold"/>
          <w:b/>
          <w:bCs/>
          <w:i/>
          <w:sz w:val="20"/>
          <w:szCs w:val="20"/>
          <w:lang w:val="es-MX"/>
        </w:rPr>
        <w:t xml:space="preserve">I. </w:t>
      </w:r>
      <w:r w:rsidRPr="00656036">
        <w:rPr>
          <w:rFonts w:ascii="Palatino Linotype" w:eastAsiaTheme="minorEastAsia" w:hAnsi="Palatino Linotype" w:cs="Bookman Old Style"/>
          <w:i/>
          <w:sz w:val="20"/>
          <w:szCs w:val="20"/>
          <w:lang w:val="es-MX"/>
        </w:rPr>
        <w:t>Se refiera a la información privada y los datos personales concernientes a una persona física o</w:t>
      </w:r>
      <w:r>
        <w:rPr>
          <w:rFonts w:ascii="Palatino Linotype" w:eastAsiaTheme="minorEastAsia" w:hAnsi="Palatino Linotype" w:cs="Bookman Old Style"/>
          <w:i/>
          <w:sz w:val="20"/>
          <w:szCs w:val="20"/>
          <w:lang w:val="es-MX"/>
        </w:rPr>
        <w:t xml:space="preserve"> </w:t>
      </w:r>
      <w:r w:rsidRPr="00656036">
        <w:rPr>
          <w:rFonts w:ascii="Palatino Linotype" w:eastAsiaTheme="minorEastAsia" w:hAnsi="Palatino Linotype" w:cs="Bookman Old Style"/>
          <w:i/>
          <w:sz w:val="20"/>
          <w:szCs w:val="20"/>
          <w:lang w:val="es-MX"/>
        </w:rPr>
        <w:t>jurídico colectiva identificada o identificable;</w:t>
      </w:r>
    </w:p>
    <w:p w14:paraId="7BC06952" w14:textId="77777777" w:rsidR="00CA210B" w:rsidRPr="00656036" w:rsidRDefault="00CA210B" w:rsidP="00CA210B">
      <w:pPr>
        <w:autoSpaceDE w:val="0"/>
        <w:autoSpaceDN w:val="0"/>
        <w:adjustRightInd w:val="0"/>
        <w:ind w:left="1134" w:right="900"/>
        <w:jc w:val="both"/>
        <w:rPr>
          <w:rFonts w:ascii="Palatino Linotype" w:eastAsiaTheme="minorEastAsia" w:hAnsi="Palatino Linotype" w:cs="Bookman Old Style"/>
          <w:i/>
          <w:sz w:val="20"/>
          <w:szCs w:val="20"/>
          <w:lang w:val="es-MX"/>
        </w:rPr>
      </w:pPr>
      <w:r w:rsidRPr="00656036">
        <w:rPr>
          <w:rFonts w:ascii="Palatino Linotype" w:eastAsiaTheme="minorEastAsia" w:hAnsi="Palatino Linotype" w:cs="Bookman Old Style,Bold"/>
          <w:b/>
          <w:bCs/>
          <w:i/>
          <w:sz w:val="20"/>
          <w:szCs w:val="20"/>
          <w:lang w:val="es-MX"/>
        </w:rPr>
        <w:t xml:space="preserve">II. </w:t>
      </w:r>
      <w:r w:rsidRPr="00656036">
        <w:rPr>
          <w:rFonts w:ascii="Palatino Linotype" w:eastAsiaTheme="minorEastAsia" w:hAnsi="Palatino Linotype" w:cs="Bookman Old Style"/>
          <w:i/>
          <w:sz w:val="20"/>
          <w:szCs w:val="20"/>
          <w:lang w:val="es-MX"/>
        </w:rPr>
        <w:t>Los secretos bancario, fiduciario, industrial, comercial, fiscal, bursátil y postal, cuya titularidad</w:t>
      </w:r>
      <w:r>
        <w:rPr>
          <w:rFonts w:ascii="Palatino Linotype" w:eastAsiaTheme="minorEastAsia" w:hAnsi="Palatino Linotype" w:cs="Bookman Old Style"/>
          <w:i/>
          <w:sz w:val="20"/>
          <w:szCs w:val="20"/>
          <w:lang w:val="es-MX"/>
        </w:rPr>
        <w:t xml:space="preserve"> </w:t>
      </w:r>
      <w:r w:rsidRPr="00656036">
        <w:rPr>
          <w:rFonts w:ascii="Palatino Linotype" w:eastAsiaTheme="minorEastAsia" w:hAnsi="Palatino Linotype" w:cs="Bookman Old Style"/>
          <w:i/>
          <w:sz w:val="20"/>
          <w:szCs w:val="20"/>
          <w:lang w:val="es-MX"/>
        </w:rPr>
        <w:t>corresponda a particulares, sujetos de derecho internacional o a sujetos obligados cuando no</w:t>
      </w:r>
      <w:r>
        <w:rPr>
          <w:rFonts w:ascii="Palatino Linotype" w:eastAsiaTheme="minorEastAsia" w:hAnsi="Palatino Linotype" w:cs="Bookman Old Style"/>
          <w:i/>
          <w:sz w:val="20"/>
          <w:szCs w:val="20"/>
          <w:lang w:val="es-MX"/>
        </w:rPr>
        <w:t xml:space="preserve"> </w:t>
      </w:r>
      <w:r w:rsidRPr="00656036">
        <w:rPr>
          <w:rFonts w:ascii="Palatino Linotype" w:eastAsiaTheme="minorEastAsia" w:hAnsi="Palatino Linotype" w:cs="Bookman Old Style"/>
          <w:i/>
          <w:sz w:val="20"/>
          <w:szCs w:val="20"/>
          <w:lang w:val="es-MX"/>
        </w:rPr>
        <w:t>involucren el ejercicio de recursos públicos; y</w:t>
      </w:r>
    </w:p>
    <w:p w14:paraId="1F9565ED" w14:textId="77777777" w:rsidR="00CA210B" w:rsidRDefault="00CA210B" w:rsidP="00CA210B">
      <w:pPr>
        <w:autoSpaceDE w:val="0"/>
        <w:autoSpaceDN w:val="0"/>
        <w:adjustRightInd w:val="0"/>
        <w:ind w:left="1134" w:right="900"/>
        <w:jc w:val="both"/>
        <w:rPr>
          <w:rFonts w:ascii="Palatino Linotype" w:eastAsiaTheme="minorEastAsia" w:hAnsi="Palatino Linotype" w:cs="Bookman Old Style"/>
          <w:i/>
          <w:sz w:val="20"/>
          <w:szCs w:val="20"/>
          <w:lang w:val="es-MX"/>
        </w:rPr>
      </w:pPr>
      <w:r w:rsidRPr="00656036">
        <w:rPr>
          <w:rFonts w:ascii="Palatino Linotype" w:eastAsiaTheme="minorEastAsia" w:hAnsi="Palatino Linotype" w:cs="Bookman Old Style,Bold"/>
          <w:b/>
          <w:bCs/>
          <w:i/>
          <w:sz w:val="20"/>
          <w:szCs w:val="20"/>
          <w:lang w:val="es-MX"/>
        </w:rPr>
        <w:lastRenderedPageBreak/>
        <w:t xml:space="preserve">III. </w:t>
      </w:r>
      <w:r w:rsidRPr="00656036">
        <w:rPr>
          <w:rFonts w:ascii="Palatino Linotype" w:eastAsiaTheme="minorEastAsia" w:hAnsi="Palatino Linotype" w:cs="Bookman Old Style"/>
          <w:i/>
          <w:sz w:val="20"/>
          <w:szCs w:val="20"/>
          <w:lang w:val="es-MX"/>
        </w:rPr>
        <w:t>La que presenten los particulares a los sujetos obligados, de conformidad con lo dispuesto por las</w:t>
      </w:r>
      <w:r>
        <w:rPr>
          <w:rFonts w:ascii="Palatino Linotype" w:eastAsiaTheme="minorEastAsia" w:hAnsi="Palatino Linotype" w:cs="Bookman Old Style"/>
          <w:i/>
          <w:sz w:val="20"/>
          <w:szCs w:val="20"/>
          <w:lang w:val="es-MX"/>
        </w:rPr>
        <w:t xml:space="preserve"> </w:t>
      </w:r>
      <w:r w:rsidRPr="00656036">
        <w:rPr>
          <w:rFonts w:ascii="Palatino Linotype" w:eastAsiaTheme="minorEastAsia" w:hAnsi="Palatino Linotype" w:cs="Bookman Old Style"/>
          <w:i/>
          <w:sz w:val="20"/>
          <w:szCs w:val="20"/>
          <w:lang w:val="es-MX"/>
        </w:rPr>
        <w:t>leyes o los tratados internacionales.</w:t>
      </w:r>
    </w:p>
    <w:p w14:paraId="417407BE" w14:textId="77777777" w:rsidR="00CA210B" w:rsidRDefault="00CA210B" w:rsidP="00CA210B">
      <w:pPr>
        <w:autoSpaceDE w:val="0"/>
        <w:autoSpaceDN w:val="0"/>
        <w:adjustRightInd w:val="0"/>
        <w:spacing w:before="240" w:after="240"/>
        <w:ind w:left="851" w:right="902"/>
        <w:jc w:val="both"/>
        <w:rPr>
          <w:rFonts w:ascii="Palatino Linotype" w:eastAsiaTheme="minorEastAsia" w:hAnsi="Palatino Linotype" w:cs="Bookman Old Style"/>
          <w:i/>
          <w:sz w:val="20"/>
          <w:szCs w:val="20"/>
          <w:lang w:val="es-MX"/>
        </w:rPr>
      </w:pPr>
      <w:r w:rsidRPr="00656036">
        <w:rPr>
          <w:rFonts w:ascii="Palatino Linotype" w:eastAsiaTheme="minorEastAsia" w:hAnsi="Palatino Linotype" w:cs="Bookman Old Style"/>
          <w:i/>
          <w:sz w:val="20"/>
          <w:szCs w:val="20"/>
          <w:lang w:val="es-MX"/>
        </w:rPr>
        <w:t>La información confidencial no estará sujeta a temporalidad alguna y sólo podrán tener acceso a ella</w:t>
      </w:r>
      <w:r>
        <w:rPr>
          <w:rFonts w:ascii="Palatino Linotype" w:eastAsiaTheme="minorEastAsia" w:hAnsi="Palatino Linotype" w:cs="Bookman Old Style"/>
          <w:i/>
          <w:sz w:val="20"/>
          <w:szCs w:val="20"/>
          <w:lang w:val="es-MX"/>
        </w:rPr>
        <w:t xml:space="preserve"> </w:t>
      </w:r>
      <w:r w:rsidRPr="00656036">
        <w:rPr>
          <w:rFonts w:ascii="Palatino Linotype" w:eastAsiaTheme="minorEastAsia" w:hAnsi="Palatino Linotype" w:cs="Bookman Old Style"/>
          <w:i/>
          <w:sz w:val="20"/>
          <w:szCs w:val="20"/>
          <w:lang w:val="es-MX"/>
        </w:rPr>
        <w:t>los titulares de la misma, sus representantes y los servidores públicos facultados para ello.</w:t>
      </w:r>
    </w:p>
    <w:p w14:paraId="1B59EB47" w14:textId="77777777" w:rsidR="00CA210B" w:rsidRPr="00656036" w:rsidRDefault="00CA210B" w:rsidP="00CA210B">
      <w:pPr>
        <w:autoSpaceDE w:val="0"/>
        <w:autoSpaceDN w:val="0"/>
        <w:adjustRightInd w:val="0"/>
        <w:spacing w:before="240" w:after="240"/>
        <w:ind w:left="851" w:right="902"/>
        <w:jc w:val="both"/>
        <w:rPr>
          <w:rFonts w:ascii="Palatino Linotype" w:eastAsiaTheme="minorEastAsia" w:hAnsi="Palatino Linotype" w:cs="Bookman Old Style"/>
          <w:i/>
          <w:sz w:val="20"/>
          <w:szCs w:val="20"/>
          <w:lang w:val="es-MX"/>
        </w:rPr>
      </w:pPr>
      <w:r w:rsidRPr="00656036">
        <w:rPr>
          <w:rFonts w:ascii="Palatino Linotype" w:eastAsiaTheme="minorEastAsia" w:hAnsi="Palatino Linotype" w:cs="Bookman Old Style"/>
          <w:i/>
          <w:sz w:val="20"/>
          <w:szCs w:val="20"/>
          <w:lang w:val="es-MX"/>
        </w:rPr>
        <w:t>No se considerará confidencial la información que se encuentre en los registros públicos o en fuentes</w:t>
      </w:r>
      <w:r>
        <w:rPr>
          <w:rFonts w:ascii="Palatino Linotype" w:eastAsiaTheme="minorEastAsia" w:hAnsi="Palatino Linotype" w:cs="Bookman Old Style"/>
          <w:i/>
          <w:sz w:val="20"/>
          <w:szCs w:val="20"/>
          <w:lang w:val="es-MX"/>
        </w:rPr>
        <w:t xml:space="preserve"> </w:t>
      </w:r>
      <w:r w:rsidRPr="00656036">
        <w:rPr>
          <w:rFonts w:ascii="Palatino Linotype" w:eastAsiaTheme="minorEastAsia" w:hAnsi="Palatino Linotype" w:cs="Bookman Old Style"/>
          <w:i/>
          <w:sz w:val="20"/>
          <w:szCs w:val="20"/>
          <w:lang w:val="es-MX"/>
        </w:rPr>
        <w:t>de acceso público, ni tampoco la que sea considerada por la presente ley como información pública.</w:t>
      </w:r>
      <w:r>
        <w:rPr>
          <w:rFonts w:ascii="Palatino Linotype" w:eastAsiaTheme="minorEastAsia" w:hAnsi="Palatino Linotype" w:cs="Bookman Old Style"/>
          <w:i/>
          <w:sz w:val="20"/>
          <w:szCs w:val="20"/>
          <w:lang w:val="es-MX"/>
        </w:rPr>
        <w:t>”</w:t>
      </w:r>
    </w:p>
    <w:p w14:paraId="63A3C1CE" w14:textId="77777777" w:rsidR="00CA210B" w:rsidRDefault="00CA210B" w:rsidP="00CA210B">
      <w:pPr>
        <w:pStyle w:val="Sinespaciado"/>
        <w:spacing w:before="240" w:after="240" w:line="360" w:lineRule="auto"/>
        <w:jc w:val="both"/>
        <w:rPr>
          <w:rFonts w:ascii="Palatino Linotype" w:hAnsi="Palatino Linotype" w:cs="Arial"/>
        </w:rPr>
      </w:pPr>
      <w:r w:rsidRPr="0074668D">
        <w:rPr>
          <w:rFonts w:ascii="Palatino Linotype" w:hAnsi="Palatino Linotype" w:cs="Arial"/>
        </w:rPr>
        <w:t xml:space="preserve">En el caso específico, </w:t>
      </w:r>
      <w:r>
        <w:rPr>
          <w:rFonts w:ascii="Palatino Linotype" w:hAnsi="Palatino Linotype" w:cs="Arial"/>
        </w:rPr>
        <w:t xml:space="preserve">en la documentación en la cual podría constar la información solicitada, podría advertirse información confidencial que haga identificada o identificable a una persona, la cual de manera enunciativa más no limitativa podría ser </w:t>
      </w:r>
      <w:r w:rsidRPr="0074668D">
        <w:rPr>
          <w:rFonts w:ascii="Palatino Linotype" w:hAnsi="Palatino Linotype" w:cs="Arial"/>
        </w:rPr>
        <w:t xml:space="preserve">el </w:t>
      </w:r>
      <w:r w:rsidRPr="0074668D">
        <w:rPr>
          <w:rFonts w:ascii="Palatino Linotype" w:hAnsi="Palatino Linotype" w:cs="Arial"/>
          <w:b/>
        </w:rPr>
        <w:t>Registro Federal de Contribuyentes</w:t>
      </w:r>
      <w:r w:rsidRPr="0074668D">
        <w:rPr>
          <w:rFonts w:ascii="Palatino Linotype" w:hAnsi="Palatino Linotype" w:cs="Arial"/>
        </w:rPr>
        <w:t xml:space="preserve"> (RFC), la </w:t>
      </w:r>
      <w:r w:rsidRPr="0074668D">
        <w:rPr>
          <w:rFonts w:ascii="Palatino Linotype" w:hAnsi="Palatino Linotype" w:cs="Arial"/>
          <w:b/>
        </w:rPr>
        <w:t>Clave Única de Registro de Población</w:t>
      </w:r>
      <w:r>
        <w:rPr>
          <w:rFonts w:ascii="Palatino Linotype" w:hAnsi="Palatino Linotype" w:cs="Arial"/>
        </w:rPr>
        <w:t xml:space="preserve"> (CURP), </w:t>
      </w:r>
      <w:r w:rsidRPr="0074668D">
        <w:rPr>
          <w:rFonts w:ascii="Palatino Linotype" w:hAnsi="Palatino Linotype" w:cs="Arial"/>
          <w:b/>
        </w:rPr>
        <w:t>Clave de cualquier tipo de seguridad social</w:t>
      </w:r>
      <w:r>
        <w:rPr>
          <w:rFonts w:ascii="Palatino Linotype" w:hAnsi="Palatino Linotype" w:cs="Arial"/>
        </w:rPr>
        <w:t xml:space="preserve"> (ISSEMYM, u otros) </w:t>
      </w:r>
      <w:r>
        <w:rPr>
          <w:rFonts w:ascii="Palatino Linotype" w:hAnsi="Palatino Linotype" w:cs="Arial"/>
          <w:b/>
        </w:rPr>
        <w:t>Código QR</w:t>
      </w:r>
      <w:r>
        <w:rPr>
          <w:rFonts w:ascii="Palatino Linotype" w:hAnsi="Palatino Linotype" w:cs="Arial"/>
        </w:rPr>
        <w:t xml:space="preserve">; </w:t>
      </w:r>
      <w:r>
        <w:rPr>
          <w:rFonts w:ascii="Palatino Linotype" w:hAnsi="Palatino Linotype" w:cs="Arial"/>
          <w:b/>
        </w:rPr>
        <w:t>descuentos personales</w:t>
      </w:r>
      <w:r>
        <w:rPr>
          <w:rFonts w:ascii="Palatino Linotype" w:hAnsi="Palatino Linotype" w:cs="Arial"/>
        </w:rPr>
        <w:t xml:space="preserve">; los cuales, </w:t>
      </w:r>
      <w:r w:rsidRPr="0074668D">
        <w:rPr>
          <w:rFonts w:ascii="Palatino Linotype" w:hAnsi="Palatino Linotype" w:cs="Arial"/>
        </w:rPr>
        <w:t>deben testarse al momento de la elaboración de versiones públicas</w:t>
      </w:r>
      <w:r>
        <w:rPr>
          <w:rFonts w:ascii="Palatino Linotype" w:hAnsi="Palatino Linotype" w:cs="Arial"/>
        </w:rPr>
        <w:t>.</w:t>
      </w:r>
    </w:p>
    <w:p w14:paraId="1C4EF2D3" w14:textId="77777777" w:rsidR="00CA210B" w:rsidRPr="0074668D" w:rsidRDefault="00CA210B" w:rsidP="00CA210B">
      <w:pPr>
        <w:pStyle w:val="Sinespaciado"/>
        <w:spacing w:before="240" w:after="240" w:line="360" w:lineRule="auto"/>
        <w:jc w:val="both"/>
        <w:rPr>
          <w:rFonts w:ascii="Palatino Linotype" w:hAnsi="Palatino Linotype" w:cs="Arial"/>
        </w:rPr>
      </w:pPr>
      <w:r w:rsidRPr="0074668D">
        <w:rPr>
          <w:rFonts w:ascii="Palatino Linotype" w:hAnsi="Palatino Linotype" w:cs="Arial"/>
          <w:lang w:eastAsia="es-MX"/>
        </w:rPr>
        <w:t xml:space="preserve">En cuanto al </w:t>
      </w:r>
      <w:r>
        <w:rPr>
          <w:rFonts w:ascii="Palatino Linotype" w:hAnsi="Palatino Linotype" w:cs="Arial"/>
          <w:lang w:eastAsia="es-MX"/>
        </w:rPr>
        <w:t>RFC, este</w:t>
      </w:r>
      <w:r w:rsidRPr="0074668D">
        <w:rPr>
          <w:rFonts w:ascii="Palatino Linotype" w:hAnsi="Palatino Linotype" w:cs="Arial"/>
          <w:lang w:eastAsia="es-MX"/>
        </w:rPr>
        <w:t xml:space="preserve"> constituye un dato personal, ya que para su obtención es necesario acreditar ante la autoridad fiscal previamente la identidad de la persona, su fecha de nacimiento, entre otros aspectos.</w:t>
      </w:r>
    </w:p>
    <w:p w14:paraId="1BC64D37" w14:textId="77777777" w:rsidR="00CA210B" w:rsidRPr="0074668D" w:rsidRDefault="00CA210B" w:rsidP="00CA210B">
      <w:pPr>
        <w:spacing w:before="240" w:after="240" w:line="360" w:lineRule="auto"/>
        <w:jc w:val="both"/>
        <w:rPr>
          <w:rFonts w:ascii="Palatino Linotype" w:hAnsi="Palatino Linotype" w:cs="Arial"/>
          <w:lang w:eastAsia="es-MX"/>
        </w:rPr>
      </w:pPr>
      <w:r w:rsidRPr="0074668D">
        <w:rPr>
          <w:rFonts w:ascii="Palatino Linotype" w:hAnsi="Palatino Linotype" w:cs="Arial"/>
          <w:lang w:eastAsia="es-MX"/>
        </w:rPr>
        <w:t>Ahora bien, las personas físicas tramitan su inscripción en el registro con el propósito de realizar —mediante esa clave de identificación— operaciones o actividades de naturaleza fiscal, la cual, les permite hacer</w:t>
      </w:r>
      <w:r>
        <w:rPr>
          <w:rFonts w:ascii="Palatino Linotype" w:hAnsi="Palatino Linotype" w:cs="Arial"/>
          <w:lang w:eastAsia="es-MX"/>
        </w:rPr>
        <w:t>se</w:t>
      </w:r>
      <w:r w:rsidRPr="0074668D">
        <w:rPr>
          <w:rFonts w:ascii="Palatino Linotype" w:hAnsi="Palatino Linotype" w:cs="Arial"/>
          <w:lang w:eastAsia="es-MX"/>
        </w:rPr>
        <w:t xml:space="preserve"> identificable</w:t>
      </w:r>
      <w:r>
        <w:rPr>
          <w:rFonts w:ascii="Palatino Linotype" w:hAnsi="Palatino Linotype" w:cs="Arial"/>
          <w:lang w:eastAsia="es-MX"/>
        </w:rPr>
        <w:t>s</w:t>
      </w:r>
      <w:r w:rsidRPr="0074668D">
        <w:rPr>
          <w:rFonts w:ascii="Palatino Linotype" w:hAnsi="Palatino Linotype" w:cs="Arial"/>
          <w:lang w:eastAsia="es-MX"/>
        </w:rPr>
        <w:t xml:space="preserve"> respecto de una situación fiscal determinada.</w:t>
      </w:r>
    </w:p>
    <w:p w14:paraId="218CF22D" w14:textId="77777777" w:rsidR="00CA210B" w:rsidRPr="0074668D" w:rsidRDefault="00CA210B" w:rsidP="00CA210B">
      <w:pPr>
        <w:spacing w:before="240" w:after="240" w:line="360" w:lineRule="auto"/>
        <w:jc w:val="both"/>
        <w:rPr>
          <w:rFonts w:ascii="Palatino Linotype" w:hAnsi="Palatino Linotype" w:cs="Arial"/>
          <w:lang w:eastAsia="es-MX"/>
        </w:rPr>
      </w:pPr>
      <w:r w:rsidRPr="0074668D">
        <w:rPr>
          <w:rFonts w:ascii="Palatino Linotype" w:hAnsi="Palatino Linotype" w:cs="Arial"/>
          <w:lang w:eastAsia="es-MX"/>
        </w:rPr>
        <w:lastRenderedPageBreak/>
        <w:t xml:space="preserve">Lo anterior es compartido por el </w:t>
      </w:r>
      <w:r w:rsidRPr="00F63127">
        <w:rPr>
          <w:rFonts w:ascii="Palatino Linotype" w:hAnsi="Palatino Linotype" w:cs="Arial"/>
          <w:lang w:eastAsia="es-MX"/>
        </w:rPr>
        <w:t>Instituto Nacional de Transparencia, Acceso a la Información Pública y Protección de Datos Personales (INAI)</w:t>
      </w:r>
      <w:r>
        <w:rPr>
          <w:rFonts w:ascii="Palatino Linotype" w:hAnsi="Palatino Linotype" w:cs="Arial"/>
          <w:lang w:eastAsia="es-MX"/>
        </w:rPr>
        <w:t xml:space="preserve">, </w:t>
      </w:r>
      <w:r w:rsidRPr="0074668D">
        <w:rPr>
          <w:rFonts w:ascii="Palatino Linotype" w:hAnsi="Palatino Linotype" w:cs="Arial"/>
          <w:lang w:eastAsia="es-MX"/>
        </w:rPr>
        <w:t xml:space="preserve">a través del Criterio </w:t>
      </w:r>
      <w:r>
        <w:rPr>
          <w:rFonts w:ascii="Palatino Linotype" w:hAnsi="Palatino Linotype" w:cs="Arial"/>
          <w:lang w:eastAsia="es-MX"/>
        </w:rPr>
        <w:t>19/17</w:t>
      </w:r>
      <w:r w:rsidRPr="0074668D">
        <w:rPr>
          <w:rFonts w:ascii="Palatino Linotype" w:hAnsi="Palatino Linotype" w:cs="Arial"/>
          <w:lang w:eastAsia="es-MX"/>
        </w:rPr>
        <w:t>, el cual es del tenor literal siguiente:</w:t>
      </w:r>
    </w:p>
    <w:p w14:paraId="37336EDB" w14:textId="77777777" w:rsidR="00CA210B" w:rsidRPr="009B79A0" w:rsidRDefault="00CA210B" w:rsidP="00CA210B">
      <w:pPr>
        <w:spacing w:after="120"/>
        <w:ind w:left="851" w:right="902"/>
        <w:jc w:val="both"/>
        <w:rPr>
          <w:rFonts w:ascii="Palatino Linotype" w:hAnsi="Palatino Linotype" w:cs="Arial"/>
          <w:i/>
          <w:sz w:val="20"/>
          <w:szCs w:val="20"/>
        </w:rPr>
      </w:pPr>
      <w:r w:rsidRPr="009B79A0">
        <w:rPr>
          <w:rFonts w:ascii="Palatino Linotype" w:hAnsi="Palatino Linotype" w:cs="Arial"/>
          <w:b/>
          <w:bCs/>
          <w:i/>
          <w:sz w:val="20"/>
          <w:szCs w:val="20"/>
        </w:rPr>
        <w:t xml:space="preserve">“Registro Federal de Contribuyentes (RFC) de personas físicas. </w:t>
      </w:r>
      <w:r w:rsidRPr="009B79A0">
        <w:rPr>
          <w:rFonts w:ascii="Palatino Linotype" w:hAnsi="Palatino Linotype" w:cs="Arial"/>
          <w:bCs/>
          <w:i/>
          <w:sz w:val="20"/>
          <w:szCs w:val="20"/>
        </w:rPr>
        <w:t>E</w:t>
      </w:r>
      <w:r w:rsidRPr="009B79A0">
        <w:rPr>
          <w:rFonts w:ascii="Palatino Linotype" w:hAnsi="Palatino Linotype" w:cs="Arial"/>
          <w:i/>
          <w:sz w:val="20"/>
          <w:szCs w:val="20"/>
        </w:rPr>
        <w:t>l RFC es una clave de carácter fiscal, única e irrepetible, que permite identificar al titular, su edad y fecha de nacimiento, por lo que es un dato personal de carácter confidencial.</w:t>
      </w:r>
      <w:r w:rsidRPr="009B79A0">
        <w:rPr>
          <w:rFonts w:ascii="Palatino Linotype" w:hAnsi="Palatino Linotype" w:cs="Arial"/>
          <w:bCs/>
          <w:i/>
          <w:sz w:val="20"/>
          <w:szCs w:val="20"/>
        </w:rPr>
        <w:t>” (Sic)</w:t>
      </w:r>
    </w:p>
    <w:p w14:paraId="4B309E7A" w14:textId="77777777" w:rsidR="00CA210B" w:rsidRPr="0074668D" w:rsidRDefault="00CA210B" w:rsidP="00CA210B">
      <w:pPr>
        <w:pStyle w:val="Sinespaciado"/>
        <w:spacing w:before="240" w:after="240" w:line="360" w:lineRule="auto"/>
        <w:jc w:val="both"/>
        <w:rPr>
          <w:rFonts w:ascii="Palatino Linotype" w:hAnsi="Palatino Linotype" w:cs="Arial"/>
          <w:lang w:eastAsia="es-MX"/>
        </w:rPr>
      </w:pPr>
      <w:r w:rsidRPr="0074668D">
        <w:rPr>
          <w:rFonts w:ascii="Palatino Linotype" w:hAnsi="Palatino Linotype" w:cs="Arial"/>
          <w:lang w:eastAsia="es-MX"/>
        </w:rPr>
        <w:t>Así, el RFC se v</w:t>
      </w:r>
      <w:r>
        <w:rPr>
          <w:rFonts w:ascii="Palatino Linotype" w:hAnsi="Palatino Linotype" w:cs="Arial"/>
          <w:lang w:eastAsia="es-MX"/>
        </w:rPr>
        <w:t xml:space="preserve">incula al nombre de su titular y </w:t>
      </w:r>
      <w:r w:rsidRPr="0074668D">
        <w:rPr>
          <w:rFonts w:ascii="Palatino Linotype" w:hAnsi="Palatino Linotype" w:cs="Arial"/>
          <w:lang w:eastAsia="es-MX"/>
        </w:rPr>
        <w:t xml:space="preserve">permite identificar la edad de la persona, su fecha de nacimiento, así como su homoclave, la cual es única e irrepetible y determina la identificación de dicha persona para efectos fiscales, por lo </w:t>
      </w:r>
      <w:r>
        <w:rPr>
          <w:rFonts w:ascii="Palatino Linotype" w:hAnsi="Palatino Linotype" w:cs="Arial"/>
          <w:lang w:eastAsia="es-MX"/>
        </w:rPr>
        <w:t>que</w:t>
      </w:r>
      <w:r w:rsidRPr="0074668D">
        <w:rPr>
          <w:rFonts w:ascii="Palatino Linotype" w:hAnsi="Palatino Linotype" w:cs="Arial"/>
          <w:lang w:eastAsia="es-MX"/>
        </w:rPr>
        <w:t xml:space="preserve"> constituye un dato personal que concierne a una persona física identificada e identificable en términos de los artículos </w:t>
      </w:r>
      <w:r>
        <w:rPr>
          <w:rFonts w:ascii="Palatino Linotype" w:hAnsi="Palatino Linotype" w:cs="Arial"/>
          <w:lang w:eastAsia="es-MX"/>
        </w:rPr>
        <w:t>3</w:t>
      </w:r>
      <w:r w:rsidRPr="0074668D">
        <w:rPr>
          <w:rFonts w:ascii="Palatino Linotype" w:hAnsi="Palatino Linotype" w:cs="Arial"/>
          <w:lang w:eastAsia="es-MX"/>
        </w:rPr>
        <w:t>, fracción I</w:t>
      </w:r>
      <w:r>
        <w:rPr>
          <w:rFonts w:ascii="Palatino Linotype" w:hAnsi="Palatino Linotype" w:cs="Arial"/>
          <w:lang w:eastAsia="es-MX"/>
        </w:rPr>
        <w:t>X</w:t>
      </w:r>
      <w:r w:rsidRPr="0074668D">
        <w:rPr>
          <w:rFonts w:ascii="Palatino Linotype" w:hAnsi="Palatino Linotype" w:cs="Arial"/>
          <w:lang w:eastAsia="es-MX"/>
        </w:rPr>
        <w:t xml:space="preserve"> de la Ley de Transparencia y Acceso a la Información Pública del Estado de México y Municipios</w:t>
      </w:r>
      <w:r>
        <w:rPr>
          <w:rFonts w:ascii="Palatino Linotype" w:hAnsi="Palatino Linotype" w:cs="Arial"/>
          <w:lang w:eastAsia="es-MX"/>
        </w:rPr>
        <w:t xml:space="preserve"> </w:t>
      </w:r>
      <w:r w:rsidRPr="0074668D">
        <w:rPr>
          <w:rFonts w:ascii="Palatino Linotype" w:hAnsi="Palatino Linotype" w:cs="Arial"/>
          <w:lang w:eastAsia="es-MX"/>
        </w:rPr>
        <w:t>y  4 f</w:t>
      </w:r>
      <w:r>
        <w:rPr>
          <w:rFonts w:ascii="Palatino Linotype" w:hAnsi="Palatino Linotype" w:cs="Arial"/>
          <w:lang w:eastAsia="es-MX"/>
        </w:rPr>
        <w:t>racción X</w:t>
      </w:r>
      <w:r w:rsidRPr="0074668D">
        <w:rPr>
          <w:rFonts w:ascii="Palatino Linotype" w:hAnsi="Palatino Linotype" w:cs="Arial"/>
          <w:lang w:eastAsia="es-MX"/>
        </w:rPr>
        <w:t xml:space="preserve">I de la Ley de Protección de Datos Personales </w:t>
      </w:r>
      <w:r>
        <w:rPr>
          <w:rFonts w:ascii="Palatino Linotype" w:hAnsi="Palatino Linotype" w:cs="Arial"/>
          <w:lang w:eastAsia="es-MX"/>
        </w:rPr>
        <w:t xml:space="preserve">en Posesión de Sujetos Obligados del </w:t>
      </w:r>
      <w:r w:rsidRPr="0074668D">
        <w:rPr>
          <w:rFonts w:ascii="Palatino Linotype" w:hAnsi="Palatino Linotype" w:cs="Arial"/>
          <w:lang w:eastAsia="es-MX"/>
        </w:rPr>
        <w:t>Estado de México</w:t>
      </w:r>
      <w:r>
        <w:rPr>
          <w:rFonts w:ascii="Palatino Linotype" w:hAnsi="Palatino Linotype" w:cs="Arial"/>
          <w:lang w:eastAsia="es-MX"/>
        </w:rPr>
        <w:t xml:space="preserve"> y Municipios</w:t>
      </w:r>
      <w:r w:rsidRPr="0074668D">
        <w:rPr>
          <w:rFonts w:ascii="Palatino Linotype" w:hAnsi="Palatino Linotype" w:cs="Arial"/>
          <w:lang w:eastAsia="es-MX"/>
        </w:rPr>
        <w:t>.</w:t>
      </w:r>
    </w:p>
    <w:p w14:paraId="233C7CC6" w14:textId="77777777" w:rsidR="00CA210B" w:rsidRPr="0074668D" w:rsidRDefault="00CA210B" w:rsidP="00CA210B">
      <w:pPr>
        <w:pStyle w:val="Sinespaciado"/>
        <w:spacing w:before="240" w:after="240" w:line="360" w:lineRule="auto"/>
        <w:jc w:val="both"/>
        <w:rPr>
          <w:rFonts w:ascii="Palatino Linotype" w:eastAsia="Calibri" w:hAnsi="Palatino Linotype" w:cs="Arial"/>
          <w:lang w:eastAsia="es-MX"/>
        </w:rPr>
      </w:pPr>
      <w:r>
        <w:rPr>
          <w:rFonts w:ascii="Palatino Linotype" w:hAnsi="Palatino Linotype" w:cs="Arial"/>
          <w:lang w:eastAsia="es-MX"/>
        </w:rPr>
        <w:t>En cuanto a</w:t>
      </w:r>
      <w:r w:rsidRPr="0074668D">
        <w:rPr>
          <w:rFonts w:ascii="Palatino Linotype" w:hAnsi="Palatino Linotype" w:cs="Arial"/>
          <w:lang w:eastAsia="es-MX"/>
        </w:rPr>
        <w:t xml:space="preserve">l </w:t>
      </w:r>
      <w:r w:rsidRPr="0074668D">
        <w:rPr>
          <w:rFonts w:ascii="Palatino Linotype" w:hAnsi="Palatino Linotype" w:cs="Arial"/>
        </w:rPr>
        <w:t>CURP</w:t>
      </w:r>
      <w:r>
        <w:rPr>
          <w:rFonts w:ascii="Palatino Linotype" w:hAnsi="Palatino Linotype" w:cs="Arial"/>
        </w:rPr>
        <w:t>, en virtud de que e</w:t>
      </w:r>
      <w:r w:rsidRPr="0074668D">
        <w:rPr>
          <w:rFonts w:ascii="Palatino Linotype" w:hAnsi="Palatino Linotype" w:cs="Arial"/>
        </w:rPr>
        <w:t xml:space="preserve">ste se </w:t>
      </w:r>
      <w:r w:rsidRPr="0074668D">
        <w:rPr>
          <w:rFonts w:ascii="Palatino Linotype" w:eastAsia="Calibri" w:hAnsi="Palatino Linotype" w:cs="Arial"/>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628B7239" w14:textId="77777777" w:rsidR="00CA210B" w:rsidRPr="0074668D" w:rsidRDefault="00CA210B" w:rsidP="00CA210B">
      <w:pPr>
        <w:spacing w:before="240" w:after="240" w:line="360" w:lineRule="auto"/>
        <w:jc w:val="both"/>
        <w:rPr>
          <w:rFonts w:ascii="Palatino Linotype" w:hAnsi="Palatino Linotype" w:cs="Arial"/>
        </w:rPr>
      </w:pPr>
      <w:r w:rsidRPr="0074668D">
        <w:rPr>
          <w:rFonts w:ascii="Palatino Linotype" w:hAnsi="Palatino Linotype" w:cs="Arial"/>
        </w:rPr>
        <w:t xml:space="preserve">Argumento que es compartido por el </w:t>
      </w:r>
      <w:r w:rsidRPr="00F63127">
        <w:rPr>
          <w:rFonts w:ascii="Palatino Linotype" w:hAnsi="Palatino Linotype" w:cs="Arial"/>
          <w:lang w:eastAsia="es-MX"/>
        </w:rPr>
        <w:t>Instituto Nacional de Transparencia, Acceso a la Información Pública y Protección de Datos Personales (INAI)</w:t>
      </w:r>
      <w:r w:rsidRPr="004123A2">
        <w:rPr>
          <w:rStyle w:val="Textoennegrita"/>
          <w:rFonts w:ascii="Palatino Linotype" w:hAnsi="Palatino Linotype" w:cs="Arial"/>
        </w:rPr>
        <w:t>, conforme al</w:t>
      </w:r>
      <w:r w:rsidRPr="00C461A0">
        <w:rPr>
          <w:rStyle w:val="Textoennegrita"/>
          <w:rFonts w:ascii="Palatino Linotype" w:hAnsi="Palatino Linotype" w:cs="Arial"/>
        </w:rPr>
        <w:t xml:space="preserve"> </w:t>
      </w:r>
      <w:r w:rsidRPr="00C461A0">
        <w:rPr>
          <w:rFonts w:ascii="Palatino Linotype" w:hAnsi="Palatino Linotype" w:cs="Arial"/>
        </w:rPr>
        <w:t xml:space="preserve">criterio número </w:t>
      </w:r>
      <w:r>
        <w:rPr>
          <w:rFonts w:ascii="Palatino Linotype" w:hAnsi="Palatino Linotype" w:cs="Arial"/>
        </w:rPr>
        <w:t>18/17</w:t>
      </w:r>
      <w:r w:rsidRPr="00C461A0">
        <w:rPr>
          <w:rFonts w:ascii="Palatino Linotype" w:hAnsi="Palatino Linotype" w:cs="Arial"/>
        </w:rPr>
        <w:t>,</w:t>
      </w:r>
      <w:r w:rsidRPr="0074668D">
        <w:rPr>
          <w:rFonts w:ascii="Palatino Linotype" w:hAnsi="Palatino Linotype" w:cs="Arial"/>
        </w:rPr>
        <w:t xml:space="preserve"> el cual refiere: </w:t>
      </w:r>
    </w:p>
    <w:p w14:paraId="1AA9DAB0" w14:textId="77777777" w:rsidR="00CA210B" w:rsidRPr="004123A2" w:rsidRDefault="00CA210B" w:rsidP="00CA210B">
      <w:pPr>
        <w:pStyle w:val="Default"/>
        <w:spacing w:after="120"/>
        <w:ind w:left="851" w:right="900"/>
        <w:jc w:val="both"/>
        <w:rPr>
          <w:rFonts w:ascii="Palatino Linotype" w:hAnsi="Palatino Linotype"/>
          <w:i/>
          <w:sz w:val="20"/>
          <w:szCs w:val="20"/>
          <w:lang w:eastAsia="es-MX"/>
        </w:rPr>
      </w:pPr>
      <w:r w:rsidRPr="009B79A0">
        <w:rPr>
          <w:rFonts w:ascii="Palatino Linotype" w:hAnsi="Palatino Linotype"/>
          <w:b/>
          <w:bCs/>
          <w:i/>
          <w:sz w:val="20"/>
          <w:szCs w:val="20"/>
          <w:lang w:eastAsia="es-MX"/>
        </w:rPr>
        <w:t>“</w:t>
      </w:r>
      <w:r w:rsidRPr="009B79A0">
        <w:rPr>
          <w:rFonts w:ascii="Palatino Linotype" w:hAnsi="Palatino Linotype"/>
          <w:b/>
          <w:bCs/>
          <w:i/>
          <w:sz w:val="20"/>
          <w:szCs w:val="20"/>
        </w:rPr>
        <w:t xml:space="preserve">Clave Única de Registro de Población (CURP). </w:t>
      </w:r>
      <w:r w:rsidRPr="009B79A0">
        <w:rPr>
          <w:rFonts w:ascii="Palatino Linotype" w:hAnsi="Palatino Linotype"/>
          <w:bCs/>
          <w:i/>
          <w:sz w:val="20"/>
          <w:szCs w:val="20"/>
        </w:rPr>
        <w:t xml:space="preserve">La </w:t>
      </w:r>
      <w:r w:rsidRPr="009B79A0">
        <w:rPr>
          <w:rFonts w:ascii="Palatino Linotype" w:hAnsi="Palatino Linotype"/>
          <w:i/>
          <w:sz w:val="20"/>
          <w:szCs w:val="20"/>
        </w:rPr>
        <w:t xml:space="preserve">Clave Única de Registro de Población se integra por datos personales que sólo conciernen al particular titular de la misma, como lo son su nombre, apellidos, fecha de nacimiento, lugar de nacimiento y sexo. </w:t>
      </w:r>
      <w:r w:rsidRPr="009B79A0">
        <w:rPr>
          <w:rFonts w:ascii="Palatino Linotype" w:hAnsi="Palatino Linotype"/>
          <w:i/>
          <w:sz w:val="20"/>
          <w:szCs w:val="20"/>
        </w:rPr>
        <w:lastRenderedPageBreak/>
        <w:t>Dichos datos, constituyen información que distingue plenamente a una persona física del resto de los habitantes del país, por lo que la CURP está considerada como información confidencial.</w:t>
      </w:r>
      <w:r w:rsidRPr="004123A2">
        <w:rPr>
          <w:rFonts w:ascii="Palatino Linotype" w:hAnsi="Palatino Linotype"/>
          <w:i/>
          <w:sz w:val="20"/>
          <w:szCs w:val="20"/>
          <w:lang w:eastAsia="es-MX"/>
        </w:rPr>
        <w:t>” (Sic)</w:t>
      </w:r>
    </w:p>
    <w:p w14:paraId="01374D96" w14:textId="77777777" w:rsidR="00CA210B" w:rsidRDefault="00CA210B" w:rsidP="00CA210B">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P</w:t>
      </w:r>
      <w:r w:rsidRPr="0074668D">
        <w:rPr>
          <w:rFonts w:ascii="Palatino Linotype" w:hAnsi="Palatino Linotype" w:cs="Arial"/>
        </w:rPr>
        <w:t>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688A652F" w14:textId="77777777" w:rsidR="00CA210B" w:rsidRPr="00A2435B" w:rsidRDefault="00CA210B" w:rsidP="00CA210B">
      <w:pPr>
        <w:pStyle w:val="Sinespaciado"/>
        <w:spacing w:before="240" w:after="240" w:line="360" w:lineRule="auto"/>
        <w:jc w:val="both"/>
        <w:rPr>
          <w:rFonts w:ascii="Palatino Linotype" w:hAnsi="Palatino Linotype" w:cs="Arial"/>
        </w:rPr>
      </w:pPr>
      <w:r w:rsidRPr="00A2435B">
        <w:rPr>
          <w:rFonts w:ascii="Palatino Linotype" w:hAnsi="Palatino Linotype" w:cs="Arial"/>
        </w:rPr>
        <w:t>Respecto de los préstamos o descuentos de carácter personal, en virtud de no tener relación con la prestación del servicio y al no involucrar instituciones públicas, se consideran datos confidenciales.</w:t>
      </w:r>
    </w:p>
    <w:p w14:paraId="2058983D" w14:textId="77777777" w:rsidR="00CA210B" w:rsidRPr="00A2435B" w:rsidRDefault="00CA210B" w:rsidP="00CA210B">
      <w:pPr>
        <w:pStyle w:val="Sinespaciado"/>
        <w:spacing w:before="240" w:after="240" w:line="360" w:lineRule="auto"/>
        <w:jc w:val="both"/>
        <w:rPr>
          <w:rFonts w:ascii="Palatino Linotype" w:hAnsi="Palatino Linotype" w:cs="Arial"/>
        </w:rPr>
      </w:pPr>
      <w:r w:rsidRPr="00A2435B">
        <w:rPr>
          <w:rFonts w:ascii="Palatino Linotype" w:hAnsi="Palatino Linotype" w:cs="Arial"/>
        </w:rPr>
        <w:t>Para entender los límites y alcances de esta restricción, es oportuno recurrir al artículo 84 de la Ley del Trabajo de los Servidores Públicos del Estado y Municipios:</w:t>
      </w:r>
    </w:p>
    <w:p w14:paraId="01D51FAD" w14:textId="77777777" w:rsidR="00CA210B" w:rsidRPr="00D171FD" w:rsidRDefault="00CA210B" w:rsidP="00CA210B">
      <w:pPr>
        <w:spacing w:after="120"/>
        <w:ind w:left="851" w:right="851"/>
        <w:jc w:val="both"/>
        <w:rPr>
          <w:rFonts w:ascii="Palatino Linotype" w:hAnsi="Palatino Linotype" w:cs="Arial"/>
          <w:b/>
          <w:bCs/>
          <w:i/>
          <w:noProof/>
          <w:sz w:val="20"/>
          <w:szCs w:val="20"/>
        </w:rPr>
      </w:pPr>
      <w:r w:rsidRPr="00D171FD">
        <w:rPr>
          <w:rFonts w:ascii="Palatino Linotype" w:hAnsi="Palatino Linotype" w:cs="Arial"/>
          <w:b/>
          <w:bCs/>
          <w:i/>
          <w:noProof/>
          <w:sz w:val="20"/>
          <w:szCs w:val="20"/>
        </w:rPr>
        <w:t xml:space="preserve">“ARTÍCULO 84. </w:t>
      </w:r>
      <w:r w:rsidRPr="00D171FD">
        <w:rPr>
          <w:rFonts w:ascii="Palatino Linotype" w:hAnsi="Palatino Linotype" w:cs="Arial"/>
          <w:bCs/>
          <w:i/>
          <w:noProof/>
          <w:sz w:val="20"/>
          <w:szCs w:val="20"/>
        </w:rPr>
        <w:t>Sólo podrán hacerse retenciones, descuentos o deducciones al sueldo de los servidores públicos por concepto de:</w:t>
      </w:r>
    </w:p>
    <w:p w14:paraId="682CD635" w14:textId="77777777" w:rsidR="00CA210B" w:rsidRPr="00D171FD" w:rsidRDefault="00CA210B" w:rsidP="00CA210B">
      <w:pPr>
        <w:spacing w:after="120"/>
        <w:ind w:left="1134" w:right="851"/>
        <w:jc w:val="both"/>
        <w:rPr>
          <w:rFonts w:ascii="Palatino Linotype" w:hAnsi="Palatino Linotype" w:cs="Arial"/>
          <w:bCs/>
          <w:i/>
          <w:noProof/>
          <w:sz w:val="20"/>
          <w:szCs w:val="20"/>
        </w:rPr>
      </w:pPr>
      <w:r w:rsidRPr="00D171FD">
        <w:rPr>
          <w:rFonts w:ascii="Palatino Linotype" w:hAnsi="Palatino Linotype" w:cs="Arial"/>
          <w:bCs/>
          <w:i/>
          <w:noProof/>
          <w:sz w:val="20"/>
          <w:szCs w:val="20"/>
        </w:rPr>
        <w:t>I. Gravámenes fiscales relacionados con el sueldo;</w:t>
      </w:r>
    </w:p>
    <w:p w14:paraId="1B22AF76" w14:textId="77777777" w:rsidR="00CA210B" w:rsidRPr="00D171FD" w:rsidRDefault="00CA210B" w:rsidP="00CA210B">
      <w:pPr>
        <w:spacing w:after="120"/>
        <w:ind w:left="1134" w:right="851"/>
        <w:jc w:val="both"/>
        <w:rPr>
          <w:rFonts w:ascii="Palatino Linotype" w:hAnsi="Palatino Linotype" w:cs="Arial"/>
          <w:bCs/>
          <w:i/>
          <w:noProof/>
          <w:sz w:val="20"/>
          <w:szCs w:val="20"/>
        </w:rPr>
      </w:pPr>
      <w:r w:rsidRPr="00D171FD">
        <w:rPr>
          <w:rFonts w:ascii="Palatino Linotype" w:hAnsi="Palatino Linotype" w:cs="Arial"/>
          <w:bCs/>
          <w:i/>
          <w:noProof/>
          <w:sz w:val="20"/>
          <w:szCs w:val="20"/>
        </w:rPr>
        <w:t>II. Deudas contraídas con las instituciones públicas o dependencias por concepto de anticipos de sueldo, pagos hechos con exceso, errores o pérdidas debidamente comprobados;</w:t>
      </w:r>
    </w:p>
    <w:p w14:paraId="1CB2042E" w14:textId="77777777" w:rsidR="00CA210B" w:rsidRPr="00D171FD" w:rsidRDefault="00CA210B" w:rsidP="00CA210B">
      <w:pPr>
        <w:spacing w:after="120"/>
        <w:ind w:left="1134" w:right="851"/>
        <w:jc w:val="both"/>
        <w:rPr>
          <w:rFonts w:ascii="Palatino Linotype" w:hAnsi="Palatino Linotype" w:cs="Arial"/>
          <w:bCs/>
          <w:i/>
          <w:noProof/>
          <w:sz w:val="20"/>
          <w:szCs w:val="20"/>
        </w:rPr>
      </w:pPr>
      <w:r w:rsidRPr="00D171FD">
        <w:rPr>
          <w:rFonts w:ascii="Palatino Linotype" w:hAnsi="Palatino Linotype" w:cs="Arial"/>
          <w:bCs/>
          <w:i/>
          <w:noProof/>
          <w:sz w:val="20"/>
          <w:szCs w:val="20"/>
        </w:rPr>
        <w:t>III. Cuotas sindicales;</w:t>
      </w:r>
    </w:p>
    <w:p w14:paraId="74572908" w14:textId="77777777" w:rsidR="00CA210B" w:rsidRPr="00D171FD" w:rsidRDefault="00CA210B" w:rsidP="00CA210B">
      <w:pPr>
        <w:spacing w:after="120"/>
        <w:ind w:left="1134" w:right="851"/>
        <w:jc w:val="both"/>
        <w:rPr>
          <w:rFonts w:ascii="Palatino Linotype" w:hAnsi="Palatino Linotype" w:cs="Arial"/>
          <w:bCs/>
          <w:i/>
          <w:noProof/>
          <w:sz w:val="20"/>
          <w:szCs w:val="20"/>
        </w:rPr>
      </w:pPr>
      <w:r w:rsidRPr="00D171FD">
        <w:rPr>
          <w:rFonts w:ascii="Palatino Linotype" w:hAnsi="Palatino Linotype" w:cs="Arial"/>
          <w:bCs/>
          <w:i/>
          <w:noProof/>
          <w:sz w:val="20"/>
          <w:szCs w:val="20"/>
        </w:rPr>
        <w:t>IV. Cuotas de aportación a fondos para la constitución de cooperativas y de cajas de ahorro, siempre que el servidor público hubiese manifestado previamente, de manera expresa, su conformidad;</w:t>
      </w:r>
    </w:p>
    <w:p w14:paraId="4ECE0D51" w14:textId="77777777" w:rsidR="00CA210B" w:rsidRPr="00D171FD" w:rsidRDefault="00CA210B" w:rsidP="00CA210B">
      <w:pPr>
        <w:spacing w:after="120"/>
        <w:ind w:left="1134" w:right="851"/>
        <w:jc w:val="both"/>
        <w:rPr>
          <w:rFonts w:ascii="Palatino Linotype" w:hAnsi="Palatino Linotype" w:cs="Arial"/>
          <w:bCs/>
          <w:i/>
          <w:noProof/>
          <w:sz w:val="20"/>
          <w:szCs w:val="20"/>
        </w:rPr>
      </w:pPr>
      <w:r w:rsidRPr="00D171FD">
        <w:rPr>
          <w:rFonts w:ascii="Palatino Linotype" w:hAnsi="Palatino Linotype" w:cs="Arial"/>
          <w:bCs/>
          <w:i/>
          <w:noProof/>
          <w:sz w:val="20"/>
          <w:szCs w:val="20"/>
        </w:rPr>
        <w:t>V. Descuentos ordenados por el Instituto de Seguridad Social del Estado de México y Municipios, con motivo de cuotas y obligaciones contraídas con éste por los servidores públicos;</w:t>
      </w:r>
    </w:p>
    <w:p w14:paraId="51E1CE8A" w14:textId="77777777" w:rsidR="00CA210B" w:rsidRPr="00D171FD" w:rsidRDefault="00CA210B" w:rsidP="00CA210B">
      <w:pPr>
        <w:spacing w:after="120"/>
        <w:ind w:left="1134" w:right="851"/>
        <w:jc w:val="both"/>
        <w:rPr>
          <w:rFonts w:ascii="Palatino Linotype" w:hAnsi="Palatino Linotype" w:cs="Arial"/>
          <w:bCs/>
          <w:i/>
          <w:noProof/>
          <w:sz w:val="20"/>
          <w:szCs w:val="20"/>
        </w:rPr>
      </w:pPr>
      <w:r w:rsidRPr="00D171FD">
        <w:rPr>
          <w:rFonts w:ascii="Palatino Linotype" w:hAnsi="Palatino Linotype" w:cs="Arial"/>
          <w:bCs/>
          <w:i/>
          <w:noProof/>
          <w:sz w:val="20"/>
          <w:szCs w:val="20"/>
        </w:rPr>
        <w:t>VI. Obligaciones a cargo del servidor público con las que haya consentido, derivadas de la adquisición o del uso de habitaciones consideradas como de interés social;</w:t>
      </w:r>
    </w:p>
    <w:p w14:paraId="5EBD7679" w14:textId="77777777" w:rsidR="00CA210B" w:rsidRPr="00D171FD" w:rsidRDefault="00CA210B" w:rsidP="00CA210B">
      <w:pPr>
        <w:spacing w:after="120"/>
        <w:ind w:left="1134" w:right="851"/>
        <w:jc w:val="both"/>
        <w:rPr>
          <w:rFonts w:ascii="Palatino Linotype" w:hAnsi="Palatino Linotype" w:cs="Arial"/>
          <w:bCs/>
          <w:i/>
          <w:noProof/>
          <w:sz w:val="20"/>
          <w:szCs w:val="20"/>
        </w:rPr>
      </w:pPr>
      <w:r w:rsidRPr="00D171FD">
        <w:rPr>
          <w:rFonts w:ascii="Palatino Linotype" w:hAnsi="Palatino Linotype" w:cs="Arial"/>
          <w:bCs/>
          <w:i/>
          <w:noProof/>
          <w:sz w:val="20"/>
          <w:szCs w:val="20"/>
        </w:rPr>
        <w:t>VII. Faltas de puntualidad o de asistencia injustificadas;</w:t>
      </w:r>
    </w:p>
    <w:p w14:paraId="2576E0D7" w14:textId="77777777" w:rsidR="00CA210B" w:rsidRPr="00D171FD" w:rsidRDefault="00CA210B" w:rsidP="00CA210B">
      <w:pPr>
        <w:spacing w:after="120"/>
        <w:ind w:left="1134" w:right="851"/>
        <w:jc w:val="both"/>
        <w:rPr>
          <w:rFonts w:ascii="Palatino Linotype" w:hAnsi="Palatino Linotype" w:cs="Arial"/>
          <w:bCs/>
          <w:i/>
          <w:noProof/>
          <w:sz w:val="20"/>
          <w:szCs w:val="20"/>
        </w:rPr>
      </w:pPr>
      <w:r w:rsidRPr="00D171FD">
        <w:rPr>
          <w:rFonts w:ascii="Palatino Linotype" w:hAnsi="Palatino Linotype" w:cs="Arial"/>
          <w:bCs/>
          <w:i/>
          <w:noProof/>
          <w:sz w:val="20"/>
          <w:szCs w:val="20"/>
        </w:rPr>
        <w:lastRenderedPageBreak/>
        <w:t>VIII. Pensiones alimenticias ordenadas por la autoridad judicial; o</w:t>
      </w:r>
    </w:p>
    <w:p w14:paraId="5C9C6CA0" w14:textId="77777777" w:rsidR="00CA210B" w:rsidRPr="00D171FD" w:rsidRDefault="00CA210B" w:rsidP="00CA210B">
      <w:pPr>
        <w:spacing w:after="120"/>
        <w:ind w:left="1134" w:right="851"/>
        <w:jc w:val="both"/>
        <w:rPr>
          <w:rFonts w:ascii="Palatino Linotype" w:hAnsi="Palatino Linotype" w:cs="Arial"/>
          <w:bCs/>
          <w:i/>
          <w:noProof/>
          <w:sz w:val="20"/>
          <w:szCs w:val="20"/>
        </w:rPr>
      </w:pPr>
      <w:r w:rsidRPr="00D171FD">
        <w:rPr>
          <w:rFonts w:ascii="Palatino Linotype" w:hAnsi="Palatino Linotype" w:cs="Arial"/>
          <w:bCs/>
          <w:i/>
          <w:noProof/>
          <w:sz w:val="20"/>
          <w:szCs w:val="20"/>
        </w:rPr>
        <w:t>IX. Cualquier otro convenido con instituciones de servicios y aceptado por el servidor público.</w:t>
      </w:r>
    </w:p>
    <w:p w14:paraId="78000BC4" w14:textId="77777777" w:rsidR="00CA210B" w:rsidRPr="00D171FD" w:rsidRDefault="00CA210B" w:rsidP="00CA210B">
      <w:pPr>
        <w:spacing w:after="120"/>
        <w:ind w:left="851" w:right="851"/>
        <w:jc w:val="both"/>
        <w:rPr>
          <w:rFonts w:ascii="Palatino Linotype" w:hAnsi="Palatino Linotype" w:cs="Arial"/>
          <w:bCs/>
          <w:i/>
          <w:noProof/>
          <w:sz w:val="20"/>
          <w:szCs w:val="20"/>
        </w:rPr>
      </w:pPr>
      <w:r w:rsidRPr="00D171FD">
        <w:rPr>
          <w:rFonts w:ascii="Palatino Linotype" w:hAnsi="Palatino Linotype" w:cs="Arial"/>
          <w:bCs/>
          <w:i/>
          <w:noProof/>
          <w:sz w:val="20"/>
          <w:szCs w:val="20"/>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34D04FA5" w14:textId="77777777" w:rsidR="00CA210B" w:rsidRPr="00A2435B" w:rsidRDefault="00CA210B" w:rsidP="00CA210B">
      <w:pPr>
        <w:pStyle w:val="Sinespaciado"/>
        <w:spacing w:before="240" w:after="240" w:line="360" w:lineRule="auto"/>
        <w:jc w:val="both"/>
        <w:rPr>
          <w:rFonts w:ascii="Palatino Linotype" w:hAnsi="Palatino Linotype" w:cs="Arial"/>
        </w:rPr>
      </w:pPr>
      <w:r w:rsidRPr="00A2435B">
        <w:rPr>
          <w:rFonts w:ascii="Palatino Linotype" w:hAnsi="Palatino Linotype" w:cs="Arial"/>
        </w:rPr>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368C4715" w14:textId="77777777" w:rsidR="00CA210B" w:rsidRDefault="00CA210B" w:rsidP="00CA210B">
      <w:pPr>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rPr>
        <w:t>En resumen, toda la información relativa a una persona física que la pueda hacer identificada o identificable, constituye un dato personal y por consiguiente, se trata de información confidencial, que debe ser protegida por los sujetos obligados. En este contexto todo dato personal susceptible de clasificación debe ser protegido por los sujetos obligados. Sin embargo, no debe dejarse de lado que la protección no es absoluta en todos los casos por igual.</w:t>
      </w:r>
    </w:p>
    <w:p w14:paraId="319056B7" w14:textId="77777777" w:rsidR="00CA210B" w:rsidRDefault="00CA210B" w:rsidP="00CA210B">
      <w:pPr>
        <w:tabs>
          <w:tab w:val="left" w:pos="8647"/>
        </w:tabs>
        <w:spacing w:before="240" w:after="240" w:line="360" w:lineRule="auto"/>
        <w:ind w:right="51"/>
        <w:jc w:val="both"/>
        <w:rPr>
          <w:rFonts w:ascii="Palatino Linotype" w:hAnsi="Palatino Linotype" w:cs="Arial"/>
        </w:rPr>
      </w:pPr>
      <w:r w:rsidRPr="00531ABD">
        <w:rPr>
          <w:rFonts w:ascii="Palatino Linotype" w:hAnsi="Palatino Linotype" w:cs="Arial"/>
        </w:rPr>
        <w:t xml:space="preserve">En este marco, cabe señalar que si bien es cierto este Instituto de Transparencia, Acceso a la Información Pública y Protección de Datos Personales del Estado de México y Municipios tiene la misión de garantizar el derecho de acceso a la información pública de los particulares; también lo </w:t>
      </w:r>
      <w:r>
        <w:rPr>
          <w:rFonts w:ascii="Palatino Linotype" w:hAnsi="Palatino Linotype" w:cs="Arial"/>
        </w:rPr>
        <w:t xml:space="preserve">es </w:t>
      </w:r>
      <w:r w:rsidRPr="00531ABD">
        <w:rPr>
          <w:rFonts w:ascii="Palatino Linotype" w:hAnsi="Palatino Linotype" w:cs="Arial"/>
        </w:rPr>
        <w:t xml:space="preserve">que debe cuidar la protección </w:t>
      </w:r>
      <w:r w:rsidRPr="00531ABD">
        <w:rPr>
          <w:rFonts w:ascii="Palatino Linotype" w:hAnsi="Palatino Linotype" w:cs="Arial"/>
        </w:rPr>
        <w:lastRenderedPageBreak/>
        <w:t>de datos personales</w:t>
      </w:r>
      <w:r>
        <w:rPr>
          <w:rFonts w:ascii="Palatino Linotype" w:hAnsi="Palatino Linotype" w:cs="Arial"/>
        </w:rPr>
        <w:t xml:space="preserve"> y sobre todo cuando traen implícito que se ponga en riesgo la vida o integridad de una persona.</w:t>
      </w:r>
    </w:p>
    <w:p w14:paraId="095B6B13" w14:textId="77777777" w:rsidR="00CA210B" w:rsidRDefault="00CA210B" w:rsidP="00CA210B">
      <w:pPr>
        <w:spacing w:before="240" w:after="360" w:line="360" w:lineRule="auto"/>
        <w:jc w:val="both"/>
        <w:rPr>
          <w:rFonts w:ascii="Palatino Linotype" w:eastAsiaTheme="minorHAnsi" w:hAnsi="Palatino Linotype" w:cstheme="minorBidi"/>
          <w:lang w:val="es-MX" w:eastAsia="en-US"/>
        </w:rPr>
      </w:pPr>
      <w:r>
        <w:rPr>
          <w:rFonts w:ascii="Palatino Linotype" w:eastAsiaTheme="minorHAnsi" w:hAnsi="Palatino Linotype" w:cstheme="minorBidi"/>
          <w:lang w:val="es-MX" w:eastAsia="en-US"/>
        </w:rPr>
        <w:t>Sirven de sustento a lo anterior las tesis jurisprudenciales emitidas por la Suprema corte de Justicia de la Nación, que son del literal siguiente:</w:t>
      </w:r>
    </w:p>
    <w:p w14:paraId="13275B0C" w14:textId="77777777" w:rsidR="00CA210B" w:rsidRPr="00961118" w:rsidRDefault="00CA210B" w:rsidP="00CA210B">
      <w:pPr>
        <w:spacing w:before="120" w:after="120"/>
        <w:ind w:left="851" w:right="760"/>
        <w:jc w:val="both"/>
        <w:rPr>
          <w:rFonts w:ascii="Palatino Linotype" w:eastAsiaTheme="minorHAnsi" w:hAnsi="Palatino Linotype" w:cstheme="minorBidi"/>
          <w:b/>
          <w:i/>
          <w:sz w:val="20"/>
          <w:szCs w:val="20"/>
          <w:lang w:val="es-MX" w:eastAsia="en-US"/>
        </w:rPr>
      </w:pPr>
      <w:r w:rsidRPr="00961118">
        <w:rPr>
          <w:rFonts w:ascii="Palatino Linotype" w:eastAsiaTheme="minorHAnsi" w:hAnsi="Palatino Linotype" w:cstheme="minorBidi"/>
          <w:b/>
          <w:i/>
          <w:sz w:val="20"/>
          <w:szCs w:val="20"/>
          <w:lang w:val="es-MX" w:eastAsia="en-US"/>
        </w:rPr>
        <w:t>“DERECHO A LA INFORMACIÓN. SU EJERCICIO SE ENCUENTRA LIMITADO TANTO POR LOS INTERESES NACIONALES Y DE LA SOCIEDAD, COMO POR LOS DERECHOS DE TERCEROS.</w:t>
      </w:r>
      <w:r>
        <w:rPr>
          <w:rFonts w:ascii="Palatino Linotype" w:eastAsiaTheme="minorHAnsi" w:hAnsi="Palatino Linotype" w:cstheme="minorBidi"/>
          <w:b/>
          <w:i/>
          <w:sz w:val="20"/>
          <w:szCs w:val="20"/>
          <w:lang w:val="es-MX" w:eastAsia="en-US"/>
        </w:rPr>
        <w:t xml:space="preserve"> </w:t>
      </w:r>
      <w:r w:rsidRPr="00961118">
        <w:rPr>
          <w:rFonts w:ascii="Palatino Linotype" w:eastAsiaTheme="minorHAnsi" w:hAnsi="Palatino Linotype" w:cstheme="minorBidi"/>
          <w:i/>
          <w:sz w:val="20"/>
          <w:szCs w:val="20"/>
          <w:lang w:val="es-MX" w:eastAsia="en-US"/>
        </w:rPr>
        <w:t xml:space="preserve">El derecho a la información consagrado en la última parte del artículo 6o. de la Constitución Federal no es absoluto, sino que, como toda garantía, se halla sujeto a limitaciones o excepciones que se sustentan, fundamentalmente, en la protección de la seguridad nacional y en el respeto tanto a los intereses de la sociedad como a los derechos de los gobernados, limitaciones que, incluso, han dado origen a la figura jurídica del secreto de información que se conoce en la doctrina como "reserva de información" o "secreto burocrático". En estas condiciones, al encontrarse obligado el Estado, como sujeto pasivo de la citada garantía, a velar por dichos intereses, con apego a las normas constitucionales y legales, el mencionado derecho no puede ser garantizado indiscriminadamente, sino que el respeto a su ejercicio encuentra excepciones que lo regulan y a su vez lo garantizan, en atención a la materia a que se refiera; así, en cuanto a la seguridad nacional, se tienen normas que, por un lado, </w:t>
      </w:r>
      <w:r w:rsidRPr="00961118">
        <w:rPr>
          <w:rFonts w:ascii="Palatino Linotype" w:eastAsiaTheme="minorHAnsi" w:hAnsi="Palatino Linotype" w:cstheme="minorBidi"/>
          <w:b/>
          <w:i/>
          <w:sz w:val="20"/>
          <w:szCs w:val="20"/>
          <w:lang w:val="es-MX" w:eastAsia="en-US"/>
        </w:rPr>
        <w:t>restringen el acceso a la información en esta materia, en razón de que su conocimiento público puede generar daños a los intereses nacionales y, por el otro, sancionan la inobservancia de esa reserva;</w:t>
      </w:r>
      <w:r w:rsidRPr="00961118">
        <w:rPr>
          <w:rFonts w:ascii="Palatino Linotype" w:eastAsiaTheme="minorHAnsi" w:hAnsi="Palatino Linotype" w:cstheme="minorBidi"/>
          <w:i/>
          <w:sz w:val="20"/>
          <w:szCs w:val="20"/>
          <w:lang w:val="es-MX" w:eastAsia="en-US"/>
        </w:rPr>
        <w:t xml:space="preserve"> por lo que hace al interés social, se cuenta con normas que tienden a proteger la averiguación de los delitos, la salud y la moral públicas, </w:t>
      </w:r>
      <w:r w:rsidRPr="00961118">
        <w:rPr>
          <w:rFonts w:ascii="Palatino Linotype" w:eastAsiaTheme="minorHAnsi" w:hAnsi="Palatino Linotype" w:cstheme="minorBidi"/>
          <w:b/>
          <w:i/>
          <w:sz w:val="20"/>
          <w:szCs w:val="20"/>
          <w:lang w:val="es-MX" w:eastAsia="en-US"/>
        </w:rPr>
        <w:t>mientras que por lo que respecta a la protección de la persona existen normas que protegen el derecho a la vida o a la privacidad de los gobernados.</w:t>
      </w:r>
      <w:r>
        <w:rPr>
          <w:rFonts w:ascii="Palatino Linotype" w:eastAsiaTheme="minorHAnsi" w:hAnsi="Palatino Linotype" w:cstheme="minorBidi"/>
          <w:i/>
          <w:sz w:val="20"/>
          <w:szCs w:val="20"/>
          <w:lang w:val="es-MX" w:eastAsia="en-US"/>
        </w:rPr>
        <w:t>”</w:t>
      </w:r>
    </w:p>
    <w:p w14:paraId="67DC961A" w14:textId="77777777" w:rsidR="00CA210B" w:rsidRPr="00961118" w:rsidRDefault="00CA210B" w:rsidP="00CA210B">
      <w:pPr>
        <w:spacing w:before="120" w:after="120"/>
        <w:ind w:left="851" w:right="760"/>
        <w:jc w:val="both"/>
        <w:rPr>
          <w:rFonts w:ascii="Palatino Linotype" w:eastAsiaTheme="minorHAnsi" w:hAnsi="Palatino Linotype" w:cstheme="minorBidi"/>
          <w:i/>
          <w:sz w:val="20"/>
          <w:szCs w:val="20"/>
          <w:lang w:val="es-MX" w:eastAsia="en-US"/>
        </w:rPr>
      </w:pPr>
    </w:p>
    <w:p w14:paraId="14774CDF" w14:textId="77777777" w:rsidR="00CA210B" w:rsidRPr="00961118" w:rsidRDefault="00CA210B" w:rsidP="00CA210B">
      <w:pPr>
        <w:spacing w:before="120" w:after="120"/>
        <w:ind w:left="851" w:right="760"/>
        <w:jc w:val="both"/>
        <w:rPr>
          <w:rFonts w:ascii="Palatino Linotype" w:eastAsiaTheme="minorHAnsi" w:hAnsi="Palatino Linotype" w:cstheme="minorBidi"/>
          <w:i/>
          <w:sz w:val="20"/>
          <w:szCs w:val="20"/>
          <w:lang w:val="es-MX" w:eastAsia="en-US"/>
        </w:rPr>
      </w:pPr>
      <w:r>
        <w:rPr>
          <w:rFonts w:ascii="Palatino Linotype" w:eastAsiaTheme="minorHAnsi" w:hAnsi="Palatino Linotype" w:cstheme="minorBidi"/>
          <w:b/>
          <w:i/>
          <w:sz w:val="20"/>
          <w:szCs w:val="20"/>
          <w:lang w:val="es-MX" w:eastAsia="en-US"/>
        </w:rPr>
        <w:t>“</w:t>
      </w:r>
      <w:r w:rsidRPr="00961118">
        <w:rPr>
          <w:rFonts w:ascii="Palatino Linotype" w:eastAsiaTheme="minorHAnsi" w:hAnsi="Palatino Linotype" w:cstheme="minorBidi"/>
          <w:b/>
          <w:i/>
          <w:sz w:val="20"/>
          <w:szCs w:val="20"/>
          <w:lang w:val="es-MX" w:eastAsia="en-US"/>
        </w:rPr>
        <w:t>TRANSPARENCIA Y ACCESO A LA INFORMACIÓN PÚBLICA GUBERNAMENTAL. EL ARTÍCULO 14, FRACCIÓN I, DE LA LEY FEDERAL RELATIVA, NO VIOLA LA GARANTÍA DE ACCESO A LA INFORMACIÓN.</w:t>
      </w:r>
      <w:r>
        <w:rPr>
          <w:rFonts w:ascii="Palatino Linotype" w:eastAsiaTheme="minorHAnsi" w:hAnsi="Palatino Linotype" w:cstheme="minorBidi"/>
          <w:i/>
          <w:sz w:val="20"/>
          <w:szCs w:val="20"/>
          <w:lang w:val="es-MX" w:eastAsia="en-US"/>
        </w:rPr>
        <w:t xml:space="preserve"> </w:t>
      </w:r>
      <w:r w:rsidRPr="00961118">
        <w:rPr>
          <w:rFonts w:ascii="Palatino Linotype" w:eastAsiaTheme="minorHAnsi" w:hAnsi="Palatino Linotype" w:cstheme="minorBidi"/>
          <w:i/>
          <w:sz w:val="20"/>
          <w:szCs w:val="20"/>
          <w:lang w:val="es-MX" w:eastAsia="en-US"/>
        </w:rPr>
        <w:t xml:space="preserve">El Tribunal en Pleno de la Suprema Corte de Justicia de la Nación en la tesis P. LX/2000 de rubro: "DERECHO A LA INFORMACIÓN. SU EJERCICIO SE ENCUENTRA LIMITADO TANTO POR LOS INTERESES NACIONALES Y DE LA SOCIEDAD, COMO POR LOS DERECHOS DE TERCEROS.", publicada en el Semanario Judicial de la Federación y su Gaceta, Novena Época, Tomo XI, abril de 2000, página 74, estableció que el ejercicio del derecho a la información no es irrestricto, sino que tiene límites que se sustentan en la protección de la seguridad nacional y en el respeto a los intereses de la sociedad y a los derechos de los gobernados, en atención a la materia de que se trate. En ese </w:t>
      </w:r>
      <w:r w:rsidRPr="00961118">
        <w:rPr>
          <w:rFonts w:ascii="Palatino Linotype" w:eastAsiaTheme="minorHAnsi" w:hAnsi="Palatino Linotype" w:cstheme="minorBidi"/>
          <w:i/>
          <w:sz w:val="20"/>
          <w:szCs w:val="20"/>
          <w:lang w:val="es-MX" w:eastAsia="en-US"/>
        </w:rPr>
        <w:lastRenderedPageBreak/>
        <w:t xml:space="preserve">sentido, el citado precepto, al remitir a diversas normas ordinarias que establezcan restricciones a la información, no viola la garantía de acceso a la información contenida en el artículo 6o. de la Constitución Política de los Estados Unidos Mexicanos, porque es jurídicamente adecuado que en las leyes reguladoras de cada materia, </w:t>
      </w:r>
      <w:r w:rsidRPr="00961118">
        <w:rPr>
          <w:rFonts w:ascii="Palatino Linotype" w:eastAsiaTheme="minorHAnsi" w:hAnsi="Palatino Linotype" w:cstheme="minorBidi"/>
          <w:b/>
          <w:i/>
          <w:sz w:val="20"/>
          <w:szCs w:val="20"/>
          <w:lang w:val="es-MX" w:eastAsia="en-US"/>
        </w:rPr>
        <w:t>el legislador federal o local establezca las restricciones correspondientes y clasifique a determinados datos como confidenciales o reservados, con la condición de que tales límites atiendan a intereses públicos o de los particulares y encuentren justificación racional en función del bien jurídico a proteger, es decir, que exista proporcionalidad y congruencia entre el derecho fundamental de que se trata y la razón que motive la restricción legislativa correspondiente</w:t>
      </w:r>
      <w:r w:rsidRPr="00961118">
        <w:rPr>
          <w:rFonts w:ascii="Palatino Linotype" w:eastAsiaTheme="minorHAnsi" w:hAnsi="Palatino Linotype" w:cstheme="minorBidi"/>
          <w:i/>
          <w:sz w:val="20"/>
          <w:szCs w:val="20"/>
          <w:lang w:val="es-MX" w:eastAsia="en-US"/>
        </w:rPr>
        <w:t>, la cual debe ser adecuada y necesaria para alcanzar el fin perseguido, de manera que las ventajas obtenidas con la reserva compensen el sacrificio que ésta implique para los titulares de la garantía individual mencionada o para la sociedad en general.</w:t>
      </w:r>
      <w:r>
        <w:rPr>
          <w:rFonts w:ascii="Palatino Linotype" w:eastAsiaTheme="minorHAnsi" w:hAnsi="Palatino Linotype" w:cstheme="minorBidi"/>
          <w:i/>
          <w:sz w:val="20"/>
          <w:szCs w:val="20"/>
          <w:lang w:val="es-MX" w:eastAsia="en-US"/>
        </w:rPr>
        <w:t>”</w:t>
      </w:r>
    </w:p>
    <w:p w14:paraId="3FCCD04B" w14:textId="77777777" w:rsidR="00CA210B" w:rsidRPr="00B017B7" w:rsidRDefault="00CA210B" w:rsidP="00CA210B">
      <w:pPr>
        <w:widowControl w:val="0"/>
        <w:autoSpaceDE w:val="0"/>
        <w:autoSpaceDN w:val="0"/>
        <w:adjustRightInd w:val="0"/>
        <w:spacing w:before="240" w:after="240" w:line="360" w:lineRule="auto"/>
        <w:jc w:val="both"/>
        <w:rPr>
          <w:rFonts w:ascii="Palatino Linotype" w:hAnsi="Palatino Linotype"/>
        </w:rPr>
      </w:pPr>
      <w:r>
        <w:rPr>
          <w:rFonts w:ascii="Palatino Linotype" w:hAnsi="Palatino Linotype" w:cs="Arial"/>
          <w:color w:val="000000"/>
        </w:rPr>
        <w:t xml:space="preserve">El Acuerdo de Clasificación de Información, se emitirá en términos de lo dispuesto tanto como en los en </w:t>
      </w:r>
      <w:r>
        <w:rPr>
          <w:rFonts w:ascii="Palatino Linotype" w:hAnsi="Palatino Linotype"/>
        </w:rPr>
        <w:t>los</w:t>
      </w:r>
      <w:r w:rsidRPr="003F6560">
        <w:rPr>
          <w:rFonts w:ascii="Palatino Linotype" w:hAnsi="Palatino Linotype"/>
        </w:rPr>
        <w:t xml:space="preserve"> artículos 128 y 129</w:t>
      </w:r>
      <w:r>
        <w:rPr>
          <w:rFonts w:ascii="Palatino Linotype" w:hAnsi="Palatino Linotype"/>
        </w:rPr>
        <w:t xml:space="preserve"> de la </w:t>
      </w:r>
      <w:r w:rsidRPr="003F6560">
        <w:rPr>
          <w:rFonts w:ascii="Palatino Linotype" w:hAnsi="Palatino Linotype"/>
        </w:rPr>
        <w:t xml:space="preserve">Ley de Transparencia y Acceso a la Información Pública del </w:t>
      </w:r>
      <w:r>
        <w:rPr>
          <w:rFonts w:ascii="Palatino Linotype" w:hAnsi="Palatino Linotype"/>
        </w:rPr>
        <w:t xml:space="preserve">Estado de México y Municipios, como en </w:t>
      </w:r>
      <w:r w:rsidRPr="00A2425B">
        <w:rPr>
          <w:rFonts w:ascii="Palatino Linotype" w:hAnsi="Palatino Linotype"/>
        </w:rPr>
        <w:t>los</w:t>
      </w:r>
      <w:r w:rsidRPr="00A2425B">
        <w:rPr>
          <w:rFonts w:ascii="Palatino Linotype" w:hAnsi="Palatino Linotype" w:cs="Arial"/>
          <w:color w:val="000000"/>
        </w:rPr>
        <w:t xml:space="preserve"> </w:t>
      </w:r>
      <w:r w:rsidRPr="00A2425B">
        <w:rPr>
          <w:rFonts w:ascii="Palatino Linotype" w:hAnsi="Palatino Linotype" w:cs="Arial"/>
          <w:color w:val="222222"/>
        </w:rPr>
        <w:t xml:space="preserve">Lineamientos Generales en Materia de Clasificación y Desclasificación de la Información, así como para la elaboración de Versiones Públicas, publicados en el Diario Oficial de la Federación en fecha quince de abril de la presente anualidad, mediante ACUERDO del Consejo Nacional del Sistema Nacional de Transparencia, Acceso a la Información Pública y Protección de Datos Personales, </w:t>
      </w:r>
      <w:r w:rsidRPr="00A2425B">
        <w:rPr>
          <w:rFonts w:ascii="Palatino Linotype" w:hAnsi="Palatino Linotype"/>
        </w:rPr>
        <w:t xml:space="preserve">motivando la referida clasificación al señalar las </w:t>
      </w:r>
      <w:r w:rsidRPr="00A2425B">
        <w:rPr>
          <w:rFonts w:ascii="Palatino Linotype" w:hAnsi="Palatino Linotype"/>
          <w:b/>
          <w:u w:val="single"/>
        </w:rPr>
        <w:t>razones, motivos o circunstancias especiales</w:t>
      </w:r>
      <w:r w:rsidRPr="00A2425B">
        <w:rPr>
          <w:rFonts w:ascii="Palatino Linotype" w:hAnsi="Palatino Linotype"/>
        </w:rPr>
        <w:t xml:space="preserve"> que lo llevaron a co</w:t>
      </w:r>
      <w:r w:rsidRPr="001B6D74">
        <w:rPr>
          <w:rFonts w:ascii="Palatino Linotype" w:hAnsi="Palatino Linotype"/>
        </w:rPr>
        <w:t>ncluir que el caso</w:t>
      </w:r>
      <w:r>
        <w:rPr>
          <w:rFonts w:ascii="Palatino Linotype" w:hAnsi="Palatino Linotype"/>
        </w:rPr>
        <w:t xml:space="preserve"> concreto, se ajustó</w:t>
      </w:r>
      <w:r w:rsidRPr="001B6D74">
        <w:rPr>
          <w:rFonts w:ascii="Palatino Linotype" w:hAnsi="Palatino Linotype"/>
        </w:rPr>
        <w:t xml:space="preserve"> a</w:t>
      </w:r>
      <w:r>
        <w:rPr>
          <w:rFonts w:ascii="Palatino Linotype" w:hAnsi="Palatino Linotype"/>
        </w:rPr>
        <w:t xml:space="preserve"> </w:t>
      </w:r>
      <w:r w:rsidRPr="001B6D74">
        <w:rPr>
          <w:rFonts w:ascii="Palatino Linotype" w:hAnsi="Palatino Linotype"/>
        </w:rPr>
        <w:t>l</w:t>
      </w:r>
      <w:r>
        <w:rPr>
          <w:rFonts w:ascii="Palatino Linotype" w:hAnsi="Palatino Linotype"/>
        </w:rPr>
        <w:t>os</w:t>
      </w:r>
      <w:r w:rsidRPr="001B6D74">
        <w:rPr>
          <w:rFonts w:ascii="Palatino Linotype" w:hAnsi="Palatino Linotype"/>
        </w:rPr>
        <w:t xml:space="preserve"> supuesto</w:t>
      </w:r>
      <w:r>
        <w:rPr>
          <w:rFonts w:ascii="Palatino Linotype" w:hAnsi="Palatino Linotype"/>
        </w:rPr>
        <w:t>s</w:t>
      </w:r>
      <w:r w:rsidRPr="001B6D74">
        <w:rPr>
          <w:rFonts w:ascii="Palatino Linotype" w:hAnsi="Palatino Linotype"/>
        </w:rPr>
        <w:t xml:space="preserve"> previsto</w:t>
      </w:r>
      <w:r>
        <w:rPr>
          <w:rFonts w:ascii="Palatino Linotype" w:hAnsi="Palatino Linotype"/>
        </w:rPr>
        <w:t>s</w:t>
      </w:r>
      <w:r w:rsidRPr="001B6D74">
        <w:rPr>
          <w:rFonts w:ascii="Palatino Linotype" w:hAnsi="Palatino Linotype"/>
        </w:rPr>
        <w:t xml:space="preserve"> </w:t>
      </w:r>
      <w:r>
        <w:rPr>
          <w:rFonts w:ascii="Palatino Linotype" w:hAnsi="Palatino Linotype"/>
        </w:rPr>
        <w:t>en la normatividad legal invocada como fundamento, para dichos efectos, debe proceder a su vez a realizar una prueba de daño, en la que se justificaran las razones, motivos y circunstancias que avalen que l</w:t>
      </w:r>
      <w:r w:rsidRPr="001B6D74">
        <w:rPr>
          <w:rFonts w:ascii="Palatino Linotype" w:hAnsi="Palatino Linotype"/>
        </w:rPr>
        <w:t>a divulgación de la información representa un riesgo real, demostrable e identificable de perjuicio significativo al interés pú</w:t>
      </w:r>
      <w:r>
        <w:rPr>
          <w:rFonts w:ascii="Palatino Linotype" w:hAnsi="Palatino Linotype"/>
        </w:rPr>
        <w:t>blico o a la seguridad nacional; que e</w:t>
      </w:r>
      <w:r w:rsidRPr="001B6D74">
        <w:rPr>
          <w:rFonts w:ascii="Palatino Linotype" w:hAnsi="Palatino Linotype"/>
        </w:rPr>
        <w:t>l riesgo de perjuicio que supondría la divulgación supera el interés público general de que se difunda</w:t>
      </w:r>
      <w:r>
        <w:rPr>
          <w:rFonts w:ascii="Palatino Linotype" w:hAnsi="Palatino Linotype"/>
        </w:rPr>
        <w:t>, y que l</w:t>
      </w:r>
      <w:r w:rsidRPr="001B6D74">
        <w:rPr>
          <w:rFonts w:ascii="Palatino Linotype" w:hAnsi="Palatino Linotype"/>
        </w:rPr>
        <w:t>a limitación se</w:t>
      </w:r>
      <w:r>
        <w:rPr>
          <w:rFonts w:ascii="Palatino Linotype" w:hAnsi="Palatino Linotype"/>
        </w:rPr>
        <w:t>a</w:t>
      </w:r>
      <w:r w:rsidRPr="001B6D74">
        <w:rPr>
          <w:rFonts w:ascii="Palatino Linotype" w:hAnsi="Palatino Linotype"/>
        </w:rPr>
        <w:t xml:space="preserve"> adecua</w:t>
      </w:r>
      <w:r>
        <w:rPr>
          <w:rFonts w:ascii="Palatino Linotype" w:hAnsi="Palatino Linotype"/>
        </w:rPr>
        <w:t>da</w:t>
      </w:r>
      <w:r w:rsidRPr="001B6D74">
        <w:rPr>
          <w:rFonts w:ascii="Palatino Linotype" w:hAnsi="Palatino Linotype"/>
        </w:rPr>
        <w:t xml:space="preserve"> </w:t>
      </w:r>
      <w:r w:rsidRPr="001B6D74">
        <w:rPr>
          <w:rFonts w:ascii="Palatino Linotype" w:hAnsi="Palatino Linotype"/>
        </w:rPr>
        <w:lastRenderedPageBreak/>
        <w:t>al principio de proporcionalidad y representa el medio menos restrictivo disponible para evitar el perjuicio</w:t>
      </w:r>
      <w:r>
        <w:rPr>
          <w:rFonts w:ascii="Palatino Linotype" w:hAnsi="Palatino Linotype"/>
        </w:rPr>
        <w:t>.</w:t>
      </w:r>
    </w:p>
    <w:p w14:paraId="2F5F9973" w14:textId="77777777" w:rsidR="00CA210B" w:rsidRDefault="00CA210B" w:rsidP="00CA210B">
      <w:pPr>
        <w:spacing w:before="240" w:after="240" w:line="360" w:lineRule="auto"/>
        <w:jc w:val="both"/>
        <w:rPr>
          <w:rFonts w:ascii="Palatino Linotype" w:hAnsi="Palatino Linotype"/>
        </w:rPr>
      </w:pPr>
      <w:r>
        <w:rPr>
          <w:rFonts w:ascii="Palatino Linotype" w:hAnsi="Palatino Linotype" w:cs="Arial"/>
        </w:rPr>
        <w:t>En relación directa con ello, los Lineamientos en estudio</w:t>
      </w:r>
      <w:r w:rsidRPr="008F2EE4">
        <w:rPr>
          <w:rFonts w:ascii="Palatino Linotype" w:hAnsi="Palatino Linotype"/>
        </w:rPr>
        <w:t xml:space="preserve"> </w:t>
      </w:r>
      <w:r>
        <w:rPr>
          <w:rFonts w:ascii="Palatino Linotype" w:hAnsi="Palatino Linotype"/>
        </w:rPr>
        <w:t>establecen los formatos para la clasificación parcial y total de los documentos, que atienden a lo siguiente:</w:t>
      </w:r>
    </w:p>
    <w:tbl>
      <w:tblPr>
        <w:tblStyle w:val="Tabladelista1clara-nfasis1"/>
        <w:tblW w:w="0" w:type="auto"/>
        <w:tblLayout w:type="fixed"/>
        <w:tblLook w:val="04A0" w:firstRow="1" w:lastRow="0" w:firstColumn="1" w:lastColumn="0" w:noHBand="0" w:noVBand="1"/>
      </w:tblPr>
      <w:tblGrid>
        <w:gridCol w:w="846"/>
        <w:gridCol w:w="3568"/>
        <w:gridCol w:w="968"/>
        <w:gridCol w:w="3446"/>
      </w:tblGrid>
      <w:tr w:rsidR="00CA210B" w:rsidRPr="00A850E0" w14:paraId="6475AA20" w14:textId="77777777" w:rsidTr="000A39D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4" w:type="dxa"/>
            <w:gridSpan w:val="2"/>
          </w:tcPr>
          <w:p w14:paraId="018EA035" w14:textId="77777777" w:rsidR="00CA210B" w:rsidRPr="00A850E0" w:rsidRDefault="00CA210B" w:rsidP="000A39DA">
            <w:pPr>
              <w:jc w:val="center"/>
              <w:rPr>
                <w:rFonts w:ascii="Palatino Linotype" w:hAnsi="Palatino Linotype"/>
                <w:b w:val="0"/>
                <w:sz w:val="12"/>
                <w:szCs w:val="12"/>
              </w:rPr>
            </w:pPr>
            <w:r w:rsidRPr="00A850E0">
              <w:rPr>
                <w:rFonts w:ascii="Palatino Linotype" w:hAnsi="Palatino Linotype"/>
                <w:b w:val="0"/>
                <w:sz w:val="12"/>
                <w:szCs w:val="12"/>
              </w:rPr>
              <w:t>Parcial</w:t>
            </w:r>
          </w:p>
        </w:tc>
        <w:tc>
          <w:tcPr>
            <w:tcW w:w="4414" w:type="dxa"/>
            <w:gridSpan w:val="2"/>
          </w:tcPr>
          <w:p w14:paraId="57A4B30C" w14:textId="77777777" w:rsidR="00CA210B" w:rsidRPr="00A850E0" w:rsidRDefault="00CA210B" w:rsidP="000A39DA">
            <w:pPr>
              <w:jc w:val="center"/>
              <w:cnfStyle w:val="100000000000" w:firstRow="1" w:lastRow="0" w:firstColumn="0" w:lastColumn="0" w:oddVBand="0" w:evenVBand="0" w:oddHBand="0" w:evenHBand="0" w:firstRowFirstColumn="0" w:firstRowLastColumn="0" w:lastRowFirstColumn="0" w:lastRowLastColumn="0"/>
              <w:rPr>
                <w:rFonts w:ascii="Palatino Linotype" w:hAnsi="Palatino Linotype"/>
                <w:b w:val="0"/>
                <w:sz w:val="12"/>
                <w:szCs w:val="12"/>
              </w:rPr>
            </w:pPr>
            <w:r w:rsidRPr="00A850E0">
              <w:rPr>
                <w:rFonts w:ascii="Palatino Linotype" w:hAnsi="Palatino Linotype"/>
                <w:b w:val="0"/>
                <w:sz w:val="12"/>
                <w:szCs w:val="12"/>
              </w:rPr>
              <w:t>Total</w:t>
            </w:r>
          </w:p>
        </w:tc>
      </w:tr>
      <w:tr w:rsidR="00CA210B" w:rsidRPr="00A850E0" w14:paraId="52E8C183" w14:textId="77777777" w:rsidTr="000A3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10C7FF8" w14:textId="77777777" w:rsidR="00CA210B" w:rsidRPr="00A850E0" w:rsidRDefault="00CA210B" w:rsidP="000A39DA">
            <w:pPr>
              <w:jc w:val="center"/>
              <w:rPr>
                <w:rFonts w:ascii="Palatino Linotype" w:hAnsi="Palatino Linotype"/>
                <w:b w:val="0"/>
                <w:sz w:val="12"/>
                <w:szCs w:val="12"/>
              </w:rPr>
            </w:pPr>
            <w:r w:rsidRPr="00A850E0">
              <w:rPr>
                <w:rFonts w:ascii="Palatino Linotype" w:hAnsi="Palatino Linotype"/>
                <w:b w:val="0"/>
                <w:sz w:val="12"/>
                <w:szCs w:val="12"/>
              </w:rPr>
              <w:t>Concepto</w:t>
            </w:r>
          </w:p>
        </w:tc>
        <w:tc>
          <w:tcPr>
            <w:tcW w:w="3568" w:type="dxa"/>
          </w:tcPr>
          <w:p w14:paraId="2796079D" w14:textId="77777777" w:rsidR="00CA210B" w:rsidRPr="00A850E0" w:rsidRDefault="00CA210B" w:rsidP="000A39D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Dónde</w:t>
            </w:r>
          </w:p>
        </w:tc>
        <w:tc>
          <w:tcPr>
            <w:tcW w:w="968" w:type="dxa"/>
          </w:tcPr>
          <w:p w14:paraId="41AEE68E" w14:textId="77777777" w:rsidR="00CA210B" w:rsidRPr="00A850E0" w:rsidRDefault="00CA210B" w:rsidP="000A39D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Concepto</w:t>
            </w:r>
          </w:p>
        </w:tc>
        <w:tc>
          <w:tcPr>
            <w:tcW w:w="3446" w:type="dxa"/>
          </w:tcPr>
          <w:p w14:paraId="6DCFAB3A" w14:textId="77777777" w:rsidR="00CA210B" w:rsidRPr="00A850E0" w:rsidRDefault="00CA210B" w:rsidP="000A39DA">
            <w:pPr>
              <w:jc w:val="center"/>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Dónde</w:t>
            </w:r>
          </w:p>
        </w:tc>
      </w:tr>
      <w:tr w:rsidR="00CA210B" w:rsidRPr="00A850E0" w14:paraId="3674051E" w14:textId="77777777" w:rsidTr="000A39DA">
        <w:tc>
          <w:tcPr>
            <w:cnfStyle w:val="001000000000" w:firstRow="0" w:lastRow="0" w:firstColumn="1" w:lastColumn="0" w:oddVBand="0" w:evenVBand="0" w:oddHBand="0" w:evenHBand="0" w:firstRowFirstColumn="0" w:firstRowLastColumn="0" w:lastRowFirstColumn="0" w:lastRowLastColumn="0"/>
            <w:tcW w:w="8828" w:type="dxa"/>
            <w:gridSpan w:val="4"/>
          </w:tcPr>
          <w:p w14:paraId="465498BB" w14:textId="77777777" w:rsidR="00CA210B" w:rsidRPr="00A850E0" w:rsidRDefault="00CA210B" w:rsidP="000A39DA">
            <w:pPr>
              <w:jc w:val="center"/>
              <w:rPr>
                <w:rFonts w:ascii="Palatino Linotype" w:hAnsi="Palatino Linotype"/>
                <w:b w:val="0"/>
                <w:sz w:val="12"/>
                <w:szCs w:val="12"/>
              </w:rPr>
            </w:pPr>
            <w:r w:rsidRPr="00A850E0">
              <w:rPr>
                <w:rFonts w:ascii="Palatino Linotype" w:hAnsi="Palatino Linotype"/>
                <w:b w:val="0"/>
                <w:sz w:val="12"/>
                <w:szCs w:val="12"/>
              </w:rPr>
              <w:t>Sello oficial o logotipo del sujeto obligado</w:t>
            </w:r>
          </w:p>
        </w:tc>
      </w:tr>
      <w:tr w:rsidR="00CA210B" w:rsidRPr="00A850E0" w14:paraId="0B684B9C" w14:textId="77777777" w:rsidTr="000A3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BF518CE" w14:textId="77777777" w:rsidR="00CA210B" w:rsidRPr="00A850E0" w:rsidRDefault="00CA210B" w:rsidP="000A39DA">
            <w:pPr>
              <w:jc w:val="both"/>
              <w:rPr>
                <w:rFonts w:ascii="Palatino Linotype" w:hAnsi="Palatino Linotype"/>
                <w:b w:val="0"/>
                <w:sz w:val="12"/>
                <w:szCs w:val="12"/>
              </w:rPr>
            </w:pPr>
            <w:r w:rsidRPr="00A850E0">
              <w:rPr>
                <w:rFonts w:ascii="Palatino Linotype" w:hAnsi="Palatino Linotype"/>
                <w:b w:val="0"/>
                <w:sz w:val="12"/>
                <w:szCs w:val="12"/>
              </w:rPr>
              <w:t>Fecha de clasificación</w:t>
            </w:r>
          </w:p>
        </w:tc>
        <w:tc>
          <w:tcPr>
            <w:tcW w:w="3568" w:type="dxa"/>
          </w:tcPr>
          <w:p w14:paraId="24C56690" w14:textId="77777777" w:rsidR="00CA210B" w:rsidRPr="00A850E0" w:rsidRDefault="00CA210B" w:rsidP="000A39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la que el Comité de Transparencia confirmó la clasificación del documento, en su caso.</w:t>
            </w:r>
          </w:p>
        </w:tc>
        <w:tc>
          <w:tcPr>
            <w:tcW w:w="968" w:type="dxa"/>
          </w:tcPr>
          <w:p w14:paraId="43FC5FFB" w14:textId="77777777" w:rsidR="00CA210B" w:rsidRPr="00A850E0" w:rsidRDefault="00CA210B" w:rsidP="000A39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Fecha de clasificación</w:t>
            </w:r>
          </w:p>
        </w:tc>
        <w:tc>
          <w:tcPr>
            <w:tcW w:w="3446" w:type="dxa"/>
          </w:tcPr>
          <w:p w14:paraId="43FAE677" w14:textId="77777777" w:rsidR="00CA210B" w:rsidRPr="00A850E0" w:rsidRDefault="00CA210B" w:rsidP="000A39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la que el Comité de Transparencia confirmó la clasificación del documento, en su caso.</w:t>
            </w:r>
          </w:p>
        </w:tc>
      </w:tr>
      <w:tr w:rsidR="00CA210B" w:rsidRPr="00A850E0" w14:paraId="6B706A84" w14:textId="77777777" w:rsidTr="000A39DA">
        <w:tc>
          <w:tcPr>
            <w:cnfStyle w:val="001000000000" w:firstRow="0" w:lastRow="0" w:firstColumn="1" w:lastColumn="0" w:oddVBand="0" w:evenVBand="0" w:oddHBand="0" w:evenHBand="0" w:firstRowFirstColumn="0" w:firstRowLastColumn="0" w:lastRowFirstColumn="0" w:lastRowLastColumn="0"/>
            <w:tcW w:w="846" w:type="dxa"/>
          </w:tcPr>
          <w:p w14:paraId="3B29541F" w14:textId="77777777" w:rsidR="00CA210B" w:rsidRPr="00A850E0" w:rsidRDefault="00CA210B" w:rsidP="000A39DA">
            <w:pPr>
              <w:jc w:val="both"/>
              <w:rPr>
                <w:rFonts w:ascii="Palatino Linotype" w:hAnsi="Palatino Linotype"/>
                <w:b w:val="0"/>
                <w:sz w:val="12"/>
                <w:szCs w:val="12"/>
              </w:rPr>
            </w:pPr>
            <w:r w:rsidRPr="00A850E0">
              <w:rPr>
                <w:rFonts w:ascii="Palatino Linotype" w:hAnsi="Palatino Linotype"/>
                <w:b w:val="0"/>
                <w:sz w:val="12"/>
                <w:szCs w:val="12"/>
              </w:rPr>
              <w:t>Área</w:t>
            </w:r>
          </w:p>
        </w:tc>
        <w:tc>
          <w:tcPr>
            <w:tcW w:w="3568" w:type="dxa"/>
          </w:tcPr>
          <w:p w14:paraId="3B8D08CC" w14:textId="77777777" w:rsidR="00CA210B" w:rsidRPr="00A850E0" w:rsidRDefault="00CA210B" w:rsidP="000A39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área del cual es titular quien clasifica.</w:t>
            </w:r>
          </w:p>
        </w:tc>
        <w:tc>
          <w:tcPr>
            <w:tcW w:w="968" w:type="dxa"/>
          </w:tcPr>
          <w:p w14:paraId="2C97444A" w14:textId="77777777" w:rsidR="00CA210B" w:rsidRPr="00A850E0" w:rsidRDefault="00CA210B" w:rsidP="000A39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Área</w:t>
            </w:r>
          </w:p>
        </w:tc>
        <w:tc>
          <w:tcPr>
            <w:tcW w:w="3446" w:type="dxa"/>
          </w:tcPr>
          <w:p w14:paraId="42239DFA" w14:textId="77777777" w:rsidR="00CA210B" w:rsidRPr="00A850E0" w:rsidRDefault="00CA210B" w:rsidP="000A39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área de la cual es el titular quien clasifica.</w:t>
            </w:r>
          </w:p>
        </w:tc>
      </w:tr>
      <w:tr w:rsidR="00CA210B" w:rsidRPr="00A850E0" w14:paraId="554230B0" w14:textId="77777777" w:rsidTr="000A3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2B33CF8" w14:textId="77777777" w:rsidR="00CA210B" w:rsidRPr="00A850E0" w:rsidRDefault="00CA210B" w:rsidP="000A39DA">
            <w:pPr>
              <w:jc w:val="both"/>
              <w:rPr>
                <w:rFonts w:ascii="Palatino Linotype" w:hAnsi="Palatino Linotype"/>
                <w:b w:val="0"/>
                <w:sz w:val="12"/>
                <w:szCs w:val="12"/>
              </w:rPr>
            </w:pPr>
            <w:r w:rsidRPr="00A850E0">
              <w:rPr>
                <w:rFonts w:ascii="Palatino Linotype" w:hAnsi="Palatino Linotype"/>
                <w:b w:val="0"/>
                <w:sz w:val="12"/>
                <w:szCs w:val="12"/>
              </w:rPr>
              <w:t>Información reservada</w:t>
            </w:r>
          </w:p>
        </w:tc>
        <w:tc>
          <w:tcPr>
            <w:tcW w:w="3568" w:type="dxa"/>
          </w:tcPr>
          <w:p w14:paraId="4136C90A" w14:textId="77777777" w:rsidR="00CA210B" w:rsidRPr="00A850E0" w:rsidRDefault="00CA210B" w:rsidP="000A39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968" w:type="dxa"/>
          </w:tcPr>
          <w:p w14:paraId="6DCB6164" w14:textId="77777777" w:rsidR="00CA210B" w:rsidRPr="00A850E0" w:rsidRDefault="00CA210B" w:rsidP="000A39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Reservado</w:t>
            </w:r>
          </w:p>
        </w:tc>
        <w:tc>
          <w:tcPr>
            <w:tcW w:w="3446" w:type="dxa"/>
          </w:tcPr>
          <w:p w14:paraId="2E643496" w14:textId="77777777" w:rsidR="00CA210B" w:rsidRPr="00A850E0" w:rsidRDefault="00CA210B" w:rsidP="000A39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Leyenda de información RESERVADA.</w:t>
            </w:r>
          </w:p>
        </w:tc>
      </w:tr>
      <w:tr w:rsidR="00CA210B" w:rsidRPr="00A850E0" w14:paraId="73159EFA" w14:textId="77777777" w:rsidTr="000A39DA">
        <w:tc>
          <w:tcPr>
            <w:cnfStyle w:val="001000000000" w:firstRow="0" w:lastRow="0" w:firstColumn="1" w:lastColumn="0" w:oddVBand="0" w:evenVBand="0" w:oddHBand="0" w:evenHBand="0" w:firstRowFirstColumn="0" w:firstRowLastColumn="0" w:lastRowFirstColumn="0" w:lastRowLastColumn="0"/>
            <w:tcW w:w="846" w:type="dxa"/>
          </w:tcPr>
          <w:p w14:paraId="6752B3BD" w14:textId="77777777" w:rsidR="00CA210B" w:rsidRPr="00A850E0" w:rsidRDefault="00CA210B" w:rsidP="000A39DA">
            <w:pPr>
              <w:jc w:val="both"/>
              <w:rPr>
                <w:rFonts w:ascii="Palatino Linotype" w:hAnsi="Palatino Linotype"/>
                <w:b w:val="0"/>
                <w:sz w:val="12"/>
                <w:szCs w:val="12"/>
              </w:rPr>
            </w:pPr>
            <w:r w:rsidRPr="00A850E0">
              <w:rPr>
                <w:rFonts w:ascii="Palatino Linotype" w:hAnsi="Palatino Linotype"/>
                <w:b w:val="0"/>
                <w:sz w:val="12"/>
                <w:szCs w:val="12"/>
              </w:rPr>
              <w:t>Fundamento legal</w:t>
            </w:r>
          </w:p>
        </w:tc>
        <w:tc>
          <w:tcPr>
            <w:tcW w:w="3568" w:type="dxa"/>
          </w:tcPr>
          <w:p w14:paraId="6AC657C3" w14:textId="77777777" w:rsidR="00CA210B" w:rsidRPr="00A850E0" w:rsidRDefault="00CA210B" w:rsidP="000A39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ordenamiento, el o los artículos, fracción(es), párrafo(s) con base en los cuales se sustente la reserva.</w:t>
            </w:r>
          </w:p>
        </w:tc>
        <w:tc>
          <w:tcPr>
            <w:tcW w:w="968" w:type="dxa"/>
          </w:tcPr>
          <w:p w14:paraId="5621C894" w14:textId="77777777" w:rsidR="00CA210B" w:rsidRPr="00A850E0" w:rsidRDefault="00CA210B" w:rsidP="000A39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Periodo de reserva</w:t>
            </w:r>
          </w:p>
        </w:tc>
        <w:tc>
          <w:tcPr>
            <w:tcW w:w="3446" w:type="dxa"/>
          </w:tcPr>
          <w:p w14:paraId="6918AF9A" w14:textId="77777777" w:rsidR="00CA210B" w:rsidRPr="00A850E0" w:rsidRDefault="00CA210B" w:rsidP="000A39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el número de años o meses por los que se mantendrá el documento o las partes del mismo como reservado. Si el expediente no es reservado, sino confidencial, deberá tacharse este apartado.</w:t>
            </w:r>
          </w:p>
        </w:tc>
      </w:tr>
      <w:tr w:rsidR="00CA210B" w:rsidRPr="00A850E0" w14:paraId="40BD6E96" w14:textId="77777777" w:rsidTr="000A3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1F80DC93" w14:textId="77777777" w:rsidR="00CA210B" w:rsidRPr="00A850E0" w:rsidRDefault="00CA210B" w:rsidP="000A39DA">
            <w:pPr>
              <w:jc w:val="both"/>
              <w:rPr>
                <w:rFonts w:ascii="Palatino Linotype" w:hAnsi="Palatino Linotype"/>
                <w:b w:val="0"/>
                <w:sz w:val="12"/>
                <w:szCs w:val="12"/>
              </w:rPr>
            </w:pPr>
            <w:r w:rsidRPr="00A850E0">
              <w:rPr>
                <w:rFonts w:ascii="Palatino Linotype" w:hAnsi="Palatino Linotype"/>
                <w:b w:val="0"/>
                <w:sz w:val="12"/>
                <w:szCs w:val="12"/>
              </w:rPr>
              <w:t>Ampliación del periodo de reserva</w:t>
            </w:r>
          </w:p>
        </w:tc>
        <w:tc>
          <w:tcPr>
            <w:tcW w:w="3568" w:type="dxa"/>
          </w:tcPr>
          <w:p w14:paraId="2D9AC1B4" w14:textId="77777777" w:rsidR="00CA210B" w:rsidRPr="00A850E0" w:rsidRDefault="00CA210B" w:rsidP="000A39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c>
          <w:tcPr>
            <w:tcW w:w="968" w:type="dxa"/>
          </w:tcPr>
          <w:p w14:paraId="2505E91D" w14:textId="77777777" w:rsidR="00CA210B" w:rsidRPr="00A850E0" w:rsidRDefault="00CA210B" w:rsidP="000A39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Fundamento legal</w:t>
            </w:r>
          </w:p>
        </w:tc>
        <w:tc>
          <w:tcPr>
            <w:tcW w:w="3446" w:type="dxa"/>
          </w:tcPr>
          <w:p w14:paraId="6ECCC564" w14:textId="77777777" w:rsidR="00CA210B" w:rsidRPr="00A850E0" w:rsidRDefault="00CA210B" w:rsidP="000A39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 de los ordenamientos jurídicos, el o los artículos, fracción(es), párrafo(s) con base en los cuales se sustenta la reserva.</w:t>
            </w:r>
          </w:p>
        </w:tc>
      </w:tr>
      <w:tr w:rsidR="00CA210B" w:rsidRPr="00A850E0" w14:paraId="7B827A28" w14:textId="77777777" w:rsidTr="000A39DA">
        <w:tc>
          <w:tcPr>
            <w:cnfStyle w:val="001000000000" w:firstRow="0" w:lastRow="0" w:firstColumn="1" w:lastColumn="0" w:oddVBand="0" w:evenVBand="0" w:oddHBand="0" w:evenHBand="0" w:firstRowFirstColumn="0" w:firstRowLastColumn="0" w:lastRowFirstColumn="0" w:lastRowLastColumn="0"/>
            <w:tcW w:w="846" w:type="dxa"/>
          </w:tcPr>
          <w:p w14:paraId="3E4841A4" w14:textId="77777777" w:rsidR="00CA210B" w:rsidRPr="00A850E0" w:rsidRDefault="00CA210B" w:rsidP="000A39DA">
            <w:pPr>
              <w:jc w:val="both"/>
              <w:rPr>
                <w:rFonts w:ascii="Palatino Linotype" w:hAnsi="Palatino Linotype"/>
                <w:b w:val="0"/>
                <w:sz w:val="12"/>
                <w:szCs w:val="12"/>
              </w:rPr>
            </w:pPr>
            <w:r w:rsidRPr="00A850E0">
              <w:rPr>
                <w:rFonts w:ascii="Palatino Linotype" w:hAnsi="Palatino Linotype"/>
                <w:b w:val="0"/>
                <w:sz w:val="12"/>
                <w:szCs w:val="12"/>
              </w:rPr>
              <w:t>Confidencial</w:t>
            </w:r>
          </w:p>
        </w:tc>
        <w:tc>
          <w:tcPr>
            <w:tcW w:w="3568" w:type="dxa"/>
          </w:tcPr>
          <w:p w14:paraId="750AFF8D" w14:textId="77777777" w:rsidR="00CA210B" w:rsidRPr="00A850E0" w:rsidRDefault="00CA210B" w:rsidP="000A39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8" w:type="dxa"/>
          </w:tcPr>
          <w:p w14:paraId="41FAAF4C" w14:textId="77777777" w:rsidR="00CA210B" w:rsidRPr="00A850E0" w:rsidRDefault="00CA210B" w:rsidP="000A39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Ampliación del periodo de reserva</w:t>
            </w:r>
          </w:p>
        </w:tc>
        <w:tc>
          <w:tcPr>
            <w:tcW w:w="3446" w:type="dxa"/>
          </w:tcPr>
          <w:p w14:paraId="4923BFD0" w14:textId="77777777" w:rsidR="00CA210B" w:rsidRPr="00A850E0" w:rsidRDefault="00CA210B" w:rsidP="000A39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En caso de haber solicitado la ampliación del periodo de reserva originalmente establecido, se deberá anotar el número de años o meses por los que se amplía la reserva.</w:t>
            </w:r>
          </w:p>
        </w:tc>
      </w:tr>
      <w:tr w:rsidR="00CA210B" w:rsidRPr="00A850E0" w14:paraId="20BC8164" w14:textId="77777777" w:rsidTr="000A3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57954A70" w14:textId="77777777" w:rsidR="00CA210B" w:rsidRPr="00A850E0" w:rsidRDefault="00CA210B" w:rsidP="000A39DA">
            <w:pPr>
              <w:jc w:val="both"/>
              <w:rPr>
                <w:rFonts w:ascii="Palatino Linotype" w:hAnsi="Palatino Linotype"/>
                <w:b w:val="0"/>
                <w:sz w:val="12"/>
                <w:szCs w:val="12"/>
              </w:rPr>
            </w:pPr>
            <w:r w:rsidRPr="00A850E0">
              <w:rPr>
                <w:rFonts w:ascii="Palatino Linotype" w:hAnsi="Palatino Linotype"/>
                <w:b w:val="0"/>
                <w:sz w:val="12"/>
                <w:szCs w:val="12"/>
              </w:rPr>
              <w:t>Fundamento legal</w:t>
            </w:r>
          </w:p>
        </w:tc>
        <w:tc>
          <w:tcPr>
            <w:tcW w:w="3568" w:type="dxa"/>
          </w:tcPr>
          <w:p w14:paraId="155598E9" w14:textId="77777777" w:rsidR="00CA210B" w:rsidRPr="00A850E0" w:rsidRDefault="00CA210B" w:rsidP="000A39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ordenamiento, el o los artículos, fracción(es), párrafo(s) con base en los cuales se sustente la confidencialidad.</w:t>
            </w:r>
          </w:p>
        </w:tc>
        <w:tc>
          <w:tcPr>
            <w:tcW w:w="968" w:type="dxa"/>
          </w:tcPr>
          <w:p w14:paraId="0FD7DD8B" w14:textId="77777777" w:rsidR="00CA210B" w:rsidRPr="00A850E0" w:rsidRDefault="00CA210B" w:rsidP="000A39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Confidencial</w:t>
            </w:r>
          </w:p>
        </w:tc>
        <w:tc>
          <w:tcPr>
            <w:tcW w:w="3446" w:type="dxa"/>
          </w:tcPr>
          <w:p w14:paraId="675AC821" w14:textId="77777777" w:rsidR="00CA210B" w:rsidRPr="00A850E0" w:rsidRDefault="00CA210B" w:rsidP="000A39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Leyenda de información CONFIDENCIAL.</w:t>
            </w:r>
          </w:p>
        </w:tc>
      </w:tr>
      <w:tr w:rsidR="00CA210B" w:rsidRPr="00A850E0" w14:paraId="2BD50245" w14:textId="77777777" w:rsidTr="000A39DA">
        <w:tc>
          <w:tcPr>
            <w:cnfStyle w:val="001000000000" w:firstRow="0" w:lastRow="0" w:firstColumn="1" w:lastColumn="0" w:oddVBand="0" w:evenVBand="0" w:oddHBand="0" w:evenHBand="0" w:firstRowFirstColumn="0" w:firstRowLastColumn="0" w:lastRowFirstColumn="0" w:lastRowLastColumn="0"/>
            <w:tcW w:w="846" w:type="dxa"/>
          </w:tcPr>
          <w:p w14:paraId="7ABCA647" w14:textId="77777777" w:rsidR="00CA210B" w:rsidRPr="00A850E0" w:rsidRDefault="00CA210B" w:rsidP="000A39DA">
            <w:pPr>
              <w:jc w:val="both"/>
              <w:rPr>
                <w:rFonts w:ascii="Palatino Linotype" w:hAnsi="Palatino Linotype"/>
                <w:b w:val="0"/>
                <w:sz w:val="12"/>
                <w:szCs w:val="12"/>
              </w:rPr>
            </w:pPr>
            <w:r w:rsidRPr="00A850E0">
              <w:rPr>
                <w:rFonts w:ascii="Palatino Linotype" w:hAnsi="Palatino Linotype"/>
                <w:b w:val="0"/>
                <w:sz w:val="12"/>
                <w:szCs w:val="12"/>
              </w:rPr>
              <w:t>Rúbrica del titular del área</w:t>
            </w:r>
          </w:p>
        </w:tc>
        <w:tc>
          <w:tcPr>
            <w:tcW w:w="3568" w:type="dxa"/>
          </w:tcPr>
          <w:p w14:paraId="3243E08A" w14:textId="77777777" w:rsidR="00CA210B" w:rsidRPr="00A850E0" w:rsidRDefault="00CA210B" w:rsidP="000A39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clasifica.</w:t>
            </w:r>
          </w:p>
        </w:tc>
        <w:tc>
          <w:tcPr>
            <w:tcW w:w="968" w:type="dxa"/>
          </w:tcPr>
          <w:p w14:paraId="7109D397" w14:textId="77777777" w:rsidR="00CA210B" w:rsidRPr="00A850E0" w:rsidRDefault="00CA210B" w:rsidP="000A39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Fundamento legal</w:t>
            </w:r>
          </w:p>
        </w:tc>
        <w:tc>
          <w:tcPr>
            <w:tcW w:w="3446" w:type="dxa"/>
          </w:tcPr>
          <w:p w14:paraId="2107304F" w14:textId="77777777" w:rsidR="00CA210B" w:rsidRPr="00A850E0" w:rsidRDefault="00CA210B" w:rsidP="000A39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señalará el nombre del o de los ordenamientos jurídicos, el o los artículos, fracción(es), párrafo(s) con base en los cuales se sustente la confidencialidad.</w:t>
            </w:r>
          </w:p>
        </w:tc>
      </w:tr>
      <w:tr w:rsidR="00CA210B" w:rsidRPr="00A850E0" w14:paraId="5BFAD68F" w14:textId="77777777" w:rsidTr="000A3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25C4D40E" w14:textId="77777777" w:rsidR="00CA210B" w:rsidRPr="00A850E0" w:rsidRDefault="00CA210B" w:rsidP="000A39DA">
            <w:pPr>
              <w:jc w:val="both"/>
              <w:rPr>
                <w:rFonts w:ascii="Palatino Linotype" w:hAnsi="Palatino Linotype"/>
                <w:b w:val="0"/>
                <w:sz w:val="12"/>
                <w:szCs w:val="12"/>
              </w:rPr>
            </w:pPr>
            <w:r w:rsidRPr="00A850E0">
              <w:rPr>
                <w:rFonts w:ascii="Palatino Linotype" w:hAnsi="Palatino Linotype"/>
                <w:b w:val="0"/>
                <w:sz w:val="12"/>
                <w:szCs w:val="12"/>
              </w:rPr>
              <w:t>Fecha de desclasificación</w:t>
            </w:r>
          </w:p>
        </w:tc>
        <w:tc>
          <w:tcPr>
            <w:tcW w:w="3568" w:type="dxa"/>
          </w:tcPr>
          <w:p w14:paraId="0B07DF67" w14:textId="77777777" w:rsidR="00CA210B" w:rsidRPr="00A850E0" w:rsidRDefault="00CA210B" w:rsidP="000A39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que se desclasifica el documento.</w:t>
            </w:r>
          </w:p>
        </w:tc>
        <w:tc>
          <w:tcPr>
            <w:tcW w:w="968" w:type="dxa"/>
          </w:tcPr>
          <w:p w14:paraId="48121C61" w14:textId="77777777" w:rsidR="00CA210B" w:rsidRPr="00A850E0" w:rsidRDefault="00CA210B" w:rsidP="000A39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Rúbrica del titular del área</w:t>
            </w:r>
          </w:p>
        </w:tc>
        <w:tc>
          <w:tcPr>
            <w:tcW w:w="3446" w:type="dxa"/>
          </w:tcPr>
          <w:p w14:paraId="79D78449" w14:textId="77777777" w:rsidR="00CA210B" w:rsidRPr="00A850E0" w:rsidRDefault="00CA210B" w:rsidP="000A39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clasifica.</w:t>
            </w:r>
          </w:p>
        </w:tc>
      </w:tr>
      <w:tr w:rsidR="00CA210B" w:rsidRPr="00A850E0" w14:paraId="4D19D9B2" w14:textId="77777777" w:rsidTr="000A39DA">
        <w:tc>
          <w:tcPr>
            <w:cnfStyle w:val="001000000000" w:firstRow="0" w:lastRow="0" w:firstColumn="1" w:lastColumn="0" w:oddVBand="0" w:evenVBand="0" w:oddHBand="0" w:evenHBand="0" w:firstRowFirstColumn="0" w:firstRowLastColumn="0" w:lastRowFirstColumn="0" w:lastRowLastColumn="0"/>
            <w:tcW w:w="846" w:type="dxa"/>
          </w:tcPr>
          <w:p w14:paraId="41061779" w14:textId="77777777" w:rsidR="00CA210B" w:rsidRPr="00A850E0" w:rsidRDefault="00CA210B" w:rsidP="000A39DA">
            <w:pPr>
              <w:jc w:val="both"/>
              <w:rPr>
                <w:rFonts w:ascii="Palatino Linotype" w:hAnsi="Palatino Linotype"/>
                <w:b w:val="0"/>
                <w:sz w:val="12"/>
                <w:szCs w:val="12"/>
              </w:rPr>
            </w:pPr>
            <w:r w:rsidRPr="00A850E0">
              <w:rPr>
                <w:rFonts w:ascii="Palatino Linotype" w:hAnsi="Palatino Linotype"/>
                <w:b w:val="0"/>
                <w:sz w:val="12"/>
                <w:szCs w:val="12"/>
              </w:rPr>
              <w:t>Rúbrica y cargo del servidor público</w:t>
            </w:r>
          </w:p>
        </w:tc>
        <w:tc>
          <w:tcPr>
            <w:tcW w:w="3568" w:type="dxa"/>
          </w:tcPr>
          <w:p w14:paraId="21BF4989" w14:textId="77777777" w:rsidR="00CA210B" w:rsidRPr="00A850E0" w:rsidRDefault="00CA210B" w:rsidP="000A39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desclasifica.</w:t>
            </w:r>
          </w:p>
        </w:tc>
        <w:tc>
          <w:tcPr>
            <w:tcW w:w="968" w:type="dxa"/>
          </w:tcPr>
          <w:p w14:paraId="4274D8AC" w14:textId="77777777" w:rsidR="00CA210B" w:rsidRPr="00A850E0" w:rsidRDefault="00CA210B" w:rsidP="000A39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Fecha de desclasificación</w:t>
            </w:r>
          </w:p>
        </w:tc>
        <w:tc>
          <w:tcPr>
            <w:tcW w:w="3446" w:type="dxa"/>
          </w:tcPr>
          <w:p w14:paraId="17A91867" w14:textId="77777777" w:rsidR="00CA210B" w:rsidRPr="00A850E0" w:rsidRDefault="00CA210B" w:rsidP="000A39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Se anotará la fecha en que se desclasifica.</w:t>
            </w:r>
          </w:p>
        </w:tc>
      </w:tr>
      <w:tr w:rsidR="00CA210B" w:rsidRPr="00A850E0" w14:paraId="0F940266" w14:textId="77777777" w:rsidTr="000A39D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Pr>
          <w:p w14:paraId="73C156EE" w14:textId="77777777" w:rsidR="00CA210B" w:rsidRPr="00A850E0" w:rsidRDefault="00CA210B" w:rsidP="000A39DA">
            <w:pPr>
              <w:jc w:val="both"/>
              <w:rPr>
                <w:rFonts w:ascii="Palatino Linotype" w:hAnsi="Palatino Linotype"/>
                <w:sz w:val="12"/>
                <w:szCs w:val="12"/>
              </w:rPr>
            </w:pPr>
          </w:p>
        </w:tc>
        <w:tc>
          <w:tcPr>
            <w:tcW w:w="3568" w:type="dxa"/>
          </w:tcPr>
          <w:p w14:paraId="5B30DD6C" w14:textId="77777777" w:rsidR="00CA210B" w:rsidRPr="00A850E0" w:rsidRDefault="00CA210B" w:rsidP="000A39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p>
        </w:tc>
        <w:tc>
          <w:tcPr>
            <w:tcW w:w="968" w:type="dxa"/>
          </w:tcPr>
          <w:p w14:paraId="7CAB66E6" w14:textId="77777777" w:rsidR="00CA210B" w:rsidRPr="00A850E0" w:rsidRDefault="00CA210B" w:rsidP="000A39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Partes o secciones reservadas o confidenciales</w:t>
            </w:r>
          </w:p>
        </w:tc>
        <w:tc>
          <w:tcPr>
            <w:tcW w:w="3446" w:type="dxa"/>
          </w:tcPr>
          <w:p w14:paraId="5697909F" w14:textId="77777777" w:rsidR="00CA210B" w:rsidRPr="00A850E0" w:rsidRDefault="00CA210B" w:rsidP="000A39DA">
            <w:pPr>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En caso que una vez desclasificado el expediente, subsistanpartes o secciones del mismo reservadas o confidenciales, se señalará este hecho.</w:t>
            </w:r>
          </w:p>
        </w:tc>
      </w:tr>
      <w:tr w:rsidR="00CA210B" w:rsidRPr="00A850E0" w14:paraId="09D78E97" w14:textId="77777777" w:rsidTr="000A39DA">
        <w:tc>
          <w:tcPr>
            <w:cnfStyle w:val="001000000000" w:firstRow="0" w:lastRow="0" w:firstColumn="1" w:lastColumn="0" w:oddVBand="0" w:evenVBand="0" w:oddHBand="0" w:evenHBand="0" w:firstRowFirstColumn="0" w:firstRowLastColumn="0" w:lastRowFirstColumn="0" w:lastRowLastColumn="0"/>
            <w:tcW w:w="846" w:type="dxa"/>
          </w:tcPr>
          <w:p w14:paraId="3C2CC657" w14:textId="77777777" w:rsidR="00CA210B" w:rsidRPr="00A850E0" w:rsidRDefault="00CA210B" w:rsidP="000A39DA">
            <w:pPr>
              <w:jc w:val="both"/>
              <w:rPr>
                <w:rFonts w:ascii="Palatino Linotype" w:hAnsi="Palatino Linotype"/>
                <w:sz w:val="12"/>
                <w:szCs w:val="12"/>
              </w:rPr>
            </w:pPr>
          </w:p>
        </w:tc>
        <w:tc>
          <w:tcPr>
            <w:tcW w:w="3568" w:type="dxa"/>
          </w:tcPr>
          <w:p w14:paraId="1CC1D5CB" w14:textId="77777777" w:rsidR="00CA210B" w:rsidRPr="00A850E0" w:rsidRDefault="00CA210B" w:rsidP="000A39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p>
        </w:tc>
        <w:tc>
          <w:tcPr>
            <w:tcW w:w="968" w:type="dxa"/>
          </w:tcPr>
          <w:p w14:paraId="53338C96" w14:textId="77777777" w:rsidR="00CA210B" w:rsidRPr="00A850E0" w:rsidRDefault="00CA210B" w:rsidP="000A39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b/>
                <w:sz w:val="12"/>
                <w:szCs w:val="12"/>
              </w:rPr>
            </w:pPr>
            <w:r w:rsidRPr="00A850E0">
              <w:rPr>
                <w:rFonts w:ascii="Palatino Linotype" w:hAnsi="Palatino Linotype"/>
                <w:b/>
                <w:sz w:val="12"/>
                <w:szCs w:val="12"/>
              </w:rPr>
              <w:t>Rúbrica y cargo del servidor público</w:t>
            </w:r>
          </w:p>
        </w:tc>
        <w:tc>
          <w:tcPr>
            <w:tcW w:w="3446" w:type="dxa"/>
          </w:tcPr>
          <w:p w14:paraId="7BA52709" w14:textId="77777777" w:rsidR="00CA210B" w:rsidRPr="00A850E0" w:rsidRDefault="00CA210B" w:rsidP="000A39DA">
            <w:pPr>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12"/>
                <w:szCs w:val="12"/>
              </w:rPr>
            </w:pPr>
            <w:r w:rsidRPr="00A850E0">
              <w:rPr>
                <w:rFonts w:ascii="Palatino Linotype" w:hAnsi="Palatino Linotype"/>
                <w:sz w:val="12"/>
                <w:szCs w:val="12"/>
              </w:rPr>
              <w:t>Rúbrica autógrafa de quien desclasifica.</w:t>
            </w:r>
          </w:p>
        </w:tc>
      </w:tr>
    </w:tbl>
    <w:p w14:paraId="6FB48E9B" w14:textId="07477BDD" w:rsidR="00FE547A" w:rsidRPr="00A4521A" w:rsidRDefault="00FE547A" w:rsidP="00FE547A">
      <w:pPr>
        <w:shd w:val="clear" w:color="auto" w:fill="FFFFFF"/>
        <w:spacing w:before="240" w:after="240" w:line="360" w:lineRule="auto"/>
        <w:jc w:val="both"/>
        <w:rPr>
          <w:rFonts w:ascii="Palatino Linotype" w:hAnsi="Palatino Linotype" w:cs="Arial"/>
          <w:lang w:eastAsia="es-MX"/>
        </w:rPr>
      </w:pPr>
      <w:r w:rsidRPr="00A4521A">
        <w:rPr>
          <w:rFonts w:ascii="Palatino Linotype" w:hAnsi="Palatino Linotype" w:cs="Arial"/>
          <w:lang w:eastAsia="es-MX"/>
        </w:rPr>
        <w:t xml:space="preserve">Así, con fundamento en lo prescrito en los artículos 5 párrafos </w:t>
      </w:r>
      <w:r w:rsidR="00A16481">
        <w:rPr>
          <w:rFonts w:ascii="Palatino Linotype" w:hAnsi="Palatino Linotype"/>
          <w:shd w:val="clear" w:color="auto" w:fill="FFFFFF"/>
        </w:rPr>
        <w:t>vigésimo, trigésimo y trigésimo primero</w:t>
      </w:r>
      <w:r w:rsidRPr="00A4521A">
        <w:rPr>
          <w:rFonts w:ascii="Palatino Linotype" w:hAnsi="Palatino Linotype" w:cs="Arial"/>
          <w:lang w:eastAsia="es-MX"/>
        </w:rPr>
        <w:t xml:space="preserve"> de la Constitución Política del Estado Libre y Soberano de México; 2, fracción II; 29, 36 fracciones I y II; 176, 178, 179, 181 y 185 de la Ley de </w:t>
      </w:r>
      <w:r w:rsidRPr="00A4521A">
        <w:rPr>
          <w:rFonts w:ascii="Palatino Linotype" w:hAnsi="Palatino Linotype" w:cs="Arial"/>
          <w:lang w:eastAsia="es-MX"/>
        </w:rPr>
        <w:lastRenderedPageBreak/>
        <w:t>Transparencia y Acceso a la Información Pública del Estado de México y Municipios, este Pleno:</w:t>
      </w:r>
    </w:p>
    <w:p w14:paraId="7CCFBFE0" w14:textId="77777777" w:rsidR="00FE547A" w:rsidRPr="00A4521A" w:rsidRDefault="00FE547A" w:rsidP="00FE547A">
      <w:pPr>
        <w:pStyle w:val="Prrafodelista"/>
        <w:spacing w:before="240" w:after="240" w:line="360" w:lineRule="auto"/>
        <w:ind w:left="0"/>
        <w:jc w:val="center"/>
        <w:rPr>
          <w:rFonts w:ascii="Palatino Linotype" w:hAnsi="Palatino Linotype" w:cs="Arial"/>
          <w:b/>
        </w:rPr>
      </w:pPr>
      <w:r w:rsidRPr="00A4521A">
        <w:rPr>
          <w:rFonts w:ascii="Palatino Linotype" w:hAnsi="Palatino Linotype" w:cs="Arial"/>
          <w:b/>
        </w:rPr>
        <w:t>R E S U E L V E</w:t>
      </w:r>
    </w:p>
    <w:p w14:paraId="4900E00C" w14:textId="77777777" w:rsidR="00FE547A" w:rsidRPr="00A4521A" w:rsidRDefault="00FE547A" w:rsidP="00FE547A">
      <w:pPr>
        <w:autoSpaceDE w:val="0"/>
        <w:autoSpaceDN w:val="0"/>
        <w:adjustRightInd w:val="0"/>
        <w:spacing w:before="240" w:after="240" w:line="360" w:lineRule="auto"/>
        <w:jc w:val="both"/>
        <w:rPr>
          <w:rFonts w:ascii="Palatino Linotype" w:hAnsi="Palatino Linotype" w:cs="Arial"/>
        </w:rPr>
      </w:pPr>
      <w:r w:rsidRPr="00A4521A">
        <w:rPr>
          <w:rFonts w:ascii="Palatino Linotype" w:hAnsi="Palatino Linotype" w:cs="Arial"/>
          <w:b/>
          <w:sz w:val="28"/>
        </w:rPr>
        <w:t>PRIMERO</w:t>
      </w:r>
      <w:r w:rsidRPr="00A4521A">
        <w:rPr>
          <w:rFonts w:ascii="Palatino Linotype" w:hAnsi="Palatino Linotype" w:cs="Arial"/>
          <w:sz w:val="28"/>
        </w:rPr>
        <w:t xml:space="preserve">. </w:t>
      </w:r>
      <w:r w:rsidRPr="00A4521A">
        <w:rPr>
          <w:rFonts w:ascii="Palatino Linotype" w:hAnsi="Palatino Linotype" w:cs="Arial"/>
          <w:bCs/>
          <w:lang w:eastAsia="es-MX"/>
        </w:rPr>
        <w:t xml:space="preserve">Resultan fundados los motivos de inconformidad hechos valer por el </w:t>
      </w:r>
      <w:r w:rsidRPr="00A4521A">
        <w:rPr>
          <w:rFonts w:ascii="Palatino Linotype" w:hAnsi="Palatino Linotype" w:cs="Arial"/>
          <w:b/>
          <w:bCs/>
          <w:i/>
          <w:lang w:eastAsia="es-MX"/>
        </w:rPr>
        <w:t>Recurrente</w:t>
      </w:r>
      <w:r w:rsidRPr="00A4521A">
        <w:rPr>
          <w:rFonts w:ascii="Palatino Linotype" w:hAnsi="Palatino Linotype" w:cs="Arial"/>
        </w:rPr>
        <w:t>, en términos del Considerando CUARTO de esta resolución.</w:t>
      </w:r>
    </w:p>
    <w:p w14:paraId="21946523" w14:textId="77777777" w:rsidR="00CA210B" w:rsidRDefault="00FE547A" w:rsidP="00CA210B">
      <w:pPr>
        <w:pStyle w:val="Prrafodelista"/>
        <w:widowControl w:val="0"/>
        <w:tabs>
          <w:tab w:val="left" w:pos="1701"/>
        </w:tabs>
        <w:autoSpaceDE w:val="0"/>
        <w:autoSpaceDN w:val="0"/>
        <w:adjustRightInd w:val="0"/>
        <w:spacing w:line="360" w:lineRule="auto"/>
        <w:ind w:left="0"/>
        <w:jc w:val="both"/>
        <w:rPr>
          <w:rFonts w:ascii="Palatino Linotype" w:hAnsi="Palatino Linotype" w:cs="Arial"/>
        </w:rPr>
      </w:pPr>
      <w:r w:rsidRPr="00A4521A">
        <w:rPr>
          <w:rFonts w:ascii="Palatino Linotype" w:hAnsi="Palatino Linotype" w:cs="Arial"/>
          <w:b/>
          <w:sz w:val="28"/>
        </w:rPr>
        <w:t xml:space="preserve">SEGUNDO. </w:t>
      </w:r>
      <w:r w:rsidRPr="00A4521A">
        <w:rPr>
          <w:rFonts w:ascii="Palatino Linotype" w:hAnsi="Palatino Linotype" w:cs="Arial"/>
        </w:rPr>
        <w:t>Se</w:t>
      </w:r>
      <w:r w:rsidRPr="00A4521A">
        <w:rPr>
          <w:rFonts w:ascii="Palatino Linotype" w:hAnsi="Palatino Linotype" w:cs="Arial"/>
          <w:b/>
        </w:rPr>
        <w:t xml:space="preserve"> ORDENA </w:t>
      </w:r>
      <w:r w:rsidRPr="00A4521A">
        <w:rPr>
          <w:rFonts w:ascii="Palatino Linotype" w:hAnsi="Palatino Linotype" w:cs="Arial"/>
        </w:rPr>
        <w:t xml:space="preserve">al </w:t>
      </w:r>
      <w:r w:rsidR="009435F0">
        <w:rPr>
          <w:rFonts w:ascii="Palatino Linotype" w:hAnsi="Palatino Linotype" w:cs="Arial"/>
          <w:b/>
        </w:rPr>
        <w:t>Sistema Municipal Para el Desarrollo Integral de la Familia de Tecámac</w:t>
      </w:r>
      <w:r w:rsidRPr="00A4521A">
        <w:rPr>
          <w:rFonts w:ascii="Palatino Linotype" w:hAnsi="Palatino Linotype" w:cs="Arial"/>
          <w:b/>
        </w:rPr>
        <w:t xml:space="preserve">, </w:t>
      </w:r>
      <w:r w:rsidR="00CA210B">
        <w:rPr>
          <w:rFonts w:ascii="Palatino Linotype" w:hAnsi="Palatino Linotype" w:cs="Arial"/>
        </w:rPr>
        <w:t xml:space="preserve">atienda </w:t>
      </w:r>
      <w:r w:rsidRPr="00A4521A">
        <w:rPr>
          <w:rFonts w:ascii="Palatino Linotype" w:hAnsi="Palatino Linotype" w:cs="Arial"/>
        </w:rPr>
        <w:t xml:space="preserve">la solicitud de información número </w:t>
      </w:r>
      <w:r w:rsidR="009435F0">
        <w:rPr>
          <w:rFonts w:ascii="Palatino Linotype" w:eastAsiaTheme="minorEastAsia" w:hAnsi="Palatino Linotype" w:cs="Arial"/>
          <w:b/>
          <w:sz w:val="22"/>
          <w:szCs w:val="22"/>
          <w:lang w:val="es-MX"/>
        </w:rPr>
        <w:t>00011/DIFTECAMAC/IP/2021</w:t>
      </w:r>
      <w:r w:rsidRPr="00A4521A">
        <w:rPr>
          <w:rFonts w:ascii="Palatino Linotype" w:eastAsiaTheme="minorEastAsia" w:hAnsi="Palatino Linotype" w:cs="Arial"/>
          <w:b/>
          <w:sz w:val="22"/>
          <w:szCs w:val="22"/>
          <w:lang w:val="es-MX"/>
        </w:rPr>
        <w:t xml:space="preserve">, </w:t>
      </w:r>
      <w:r w:rsidR="00CA210B" w:rsidRPr="00CA210B">
        <w:rPr>
          <w:rFonts w:ascii="Palatino Linotype" w:eastAsiaTheme="minorEastAsia" w:hAnsi="Palatino Linotype" w:cs="Arial"/>
          <w:sz w:val="22"/>
          <w:szCs w:val="22"/>
          <w:lang w:val="es-MX"/>
        </w:rPr>
        <w:t xml:space="preserve">y haga entrega </w:t>
      </w:r>
      <w:r w:rsidR="00CA210B">
        <w:rPr>
          <w:rFonts w:ascii="Palatino Linotype" w:hAnsi="Palatino Linotype" w:cs="Arial"/>
        </w:rPr>
        <w:t xml:space="preserve">vía SAIMEX en versión pública de resultar procedente, </w:t>
      </w:r>
      <w:r w:rsidR="00CA210B" w:rsidRPr="000D40FE">
        <w:rPr>
          <w:rFonts w:ascii="Palatino Linotype" w:hAnsi="Palatino Linotype" w:cs="Arial"/>
        </w:rPr>
        <w:t xml:space="preserve">en términos del Considerando </w:t>
      </w:r>
      <w:r w:rsidR="00CA210B">
        <w:rPr>
          <w:rFonts w:ascii="Palatino Linotype" w:hAnsi="Palatino Linotype" w:cs="Arial"/>
        </w:rPr>
        <w:t xml:space="preserve">CUARTO y QUINTO </w:t>
      </w:r>
      <w:r w:rsidR="00CA210B" w:rsidRPr="000D40FE">
        <w:rPr>
          <w:rFonts w:ascii="Palatino Linotype" w:hAnsi="Palatino Linotype" w:cs="Arial"/>
        </w:rPr>
        <w:t xml:space="preserve">de esta resolución, </w:t>
      </w:r>
      <w:r w:rsidR="00CA210B">
        <w:rPr>
          <w:rFonts w:ascii="Palatino Linotype" w:hAnsi="Palatino Linotype" w:cs="Arial"/>
        </w:rPr>
        <w:t>de lo siguiente:</w:t>
      </w:r>
    </w:p>
    <w:p w14:paraId="65E590BB" w14:textId="4405EF16" w:rsidR="0020278E" w:rsidRPr="0020278E" w:rsidRDefault="0020278E" w:rsidP="00CA210B">
      <w:pPr>
        <w:pStyle w:val="Prrafodelista"/>
        <w:widowControl w:val="0"/>
        <w:numPr>
          <w:ilvl w:val="0"/>
          <w:numId w:val="24"/>
        </w:numPr>
        <w:tabs>
          <w:tab w:val="left" w:pos="1701"/>
        </w:tabs>
        <w:autoSpaceDE w:val="0"/>
        <w:autoSpaceDN w:val="0"/>
        <w:adjustRightInd w:val="0"/>
        <w:spacing w:before="240" w:after="240" w:line="360" w:lineRule="auto"/>
        <w:ind w:left="714" w:hanging="357"/>
        <w:jc w:val="both"/>
        <w:rPr>
          <w:rFonts w:ascii="Palatino Linotype" w:hAnsi="Palatino Linotype" w:cs="Arial"/>
        </w:rPr>
      </w:pPr>
      <w:r>
        <w:rPr>
          <w:rFonts w:ascii="Palatino Linotype" w:hAnsi="Palatino Linotype"/>
          <w:b/>
          <w:bCs/>
          <w:sz w:val="22"/>
          <w:szCs w:val="22"/>
        </w:rPr>
        <w:t>D</w:t>
      </w:r>
      <w:r w:rsidRPr="00275423">
        <w:rPr>
          <w:rFonts w:ascii="Palatino Linotype" w:hAnsi="Palatino Linotype"/>
          <w:b/>
          <w:bCs/>
          <w:sz w:val="22"/>
          <w:szCs w:val="22"/>
        </w:rPr>
        <w:t>el Titular de la Unidad de Transparencia</w:t>
      </w:r>
      <w:r>
        <w:rPr>
          <w:rFonts w:ascii="Palatino Linotype" w:hAnsi="Palatino Linotype"/>
          <w:b/>
          <w:bCs/>
          <w:sz w:val="22"/>
          <w:szCs w:val="22"/>
        </w:rPr>
        <w:t>, c</w:t>
      </w:r>
      <w:r w:rsidRPr="00275423">
        <w:rPr>
          <w:rFonts w:ascii="Palatino Linotype" w:hAnsi="Palatino Linotype"/>
          <w:b/>
          <w:bCs/>
          <w:sz w:val="22"/>
          <w:szCs w:val="22"/>
        </w:rPr>
        <w:t>ertifica</w:t>
      </w:r>
      <w:r>
        <w:rPr>
          <w:rFonts w:ascii="Palatino Linotype" w:hAnsi="Palatino Linotype"/>
          <w:b/>
          <w:bCs/>
          <w:sz w:val="22"/>
          <w:szCs w:val="22"/>
        </w:rPr>
        <w:t>do de competencia</w:t>
      </w:r>
      <w:r w:rsidRPr="00275423">
        <w:rPr>
          <w:rFonts w:ascii="Palatino Linotype" w:hAnsi="Palatino Linotype"/>
          <w:b/>
          <w:bCs/>
          <w:sz w:val="22"/>
          <w:szCs w:val="22"/>
        </w:rPr>
        <w:t xml:space="preserve"> en materia de acceso a la información</w:t>
      </w:r>
      <w:r>
        <w:rPr>
          <w:rFonts w:ascii="Palatino Linotype" w:hAnsi="Palatino Linotype"/>
          <w:b/>
          <w:bCs/>
          <w:sz w:val="22"/>
          <w:szCs w:val="22"/>
        </w:rPr>
        <w:t xml:space="preserve"> </w:t>
      </w:r>
      <w:r w:rsidRPr="00275423">
        <w:rPr>
          <w:rFonts w:ascii="Palatino Linotype" w:hAnsi="Palatino Linotype"/>
          <w:b/>
          <w:bCs/>
          <w:sz w:val="22"/>
          <w:szCs w:val="22"/>
        </w:rPr>
        <w:t>y protección de datos personales,</w:t>
      </w:r>
      <w:r>
        <w:rPr>
          <w:rFonts w:ascii="Palatino Linotype" w:hAnsi="Palatino Linotype"/>
          <w:b/>
          <w:bCs/>
          <w:sz w:val="22"/>
          <w:szCs w:val="22"/>
        </w:rPr>
        <w:t xml:space="preserve"> emitido por el Infoem.</w:t>
      </w:r>
    </w:p>
    <w:p w14:paraId="0995B2E3" w14:textId="476D9D26" w:rsidR="0020278E" w:rsidRPr="004B328E" w:rsidRDefault="0020278E" w:rsidP="00CA210B">
      <w:pPr>
        <w:pStyle w:val="Prrafodelista"/>
        <w:widowControl w:val="0"/>
        <w:numPr>
          <w:ilvl w:val="0"/>
          <w:numId w:val="24"/>
        </w:numPr>
        <w:tabs>
          <w:tab w:val="left" w:pos="1701"/>
        </w:tabs>
        <w:autoSpaceDE w:val="0"/>
        <w:autoSpaceDN w:val="0"/>
        <w:adjustRightInd w:val="0"/>
        <w:spacing w:before="240" w:after="240" w:line="360" w:lineRule="auto"/>
        <w:jc w:val="both"/>
        <w:rPr>
          <w:rFonts w:ascii="Palatino Linotype" w:hAnsi="Palatino Linotype" w:cs="Arial"/>
          <w:b/>
        </w:rPr>
      </w:pPr>
      <w:r>
        <w:rPr>
          <w:rFonts w:ascii="Palatino Linotype" w:hAnsi="Palatino Linotype"/>
          <w:b/>
          <w:bCs/>
          <w:sz w:val="22"/>
          <w:szCs w:val="22"/>
        </w:rPr>
        <w:t xml:space="preserve">De la Tesorera, </w:t>
      </w:r>
      <w:r w:rsidR="009B583A">
        <w:rPr>
          <w:rFonts w:ascii="Palatino Linotype" w:hAnsi="Palatino Linotype"/>
          <w:b/>
        </w:rPr>
        <w:t>certificado</w:t>
      </w:r>
      <w:r w:rsidRPr="009B583A">
        <w:rPr>
          <w:rFonts w:ascii="Palatino Linotype" w:hAnsi="Palatino Linotype"/>
          <w:b/>
        </w:rPr>
        <w:t xml:space="preserve"> de competencia laboral específica, correspondiente al puesto, expedida por el Instituto Hacendario del Estado de México o cualquier autoridad competente</w:t>
      </w:r>
      <w:r w:rsidR="009B583A">
        <w:rPr>
          <w:rFonts w:ascii="Palatino Linotype" w:hAnsi="Palatino Linotype"/>
          <w:b/>
        </w:rPr>
        <w:t>.</w:t>
      </w:r>
    </w:p>
    <w:p w14:paraId="23B869E5" w14:textId="4C347BF2" w:rsidR="004B328E" w:rsidRPr="001308D5" w:rsidRDefault="004B328E" w:rsidP="00CA210B">
      <w:pPr>
        <w:pStyle w:val="Prrafodelista"/>
        <w:widowControl w:val="0"/>
        <w:numPr>
          <w:ilvl w:val="0"/>
          <w:numId w:val="24"/>
        </w:numPr>
        <w:tabs>
          <w:tab w:val="left" w:pos="1701"/>
        </w:tabs>
        <w:autoSpaceDE w:val="0"/>
        <w:autoSpaceDN w:val="0"/>
        <w:adjustRightInd w:val="0"/>
        <w:spacing w:before="240" w:after="240" w:line="360" w:lineRule="auto"/>
        <w:jc w:val="both"/>
        <w:rPr>
          <w:rFonts w:ascii="Palatino Linotype" w:hAnsi="Palatino Linotype" w:cs="Arial"/>
          <w:b/>
        </w:rPr>
      </w:pPr>
      <w:r>
        <w:rPr>
          <w:rFonts w:ascii="Palatino Linotype" w:hAnsi="Palatino Linotype"/>
          <w:b/>
          <w:bCs/>
          <w:sz w:val="22"/>
          <w:szCs w:val="22"/>
        </w:rPr>
        <w:t>L</w:t>
      </w:r>
      <w:r w:rsidRPr="00D27A23">
        <w:rPr>
          <w:rFonts w:ascii="Palatino Linotype" w:hAnsi="Palatino Linotype"/>
          <w:b/>
        </w:rPr>
        <w:t>os</w:t>
      </w:r>
      <w:r>
        <w:rPr>
          <w:rFonts w:ascii="Palatino Linotype" w:hAnsi="Palatino Linotype"/>
        </w:rPr>
        <w:t xml:space="preserve"> </w:t>
      </w:r>
      <w:r>
        <w:rPr>
          <w:rFonts w:ascii="Palatino Linotype" w:hAnsi="Palatino Linotype"/>
          <w:b/>
          <w:lang w:val="es-MX" w:eastAsia="es-MX"/>
        </w:rPr>
        <w:t>P</w:t>
      </w:r>
      <w:r w:rsidRPr="00D27A23">
        <w:rPr>
          <w:rFonts w:ascii="Palatino Linotype" w:hAnsi="Palatino Linotype"/>
          <w:b/>
          <w:lang w:val="es-MX" w:eastAsia="es-MX"/>
        </w:rPr>
        <w:t>brm</w:t>
      </w:r>
      <w:r w:rsidR="00BA548A">
        <w:rPr>
          <w:rFonts w:ascii="Palatino Linotype" w:hAnsi="Palatino Linotype"/>
          <w:b/>
          <w:lang w:val="es-MX" w:eastAsia="es-MX"/>
        </w:rPr>
        <w:t>´s</w:t>
      </w:r>
      <w:r w:rsidRPr="00D27A23">
        <w:rPr>
          <w:rFonts w:ascii="Palatino Linotype" w:hAnsi="Palatino Linotype"/>
          <w:b/>
          <w:lang w:val="es-MX" w:eastAsia="es-MX"/>
        </w:rPr>
        <w:t xml:space="preserve"> de los Centros de Desarrollo Comunitario</w:t>
      </w:r>
      <w:r w:rsidR="00761490">
        <w:rPr>
          <w:rFonts w:ascii="Palatino Linotype" w:hAnsi="Palatino Linotype"/>
          <w:b/>
          <w:lang w:val="es-MX" w:eastAsia="es-MX"/>
        </w:rPr>
        <w:t xml:space="preserve"> y</w:t>
      </w:r>
      <w:r w:rsidRPr="00D27A23">
        <w:rPr>
          <w:rFonts w:ascii="Palatino Linotype" w:hAnsi="Palatino Linotype"/>
          <w:b/>
          <w:lang w:val="es-MX" w:eastAsia="es-MX"/>
        </w:rPr>
        <w:t xml:space="preserve"> Panteón Municipal</w:t>
      </w:r>
      <w:r w:rsidR="00761490">
        <w:rPr>
          <w:rFonts w:ascii="Palatino Linotype" w:hAnsi="Palatino Linotype"/>
          <w:b/>
          <w:lang w:val="es-MX" w:eastAsia="es-MX"/>
        </w:rPr>
        <w:t>,</w:t>
      </w:r>
      <w:r>
        <w:rPr>
          <w:rFonts w:ascii="Palatino Linotype" w:hAnsi="Palatino Linotype"/>
          <w:b/>
          <w:lang w:val="es-MX" w:eastAsia="es-MX"/>
        </w:rPr>
        <w:t xml:space="preserve"> generados entre el </w:t>
      </w:r>
      <w:r w:rsidRPr="004B328E">
        <w:rPr>
          <w:rFonts w:ascii="Palatino Linotype" w:hAnsi="Palatino Linotype"/>
          <w:b/>
        </w:rPr>
        <w:t>veintitrés de abril de dos mil veinte al veintitrés de abril de dos mil veintiuno</w:t>
      </w:r>
      <w:r>
        <w:rPr>
          <w:rFonts w:ascii="Palatino Linotype" w:hAnsi="Palatino Linotype"/>
          <w:b/>
        </w:rPr>
        <w:t>.</w:t>
      </w:r>
    </w:p>
    <w:p w14:paraId="4033DA98" w14:textId="1DC1B17E" w:rsidR="001308D5" w:rsidRPr="002439E4" w:rsidRDefault="001308D5" w:rsidP="00CA210B">
      <w:pPr>
        <w:pStyle w:val="Prrafodelista"/>
        <w:widowControl w:val="0"/>
        <w:numPr>
          <w:ilvl w:val="0"/>
          <w:numId w:val="24"/>
        </w:numPr>
        <w:tabs>
          <w:tab w:val="left" w:pos="1701"/>
        </w:tabs>
        <w:autoSpaceDE w:val="0"/>
        <w:autoSpaceDN w:val="0"/>
        <w:adjustRightInd w:val="0"/>
        <w:spacing w:before="240" w:after="240" w:line="360" w:lineRule="auto"/>
        <w:jc w:val="both"/>
        <w:rPr>
          <w:rFonts w:ascii="Palatino Linotype" w:hAnsi="Palatino Linotype" w:cs="Arial"/>
          <w:b/>
        </w:rPr>
      </w:pPr>
      <w:r>
        <w:rPr>
          <w:rFonts w:ascii="Palatino Linotype" w:hAnsi="Palatino Linotype"/>
          <w:b/>
          <w:bCs/>
          <w:sz w:val="22"/>
          <w:szCs w:val="22"/>
        </w:rPr>
        <w:t xml:space="preserve">La </w:t>
      </w:r>
      <w:r w:rsidRPr="006D1AB0">
        <w:rPr>
          <w:rFonts w:ascii="Palatino Linotype" w:hAnsi="Palatino Linotype"/>
          <w:b/>
          <w:lang w:val="es-MX" w:eastAsia="es-MX"/>
        </w:rPr>
        <w:t>Nomina</w:t>
      </w:r>
      <w:r>
        <w:rPr>
          <w:rFonts w:ascii="Palatino Linotype" w:hAnsi="Palatino Linotype"/>
          <w:b/>
          <w:lang w:val="es-MX" w:eastAsia="es-MX"/>
        </w:rPr>
        <w:t xml:space="preserve"> de la primera y segunda quincena de los meses de enero a </w:t>
      </w:r>
      <w:r>
        <w:rPr>
          <w:rFonts w:ascii="Palatino Linotype" w:hAnsi="Palatino Linotype"/>
          <w:b/>
          <w:lang w:val="es-MX" w:eastAsia="es-MX"/>
        </w:rPr>
        <w:lastRenderedPageBreak/>
        <w:t>diciembre de los años dos mil diecinueve y dos mil veinte, así como de enero, febrero y marzo de dos mil veintiuno.</w:t>
      </w:r>
    </w:p>
    <w:p w14:paraId="2553731E" w14:textId="55845BCF" w:rsidR="002439E4" w:rsidRPr="00CA210B" w:rsidRDefault="00EB403C" w:rsidP="00CA210B">
      <w:pPr>
        <w:pStyle w:val="Prrafodelista"/>
        <w:widowControl w:val="0"/>
        <w:numPr>
          <w:ilvl w:val="0"/>
          <w:numId w:val="24"/>
        </w:numPr>
        <w:tabs>
          <w:tab w:val="left" w:pos="1701"/>
        </w:tabs>
        <w:autoSpaceDE w:val="0"/>
        <w:autoSpaceDN w:val="0"/>
        <w:adjustRightInd w:val="0"/>
        <w:spacing w:before="240" w:after="240" w:line="360" w:lineRule="auto"/>
        <w:jc w:val="both"/>
        <w:rPr>
          <w:rFonts w:ascii="Palatino Linotype" w:hAnsi="Palatino Linotype" w:cs="Arial"/>
          <w:b/>
        </w:rPr>
      </w:pPr>
      <w:r>
        <w:rPr>
          <w:rFonts w:ascii="Palatino Linotype" w:hAnsi="Palatino Linotype"/>
          <w:b/>
          <w:lang w:val="es-MX" w:eastAsia="es-MX"/>
        </w:rPr>
        <w:t xml:space="preserve">El </w:t>
      </w:r>
      <w:r w:rsidRPr="00B00329">
        <w:rPr>
          <w:rFonts w:ascii="Palatino Linotype" w:hAnsi="Palatino Linotype"/>
          <w:b/>
          <w:lang w:val="es-MX" w:eastAsia="es-MX"/>
        </w:rPr>
        <w:t>padrón de beneficiarios de las tarjetas de apoyo en efectivo del año 2019, así como las Reglas de Operación</w:t>
      </w:r>
      <w:r w:rsidR="00DA05E7" w:rsidRPr="003B04CF">
        <w:rPr>
          <w:rFonts w:ascii="Palatino Linotype" w:eastAsia="Calibri" w:hAnsi="Palatino Linotype"/>
          <w:b/>
          <w:lang w:val="es-MX" w:eastAsia="en-US"/>
        </w:rPr>
        <w:t>.</w:t>
      </w:r>
    </w:p>
    <w:p w14:paraId="7AC1A790" w14:textId="7B821FD2" w:rsidR="00CA210B" w:rsidRPr="00CA210B" w:rsidRDefault="00CA210B" w:rsidP="00CA210B">
      <w:pPr>
        <w:pStyle w:val="Prrafodelista"/>
        <w:widowControl w:val="0"/>
        <w:numPr>
          <w:ilvl w:val="0"/>
          <w:numId w:val="24"/>
        </w:numPr>
        <w:tabs>
          <w:tab w:val="left" w:pos="1701"/>
        </w:tabs>
        <w:autoSpaceDE w:val="0"/>
        <w:autoSpaceDN w:val="0"/>
        <w:adjustRightInd w:val="0"/>
        <w:spacing w:before="240" w:after="240" w:line="360" w:lineRule="auto"/>
        <w:jc w:val="both"/>
        <w:rPr>
          <w:rFonts w:ascii="Palatino Linotype" w:hAnsi="Palatino Linotype" w:cs="Arial"/>
          <w:b/>
        </w:rPr>
      </w:pPr>
      <w:r>
        <w:rPr>
          <w:rFonts w:ascii="Palatino Linotype" w:hAnsi="Palatino Linotype" w:cs="Arial"/>
          <w:b/>
          <w:lang w:eastAsia="es-MX"/>
        </w:rPr>
        <w:t>E</w:t>
      </w:r>
      <w:r w:rsidRPr="00CA210B">
        <w:rPr>
          <w:rFonts w:ascii="Palatino Linotype" w:hAnsi="Palatino Linotype" w:cs="Arial"/>
          <w:b/>
          <w:lang w:eastAsia="es-MX"/>
        </w:rPr>
        <w:t xml:space="preserve">l soporte documental en el que conste, los viáticos </w:t>
      </w:r>
      <w:r>
        <w:rPr>
          <w:rFonts w:ascii="Palatino Linotype" w:hAnsi="Palatino Linotype" w:cs="Arial"/>
          <w:b/>
          <w:lang w:eastAsia="es-MX"/>
        </w:rPr>
        <w:t>destinado</w:t>
      </w:r>
      <w:r w:rsidRPr="00CA210B">
        <w:rPr>
          <w:rFonts w:ascii="Palatino Linotype" w:hAnsi="Palatino Linotype" w:cs="Arial"/>
          <w:b/>
          <w:lang w:eastAsia="es-MX"/>
        </w:rPr>
        <w:t>s a</w:t>
      </w:r>
      <w:r>
        <w:rPr>
          <w:rFonts w:ascii="Palatino Linotype" w:hAnsi="Palatino Linotype" w:cs="Arial"/>
          <w:b/>
          <w:lang w:eastAsia="es-MX"/>
        </w:rPr>
        <w:t xml:space="preserve"> la</w:t>
      </w:r>
      <w:r w:rsidRPr="00CA210B">
        <w:rPr>
          <w:rFonts w:ascii="Palatino Linotype" w:hAnsi="Palatino Linotype" w:cs="Arial"/>
          <w:b/>
          <w:lang w:eastAsia="es-MX"/>
        </w:rPr>
        <w:t xml:space="preserve"> T</w:t>
      </w:r>
      <w:r w:rsidRPr="00CA210B">
        <w:rPr>
          <w:rFonts w:ascii="Palatino Linotype" w:hAnsi="Palatino Linotype"/>
          <w:b/>
        </w:rPr>
        <w:t>esorería y Dirección de Administración</w:t>
      </w:r>
      <w:r>
        <w:rPr>
          <w:rFonts w:ascii="Palatino Linotype" w:hAnsi="Palatino Linotype"/>
          <w:b/>
        </w:rPr>
        <w:t xml:space="preserve">, por el periodo comprendido entre el </w:t>
      </w:r>
      <w:r w:rsidRPr="004B328E">
        <w:rPr>
          <w:rFonts w:ascii="Palatino Linotype" w:hAnsi="Palatino Linotype"/>
          <w:b/>
        </w:rPr>
        <w:t>veintitrés de abril de dos mil veinte al veintitrés de abril de dos mil veintiuno</w:t>
      </w:r>
      <w:r w:rsidR="007B6BEF">
        <w:rPr>
          <w:rFonts w:ascii="Palatino Linotype" w:hAnsi="Palatino Linotype"/>
          <w:b/>
        </w:rPr>
        <w:t>.</w:t>
      </w:r>
    </w:p>
    <w:p w14:paraId="5AD02D9B" w14:textId="2CC171EA" w:rsidR="009B583A" w:rsidRPr="009B583A" w:rsidRDefault="00657A5A" w:rsidP="009B583A">
      <w:pPr>
        <w:tabs>
          <w:tab w:val="left" w:pos="8080"/>
        </w:tabs>
        <w:spacing w:after="120"/>
        <w:jc w:val="both"/>
        <w:rPr>
          <w:rFonts w:ascii="Palatino Linotype" w:hAnsi="Palatino Linotype" w:cs="Arial"/>
          <w:i/>
          <w:sz w:val="20"/>
          <w:szCs w:val="20"/>
        </w:rPr>
      </w:pPr>
      <w:r w:rsidRPr="009B583A">
        <w:rPr>
          <w:rFonts w:ascii="Palatino Linotype" w:hAnsi="Palatino Linotype" w:cs="Arial"/>
          <w:i/>
          <w:sz w:val="20"/>
          <w:szCs w:val="20"/>
        </w:rPr>
        <w:t>Para la</w:t>
      </w:r>
      <w:r w:rsidR="009B583A" w:rsidRPr="009B583A">
        <w:rPr>
          <w:rFonts w:ascii="Palatino Linotype" w:hAnsi="Palatino Linotype" w:cs="Arial"/>
          <w:i/>
          <w:sz w:val="20"/>
          <w:szCs w:val="20"/>
        </w:rPr>
        <w:t xml:space="preserve"> entrega en versión pública, deberá emitir el Acuerdo del Comité de Transparencia en términos de la Ley de Transparencia y Acceso a la Información Pública del Estado de México y Municipios, en el que funde y motive las razones sobre los datos que se supriman o eliminen y se ponga a disposición del </w:t>
      </w:r>
      <w:r w:rsidR="009B583A" w:rsidRPr="009B583A">
        <w:rPr>
          <w:rFonts w:ascii="Palatino Linotype" w:hAnsi="Palatino Linotype" w:cs="Arial"/>
          <w:b/>
          <w:i/>
          <w:sz w:val="20"/>
          <w:szCs w:val="20"/>
        </w:rPr>
        <w:t>Recurrente</w:t>
      </w:r>
      <w:r w:rsidR="009B583A" w:rsidRPr="009B583A">
        <w:rPr>
          <w:rFonts w:ascii="Palatino Linotype" w:hAnsi="Palatino Linotype" w:cs="Arial"/>
          <w:i/>
          <w:sz w:val="20"/>
          <w:szCs w:val="20"/>
        </w:rPr>
        <w:t>.</w:t>
      </w:r>
    </w:p>
    <w:p w14:paraId="7F72711E" w14:textId="5ED0EF45" w:rsidR="009B583A" w:rsidRDefault="009B583A" w:rsidP="009B583A">
      <w:pPr>
        <w:jc w:val="both"/>
        <w:rPr>
          <w:rFonts w:ascii="Palatino Linotype" w:hAnsi="Palatino Linotype" w:cs="Arial"/>
          <w:i/>
          <w:sz w:val="20"/>
          <w:szCs w:val="20"/>
        </w:rPr>
      </w:pPr>
      <w:r w:rsidRPr="009B583A">
        <w:rPr>
          <w:rFonts w:ascii="Palatino Linotype" w:hAnsi="Palatino Linotype" w:cs="Arial"/>
          <w:i/>
          <w:sz w:val="20"/>
          <w:szCs w:val="20"/>
        </w:rPr>
        <w:t xml:space="preserve">En el caso de que la información ordenada </w:t>
      </w:r>
      <w:r>
        <w:rPr>
          <w:rFonts w:ascii="Palatino Linotype" w:hAnsi="Palatino Linotype" w:cs="Arial"/>
          <w:i/>
          <w:sz w:val="20"/>
          <w:szCs w:val="20"/>
        </w:rPr>
        <w:t xml:space="preserve">en los numerales 1 y 2 </w:t>
      </w:r>
      <w:r w:rsidRPr="009B583A">
        <w:rPr>
          <w:rFonts w:ascii="Palatino Linotype" w:hAnsi="Palatino Linotype" w:cs="Arial"/>
          <w:i/>
          <w:sz w:val="20"/>
          <w:szCs w:val="20"/>
        </w:rPr>
        <w:t>no obre en los archivos del Sujeto Obligado, con la finalidad de dar certeza al Recurrente, el Sujeto Obligado deberá emitir una resolución en la que se decrete la inexistencia de la información por parte del Comité de Transparencia en términos de lo que señalan los artículos 49 fracciones II y XIII, 169 fracción II y 170 de la Ley de Transparencia y Acceso a la Información Pública del Estado de México y Municipios, el cual habrá de hacerse del conocimiento del Recurrente.</w:t>
      </w:r>
    </w:p>
    <w:p w14:paraId="4D8B22B4" w14:textId="5F70D2E6" w:rsidR="00DA05E7" w:rsidRDefault="00DA05E7" w:rsidP="009B583A">
      <w:pPr>
        <w:jc w:val="both"/>
        <w:rPr>
          <w:rFonts w:ascii="Palatino Linotype" w:hAnsi="Palatino Linotype" w:cs="Arial"/>
          <w:i/>
          <w:sz w:val="20"/>
          <w:szCs w:val="20"/>
        </w:rPr>
      </w:pPr>
    </w:p>
    <w:p w14:paraId="00A04D2E" w14:textId="77777777" w:rsidR="00FE547A" w:rsidRPr="00A4521A" w:rsidRDefault="00FE547A" w:rsidP="00FE547A">
      <w:pPr>
        <w:autoSpaceDE w:val="0"/>
        <w:autoSpaceDN w:val="0"/>
        <w:adjustRightInd w:val="0"/>
        <w:spacing w:before="240" w:after="240" w:line="360" w:lineRule="auto"/>
        <w:jc w:val="both"/>
        <w:rPr>
          <w:rFonts w:ascii="Palatino Linotype" w:hAnsi="Palatino Linotype" w:cs="Arial"/>
          <w:lang w:val="es-MX" w:eastAsia="es-MX"/>
        </w:rPr>
      </w:pPr>
      <w:r w:rsidRPr="00A4521A">
        <w:rPr>
          <w:rFonts w:ascii="Palatino Linotype" w:hAnsi="Palatino Linotype" w:cs="Arial"/>
          <w:b/>
          <w:sz w:val="28"/>
          <w:szCs w:val="28"/>
          <w:lang w:val="es-MX" w:eastAsia="es-MX"/>
        </w:rPr>
        <w:t xml:space="preserve">TERCERO.  </w:t>
      </w:r>
      <w:r w:rsidRPr="00A4521A">
        <w:rPr>
          <w:rFonts w:ascii="Palatino Linotype" w:hAnsi="Palatino Linotype" w:cs="Arial"/>
          <w:b/>
          <w:lang w:val="es-MX" w:eastAsia="es-MX"/>
        </w:rPr>
        <w:t>Notifíquese,</w:t>
      </w:r>
      <w:r w:rsidRPr="00A4521A">
        <w:rPr>
          <w:rFonts w:ascii="Palatino Linotype" w:hAnsi="Palatino Linotype" w:cs="Arial"/>
          <w:b/>
          <w:sz w:val="28"/>
          <w:szCs w:val="28"/>
          <w:lang w:val="es-MX" w:eastAsia="es-MX"/>
        </w:rPr>
        <w:t xml:space="preserve"> </w:t>
      </w:r>
      <w:r w:rsidRPr="00A4521A">
        <w:rPr>
          <w:rFonts w:ascii="Palatino Linotype" w:hAnsi="Palatino Linotype" w:cs="Arial"/>
          <w:lang w:val="es-MX" w:eastAsia="es-MX"/>
        </w:rPr>
        <w:t>al Responsable de la Unidad de Transparencia del Sujeto Obligado,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6F672FC4" w14:textId="4A0BB7D2" w:rsidR="00C7286C" w:rsidRDefault="00C7286C" w:rsidP="007B6BEF">
      <w:pPr>
        <w:pStyle w:val="NormalWeb"/>
        <w:spacing w:before="0" w:beforeAutospacing="0" w:after="0" w:afterAutospacing="0" w:line="360" w:lineRule="auto"/>
        <w:jc w:val="both"/>
        <w:textAlignment w:val="baseline"/>
        <w:rPr>
          <w:rFonts w:ascii="Palatino Linotype" w:hAnsi="Palatino Linotype" w:cs="Arial"/>
        </w:rPr>
      </w:pPr>
      <w:r w:rsidRPr="00A4521A">
        <w:rPr>
          <w:rFonts w:ascii="Palatino Linotype" w:hAnsi="Palatino Linotype" w:cs="Arial"/>
          <w:b/>
          <w:sz w:val="28"/>
          <w:szCs w:val="28"/>
        </w:rPr>
        <w:t xml:space="preserve">CUARTO. </w:t>
      </w:r>
      <w:r w:rsidRPr="00A4521A">
        <w:rPr>
          <w:rFonts w:ascii="Palatino Linotype" w:hAnsi="Palatino Linotype" w:cs="Arial"/>
          <w:b/>
        </w:rPr>
        <w:t>Notifíquese,</w:t>
      </w:r>
      <w:r w:rsidRPr="00A4521A">
        <w:rPr>
          <w:rFonts w:ascii="Palatino Linotype" w:hAnsi="Palatino Linotype" w:cs="Arial"/>
        </w:rPr>
        <w:t xml:space="preserve"> a</w:t>
      </w:r>
      <w:r w:rsidRPr="00A4521A">
        <w:rPr>
          <w:rFonts w:ascii="Palatino Linotype" w:hAnsi="Palatino Linotype" w:cs="Arial"/>
          <w:bCs/>
        </w:rPr>
        <w:t xml:space="preserve">l recurrente </w:t>
      </w:r>
      <w:r w:rsidRPr="00A4521A">
        <w:rPr>
          <w:rFonts w:ascii="Palatino Linotype" w:hAnsi="Palatino Linotype"/>
          <w:shd w:val="clear" w:color="auto" w:fill="FFFFFF"/>
        </w:rPr>
        <w:t xml:space="preserve">la presente resolución, así como, </w:t>
      </w:r>
      <w:r w:rsidRPr="00A4521A">
        <w:rPr>
          <w:rFonts w:ascii="Palatino Linotype" w:hAnsi="Palatino Linotype" w:cs="Arial"/>
          <w:bCs/>
        </w:rPr>
        <w:t xml:space="preserve">que podrá impugnarla vía Juicio de Amparo en los términos de las leyes aplicables, de </w:t>
      </w:r>
      <w:r w:rsidRPr="00A4521A">
        <w:rPr>
          <w:rFonts w:ascii="Palatino Linotype" w:hAnsi="Palatino Linotype" w:cs="Arial"/>
          <w:bCs/>
        </w:rPr>
        <w:lastRenderedPageBreak/>
        <w:t>conformidad con lo establecido en el artículo 196 de la Ley de Transparencia y Acceso a la Información Pública del Estado de México y Municipios.</w:t>
      </w:r>
      <w:r w:rsidRPr="00A4521A">
        <w:rPr>
          <w:rFonts w:ascii="Palatino Linotype" w:hAnsi="Palatino Linotype" w:cs="Arial"/>
        </w:rPr>
        <w:t xml:space="preserve"> </w:t>
      </w:r>
    </w:p>
    <w:p w14:paraId="64A06045" w14:textId="5B2501B7" w:rsidR="00C7286C" w:rsidRDefault="00C7286C" w:rsidP="00C7286C">
      <w:pPr>
        <w:spacing w:before="240" w:after="240" w:line="360" w:lineRule="auto"/>
        <w:jc w:val="both"/>
        <w:rPr>
          <w:rFonts w:ascii="Palatino Linotype" w:hAnsi="Palatino Linotype"/>
          <w:lang w:eastAsia="es-MX"/>
        </w:rPr>
      </w:pPr>
      <w:r w:rsidRPr="00747664">
        <w:rPr>
          <w:rFonts w:ascii="Palatino Linotype" w:hAnsi="Palatino Linotype" w:cs="Arial"/>
          <w:b/>
          <w:sz w:val="28"/>
          <w:szCs w:val="28"/>
        </w:rPr>
        <w:t>S</w:t>
      </w:r>
      <w:r>
        <w:rPr>
          <w:rFonts w:ascii="Palatino Linotype" w:hAnsi="Palatino Linotype" w:cs="Arial"/>
          <w:b/>
          <w:sz w:val="28"/>
          <w:szCs w:val="28"/>
        </w:rPr>
        <w:t>EXTO</w:t>
      </w:r>
      <w:r w:rsidRPr="00747664">
        <w:rPr>
          <w:rFonts w:ascii="Palatino Linotype" w:hAnsi="Palatino Linotype" w:cs="Arial"/>
          <w:b/>
          <w:sz w:val="28"/>
          <w:szCs w:val="28"/>
        </w:rPr>
        <w:t>.</w:t>
      </w:r>
      <w:r>
        <w:rPr>
          <w:rFonts w:ascii="Palatino Linotype" w:hAnsi="Palatino Linotype" w:cs="Arial"/>
          <w:b/>
          <w:sz w:val="28"/>
          <w:szCs w:val="28"/>
        </w:rPr>
        <w:t xml:space="preserve"> </w:t>
      </w:r>
      <w:r w:rsidR="000D4B8C" w:rsidRPr="00A4521A">
        <w:rPr>
          <w:rFonts w:ascii="Palatino Linotype" w:hAnsi="Palatino Linotype" w:cs="Arial"/>
          <w:b/>
        </w:rPr>
        <w:t>Notifíquese,</w:t>
      </w:r>
      <w:r w:rsidRPr="00A4521A">
        <w:rPr>
          <w:rFonts w:ascii="Palatino Linotype" w:hAnsi="Palatino Linotype"/>
          <w:b/>
          <w:szCs w:val="17"/>
          <w:lang w:eastAsia="es-ES_tradnl"/>
        </w:rPr>
        <w:t xml:space="preserve"> </w:t>
      </w:r>
      <w:r w:rsidR="000D4B8C">
        <w:rPr>
          <w:rFonts w:ascii="Palatino Linotype" w:hAnsi="Palatino Linotype"/>
          <w:szCs w:val="17"/>
          <w:lang w:eastAsia="es-ES_tradnl"/>
        </w:rPr>
        <w:t>a</w:t>
      </w:r>
      <w:r w:rsidRPr="00A4521A">
        <w:rPr>
          <w:rFonts w:ascii="Palatino Linotype" w:hAnsi="Palatino Linotype"/>
          <w:szCs w:val="17"/>
          <w:lang w:eastAsia="es-ES_tradnl"/>
        </w:rPr>
        <w:t xml:space="preserve">l </w:t>
      </w:r>
      <w:r w:rsidRPr="00A4521A">
        <w:rPr>
          <w:rFonts w:ascii="Palatino Linotype" w:hAnsi="Palatino Linotype"/>
          <w:b/>
          <w:i/>
          <w:szCs w:val="17"/>
          <w:lang w:eastAsia="es-ES_tradnl"/>
        </w:rPr>
        <w:t>Recurrente</w:t>
      </w:r>
      <w:r w:rsidRPr="00A4521A">
        <w:rPr>
          <w:rFonts w:ascii="Palatino Linotype" w:hAnsi="Palatino Linotype"/>
          <w:b/>
          <w:szCs w:val="17"/>
          <w:lang w:eastAsia="es-ES_tradnl"/>
        </w:rPr>
        <w:t xml:space="preserve"> </w:t>
      </w:r>
      <w:r w:rsidRPr="00A4521A">
        <w:rPr>
          <w:rFonts w:ascii="Palatino Linotype" w:hAnsi="Palatino Linotype"/>
          <w:szCs w:val="17"/>
          <w:lang w:eastAsia="es-ES_tradnl"/>
        </w:rPr>
        <w:t>que la respuesta del</w:t>
      </w:r>
      <w:r w:rsidRPr="00A4521A">
        <w:rPr>
          <w:rFonts w:ascii="Palatino Linotype" w:hAnsi="Palatino Linotype"/>
          <w:b/>
          <w:szCs w:val="17"/>
          <w:lang w:eastAsia="es-ES_tradnl"/>
        </w:rPr>
        <w:t xml:space="preserve"> Sujeto Obligado</w:t>
      </w:r>
      <w:r w:rsidRPr="00A4521A">
        <w:rPr>
          <w:rFonts w:ascii="Palatino Linotype" w:hAnsi="Palatino Linotype"/>
          <w:szCs w:val="17"/>
          <w:lang w:eastAsia="es-ES_tradnl"/>
        </w:rPr>
        <w:t xml:space="preserve"> derivada de la presente resolución, es susceptible de ser impugnada nuevamente, mediante recurso de revisión, ante el Instituto, en términos del artículo 179, último párrafo de la Ley </w:t>
      </w:r>
      <w:r w:rsidRPr="00A4521A">
        <w:rPr>
          <w:rFonts w:ascii="Palatino Linotype" w:hAnsi="Palatino Linotype"/>
          <w:lang w:eastAsia="es-MX"/>
        </w:rPr>
        <w:t>de Transparencia y Acceso a la Información Pública del Estado de México y Municipios.</w:t>
      </w:r>
    </w:p>
    <w:p w14:paraId="2AEF9094" w14:textId="77777777" w:rsidR="007B6BEF" w:rsidRDefault="007B6BEF" w:rsidP="000D4B8C">
      <w:pPr>
        <w:widowControl w:val="0"/>
        <w:tabs>
          <w:tab w:val="left" w:pos="1701"/>
        </w:tabs>
        <w:autoSpaceDE w:val="0"/>
        <w:autoSpaceDN w:val="0"/>
        <w:adjustRightInd w:val="0"/>
        <w:spacing w:before="240" w:after="240" w:line="360" w:lineRule="auto"/>
        <w:ind w:right="51"/>
        <w:jc w:val="both"/>
        <w:rPr>
          <w:rFonts w:ascii="Palatino Linotype" w:hAnsi="Palatino Linotype"/>
          <w:lang w:eastAsia="es-ES_tradnl"/>
        </w:rPr>
      </w:pPr>
      <w:r>
        <w:rPr>
          <w:rFonts w:ascii="Palatino Linotype" w:hAnsi="Palatino Linotype"/>
          <w:b/>
          <w:sz w:val="28"/>
          <w:szCs w:val="28"/>
          <w:lang w:eastAsia="es-MX"/>
        </w:rPr>
        <w:t xml:space="preserve">SÉPTIMO. </w:t>
      </w:r>
      <w:r w:rsidRPr="00930A49">
        <w:rPr>
          <w:rFonts w:ascii="Palatino Linotype" w:hAnsi="Palatino Linotype"/>
          <w:lang w:eastAsia="es-ES_tradnl"/>
        </w:rPr>
        <w:t>Con fundamento en el artículo 198 de la Ley de Transparencia y Acceso a la Información Pública del Estado de México y Municipios, se apercibe al Sujeto Obligado que, en caso de negarse a cumplir la presente resolución o hacerlo de manera parcial se actuará de conformidad con lo previsto en los artículos 213, 214, 216 y 217 de dicha Ley.</w:t>
      </w:r>
    </w:p>
    <w:p w14:paraId="00C5605B" w14:textId="77777777" w:rsidR="000D4B8C" w:rsidRPr="00930A49" w:rsidRDefault="000D4B8C" w:rsidP="007B6BEF">
      <w:pPr>
        <w:widowControl w:val="0"/>
        <w:tabs>
          <w:tab w:val="left" w:pos="1701"/>
        </w:tabs>
        <w:autoSpaceDE w:val="0"/>
        <w:autoSpaceDN w:val="0"/>
        <w:adjustRightInd w:val="0"/>
        <w:spacing w:before="240" w:after="240" w:line="360" w:lineRule="auto"/>
        <w:ind w:right="51"/>
        <w:contextualSpacing/>
        <w:jc w:val="both"/>
        <w:rPr>
          <w:rFonts w:ascii="Palatino Linotype" w:hAnsi="Palatino Linotype"/>
          <w:lang w:eastAsia="es-ES_tradnl"/>
        </w:rPr>
      </w:pPr>
    </w:p>
    <w:p w14:paraId="7CA8EAF6" w14:textId="77777777" w:rsidR="009E4512" w:rsidRDefault="009E4512" w:rsidP="007524D9">
      <w:pPr>
        <w:autoSpaceDE w:val="0"/>
        <w:autoSpaceDN w:val="0"/>
        <w:adjustRightInd w:val="0"/>
        <w:spacing w:before="240" w:after="240" w:line="360" w:lineRule="auto"/>
        <w:jc w:val="both"/>
        <w:rPr>
          <w:rFonts w:ascii="Palatino Linotype" w:hAnsi="Palatino Linotype" w:cs="Arial"/>
        </w:rPr>
      </w:pPr>
    </w:p>
    <w:p w14:paraId="11DB8D01" w14:textId="77777777" w:rsidR="007524D9" w:rsidRDefault="007524D9" w:rsidP="007524D9">
      <w:pPr>
        <w:autoSpaceDE w:val="0"/>
        <w:autoSpaceDN w:val="0"/>
        <w:adjustRightInd w:val="0"/>
        <w:spacing w:before="240" w:after="240" w:line="360" w:lineRule="auto"/>
        <w:jc w:val="both"/>
        <w:rPr>
          <w:rFonts w:ascii="Palatino Linotype" w:hAnsi="Palatino Linotype" w:cs="Arial"/>
        </w:rPr>
      </w:pPr>
      <w:r w:rsidRPr="00E843B1">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w:t>
      </w:r>
      <w:r w:rsidRPr="00201EE7">
        <w:rPr>
          <w:rFonts w:ascii="Palatino Linotype" w:hAnsi="Palatino Linotype" w:cs="Arial"/>
        </w:rPr>
        <w:t xml:space="preserve">; EN LA </w:t>
      </w:r>
      <w:r>
        <w:rPr>
          <w:rFonts w:ascii="Palatino Linotype" w:hAnsi="Palatino Linotype" w:cs="Arial"/>
        </w:rPr>
        <w:t>DÉCIMA SÉPTIMA</w:t>
      </w:r>
      <w:r w:rsidRPr="00201EE7">
        <w:rPr>
          <w:rFonts w:ascii="Palatino Linotype" w:hAnsi="Palatino Linotype" w:cs="Arial"/>
        </w:rPr>
        <w:t xml:space="preserve"> SESIÓN ORDINARIA CELEBRADA </w:t>
      </w:r>
      <w:r w:rsidRPr="00201EE7">
        <w:rPr>
          <w:rFonts w:ascii="Palatino Linotype" w:hAnsi="Palatino Linotype" w:cs="Arial"/>
        </w:rPr>
        <w:lastRenderedPageBreak/>
        <w:t xml:space="preserve">EL </w:t>
      </w:r>
      <w:r>
        <w:rPr>
          <w:rFonts w:ascii="Palatino Linotype" w:hAnsi="Palatino Linotype" w:cs="Arial"/>
        </w:rPr>
        <w:t>DIECINUEVE DE MAYO</w:t>
      </w:r>
      <w:r w:rsidRPr="00201EE7">
        <w:rPr>
          <w:rFonts w:ascii="Palatino Linotype" w:hAnsi="Palatino Linotype" w:cs="Arial"/>
        </w:rPr>
        <w:t xml:space="preserve"> DEL DOS MIL VEINT</w:t>
      </w:r>
      <w:r>
        <w:rPr>
          <w:rFonts w:ascii="Palatino Linotype" w:hAnsi="Palatino Linotype" w:cs="Arial"/>
        </w:rPr>
        <w:t>IUNO</w:t>
      </w:r>
      <w:r w:rsidRPr="00201EE7">
        <w:rPr>
          <w:rFonts w:ascii="Palatino Linotype" w:hAnsi="Palatino Linotype" w:cs="Arial"/>
        </w:rPr>
        <w:t>, ANTE EL SECRETARIO TÉCNICO DEL PLENO, ALEXIS TAPIA RAMÍREZ.</w:t>
      </w:r>
    </w:p>
    <w:p w14:paraId="080949F0" w14:textId="40A9CD35" w:rsidR="005F731E" w:rsidRDefault="005F731E" w:rsidP="006F54A9">
      <w:pPr>
        <w:pStyle w:val="Sinespaciado"/>
        <w:spacing w:before="240" w:after="240" w:line="360" w:lineRule="auto"/>
        <w:jc w:val="both"/>
        <w:rPr>
          <w:rFonts w:ascii="Palatino Linotype" w:hAnsi="Palatino Linotype" w:cs="Arial"/>
        </w:rPr>
      </w:pPr>
    </w:p>
    <w:p w14:paraId="4D324F08" w14:textId="0C18A23D" w:rsidR="005F731E" w:rsidRDefault="005F731E" w:rsidP="006F54A9">
      <w:pPr>
        <w:pStyle w:val="Sinespaciado"/>
        <w:spacing w:before="240" w:after="240" w:line="360" w:lineRule="auto"/>
        <w:jc w:val="both"/>
        <w:rPr>
          <w:rFonts w:ascii="Palatino Linotype" w:hAnsi="Palatino Linotype" w:cs="Arial"/>
        </w:rPr>
      </w:pPr>
    </w:p>
    <w:p w14:paraId="2814A739" w14:textId="134D64D3" w:rsidR="005F731E" w:rsidRDefault="005F731E" w:rsidP="006F54A9">
      <w:pPr>
        <w:pStyle w:val="Sinespaciado"/>
        <w:spacing w:before="240" w:after="240" w:line="360" w:lineRule="auto"/>
        <w:jc w:val="both"/>
        <w:rPr>
          <w:rFonts w:ascii="Palatino Linotype" w:hAnsi="Palatino Linotype" w:cs="Arial"/>
        </w:rPr>
      </w:pPr>
    </w:p>
    <w:p w14:paraId="1B21A6E1" w14:textId="0C89758A" w:rsidR="005F731E" w:rsidRDefault="005F731E" w:rsidP="006F54A9">
      <w:pPr>
        <w:pStyle w:val="Sinespaciado"/>
        <w:spacing w:before="240" w:after="240" w:line="360" w:lineRule="auto"/>
        <w:jc w:val="both"/>
        <w:rPr>
          <w:rFonts w:ascii="Palatino Linotype" w:hAnsi="Palatino Linotype" w:cs="Arial"/>
        </w:rPr>
      </w:pPr>
    </w:p>
    <w:p w14:paraId="106ED832" w14:textId="002B94C5" w:rsidR="005F731E" w:rsidRDefault="005F731E" w:rsidP="006F54A9">
      <w:pPr>
        <w:pStyle w:val="Sinespaciado"/>
        <w:spacing w:before="240" w:after="240" w:line="360" w:lineRule="auto"/>
        <w:jc w:val="both"/>
        <w:rPr>
          <w:rFonts w:ascii="Palatino Linotype" w:hAnsi="Palatino Linotype" w:cs="Arial"/>
        </w:rPr>
      </w:pPr>
    </w:p>
    <w:p w14:paraId="22F6FCF8" w14:textId="29982FAE" w:rsidR="005F731E" w:rsidRDefault="005F731E" w:rsidP="006F54A9">
      <w:pPr>
        <w:pStyle w:val="Sinespaciado"/>
        <w:spacing w:before="240" w:after="240" w:line="360" w:lineRule="auto"/>
        <w:jc w:val="both"/>
        <w:rPr>
          <w:rFonts w:ascii="Palatino Linotype" w:hAnsi="Palatino Linotype" w:cs="Arial"/>
        </w:rPr>
      </w:pPr>
    </w:p>
    <w:p w14:paraId="4E69EF6A" w14:textId="453C9900" w:rsidR="005F731E" w:rsidRDefault="005F731E" w:rsidP="006F54A9">
      <w:pPr>
        <w:pStyle w:val="Sinespaciado"/>
        <w:spacing w:before="240" w:after="240" w:line="360" w:lineRule="auto"/>
        <w:jc w:val="both"/>
        <w:rPr>
          <w:rFonts w:ascii="Palatino Linotype" w:hAnsi="Palatino Linotype" w:cs="Arial"/>
        </w:rPr>
      </w:pPr>
    </w:p>
    <w:p w14:paraId="40C67A74" w14:textId="1A63E959" w:rsidR="005F731E" w:rsidRDefault="005F731E" w:rsidP="006F54A9">
      <w:pPr>
        <w:pStyle w:val="Sinespaciado"/>
        <w:spacing w:before="240" w:after="240" w:line="360" w:lineRule="auto"/>
        <w:jc w:val="both"/>
        <w:rPr>
          <w:rFonts w:ascii="Palatino Linotype" w:hAnsi="Palatino Linotype" w:cs="Arial"/>
        </w:rPr>
      </w:pPr>
    </w:p>
    <w:p w14:paraId="05FBB9FA" w14:textId="6646DD7E" w:rsidR="005F731E" w:rsidRDefault="005F731E" w:rsidP="006F54A9">
      <w:pPr>
        <w:pStyle w:val="Sinespaciado"/>
        <w:spacing w:before="240" w:after="240" w:line="360" w:lineRule="auto"/>
        <w:jc w:val="both"/>
        <w:rPr>
          <w:rFonts w:ascii="Palatino Linotype" w:hAnsi="Palatino Linotype" w:cs="Arial"/>
        </w:rPr>
      </w:pPr>
    </w:p>
    <w:p w14:paraId="47AC08CF" w14:textId="39F1B635" w:rsidR="005F731E" w:rsidRDefault="005F731E" w:rsidP="006F54A9">
      <w:pPr>
        <w:pStyle w:val="Sinespaciado"/>
        <w:spacing w:before="240" w:after="240" w:line="360" w:lineRule="auto"/>
        <w:jc w:val="both"/>
        <w:rPr>
          <w:rFonts w:ascii="Palatino Linotype" w:hAnsi="Palatino Linotype" w:cs="Arial"/>
        </w:rPr>
      </w:pPr>
    </w:p>
    <w:p w14:paraId="08E7F4DC" w14:textId="2EBF15C6" w:rsidR="005F731E" w:rsidRDefault="005F731E" w:rsidP="006F54A9">
      <w:pPr>
        <w:pStyle w:val="Sinespaciado"/>
        <w:spacing w:before="240" w:after="240" w:line="360" w:lineRule="auto"/>
        <w:jc w:val="both"/>
        <w:rPr>
          <w:rFonts w:ascii="Palatino Linotype" w:hAnsi="Palatino Linotype" w:cs="Arial"/>
        </w:rPr>
      </w:pPr>
    </w:p>
    <w:p w14:paraId="73B315D5" w14:textId="77777777" w:rsidR="005F731E" w:rsidRPr="00A4521A" w:rsidRDefault="005F731E" w:rsidP="006F54A9">
      <w:pPr>
        <w:pStyle w:val="Sinespaciado"/>
        <w:spacing w:before="240" w:after="240" w:line="360" w:lineRule="auto"/>
        <w:jc w:val="both"/>
        <w:rPr>
          <w:rFonts w:ascii="Palatino Linotype" w:hAnsi="Palatino Linotype" w:cs="Arial"/>
        </w:rPr>
      </w:pPr>
    </w:p>
    <w:sectPr w:rsidR="005F731E" w:rsidRPr="00A4521A" w:rsidSect="002B62AF">
      <w:headerReference w:type="default" r:id="rId22"/>
      <w:footerReference w:type="default" r:id="rId23"/>
      <w:headerReference w:type="first" r:id="rId24"/>
      <w:footerReference w:type="first" r:id="rId2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60557C" w14:textId="77777777" w:rsidR="008171DA" w:rsidRDefault="008171DA" w:rsidP="00C80F8C">
      <w:r>
        <w:separator/>
      </w:r>
    </w:p>
  </w:endnote>
  <w:endnote w:type="continuationSeparator" w:id="0">
    <w:p w14:paraId="67C4AF79" w14:textId="77777777" w:rsidR="008171DA" w:rsidRDefault="008171DA"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Segoe UI">
    <w:panose1 w:val="020B0502040204020203"/>
    <w:charset w:val="00"/>
    <w:family w:val="swiss"/>
    <w:pitch w:val="variable"/>
    <w:sig w:usb0="E4002EFF" w:usb1="C000E47F"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okman Old Style,Bold">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4BD0B5" w14:textId="09B6FD8A" w:rsidR="000A39DA" w:rsidRDefault="000A39DA"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10741">
      <w:rPr>
        <w:rFonts w:ascii="Arial" w:hAnsi="Arial" w:cs="Arial"/>
        <w:b/>
        <w:bCs/>
        <w:noProof/>
        <w:sz w:val="20"/>
        <w:szCs w:val="20"/>
      </w:rPr>
      <w:t>4</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10741">
      <w:rPr>
        <w:rFonts w:ascii="Arial" w:hAnsi="Arial" w:cs="Arial"/>
        <w:b/>
        <w:bCs/>
        <w:noProof/>
        <w:sz w:val="20"/>
        <w:szCs w:val="20"/>
      </w:rPr>
      <w:t>61</w:t>
    </w:r>
    <w:r>
      <w:rPr>
        <w:rFonts w:ascii="Arial" w:hAnsi="Arial" w:cs="Arial"/>
        <w:b/>
        <w:bCs/>
        <w:sz w:val="20"/>
        <w:szCs w:val="20"/>
      </w:rPr>
      <w:fldChar w:fldCharType="end"/>
    </w:r>
  </w:p>
  <w:p w14:paraId="1192A578" w14:textId="77777777" w:rsidR="000A39DA" w:rsidRDefault="000A39DA" w:rsidP="00935A0D">
    <w:pPr>
      <w:pStyle w:val="Piedepgina"/>
      <w:rPr>
        <w:rFonts w:ascii="Times New Roman" w:hAnsi="Times New Roman" w:cs="Times New Roman"/>
      </w:rPr>
    </w:pPr>
  </w:p>
  <w:p w14:paraId="14A770F8" w14:textId="77777777" w:rsidR="000A39DA" w:rsidRDefault="000A39DA"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0B0BFC" w14:textId="63FA204E" w:rsidR="000A39DA" w:rsidRDefault="000A39DA" w:rsidP="00935A0D">
    <w:pPr>
      <w:pStyle w:val="Piedepgina"/>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110741">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110741">
      <w:rPr>
        <w:rFonts w:ascii="Arial" w:hAnsi="Arial" w:cs="Arial"/>
        <w:b/>
        <w:bCs/>
        <w:noProof/>
        <w:sz w:val="20"/>
        <w:szCs w:val="20"/>
      </w:rPr>
      <w:t>61</w:t>
    </w:r>
    <w:r>
      <w:rPr>
        <w:rFonts w:ascii="Arial" w:hAnsi="Arial" w:cs="Arial"/>
        <w:b/>
        <w:bCs/>
        <w:sz w:val="20"/>
        <w:szCs w:val="20"/>
      </w:rPr>
      <w:fldChar w:fldCharType="end"/>
    </w:r>
  </w:p>
  <w:p w14:paraId="5D98ABD5" w14:textId="5688D88C" w:rsidR="000A39DA" w:rsidRDefault="000A39D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0C9455" w14:textId="77777777" w:rsidR="008171DA" w:rsidRDefault="008171DA" w:rsidP="00C80F8C">
      <w:r>
        <w:separator/>
      </w:r>
    </w:p>
  </w:footnote>
  <w:footnote w:type="continuationSeparator" w:id="0">
    <w:p w14:paraId="72BE52D2" w14:textId="77777777" w:rsidR="008171DA" w:rsidRDefault="008171DA" w:rsidP="00C80F8C">
      <w:r>
        <w:continuationSeparator/>
      </w:r>
    </w:p>
  </w:footnote>
  <w:footnote w:id="1">
    <w:p w14:paraId="0EA84378" w14:textId="77777777" w:rsidR="000A39DA" w:rsidRPr="00553835" w:rsidRDefault="000A39DA" w:rsidP="008F6F27">
      <w:pPr>
        <w:pStyle w:val="Textonotapie"/>
        <w:rPr>
          <w:rFonts w:ascii="Palatino Linotype" w:hAnsi="Palatino Linotype"/>
          <w:sz w:val="16"/>
          <w:szCs w:val="16"/>
          <w:lang w:val="es-ES"/>
        </w:rPr>
      </w:pPr>
      <w:r>
        <w:rPr>
          <w:rStyle w:val="Refdenotaalpie"/>
        </w:rPr>
        <w:footnoteRef/>
      </w:r>
      <w:r>
        <w:t xml:space="preserve"> </w:t>
      </w:r>
      <w:r w:rsidRPr="00553835">
        <w:rPr>
          <w:rFonts w:ascii="Palatino Linotype" w:hAnsi="Palatino Linotype"/>
          <w:i/>
          <w:sz w:val="16"/>
          <w:szCs w:val="16"/>
          <w:lang w:val="es-ES"/>
        </w:rPr>
        <w:t xml:space="preserve">Cfr. </w:t>
      </w:r>
      <w:r w:rsidRPr="00553835">
        <w:rPr>
          <w:rFonts w:ascii="Palatino Linotype" w:hAnsi="Palatino Linotype"/>
          <w:sz w:val="16"/>
          <w:szCs w:val="16"/>
          <w:lang w:val="es-ES"/>
        </w:rPr>
        <w:t>Artículo 11 de la Ley de Transparencia y Acceso a la Información Pública del Estado de México y Municipios.</w:t>
      </w:r>
    </w:p>
  </w:footnote>
  <w:footnote w:id="2">
    <w:p w14:paraId="28655B96" w14:textId="4D18FC98" w:rsidR="00A454E6" w:rsidRPr="00A454E6" w:rsidRDefault="00A454E6" w:rsidP="00A454E6">
      <w:pPr>
        <w:pStyle w:val="Textonotapie"/>
        <w:jc w:val="both"/>
        <w:rPr>
          <w:sz w:val="16"/>
          <w:szCs w:val="16"/>
          <w:lang w:val="es-ES"/>
        </w:rPr>
      </w:pPr>
      <w:r>
        <w:rPr>
          <w:rStyle w:val="Refdenotaalpie"/>
        </w:rPr>
        <w:footnoteRef/>
      </w:r>
      <w:r>
        <w:t xml:space="preserve"> </w:t>
      </w:r>
      <w:r w:rsidRPr="00A454E6">
        <w:rPr>
          <w:rFonts w:ascii="Palatino Linotype" w:hAnsi="Palatino Linotype"/>
          <w:b/>
          <w:i/>
          <w:sz w:val="16"/>
          <w:szCs w:val="16"/>
        </w:rPr>
        <w:t>Periodo de búsqueda de la información, cuando no se precisa en la solicitud de información.</w:t>
      </w:r>
      <w:r w:rsidRPr="00A454E6">
        <w:rPr>
          <w:rFonts w:ascii="Palatino Linotype" w:hAnsi="Palatino Linotype"/>
          <w:i/>
          <w:sz w:val="16"/>
          <w:szCs w:val="16"/>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footnote>
  <w:footnote w:id="3">
    <w:p w14:paraId="4019C782" w14:textId="77777777" w:rsidR="000A39DA" w:rsidRDefault="000A39DA" w:rsidP="004C7623">
      <w:pPr>
        <w:pStyle w:val="Textonotapie"/>
        <w:jc w:val="both"/>
      </w:pPr>
      <w:r>
        <w:rPr>
          <w:rStyle w:val="Refdenotaalpie"/>
        </w:rPr>
        <w:footnoteRef/>
      </w:r>
      <w:r>
        <w:t xml:space="preserve"> </w:t>
      </w:r>
      <w:r w:rsidRPr="005A682E">
        <w:rPr>
          <w:rFonts w:ascii="Palatino Linotype" w:hAnsi="Palatino Linotype"/>
          <w:sz w:val="16"/>
          <w:szCs w:val="16"/>
        </w:rPr>
        <w:t>Fracción I, artículo 3 de la LEY QUE CREA LOS ORGANISMOS PÚBLICOS DESCENTRALIZADOS DE ASISTENCIA SOCIAL, DE CARÁCTER MUNICIPAL, DENOMINADOS "SISTEMAS MUNICIPALES PARA EL DESARROLLO INTEGRAL DE LA FAMILIA"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40" w:type="dxa"/>
      <w:tblInd w:w="3746" w:type="dxa"/>
      <w:tblLayout w:type="fixed"/>
      <w:tblLook w:val="04A0" w:firstRow="1" w:lastRow="0" w:firstColumn="1" w:lastColumn="0" w:noHBand="0" w:noVBand="1"/>
    </w:tblPr>
    <w:tblGrid>
      <w:gridCol w:w="2553"/>
      <w:gridCol w:w="3687"/>
    </w:tblGrid>
    <w:tr w:rsidR="000A39DA" w14:paraId="6B4E3B81" w14:textId="77777777" w:rsidTr="009D4854">
      <w:tc>
        <w:tcPr>
          <w:tcW w:w="2553" w:type="dxa"/>
          <w:vAlign w:val="center"/>
          <w:hideMark/>
        </w:tcPr>
        <w:p w14:paraId="0ABBC6C0" w14:textId="77777777" w:rsidR="000A39DA" w:rsidRDefault="000A39DA" w:rsidP="009D4854">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60C471CA" w14:textId="76A9DA2E" w:rsidR="000A39DA" w:rsidRDefault="000A39DA" w:rsidP="00602ED8">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03489/INFOEM/IP/RR/2020</w:t>
          </w:r>
        </w:p>
      </w:tc>
    </w:tr>
    <w:tr w:rsidR="000A39DA" w14:paraId="31CB780F" w14:textId="77777777" w:rsidTr="009D4854">
      <w:trPr>
        <w:trHeight w:val="228"/>
      </w:trPr>
      <w:tc>
        <w:tcPr>
          <w:tcW w:w="2553" w:type="dxa"/>
          <w:vAlign w:val="center"/>
          <w:hideMark/>
        </w:tcPr>
        <w:p w14:paraId="4F49CB4A" w14:textId="6966D32E" w:rsidR="000A39DA" w:rsidRDefault="000A39DA" w:rsidP="009D4854">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5D08B318" w14:textId="5BF95F7B" w:rsidR="000A39DA" w:rsidRDefault="000A39DA" w:rsidP="009435F0">
          <w:pPr>
            <w:jc w:val="both"/>
            <w:rPr>
              <w:rFonts w:ascii="Palatino Linotype" w:hAnsi="Palatino Linotype"/>
              <w:b/>
              <w:sz w:val="22"/>
              <w:szCs w:val="22"/>
              <w:lang w:val="es-ES_tradnl"/>
            </w:rPr>
          </w:pPr>
          <w:r w:rsidRPr="00777DCB">
            <w:rPr>
              <w:rFonts w:ascii="Palatino Linotype" w:hAnsi="Palatino Linotype"/>
              <w:b/>
              <w:bCs/>
              <w:color w:val="000000"/>
              <w:sz w:val="22"/>
              <w:szCs w:val="22"/>
            </w:rPr>
            <w:t xml:space="preserve">Sistema Municipal Para el Desarrollo Integral de la Familia de </w:t>
          </w:r>
          <w:r>
            <w:rPr>
              <w:rFonts w:ascii="Palatino Linotype" w:hAnsi="Palatino Linotype"/>
              <w:b/>
              <w:bCs/>
              <w:color w:val="000000"/>
              <w:sz w:val="22"/>
              <w:szCs w:val="22"/>
            </w:rPr>
            <w:t>Tecámac</w:t>
          </w:r>
        </w:p>
      </w:tc>
    </w:tr>
    <w:tr w:rsidR="000A39DA" w14:paraId="69050F56" w14:textId="77777777" w:rsidTr="009D4854">
      <w:tc>
        <w:tcPr>
          <w:tcW w:w="2553" w:type="dxa"/>
          <w:vAlign w:val="center"/>
          <w:hideMark/>
        </w:tcPr>
        <w:p w14:paraId="65C9B735" w14:textId="1D63BE86" w:rsidR="000A39DA" w:rsidRDefault="000A39DA" w:rsidP="009D4854">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6864B57" w14:textId="21E24F47" w:rsidR="000A39DA" w:rsidRDefault="000A39DA" w:rsidP="009D4854">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0F9141D0" w14:textId="201069CD" w:rsidR="000A39DA" w:rsidRDefault="000A39DA" w:rsidP="006F30F8">
    <w:pPr>
      <w:pStyle w:val="Encabezado"/>
      <w:tabs>
        <w:tab w:val="clear" w:pos="4252"/>
        <w:tab w:val="clear" w:pos="8504"/>
        <w:tab w:val="left" w:pos="2326"/>
      </w:tabs>
    </w:pPr>
    <w:r>
      <w:rPr>
        <w:noProof/>
        <w:lang w:val="es-MX" w:eastAsia="es-MX"/>
      </w:rPr>
      <w:drawing>
        <wp:anchor distT="0" distB="0" distL="114300" distR="114300" simplePos="0" relativeHeight="251661312" behindDoc="1" locked="0" layoutInCell="1" allowOverlap="1" wp14:anchorId="03775891" wp14:editId="5A193B52">
          <wp:simplePos x="0" y="0"/>
          <wp:positionH relativeFrom="page">
            <wp:align>left</wp:align>
          </wp:positionH>
          <wp:positionV relativeFrom="paragraph">
            <wp:posOffset>-955040</wp:posOffset>
          </wp:positionV>
          <wp:extent cx="7635600" cy="9943200"/>
          <wp:effectExtent l="0" t="0" r="3810" b="127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ab/>
    </w:r>
  </w:p>
  <w:p w14:paraId="23403E59" w14:textId="26F50012" w:rsidR="000A39DA" w:rsidRDefault="000A39DA" w:rsidP="006F30F8">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4E970C" w14:textId="0403AAC3" w:rsidR="000A39DA" w:rsidRDefault="000A39DA" w:rsidP="00C47D1B">
    <w:pPr>
      <w:pStyle w:val="Encabezado"/>
      <w:jc w:val="both"/>
    </w:pPr>
    <w:r>
      <w:rPr>
        <w:noProof/>
        <w:lang w:val="es-MX" w:eastAsia="es-MX"/>
      </w:rPr>
      <w:drawing>
        <wp:anchor distT="0" distB="0" distL="114300" distR="114300" simplePos="0" relativeHeight="251659264" behindDoc="1" locked="0" layoutInCell="1" allowOverlap="1" wp14:anchorId="1BBABE47" wp14:editId="51D3C150">
          <wp:simplePos x="0" y="0"/>
          <wp:positionH relativeFrom="page">
            <wp:align>left</wp:align>
          </wp:positionH>
          <wp:positionV relativeFrom="paragraph">
            <wp:posOffset>-343535</wp:posOffset>
          </wp:positionV>
          <wp:extent cx="7635600" cy="9943200"/>
          <wp:effectExtent l="0" t="0" r="3810" b="127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600" cy="9943200"/>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6240" w:type="dxa"/>
      <w:tblInd w:w="3685" w:type="dxa"/>
      <w:tblLayout w:type="fixed"/>
      <w:tblLook w:val="04A0" w:firstRow="1" w:lastRow="0" w:firstColumn="1" w:lastColumn="0" w:noHBand="0" w:noVBand="1"/>
    </w:tblPr>
    <w:tblGrid>
      <w:gridCol w:w="2553"/>
      <w:gridCol w:w="3687"/>
    </w:tblGrid>
    <w:tr w:rsidR="000A39DA" w14:paraId="477E149B" w14:textId="77777777" w:rsidTr="00C47D1B">
      <w:tc>
        <w:tcPr>
          <w:tcW w:w="2553" w:type="dxa"/>
          <w:vAlign w:val="center"/>
          <w:hideMark/>
        </w:tcPr>
        <w:p w14:paraId="5C0586E4" w14:textId="77777777" w:rsidR="000A39DA" w:rsidRDefault="000A39DA" w:rsidP="00C47D1B">
          <w:pPr>
            <w:rPr>
              <w:rFonts w:ascii="Palatino Linotype" w:hAnsi="Palatino Linotype"/>
              <w:b/>
              <w:sz w:val="22"/>
              <w:szCs w:val="22"/>
              <w:lang w:val="es-ES_tradnl"/>
            </w:rPr>
          </w:pPr>
          <w:r>
            <w:rPr>
              <w:rFonts w:ascii="Palatino Linotype" w:hAnsi="Palatino Linotype"/>
              <w:b/>
              <w:sz w:val="22"/>
              <w:szCs w:val="22"/>
              <w:lang w:val="es-ES_tradnl"/>
            </w:rPr>
            <w:t>Recurso de Revisión:</w:t>
          </w:r>
        </w:p>
      </w:tc>
      <w:tc>
        <w:tcPr>
          <w:tcW w:w="3687" w:type="dxa"/>
          <w:vAlign w:val="center"/>
          <w:hideMark/>
        </w:tcPr>
        <w:p w14:paraId="5B14C95E" w14:textId="19845C2F" w:rsidR="000A39DA" w:rsidRPr="004440AC" w:rsidRDefault="000A39DA" w:rsidP="00A377B0">
          <w:pPr>
            <w:rPr>
              <w:rFonts w:ascii="Palatino Linotype" w:hAnsi="Palatino Linotype"/>
              <w:b/>
              <w:sz w:val="22"/>
              <w:szCs w:val="22"/>
              <w:lang w:val="es-ES_tradnl"/>
            </w:rPr>
          </w:pPr>
          <w:r>
            <w:rPr>
              <w:rFonts w:ascii="Palatino Linotype" w:eastAsiaTheme="minorEastAsia" w:hAnsi="Palatino Linotype" w:cs="Arial"/>
              <w:b/>
              <w:bCs/>
              <w:sz w:val="22"/>
              <w:szCs w:val="22"/>
              <w:lang w:val="es-MX"/>
            </w:rPr>
            <w:t>03489/INFOEM/IP/RR/2021</w:t>
          </w:r>
        </w:p>
      </w:tc>
    </w:tr>
    <w:tr w:rsidR="000A39DA" w14:paraId="5B5BE21C" w14:textId="77777777" w:rsidTr="003C388A">
      <w:tc>
        <w:tcPr>
          <w:tcW w:w="2553" w:type="dxa"/>
          <w:vAlign w:val="center"/>
          <w:hideMark/>
        </w:tcPr>
        <w:p w14:paraId="4AE96902" w14:textId="4E063913" w:rsidR="000A39DA" w:rsidRDefault="000A39DA" w:rsidP="00C47D1B">
          <w:pPr>
            <w:rPr>
              <w:rFonts w:ascii="Palatino Linotype" w:hAnsi="Palatino Linotype"/>
              <w:b/>
              <w:sz w:val="22"/>
              <w:szCs w:val="22"/>
              <w:lang w:val="es-ES_tradnl"/>
            </w:rPr>
          </w:pPr>
          <w:r>
            <w:rPr>
              <w:rFonts w:ascii="Palatino Linotype" w:hAnsi="Palatino Linotype"/>
              <w:b/>
              <w:sz w:val="22"/>
              <w:szCs w:val="22"/>
              <w:lang w:val="es-ES_tradnl"/>
            </w:rPr>
            <w:t>Recurrente:</w:t>
          </w:r>
        </w:p>
      </w:tc>
      <w:tc>
        <w:tcPr>
          <w:tcW w:w="3687" w:type="dxa"/>
          <w:vAlign w:val="center"/>
        </w:tcPr>
        <w:p w14:paraId="776E3E60" w14:textId="7CAAD9B3" w:rsidR="000A39DA" w:rsidRPr="00B83E55" w:rsidRDefault="00110741" w:rsidP="00155789">
          <w:pPr>
            <w:rPr>
              <w:rFonts w:ascii="Palatino Linotype" w:hAnsi="Palatino Linotype"/>
              <w:b/>
              <w:sz w:val="22"/>
              <w:szCs w:val="22"/>
              <w:lang w:val="es-ES_tradnl"/>
            </w:rPr>
          </w:pPr>
          <w:r>
            <w:rPr>
              <w:rFonts w:ascii="Palatino Linotype" w:eastAsiaTheme="minorEastAsia" w:hAnsi="Palatino Linotype" w:cs="Arial"/>
              <w:b/>
              <w:sz w:val="22"/>
              <w:szCs w:val="22"/>
              <w:lang w:val="es-MX"/>
            </w:rPr>
            <w:t xml:space="preserve">XXXXXX XXXXX </w:t>
          </w:r>
        </w:p>
      </w:tc>
    </w:tr>
    <w:tr w:rsidR="000A39DA" w14:paraId="22601A11" w14:textId="77777777" w:rsidTr="00C47D1B">
      <w:trPr>
        <w:trHeight w:val="228"/>
      </w:trPr>
      <w:tc>
        <w:tcPr>
          <w:tcW w:w="2553" w:type="dxa"/>
          <w:vAlign w:val="center"/>
          <w:hideMark/>
        </w:tcPr>
        <w:p w14:paraId="6EFE221D" w14:textId="49C5F800" w:rsidR="000A39DA" w:rsidRDefault="000A39DA" w:rsidP="00C47D1B">
          <w:pPr>
            <w:rPr>
              <w:rFonts w:ascii="Palatino Linotype" w:hAnsi="Palatino Linotype"/>
              <w:b/>
              <w:sz w:val="22"/>
              <w:szCs w:val="22"/>
              <w:lang w:val="es-ES_tradnl"/>
            </w:rPr>
          </w:pPr>
          <w:r>
            <w:rPr>
              <w:rFonts w:ascii="Palatino Linotype" w:hAnsi="Palatino Linotype"/>
              <w:b/>
              <w:sz w:val="22"/>
              <w:szCs w:val="22"/>
              <w:lang w:val="es-ES_tradnl"/>
            </w:rPr>
            <w:t>Sujeto Obligado:</w:t>
          </w:r>
        </w:p>
      </w:tc>
      <w:tc>
        <w:tcPr>
          <w:tcW w:w="3687" w:type="dxa"/>
          <w:vAlign w:val="center"/>
          <w:hideMark/>
        </w:tcPr>
        <w:p w14:paraId="266F997D" w14:textId="125F4FDB" w:rsidR="000A39DA" w:rsidRPr="00777DCB" w:rsidRDefault="000A39DA" w:rsidP="009435F0">
          <w:pPr>
            <w:jc w:val="both"/>
            <w:rPr>
              <w:rFonts w:ascii="Palatino Linotype" w:hAnsi="Palatino Linotype"/>
              <w:b/>
              <w:sz w:val="22"/>
              <w:szCs w:val="22"/>
              <w:lang w:val="es-ES_tradnl"/>
            </w:rPr>
          </w:pPr>
          <w:r w:rsidRPr="00777DCB">
            <w:rPr>
              <w:rFonts w:ascii="Palatino Linotype" w:hAnsi="Palatino Linotype"/>
              <w:b/>
              <w:bCs/>
              <w:color w:val="000000"/>
              <w:sz w:val="22"/>
              <w:szCs w:val="22"/>
            </w:rPr>
            <w:t xml:space="preserve">Sistema Municipal Para el Desarrollo Integral de la Familia de </w:t>
          </w:r>
          <w:r>
            <w:rPr>
              <w:rFonts w:ascii="Palatino Linotype" w:hAnsi="Palatino Linotype"/>
              <w:b/>
              <w:bCs/>
              <w:color w:val="000000"/>
              <w:sz w:val="22"/>
              <w:szCs w:val="22"/>
            </w:rPr>
            <w:t>Tecámac</w:t>
          </w:r>
        </w:p>
      </w:tc>
    </w:tr>
    <w:tr w:rsidR="000A39DA" w14:paraId="2D6C630E" w14:textId="77777777" w:rsidTr="00C47D1B">
      <w:tc>
        <w:tcPr>
          <w:tcW w:w="2553" w:type="dxa"/>
          <w:vAlign w:val="center"/>
          <w:hideMark/>
        </w:tcPr>
        <w:p w14:paraId="5BD4C6DB" w14:textId="0BCA2C43" w:rsidR="000A39DA" w:rsidRDefault="000A39DA" w:rsidP="00777DCB">
          <w:pPr>
            <w:rPr>
              <w:rFonts w:ascii="Palatino Linotype" w:hAnsi="Palatino Linotype"/>
              <w:b/>
              <w:sz w:val="22"/>
              <w:szCs w:val="22"/>
              <w:lang w:val="es-ES_tradnl"/>
            </w:rPr>
          </w:pPr>
          <w:r>
            <w:rPr>
              <w:rFonts w:ascii="Palatino Linotype" w:hAnsi="Palatino Linotype"/>
              <w:b/>
              <w:sz w:val="22"/>
              <w:szCs w:val="22"/>
              <w:lang w:val="es-ES_tradnl"/>
            </w:rPr>
            <w:t>Comisionada ponente:</w:t>
          </w:r>
        </w:p>
      </w:tc>
      <w:tc>
        <w:tcPr>
          <w:tcW w:w="3687" w:type="dxa"/>
          <w:vAlign w:val="center"/>
          <w:hideMark/>
        </w:tcPr>
        <w:p w14:paraId="0CDDA0BE" w14:textId="54D95595" w:rsidR="000A39DA" w:rsidRPr="004440AC" w:rsidRDefault="000A39DA" w:rsidP="00777DCB">
          <w:pPr>
            <w:ind w:right="-533"/>
            <w:rPr>
              <w:rFonts w:ascii="Palatino Linotype" w:hAnsi="Palatino Linotype"/>
              <w:b/>
              <w:sz w:val="22"/>
              <w:szCs w:val="22"/>
              <w:lang w:val="es-ES_tradnl"/>
            </w:rPr>
          </w:pPr>
          <w:r>
            <w:rPr>
              <w:rFonts w:ascii="Palatino Linotype" w:hAnsi="Palatino Linotype"/>
              <w:b/>
              <w:sz w:val="22"/>
              <w:szCs w:val="22"/>
            </w:rPr>
            <w:t>Guadalupe Ramírez Peña</w:t>
          </w:r>
        </w:p>
      </w:tc>
    </w:tr>
  </w:tbl>
  <w:p w14:paraId="59DE3767" w14:textId="6FD10F8D" w:rsidR="000A39DA" w:rsidRDefault="000A39DA" w:rsidP="00C47D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B38D3"/>
    <w:multiLevelType w:val="hybridMultilevel"/>
    <w:tmpl w:val="5E8ED466"/>
    <w:lvl w:ilvl="0" w:tplc="05FC0DF6">
      <w:start w:val="1"/>
      <w:numFmt w:val="decimal"/>
      <w:lvlText w:val="%1."/>
      <w:lvlJc w:val="left"/>
      <w:pPr>
        <w:ind w:left="1500" w:hanging="360"/>
      </w:pPr>
      <w:rPr>
        <w:rFonts w:ascii="Palatino Linotype" w:hAnsi="Palatino Linotype" w:hint="default"/>
        <w:b/>
        <w:sz w:val="16"/>
      </w:rPr>
    </w:lvl>
    <w:lvl w:ilvl="1" w:tplc="080A0019" w:tentative="1">
      <w:start w:val="1"/>
      <w:numFmt w:val="lowerLetter"/>
      <w:lvlText w:val="%2."/>
      <w:lvlJc w:val="left"/>
      <w:pPr>
        <w:ind w:left="2220" w:hanging="360"/>
      </w:pPr>
    </w:lvl>
    <w:lvl w:ilvl="2" w:tplc="080A001B" w:tentative="1">
      <w:start w:val="1"/>
      <w:numFmt w:val="lowerRoman"/>
      <w:lvlText w:val="%3."/>
      <w:lvlJc w:val="right"/>
      <w:pPr>
        <w:ind w:left="2940" w:hanging="180"/>
      </w:pPr>
    </w:lvl>
    <w:lvl w:ilvl="3" w:tplc="080A000F" w:tentative="1">
      <w:start w:val="1"/>
      <w:numFmt w:val="decimal"/>
      <w:lvlText w:val="%4."/>
      <w:lvlJc w:val="left"/>
      <w:pPr>
        <w:ind w:left="3660" w:hanging="360"/>
      </w:pPr>
    </w:lvl>
    <w:lvl w:ilvl="4" w:tplc="080A0019" w:tentative="1">
      <w:start w:val="1"/>
      <w:numFmt w:val="lowerLetter"/>
      <w:lvlText w:val="%5."/>
      <w:lvlJc w:val="left"/>
      <w:pPr>
        <w:ind w:left="4380" w:hanging="360"/>
      </w:pPr>
    </w:lvl>
    <w:lvl w:ilvl="5" w:tplc="080A001B" w:tentative="1">
      <w:start w:val="1"/>
      <w:numFmt w:val="lowerRoman"/>
      <w:lvlText w:val="%6."/>
      <w:lvlJc w:val="right"/>
      <w:pPr>
        <w:ind w:left="5100" w:hanging="180"/>
      </w:pPr>
    </w:lvl>
    <w:lvl w:ilvl="6" w:tplc="080A000F" w:tentative="1">
      <w:start w:val="1"/>
      <w:numFmt w:val="decimal"/>
      <w:lvlText w:val="%7."/>
      <w:lvlJc w:val="left"/>
      <w:pPr>
        <w:ind w:left="5820" w:hanging="360"/>
      </w:pPr>
    </w:lvl>
    <w:lvl w:ilvl="7" w:tplc="080A0019" w:tentative="1">
      <w:start w:val="1"/>
      <w:numFmt w:val="lowerLetter"/>
      <w:lvlText w:val="%8."/>
      <w:lvlJc w:val="left"/>
      <w:pPr>
        <w:ind w:left="6540" w:hanging="360"/>
      </w:pPr>
    </w:lvl>
    <w:lvl w:ilvl="8" w:tplc="080A001B" w:tentative="1">
      <w:start w:val="1"/>
      <w:numFmt w:val="lowerRoman"/>
      <w:lvlText w:val="%9."/>
      <w:lvlJc w:val="right"/>
      <w:pPr>
        <w:ind w:left="7260" w:hanging="180"/>
      </w:pPr>
    </w:lvl>
  </w:abstractNum>
  <w:abstractNum w:abstractNumId="1" w15:restartNumberingAfterBreak="0">
    <w:nsid w:val="026D4F77"/>
    <w:multiLevelType w:val="hybridMultilevel"/>
    <w:tmpl w:val="99A830BA"/>
    <w:lvl w:ilvl="0" w:tplc="05FC0DF6">
      <w:start w:val="1"/>
      <w:numFmt w:val="decimal"/>
      <w:lvlText w:val="%1."/>
      <w:lvlJc w:val="left"/>
      <w:pPr>
        <w:ind w:left="720" w:hanging="360"/>
      </w:pPr>
      <w:rPr>
        <w:rFonts w:ascii="Palatino Linotype" w:hAnsi="Palatino Linotype" w:hint="default"/>
        <w:b/>
        <w:sz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803A28"/>
    <w:multiLevelType w:val="hybridMultilevel"/>
    <w:tmpl w:val="987444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EAD3D5C"/>
    <w:multiLevelType w:val="hybridMultilevel"/>
    <w:tmpl w:val="D8082ECA"/>
    <w:lvl w:ilvl="0" w:tplc="2278BED8">
      <w:start w:val="1"/>
      <w:numFmt w:val="decimal"/>
      <w:lvlText w:val="%1."/>
      <w:lvlJc w:val="left"/>
      <w:pPr>
        <w:ind w:left="720" w:hanging="360"/>
      </w:pPr>
      <w:rPr>
        <w:rFonts w:hint="default"/>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DC45B6"/>
    <w:multiLevelType w:val="hybridMultilevel"/>
    <w:tmpl w:val="2C06523C"/>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5" w15:restartNumberingAfterBreak="0">
    <w:nsid w:val="196035B8"/>
    <w:multiLevelType w:val="hybridMultilevel"/>
    <w:tmpl w:val="138E91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75C2D4D"/>
    <w:multiLevelType w:val="hybridMultilevel"/>
    <w:tmpl w:val="1DCEC674"/>
    <w:lvl w:ilvl="0" w:tplc="CBB0C4EA">
      <w:start w:val="1"/>
      <w:numFmt w:val="decimal"/>
      <w:lvlText w:val="%1."/>
      <w:lvlJc w:val="left"/>
      <w:pPr>
        <w:ind w:left="1080" w:hanging="360"/>
      </w:pPr>
      <w:rPr>
        <w:rFonts w:ascii="Palatino Linotype" w:hAnsi="Palatino Linotype" w:hint="default"/>
        <w:b/>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27F50A9F"/>
    <w:multiLevelType w:val="hybridMultilevel"/>
    <w:tmpl w:val="4F92E3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A343C8E"/>
    <w:multiLevelType w:val="hybridMultilevel"/>
    <w:tmpl w:val="2BEAF57E"/>
    <w:lvl w:ilvl="0" w:tplc="8A28831A">
      <w:start w:val="1"/>
      <w:numFmt w:val="decimal"/>
      <w:lvlText w:val="%1)"/>
      <w:lvlJc w:val="left"/>
      <w:pPr>
        <w:ind w:left="927" w:hanging="360"/>
      </w:pPr>
      <w:rPr>
        <w:rFonts w:ascii="Arial" w:eastAsia="Calibri" w:hAnsi="Arial" w:cs="Arial"/>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9" w15:restartNumberingAfterBreak="0">
    <w:nsid w:val="2BDD7BB8"/>
    <w:multiLevelType w:val="hybridMultilevel"/>
    <w:tmpl w:val="355ED67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4100F9B"/>
    <w:multiLevelType w:val="hybridMultilevel"/>
    <w:tmpl w:val="9E66557E"/>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11" w15:restartNumberingAfterBreak="0">
    <w:nsid w:val="352227D2"/>
    <w:multiLevelType w:val="hybridMultilevel"/>
    <w:tmpl w:val="CD12D6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66A38BE"/>
    <w:multiLevelType w:val="hybridMultilevel"/>
    <w:tmpl w:val="4F92E3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8010DE3"/>
    <w:multiLevelType w:val="hybridMultilevel"/>
    <w:tmpl w:val="ECE6B81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89F509E"/>
    <w:multiLevelType w:val="hybridMultilevel"/>
    <w:tmpl w:val="2C562C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2F54E3"/>
    <w:multiLevelType w:val="hybridMultilevel"/>
    <w:tmpl w:val="A086ACA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AE2897"/>
    <w:multiLevelType w:val="hybridMultilevel"/>
    <w:tmpl w:val="E31640E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FF94086"/>
    <w:multiLevelType w:val="hybridMultilevel"/>
    <w:tmpl w:val="360CCC6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3D72BE6"/>
    <w:multiLevelType w:val="hybridMultilevel"/>
    <w:tmpl w:val="AD5AE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42F67E9"/>
    <w:multiLevelType w:val="hybridMultilevel"/>
    <w:tmpl w:val="40C88E8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5643132"/>
    <w:multiLevelType w:val="hybridMultilevel"/>
    <w:tmpl w:val="3020A3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59AA12B8"/>
    <w:multiLevelType w:val="hybridMultilevel"/>
    <w:tmpl w:val="FB544EF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33001EC"/>
    <w:multiLevelType w:val="hybridMultilevel"/>
    <w:tmpl w:val="E3A4B52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4DB61B5"/>
    <w:multiLevelType w:val="hybridMultilevel"/>
    <w:tmpl w:val="1C7ACA34"/>
    <w:lvl w:ilvl="0" w:tplc="DE6C5B06">
      <w:start w:val="1"/>
      <w:numFmt w:val="upperRoman"/>
      <w:lvlText w:val="%1."/>
      <w:lvlJc w:val="left"/>
      <w:pPr>
        <w:ind w:left="1080" w:hanging="720"/>
      </w:pPr>
      <w:rPr>
        <w:rFonts w:hint="default"/>
      </w:rPr>
    </w:lvl>
    <w:lvl w:ilvl="1" w:tplc="E0E8D1C6">
      <w:start w:val="2"/>
      <w:numFmt w:val="bullet"/>
      <w:lvlText w:val="•"/>
      <w:lvlJc w:val="left"/>
      <w:pPr>
        <w:ind w:left="1440" w:hanging="360"/>
      </w:pPr>
      <w:rPr>
        <w:rFonts w:ascii="Palatino Linotype" w:eastAsia="Times New Roman" w:hAnsi="Palatino Linotype" w:cs="Tahoma"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65FB2DA2"/>
    <w:multiLevelType w:val="hybridMultilevel"/>
    <w:tmpl w:val="B5FE536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9DF6CE4"/>
    <w:multiLevelType w:val="hybridMultilevel"/>
    <w:tmpl w:val="8F44B03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0D60510"/>
    <w:multiLevelType w:val="hybridMultilevel"/>
    <w:tmpl w:val="63C29A3E"/>
    <w:lvl w:ilvl="0" w:tplc="0FEC2442">
      <w:start w:val="1"/>
      <w:numFmt w:val="ordinalText"/>
      <w:suff w:val="space"/>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76E798A"/>
    <w:multiLevelType w:val="hybridMultilevel"/>
    <w:tmpl w:val="E53A70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A6A132A"/>
    <w:multiLevelType w:val="hybridMultilevel"/>
    <w:tmpl w:val="E520C36A"/>
    <w:lvl w:ilvl="0" w:tplc="87CE9350">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0"/>
  </w:num>
  <w:num w:numId="3">
    <w:abstractNumId w:val="16"/>
  </w:num>
  <w:num w:numId="4">
    <w:abstractNumId w:val="14"/>
  </w:num>
  <w:num w:numId="5">
    <w:abstractNumId w:val="3"/>
  </w:num>
  <w:num w:numId="6">
    <w:abstractNumId w:val="13"/>
  </w:num>
  <w:num w:numId="7">
    <w:abstractNumId w:val="25"/>
  </w:num>
  <w:num w:numId="8">
    <w:abstractNumId w:val="12"/>
  </w:num>
  <w:num w:numId="9">
    <w:abstractNumId w:val="7"/>
  </w:num>
  <w:num w:numId="10">
    <w:abstractNumId w:val="24"/>
  </w:num>
  <w:num w:numId="11">
    <w:abstractNumId w:val="6"/>
  </w:num>
  <w:num w:numId="12">
    <w:abstractNumId w:val="11"/>
  </w:num>
  <w:num w:numId="13">
    <w:abstractNumId w:val="8"/>
  </w:num>
  <w:num w:numId="14">
    <w:abstractNumId w:val="0"/>
  </w:num>
  <w:num w:numId="15">
    <w:abstractNumId w:val="20"/>
  </w:num>
  <w:num w:numId="16">
    <w:abstractNumId w:val="18"/>
  </w:num>
  <w:num w:numId="17">
    <w:abstractNumId w:val="28"/>
  </w:num>
  <w:num w:numId="18">
    <w:abstractNumId w:val="21"/>
  </w:num>
  <w:num w:numId="19">
    <w:abstractNumId w:val="26"/>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
  </w:num>
  <w:num w:numId="22">
    <w:abstractNumId w:val="15"/>
  </w:num>
  <w:num w:numId="23">
    <w:abstractNumId w:val="9"/>
  </w:num>
  <w:num w:numId="24">
    <w:abstractNumId w:val="27"/>
  </w:num>
  <w:num w:numId="25">
    <w:abstractNumId w:val="22"/>
  </w:num>
  <w:num w:numId="26">
    <w:abstractNumId w:val="19"/>
  </w:num>
  <w:num w:numId="27">
    <w:abstractNumId w:val="4"/>
  </w:num>
  <w:num w:numId="28">
    <w:abstractNumId w:val="23"/>
  </w:num>
  <w:num w:numId="29">
    <w:abstractNumId w:val="17"/>
  </w:num>
  <w:num w:numId="30">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6" w:nlCheck="1" w:checkStyle="0"/>
  <w:activeWritingStyle w:appName="MSWord" w:lang="es-ES"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AR" w:vendorID="64" w:dllVersion="6" w:nlCheck="1" w:checkStyle="1"/>
  <w:activeWritingStyle w:appName="MSWord" w:lang="es-ES" w:vendorID="64" w:dllVersion="0" w:nlCheck="1" w:checkStyle="0"/>
  <w:activeWritingStyle w:appName="MSWord" w:lang="es-MX" w:vendorID="64" w:dllVersion="0" w:nlCheck="1" w:checkStyle="0"/>
  <w:activeWritingStyle w:appName="MSWord" w:lang="es-ES_tradnl"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s-ES" w:vendorID="64" w:dllVersion="131078" w:nlCheck="1" w:checkStyle="0"/>
  <w:activeWritingStyle w:appName="MSWord" w:lang="es-MX" w:vendorID="64" w:dllVersion="131078" w:nlCheck="1" w:checkStyle="0"/>
  <w:activeWritingStyle w:appName="MSWord" w:lang="es-ES_tradnl" w:vendorID="64" w:dllVersion="131078" w:nlCheck="1" w:checkStyle="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938"/>
    <w:rsid w:val="00000AC7"/>
    <w:rsid w:val="000011B5"/>
    <w:rsid w:val="00003170"/>
    <w:rsid w:val="00003255"/>
    <w:rsid w:val="000035AE"/>
    <w:rsid w:val="0000625E"/>
    <w:rsid w:val="000064FC"/>
    <w:rsid w:val="00007CF3"/>
    <w:rsid w:val="00007D6B"/>
    <w:rsid w:val="00011FE4"/>
    <w:rsid w:val="00012A5F"/>
    <w:rsid w:val="000155F8"/>
    <w:rsid w:val="000163E2"/>
    <w:rsid w:val="00017394"/>
    <w:rsid w:val="00017BE1"/>
    <w:rsid w:val="00020A18"/>
    <w:rsid w:val="00020FBB"/>
    <w:rsid w:val="00021E8D"/>
    <w:rsid w:val="0002371F"/>
    <w:rsid w:val="000239D7"/>
    <w:rsid w:val="00023C79"/>
    <w:rsid w:val="000252E9"/>
    <w:rsid w:val="00026705"/>
    <w:rsid w:val="00026D94"/>
    <w:rsid w:val="00031D34"/>
    <w:rsid w:val="0003385D"/>
    <w:rsid w:val="00034241"/>
    <w:rsid w:val="00035413"/>
    <w:rsid w:val="000354B7"/>
    <w:rsid w:val="000359D8"/>
    <w:rsid w:val="00035B1B"/>
    <w:rsid w:val="00035F2E"/>
    <w:rsid w:val="000360A7"/>
    <w:rsid w:val="00036575"/>
    <w:rsid w:val="00036B8A"/>
    <w:rsid w:val="00041D3E"/>
    <w:rsid w:val="00042350"/>
    <w:rsid w:val="000423C7"/>
    <w:rsid w:val="00042431"/>
    <w:rsid w:val="00043AE9"/>
    <w:rsid w:val="0004471E"/>
    <w:rsid w:val="00045FD8"/>
    <w:rsid w:val="00046DFC"/>
    <w:rsid w:val="0004750C"/>
    <w:rsid w:val="00047F41"/>
    <w:rsid w:val="00050B6B"/>
    <w:rsid w:val="000531EF"/>
    <w:rsid w:val="00056A11"/>
    <w:rsid w:val="00057073"/>
    <w:rsid w:val="00060CD1"/>
    <w:rsid w:val="00061B28"/>
    <w:rsid w:val="00062B1E"/>
    <w:rsid w:val="00062CC1"/>
    <w:rsid w:val="000646E3"/>
    <w:rsid w:val="000652AD"/>
    <w:rsid w:val="000655AC"/>
    <w:rsid w:val="000667E0"/>
    <w:rsid w:val="00066867"/>
    <w:rsid w:val="0006730A"/>
    <w:rsid w:val="00071462"/>
    <w:rsid w:val="00071A99"/>
    <w:rsid w:val="00072735"/>
    <w:rsid w:val="000752EF"/>
    <w:rsid w:val="00075D7A"/>
    <w:rsid w:val="00077347"/>
    <w:rsid w:val="00077788"/>
    <w:rsid w:val="0008304C"/>
    <w:rsid w:val="00083058"/>
    <w:rsid w:val="00083113"/>
    <w:rsid w:val="000831C8"/>
    <w:rsid w:val="0008387F"/>
    <w:rsid w:val="0008542A"/>
    <w:rsid w:val="00085DE5"/>
    <w:rsid w:val="00086447"/>
    <w:rsid w:val="00087498"/>
    <w:rsid w:val="00087514"/>
    <w:rsid w:val="000879EF"/>
    <w:rsid w:val="00090EBA"/>
    <w:rsid w:val="00091097"/>
    <w:rsid w:val="00091682"/>
    <w:rsid w:val="000922D4"/>
    <w:rsid w:val="00092DFC"/>
    <w:rsid w:val="00094E67"/>
    <w:rsid w:val="00095E37"/>
    <w:rsid w:val="00097EF0"/>
    <w:rsid w:val="000A0BA3"/>
    <w:rsid w:val="000A0D0B"/>
    <w:rsid w:val="000A1403"/>
    <w:rsid w:val="000A16A2"/>
    <w:rsid w:val="000A1C9A"/>
    <w:rsid w:val="000A1E1F"/>
    <w:rsid w:val="000A351A"/>
    <w:rsid w:val="000A39DA"/>
    <w:rsid w:val="000A4EC4"/>
    <w:rsid w:val="000A515A"/>
    <w:rsid w:val="000A577A"/>
    <w:rsid w:val="000A6651"/>
    <w:rsid w:val="000A7C0E"/>
    <w:rsid w:val="000B0C40"/>
    <w:rsid w:val="000B0C87"/>
    <w:rsid w:val="000B2B61"/>
    <w:rsid w:val="000B2CE3"/>
    <w:rsid w:val="000B2D3D"/>
    <w:rsid w:val="000B2FE2"/>
    <w:rsid w:val="000B3A0B"/>
    <w:rsid w:val="000B3FFD"/>
    <w:rsid w:val="000B4126"/>
    <w:rsid w:val="000B4DA5"/>
    <w:rsid w:val="000B5351"/>
    <w:rsid w:val="000B74BA"/>
    <w:rsid w:val="000B7B5A"/>
    <w:rsid w:val="000B7FC4"/>
    <w:rsid w:val="000C057C"/>
    <w:rsid w:val="000C4453"/>
    <w:rsid w:val="000C54A3"/>
    <w:rsid w:val="000C7714"/>
    <w:rsid w:val="000C77C6"/>
    <w:rsid w:val="000C7C04"/>
    <w:rsid w:val="000D03C2"/>
    <w:rsid w:val="000D0980"/>
    <w:rsid w:val="000D2FB4"/>
    <w:rsid w:val="000D4B8C"/>
    <w:rsid w:val="000D5029"/>
    <w:rsid w:val="000D7676"/>
    <w:rsid w:val="000E059C"/>
    <w:rsid w:val="000E08B8"/>
    <w:rsid w:val="000E0E8E"/>
    <w:rsid w:val="000E6378"/>
    <w:rsid w:val="000F20B4"/>
    <w:rsid w:val="000F36AE"/>
    <w:rsid w:val="000F42DB"/>
    <w:rsid w:val="000F6886"/>
    <w:rsid w:val="000F7078"/>
    <w:rsid w:val="000F71B5"/>
    <w:rsid w:val="000F7FE2"/>
    <w:rsid w:val="0010152C"/>
    <w:rsid w:val="00104E08"/>
    <w:rsid w:val="00107249"/>
    <w:rsid w:val="001073CC"/>
    <w:rsid w:val="001075A3"/>
    <w:rsid w:val="00107A49"/>
    <w:rsid w:val="00110741"/>
    <w:rsid w:val="001110FC"/>
    <w:rsid w:val="00111416"/>
    <w:rsid w:val="00112067"/>
    <w:rsid w:val="00112892"/>
    <w:rsid w:val="00113998"/>
    <w:rsid w:val="00114D4B"/>
    <w:rsid w:val="00114DDF"/>
    <w:rsid w:val="001150FF"/>
    <w:rsid w:val="00115594"/>
    <w:rsid w:val="00115AAD"/>
    <w:rsid w:val="001165E8"/>
    <w:rsid w:val="001168F3"/>
    <w:rsid w:val="001228F2"/>
    <w:rsid w:val="00124762"/>
    <w:rsid w:val="00125637"/>
    <w:rsid w:val="00127CA9"/>
    <w:rsid w:val="00130642"/>
    <w:rsid w:val="001306E4"/>
    <w:rsid w:val="001308D5"/>
    <w:rsid w:val="00132AAA"/>
    <w:rsid w:val="00136083"/>
    <w:rsid w:val="001407EE"/>
    <w:rsid w:val="00141F78"/>
    <w:rsid w:val="00142A63"/>
    <w:rsid w:val="00143967"/>
    <w:rsid w:val="00145D65"/>
    <w:rsid w:val="00147E1D"/>
    <w:rsid w:val="00151D19"/>
    <w:rsid w:val="00152866"/>
    <w:rsid w:val="00154F9F"/>
    <w:rsid w:val="0015575F"/>
    <w:rsid w:val="00155789"/>
    <w:rsid w:val="00155C46"/>
    <w:rsid w:val="00161A72"/>
    <w:rsid w:val="00161FC4"/>
    <w:rsid w:val="00163B98"/>
    <w:rsid w:val="001642D3"/>
    <w:rsid w:val="00166139"/>
    <w:rsid w:val="001667F0"/>
    <w:rsid w:val="00166CA0"/>
    <w:rsid w:val="00167F89"/>
    <w:rsid w:val="001701C4"/>
    <w:rsid w:val="00170E0A"/>
    <w:rsid w:val="00170FC7"/>
    <w:rsid w:val="00172089"/>
    <w:rsid w:val="001723BF"/>
    <w:rsid w:val="0017530C"/>
    <w:rsid w:val="0017555E"/>
    <w:rsid w:val="00175974"/>
    <w:rsid w:val="00175CD2"/>
    <w:rsid w:val="00177A27"/>
    <w:rsid w:val="00181791"/>
    <w:rsid w:val="00183275"/>
    <w:rsid w:val="00184474"/>
    <w:rsid w:val="00184FBA"/>
    <w:rsid w:val="00186B63"/>
    <w:rsid w:val="001905F4"/>
    <w:rsid w:val="001911CC"/>
    <w:rsid w:val="00191232"/>
    <w:rsid w:val="00191780"/>
    <w:rsid w:val="001943B1"/>
    <w:rsid w:val="00196DC5"/>
    <w:rsid w:val="00197AAA"/>
    <w:rsid w:val="00197DA4"/>
    <w:rsid w:val="001A0461"/>
    <w:rsid w:val="001A0491"/>
    <w:rsid w:val="001A0542"/>
    <w:rsid w:val="001A1810"/>
    <w:rsid w:val="001A2131"/>
    <w:rsid w:val="001A21A6"/>
    <w:rsid w:val="001A2A37"/>
    <w:rsid w:val="001A2ACE"/>
    <w:rsid w:val="001A2FF3"/>
    <w:rsid w:val="001A373A"/>
    <w:rsid w:val="001A4183"/>
    <w:rsid w:val="001A49B5"/>
    <w:rsid w:val="001A4C5F"/>
    <w:rsid w:val="001A65A2"/>
    <w:rsid w:val="001A7372"/>
    <w:rsid w:val="001A7913"/>
    <w:rsid w:val="001B3256"/>
    <w:rsid w:val="001B3A7E"/>
    <w:rsid w:val="001B4A23"/>
    <w:rsid w:val="001B5099"/>
    <w:rsid w:val="001B6BDC"/>
    <w:rsid w:val="001C0C3F"/>
    <w:rsid w:val="001C1B80"/>
    <w:rsid w:val="001C304B"/>
    <w:rsid w:val="001C4584"/>
    <w:rsid w:val="001C4CF3"/>
    <w:rsid w:val="001C5205"/>
    <w:rsid w:val="001C5E2E"/>
    <w:rsid w:val="001C6065"/>
    <w:rsid w:val="001C775A"/>
    <w:rsid w:val="001D064E"/>
    <w:rsid w:val="001D36C6"/>
    <w:rsid w:val="001D43BD"/>
    <w:rsid w:val="001D54C7"/>
    <w:rsid w:val="001D573C"/>
    <w:rsid w:val="001D63C6"/>
    <w:rsid w:val="001D78E5"/>
    <w:rsid w:val="001D7A7E"/>
    <w:rsid w:val="001E1C02"/>
    <w:rsid w:val="001E39C4"/>
    <w:rsid w:val="001E3B66"/>
    <w:rsid w:val="001E5075"/>
    <w:rsid w:val="001E50ED"/>
    <w:rsid w:val="001E5309"/>
    <w:rsid w:val="001E64BE"/>
    <w:rsid w:val="001E66EB"/>
    <w:rsid w:val="001F1B46"/>
    <w:rsid w:val="001F1F7D"/>
    <w:rsid w:val="001F2CA8"/>
    <w:rsid w:val="001F34BF"/>
    <w:rsid w:val="001F501F"/>
    <w:rsid w:val="001F5E9E"/>
    <w:rsid w:val="001F6787"/>
    <w:rsid w:val="001F6EBE"/>
    <w:rsid w:val="001F79BC"/>
    <w:rsid w:val="00200119"/>
    <w:rsid w:val="0020054B"/>
    <w:rsid w:val="00200852"/>
    <w:rsid w:val="00201E21"/>
    <w:rsid w:val="0020278E"/>
    <w:rsid w:val="00203421"/>
    <w:rsid w:val="00203F1F"/>
    <w:rsid w:val="002048C6"/>
    <w:rsid w:val="00204C2A"/>
    <w:rsid w:val="00205361"/>
    <w:rsid w:val="002071BB"/>
    <w:rsid w:val="002073F1"/>
    <w:rsid w:val="00211018"/>
    <w:rsid w:val="00211484"/>
    <w:rsid w:val="00212FE4"/>
    <w:rsid w:val="002153F3"/>
    <w:rsid w:val="002155B0"/>
    <w:rsid w:val="00215922"/>
    <w:rsid w:val="00215DD9"/>
    <w:rsid w:val="00216CA9"/>
    <w:rsid w:val="00220958"/>
    <w:rsid w:val="00221545"/>
    <w:rsid w:val="00221D2C"/>
    <w:rsid w:val="00222F65"/>
    <w:rsid w:val="00223136"/>
    <w:rsid w:val="00223D0B"/>
    <w:rsid w:val="00225818"/>
    <w:rsid w:val="00226723"/>
    <w:rsid w:val="00226949"/>
    <w:rsid w:val="00230CC7"/>
    <w:rsid w:val="002310DA"/>
    <w:rsid w:val="00232249"/>
    <w:rsid w:val="0023264F"/>
    <w:rsid w:val="0023380E"/>
    <w:rsid w:val="002339A2"/>
    <w:rsid w:val="00233F88"/>
    <w:rsid w:val="00235FB4"/>
    <w:rsid w:val="00240AAD"/>
    <w:rsid w:val="002439E4"/>
    <w:rsid w:val="002440EB"/>
    <w:rsid w:val="00244397"/>
    <w:rsid w:val="00244EEF"/>
    <w:rsid w:val="00245CDE"/>
    <w:rsid w:val="002464BA"/>
    <w:rsid w:val="00247177"/>
    <w:rsid w:val="002473A9"/>
    <w:rsid w:val="0025024A"/>
    <w:rsid w:val="00251066"/>
    <w:rsid w:val="00251C63"/>
    <w:rsid w:val="00253E81"/>
    <w:rsid w:val="002556CA"/>
    <w:rsid w:val="00256193"/>
    <w:rsid w:val="00256AAD"/>
    <w:rsid w:val="00256AF3"/>
    <w:rsid w:val="00260148"/>
    <w:rsid w:val="002608CE"/>
    <w:rsid w:val="00260E6B"/>
    <w:rsid w:val="0026164E"/>
    <w:rsid w:val="00261C72"/>
    <w:rsid w:val="0026271B"/>
    <w:rsid w:val="002629E7"/>
    <w:rsid w:val="002630EE"/>
    <w:rsid w:val="00263972"/>
    <w:rsid w:val="002657BB"/>
    <w:rsid w:val="0026683E"/>
    <w:rsid w:val="00273D22"/>
    <w:rsid w:val="0027438C"/>
    <w:rsid w:val="00274A33"/>
    <w:rsid w:val="00276F2E"/>
    <w:rsid w:val="00281EF2"/>
    <w:rsid w:val="00283308"/>
    <w:rsid w:val="00285031"/>
    <w:rsid w:val="00286E1D"/>
    <w:rsid w:val="0028781E"/>
    <w:rsid w:val="002905B2"/>
    <w:rsid w:val="00290A2D"/>
    <w:rsid w:val="00290C42"/>
    <w:rsid w:val="002937C6"/>
    <w:rsid w:val="00293DE5"/>
    <w:rsid w:val="002948A1"/>
    <w:rsid w:val="00294E82"/>
    <w:rsid w:val="00295078"/>
    <w:rsid w:val="00295C72"/>
    <w:rsid w:val="00295DE7"/>
    <w:rsid w:val="00296BC8"/>
    <w:rsid w:val="00297AB0"/>
    <w:rsid w:val="00297C68"/>
    <w:rsid w:val="00297FDC"/>
    <w:rsid w:val="002A08C2"/>
    <w:rsid w:val="002A1583"/>
    <w:rsid w:val="002A4074"/>
    <w:rsid w:val="002A6CC7"/>
    <w:rsid w:val="002A7759"/>
    <w:rsid w:val="002A7AC7"/>
    <w:rsid w:val="002B04B3"/>
    <w:rsid w:val="002B0A1D"/>
    <w:rsid w:val="002B0ABE"/>
    <w:rsid w:val="002B0EF8"/>
    <w:rsid w:val="002B1362"/>
    <w:rsid w:val="002B1708"/>
    <w:rsid w:val="002B1B78"/>
    <w:rsid w:val="002B393B"/>
    <w:rsid w:val="002B4950"/>
    <w:rsid w:val="002B5C57"/>
    <w:rsid w:val="002B62AF"/>
    <w:rsid w:val="002B7622"/>
    <w:rsid w:val="002C0C5C"/>
    <w:rsid w:val="002C0C63"/>
    <w:rsid w:val="002C0F5C"/>
    <w:rsid w:val="002C1E7D"/>
    <w:rsid w:val="002C4011"/>
    <w:rsid w:val="002C49B0"/>
    <w:rsid w:val="002C4BC2"/>
    <w:rsid w:val="002C4EBB"/>
    <w:rsid w:val="002C4F45"/>
    <w:rsid w:val="002C6154"/>
    <w:rsid w:val="002C67BF"/>
    <w:rsid w:val="002C6C4B"/>
    <w:rsid w:val="002D07B6"/>
    <w:rsid w:val="002D23B6"/>
    <w:rsid w:val="002D381A"/>
    <w:rsid w:val="002D46BF"/>
    <w:rsid w:val="002D508B"/>
    <w:rsid w:val="002D5FAE"/>
    <w:rsid w:val="002D7FA3"/>
    <w:rsid w:val="002E0EA2"/>
    <w:rsid w:val="002E155E"/>
    <w:rsid w:val="002E298F"/>
    <w:rsid w:val="002E374C"/>
    <w:rsid w:val="002E5744"/>
    <w:rsid w:val="002E6172"/>
    <w:rsid w:val="002E6B74"/>
    <w:rsid w:val="002E74F5"/>
    <w:rsid w:val="002F1C4D"/>
    <w:rsid w:val="002F21D9"/>
    <w:rsid w:val="002F2315"/>
    <w:rsid w:val="002F2653"/>
    <w:rsid w:val="002F3A84"/>
    <w:rsid w:val="002F411A"/>
    <w:rsid w:val="002F4B70"/>
    <w:rsid w:val="002F5A90"/>
    <w:rsid w:val="002F6F61"/>
    <w:rsid w:val="002F700E"/>
    <w:rsid w:val="00302787"/>
    <w:rsid w:val="00302FBC"/>
    <w:rsid w:val="00306430"/>
    <w:rsid w:val="00306B09"/>
    <w:rsid w:val="00306C3C"/>
    <w:rsid w:val="0030711C"/>
    <w:rsid w:val="00307205"/>
    <w:rsid w:val="0031046F"/>
    <w:rsid w:val="0031189B"/>
    <w:rsid w:val="00312073"/>
    <w:rsid w:val="00312EFF"/>
    <w:rsid w:val="0031351C"/>
    <w:rsid w:val="00313AFB"/>
    <w:rsid w:val="00313FA6"/>
    <w:rsid w:val="00314023"/>
    <w:rsid w:val="00314587"/>
    <w:rsid w:val="00314DEC"/>
    <w:rsid w:val="003156AE"/>
    <w:rsid w:val="00315795"/>
    <w:rsid w:val="00316354"/>
    <w:rsid w:val="00321D72"/>
    <w:rsid w:val="00322AE2"/>
    <w:rsid w:val="00323623"/>
    <w:rsid w:val="00324C10"/>
    <w:rsid w:val="0032631D"/>
    <w:rsid w:val="00326D18"/>
    <w:rsid w:val="0033030C"/>
    <w:rsid w:val="0033396B"/>
    <w:rsid w:val="00333C7C"/>
    <w:rsid w:val="003349F4"/>
    <w:rsid w:val="00335047"/>
    <w:rsid w:val="003357AB"/>
    <w:rsid w:val="003358DC"/>
    <w:rsid w:val="003404F0"/>
    <w:rsid w:val="00340B86"/>
    <w:rsid w:val="0034164E"/>
    <w:rsid w:val="003438B7"/>
    <w:rsid w:val="00343B40"/>
    <w:rsid w:val="00343CBA"/>
    <w:rsid w:val="00344708"/>
    <w:rsid w:val="00344A4C"/>
    <w:rsid w:val="00346C1D"/>
    <w:rsid w:val="00346CBE"/>
    <w:rsid w:val="00347274"/>
    <w:rsid w:val="00347D87"/>
    <w:rsid w:val="003519B1"/>
    <w:rsid w:val="00351CB7"/>
    <w:rsid w:val="003522A4"/>
    <w:rsid w:val="00352CD0"/>
    <w:rsid w:val="00352E50"/>
    <w:rsid w:val="003537DE"/>
    <w:rsid w:val="00354A9E"/>
    <w:rsid w:val="00355706"/>
    <w:rsid w:val="003557C1"/>
    <w:rsid w:val="003557DA"/>
    <w:rsid w:val="00355B75"/>
    <w:rsid w:val="00355F41"/>
    <w:rsid w:val="0035716F"/>
    <w:rsid w:val="00357BB6"/>
    <w:rsid w:val="0036086E"/>
    <w:rsid w:val="00362689"/>
    <w:rsid w:val="003633DD"/>
    <w:rsid w:val="003633FB"/>
    <w:rsid w:val="00363A24"/>
    <w:rsid w:val="0036555F"/>
    <w:rsid w:val="003668F1"/>
    <w:rsid w:val="00366C6B"/>
    <w:rsid w:val="00367CE5"/>
    <w:rsid w:val="003710D0"/>
    <w:rsid w:val="003718B9"/>
    <w:rsid w:val="0037225D"/>
    <w:rsid w:val="003729E8"/>
    <w:rsid w:val="00372CBB"/>
    <w:rsid w:val="00373B44"/>
    <w:rsid w:val="00373EDE"/>
    <w:rsid w:val="003804BC"/>
    <w:rsid w:val="00380791"/>
    <w:rsid w:val="00381E05"/>
    <w:rsid w:val="00382014"/>
    <w:rsid w:val="0038230C"/>
    <w:rsid w:val="00383C34"/>
    <w:rsid w:val="00386E7A"/>
    <w:rsid w:val="00390804"/>
    <w:rsid w:val="00391F37"/>
    <w:rsid w:val="00392EE5"/>
    <w:rsid w:val="00393317"/>
    <w:rsid w:val="003972ED"/>
    <w:rsid w:val="003A0CB7"/>
    <w:rsid w:val="003A11DD"/>
    <w:rsid w:val="003A1AF1"/>
    <w:rsid w:val="003A2B96"/>
    <w:rsid w:val="003A4399"/>
    <w:rsid w:val="003A5A6E"/>
    <w:rsid w:val="003A6186"/>
    <w:rsid w:val="003A640F"/>
    <w:rsid w:val="003A7A6D"/>
    <w:rsid w:val="003A7FA3"/>
    <w:rsid w:val="003B04CF"/>
    <w:rsid w:val="003B0688"/>
    <w:rsid w:val="003B2480"/>
    <w:rsid w:val="003B31F9"/>
    <w:rsid w:val="003B3431"/>
    <w:rsid w:val="003B4245"/>
    <w:rsid w:val="003B63EB"/>
    <w:rsid w:val="003B72E9"/>
    <w:rsid w:val="003B7EC1"/>
    <w:rsid w:val="003C388A"/>
    <w:rsid w:val="003C4A79"/>
    <w:rsid w:val="003C55F5"/>
    <w:rsid w:val="003C5621"/>
    <w:rsid w:val="003C5A54"/>
    <w:rsid w:val="003C739F"/>
    <w:rsid w:val="003D1561"/>
    <w:rsid w:val="003D1883"/>
    <w:rsid w:val="003D18A4"/>
    <w:rsid w:val="003D202C"/>
    <w:rsid w:val="003D48A3"/>
    <w:rsid w:val="003D4D18"/>
    <w:rsid w:val="003D5B72"/>
    <w:rsid w:val="003D5D47"/>
    <w:rsid w:val="003D5EEB"/>
    <w:rsid w:val="003D61B0"/>
    <w:rsid w:val="003E0A67"/>
    <w:rsid w:val="003E1018"/>
    <w:rsid w:val="003E5A0A"/>
    <w:rsid w:val="003E5D23"/>
    <w:rsid w:val="003E5DB7"/>
    <w:rsid w:val="003E6D0E"/>
    <w:rsid w:val="003E71D8"/>
    <w:rsid w:val="003E750D"/>
    <w:rsid w:val="003F09F0"/>
    <w:rsid w:val="003F2039"/>
    <w:rsid w:val="003F2BA9"/>
    <w:rsid w:val="003F52C2"/>
    <w:rsid w:val="003F58C3"/>
    <w:rsid w:val="003F5CBA"/>
    <w:rsid w:val="0040233B"/>
    <w:rsid w:val="004053FB"/>
    <w:rsid w:val="00410650"/>
    <w:rsid w:val="004106C1"/>
    <w:rsid w:val="004126F7"/>
    <w:rsid w:val="00412DF5"/>
    <w:rsid w:val="00414AE6"/>
    <w:rsid w:val="00414EE8"/>
    <w:rsid w:val="00416BBD"/>
    <w:rsid w:val="0042006D"/>
    <w:rsid w:val="00422852"/>
    <w:rsid w:val="0042327C"/>
    <w:rsid w:val="00423786"/>
    <w:rsid w:val="00424241"/>
    <w:rsid w:val="00425752"/>
    <w:rsid w:val="00431170"/>
    <w:rsid w:val="0043317E"/>
    <w:rsid w:val="00433345"/>
    <w:rsid w:val="00433BD1"/>
    <w:rsid w:val="00433C4A"/>
    <w:rsid w:val="00434264"/>
    <w:rsid w:val="004350B4"/>
    <w:rsid w:val="00436503"/>
    <w:rsid w:val="00441BF3"/>
    <w:rsid w:val="004436ED"/>
    <w:rsid w:val="0044374E"/>
    <w:rsid w:val="00443F1A"/>
    <w:rsid w:val="004440AC"/>
    <w:rsid w:val="004443A2"/>
    <w:rsid w:val="00444919"/>
    <w:rsid w:val="0044547C"/>
    <w:rsid w:val="0044590C"/>
    <w:rsid w:val="0044591B"/>
    <w:rsid w:val="00446BB3"/>
    <w:rsid w:val="004505C5"/>
    <w:rsid w:val="00450869"/>
    <w:rsid w:val="004513F7"/>
    <w:rsid w:val="0045197D"/>
    <w:rsid w:val="00451F5B"/>
    <w:rsid w:val="00453028"/>
    <w:rsid w:val="00453918"/>
    <w:rsid w:val="00454D4F"/>
    <w:rsid w:val="00455768"/>
    <w:rsid w:val="00456E2C"/>
    <w:rsid w:val="00457077"/>
    <w:rsid w:val="00457FC7"/>
    <w:rsid w:val="004602E8"/>
    <w:rsid w:val="00462417"/>
    <w:rsid w:val="00462643"/>
    <w:rsid w:val="004642EF"/>
    <w:rsid w:val="00464322"/>
    <w:rsid w:val="00464624"/>
    <w:rsid w:val="00465E62"/>
    <w:rsid w:val="0046659B"/>
    <w:rsid w:val="004677F9"/>
    <w:rsid w:val="004715D7"/>
    <w:rsid w:val="00471EC2"/>
    <w:rsid w:val="0047312F"/>
    <w:rsid w:val="00473B43"/>
    <w:rsid w:val="00473F1B"/>
    <w:rsid w:val="00476BA5"/>
    <w:rsid w:val="0047775E"/>
    <w:rsid w:val="0047777D"/>
    <w:rsid w:val="0048181B"/>
    <w:rsid w:val="00482324"/>
    <w:rsid w:val="00482731"/>
    <w:rsid w:val="0048286C"/>
    <w:rsid w:val="00483A0F"/>
    <w:rsid w:val="00484625"/>
    <w:rsid w:val="0048589D"/>
    <w:rsid w:val="00487282"/>
    <w:rsid w:val="004874F8"/>
    <w:rsid w:val="004879E2"/>
    <w:rsid w:val="00487F15"/>
    <w:rsid w:val="004912A0"/>
    <w:rsid w:val="00491B92"/>
    <w:rsid w:val="00491ECE"/>
    <w:rsid w:val="004928DE"/>
    <w:rsid w:val="00493E2F"/>
    <w:rsid w:val="0049576C"/>
    <w:rsid w:val="004A0E5A"/>
    <w:rsid w:val="004A0EA8"/>
    <w:rsid w:val="004A14D9"/>
    <w:rsid w:val="004A1F37"/>
    <w:rsid w:val="004A21F6"/>
    <w:rsid w:val="004A3B39"/>
    <w:rsid w:val="004A43C8"/>
    <w:rsid w:val="004A4B61"/>
    <w:rsid w:val="004A6EFE"/>
    <w:rsid w:val="004A7086"/>
    <w:rsid w:val="004B067A"/>
    <w:rsid w:val="004B1858"/>
    <w:rsid w:val="004B2540"/>
    <w:rsid w:val="004B328E"/>
    <w:rsid w:val="004B3E17"/>
    <w:rsid w:val="004B58C3"/>
    <w:rsid w:val="004B675F"/>
    <w:rsid w:val="004B72C5"/>
    <w:rsid w:val="004B7A1B"/>
    <w:rsid w:val="004C054C"/>
    <w:rsid w:val="004C08BF"/>
    <w:rsid w:val="004C3804"/>
    <w:rsid w:val="004C45A2"/>
    <w:rsid w:val="004C51D7"/>
    <w:rsid w:val="004C56DE"/>
    <w:rsid w:val="004C7623"/>
    <w:rsid w:val="004C7629"/>
    <w:rsid w:val="004C7701"/>
    <w:rsid w:val="004D0A26"/>
    <w:rsid w:val="004D0EE4"/>
    <w:rsid w:val="004D1E91"/>
    <w:rsid w:val="004D25E0"/>
    <w:rsid w:val="004D4688"/>
    <w:rsid w:val="004D482C"/>
    <w:rsid w:val="004D5AC0"/>
    <w:rsid w:val="004D5FEF"/>
    <w:rsid w:val="004D687B"/>
    <w:rsid w:val="004D764F"/>
    <w:rsid w:val="004D7C73"/>
    <w:rsid w:val="004E13AB"/>
    <w:rsid w:val="004E1EBF"/>
    <w:rsid w:val="004E27AD"/>
    <w:rsid w:val="004E45B8"/>
    <w:rsid w:val="004E4987"/>
    <w:rsid w:val="004E585B"/>
    <w:rsid w:val="004F227C"/>
    <w:rsid w:val="004F3B64"/>
    <w:rsid w:val="004F5243"/>
    <w:rsid w:val="00501044"/>
    <w:rsid w:val="00505B26"/>
    <w:rsid w:val="00505D12"/>
    <w:rsid w:val="005068DC"/>
    <w:rsid w:val="00507449"/>
    <w:rsid w:val="00511092"/>
    <w:rsid w:val="00511602"/>
    <w:rsid w:val="0051367E"/>
    <w:rsid w:val="0051411C"/>
    <w:rsid w:val="005164B6"/>
    <w:rsid w:val="00516E6A"/>
    <w:rsid w:val="00517437"/>
    <w:rsid w:val="005206C8"/>
    <w:rsid w:val="0052119A"/>
    <w:rsid w:val="005218EA"/>
    <w:rsid w:val="00521EE1"/>
    <w:rsid w:val="0052414D"/>
    <w:rsid w:val="0052498A"/>
    <w:rsid w:val="00531ABD"/>
    <w:rsid w:val="00532033"/>
    <w:rsid w:val="00535560"/>
    <w:rsid w:val="005368E5"/>
    <w:rsid w:val="0053695E"/>
    <w:rsid w:val="005408FA"/>
    <w:rsid w:val="00540D93"/>
    <w:rsid w:val="005413A9"/>
    <w:rsid w:val="00542D8A"/>
    <w:rsid w:val="00544117"/>
    <w:rsid w:val="00544E0A"/>
    <w:rsid w:val="00545734"/>
    <w:rsid w:val="00551BA4"/>
    <w:rsid w:val="00552D59"/>
    <w:rsid w:val="0055319C"/>
    <w:rsid w:val="0055320F"/>
    <w:rsid w:val="00553604"/>
    <w:rsid w:val="00553D6D"/>
    <w:rsid w:val="00556636"/>
    <w:rsid w:val="00556686"/>
    <w:rsid w:val="00557D61"/>
    <w:rsid w:val="005608B3"/>
    <w:rsid w:val="005609B4"/>
    <w:rsid w:val="005639F9"/>
    <w:rsid w:val="0056588E"/>
    <w:rsid w:val="00566376"/>
    <w:rsid w:val="005671CD"/>
    <w:rsid w:val="00570CBE"/>
    <w:rsid w:val="00571391"/>
    <w:rsid w:val="00573949"/>
    <w:rsid w:val="00573ECF"/>
    <w:rsid w:val="005745EE"/>
    <w:rsid w:val="005745F9"/>
    <w:rsid w:val="00575B5A"/>
    <w:rsid w:val="00575B60"/>
    <w:rsid w:val="00577287"/>
    <w:rsid w:val="00580998"/>
    <w:rsid w:val="0058269D"/>
    <w:rsid w:val="0058423C"/>
    <w:rsid w:val="0058439D"/>
    <w:rsid w:val="005845F7"/>
    <w:rsid w:val="00585149"/>
    <w:rsid w:val="0058544C"/>
    <w:rsid w:val="00585C24"/>
    <w:rsid w:val="00585C6E"/>
    <w:rsid w:val="0058743A"/>
    <w:rsid w:val="005875A9"/>
    <w:rsid w:val="00587E97"/>
    <w:rsid w:val="0059012B"/>
    <w:rsid w:val="0059026C"/>
    <w:rsid w:val="0059069B"/>
    <w:rsid w:val="00591AF3"/>
    <w:rsid w:val="005921E5"/>
    <w:rsid w:val="00592755"/>
    <w:rsid w:val="00592E86"/>
    <w:rsid w:val="00592E91"/>
    <w:rsid w:val="00593DB7"/>
    <w:rsid w:val="00594366"/>
    <w:rsid w:val="00594BC5"/>
    <w:rsid w:val="005954E9"/>
    <w:rsid w:val="00595F52"/>
    <w:rsid w:val="00596F65"/>
    <w:rsid w:val="00597AB5"/>
    <w:rsid w:val="005A232E"/>
    <w:rsid w:val="005A3E06"/>
    <w:rsid w:val="005A668C"/>
    <w:rsid w:val="005A682E"/>
    <w:rsid w:val="005A6845"/>
    <w:rsid w:val="005A7C3F"/>
    <w:rsid w:val="005B1BBE"/>
    <w:rsid w:val="005B4020"/>
    <w:rsid w:val="005B4623"/>
    <w:rsid w:val="005B6938"/>
    <w:rsid w:val="005B7350"/>
    <w:rsid w:val="005C5799"/>
    <w:rsid w:val="005C617E"/>
    <w:rsid w:val="005D06A3"/>
    <w:rsid w:val="005D18B1"/>
    <w:rsid w:val="005D1DF5"/>
    <w:rsid w:val="005D4472"/>
    <w:rsid w:val="005D45A0"/>
    <w:rsid w:val="005D52E6"/>
    <w:rsid w:val="005D6415"/>
    <w:rsid w:val="005D67C8"/>
    <w:rsid w:val="005D6E4F"/>
    <w:rsid w:val="005D7248"/>
    <w:rsid w:val="005D7A74"/>
    <w:rsid w:val="005E0300"/>
    <w:rsid w:val="005E15A3"/>
    <w:rsid w:val="005E187B"/>
    <w:rsid w:val="005E2AF1"/>
    <w:rsid w:val="005E35A0"/>
    <w:rsid w:val="005E4A3D"/>
    <w:rsid w:val="005E4F05"/>
    <w:rsid w:val="005E5859"/>
    <w:rsid w:val="005E5DC1"/>
    <w:rsid w:val="005E67EC"/>
    <w:rsid w:val="005E76FC"/>
    <w:rsid w:val="005F178D"/>
    <w:rsid w:val="005F3863"/>
    <w:rsid w:val="005F391F"/>
    <w:rsid w:val="005F4DCE"/>
    <w:rsid w:val="005F5725"/>
    <w:rsid w:val="005F5ED5"/>
    <w:rsid w:val="005F62B5"/>
    <w:rsid w:val="005F731E"/>
    <w:rsid w:val="005F7B38"/>
    <w:rsid w:val="00600037"/>
    <w:rsid w:val="00600733"/>
    <w:rsid w:val="006010BF"/>
    <w:rsid w:val="00601296"/>
    <w:rsid w:val="00602ED8"/>
    <w:rsid w:val="006031FE"/>
    <w:rsid w:val="006047FC"/>
    <w:rsid w:val="006048D2"/>
    <w:rsid w:val="006077EB"/>
    <w:rsid w:val="006079C9"/>
    <w:rsid w:val="00607FEA"/>
    <w:rsid w:val="006100A1"/>
    <w:rsid w:val="00611F9E"/>
    <w:rsid w:val="006164C3"/>
    <w:rsid w:val="0061663A"/>
    <w:rsid w:val="00616F4A"/>
    <w:rsid w:val="00620B38"/>
    <w:rsid w:val="00621CA8"/>
    <w:rsid w:val="006222EA"/>
    <w:rsid w:val="00623667"/>
    <w:rsid w:val="00623EA3"/>
    <w:rsid w:val="00624BDB"/>
    <w:rsid w:val="0062541D"/>
    <w:rsid w:val="00625AFD"/>
    <w:rsid w:val="00625E1B"/>
    <w:rsid w:val="006270B1"/>
    <w:rsid w:val="00627B5D"/>
    <w:rsid w:val="0063130F"/>
    <w:rsid w:val="00633AB7"/>
    <w:rsid w:val="00634485"/>
    <w:rsid w:val="006345A0"/>
    <w:rsid w:val="00634692"/>
    <w:rsid w:val="00634F6F"/>
    <w:rsid w:val="006354DC"/>
    <w:rsid w:val="00637551"/>
    <w:rsid w:val="00637C16"/>
    <w:rsid w:val="006426A4"/>
    <w:rsid w:val="00642757"/>
    <w:rsid w:val="006434CE"/>
    <w:rsid w:val="006445D2"/>
    <w:rsid w:val="00647094"/>
    <w:rsid w:val="006473CC"/>
    <w:rsid w:val="0065487B"/>
    <w:rsid w:val="006551DE"/>
    <w:rsid w:val="00655B83"/>
    <w:rsid w:val="00655F33"/>
    <w:rsid w:val="0065640B"/>
    <w:rsid w:val="00656C59"/>
    <w:rsid w:val="00657A5A"/>
    <w:rsid w:val="00657D7A"/>
    <w:rsid w:val="00660395"/>
    <w:rsid w:val="006606B2"/>
    <w:rsid w:val="00660D07"/>
    <w:rsid w:val="006628C0"/>
    <w:rsid w:val="00662993"/>
    <w:rsid w:val="00666655"/>
    <w:rsid w:val="00666755"/>
    <w:rsid w:val="006703E1"/>
    <w:rsid w:val="0067078B"/>
    <w:rsid w:val="0067092E"/>
    <w:rsid w:val="00670BF0"/>
    <w:rsid w:val="006726A4"/>
    <w:rsid w:val="0067325D"/>
    <w:rsid w:val="006740C5"/>
    <w:rsid w:val="006747B5"/>
    <w:rsid w:val="00675974"/>
    <w:rsid w:val="006803E8"/>
    <w:rsid w:val="00682656"/>
    <w:rsid w:val="00683EAC"/>
    <w:rsid w:val="00684EF6"/>
    <w:rsid w:val="00686279"/>
    <w:rsid w:val="00686A8A"/>
    <w:rsid w:val="006878A4"/>
    <w:rsid w:val="00690B63"/>
    <w:rsid w:val="00694FF2"/>
    <w:rsid w:val="006954F2"/>
    <w:rsid w:val="00695554"/>
    <w:rsid w:val="006957B8"/>
    <w:rsid w:val="006971F7"/>
    <w:rsid w:val="006A03CD"/>
    <w:rsid w:val="006A06FE"/>
    <w:rsid w:val="006A21FE"/>
    <w:rsid w:val="006A3FF3"/>
    <w:rsid w:val="006A4007"/>
    <w:rsid w:val="006A42D4"/>
    <w:rsid w:val="006A4E98"/>
    <w:rsid w:val="006A77F3"/>
    <w:rsid w:val="006A7829"/>
    <w:rsid w:val="006B095F"/>
    <w:rsid w:val="006B25BF"/>
    <w:rsid w:val="006B2A9B"/>
    <w:rsid w:val="006B2BA6"/>
    <w:rsid w:val="006B4A50"/>
    <w:rsid w:val="006B4B65"/>
    <w:rsid w:val="006B537E"/>
    <w:rsid w:val="006B5F48"/>
    <w:rsid w:val="006B794C"/>
    <w:rsid w:val="006C11D4"/>
    <w:rsid w:val="006C24A5"/>
    <w:rsid w:val="006C24CD"/>
    <w:rsid w:val="006C60B5"/>
    <w:rsid w:val="006C74FA"/>
    <w:rsid w:val="006C7D68"/>
    <w:rsid w:val="006D0BF8"/>
    <w:rsid w:val="006D0E54"/>
    <w:rsid w:val="006D1A5E"/>
    <w:rsid w:val="006D1AB0"/>
    <w:rsid w:val="006D2C17"/>
    <w:rsid w:val="006D3F2C"/>
    <w:rsid w:val="006D526B"/>
    <w:rsid w:val="006D64F9"/>
    <w:rsid w:val="006D66AF"/>
    <w:rsid w:val="006D71CA"/>
    <w:rsid w:val="006E1147"/>
    <w:rsid w:val="006E13E8"/>
    <w:rsid w:val="006E2065"/>
    <w:rsid w:val="006E34B6"/>
    <w:rsid w:val="006E54FC"/>
    <w:rsid w:val="006E5832"/>
    <w:rsid w:val="006E5D60"/>
    <w:rsid w:val="006E6278"/>
    <w:rsid w:val="006E6389"/>
    <w:rsid w:val="006E662E"/>
    <w:rsid w:val="006E665B"/>
    <w:rsid w:val="006E689A"/>
    <w:rsid w:val="006E69AA"/>
    <w:rsid w:val="006E7444"/>
    <w:rsid w:val="006E7462"/>
    <w:rsid w:val="006E7C8D"/>
    <w:rsid w:val="006F0D84"/>
    <w:rsid w:val="006F15BD"/>
    <w:rsid w:val="006F1A78"/>
    <w:rsid w:val="006F1B5C"/>
    <w:rsid w:val="006F2E77"/>
    <w:rsid w:val="006F30F8"/>
    <w:rsid w:val="006F3144"/>
    <w:rsid w:val="006F3CA9"/>
    <w:rsid w:val="006F54A9"/>
    <w:rsid w:val="006F5B9E"/>
    <w:rsid w:val="006F6E1B"/>
    <w:rsid w:val="00700AB7"/>
    <w:rsid w:val="00700C41"/>
    <w:rsid w:val="007016E0"/>
    <w:rsid w:val="00702323"/>
    <w:rsid w:val="007027EB"/>
    <w:rsid w:val="00702CB3"/>
    <w:rsid w:val="00703E92"/>
    <w:rsid w:val="0070479C"/>
    <w:rsid w:val="007061DF"/>
    <w:rsid w:val="00710259"/>
    <w:rsid w:val="007112A9"/>
    <w:rsid w:val="00711B09"/>
    <w:rsid w:val="00712094"/>
    <w:rsid w:val="007121C5"/>
    <w:rsid w:val="007144D6"/>
    <w:rsid w:val="00716040"/>
    <w:rsid w:val="0071646D"/>
    <w:rsid w:val="00716CE1"/>
    <w:rsid w:val="00716D25"/>
    <w:rsid w:val="00717D14"/>
    <w:rsid w:val="00717FAF"/>
    <w:rsid w:val="00726FA5"/>
    <w:rsid w:val="00727E61"/>
    <w:rsid w:val="00730313"/>
    <w:rsid w:val="00730BC4"/>
    <w:rsid w:val="007317F8"/>
    <w:rsid w:val="00731D9B"/>
    <w:rsid w:val="00733CB7"/>
    <w:rsid w:val="00734A8B"/>
    <w:rsid w:val="00735210"/>
    <w:rsid w:val="00735B0D"/>
    <w:rsid w:val="00735D72"/>
    <w:rsid w:val="00735DFA"/>
    <w:rsid w:val="00736C06"/>
    <w:rsid w:val="00740197"/>
    <w:rsid w:val="007401BB"/>
    <w:rsid w:val="00740E5C"/>
    <w:rsid w:val="00741FEA"/>
    <w:rsid w:val="00742873"/>
    <w:rsid w:val="00743F6F"/>
    <w:rsid w:val="007446D8"/>
    <w:rsid w:val="00744736"/>
    <w:rsid w:val="00745497"/>
    <w:rsid w:val="00745906"/>
    <w:rsid w:val="007463C9"/>
    <w:rsid w:val="00747664"/>
    <w:rsid w:val="007479CA"/>
    <w:rsid w:val="00750F05"/>
    <w:rsid w:val="00751311"/>
    <w:rsid w:val="0075239A"/>
    <w:rsid w:val="007524D9"/>
    <w:rsid w:val="00754EC5"/>
    <w:rsid w:val="0075580F"/>
    <w:rsid w:val="00756C34"/>
    <w:rsid w:val="00757203"/>
    <w:rsid w:val="00757444"/>
    <w:rsid w:val="00757C27"/>
    <w:rsid w:val="00757F23"/>
    <w:rsid w:val="00761490"/>
    <w:rsid w:val="0076164E"/>
    <w:rsid w:val="007622E4"/>
    <w:rsid w:val="007645A1"/>
    <w:rsid w:val="00764B6A"/>
    <w:rsid w:val="00765B85"/>
    <w:rsid w:val="007668D6"/>
    <w:rsid w:val="00766A1E"/>
    <w:rsid w:val="007670AA"/>
    <w:rsid w:val="00767196"/>
    <w:rsid w:val="00767912"/>
    <w:rsid w:val="00770E29"/>
    <w:rsid w:val="0077203A"/>
    <w:rsid w:val="0077266E"/>
    <w:rsid w:val="007729C2"/>
    <w:rsid w:val="00773601"/>
    <w:rsid w:val="007753ED"/>
    <w:rsid w:val="00775CB2"/>
    <w:rsid w:val="0077689F"/>
    <w:rsid w:val="00777545"/>
    <w:rsid w:val="00777BBD"/>
    <w:rsid w:val="00777DCB"/>
    <w:rsid w:val="007819D6"/>
    <w:rsid w:val="00782DD9"/>
    <w:rsid w:val="007830E3"/>
    <w:rsid w:val="00783DAE"/>
    <w:rsid w:val="00784C44"/>
    <w:rsid w:val="00787DB5"/>
    <w:rsid w:val="00791EF6"/>
    <w:rsid w:val="00794305"/>
    <w:rsid w:val="00794636"/>
    <w:rsid w:val="0079518F"/>
    <w:rsid w:val="00795AEC"/>
    <w:rsid w:val="007A02EB"/>
    <w:rsid w:val="007A04D9"/>
    <w:rsid w:val="007A05B2"/>
    <w:rsid w:val="007A11F1"/>
    <w:rsid w:val="007A30F8"/>
    <w:rsid w:val="007A3458"/>
    <w:rsid w:val="007A35F6"/>
    <w:rsid w:val="007A4155"/>
    <w:rsid w:val="007A4219"/>
    <w:rsid w:val="007A4CF0"/>
    <w:rsid w:val="007A4E83"/>
    <w:rsid w:val="007A5F1A"/>
    <w:rsid w:val="007A7693"/>
    <w:rsid w:val="007A7F2B"/>
    <w:rsid w:val="007B0905"/>
    <w:rsid w:val="007B5B76"/>
    <w:rsid w:val="007B6BEF"/>
    <w:rsid w:val="007B755C"/>
    <w:rsid w:val="007C025F"/>
    <w:rsid w:val="007C035B"/>
    <w:rsid w:val="007C071A"/>
    <w:rsid w:val="007C09AA"/>
    <w:rsid w:val="007C0A83"/>
    <w:rsid w:val="007C0AFD"/>
    <w:rsid w:val="007C20AF"/>
    <w:rsid w:val="007C2D96"/>
    <w:rsid w:val="007C3D29"/>
    <w:rsid w:val="007C3E67"/>
    <w:rsid w:val="007C56CC"/>
    <w:rsid w:val="007C5DCE"/>
    <w:rsid w:val="007C6783"/>
    <w:rsid w:val="007C7E5A"/>
    <w:rsid w:val="007D0C6E"/>
    <w:rsid w:val="007D112D"/>
    <w:rsid w:val="007D1598"/>
    <w:rsid w:val="007D1B26"/>
    <w:rsid w:val="007D5B23"/>
    <w:rsid w:val="007D7334"/>
    <w:rsid w:val="007D773C"/>
    <w:rsid w:val="007E07A7"/>
    <w:rsid w:val="007E0CCF"/>
    <w:rsid w:val="007E3963"/>
    <w:rsid w:val="007E724E"/>
    <w:rsid w:val="007F18A3"/>
    <w:rsid w:val="007F1F16"/>
    <w:rsid w:val="007F36DE"/>
    <w:rsid w:val="007F37C5"/>
    <w:rsid w:val="007F444F"/>
    <w:rsid w:val="007F528B"/>
    <w:rsid w:val="007F61DA"/>
    <w:rsid w:val="007F685F"/>
    <w:rsid w:val="007F6AA9"/>
    <w:rsid w:val="00800475"/>
    <w:rsid w:val="00800DDC"/>
    <w:rsid w:val="00801303"/>
    <w:rsid w:val="00801648"/>
    <w:rsid w:val="00801D34"/>
    <w:rsid w:val="0080219E"/>
    <w:rsid w:val="008021EE"/>
    <w:rsid w:val="00805A48"/>
    <w:rsid w:val="00805B87"/>
    <w:rsid w:val="00805F55"/>
    <w:rsid w:val="008063E2"/>
    <w:rsid w:val="00806807"/>
    <w:rsid w:val="00807739"/>
    <w:rsid w:val="008100C2"/>
    <w:rsid w:val="00810ACD"/>
    <w:rsid w:val="0081115F"/>
    <w:rsid w:val="00811637"/>
    <w:rsid w:val="00814930"/>
    <w:rsid w:val="00815086"/>
    <w:rsid w:val="00815F29"/>
    <w:rsid w:val="008171DA"/>
    <w:rsid w:val="008177D0"/>
    <w:rsid w:val="008207CA"/>
    <w:rsid w:val="00820DEA"/>
    <w:rsid w:val="008222B2"/>
    <w:rsid w:val="008223A5"/>
    <w:rsid w:val="008235DE"/>
    <w:rsid w:val="008254D3"/>
    <w:rsid w:val="00825915"/>
    <w:rsid w:val="00825CA4"/>
    <w:rsid w:val="008331EF"/>
    <w:rsid w:val="00833271"/>
    <w:rsid w:val="0083402A"/>
    <w:rsid w:val="00835546"/>
    <w:rsid w:val="00835741"/>
    <w:rsid w:val="00836465"/>
    <w:rsid w:val="008367D9"/>
    <w:rsid w:val="00837520"/>
    <w:rsid w:val="00837B23"/>
    <w:rsid w:val="00837CBA"/>
    <w:rsid w:val="008422A0"/>
    <w:rsid w:val="0084270E"/>
    <w:rsid w:val="00842C37"/>
    <w:rsid w:val="008442E6"/>
    <w:rsid w:val="00851A59"/>
    <w:rsid w:val="00851F8C"/>
    <w:rsid w:val="00854691"/>
    <w:rsid w:val="00855B03"/>
    <w:rsid w:val="00856585"/>
    <w:rsid w:val="00856F7A"/>
    <w:rsid w:val="00857279"/>
    <w:rsid w:val="0085736B"/>
    <w:rsid w:val="00857B52"/>
    <w:rsid w:val="00861950"/>
    <w:rsid w:val="00861B32"/>
    <w:rsid w:val="008627B4"/>
    <w:rsid w:val="0086472B"/>
    <w:rsid w:val="00867C9A"/>
    <w:rsid w:val="008701A1"/>
    <w:rsid w:val="008718F3"/>
    <w:rsid w:val="00871B33"/>
    <w:rsid w:val="008725A0"/>
    <w:rsid w:val="00873262"/>
    <w:rsid w:val="008734E5"/>
    <w:rsid w:val="00874685"/>
    <w:rsid w:val="00874DC9"/>
    <w:rsid w:val="0087561C"/>
    <w:rsid w:val="008761FE"/>
    <w:rsid w:val="00876615"/>
    <w:rsid w:val="00877E3C"/>
    <w:rsid w:val="00880490"/>
    <w:rsid w:val="0088137B"/>
    <w:rsid w:val="00882131"/>
    <w:rsid w:val="0088270B"/>
    <w:rsid w:val="00883AE3"/>
    <w:rsid w:val="0088473B"/>
    <w:rsid w:val="0088510A"/>
    <w:rsid w:val="00885CB3"/>
    <w:rsid w:val="008860BB"/>
    <w:rsid w:val="00886BFC"/>
    <w:rsid w:val="00887493"/>
    <w:rsid w:val="008900BC"/>
    <w:rsid w:val="008903F7"/>
    <w:rsid w:val="00892674"/>
    <w:rsid w:val="00892AFC"/>
    <w:rsid w:val="0089436A"/>
    <w:rsid w:val="00895C62"/>
    <w:rsid w:val="008963A8"/>
    <w:rsid w:val="008A0C05"/>
    <w:rsid w:val="008A1764"/>
    <w:rsid w:val="008A42A4"/>
    <w:rsid w:val="008A42B0"/>
    <w:rsid w:val="008A4982"/>
    <w:rsid w:val="008A5D3C"/>
    <w:rsid w:val="008A6085"/>
    <w:rsid w:val="008A663F"/>
    <w:rsid w:val="008B0803"/>
    <w:rsid w:val="008B1273"/>
    <w:rsid w:val="008B2EEE"/>
    <w:rsid w:val="008B3151"/>
    <w:rsid w:val="008B36C5"/>
    <w:rsid w:val="008B3A27"/>
    <w:rsid w:val="008B542E"/>
    <w:rsid w:val="008B590E"/>
    <w:rsid w:val="008B5BE2"/>
    <w:rsid w:val="008B74A0"/>
    <w:rsid w:val="008C04B3"/>
    <w:rsid w:val="008C0694"/>
    <w:rsid w:val="008C06D5"/>
    <w:rsid w:val="008C16E9"/>
    <w:rsid w:val="008C2635"/>
    <w:rsid w:val="008C36E1"/>
    <w:rsid w:val="008C3963"/>
    <w:rsid w:val="008C596D"/>
    <w:rsid w:val="008C686F"/>
    <w:rsid w:val="008C7431"/>
    <w:rsid w:val="008D0B33"/>
    <w:rsid w:val="008D0D25"/>
    <w:rsid w:val="008D0FBC"/>
    <w:rsid w:val="008D1526"/>
    <w:rsid w:val="008D2273"/>
    <w:rsid w:val="008D3137"/>
    <w:rsid w:val="008D4869"/>
    <w:rsid w:val="008D4B2A"/>
    <w:rsid w:val="008D75E7"/>
    <w:rsid w:val="008D7E18"/>
    <w:rsid w:val="008E094D"/>
    <w:rsid w:val="008E176A"/>
    <w:rsid w:val="008E2822"/>
    <w:rsid w:val="008E2982"/>
    <w:rsid w:val="008E3418"/>
    <w:rsid w:val="008E36B5"/>
    <w:rsid w:val="008E4713"/>
    <w:rsid w:val="008E5043"/>
    <w:rsid w:val="008E5BC1"/>
    <w:rsid w:val="008E6246"/>
    <w:rsid w:val="008E7698"/>
    <w:rsid w:val="008F0A3E"/>
    <w:rsid w:val="008F0F17"/>
    <w:rsid w:val="008F4434"/>
    <w:rsid w:val="008F47CD"/>
    <w:rsid w:val="008F494D"/>
    <w:rsid w:val="008F4C62"/>
    <w:rsid w:val="008F4FB9"/>
    <w:rsid w:val="008F5E3B"/>
    <w:rsid w:val="008F6F27"/>
    <w:rsid w:val="008F7D25"/>
    <w:rsid w:val="009002BC"/>
    <w:rsid w:val="00900C8D"/>
    <w:rsid w:val="00901088"/>
    <w:rsid w:val="009021D3"/>
    <w:rsid w:val="00902202"/>
    <w:rsid w:val="00905A0D"/>
    <w:rsid w:val="0090613B"/>
    <w:rsid w:val="00910DDE"/>
    <w:rsid w:val="00911559"/>
    <w:rsid w:val="00911889"/>
    <w:rsid w:val="00911CD5"/>
    <w:rsid w:val="00914FDF"/>
    <w:rsid w:val="0091599A"/>
    <w:rsid w:val="00916BDE"/>
    <w:rsid w:val="00917EB1"/>
    <w:rsid w:val="00917F48"/>
    <w:rsid w:val="00921436"/>
    <w:rsid w:val="009224C9"/>
    <w:rsid w:val="009239BB"/>
    <w:rsid w:val="0092433B"/>
    <w:rsid w:val="00925328"/>
    <w:rsid w:val="00926B57"/>
    <w:rsid w:val="00930F79"/>
    <w:rsid w:val="00931E8E"/>
    <w:rsid w:val="00931EF0"/>
    <w:rsid w:val="00932CFF"/>
    <w:rsid w:val="00932F08"/>
    <w:rsid w:val="00934D2C"/>
    <w:rsid w:val="00935A0D"/>
    <w:rsid w:val="00936419"/>
    <w:rsid w:val="00937B0E"/>
    <w:rsid w:val="00940FFE"/>
    <w:rsid w:val="009411A0"/>
    <w:rsid w:val="009435F0"/>
    <w:rsid w:val="00943629"/>
    <w:rsid w:val="00943B74"/>
    <w:rsid w:val="0094486F"/>
    <w:rsid w:val="00944CA2"/>
    <w:rsid w:val="00945C24"/>
    <w:rsid w:val="00945D23"/>
    <w:rsid w:val="009469E9"/>
    <w:rsid w:val="0094714C"/>
    <w:rsid w:val="009472B3"/>
    <w:rsid w:val="00947905"/>
    <w:rsid w:val="009500DD"/>
    <w:rsid w:val="00950AF2"/>
    <w:rsid w:val="00955DC1"/>
    <w:rsid w:val="009573BD"/>
    <w:rsid w:val="0096089C"/>
    <w:rsid w:val="009614D7"/>
    <w:rsid w:val="00962E4E"/>
    <w:rsid w:val="00963379"/>
    <w:rsid w:val="00964E79"/>
    <w:rsid w:val="00964F37"/>
    <w:rsid w:val="00967C2E"/>
    <w:rsid w:val="00971EA5"/>
    <w:rsid w:val="00972515"/>
    <w:rsid w:val="00974437"/>
    <w:rsid w:val="00974B27"/>
    <w:rsid w:val="00974CC8"/>
    <w:rsid w:val="00975A2A"/>
    <w:rsid w:val="00975EB9"/>
    <w:rsid w:val="009763B8"/>
    <w:rsid w:val="0097711A"/>
    <w:rsid w:val="0098153D"/>
    <w:rsid w:val="00981F51"/>
    <w:rsid w:val="009837CB"/>
    <w:rsid w:val="00983C9A"/>
    <w:rsid w:val="009856A7"/>
    <w:rsid w:val="009858EF"/>
    <w:rsid w:val="00990393"/>
    <w:rsid w:val="0099075B"/>
    <w:rsid w:val="009909ED"/>
    <w:rsid w:val="00990E7A"/>
    <w:rsid w:val="0099120B"/>
    <w:rsid w:val="00991FA7"/>
    <w:rsid w:val="00992009"/>
    <w:rsid w:val="009925EC"/>
    <w:rsid w:val="00996390"/>
    <w:rsid w:val="009969DF"/>
    <w:rsid w:val="009976D9"/>
    <w:rsid w:val="009A00BC"/>
    <w:rsid w:val="009A0F6D"/>
    <w:rsid w:val="009A20C1"/>
    <w:rsid w:val="009A34EE"/>
    <w:rsid w:val="009A3ADA"/>
    <w:rsid w:val="009A423F"/>
    <w:rsid w:val="009A5793"/>
    <w:rsid w:val="009A78A9"/>
    <w:rsid w:val="009A7A5C"/>
    <w:rsid w:val="009B0013"/>
    <w:rsid w:val="009B1511"/>
    <w:rsid w:val="009B299F"/>
    <w:rsid w:val="009B29BB"/>
    <w:rsid w:val="009B348C"/>
    <w:rsid w:val="009B4B7E"/>
    <w:rsid w:val="009B55C4"/>
    <w:rsid w:val="009B583A"/>
    <w:rsid w:val="009B6C33"/>
    <w:rsid w:val="009B6EF8"/>
    <w:rsid w:val="009B7603"/>
    <w:rsid w:val="009B793E"/>
    <w:rsid w:val="009B79A0"/>
    <w:rsid w:val="009C1CAA"/>
    <w:rsid w:val="009C2C14"/>
    <w:rsid w:val="009C3731"/>
    <w:rsid w:val="009C4391"/>
    <w:rsid w:val="009C5252"/>
    <w:rsid w:val="009C6A35"/>
    <w:rsid w:val="009C6A51"/>
    <w:rsid w:val="009C6A60"/>
    <w:rsid w:val="009D00FC"/>
    <w:rsid w:val="009D1F44"/>
    <w:rsid w:val="009D4854"/>
    <w:rsid w:val="009D5847"/>
    <w:rsid w:val="009D605C"/>
    <w:rsid w:val="009D6900"/>
    <w:rsid w:val="009D747A"/>
    <w:rsid w:val="009E03BE"/>
    <w:rsid w:val="009E11BB"/>
    <w:rsid w:val="009E1E5F"/>
    <w:rsid w:val="009E2235"/>
    <w:rsid w:val="009E2C5B"/>
    <w:rsid w:val="009E2FFB"/>
    <w:rsid w:val="009E30D5"/>
    <w:rsid w:val="009E4512"/>
    <w:rsid w:val="009E4CF0"/>
    <w:rsid w:val="009E4D74"/>
    <w:rsid w:val="009E54F7"/>
    <w:rsid w:val="009E5A71"/>
    <w:rsid w:val="009E6FB3"/>
    <w:rsid w:val="009E7036"/>
    <w:rsid w:val="009E7E1B"/>
    <w:rsid w:val="009F19E6"/>
    <w:rsid w:val="009F704F"/>
    <w:rsid w:val="00A00110"/>
    <w:rsid w:val="00A00BC6"/>
    <w:rsid w:val="00A014EE"/>
    <w:rsid w:val="00A037CB"/>
    <w:rsid w:val="00A0469A"/>
    <w:rsid w:val="00A0772E"/>
    <w:rsid w:val="00A11708"/>
    <w:rsid w:val="00A14007"/>
    <w:rsid w:val="00A15663"/>
    <w:rsid w:val="00A16481"/>
    <w:rsid w:val="00A2030A"/>
    <w:rsid w:val="00A20F7B"/>
    <w:rsid w:val="00A25AF8"/>
    <w:rsid w:val="00A320AB"/>
    <w:rsid w:val="00A35622"/>
    <w:rsid w:val="00A35681"/>
    <w:rsid w:val="00A36377"/>
    <w:rsid w:val="00A363D9"/>
    <w:rsid w:val="00A367EF"/>
    <w:rsid w:val="00A36ED5"/>
    <w:rsid w:val="00A37066"/>
    <w:rsid w:val="00A377B0"/>
    <w:rsid w:val="00A37AD0"/>
    <w:rsid w:val="00A405D1"/>
    <w:rsid w:val="00A41054"/>
    <w:rsid w:val="00A41E44"/>
    <w:rsid w:val="00A42254"/>
    <w:rsid w:val="00A42D27"/>
    <w:rsid w:val="00A43472"/>
    <w:rsid w:val="00A44C9F"/>
    <w:rsid w:val="00A4521A"/>
    <w:rsid w:val="00A454E6"/>
    <w:rsid w:val="00A46659"/>
    <w:rsid w:val="00A4679F"/>
    <w:rsid w:val="00A46A52"/>
    <w:rsid w:val="00A50056"/>
    <w:rsid w:val="00A502AA"/>
    <w:rsid w:val="00A51D2C"/>
    <w:rsid w:val="00A52C18"/>
    <w:rsid w:val="00A5404F"/>
    <w:rsid w:val="00A55E21"/>
    <w:rsid w:val="00A566E6"/>
    <w:rsid w:val="00A56D78"/>
    <w:rsid w:val="00A57AFC"/>
    <w:rsid w:val="00A60FAB"/>
    <w:rsid w:val="00A6220A"/>
    <w:rsid w:val="00A67754"/>
    <w:rsid w:val="00A717E4"/>
    <w:rsid w:val="00A73DA1"/>
    <w:rsid w:val="00A76FB1"/>
    <w:rsid w:val="00A776B4"/>
    <w:rsid w:val="00A80FC0"/>
    <w:rsid w:val="00A81140"/>
    <w:rsid w:val="00A87855"/>
    <w:rsid w:val="00A900E2"/>
    <w:rsid w:val="00A906D5"/>
    <w:rsid w:val="00A92027"/>
    <w:rsid w:val="00A92F62"/>
    <w:rsid w:val="00A932D8"/>
    <w:rsid w:val="00A9364F"/>
    <w:rsid w:val="00A940E3"/>
    <w:rsid w:val="00A94413"/>
    <w:rsid w:val="00A94713"/>
    <w:rsid w:val="00A95947"/>
    <w:rsid w:val="00A96BC3"/>
    <w:rsid w:val="00A96EE6"/>
    <w:rsid w:val="00A97959"/>
    <w:rsid w:val="00AA0DF0"/>
    <w:rsid w:val="00AA1180"/>
    <w:rsid w:val="00AA19A7"/>
    <w:rsid w:val="00AA204D"/>
    <w:rsid w:val="00AA2C2B"/>
    <w:rsid w:val="00AA37FC"/>
    <w:rsid w:val="00AA44B0"/>
    <w:rsid w:val="00AA4B65"/>
    <w:rsid w:val="00AA57EF"/>
    <w:rsid w:val="00AA58FA"/>
    <w:rsid w:val="00AB3A72"/>
    <w:rsid w:val="00AB3ED5"/>
    <w:rsid w:val="00AB3F5E"/>
    <w:rsid w:val="00AB4396"/>
    <w:rsid w:val="00AB6036"/>
    <w:rsid w:val="00AB7491"/>
    <w:rsid w:val="00AC03F2"/>
    <w:rsid w:val="00AC10CC"/>
    <w:rsid w:val="00AC1307"/>
    <w:rsid w:val="00AC1F0E"/>
    <w:rsid w:val="00AC4E32"/>
    <w:rsid w:val="00AC6B4C"/>
    <w:rsid w:val="00AC6E31"/>
    <w:rsid w:val="00AD0240"/>
    <w:rsid w:val="00AD1D3D"/>
    <w:rsid w:val="00AD233F"/>
    <w:rsid w:val="00AD2C2D"/>
    <w:rsid w:val="00AD4941"/>
    <w:rsid w:val="00AD4ECE"/>
    <w:rsid w:val="00AD5C04"/>
    <w:rsid w:val="00AD5CB3"/>
    <w:rsid w:val="00AD6769"/>
    <w:rsid w:val="00AD7ADF"/>
    <w:rsid w:val="00AE013D"/>
    <w:rsid w:val="00AE34E5"/>
    <w:rsid w:val="00AF200E"/>
    <w:rsid w:val="00AF203D"/>
    <w:rsid w:val="00AF299E"/>
    <w:rsid w:val="00AF2AD6"/>
    <w:rsid w:val="00AF4015"/>
    <w:rsid w:val="00AF4BD7"/>
    <w:rsid w:val="00AF55A6"/>
    <w:rsid w:val="00AF6D90"/>
    <w:rsid w:val="00AF7C75"/>
    <w:rsid w:val="00B00329"/>
    <w:rsid w:val="00B0060F"/>
    <w:rsid w:val="00B006A9"/>
    <w:rsid w:val="00B00EA0"/>
    <w:rsid w:val="00B020F4"/>
    <w:rsid w:val="00B027D1"/>
    <w:rsid w:val="00B03721"/>
    <w:rsid w:val="00B03CE2"/>
    <w:rsid w:val="00B04A8E"/>
    <w:rsid w:val="00B0682F"/>
    <w:rsid w:val="00B06BA1"/>
    <w:rsid w:val="00B11E6A"/>
    <w:rsid w:val="00B15F9D"/>
    <w:rsid w:val="00B21982"/>
    <w:rsid w:val="00B22153"/>
    <w:rsid w:val="00B24D09"/>
    <w:rsid w:val="00B25866"/>
    <w:rsid w:val="00B25A6F"/>
    <w:rsid w:val="00B25B51"/>
    <w:rsid w:val="00B31B4E"/>
    <w:rsid w:val="00B3213E"/>
    <w:rsid w:val="00B33C2F"/>
    <w:rsid w:val="00B346C7"/>
    <w:rsid w:val="00B35040"/>
    <w:rsid w:val="00B35432"/>
    <w:rsid w:val="00B364A9"/>
    <w:rsid w:val="00B37095"/>
    <w:rsid w:val="00B373AD"/>
    <w:rsid w:val="00B37E6C"/>
    <w:rsid w:val="00B40D04"/>
    <w:rsid w:val="00B4134E"/>
    <w:rsid w:val="00B4213D"/>
    <w:rsid w:val="00B421ED"/>
    <w:rsid w:val="00B42B2D"/>
    <w:rsid w:val="00B433B3"/>
    <w:rsid w:val="00B44DA3"/>
    <w:rsid w:val="00B451CE"/>
    <w:rsid w:val="00B45904"/>
    <w:rsid w:val="00B5061D"/>
    <w:rsid w:val="00B5114C"/>
    <w:rsid w:val="00B518F7"/>
    <w:rsid w:val="00B51A2C"/>
    <w:rsid w:val="00B5328A"/>
    <w:rsid w:val="00B5510F"/>
    <w:rsid w:val="00B557B8"/>
    <w:rsid w:val="00B55D96"/>
    <w:rsid w:val="00B623CE"/>
    <w:rsid w:val="00B63861"/>
    <w:rsid w:val="00B662AD"/>
    <w:rsid w:val="00B671AA"/>
    <w:rsid w:val="00B67939"/>
    <w:rsid w:val="00B70066"/>
    <w:rsid w:val="00B72ACE"/>
    <w:rsid w:val="00B73BC0"/>
    <w:rsid w:val="00B77788"/>
    <w:rsid w:val="00B77EF4"/>
    <w:rsid w:val="00B82000"/>
    <w:rsid w:val="00B82323"/>
    <w:rsid w:val="00B83446"/>
    <w:rsid w:val="00B8366E"/>
    <w:rsid w:val="00B83E55"/>
    <w:rsid w:val="00B84265"/>
    <w:rsid w:val="00B86BEE"/>
    <w:rsid w:val="00B86E05"/>
    <w:rsid w:val="00B91560"/>
    <w:rsid w:val="00B91A02"/>
    <w:rsid w:val="00B920C9"/>
    <w:rsid w:val="00B92B46"/>
    <w:rsid w:val="00B92E1C"/>
    <w:rsid w:val="00B9454C"/>
    <w:rsid w:val="00B94AD8"/>
    <w:rsid w:val="00B96729"/>
    <w:rsid w:val="00BA00A9"/>
    <w:rsid w:val="00BA0426"/>
    <w:rsid w:val="00BA1B7A"/>
    <w:rsid w:val="00BA3262"/>
    <w:rsid w:val="00BA36A5"/>
    <w:rsid w:val="00BA548A"/>
    <w:rsid w:val="00BA65A5"/>
    <w:rsid w:val="00BA69F4"/>
    <w:rsid w:val="00BB0CC2"/>
    <w:rsid w:val="00BB1A72"/>
    <w:rsid w:val="00BB37FC"/>
    <w:rsid w:val="00BB4824"/>
    <w:rsid w:val="00BB6202"/>
    <w:rsid w:val="00BB64C1"/>
    <w:rsid w:val="00BB66A8"/>
    <w:rsid w:val="00BB7698"/>
    <w:rsid w:val="00BC0F15"/>
    <w:rsid w:val="00BC15AB"/>
    <w:rsid w:val="00BC2070"/>
    <w:rsid w:val="00BC250E"/>
    <w:rsid w:val="00BC26D1"/>
    <w:rsid w:val="00BC30AA"/>
    <w:rsid w:val="00BC3FE1"/>
    <w:rsid w:val="00BC411F"/>
    <w:rsid w:val="00BC63BC"/>
    <w:rsid w:val="00BC6991"/>
    <w:rsid w:val="00BC7267"/>
    <w:rsid w:val="00BD000E"/>
    <w:rsid w:val="00BD0947"/>
    <w:rsid w:val="00BD1191"/>
    <w:rsid w:val="00BD1625"/>
    <w:rsid w:val="00BD1BDB"/>
    <w:rsid w:val="00BD24F0"/>
    <w:rsid w:val="00BD2516"/>
    <w:rsid w:val="00BD3667"/>
    <w:rsid w:val="00BD3AD2"/>
    <w:rsid w:val="00BD412A"/>
    <w:rsid w:val="00BD428D"/>
    <w:rsid w:val="00BD4548"/>
    <w:rsid w:val="00BD4F79"/>
    <w:rsid w:val="00BD5D7A"/>
    <w:rsid w:val="00BD6BED"/>
    <w:rsid w:val="00BD7483"/>
    <w:rsid w:val="00BE0E74"/>
    <w:rsid w:val="00BE226E"/>
    <w:rsid w:val="00BE3A35"/>
    <w:rsid w:val="00BE3B2F"/>
    <w:rsid w:val="00BE57CA"/>
    <w:rsid w:val="00BE62F8"/>
    <w:rsid w:val="00BE67A1"/>
    <w:rsid w:val="00BF06C1"/>
    <w:rsid w:val="00BF0748"/>
    <w:rsid w:val="00BF1243"/>
    <w:rsid w:val="00BF2DD3"/>
    <w:rsid w:val="00BF4BE6"/>
    <w:rsid w:val="00BF4D3B"/>
    <w:rsid w:val="00BF6D06"/>
    <w:rsid w:val="00BF7D1A"/>
    <w:rsid w:val="00BF7E9F"/>
    <w:rsid w:val="00C007B9"/>
    <w:rsid w:val="00C0130F"/>
    <w:rsid w:val="00C0343A"/>
    <w:rsid w:val="00C04B04"/>
    <w:rsid w:val="00C0590E"/>
    <w:rsid w:val="00C1122F"/>
    <w:rsid w:val="00C117CB"/>
    <w:rsid w:val="00C12849"/>
    <w:rsid w:val="00C134E5"/>
    <w:rsid w:val="00C13832"/>
    <w:rsid w:val="00C15C48"/>
    <w:rsid w:val="00C16490"/>
    <w:rsid w:val="00C1712D"/>
    <w:rsid w:val="00C17535"/>
    <w:rsid w:val="00C20E42"/>
    <w:rsid w:val="00C22635"/>
    <w:rsid w:val="00C22842"/>
    <w:rsid w:val="00C23048"/>
    <w:rsid w:val="00C23621"/>
    <w:rsid w:val="00C2421C"/>
    <w:rsid w:val="00C25515"/>
    <w:rsid w:val="00C26070"/>
    <w:rsid w:val="00C265CC"/>
    <w:rsid w:val="00C27231"/>
    <w:rsid w:val="00C273AE"/>
    <w:rsid w:val="00C3109F"/>
    <w:rsid w:val="00C31ECA"/>
    <w:rsid w:val="00C3292E"/>
    <w:rsid w:val="00C349AC"/>
    <w:rsid w:val="00C34B07"/>
    <w:rsid w:val="00C34CB6"/>
    <w:rsid w:val="00C3596C"/>
    <w:rsid w:val="00C359E4"/>
    <w:rsid w:val="00C35EDD"/>
    <w:rsid w:val="00C36DFA"/>
    <w:rsid w:val="00C400E5"/>
    <w:rsid w:val="00C41E21"/>
    <w:rsid w:val="00C4317A"/>
    <w:rsid w:val="00C431E7"/>
    <w:rsid w:val="00C44D26"/>
    <w:rsid w:val="00C4656F"/>
    <w:rsid w:val="00C46981"/>
    <w:rsid w:val="00C471B8"/>
    <w:rsid w:val="00C472F7"/>
    <w:rsid w:val="00C47587"/>
    <w:rsid w:val="00C47D1B"/>
    <w:rsid w:val="00C503FF"/>
    <w:rsid w:val="00C50698"/>
    <w:rsid w:val="00C515D8"/>
    <w:rsid w:val="00C518A2"/>
    <w:rsid w:val="00C519E8"/>
    <w:rsid w:val="00C51B23"/>
    <w:rsid w:val="00C51DB4"/>
    <w:rsid w:val="00C53782"/>
    <w:rsid w:val="00C53E72"/>
    <w:rsid w:val="00C546A6"/>
    <w:rsid w:val="00C54BE5"/>
    <w:rsid w:val="00C562FE"/>
    <w:rsid w:val="00C56A45"/>
    <w:rsid w:val="00C57553"/>
    <w:rsid w:val="00C6012D"/>
    <w:rsid w:val="00C61475"/>
    <w:rsid w:val="00C61B3E"/>
    <w:rsid w:val="00C61F98"/>
    <w:rsid w:val="00C62190"/>
    <w:rsid w:val="00C636D0"/>
    <w:rsid w:val="00C6630B"/>
    <w:rsid w:val="00C66F29"/>
    <w:rsid w:val="00C673D1"/>
    <w:rsid w:val="00C70684"/>
    <w:rsid w:val="00C716E5"/>
    <w:rsid w:val="00C71B02"/>
    <w:rsid w:val="00C7286C"/>
    <w:rsid w:val="00C73CC8"/>
    <w:rsid w:val="00C7460D"/>
    <w:rsid w:val="00C74C5A"/>
    <w:rsid w:val="00C76CED"/>
    <w:rsid w:val="00C7739C"/>
    <w:rsid w:val="00C77CD0"/>
    <w:rsid w:val="00C8009A"/>
    <w:rsid w:val="00C80153"/>
    <w:rsid w:val="00C801FE"/>
    <w:rsid w:val="00C805BA"/>
    <w:rsid w:val="00C8083C"/>
    <w:rsid w:val="00C80F8C"/>
    <w:rsid w:val="00C8162E"/>
    <w:rsid w:val="00C81D68"/>
    <w:rsid w:val="00C828BE"/>
    <w:rsid w:val="00C82C57"/>
    <w:rsid w:val="00C834AA"/>
    <w:rsid w:val="00C84585"/>
    <w:rsid w:val="00C86144"/>
    <w:rsid w:val="00C87926"/>
    <w:rsid w:val="00C87AB8"/>
    <w:rsid w:val="00C90A72"/>
    <w:rsid w:val="00C92091"/>
    <w:rsid w:val="00C92FA3"/>
    <w:rsid w:val="00C946FA"/>
    <w:rsid w:val="00C94DA4"/>
    <w:rsid w:val="00C94EA7"/>
    <w:rsid w:val="00C9682A"/>
    <w:rsid w:val="00C97E22"/>
    <w:rsid w:val="00CA210B"/>
    <w:rsid w:val="00CA29AC"/>
    <w:rsid w:val="00CA2AE3"/>
    <w:rsid w:val="00CA30DF"/>
    <w:rsid w:val="00CA456C"/>
    <w:rsid w:val="00CA460D"/>
    <w:rsid w:val="00CA4FB8"/>
    <w:rsid w:val="00CA5A93"/>
    <w:rsid w:val="00CA66DF"/>
    <w:rsid w:val="00CA7476"/>
    <w:rsid w:val="00CA7C1E"/>
    <w:rsid w:val="00CB2A57"/>
    <w:rsid w:val="00CB33EF"/>
    <w:rsid w:val="00CB5BCD"/>
    <w:rsid w:val="00CB7F63"/>
    <w:rsid w:val="00CC0C5D"/>
    <w:rsid w:val="00CC0EE1"/>
    <w:rsid w:val="00CC22DD"/>
    <w:rsid w:val="00CC2BF2"/>
    <w:rsid w:val="00CC30A8"/>
    <w:rsid w:val="00CC5E23"/>
    <w:rsid w:val="00CC6364"/>
    <w:rsid w:val="00CC702F"/>
    <w:rsid w:val="00CC7405"/>
    <w:rsid w:val="00CD0055"/>
    <w:rsid w:val="00CD2845"/>
    <w:rsid w:val="00CD2AE3"/>
    <w:rsid w:val="00CD4A97"/>
    <w:rsid w:val="00CD5EEA"/>
    <w:rsid w:val="00CD7C46"/>
    <w:rsid w:val="00CE0017"/>
    <w:rsid w:val="00CE0F87"/>
    <w:rsid w:val="00CE1592"/>
    <w:rsid w:val="00CE4075"/>
    <w:rsid w:val="00CE46FC"/>
    <w:rsid w:val="00CE4AA8"/>
    <w:rsid w:val="00CE4ACF"/>
    <w:rsid w:val="00CE4CC9"/>
    <w:rsid w:val="00CE58C5"/>
    <w:rsid w:val="00CE657B"/>
    <w:rsid w:val="00CE6664"/>
    <w:rsid w:val="00CF0C04"/>
    <w:rsid w:val="00CF108B"/>
    <w:rsid w:val="00CF346E"/>
    <w:rsid w:val="00CF4303"/>
    <w:rsid w:val="00CF67F8"/>
    <w:rsid w:val="00CF6971"/>
    <w:rsid w:val="00CF6B0F"/>
    <w:rsid w:val="00D01EDC"/>
    <w:rsid w:val="00D027E3"/>
    <w:rsid w:val="00D035FA"/>
    <w:rsid w:val="00D06512"/>
    <w:rsid w:val="00D073F7"/>
    <w:rsid w:val="00D101FD"/>
    <w:rsid w:val="00D10312"/>
    <w:rsid w:val="00D11533"/>
    <w:rsid w:val="00D121AE"/>
    <w:rsid w:val="00D1236B"/>
    <w:rsid w:val="00D1245C"/>
    <w:rsid w:val="00D12E08"/>
    <w:rsid w:val="00D16EAC"/>
    <w:rsid w:val="00D17DCA"/>
    <w:rsid w:val="00D236C3"/>
    <w:rsid w:val="00D24764"/>
    <w:rsid w:val="00D24A5F"/>
    <w:rsid w:val="00D269B7"/>
    <w:rsid w:val="00D276C6"/>
    <w:rsid w:val="00D278A7"/>
    <w:rsid w:val="00D27A23"/>
    <w:rsid w:val="00D303FA"/>
    <w:rsid w:val="00D31A46"/>
    <w:rsid w:val="00D31B82"/>
    <w:rsid w:val="00D31BFC"/>
    <w:rsid w:val="00D32B38"/>
    <w:rsid w:val="00D33B5C"/>
    <w:rsid w:val="00D34301"/>
    <w:rsid w:val="00D3463B"/>
    <w:rsid w:val="00D35612"/>
    <w:rsid w:val="00D35C16"/>
    <w:rsid w:val="00D3622F"/>
    <w:rsid w:val="00D36B89"/>
    <w:rsid w:val="00D371C6"/>
    <w:rsid w:val="00D372B2"/>
    <w:rsid w:val="00D37AAA"/>
    <w:rsid w:val="00D41363"/>
    <w:rsid w:val="00D4136B"/>
    <w:rsid w:val="00D418A9"/>
    <w:rsid w:val="00D41D70"/>
    <w:rsid w:val="00D42175"/>
    <w:rsid w:val="00D42497"/>
    <w:rsid w:val="00D43208"/>
    <w:rsid w:val="00D437AD"/>
    <w:rsid w:val="00D439E6"/>
    <w:rsid w:val="00D44F7D"/>
    <w:rsid w:val="00D463BD"/>
    <w:rsid w:val="00D46A09"/>
    <w:rsid w:val="00D47351"/>
    <w:rsid w:val="00D50580"/>
    <w:rsid w:val="00D513C7"/>
    <w:rsid w:val="00D518E8"/>
    <w:rsid w:val="00D51AEA"/>
    <w:rsid w:val="00D523CA"/>
    <w:rsid w:val="00D5352C"/>
    <w:rsid w:val="00D53645"/>
    <w:rsid w:val="00D547F7"/>
    <w:rsid w:val="00D57A4E"/>
    <w:rsid w:val="00D600E3"/>
    <w:rsid w:val="00D6203D"/>
    <w:rsid w:val="00D649B8"/>
    <w:rsid w:val="00D66740"/>
    <w:rsid w:val="00D66A2A"/>
    <w:rsid w:val="00D66B59"/>
    <w:rsid w:val="00D7015C"/>
    <w:rsid w:val="00D70B6F"/>
    <w:rsid w:val="00D70F1D"/>
    <w:rsid w:val="00D71585"/>
    <w:rsid w:val="00D72B26"/>
    <w:rsid w:val="00D75214"/>
    <w:rsid w:val="00D77B71"/>
    <w:rsid w:val="00D80763"/>
    <w:rsid w:val="00D83CE5"/>
    <w:rsid w:val="00D851F2"/>
    <w:rsid w:val="00D90475"/>
    <w:rsid w:val="00D90C56"/>
    <w:rsid w:val="00D91FB9"/>
    <w:rsid w:val="00D94608"/>
    <w:rsid w:val="00D950A6"/>
    <w:rsid w:val="00D95EF8"/>
    <w:rsid w:val="00D9665A"/>
    <w:rsid w:val="00DA05E7"/>
    <w:rsid w:val="00DA0AF6"/>
    <w:rsid w:val="00DA0B77"/>
    <w:rsid w:val="00DA299A"/>
    <w:rsid w:val="00DA4C11"/>
    <w:rsid w:val="00DA62F5"/>
    <w:rsid w:val="00DA63C9"/>
    <w:rsid w:val="00DB012F"/>
    <w:rsid w:val="00DB091D"/>
    <w:rsid w:val="00DB0EDA"/>
    <w:rsid w:val="00DB23C1"/>
    <w:rsid w:val="00DB33CA"/>
    <w:rsid w:val="00DB57CE"/>
    <w:rsid w:val="00DC215D"/>
    <w:rsid w:val="00DC27D5"/>
    <w:rsid w:val="00DC3650"/>
    <w:rsid w:val="00DC3B6D"/>
    <w:rsid w:val="00DC3E83"/>
    <w:rsid w:val="00DC59EC"/>
    <w:rsid w:val="00DC70B3"/>
    <w:rsid w:val="00DC752F"/>
    <w:rsid w:val="00DC78FB"/>
    <w:rsid w:val="00DC7CC1"/>
    <w:rsid w:val="00DD0FEA"/>
    <w:rsid w:val="00DD10D7"/>
    <w:rsid w:val="00DD1AE4"/>
    <w:rsid w:val="00DD1B85"/>
    <w:rsid w:val="00DD1D6B"/>
    <w:rsid w:val="00DD324F"/>
    <w:rsid w:val="00DD36E9"/>
    <w:rsid w:val="00DD430C"/>
    <w:rsid w:val="00DD43B7"/>
    <w:rsid w:val="00DD4B66"/>
    <w:rsid w:val="00DD4EA2"/>
    <w:rsid w:val="00DD5A5D"/>
    <w:rsid w:val="00DD747F"/>
    <w:rsid w:val="00DE0181"/>
    <w:rsid w:val="00DE03DC"/>
    <w:rsid w:val="00DE0BBF"/>
    <w:rsid w:val="00DE0BC1"/>
    <w:rsid w:val="00DE0D39"/>
    <w:rsid w:val="00DE18CF"/>
    <w:rsid w:val="00DE1D18"/>
    <w:rsid w:val="00DE5A9A"/>
    <w:rsid w:val="00DE7F9A"/>
    <w:rsid w:val="00DF0B40"/>
    <w:rsid w:val="00DF0D44"/>
    <w:rsid w:val="00DF1135"/>
    <w:rsid w:val="00DF1223"/>
    <w:rsid w:val="00DF134A"/>
    <w:rsid w:val="00DF13C0"/>
    <w:rsid w:val="00DF28B2"/>
    <w:rsid w:val="00DF3014"/>
    <w:rsid w:val="00DF3CE0"/>
    <w:rsid w:val="00DF3F63"/>
    <w:rsid w:val="00DF50E2"/>
    <w:rsid w:val="00DF74A1"/>
    <w:rsid w:val="00E000A7"/>
    <w:rsid w:val="00E004A7"/>
    <w:rsid w:val="00E010DE"/>
    <w:rsid w:val="00E01862"/>
    <w:rsid w:val="00E01ED7"/>
    <w:rsid w:val="00E020A1"/>
    <w:rsid w:val="00E023C9"/>
    <w:rsid w:val="00E02EC1"/>
    <w:rsid w:val="00E03758"/>
    <w:rsid w:val="00E048A0"/>
    <w:rsid w:val="00E05C70"/>
    <w:rsid w:val="00E05DF2"/>
    <w:rsid w:val="00E07F0A"/>
    <w:rsid w:val="00E10E5D"/>
    <w:rsid w:val="00E1262E"/>
    <w:rsid w:val="00E14C8B"/>
    <w:rsid w:val="00E16244"/>
    <w:rsid w:val="00E162C7"/>
    <w:rsid w:val="00E16369"/>
    <w:rsid w:val="00E16AC1"/>
    <w:rsid w:val="00E204B7"/>
    <w:rsid w:val="00E207FE"/>
    <w:rsid w:val="00E21052"/>
    <w:rsid w:val="00E21C20"/>
    <w:rsid w:val="00E2306B"/>
    <w:rsid w:val="00E2538E"/>
    <w:rsid w:val="00E261A8"/>
    <w:rsid w:val="00E26B94"/>
    <w:rsid w:val="00E32DD1"/>
    <w:rsid w:val="00E330B2"/>
    <w:rsid w:val="00E33369"/>
    <w:rsid w:val="00E33766"/>
    <w:rsid w:val="00E34300"/>
    <w:rsid w:val="00E34890"/>
    <w:rsid w:val="00E35739"/>
    <w:rsid w:val="00E35CAE"/>
    <w:rsid w:val="00E369C3"/>
    <w:rsid w:val="00E4041D"/>
    <w:rsid w:val="00E40D16"/>
    <w:rsid w:val="00E430A9"/>
    <w:rsid w:val="00E4549D"/>
    <w:rsid w:val="00E45F6B"/>
    <w:rsid w:val="00E46895"/>
    <w:rsid w:val="00E47425"/>
    <w:rsid w:val="00E53D1B"/>
    <w:rsid w:val="00E545EF"/>
    <w:rsid w:val="00E5532F"/>
    <w:rsid w:val="00E558B1"/>
    <w:rsid w:val="00E55E95"/>
    <w:rsid w:val="00E55ECE"/>
    <w:rsid w:val="00E56D64"/>
    <w:rsid w:val="00E60472"/>
    <w:rsid w:val="00E61731"/>
    <w:rsid w:val="00E619AC"/>
    <w:rsid w:val="00E6267E"/>
    <w:rsid w:val="00E62DB9"/>
    <w:rsid w:val="00E62F48"/>
    <w:rsid w:val="00E640ED"/>
    <w:rsid w:val="00E64143"/>
    <w:rsid w:val="00E6514E"/>
    <w:rsid w:val="00E66AC9"/>
    <w:rsid w:val="00E66CA0"/>
    <w:rsid w:val="00E70607"/>
    <w:rsid w:val="00E71476"/>
    <w:rsid w:val="00E7373D"/>
    <w:rsid w:val="00E73FB2"/>
    <w:rsid w:val="00E744D4"/>
    <w:rsid w:val="00E805C5"/>
    <w:rsid w:val="00E81221"/>
    <w:rsid w:val="00E8169E"/>
    <w:rsid w:val="00E82A53"/>
    <w:rsid w:val="00E8311E"/>
    <w:rsid w:val="00E86E4F"/>
    <w:rsid w:val="00E87ACA"/>
    <w:rsid w:val="00E91AC2"/>
    <w:rsid w:val="00E945A1"/>
    <w:rsid w:val="00E94C51"/>
    <w:rsid w:val="00E954B7"/>
    <w:rsid w:val="00E95D22"/>
    <w:rsid w:val="00EA061E"/>
    <w:rsid w:val="00EA0658"/>
    <w:rsid w:val="00EA4CD3"/>
    <w:rsid w:val="00EA6925"/>
    <w:rsid w:val="00EA699B"/>
    <w:rsid w:val="00EA6D71"/>
    <w:rsid w:val="00EA75AA"/>
    <w:rsid w:val="00EB108B"/>
    <w:rsid w:val="00EB1551"/>
    <w:rsid w:val="00EB160E"/>
    <w:rsid w:val="00EB1965"/>
    <w:rsid w:val="00EB29D3"/>
    <w:rsid w:val="00EB3E96"/>
    <w:rsid w:val="00EB403C"/>
    <w:rsid w:val="00EB49F3"/>
    <w:rsid w:val="00EB4AF6"/>
    <w:rsid w:val="00EB57EC"/>
    <w:rsid w:val="00EB5BD5"/>
    <w:rsid w:val="00EB648C"/>
    <w:rsid w:val="00EB680A"/>
    <w:rsid w:val="00EB69E1"/>
    <w:rsid w:val="00EC0103"/>
    <w:rsid w:val="00EC21A7"/>
    <w:rsid w:val="00EC35B4"/>
    <w:rsid w:val="00EC3967"/>
    <w:rsid w:val="00EC40CC"/>
    <w:rsid w:val="00EC6696"/>
    <w:rsid w:val="00EC7099"/>
    <w:rsid w:val="00ED1375"/>
    <w:rsid w:val="00ED2A18"/>
    <w:rsid w:val="00ED3020"/>
    <w:rsid w:val="00ED39C1"/>
    <w:rsid w:val="00ED4629"/>
    <w:rsid w:val="00ED4E84"/>
    <w:rsid w:val="00ED7C7A"/>
    <w:rsid w:val="00ED7CAF"/>
    <w:rsid w:val="00ED7D9E"/>
    <w:rsid w:val="00EE12AB"/>
    <w:rsid w:val="00EE277C"/>
    <w:rsid w:val="00EE57A3"/>
    <w:rsid w:val="00EE5DA3"/>
    <w:rsid w:val="00EF00D9"/>
    <w:rsid w:val="00EF079E"/>
    <w:rsid w:val="00EF0E89"/>
    <w:rsid w:val="00EF1F2A"/>
    <w:rsid w:val="00EF4435"/>
    <w:rsid w:val="00F00AB6"/>
    <w:rsid w:val="00F00D29"/>
    <w:rsid w:val="00F01589"/>
    <w:rsid w:val="00F016F3"/>
    <w:rsid w:val="00F02049"/>
    <w:rsid w:val="00F04610"/>
    <w:rsid w:val="00F04F66"/>
    <w:rsid w:val="00F069F1"/>
    <w:rsid w:val="00F070E8"/>
    <w:rsid w:val="00F10ED4"/>
    <w:rsid w:val="00F122A0"/>
    <w:rsid w:val="00F12A0E"/>
    <w:rsid w:val="00F14E59"/>
    <w:rsid w:val="00F172EE"/>
    <w:rsid w:val="00F179D8"/>
    <w:rsid w:val="00F2098F"/>
    <w:rsid w:val="00F219A8"/>
    <w:rsid w:val="00F23450"/>
    <w:rsid w:val="00F25459"/>
    <w:rsid w:val="00F26169"/>
    <w:rsid w:val="00F271DD"/>
    <w:rsid w:val="00F300EF"/>
    <w:rsid w:val="00F302F4"/>
    <w:rsid w:val="00F30A7B"/>
    <w:rsid w:val="00F30EC1"/>
    <w:rsid w:val="00F30F7B"/>
    <w:rsid w:val="00F31401"/>
    <w:rsid w:val="00F32BCB"/>
    <w:rsid w:val="00F3329C"/>
    <w:rsid w:val="00F34964"/>
    <w:rsid w:val="00F366CD"/>
    <w:rsid w:val="00F36CCC"/>
    <w:rsid w:val="00F37637"/>
    <w:rsid w:val="00F40718"/>
    <w:rsid w:val="00F41380"/>
    <w:rsid w:val="00F414B3"/>
    <w:rsid w:val="00F45839"/>
    <w:rsid w:val="00F46A8F"/>
    <w:rsid w:val="00F4715B"/>
    <w:rsid w:val="00F47385"/>
    <w:rsid w:val="00F47EF8"/>
    <w:rsid w:val="00F5012C"/>
    <w:rsid w:val="00F5164C"/>
    <w:rsid w:val="00F533A1"/>
    <w:rsid w:val="00F552FA"/>
    <w:rsid w:val="00F5530B"/>
    <w:rsid w:val="00F567A8"/>
    <w:rsid w:val="00F5729F"/>
    <w:rsid w:val="00F574F8"/>
    <w:rsid w:val="00F600F2"/>
    <w:rsid w:val="00F6065B"/>
    <w:rsid w:val="00F63C1F"/>
    <w:rsid w:val="00F65053"/>
    <w:rsid w:val="00F702B4"/>
    <w:rsid w:val="00F74ED2"/>
    <w:rsid w:val="00F75810"/>
    <w:rsid w:val="00F75E36"/>
    <w:rsid w:val="00F80729"/>
    <w:rsid w:val="00F80996"/>
    <w:rsid w:val="00F81C34"/>
    <w:rsid w:val="00F82380"/>
    <w:rsid w:val="00F82EA9"/>
    <w:rsid w:val="00F84BAA"/>
    <w:rsid w:val="00F84D35"/>
    <w:rsid w:val="00F86C3E"/>
    <w:rsid w:val="00F8725D"/>
    <w:rsid w:val="00F87384"/>
    <w:rsid w:val="00F878EA"/>
    <w:rsid w:val="00F907B2"/>
    <w:rsid w:val="00F92058"/>
    <w:rsid w:val="00F944D7"/>
    <w:rsid w:val="00F95C1D"/>
    <w:rsid w:val="00F97F78"/>
    <w:rsid w:val="00FA43A4"/>
    <w:rsid w:val="00FA43F5"/>
    <w:rsid w:val="00FA499D"/>
    <w:rsid w:val="00FA5129"/>
    <w:rsid w:val="00FA62D8"/>
    <w:rsid w:val="00FA7151"/>
    <w:rsid w:val="00FA7B5A"/>
    <w:rsid w:val="00FA7B91"/>
    <w:rsid w:val="00FA7FF8"/>
    <w:rsid w:val="00FB1D39"/>
    <w:rsid w:val="00FB2122"/>
    <w:rsid w:val="00FB40AA"/>
    <w:rsid w:val="00FB48D6"/>
    <w:rsid w:val="00FB59B6"/>
    <w:rsid w:val="00FC2A75"/>
    <w:rsid w:val="00FC3122"/>
    <w:rsid w:val="00FC3695"/>
    <w:rsid w:val="00FC5295"/>
    <w:rsid w:val="00FC5C77"/>
    <w:rsid w:val="00FC6CDB"/>
    <w:rsid w:val="00FD0E90"/>
    <w:rsid w:val="00FD1DE6"/>
    <w:rsid w:val="00FD64C4"/>
    <w:rsid w:val="00FD6EAB"/>
    <w:rsid w:val="00FD7CD2"/>
    <w:rsid w:val="00FE021A"/>
    <w:rsid w:val="00FE1A69"/>
    <w:rsid w:val="00FE1B57"/>
    <w:rsid w:val="00FE1F79"/>
    <w:rsid w:val="00FE2C96"/>
    <w:rsid w:val="00FE43BA"/>
    <w:rsid w:val="00FE5006"/>
    <w:rsid w:val="00FE5219"/>
    <w:rsid w:val="00FE547A"/>
    <w:rsid w:val="00FE56B4"/>
    <w:rsid w:val="00FE6C02"/>
    <w:rsid w:val="00FE71F9"/>
    <w:rsid w:val="00FE7747"/>
    <w:rsid w:val="00FF0271"/>
    <w:rsid w:val="00FF0383"/>
    <w:rsid w:val="00FF32F3"/>
    <w:rsid w:val="00FF3308"/>
    <w:rsid w:val="00FF3CDA"/>
    <w:rsid w:val="00FF607A"/>
    <w:rsid w:val="00FF63C5"/>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E8CC70D"/>
  <w15:docId w15:val="{BF14805D-73AA-4E40-AC49-05403952E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0F8C"/>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7F61D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A6EFE"/>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776B4"/>
    <w:pPr>
      <w:keepNext/>
      <w:keepLines/>
      <w:spacing w:before="40"/>
      <w:outlineLvl w:val="2"/>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D485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9D4854"/>
    <w:pPr>
      <w:ind w:left="708"/>
    </w:pPr>
  </w:style>
  <w:style w:type="table" w:styleId="Tablaconcuadrcula">
    <w:name w:val="Table Grid"/>
    <w:basedOn w:val="Tablanormal"/>
    <w:uiPriority w:val="59"/>
    <w:rsid w:val="00AB3F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AB3F5E"/>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AB3F5E"/>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AB3F5E"/>
    <w:rPr>
      <w:vertAlign w:val="superscript"/>
    </w:rPr>
  </w:style>
  <w:style w:type="character" w:customStyle="1" w:styleId="Ttulo2Car">
    <w:name w:val="Título 2 Car"/>
    <w:basedOn w:val="Fuentedeprrafopredeter"/>
    <w:link w:val="Ttulo2"/>
    <w:uiPriority w:val="9"/>
    <w:rsid w:val="004A6EFE"/>
    <w:rPr>
      <w:rFonts w:asciiTheme="majorHAnsi" w:eastAsiaTheme="majorEastAsia" w:hAnsiTheme="majorHAnsi" w:cstheme="majorBidi"/>
      <w:color w:val="365F91" w:themeColor="accent1" w:themeShade="BF"/>
      <w:sz w:val="26"/>
      <w:szCs w:val="26"/>
      <w:lang w:val="es-ES"/>
    </w:rPr>
  </w:style>
  <w:style w:type="character" w:customStyle="1" w:styleId="apple-converted-space">
    <w:name w:val="apple-converted-space"/>
    <w:basedOn w:val="Fuentedeprrafopredeter"/>
    <w:rsid w:val="00A5404F"/>
  </w:style>
  <w:style w:type="character" w:customStyle="1" w:styleId="normaltextrun">
    <w:name w:val="normaltextrun"/>
    <w:basedOn w:val="Fuentedeprrafopredeter"/>
    <w:rsid w:val="00355B75"/>
  </w:style>
  <w:style w:type="paragraph" w:customStyle="1" w:styleId="paragraph">
    <w:name w:val="paragraph"/>
    <w:basedOn w:val="Normal"/>
    <w:rsid w:val="00355B75"/>
    <w:pPr>
      <w:spacing w:before="100" w:beforeAutospacing="1" w:after="100" w:afterAutospacing="1"/>
    </w:pPr>
    <w:rPr>
      <w:lang w:val="es-MX" w:eastAsia="es-MX"/>
    </w:rPr>
  </w:style>
  <w:style w:type="character" w:customStyle="1" w:styleId="eop">
    <w:name w:val="eop"/>
    <w:basedOn w:val="Fuentedeprrafopredeter"/>
    <w:rsid w:val="00355B75"/>
  </w:style>
  <w:style w:type="character" w:styleId="Hipervnculo">
    <w:name w:val="Hyperlink"/>
    <w:basedOn w:val="Fuentedeprrafopredeter"/>
    <w:uiPriority w:val="99"/>
    <w:unhideWhenUsed/>
    <w:rsid w:val="00623EA3"/>
    <w:rPr>
      <w:color w:val="0000FF" w:themeColor="hyperlink"/>
      <w:u w:val="single"/>
    </w:rPr>
  </w:style>
  <w:style w:type="character" w:customStyle="1" w:styleId="nacep">
    <w:name w:val="n_acep"/>
    <w:basedOn w:val="Fuentedeprrafopredeter"/>
    <w:rsid w:val="00585C24"/>
  </w:style>
  <w:style w:type="paragraph" w:customStyle="1" w:styleId="Texto">
    <w:name w:val="Texto"/>
    <w:basedOn w:val="Normal"/>
    <w:link w:val="TextoCar"/>
    <w:qFormat/>
    <w:rsid w:val="009573BD"/>
    <w:pPr>
      <w:spacing w:after="101" w:line="216" w:lineRule="exact"/>
      <w:ind w:firstLine="288"/>
      <w:jc w:val="both"/>
    </w:pPr>
    <w:rPr>
      <w:rFonts w:ascii="Arial" w:hAnsi="Arial" w:cs="Arial"/>
      <w:sz w:val="18"/>
      <w:szCs w:val="20"/>
    </w:rPr>
  </w:style>
  <w:style w:type="character" w:customStyle="1" w:styleId="TextoCar">
    <w:name w:val="Texto Car"/>
    <w:link w:val="Texto"/>
    <w:locked/>
    <w:rsid w:val="009573BD"/>
    <w:rPr>
      <w:rFonts w:ascii="Arial" w:eastAsia="Times New Roman" w:hAnsi="Arial" w:cs="Arial"/>
      <w:sz w:val="18"/>
      <w:szCs w:val="20"/>
      <w:lang w:val="es-ES"/>
    </w:rPr>
  </w:style>
  <w:style w:type="character" w:customStyle="1" w:styleId="Ttulo1Car">
    <w:name w:val="Título 1 Car"/>
    <w:basedOn w:val="Fuentedeprrafopredeter"/>
    <w:link w:val="Ttulo1"/>
    <w:uiPriority w:val="9"/>
    <w:rsid w:val="007F61DA"/>
    <w:rPr>
      <w:rFonts w:asciiTheme="majorHAnsi" w:eastAsiaTheme="majorEastAsia" w:hAnsiTheme="majorHAnsi" w:cstheme="majorBidi"/>
      <w:color w:val="365F91" w:themeColor="accent1" w:themeShade="BF"/>
      <w:sz w:val="32"/>
      <w:szCs w:val="32"/>
      <w:lang w:val="es-ES"/>
    </w:rPr>
  </w:style>
  <w:style w:type="paragraph" w:customStyle="1" w:styleId="Default">
    <w:name w:val="Default"/>
    <w:rsid w:val="00DF0D44"/>
    <w:pPr>
      <w:autoSpaceDE w:val="0"/>
      <w:autoSpaceDN w:val="0"/>
      <w:adjustRightInd w:val="0"/>
    </w:pPr>
    <w:rPr>
      <w:rFonts w:ascii="Arial" w:hAnsi="Arial" w:cs="Arial"/>
      <w:color w:val="000000"/>
      <w:lang w:val="es-MX"/>
    </w:rPr>
  </w:style>
  <w:style w:type="paragraph" w:styleId="Sinespaciado">
    <w:name w:val="No Spacing"/>
    <w:aliases w:val="Francesa,INAI"/>
    <w:link w:val="SinespaciadoCar"/>
    <w:uiPriority w:val="1"/>
    <w:qFormat/>
    <w:rsid w:val="00932CFF"/>
    <w:rPr>
      <w:rFonts w:ascii="Times New Roman" w:eastAsia="Times New Roman" w:hAnsi="Times New Roman" w:cs="Times New Roman"/>
      <w:lang w:val="es-MX"/>
    </w:rPr>
  </w:style>
  <w:style w:type="character" w:styleId="Textoennegrita">
    <w:name w:val="Strong"/>
    <w:uiPriority w:val="22"/>
    <w:qFormat/>
    <w:rsid w:val="00932CFF"/>
    <w:rPr>
      <w:b/>
      <w:bCs/>
    </w:rPr>
  </w:style>
  <w:style w:type="character" w:customStyle="1" w:styleId="SinespaciadoCar">
    <w:name w:val="Sin espaciado Car"/>
    <w:aliases w:val="Francesa Car,INAI Car"/>
    <w:link w:val="Sinespaciado"/>
    <w:uiPriority w:val="1"/>
    <w:locked/>
    <w:rsid w:val="00932CFF"/>
    <w:rPr>
      <w:rFonts w:ascii="Times New Roman" w:eastAsia="Times New Roman" w:hAnsi="Times New Roman" w:cs="Times New Roman"/>
      <w:lang w:val="es-MX"/>
    </w:rPr>
  </w:style>
  <w:style w:type="paragraph" w:styleId="NormalWeb">
    <w:name w:val="Normal (Web)"/>
    <w:basedOn w:val="Normal"/>
    <w:uiPriority w:val="99"/>
    <w:unhideWhenUsed/>
    <w:rsid w:val="00444919"/>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A776B4"/>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A776B4"/>
    <w:pPr>
      <w:ind w:left="283" w:hanging="283"/>
      <w:contextualSpacing/>
    </w:pPr>
  </w:style>
  <w:style w:type="paragraph" w:styleId="Lista2">
    <w:name w:val="List 2"/>
    <w:basedOn w:val="Normal"/>
    <w:uiPriority w:val="99"/>
    <w:unhideWhenUsed/>
    <w:rsid w:val="00A776B4"/>
    <w:pPr>
      <w:ind w:left="566" w:hanging="283"/>
      <w:contextualSpacing/>
    </w:pPr>
  </w:style>
  <w:style w:type="paragraph" w:styleId="Lista3">
    <w:name w:val="List 3"/>
    <w:basedOn w:val="Normal"/>
    <w:uiPriority w:val="99"/>
    <w:unhideWhenUsed/>
    <w:rsid w:val="00A776B4"/>
    <w:pPr>
      <w:ind w:left="849" w:hanging="283"/>
      <w:contextualSpacing/>
    </w:pPr>
  </w:style>
  <w:style w:type="paragraph" w:styleId="Textoindependiente">
    <w:name w:val="Body Text"/>
    <w:basedOn w:val="Normal"/>
    <w:link w:val="TextoindependienteCar"/>
    <w:uiPriority w:val="99"/>
    <w:unhideWhenUsed/>
    <w:rsid w:val="00A776B4"/>
    <w:pPr>
      <w:spacing w:after="120"/>
    </w:pPr>
  </w:style>
  <w:style w:type="character" w:customStyle="1" w:styleId="TextoindependienteCar">
    <w:name w:val="Texto independiente Car"/>
    <w:basedOn w:val="Fuentedeprrafopredeter"/>
    <w:link w:val="Textoindependiente"/>
    <w:uiPriority w:val="99"/>
    <w:rsid w:val="00A776B4"/>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776B4"/>
    <w:pPr>
      <w:spacing w:after="120"/>
      <w:ind w:left="283"/>
    </w:pPr>
  </w:style>
  <w:style w:type="character" w:customStyle="1" w:styleId="SangradetextonormalCar">
    <w:name w:val="Sangría de texto normal Car"/>
    <w:basedOn w:val="Fuentedeprrafopredeter"/>
    <w:link w:val="Sangradetextonormal"/>
    <w:uiPriority w:val="99"/>
    <w:rsid w:val="00A776B4"/>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776B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776B4"/>
    <w:rPr>
      <w:rFonts w:ascii="Times New Roman" w:eastAsia="Times New Roman" w:hAnsi="Times New Roman" w:cs="Times New Roman"/>
      <w:lang w:val="es-ES"/>
    </w:rPr>
  </w:style>
  <w:style w:type="paragraph" w:styleId="Textosinformato">
    <w:name w:val="Plain Text"/>
    <w:basedOn w:val="Normal"/>
    <w:link w:val="TextosinformatoCar"/>
    <w:rsid w:val="00B67939"/>
    <w:rPr>
      <w:rFonts w:ascii="Courier New" w:hAnsi="Courier New"/>
      <w:sz w:val="20"/>
      <w:szCs w:val="20"/>
    </w:rPr>
  </w:style>
  <w:style w:type="character" w:customStyle="1" w:styleId="TextosinformatoCar">
    <w:name w:val="Texto sin formato Car"/>
    <w:basedOn w:val="Fuentedeprrafopredeter"/>
    <w:link w:val="Textosinformato"/>
    <w:rsid w:val="00B67939"/>
    <w:rPr>
      <w:rFonts w:ascii="Courier New" w:eastAsia="Times New Roman" w:hAnsi="Courier New" w:cs="Times New Roman"/>
      <w:sz w:val="20"/>
      <w:szCs w:val="20"/>
      <w:lang w:val="es-ES"/>
    </w:rPr>
  </w:style>
  <w:style w:type="paragraph" w:customStyle="1" w:styleId="j">
    <w:name w:val="j"/>
    <w:basedOn w:val="Normal"/>
    <w:rsid w:val="00226723"/>
    <w:pPr>
      <w:spacing w:before="100" w:beforeAutospacing="1" w:after="100" w:afterAutospacing="1"/>
    </w:pPr>
    <w:rPr>
      <w:lang w:val="es-MX" w:eastAsia="es-MX"/>
    </w:rPr>
  </w:style>
  <w:style w:type="table" w:styleId="Tabladelista1clara-nfasis1">
    <w:name w:val="List Table 1 Light Accent 1"/>
    <w:basedOn w:val="Tablanormal"/>
    <w:uiPriority w:val="46"/>
    <w:rsid w:val="008E624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2871584667633129156gmail-msofootnotereference">
    <w:name w:val="m_2871584667633129156gmail-msofootnotereference"/>
    <w:basedOn w:val="Fuentedeprrafopredeter"/>
    <w:rsid w:val="00C12849"/>
  </w:style>
  <w:style w:type="character" w:customStyle="1" w:styleId="h">
    <w:name w:val="h"/>
    <w:basedOn w:val="Fuentedeprrafopredeter"/>
    <w:rsid w:val="007F685F"/>
  </w:style>
  <w:style w:type="paragraph" w:customStyle="1" w:styleId="FAFunotente1">
    <w:name w:val="FA Fu?notente1"/>
    <w:basedOn w:val="Normal"/>
    <w:next w:val="Textonotapie"/>
    <w:uiPriority w:val="99"/>
    <w:unhideWhenUsed/>
    <w:rsid w:val="001C4CF3"/>
    <w:rPr>
      <w:rFonts w:asciiTheme="minorHAnsi" w:eastAsia="Cambria" w:hAnsiTheme="minorHAnsi" w:cstheme="minorBidi"/>
      <w:sz w:val="20"/>
      <w:szCs w:val="20"/>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183635">
      <w:bodyDiv w:val="1"/>
      <w:marLeft w:val="0"/>
      <w:marRight w:val="0"/>
      <w:marTop w:val="0"/>
      <w:marBottom w:val="0"/>
      <w:divBdr>
        <w:top w:val="none" w:sz="0" w:space="0" w:color="auto"/>
        <w:left w:val="none" w:sz="0" w:space="0" w:color="auto"/>
        <w:bottom w:val="none" w:sz="0" w:space="0" w:color="auto"/>
        <w:right w:val="none" w:sz="0" w:space="0" w:color="auto"/>
      </w:divBdr>
    </w:div>
    <w:div w:id="132522224">
      <w:bodyDiv w:val="1"/>
      <w:marLeft w:val="0"/>
      <w:marRight w:val="0"/>
      <w:marTop w:val="0"/>
      <w:marBottom w:val="0"/>
      <w:divBdr>
        <w:top w:val="none" w:sz="0" w:space="0" w:color="auto"/>
        <w:left w:val="none" w:sz="0" w:space="0" w:color="auto"/>
        <w:bottom w:val="none" w:sz="0" w:space="0" w:color="auto"/>
        <w:right w:val="none" w:sz="0" w:space="0" w:color="auto"/>
      </w:divBdr>
    </w:div>
    <w:div w:id="136607946">
      <w:bodyDiv w:val="1"/>
      <w:marLeft w:val="0"/>
      <w:marRight w:val="0"/>
      <w:marTop w:val="0"/>
      <w:marBottom w:val="0"/>
      <w:divBdr>
        <w:top w:val="none" w:sz="0" w:space="0" w:color="auto"/>
        <w:left w:val="none" w:sz="0" w:space="0" w:color="auto"/>
        <w:bottom w:val="none" w:sz="0" w:space="0" w:color="auto"/>
        <w:right w:val="none" w:sz="0" w:space="0" w:color="auto"/>
      </w:divBdr>
    </w:div>
    <w:div w:id="166675254">
      <w:bodyDiv w:val="1"/>
      <w:marLeft w:val="0"/>
      <w:marRight w:val="0"/>
      <w:marTop w:val="0"/>
      <w:marBottom w:val="0"/>
      <w:divBdr>
        <w:top w:val="none" w:sz="0" w:space="0" w:color="auto"/>
        <w:left w:val="none" w:sz="0" w:space="0" w:color="auto"/>
        <w:bottom w:val="none" w:sz="0" w:space="0" w:color="auto"/>
        <w:right w:val="none" w:sz="0" w:space="0" w:color="auto"/>
      </w:divBdr>
    </w:div>
    <w:div w:id="188758197">
      <w:bodyDiv w:val="1"/>
      <w:marLeft w:val="0"/>
      <w:marRight w:val="0"/>
      <w:marTop w:val="0"/>
      <w:marBottom w:val="0"/>
      <w:divBdr>
        <w:top w:val="none" w:sz="0" w:space="0" w:color="auto"/>
        <w:left w:val="none" w:sz="0" w:space="0" w:color="auto"/>
        <w:bottom w:val="none" w:sz="0" w:space="0" w:color="auto"/>
        <w:right w:val="none" w:sz="0" w:space="0" w:color="auto"/>
      </w:divBdr>
    </w:div>
    <w:div w:id="204025965">
      <w:bodyDiv w:val="1"/>
      <w:marLeft w:val="0"/>
      <w:marRight w:val="0"/>
      <w:marTop w:val="0"/>
      <w:marBottom w:val="0"/>
      <w:divBdr>
        <w:top w:val="none" w:sz="0" w:space="0" w:color="auto"/>
        <w:left w:val="none" w:sz="0" w:space="0" w:color="auto"/>
        <w:bottom w:val="none" w:sz="0" w:space="0" w:color="auto"/>
        <w:right w:val="none" w:sz="0" w:space="0" w:color="auto"/>
      </w:divBdr>
    </w:div>
    <w:div w:id="210266309">
      <w:bodyDiv w:val="1"/>
      <w:marLeft w:val="0"/>
      <w:marRight w:val="0"/>
      <w:marTop w:val="0"/>
      <w:marBottom w:val="0"/>
      <w:divBdr>
        <w:top w:val="none" w:sz="0" w:space="0" w:color="auto"/>
        <w:left w:val="none" w:sz="0" w:space="0" w:color="auto"/>
        <w:bottom w:val="none" w:sz="0" w:space="0" w:color="auto"/>
        <w:right w:val="none" w:sz="0" w:space="0" w:color="auto"/>
      </w:divBdr>
    </w:div>
    <w:div w:id="271325150">
      <w:bodyDiv w:val="1"/>
      <w:marLeft w:val="0"/>
      <w:marRight w:val="0"/>
      <w:marTop w:val="0"/>
      <w:marBottom w:val="0"/>
      <w:divBdr>
        <w:top w:val="none" w:sz="0" w:space="0" w:color="auto"/>
        <w:left w:val="none" w:sz="0" w:space="0" w:color="auto"/>
        <w:bottom w:val="none" w:sz="0" w:space="0" w:color="auto"/>
        <w:right w:val="none" w:sz="0" w:space="0" w:color="auto"/>
      </w:divBdr>
    </w:div>
    <w:div w:id="283535765">
      <w:bodyDiv w:val="1"/>
      <w:marLeft w:val="0"/>
      <w:marRight w:val="0"/>
      <w:marTop w:val="0"/>
      <w:marBottom w:val="0"/>
      <w:divBdr>
        <w:top w:val="none" w:sz="0" w:space="0" w:color="auto"/>
        <w:left w:val="none" w:sz="0" w:space="0" w:color="auto"/>
        <w:bottom w:val="none" w:sz="0" w:space="0" w:color="auto"/>
        <w:right w:val="none" w:sz="0" w:space="0" w:color="auto"/>
      </w:divBdr>
    </w:div>
    <w:div w:id="295113731">
      <w:bodyDiv w:val="1"/>
      <w:marLeft w:val="0"/>
      <w:marRight w:val="0"/>
      <w:marTop w:val="0"/>
      <w:marBottom w:val="0"/>
      <w:divBdr>
        <w:top w:val="none" w:sz="0" w:space="0" w:color="auto"/>
        <w:left w:val="none" w:sz="0" w:space="0" w:color="auto"/>
        <w:bottom w:val="none" w:sz="0" w:space="0" w:color="auto"/>
        <w:right w:val="none" w:sz="0" w:space="0" w:color="auto"/>
      </w:divBdr>
    </w:div>
    <w:div w:id="304044366">
      <w:bodyDiv w:val="1"/>
      <w:marLeft w:val="0"/>
      <w:marRight w:val="0"/>
      <w:marTop w:val="0"/>
      <w:marBottom w:val="0"/>
      <w:divBdr>
        <w:top w:val="none" w:sz="0" w:space="0" w:color="auto"/>
        <w:left w:val="none" w:sz="0" w:space="0" w:color="auto"/>
        <w:bottom w:val="none" w:sz="0" w:space="0" w:color="auto"/>
        <w:right w:val="none" w:sz="0" w:space="0" w:color="auto"/>
      </w:divBdr>
    </w:div>
    <w:div w:id="319770551">
      <w:bodyDiv w:val="1"/>
      <w:marLeft w:val="0"/>
      <w:marRight w:val="0"/>
      <w:marTop w:val="0"/>
      <w:marBottom w:val="0"/>
      <w:divBdr>
        <w:top w:val="none" w:sz="0" w:space="0" w:color="auto"/>
        <w:left w:val="none" w:sz="0" w:space="0" w:color="auto"/>
        <w:bottom w:val="none" w:sz="0" w:space="0" w:color="auto"/>
        <w:right w:val="none" w:sz="0" w:space="0" w:color="auto"/>
      </w:divBdr>
    </w:div>
    <w:div w:id="343093851">
      <w:bodyDiv w:val="1"/>
      <w:marLeft w:val="0"/>
      <w:marRight w:val="0"/>
      <w:marTop w:val="0"/>
      <w:marBottom w:val="0"/>
      <w:divBdr>
        <w:top w:val="none" w:sz="0" w:space="0" w:color="auto"/>
        <w:left w:val="none" w:sz="0" w:space="0" w:color="auto"/>
        <w:bottom w:val="none" w:sz="0" w:space="0" w:color="auto"/>
        <w:right w:val="none" w:sz="0" w:space="0" w:color="auto"/>
      </w:divBdr>
    </w:div>
    <w:div w:id="381246491">
      <w:bodyDiv w:val="1"/>
      <w:marLeft w:val="0"/>
      <w:marRight w:val="0"/>
      <w:marTop w:val="0"/>
      <w:marBottom w:val="0"/>
      <w:divBdr>
        <w:top w:val="none" w:sz="0" w:space="0" w:color="auto"/>
        <w:left w:val="none" w:sz="0" w:space="0" w:color="auto"/>
        <w:bottom w:val="none" w:sz="0" w:space="0" w:color="auto"/>
        <w:right w:val="none" w:sz="0" w:space="0" w:color="auto"/>
      </w:divBdr>
    </w:div>
    <w:div w:id="454755402">
      <w:bodyDiv w:val="1"/>
      <w:marLeft w:val="0"/>
      <w:marRight w:val="0"/>
      <w:marTop w:val="0"/>
      <w:marBottom w:val="0"/>
      <w:divBdr>
        <w:top w:val="none" w:sz="0" w:space="0" w:color="auto"/>
        <w:left w:val="none" w:sz="0" w:space="0" w:color="auto"/>
        <w:bottom w:val="none" w:sz="0" w:space="0" w:color="auto"/>
        <w:right w:val="none" w:sz="0" w:space="0" w:color="auto"/>
      </w:divBdr>
    </w:div>
    <w:div w:id="496698662">
      <w:bodyDiv w:val="1"/>
      <w:marLeft w:val="0"/>
      <w:marRight w:val="0"/>
      <w:marTop w:val="0"/>
      <w:marBottom w:val="0"/>
      <w:divBdr>
        <w:top w:val="none" w:sz="0" w:space="0" w:color="auto"/>
        <w:left w:val="none" w:sz="0" w:space="0" w:color="auto"/>
        <w:bottom w:val="none" w:sz="0" w:space="0" w:color="auto"/>
        <w:right w:val="none" w:sz="0" w:space="0" w:color="auto"/>
      </w:divBdr>
    </w:div>
    <w:div w:id="557132270">
      <w:bodyDiv w:val="1"/>
      <w:marLeft w:val="0"/>
      <w:marRight w:val="0"/>
      <w:marTop w:val="0"/>
      <w:marBottom w:val="0"/>
      <w:divBdr>
        <w:top w:val="none" w:sz="0" w:space="0" w:color="auto"/>
        <w:left w:val="none" w:sz="0" w:space="0" w:color="auto"/>
        <w:bottom w:val="none" w:sz="0" w:space="0" w:color="auto"/>
        <w:right w:val="none" w:sz="0" w:space="0" w:color="auto"/>
      </w:divBdr>
    </w:div>
    <w:div w:id="660550014">
      <w:bodyDiv w:val="1"/>
      <w:marLeft w:val="0"/>
      <w:marRight w:val="0"/>
      <w:marTop w:val="0"/>
      <w:marBottom w:val="0"/>
      <w:divBdr>
        <w:top w:val="none" w:sz="0" w:space="0" w:color="auto"/>
        <w:left w:val="none" w:sz="0" w:space="0" w:color="auto"/>
        <w:bottom w:val="none" w:sz="0" w:space="0" w:color="auto"/>
        <w:right w:val="none" w:sz="0" w:space="0" w:color="auto"/>
      </w:divBdr>
    </w:div>
    <w:div w:id="725950946">
      <w:bodyDiv w:val="1"/>
      <w:marLeft w:val="0"/>
      <w:marRight w:val="0"/>
      <w:marTop w:val="0"/>
      <w:marBottom w:val="0"/>
      <w:divBdr>
        <w:top w:val="none" w:sz="0" w:space="0" w:color="auto"/>
        <w:left w:val="none" w:sz="0" w:space="0" w:color="auto"/>
        <w:bottom w:val="none" w:sz="0" w:space="0" w:color="auto"/>
        <w:right w:val="none" w:sz="0" w:space="0" w:color="auto"/>
      </w:divBdr>
    </w:div>
    <w:div w:id="840699958">
      <w:bodyDiv w:val="1"/>
      <w:marLeft w:val="0"/>
      <w:marRight w:val="0"/>
      <w:marTop w:val="0"/>
      <w:marBottom w:val="0"/>
      <w:divBdr>
        <w:top w:val="none" w:sz="0" w:space="0" w:color="auto"/>
        <w:left w:val="none" w:sz="0" w:space="0" w:color="auto"/>
        <w:bottom w:val="none" w:sz="0" w:space="0" w:color="auto"/>
        <w:right w:val="none" w:sz="0" w:space="0" w:color="auto"/>
      </w:divBdr>
    </w:div>
    <w:div w:id="874348528">
      <w:bodyDiv w:val="1"/>
      <w:marLeft w:val="0"/>
      <w:marRight w:val="0"/>
      <w:marTop w:val="0"/>
      <w:marBottom w:val="0"/>
      <w:divBdr>
        <w:top w:val="none" w:sz="0" w:space="0" w:color="auto"/>
        <w:left w:val="none" w:sz="0" w:space="0" w:color="auto"/>
        <w:bottom w:val="none" w:sz="0" w:space="0" w:color="auto"/>
        <w:right w:val="none" w:sz="0" w:space="0" w:color="auto"/>
      </w:divBdr>
    </w:div>
    <w:div w:id="885990257">
      <w:bodyDiv w:val="1"/>
      <w:marLeft w:val="0"/>
      <w:marRight w:val="0"/>
      <w:marTop w:val="0"/>
      <w:marBottom w:val="0"/>
      <w:divBdr>
        <w:top w:val="none" w:sz="0" w:space="0" w:color="auto"/>
        <w:left w:val="none" w:sz="0" w:space="0" w:color="auto"/>
        <w:bottom w:val="none" w:sz="0" w:space="0" w:color="auto"/>
        <w:right w:val="none" w:sz="0" w:space="0" w:color="auto"/>
      </w:divBdr>
    </w:div>
    <w:div w:id="967391089">
      <w:bodyDiv w:val="1"/>
      <w:marLeft w:val="0"/>
      <w:marRight w:val="0"/>
      <w:marTop w:val="0"/>
      <w:marBottom w:val="0"/>
      <w:divBdr>
        <w:top w:val="none" w:sz="0" w:space="0" w:color="auto"/>
        <w:left w:val="none" w:sz="0" w:space="0" w:color="auto"/>
        <w:bottom w:val="none" w:sz="0" w:space="0" w:color="auto"/>
        <w:right w:val="none" w:sz="0" w:space="0" w:color="auto"/>
      </w:divBdr>
    </w:div>
    <w:div w:id="1039889826">
      <w:bodyDiv w:val="1"/>
      <w:marLeft w:val="0"/>
      <w:marRight w:val="0"/>
      <w:marTop w:val="0"/>
      <w:marBottom w:val="0"/>
      <w:divBdr>
        <w:top w:val="none" w:sz="0" w:space="0" w:color="auto"/>
        <w:left w:val="none" w:sz="0" w:space="0" w:color="auto"/>
        <w:bottom w:val="none" w:sz="0" w:space="0" w:color="auto"/>
        <w:right w:val="none" w:sz="0" w:space="0" w:color="auto"/>
      </w:divBdr>
    </w:div>
    <w:div w:id="1047993166">
      <w:bodyDiv w:val="1"/>
      <w:marLeft w:val="0"/>
      <w:marRight w:val="0"/>
      <w:marTop w:val="0"/>
      <w:marBottom w:val="0"/>
      <w:divBdr>
        <w:top w:val="none" w:sz="0" w:space="0" w:color="auto"/>
        <w:left w:val="none" w:sz="0" w:space="0" w:color="auto"/>
        <w:bottom w:val="none" w:sz="0" w:space="0" w:color="auto"/>
        <w:right w:val="none" w:sz="0" w:space="0" w:color="auto"/>
      </w:divBdr>
    </w:div>
    <w:div w:id="1050612787">
      <w:bodyDiv w:val="1"/>
      <w:marLeft w:val="0"/>
      <w:marRight w:val="0"/>
      <w:marTop w:val="0"/>
      <w:marBottom w:val="0"/>
      <w:divBdr>
        <w:top w:val="none" w:sz="0" w:space="0" w:color="auto"/>
        <w:left w:val="none" w:sz="0" w:space="0" w:color="auto"/>
        <w:bottom w:val="none" w:sz="0" w:space="0" w:color="auto"/>
        <w:right w:val="none" w:sz="0" w:space="0" w:color="auto"/>
      </w:divBdr>
    </w:div>
    <w:div w:id="1064327722">
      <w:bodyDiv w:val="1"/>
      <w:marLeft w:val="0"/>
      <w:marRight w:val="0"/>
      <w:marTop w:val="0"/>
      <w:marBottom w:val="0"/>
      <w:divBdr>
        <w:top w:val="none" w:sz="0" w:space="0" w:color="auto"/>
        <w:left w:val="none" w:sz="0" w:space="0" w:color="auto"/>
        <w:bottom w:val="none" w:sz="0" w:space="0" w:color="auto"/>
        <w:right w:val="none" w:sz="0" w:space="0" w:color="auto"/>
      </w:divBdr>
    </w:div>
    <w:div w:id="1110586547">
      <w:bodyDiv w:val="1"/>
      <w:marLeft w:val="0"/>
      <w:marRight w:val="0"/>
      <w:marTop w:val="0"/>
      <w:marBottom w:val="0"/>
      <w:divBdr>
        <w:top w:val="none" w:sz="0" w:space="0" w:color="auto"/>
        <w:left w:val="none" w:sz="0" w:space="0" w:color="auto"/>
        <w:bottom w:val="none" w:sz="0" w:space="0" w:color="auto"/>
        <w:right w:val="none" w:sz="0" w:space="0" w:color="auto"/>
      </w:divBdr>
    </w:div>
    <w:div w:id="1130512972">
      <w:bodyDiv w:val="1"/>
      <w:marLeft w:val="0"/>
      <w:marRight w:val="0"/>
      <w:marTop w:val="0"/>
      <w:marBottom w:val="0"/>
      <w:divBdr>
        <w:top w:val="none" w:sz="0" w:space="0" w:color="auto"/>
        <w:left w:val="none" w:sz="0" w:space="0" w:color="auto"/>
        <w:bottom w:val="none" w:sz="0" w:space="0" w:color="auto"/>
        <w:right w:val="none" w:sz="0" w:space="0" w:color="auto"/>
      </w:divBdr>
    </w:div>
    <w:div w:id="1181899223">
      <w:bodyDiv w:val="1"/>
      <w:marLeft w:val="0"/>
      <w:marRight w:val="0"/>
      <w:marTop w:val="0"/>
      <w:marBottom w:val="0"/>
      <w:divBdr>
        <w:top w:val="none" w:sz="0" w:space="0" w:color="auto"/>
        <w:left w:val="none" w:sz="0" w:space="0" w:color="auto"/>
        <w:bottom w:val="none" w:sz="0" w:space="0" w:color="auto"/>
        <w:right w:val="none" w:sz="0" w:space="0" w:color="auto"/>
      </w:divBdr>
    </w:div>
    <w:div w:id="1194808878">
      <w:bodyDiv w:val="1"/>
      <w:marLeft w:val="0"/>
      <w:marRight w:val="0"/>
      <w:marTop w:val="0"/>
      <w:marBottom w:val="0"/>
      <w:divBdr>
        <w:top w:val="none" w:sz="0" w:space="0" w:color="auto"/>
        <w:left w:val="none" w:sz="0" w:space="0" w:color="auto"/>
        <w:bottom w:val="none" w:sz="0" w:space="0" w:color="auto"/>
        <w:right w:val="none" w:sz="0" w:space="0" w:color="auto"/>
      </w:divBdr>
    </w:div>
    <w:div w:id="1229803364">
      <w:bodyDiv w:val="1"/>
      <w:marLeft w:val="0"/>
      <w:marRight w:val="0"/>
      <w:marTop w:val="0"/>
      <w:marBottom w:val="0"/>
      <w:divBdr>
        <w:top w:val="none" w:sz="0" w:space="0" w:color="auto"/>
        <w:left w:val="none" w:sz="0" w:space="0" w:color="auto"/>
        <w:bottom w:val="none" w:sz="0" w:space="0" w:color="auto"/>
        <w:right w:val="none" w:sz="0" w:space="0" w:color="auto"/>
      </w:divBdr>
    </w:div>
    <w:div w:id="1256551066">
      <w:bodyDiv w:val="1"/>
      <w:marLeft w:val="0"/>
      <w:marRight w:val="0"/>
      <w:marTop w:val="0"/>
      <w:marBottom w:val="0"/>
      <w:divBdr>
        <w:top w:val="none" w:sz="0" w:space="0" w:color="auto"/>
        <w:left w:val="none" w:sz="0" w:space="0" w:color="auto"/>
        <w:bottom w:val="none" w:sz="0" w:space="0" w:color="auto"/>
        <w:right w:val="none" w:sz="0" w:space="0" w:color="auto"/>
      </w:divBdr>
    </w:div>
    <w:div w:id="1273394555">
      <w:bodyDiv w:val="1"/>
      <w:marLeft w:val="0"/>
      <w:marRight w:val="0"/>
      <w:marTop w:val="0"/>
      <w:marBottom w:val="0"/>
      <w:divBdr>
        <w:top w:val="none" w:sz="0" w:space="0" w:color="auto"/>
        <w:left w:val="none" w:sz="0" w:space="0" w:color="auto"/>
        <w:bottom w:val="none" w:sz="0" w:space="0" w:color="auto"/>
        <w:right w:val="none" w:sz="0" w:space="0" w:color="auto"/>
      </w:divBdr>
    </w:div>
    <w:div w:id="1308558251">
      <w:bodyDiv w:val="1"/>
      <w:marLeft w:val="0"/>
      <w:marRight w:val="0"/>
      <w:marTop w:val="0"/>
      <w:marBottom w:val="0"/>
      <w:divBdr>
        <w:top w:val="none" w:sz="0" w:space="0" w:color="auto"/>
        <w:left w:val="none" w:sz="0" w:space="0" w:color="auto"/>
        <w:bottom w:val="none" w:sz="0" w:space="0" w:color="auto"/>
        <w:right w:val="none" w:sz="0" w:space="0" w:color="auto"/>
      </w:divBdr>
    </w:div>
    <w:div w:id="1311253802">
      <w:bodyDiv w:val="1"/>
      <w:marLeft w:val="0"/>
      <w:marRight w:val="0"/>
      <w:marTop w:val="0"/>
      <w:marBottom w:val="0"/>
      <w:divBdr>
        <w:top w:val="none" w:sz="0" w:space="0" w:color="auto"/>
        <w:left w:val="none" w:sz="0" w:space="0" w:color="auto"/>
        <w:bottom w:val="none" w:sz="0" w:space="0" w:color="auto"/>
        <w:right w:val="none" w:sz="0" w:space="0" w:color="auto"/>
      </w:divBdr>
    </w:div>
    <w:div w:id="1352028698">
      <w:bodyDiv w:val="1"/>
      <w:marLeft w:val="0"/>
      <w:marRight w:val="0"/>
      <w:marTop w:val="0"/>
      <w:marBottom w:val="0"/>
      <w:divBdr>
        <w:top w:val="none" w:sz="0" w:space="0" w:color="auto"/>
        <w:left w:val="none" w:sz="0" w:space="0" w:color="auto"/>
        <w:bottom w:val="none" w:sz="0" w:space="0" w:color="auto"/>
        <w:right w:val="none" w:sz="0" w:space="0" w:color="auto"/>
      </w:divBdr>
    </w:div>
    <w:div w:id="1377698766">
      <w:bodyDiv w:val="1"/>
      <w:marLeft w:val="0"/>
      <w:marRight w:val="0"/>
      <w:marTop w:val="0"/>
      <w:marBottom w:val="0"/>
      <w:divBdr>
        <w:top w:val="none" w:sz="0" w:space="0" w:color="auto"/>
        <w:left w:val="none" w:sz="0" w:space="0" w:color="auto"/>
        <w:bottom w:val="none" w:sz="0" w:space="0" w:color="auto"/>
        <w:right w:val="none" w:sz="0" w:space="0" w:color="auto"/>
      </w:divBdr>
    </w:div>
    <w:div w:id="1420177192">
      <w:bodyDiv w:val="1"/>
      <w:marLeft w:val="0"/>
      <w:marRight w:val="0"/>
      <w:marTop w:val="0"/>
      <w:marBottom w:val="0"/>
      <w:divBdr>
        <w:top w:val="none" w:sz="0" w:space="0" w:color="auto"/>
        <w:left w:val="none" w:sz="0" w:space="0" w:color="auto"/>
        <w:bottom w:val="none" w:sz="0" w:space="0" w:color="auto"/>
        <w:right w:val="none" w:sz="0" w:space="0" w:color="auto"/>
      </w:divBdr>
    </w:div>
    <w:div w:id="1466124211">
      <w:bodyDiv w:val="1"/>
      <w:marLeft w:val="0"/>
      <w:marRight w:val="0"/>
      <w:marTop w:val="0"/>
      <w:marBottom w:val="0"/>
      <w:divBdr>
        <w:top w:val="none" w:sz="0" w:space="0" w:color="auto"/>
        <w:left w:val="none" w:sz="0" w:space="0" w:color="auto"/>
        <w:bottom w:val="none" w:sz="0" w:space="0" w:color="auto"/>
        <w:right w:val="none" w:sz="0" w:space="0" w:color="auto"/>
      </w:divBdr>
    </w:div>
    <w:div w:id="1499928079">
      <w:bodyDiv w:val="1"/>
      <w:marLeft w:val="0"/>
      <w:marRight w:val="0"/>
      <w:marTop w:val="0"/>
      <w:marBottom w:val="0"/>
      <w:divBdr>
        <w:top w:val="none" w:sz="0" w:space="0" w:color="auto"/>
        <w:left w:val="none" w:sz="0" w:space="0" w:color="auto"/>
        <w:bottom w:val="none" w:sz="0" w:space="0" w:color="auto"/>
        <w:right w:val="none" w:sz="0" w:space="0" w:color="auto"/>
      </w:divBdr>
    </w:div>
    <w:div w:id="1537965943">
      <w:bodyDiv w:val="1"/>
      <w:marLeft w:val="0"/>
      <w:marRight w:val="0"/>
      <w:marTop w:val="0"/>
      <w:marBottom w:val="0"/>
      <w:divBdr>
        <w:top w:val="none" w:sz="0" w:space="0" w:color="auto"/>
        <w:left w:val="none" w:sz="0" w:space="0" w:color="auto"/>
        <w:bottom w:val="none" w:sz="0" w:space="0" w:color="auto"/>
        <w:right w:val="none" w:sz="0" w:space="0" w:color="auto"/>
      </w:divBdr>
    </w:div>
    <w:div w:id="1556433658">
      <w:bodyDiv w:val="1"/>
      <w:marLeft w:val="0"/>
      <w:marRight w:val="0"/>
      <w:marTop w:val="0"/>
      <w:marBottom w:val="0"/>
      <w:divBdr>
        <w:top w:val="none" w:sz="0" w:space="0" w:color="auto"/>
        <w:left w:val="none" w:sz="0" w:space="0" w:color="auto"/>
        <w:bottom w:val="none" w:sz="0" w:space="0" w:color="auto"/>
        <w:right w:val="none" w:sz="0" w:space="0" w:color="auto"/>
      </w:divBdr>
    </w:div>
    <w:div w:id="1645426652">
      <w:bodyDiv w:val="1"/>
      <w:marLeft w:val="0"/>
      <w:marRight w:val="0"/>
      <w:marTop w:val="0"/>
      <w:marBottom w:val="0"/>
      <w:divBdr>
        <w:top w:val="none" w:sz="0" w:space="0" w:color="auto"/>
        <w:left w:val="none" w:sz="0" w:space="0" w:color="auto"/>
        <w:bottom w:val="none" w:sz="0" w:space="0" w:color="auto"/>
        <w:right w:val="none" w:sz="0" w:space="0" w:color="auto"/>
      </w:divBdr>
    </w:div>
    <w:div w:id="1654026568">
      <w:bodyDiv w:val="1"/>
      <w:marLeft w:val="0"/>
      <w:marRight w:val="0"/>
      <w:marTop w:val="0"/>
      <w:marBottom w:val="0"/>
      <w:divBdr>
        <w:top w:val="none" w:sz="0" w:space="0" w:color="auto"/>
        <w:left w:val="none" w:sz="0" w:space="0" w:color="auto"/>
        <w:bottom w:val="none" w:sz="0" w:space="0" w:color="auto"/>
        <w:right w:val="none" w:sz="0" w:space="0" w:color="auto"/>
      </w:divBdr>
    </w:div>
    <w:div w:id="1701008147">
      <w:bodyDiv w:val="1"/>
      <w:marLeft w:val="0"/>
      <w:marRight w:val="0"/>
      <w:marTop w:val="0"/>
      <w:marBottom w:val="0"/>
      <w:divBdr>
        <w:top w:val="none" w:sz="0" w:space="0" w:color="auto"/>
        <w:left w:val="none" w:sz="0" w:space="0" w:color="auto"/>
        <w:bottom w:val="none" w:sz="0" w:space="0" w:color="auto"/>
        <w:right w:val="none" w:sz="0" w:space="0" w:color="auto"/>
      </w:divBdr>
    </w:div>
    <w:div w:id="1704012175">
      <w:bodyDiv w:val="1"/>
      <w:marLeft w:val="0"/>
      <w:marRight w:val="0"/>
      <w:marTop w:val="0"/>
      <w:marBottom w:val="0"/>
      <w:divBdr>
        <w:top w:val="none" w:sz="0" w:space="0" w:color="auto"/>
        <w:left w:val="none" w:sz="0" w:space="0" w:color="auto"/>
        <w:bottom w:val="none" w:sz="0" w:space="0" w:color="auto"/>
        <w:right w:val="none" w:sz="0" w:space="0" w:color="auto"/>
      </w:divBdr>
    </w:div>
    <w:div w:id="1721123801">
      <w:bodyDiv w:val="1"/>
      <w:marLeft w:val="0"/>
      <w:marRight w:val="0"/>
      <w:marTop w:val="0"/>
      <w:marBottom w:val="0"/>
      <w:divBdr>
        <w:top w:val="none" w:sz="0" w:space="0" w:color="auto"/>
        <w:left w:val="none" w:sz="0" w:space="0" w:color="auto"/>
        <w:bottom w:val="none" w:sz="0" w:space="0" w:color="auto"/>
        <w:right w:val="none" w:sz="0" w:space="0" w:color="auto"/>
      </w:divBdr>
    </w:div>
    <w:div w:id="1756241379">
      <w:bodyDiv w:val="1"/>
      <w:marLeft w:val="0"/>
      <w:marRight w:val="0"/>
      <w:marTop w:val="0"/>
      <w:marBottom w:val="0"/>
      <w:divBdr>
        <w:top w:val="none" w:sz="0" w:space="0" w:color="auto"/>
        <w:left w:val="none" w:sz="0" w:space="0" w:color="auto"/>
        <w:bottom w:val="none" w:sz="0" w:space="0" w:color="auto"/>
        <w:right w:val="none" w:sz="0" w:space="0" w:color="auto"/>
      </w:divBdr>
    </w:div>
    <w:div w:id="1795251907">
      <w:bodyDiv w:val="1"/>
      <w:marLeft w:val="0"/>
      <w:marRight w:val="0"/>
      <w:marTop w:val="0"/>
      <w:marBottom w:val="0"/>
      <w:divBdr>
        <w:top w:val="none" w:sz="0" w:space="0" w:color="auto"/>
        <w:left w:val="none" w:sz="0" w:space="0" w:color="auto"/>
        <w:bottom w:val="none" w:sz="0" w:space="0" w:color="auto"/>
        <w:right w:val="none" w:sz="0" w:space="0" w:color="auto"/>
      </w:divBdr>
    </w:div>
    <w:div w:id="1827017740">
      <w:bodyDiv w:val="1"/>
      <w:marLeft w:val="0"/>
      <w:marRight w:val="0"/>
      <w:marTop w:val="0"/>
      <w:marBottom w:val="0"/>
      <w:divBdr>
        <w:top w:val="none" w:sz="0" w:space="0" w:color="auto"/>
        <w:left w:val="none" w:sz="0" w:space="0" w:color="auto"/>
        <w:bottom w:val="none" w:sz="0" w:space="0" w:color="auto"/>
        <w:right w:val="none" w:sz="0" w:space="0" w:color="auto"/>
      </w:divBdr>
    </w:div>
    <w:div w:id="1974165360">
      <w:bodyDiv w:val="1"/>
      <w:marLeft w:val="0"/>
      <w:marRight w:val="0"/>
      <w:marTop w:val="0"/>
      <w:marBottom w:val="0"/>
      <w:divBdr>
        <w:top w:val="none" w:sz="0" w:space="0" w:color="auto"/>
        <w:left w:val="none" w:sz="0" w:space="0" w:color="auto"/>
        <w:bottom w:val="none" w:sz="0" w:space="0" w:color="auto"/>
        <w:right w:val="none" w:sz="0" w:space="0" w:color="auto"/>
      </w:divBdr>
    </w:div>
    <w:div w:id="2033678109">
      <w:bodyDiv w:val="1"/>
      <w:marLeft w:val="0"/>
      <w:marRight w:val="0"/>
      <w:marTop w:val="0"/>
      <w:marBottom w:val="0"/>
      <w:divBdr>
        <w:top w:val="none" w:sz="0" w:space="0" w:color="auto"/>
        <w:left w:val="none" w:sz="0" w:space="0" w:color="auto"/>
        <w:bottom w:val="none" w:sz="0" w:space="0" w:color="auto"/>
        <w:right w:val="none" w:sz="0" w:space="0" w:color="auto"/>
      </w:divBdr>
    </w:div>
    <w:div w:id="2055497233">
      <w:bodyDiv w:val="1"/>
      <w:marLeft w:val="0"/>
      <w:marRight w:val="0"/>
      <w:marTop w:val="0"/>
      <w:marBottom w:val="0"/>
      <w:divBdr>
        <w:top w:val="none" w:sz="0" w:space="0" w:color="auto"/>
        <w:left w:val="none" w:sz="0" w:space="0" w:color="auto"/>
        <w:bottom w:val="none" w:sz="0" w:space="0" w:color="auto"/>
        <w:right w:val="none" w:sz="0" w:space="0" w:color="auto"/>
      </w:divBdr>
    </w:div>
    <w:div w:id="2075658601">
      <w:bodyDiv w:val="1"/>
      <w:marLeft w:val="0"/>
      <w:marRight w:val="0"/>
      <w:marTop w:val="0"/>
      <w:marBottom w:val="0"/>
      <w:divBdr>
        <w:top w:val="none" w:sz="0" w:space="0" w:color="auto"/>
        <w:left w:val="none" w:sz="0" w:space="0" w:color="auto"/>
        <w:bottom w:val="none" w:sz="0" w:space="0" w:color="auto"/>
        <w:right w:val="none" w:sz="0" w:space="0" w:color="auto"/>
      </w:divBdr>
    </w:div>
    <w:div w:id="2078239838">
      <w:bodyDiv w:val="1"/>
      <w:marLeft w:val="0"/>
      <w:marRight w:val="0"/>
      <w:marTop w:val="0"/>
      <w:marBottom w:val="0"/>
      <w:divBdr>
        <w:top w:val="none" w:sz="0" w:space="0" w:color="auto"/>
        <w:left w:val="none" w:sz="0" w:space="0" w:color="auto"/>
        <w:bottom w:val="none" w:sz="0" w:space="0" w:color="auto"/>
        <w:right w:val="none" w:sz="0" w:space="0" w:color="auto"/>
      </w:divBdr>
    </w:div>
    <w:div w:id="2088184187">
      <w:bodyDiv w:val="1"/>
      <w:marLeft w:val="0"/>
      <w:marRight w:val="0"/>
      <w:marTop w:val="0"/>
      <w:marBottom w:val="0"/>
      <w:divBdr>
        <w:top w:val="none" w:sz="0" w:space="0" w:color="auto"/>
        <w:left w:val="none" w:sz="0" w:space="0" w:color="auto"/>
        <w:bottom w:val="none" w:sz="0" w:space="0" w:color="auto"/>
        <w:right w:val="none" w:sz="0" w:space="0" w:color="auto"/>
      </w:divBdr>
    </w:div>
    <w:div w:id="2095199972">
      <w:bodyDiv w:val="1"/>
      <w:marLeft w:val="0"/>
      <w:marRight w:val="0"/>
      <w:marTop w:val="0"/>
      <w:marBottom w:val="0"/>
      <w:divBdr>
        <w:top w:val="none" w:sz="0" w:space="0" w:color="auto"/>
        <w:left w:val="none" w:sz="0" w:space="0" w:color="auto"/>
        <w:bottom w:val="none" w:sz="0" w:space="0" w:color="auto"/>
        <w:right w:val="none" w:sz="0" w:space="0" w:color="auto"/>
      </w:divBdr>
    </w:div>
    <w:div w:id="21337423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www.dropbox.com/scl/fi/jej0xujch34unebb4ei5d/REGLAMENTO-NOVIEMBRE-2020.docx?dl=0&amp;rlkey=ljmrlpxl2cacmskrgcx6ydxa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opbox.com/scl/fi/jej0xujch34unebb4ei5d/REGLAMENTO-NOVIEMBRE-2020.docx?dl=0&amp;rlkey=ljmrlpxl2cacmskrgcx6ydxa9"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_rels/header2.xml.rels><?xml version="1.0" encoding="UTF-8" standalone="yes"?>
<Relationships xmlns="http://schemas.openxmlformats.org/package/2006/relationships"><Relationship Id="rId1" Type="http://schemas.openxmlformats.org/officeDocument/2006/relationships/image" Target="media/image1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6FF93F-C836-4D08-B76F-89750E7D2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61</Pages>
  <Words>15382</Words>
  <Characters>84606</Characters>
  <Application>Microsoft Office Word</Application>
  <DocSecurity>0</DocSecurity>
  <Lines>705</Lines>
  <Paragraphs>199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99789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 infoem</cp:lastModifiedBy>
  <cp:revision>3</cp:revision>
  <cp:lastPrinted>2020-03-10T23:56:00Z</cp:lastPrinted>
  <dcterms:created xsi:type="dcterms:W3CDTF">2021-11-05T01:34:00Z</dcterms:created>
  <dcterms:modified xsi:type="dcterms:W3CDTF">2021-12-09T22:44:00Z</dcterms:modified>
</cp:coreProperties>
</file>