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0B00A" w14:textId="7E374DDB" w:rsidR="00200BFC" w:rsidRPr="00150B00" w:rsidRDefault="00200BFC" w:rsidP="00200BFC">
      <w:pPr>
        <w:spacing w:line="360" w:lineRule="auto"/>
        <w:jc w:val="both"/>
        <w:rPr>
          <w:rFonts w:ascii="Palatino Linotype" w:hAnsi="Palatino Linotype" w:cs="Arial"/>
        </w:rPr>
      </w:pPr>
      <w:r w:rsidRPr="00150B00">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150B00">
        <w:rPr>
          <w:rFonts w:ascii="Palatino Linotype" w:hAnsi="Palatino Linotype" w:cs="Arial"/>
        </w:rPr>
        <w:t xml:space="preserve"> </w:t>
      </w:r>
      <w:r w:rsidR="00AA7AD8" w:rsidRPr="00150B00">
        <w:rPr>
          <w:rFonts w:ascii="Palatino Linotype" w:hAnsi="Palatino Linotype" w:cs="Arial"/>
        </w:rPr>
        <w:t>veinticuatro</w:t>
      </w:r>
      <w:r w:rsidR="00EE4FDC" w:rsidRPr="00150B00">
        <w:rPr>
          <w:rFonts w:ascii="Palatino Linotype" w:hAnsi="Palatino Linotype" w:cs="Arial"/>
        </w:rPr>
        <w:t xml:space="preserve"> de marzo</w:t>
      </w:r>
      <w:r w:rsidR="000A27E2" w:rsidRPr="00150B00">
        <w:rPr>
          <w:rFonts w:ascii="Palatino Linotype" w:hAnsi="Palatino Linotype" w:cs="Arial"/>
        </w:rPr>
        <w:t xml:space="preserve"> de dos mil veintiuno</w:t>
      </w:r>
      <w:r w:rsidR="003253C6" w:rsidRPr="00150B00">
        <w:rPr>
          <w:rFonts w:ascii="Palatino Linotype" w:hAnsi="Palatino Linotype" w:cs="Arial"/>
        </w:rPr>
        <w:t>.</w:t>
      </w:r>
    </w:p>
    <w:p w14:paraId="57CA25AC" w14:textId="77777777" w:rsidR="003253C6" w:rsidRPr="00150B00" w:rsidRDefault="003253C6" w:rsidP="00200BFC">
      <w:pPr>
        <w:spacing w:line="360" w:lineRule="auto"/>
        <w:jc w:val="both"/>
        <w:rPr>
          <w:rFonts w:ascii="Palatino Linotype" w:hAnsi="Palatino Linotype" w:cs="Arial"/>
        </w:rPr>
      </w:pPr>
    </w:p>
    <w:p w14:paraId="7E5DAA96" w14:textId="7A894A1F" w:rsidR="00200BFC" w:rsidRPr="00150B00" w:rsidRDefault="00200BFC" w:rsidP="00163A20">
      <w:pPr>
        <w:spacing w:line="360" w:lineRule="auto"/>
        <w:jc w:val="both"/>
        <w:rPr>
          <w:rFonts w:ascii="Palatino Linotype" w:hAnsi="Palatino Linotype" w:cs="Arial"/>
          <w:lang w:val="es-ES"/>
        </w:rPr>
      </w:pPr>
      <w:r w:rsidRPr="00150B00">
        <w:rPr>
          <w:rFonts w:ascii="Palatino Linotype" w:hAnsi="Palatino Linotype" w:cs="Arial"/>
          <w:b/>
          <w:sz w:val="28"/>
        </w:rPr>
        <w:t>VISTO</w:t>
      </w:r>
      <w:r w:rsidRPr="00150B00">
        <w:rPr>
          <w:rFonts w:ascii="Palatino Linotype" w:hAnsi="Palatino Linotype" w:cs="Arial"/>
        </w:rPr>
        <w:t xml:space="preserve"> el expediente formado con motivo del recurso de revisión </w:t>
      </w:r>
      <w:r w:rsidR="0074343D" w:rsidRPr="00150B00">
        <w:rPr>
          <w:rFonts w:ascii="Palatino Linotype" w:hAnsi="Palatino Linotype" w:cs="Arial"/>
          <w:b/>
          <w:bCs/>
        </w:rPr>
        <w:t>00302</w:t>
      </w:r>
      <w:r w:rsidR="000A27E2" w:rsidRPr="00150B00">
        <w:rPr>
          <w:rFonts w:ascii="Palatino Linotype" w:hAnsi="Palatino Linotype" w:cs="Arial"/>
          <w:b/>
          <w:bCs/>
        </w:rPr>
        <w:t>/INFOEM/IP/RR/202</w:t>
      </w:r>
      <w:r w:rsidR="00163A20" w:rsidRPr="00150B00">
        <w:rPr>
          <w:rFonts w:ascii="Palatino Linotype" w:hAnsi="Palatino Linotype" w:cs="Arial"/>
          <w:b/>
          <w:bCs/>
        </w:rPr>
        <w:t>1</w:t>
      </w:r>
      <w:r w:rsidRPr="00150B00">
        <w:rPr>
          <w:rFonts w:ascii="Palatino Linotype" w:hAnsi="Palatino Linotype" w:cs="Arial"/>
        </w:rPr>
        <w:t xml:space="preserve">, promovido </w:t>
      </w:r>
      <w:r w:rsidRPr="00150B00">
        <w:rPr>
          <w:rFonts w:ascii="Palatino Linotype" w:hAnsi="Palatino Linotype"/>
        </w:rPr>
        <w:t>por</w:t>
      </w:r>
      <w:r w:rsidR="00754477" w:rsidRPr="00150B00">
        <w:rPr>
          <w:rFonts w:ascii="Palatino Linotype" w:hAnsi="Palatino Linotype"/>
        </w:rPr>
        <w:t xml:space="preserve"> </w:t>
      </w:r>
      <w:r w:rsidR="00163A20" w:rsidRPr="00150B00">
        <w:rPr>
          <w:rFonts w:ascii="Palatino Linotype" w:hAnsi="Palatino Linotype"/>
        </w:rPr>
        <w:t xml:space="preserve">el C. </w:t>
      </w:r>
      <w:proofErr w:type="spellStart"/>
      <w:r w:rsidR="00E13041" w:rsidRPr="00E13041">
        <w:rPr>
          <w:rFonts w:ascii="Palatino Linotype" w:hAnsi="Palatino Linotype"/>
          <w:b/>
          <w:bCs/>
        </w:rPr>
        <w:t>xxxx</w:t>
      </w:r>
      <w:proofErr w:type="spellEnd"/>
      <w:r w:rsidR="00E13041" w:rsidRPr="00E13041">
        <w:rPr>
          <w:rFonts w:ascii="Palatino Linotype" w:hAnsi="Palatino Linotype"/>
          <w:b/>
          <w:bCs/>
        </w:rPr>
        <w:t xml:space="preserve"> </w:t>
      </w:r>
      <w:proofErr w:type="spellStart"/>
      <w:r w:rsidR="00E13041" w:rsidRPr="00E13041">
        <w:rPr>
          <w:rFonts w:ascii="Palatino Linotype" w:hAnsi="Palatino Linotype"/>
          <w:b/>
          <w:bCs/>
        </w:rPr>
        <w:t>xxxxxxx</w:t>
      </w:r>
      <w:proofErr w:type="spellEnd"/>
      <w:r w:rsidR="00E13041" w:rsidRPr="00E13041">
        <w:rPr>
          <w:rFonts w:ascii="Palatino Linotype" w:hAnsi="Palatino Linotype"/>
          <w:b/>
          <w:bCs/>
        </w:rPr>
        <w:t xml:space="preserve"> </w:t>
      </w:r>
      <w:proofErr w:type="spellStart"/>
      <w:r w:rsidR="00E13041" w:rsidRPr="00E13041">
        <w:rPr>
          <w:rFonts w:ascii="Palatino Linotype" w:hAnsi="Palatino Linotype"/>
          <w:b/>
          <w:bCs/>
        </w:rPr>
        <w:t>xxxxxxx</w:t>
      </w:r>
      <w:proofErr w:type="spellEnd"/>
      <w:r w:rsidRPr="00150B00">
        <w:rPr>
          <w:rFonts w:ascii="Palatino Linotype" w:hAnsi="Palatino Linotype"/>
          <w:b/>
          <w:lang w:val="es-ES"/>
        </w:rPr>
        <w:t>,</w:t>
      </w:r>
      <w:r w:rsidRPr="00150B00">
        <w:rPr>
          <w:rFonts w:ascii="Palatino Linotype" w:hAnsi="Palatino Linotype" w:cs="Arial"/>
          <w:b/>
          <w:lang w:val="es-ES"/>
        </w:rPr>
        <w:t xml:space="preserve"> </w:t>
      </w:r>
      <w:r w:rsidRPr="00150B00">
        <w:rPr>
          <w:rFonts w:ascii="Palatino Linotype" w:hAnsi="Palatino Linotype" w:cs="Arial"/>
          <w:lang w:val="es-ES"/>
        </w:rPr>
        <w:t>en lo sucesivo</w:t>
      </w:r>
      <w:r w:rsidRPr="00150B00">
        <w:rPr>
          <w:rFonts w:ascii="Palatino Linotype" w:hAnsi="Palatino Linotype" w:cs="Arial"/>
          <w:b/>
          <w:lang w:val="es-ES"/>
        </w:rPr>
        <w:t xml:space="preserve"> </w:t>
      </w:r>
      <w:r w:rsidR="00754477" w:rsidRPr="00150B00">
        <w:rPr>
          <w:rFonts w:ascii="Palatino Linotype" w:hAnsi="Palatino Linotype" w:cs="Arial"/>
          <w:b/>
          <w:lang w:val="es-ES"/>
        </w:rPr>
        <w:t>EL</w:t>
      </w:r>
      <w:r w:rsidRPr="00150B00">
        <w:rPr>
          <w:rFonts w:ascii="Palatino Linotype" w:hAnsi="Palatino Linotype" w:cs="Arial"/>
          <w:b/>
          <w:lang w:val="es-ES"/>
        </w:rPr>
        <w:t xml:space="preserve"> RECURRENTE,</w:t>
      </w:r>
      <w:r w:rsidRPr="00150B00">
        <w:rPr>
          <w:rFonts w:ascii="Palatino Linotype" w:hAnsi="Palatino Linotype" w:cs="Arial"/>
          <w:lang w:val="es-ES"/>
        </w:rPr>
        <w:t xml:space="preserve"> en contra de la respuesta </w:t>
      </w:r>
      <w:r w:rsidR="0074343D" w:rsidRPr="00150B00">
        <w:rPr>
          <w:rFonts w:ascii="Palatino Linotype" w:hAnsi="Palatino Linotype" w:cs="Arial"/>
          <w:b/>
          <w:bCs/>
        </w:rPr>
        <w:t>Ayuntamiento de Ixtapan de la Sal</w:t>
      </w:r>
      <w:r w:rsidRPr="00150B00">
        <w:rPr>
          <w:rFonts w:ascii="Palatino Linotype" w:hAnsi="Palatino Linotype" w:cs="Arial"/>
          <w:b/>
          <w:lang w:val="es-ES"/>
        </w:rPr>
        <w:t xml:space="preserve">, </w:t>
      </w:r>
      <w:r w:rsidRPr="00150B00">
        <w:rPr>
          <w:rFonts w:ascii="Palatino Linotype" w:hAnsi="Palatino Linotype" w:cs="Arial"/>
          <w:lang w:val="es-ES"/>
        </w:rPr>
        <w:t xml:space="preserve">en lo sucesivo </w:t>
      </w:r>
      <w:r w:rsidRPr="00150B00">
        <w:rPr>
          <w:rFonts w:ascii="Palatino Linotype" w:hAnsi="Palatino Linotype" w:cs="Arial"/>
          <w:b/>
          <w:lang w:val="es-ES"/>
        </w:rPr>
        <w:t xml:space="preserve">EL SUJETO OBLIGADO, </w:t>
      </w:r>
      <w:r w:rsidRPr="00150B00">
        <w:rPr>
          <w:rFonts w:ascii="Palatino Linotype" w:hAnsi="Palatino Linotype" w:cs="Arial"/>
          <w:lang w:val="es-ES"/>
        </w:rPr>
        <w:t xml:space="preserve">se procede a dictar la presente resolución con base en lo siguiente: </w:t>
      </w:r>
    </w:p>
    <w:p w14:paraId="62E2C383" w14:textId="77777777" w:rsidR="005E67E2" w:rsidRPr="00150B00" w:rsidRDefault="005E67E2" w:rsidP="00163A20">
      <w:pPr>
        <w:spacing w:line="360" w:lineRule="auto"/>
        <w:jc w:val="both"/>
        <w:rPr>
          <w:rFonts w:ascii="Palatino Linotype" w:hAnsi="Palatino Linotype" w:cs="Arial"/>
          <w:b/>
          <w:bCs/>
          <w:spacing w:val="60"/>
        </w:rPr>
      </w:pPr>
    </w:p>
    <w:p w14:paraId="6A6647B5" w14:textId="083DA5BD" w:rsidR="00200BFC" w:rsidRPr="00150B00" w:rsidRDefault="00200BFC" w:rsidP="00200BFC">
      <w:pPr>
        <w:jc w:val="center"/>
        <w:rPr>
          <w:rFonts w:ascii="Palatino Linotype" w:hAnsi="Palatino Linotype" w:cs="Arial"/>
          <w:b/>
          <w:bCs/>
          <w:spacing w:val="60"/>
          <w:sz w:val="28"/>
        </w:rPr>
      </w:pPr>
      <w:r w:rsidRPr="00150B00">
        <w:rPr>
          <w:rFonts w:ascii="Palatino Linotype" w:hAnsi="Palatino Linotype" w:cs="Arial"/>
          <w:b/>
          <w:bCs/>
          <w:spacing w:val="60"/>
          <w:sz w:val="28"/>
        </w:rPr>
        <w:t>RESULTANDO</w:t>
      </w:r>
    </w:p>
    <w:p w14:paraId="400BF32A" w14:textId="77777777" w:rsidR="00AA7AD8" w:rsidRPr="00150B00" w:rsidRDefault="00AA7AD8" w:rsidP="00200BFC">
      <w:pPr>
        <w:jc w:val="center"/>
        <w:rPr>
          <w:rFonts w:ascii="Palatino Linotype" w:hAnsi="Palatino Linotype" w:cs="Arial"/>
          <w:b/>
          <w:bCs/>
          <w:spacing w:val="60"/>
          <w:sz w:val="28"/>
        </w:rPr>
      </w:pPr>
    </w:p>
    <w:p w14:paraId="1329FDA4" w14:textId="77777777" w:rsidR="00242FAC" w:rsidRPr="00150B00" w:rsidRDefault="00242FAC" w:rsidP="00081337">
      <w:pPr>
        <w:rPr>
          <w:rFonts w:ascii="Palatino Linotype" w:hAnsi="Palatino Linotype" w:cs="Arial"/>
          <w:b/>
          <w:bCs/>
          <w:spacing w:val="60"/>
        </w:rPr>
      </w:pPr>
    </w:p>
    <w:p w14:paraId="69AC5CD0" w14:textId="408AA828" w:rsidR="00200BFC" w:rsidRPr="00150B00" w:rsidRDefault="000A27E2" w:rsidP="00AA7AD8">
      <w:pPr>
        <w:spacing w:line="360" w:lineRule="auto"/>
        <w:jc w:val="both"/>
        <w:rPr>
          <w:rFonts w:ascii="Palatino Linotype" w:eastAsia="MS Mincho" w:hAnsi="Palatino Linotype" w:cs="Arial"/>
        </w:rPr>
      </w:pPr>
      <w:r w:rsidRPr="00150B00">
        <w:rPr>
          <w:rFonts w:ascii="Palatino Linotype" w:eastAsia="Calibri" w:hAnsi="Palatino Linotype" w:cs="Arial"/>
          <w:b/>
          <w:sz w:val="28"/>
          <w:szCs w:val="28"/>
          <w:lang w:val="es-ES" w:eastAsia="en-US"/>
        </w:rPr>
        <w:t>I</w:t>
      </w:r>
      <w:r w:rsidR="00163A20" w:rsidRPr="00150B00">
        <w:rPr>
          <w:rFonts w:ascii="Palatino Linotype" w:eastAsia="Calibri" w:hAnsi="Palatino Linotype" w:cs="Arial"/>
          <w:b/>
          <w:sz w:val="28"/>
          <w:szCs w:val="28"/>
          <w:lang w:val="es-ES" w:eastAsia="en-US"/>
        </w:rPr>
        <w:t xml:space="preserve">. </w:t>
      </w:r>
      <w:r w:rsidR="00163A20" w:rsidRPr="00150B00">
        <w:rPr>
          <w:rFonts w:ascii="Palatino Linotype" w:eastAsia="MS Mincho" w:hAnsi="Palatino Linotype" w:cs="Arial"/>
        </w:rPr>
        <w:t xml:space="preserve">En fecha </w:t>
      </w:r>
      <w:bookmarkStart w:id="0" w:name="_Hlk66905340"/>
      <w:r w:rsidR="0074343D" w:rsidRPr="00150B00">
        <w:rPr>
          <w:rFonts w:ascii="Palatino Linotype" w:eastAsia="MS Mincho" w:hAnsi="Palatino Linotype" w:cs="Arial"/>
        </w:rPr>
        <w:t>veinte de enero de dos mil veintiuno</w:t>
      </w:r>
      <w:bookmarkEnd w:id="0"/>
      <w:r w:rsidR="00163A20" w:rsidRPr="00150B00">
        <w:rPr>
          <w:rFonts w:ascii="Palatino Linotype" w:eastAsia="MS Mincho" w:hAnsi="Palatino Linotype" w:cs="Arial"/>
        </w:rPr>
        <w:t xml:space="preserve">, </w:t>
      </w:r>
      <w:r w:rsidR="00163A20" w:rsidRPr="00150B00">
        <w:rPr>
          <w:rFonts w:ascii="Palatino Linotype" w:eastAsia="MS Mincho" w:hAnsi="Palatino Linotype" w:cs="Arial"/>
          <w:b/>
        </w:rPr>
        <w:t>EL RECURRENTE</w:t>
      </w:r>
      <w:r w:rsidR="00163A20" w:rsidRPr="00150B00">
        <w:rPr>
          <w:rFonts w:ascii="Palatino Linotype" w:eastAsia="MS Mincho" w:hAnsi="Palatino Linotype" w:cs="Arial"/>
        </w:rPr>
        <w:t xml:space="preserve"> presentó a través del Sistema de Acceso a la Información Mexiquense</w:t>
      </w:r>
      <w:r w:rsidR="00163A20" w:rsidRPr="00150B00">
        <w:rPr>
          <w:rFonts w:ascii="Palatino Linotype" w:eastAsia="MS Mincho" w:hAnsi="Palatino Linotype"/>
        </w:rPr>
        <w:t xml:space="preserve">, en lo subsecuente </w:t>
      </w:r>
      <w:r w:rsidR="00163A20" w:rsidRPr="00150B00">
        <w:rPr>
          <w:rFonts w:ascii="Palatino Linotype" w:eastAsia="MS Mincho" w:hAnsi="Palatino Linotype" w:cs="Arial"/>
          <w:b/>
        </w:rPr>
        <w:t>EL SAIMEX</w:t>
      </w:r>
      <w:r w:rsidR="00163A20" w:rsidRPr="00150B00">
        <w:rPr>
          <w:rFonts w:ascii="Palatino Linotype" w:eastAsia="MS Mincho" w:hAnsi="Palatino Linotype" w:cs="Arial"/>
        </w:rPr>
        <w:t xml:space="preserve"> ante </w:t>
      </w:r>
      <w:r w:rsidR="00163A20" w:rsidRPr="00150B00">
        <w:rPr>
          <w:rFonts w:ascii="Palatino Linotype" w:eastAsia="MS Mincho" w:hAnsi="Palatino Linotype" w:cs="Arial"/>
          <w:b/>
        </w:rPr>
        <w:t>EL SUJETO OBLIGADO</w:t>
      </w:r>
      <w:r w:rsidR="00163A20" w:rsidRPr="00150B00">
        <w:rPr>
          <w:rFonts w:ascii="Palatino Linotype" w:eastAsia="MS Mincho" w:hAnsi="Palatino Linotype" w:cs="Arial"/>
        </w:rPr>
        <w:t xml:space="preserve">, la solicitud de acceso a la información pública, a la que se le asignó el número de expediente </w:t>
      </w:r>
      <w:r w:rsidR="0074343D" w:rsidRPr="00150B00">
        <w:rPr>
          <w:rFonts w:ascii="Palatino Linotype" w:eastAsia="MS Mincho" w:hAnsi="Palatino Linotype" w:cs="Arial"/>
          <w:b/>
          <w:bCs/>
        </w:rPr>
        <w:t>00022/IXTASAL/IP/2021</w:t>
      </w:r>
      <w:r w:rsidR="00163A20" w:rsidRPr="00150B00">
        <w:rPr>
          <w:rFonts w:ascii="Palatino Linotype" w:eastAsia="MS Mincho" w:hAnsi="Palatino Linotype" w:cs="Arial"/>
        </w:rPr>
        <w:t xml:space="preserve">, </w:t>
      </w:r>
      <w:r w:rsidR="00AA7AD8" w:rsidRPr="00150B00">
        <w:rPr>
          <w:rFonts w:ascii="Palatino Linotype" w:eastAsia="MS Mincho" w:hAnsi="Palatino Linotype" w:cs="Arial"/>
          <w:bCs/>
        </w:rPr>
        <w:t xml:space="preserve">mediante la cual requirió vía </w:t>
      </w:r>
      <w:r w:rsidR="00AA7AD8" w:rsidRPr="00150B00">
        <w:rPr>
          <w:rFonts w:ascii="Palatino Linotype" w:eastAsia="MS Mincho" w:hAnsi="Palatino Linotype" w:cs="Arial"/>
          <w:b/>
        </w:rPr>
        <w:t>SAIMEX</w:t>
      </w:r>
      <w:r w:rsidR="00AA7AD8" w:rsidRPr="00150B00">
        <w:rPr>
          <w:rFonts w:ascii="Palatino Linotype" w:eastAsia="MS Mincho" w:hAnsi="Palatino Linotype" w:cs="Arial"/>
          <w:bCs/>
        </w:rPr>
        <w:t>, lo siguiente:</w:t>
      </w:r>
    </w:p>
    <w:p w14:paraId="1F6B0AE1" w14:textId="77777777" w:rsidR="00AA7AD8" w:rsidRPr="00150B00" w:rsidRDefault="00AA7AD8" w:rsidP="00D41671">
      <w:pPr>
        <w:tabs>
          <w:tab w:val="left" w:pos="851"/>
        </w:tabs>
        <w:ind w:left="851" w:right="901" w:hanging="142"/>
        <w:jc w:val="both"/>
        <w:rPr>
          <w:rFonts w:ascii="Palatino Linotype" w:eastAsia="MS Mincho" w:hAnsi="Palatino Linotype" w:cs="Arial"/>
          <w:i/>
          <w:sz w:val="22"/>
          <w:szCs w:val="22"/>
        </w:rPr>
      </w:pPr>
    </w:p>
    <w:p w14:paraId="1471857C" w14:textId="2261DD14" w:rsidR="00200BFC" w:rsidRPr="00150B00" w:rsidRDefault="00200BFC" w:rsidP="00D41671">
      <w:pPr>
        <w:tabs>
          <w:tab w:val="left" w:pos="851"/>
        </w:tabs>
        <w:ind w:left="851" w:right="901" w:hanging="142"/>
        <w:jc w:val="both"/>
        <w:rPr>
          <w:rFonts w:ascii="Palatino Linotype" w:eastAsia="MS Mincho" w:hAnsi="Palatino Linotype" w:cs="Arial"/>
          <w:i/>
          <w:sz w:val="22"/>
          <w:szCs w:val="22"/>
        </w:rPr>
      </w:pPr>
      <w:r w:rsidRPr="00150B00">
        <w:rPr>
          <w:rFonts w:ascii="Palatino Linotype" w:eastAsia="MS Mincho" w:hAnsi="Palatino Linotype" w:cs="Arial"/>
          <w:i/>
          <w:sz w:val="22"/>
          <w:szCs w:val="22"/>
        </w:rPr>
        <w:t>“</w:t>
      </w:r>
      <w:r w:rsidR="0074343D" w:rsidRPr="00150B00">
        <w:rPr>
          <w:rFonts w:ascii="Palatino Linotype" w:eastAsia="MS Mincho" w:hAnsi="Palatino Linotype" w:cs="Arial"/>
          <w:i/>
          <w:sz w:val="22"/>
          <w:szCs w:val="22"/>
        </w:rPr>
        <w:t>Todas y cada una de las actas emitidas por el Comité de Transparencia, desde el 01 de enero de 2019 al 20 de enero de 2021.</w:t>
      </w:r>
      <w:r w:rsidRPr="00150B00">
        <w:rPr>
          <w:rFonts w:ascii="Palatino Linotype" w:eastAsia="MS Mincho" w:hAnsi="Palatino Linotype" w:cs="Arial"/>
          <w:i/>
          <w:sz w:val="22"/>
          <w:szCs w:val="22"/>
        </w:rPr>
        <w:t>” (sic)</w:t>
      </w:r>
    </w:p>
    <w:p w14:paraId="088FB049" w14:textId="77777777" w:rsidR="005E67E2" w:rsidRPr="00150B00" w:rsidRDefault="005E67E2" w:rsidP="00D41671">
      <w:pPr>
        <w:tabs>
          <w:tab w:val="left" w:pos="851"/>
        </w:tabs>
        <w:ind w:left="851" w:right="901" w:hanging="142"/>
        <w:jc w:val="both"/>
        <w:rPr>
          <w:rFonts w:ascii="Palatino Linotype" w:eastAsia="MS Mincho" w:hAnsi="Palatino Linotype" w:cs="Arial"/>
          <w:i/>
          <w:sz w:val="22"/>
          <w:szCs w:val="22"/>
        </w:rPr>
      </w:pPr>
    </w:p>
    <w:p w14:paraId="52355C61" w14:textId="77777777" w:rsidR="00081337" w:rsidRPr="00150B00" w:rsidRDefault="00081337" w:rsidP="00A661CC">
      <w:pPr>
        <w:tabs>
          <w:tab w:val="left" w:pos="851"/>
        </w:tabs>
        <w:ind w:right="901"/>
        <w:jc w:val="both"/>
        <w:rPr>
          <w:rFonts w:ascii="Palatino Linotype" w:eastAsia="MS Mincho" w:hAnsi="Palatino Linotype" w:cs="Arial"/>
          <w:iCs/>
        </w:rPr>
      </w:pPr>
    </w:p>
    <w:p w14:paraId="027A5F65" w14:textId="2C72762E" w:rsidR="004C61E8" w:rsidRPr="00150B00" w:rsidRDefault="007940E5" w:rsidP="009B3C61">
      <w:pPr>
        <w:widowControl w:val="0"/>
        <w:autoSpaceDE w:val="0"/>
        <w:autoSpaceDN w:val="0"/>
        <w:adjustRightInd w:val="0"/>
        <w:spacing w:line="360" w:lineRule="auto"/>
        <w:jc w:val="both"/>
        <w:rPr>
          <w:rFonts w:ascii="Palatino Linotype" w:eastAsia="Calibri" w:hAnsi="Palatino Linotype" w:cs="Arial"/>
          <w:lang w:val="es-ES" w:eastAsia="en-US"/>
        </w:rPr>
      </w:pPr>
      <w:r w:rsidRPr="00150B00">
        <w:rPr>
          <w:rFonts w:ascii="Palatino Linotype" w:eastAsia="Calibri" w:hAnsi="Palatino Linotype" w:cs="Arial"/>
          <w:b/>
          <w:bCs/>
          <w:sz w:val="28"/>
          <w:lang w:val="es-ES" w:eastAsia="en-US"/>
        </w:rPr>
        <w:t>II</w:t>
      </w:r>
      <w:r w:rsidRPr="00150B00">
        <w:rPr>
          <w:rFonts w:ascii="Palatino Linotype" w:eastAsia="Calibri" w:hAnsi="Palatino Linotype" w:cs="Arial"/>
          <w:b/>
          <w:bCs/>
          <w:lang w:val="es-ES" w:eastAsia="en-US"/>
        </w:rPr>
        <w:t>.</w:t>
      </w:r>
      <w:r w:rsidRPr="00150B00">
        <w:rPr>
          <w:rFonts w:ascii="Palatino Linotype" w:eastAsia="Calibri" w:hAnsi="Palatino Linotype" w:cs="Arial"/>
          <w:lang w:val="es-ES" w:eastAsia="en-US"/>
        </w:rPr>
        <w:t xml:space="preserve"> En cumplimiento al artículo 162 de la Ley de Transparencia y Acceso a la Información Pública del Estado de México y Municipios, </w:t>
      </w:r>
      <w:r w:rsidR="001C6347" w:rsidRPr="00150B00">
        <w:rPr>
          <w:rFonts w:ascii="Palatino Linotype" w:eastAsia="Calibri" w:hAnsi="Palatino Linotype" w:cs="Arial"/>
          <w:lang w:val="es-ES" w:eastAsia="en-US"/>
        </w:rPr>
        <w:t xml:space="preserve">el </w:t>
      </w:r>
      <w:r w:rsidR="00732BF0" w:rsidRPr="00150B00">
        <w:rPr>
          <w:rFonts w:ascii="Palatino Linotype" w:eastAsia="MS Mincho" w:hAnsi="Palatino Linotype" w:cs="Arial"/>
        </w:rPr>
        <w:t>veinte de enero de dos mil veintiuno</w:t>
      </w:r>
      <w:r w:rsidRPr="00150B00">
        <w:rPr>
          <w:rFonts w:ascii="Palatino Linotype" w:eastAsia="Calibri" w:hAnsi="Palatino Linotype" w:cs="Arial"/>
          <w:lang w:val="es-ES" w:eastAsia="en-US"/>
        </w:rPr>
        <w:t xml:space="preserve">, </w:t>
      </w:r>
      <w:r w:rsidRPr="00150B00">
        <w:rPr>
          <w:rFonts w:ascii="Palatino Linotype" w:eastAsia="Calibri" w:hAnsi="Palatino Linotype" w:cs="Arial"/>
          <w:b/>
          <w:lang w:val="es-ES" w:eastAsia="en-US"/>
        </w:rPr>
        <w:t>EL SUJETO OBLIGADO</w:t>
      </w:r>
      <w:r w:rsidRPr="00150B00">
        <w:rPr>
          <w:rFonts w:ascii="Palatino Linotype" w:eastAsia="Calibri" w:hAnsi="Palatino Linotype" w:cs="Arial"/>
          <w:lang w:val="es-ES" w:eastAsia="en-US"/>
        </w:rPr>
        <w:t xml:space="preserve"> </w:t>
      </w:r>
      <w:r w:rsidR="008A6AD5" w:rsidRPr="00150B00">
        <w:rPr>
          <w:rFonts w:ascii="Palatino Linotype" w:eastAsia="Calibri" w:hAnsi="Palatino Linotype" w:cs="Arial"/>
          <w:lang w:val="es-ES" w:eastAsia="en-US"/>
        </w:rPr>
        <w:t xml:space="preserve">turnó mediante requerimiento, el contenido de </w:t>
      </w:r>
      <w:r w:rsidR="008A6AD5" w:rsidRPr="00150B00">
        <w:rPr>
          <w:rFonts w:ascii="Palatino Linotype" w:eastAsia="Calibri" w:hAnsi="Palatino Linotype" w:cs="Arial"/>
          <w:lang w:val="es-ES" w:eastAsia="en-US"/>
        </w:rPr>
        <w:lastRenderedPageBreak/>
        <w:t>la solicitud de información al Servidor Público Habilitado que consideró competente a efecto de que realizaran la búsqueda y localización de la misma, tal como se desprende a continuación:</w:t>
      </w:r>
    </w:p>
    <w:p w14:paraId="24731173" w14:textId="77777777" w:rsidR="00FD4DA0" w:rsidRPr="00150B00" w:rsidRDefault="00FD4DA0" w:rsidP="009B3C61">
      <w:pPr>
        <w:widowControl w:val="0"/>
        <w:autoSpaceDE w:val="0"/>
        <w:autoSpaceDN w:val="0"/>
        <w:adjustRightInd w:val="0"/>
        <w:spacing w:line="360" w:lineRule="auto"/>
        <w:jc w:val="both"/>
        <w:rPr>
          <w:rFonts w:ascii="Palatino Linotype" w:eastAsia="Calibri" w:hAnsi="Palatino Linotype" w:cs="Arial"/>
          <w:sz w:val="14"/>
          <w:szCs w:val="14"/>
          <w:lang w:val="es-ES" w:eastAsia="en-US"/>
        </w:rPr>
      </w:pPr>
    </w:p>
    <w:p w14:paraId="4C83CCB6" w14:textId="05C4AB75" w:rsidR="001C6347" w:rsidRPr="00150B00" w:rsidRDefault="00AA7AD8" w:rsidP="001C6347">
      <w:pPr>
        <w:widowControl w:val="0"/>
        <w:autoSpaceDE w:val="0"/>
        <w:autoSpaceDN w:val="0"/>
        <w:adjustRightInd w:val="0"/>
        <w:spacing w:line="360" w:lineRule="auto"/>
        <w:jc w:val="center"/>
        <w:rPr>
          <w:rFonts w:ascii="Palatino Linotype" w:hAnsi="Palatino Linotype"/>
          <w:b/>
        </w:rPr>
      </w:pPr>
      <w:r w:rsidRPr="00150B00">
        <w:rPr>
          <w:noProof/>
          <w:lang w:val="es-ES"/>
        </w:rPr>
        <w:drawing>
          <wp:inline distT="0" distB="0" distL="0" distR="0" wp14:anchorId="7641E520" wp14:editId="44298770">
            <wp:extent cx="5124450" cy="1133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76" t="33771" r="22542" b="46749"/>
                    <a:stretch/>
                  </pic:blipFill>
                  <pic:spPr bwMode="auto">
                    <a:xfrm>
                      <a:off x="0" y="0"/>
                      <a:ext cx="5124450" cy="11334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13E745D" w14:textId="77777777" w:rsidR="00C12449" w:rsidRPr="00150B00" w:rsidRDefault="00C12449" w:rsidP="001C6347">
      <w:pPr>
        <w:widowControl w:val="0"/>
        <w:autoSpaceDE w:val="0"/>
        <w:autoSpaceDN w:val="0"/>
        <w:adjustRightInd w:val="0"/>
        <w:spacing w:line="360" w:lineRule="auto"/>
        <w:jc w:val="center"/>
        <w:rPr>
          <w:rFonts w:ascii="Palatino Linotype" w:hAnsi="Palatino Linotype"/>
          <w:b/>
        </w:rPr>
      </w:pPr>
    </w:p>
    <w:p w14:paraId="7F502F24" w14:textId="63D67E3C" w:rsidR="007940E5" w:rsidRPr="00150B00" w:rsidRDefault="008A6AD5" w:rsidP="008A6AD5">
      <w:pPr>
        <w:spacing w:line="360" w:lineRule="auto"/>
        <w:jc w:val="both"/>
        <w:rPr>
          <w:rFonts w:ascii="Palatino Linotype" w:hAnsi="Palatino Linotype"/>
        </w:rPr>
      </w:pPr>
      <w:r w:rsidRPr="00150B00">
        <w:rPr>
          <w:rFonts w:ascii="Palatino Linotype" w:hAnsi="Palatino Linotype"/>
        </w:rPr>
        <w:t xml:space="preserve">Es importante señalar que, el servidor público al que se le requirió la información, de la revisión realizada por esta Ponencia al Directorio de Servidores Públicos publicado en el portal electrónico que contiene la Información Pública de Oficio Mexiquense (IPOMEX), </w:t>
      </w:r>
      <w:r w:rsidR="008A3319" w:rsidRPr="00150B00">
        <w:rPr>
          <w:rFonts w:ascii="Palatino Linotype" w:hAnsi="Palatino Linotype"/>
        </w:rPr>
        <w:t xml:space="preserve">se advierte que </w:t>
      </w:r>
      <w:r w:rsidRPr="00150B00">
        <w:rPr>
          <w:rFonts w:ascii="Palatino Linotype" w:hAnsi="Palatino Linotype"/>
        </w:rPr>
        <w:t xml:space="preserve">ostenta el cargo de </w:t>
      </w:r>
      <w:r w:rsidR="00732BF0" w:rsidRPr="00150B00">
        <w:rPr>
          <w:rFonts w:ascii="Palatino Linotype" w:hAnsi="Palatino Linotype"/>
          <w:lang w:val="es-ES_tradnl"/>
        </w:rPr>
        <w:t>Coordinadora de la Unidad de Transparencia del</w:t>
      </w:r>
      <w:r w:rsidR="00732BF0" w:rsidRPr="00150B00">
        <w:t xml:space="preserve"> </w:t>
      </w:r>
      <w:r w:rsidR="00732BF0" w:rsidRPr="00150B00">
        <w:rPr>
          <w:rFonts w:ascii="Palatino Linotype" w:hAnsi="Palatino Linotype"/>
          <w:lang w:val="es-ES_tradnl"/>
        </w:rPr>
        <w:t>Ayuntamiento de Ixtapan de la Sal</w:t>
      </w:r>
      <w:r w:rsidRPr="00150B00">
        <w:rPr>
          <w:rFonts w:ascii="Palatino Linotype" w:hAnsi="Palatino Linotype"/>
        </w:rPr>
        <w:t xml:space="preserve">, </w:t>
      </w:r>
      <w:r w:rsidR="001C6347" w:rsidRPr="00150B00">
        <w:rPr>
          <w:rFonts w:ascii="Palatino Linotype" w:hAnsi="Palatino Linotype"/>
        </w:rPr>
        <w:t>tal y como se desprende</w:t>
      </w:r>
      <w:r w:rsidRPr="00150B00">
        <w:rPr>
          <w:rFonts w:ascii="Palatino Linotype" w:hAnsi="Palatino Linotype"/>
        </w:rPr>
        <w:t>:</w:t>
      </w:r>
    </w:p>
    <w:p w14:paraId="294CC4A8" w14:textId="1CCC12AA" w:rsidR="00FD4DA0" w:rsidRPr="00150B00" w:rsidRDefault="00AA7AD8" w:rsidP="00C67FC1">
      <w:pPr>
        <w:spacing w:line="360" w:lineRule="auto"/>
        <w:jc w:val="center"/>
        <w:rPr>
          <w:rFonts w:ascii="Palatino Linotype" w:hAnsi="Palatino Linotype"/>
          <w:b/>
        </w:rPr>
      </w:pPr>
      <w:r w:rsidRPr="00150B00">
        <w:rPr>
          <w:noProof/>
          <w:lang w:val="es-ES"/>
        </w:rPr>
        <w:drawing>
          <wp:inline distT="0" distB="0" distL="0" distR="0" wp14:anchorId="35DF5A0D" wp14:editId="517C5332">
            <wp:extent cx="4040922" cy="30194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570" t="25741" r="36191" b="15465"/>
                    <a:stretch/>
                  </pic:blipFill>
                  <pic:spPr bwMode="auto">
                    <a:xfrm>
                      <a:off x="0" y="0"/>
                      <a:ext cx="4048354" cy="302497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FB9A04A" w14:textId="39C996D1" w:rsidR="00200BFC" w:rsidRPr="00150B00" w:rsidRDefault="00B3328C" w:rsidP="00200BFC">
      <w:pPr>
        <w:spacing w:line="360" w:lineRule="auto"/>
        <w:jc w:val="both"/>
        <w:rPr>
          <w:rFonts w:ascii="Palatino Linotype" w:hAnsi="Palatino Linotype"/>
        </w:rPr>
      </w:pPr>
      <w:r w:rsidRPr="00150B00">
        <w:rPr>
          <w:rFonts w:ascii="Palatino Linotype" w:hAnsi="Palatino Linotype" w:cs="Arial"/>
          <w:b/>
          <w:sz w:val="28"/>
          <w:szCs w:val="28"/>
        </w:rPr>
        <w:lastRenderedPageBreak/>
        <w:t>III</w:t>
      </w:r>
      <w:r w:rsidR="00754D17" w:rsidRPr="00150B00">
        <w:rPr>
          <w:rFonts w:ascii="Palatino Linotype" w:hAnsi="Palatino Linotype" w:cs="Arial"/>
          <w:b/>
        </w:rPr>
        <w:t xml:space="preserve">. </w:t>
      </w:r>
      <w:r w:rsidRPr="00150B00">
        <w:rPr>
          <w:rFonts w:ascii="Palatino Linotype" w:hAnsi="Palatino Linotype" w:cs="Arial"/>
        </w:rPr>
        <w:t>E</w:t>
      </w:r>
      <w:r w:rsidR="007940E5" w:rsidRPr="00150B00">
        <w:rPr>
          <w:rFonts w:ascii="Palatino Linotype" w:hAnsi="Palatino Linotype" w:cs="Arial"/>
        </w:rPr>
        <w:t xml:space="preserve">n fecha </w:t>
      </w:r>
      <w:r w:rsidRPr="00150B00">
        <w:rPr>
          <w:rFonts w:ascii="Palatino Linotype" w:hAnsi="Palatino Linotype" w:cs="Arial"/>
        </w:rPr>
        <w:tab/>
      </w:r>
      <w:r w:rsidR="00732BF0" w:rsidRPr="00150B00">
        <w:rPr>
          <w:rFonts w:ascii="Palatino Linotype" w:hAnsi="Palatino Linotype" w:cs="Arial"/>
        </w:rPr>
        <w:t>nueve de febrero de dos mil veintiuno</w:t>
      </w:r>
      <w:r w:rsidR="003E7169" w:rsidRPr="00150B00">
        <w:rPr>
          <w:rFonts w:ascii="Palatino Linotype" w:hAnsi="Palatino Linotype" w:cs="Arial"/>
        </w:rPr>
        <w:t xml:space="preserve">, </w:t>
      </w:r>
      <w:r w:rsidR="003E7169" w:rsidRPr="00150B00">
        <w:rPr>
          <w:rFonts w:ascii="Palatino Linotype" w:hAnsi="Palatino Linotype"/>
        </w:rPr>
        <w:t xml:space="preserve">el </w:t>
      </w:r>
      <w:r w:rsidR="003E7169" w:rsidRPr="00150B00">
        <w:rPr>
          <w:rFonts w:ascii="Palatino Linotype" w:hAnsi="Palatino Linotype"/>
          <w:b/>
        </w:rPr>
        <w:t>SUJETO OBLIGADO</w:t>
      </w:r>
      <w:r w:rsidR="003E7169" w:rsidRPr="00150B00">
        <w:rPr>
          <w:rFonts w:ascii="Palatino Linotype" w:hAnsi="Palatino Linotype"/>
        </w:rPr>
        <w:t xml:space="preserve"> dio respuesta a la solicitud de información en los siguientes términos:</w:t>
      </w:r>
    </w:p>
    <w:p w14:paraId="7DA89BF2" w14:textId="0CB0893A" w:rsidR="00754D17" w:rsidRPr="00150B00" w:rsidRDefault="00754D17" w:rsidP="004C61E8">
      <w:pPr>
        <w:ind w:right="901"/>
        <w:rPr>
          <w:rFonts w:ascii="Palatino Linotype" w:hAnsi="Palatino Linotype" w:cs="Arial"/>
          <w:i/>
        </w:rPr>
      </w:pPr>
    </w:p>
    <w:p w14:paraId="2F18FF84" w14:textId="77777777" w:rsidR="00732BF0" w:rsidRPr="00150B00" w:rsidRDefault="00FD3603" w:rsidP="00732BF0">
      <w:pPr>
        <w:ind w:left="850" w:right="901"/>
        <w:jc w:val="both"/>
        <w:rPr>
          <w:rFonts w:ascii="Palatino Linotype" w:hAnsi="Palatino Linotype" w:cs="Arial"/>
          <w:i/>
          <w:sz w:val="22"/>
          <w:szCs w:val="22"/>
        </w:rPr>
      </w:pPr>
      <w:r w:rsidRPr="00150B00">
        <w:rPr>
          <w:rFonts w:ascii="Palatino Linotype" w:hAnsi="Palatino Linotype" w:cs="Arial"/>
          <w:i/>
          <w:sz w:val="22"/>
          <w:szCs w:val="22"/>
        </w:rPr>
        <w:t>“…</w:t>
      </w:r>
      <w:r w:rsidR="00732BF0" w:rsidRPr="00150B0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ABB681" w14:textId="0101C806" w:rsidR="00754D17" w:rsidRPr="00150B00" w:rsidRDefault="00732BF0" w:rsidP="00732BF0">
      <w:pPr>
        <w:ind w:left="850" w:right="901"/>
        <w:jc w:val="both"/>
        <w:rPr>
          <w:rFonts w:ascii="Palatino Linotype" w:hAnsi="Palatino Linotype" w:cs="Arial"/>
          <w:i/>
          <w:sz w:val="22"/>
          <w:szCs w:val="22"/>
        </w:rPr>
      </w:pPr>
      <w:r w:rsidRPr="00150B00">
        <w:rPr>
          <w:rFonts w:ascii="Palatino Linotype" w:hAnsi="Palatino Linotype" w:cs="Arial"/>
          <w:i/>
          <w:sz w:val="22"/>
          <w:szCs w:val="22"/>
        </w:rPr>
        <w:t>En atención a su solicitud con número de folio 00022/IXTASAL/IP/2021, en la cual solicita lo siguiente: “Todas y cada una de las actas emitidas por el Comité de Transparencia, desde el 01 de enero de 2019 al 20 de enero de 2021.” (Sic.) Al respecto le informo que las actas del 01 de enero de 2019 al 31 de diciembre de 2020, se encuentran publicadas en el siguiente link https://www.ipomex.org.mx/ipo3/lgt/indice/IXTAPANDELASAL/art_92_xliii_b.web, lo anterior con fundamento en el artículo 161 de la Ley de Transparencia y Acceso a la Información Pública del Estado de México y Municipios, que a la letra dice: “Artículo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 Así mismo respecto el periodo comprendido del primero de enero al 20 de enero de 2021, el Comité de Transparencia de este Sujeto Obligado no genero ninguna sesión por lo que no se cuenta con actas</w:t>
      </w:r>
      <w:r w:rsidR="00B3328C" w:rsidRPr="00150B00">
        <w:rPr>
          <w:rFonts w:ascii="Palatino Linotype" w:hAnsi="Palatino Linotype" w:cs="Arial"/>
          <w:i/>
          <w:sz w:val="22"/>
          <w:szCs w:val="22"/>
        </w:rPr>
        <w:t>…</w:t>
      </w:r>
      <w:r w:rsidR="00754D17" w:rsidRPr="00150B00">
        <w:rPr>
          <w:rFonts w:ascii="Palatino Linotype" w:hAnsi="Palatino Linotype" w:cs="Arial"/>
          <w:i/>
          <w:sz w:val="22"/>
          <w:szCs w:val="22"/>
        </w:rPr>
        <w:t>”</w:t>
      </w:r>
      <w:r w:rsidR="007940E5" w:rsidRPr="00150B00">
        <w:rPr>
          <w:rFonts w:ascii="Palatino Linotype" w:hAnsi="Palatino Linotype" w:cs="Arial"/>
          <w:i/>
          <w:sz w:val="22"/>
          <w:szCs w:val="22"/>
        </w:rPr>
        <w:t xml:space="preserve"> (sic)</w:t>
      </w:r>
    </w:p>
    <w:p w14:paraId="1D211A49" w14:textId="41A2DAFC" w:rsidR="003E7169" w:rsidRPr="00150B00" w:rsidRDefault="003E7169" w:rsidP="00754D17">
      <w:pPr>
        <w:jc w:val="both"/>
        <w:rPr>
          <w:rFonts w:ascii="Palatino Linotype" w:hAnsi="Palatino Linotype" w:cs="Arial"/>
        </w:rPr>
      </w:pPr>
    </w:p>
    <w:p w14:paraId="1503BB3C" w14:textId="77777777" w:rsidR="00732BF0" w:rsidRPr="00150B00" w:rsidRDefault="00364628" w:rsidP="003253C6">
      <w:pPr>
        <w:spacing w:line="360" w:lineRule="auto"/>
        <w:jc w:val="both"/>
        <w:rPr>
          <w:rFonts w:ascii="Palatino Linotype" w:hAnsi="Palatino Linotype" w:cs="Arial"/>
        </w:rPr>
      </w:pPr>
      <w:r w:rsidRPr="00150B00">
        <w:rPr>
          <w:rFonts w:ascii="Palatino Linotype" w:hAnsi="Palatino Linotype" w:cs="Arial"/>
          <w:b/>
          <w:sz w:val="28"/>
          <w:szCs w:val="28"/>
        </w:rPr>
        <w:t>I</w:t>
      </w:r>
      <w:r w:rsidR="004463D6" w:rsidRPr="00150B00">
        <w:rPr>
          <w:rFonts w:ascii="Palatino Linotype" w:hAnsi="Palatino Linotype" w:cs="Arial"/>
          <w:b/>
          <w:sz w:val="28"/>
          <w:szCs w:val="28"/>
        </w:rPr>
        <w:t>V</w:t>
      </w:r>
      <w:r w:rsidR="00200BFC" w:rsidRPr="00150B00">
        <w:rPr>
          <w:rFonts w:ascii="Palatino Linotype" w:hAnsi="Palatino Linotype" w:cs="Arial"/>
          <w:b/>
        </w:rPr>
        <w:t xml:space="preserve">. </w:t>
      </w:r>
      <w:r w:rsidR="009E6E1F" w:rsidRPr="00150B00">
        <w:rPr>
          <w:rFonts w:ascii="Palatino Linotype" w:hAnsi="Palatino Linotype" w:cs="Arial"/>
          <w:b/>
        </w:rPr>
        <w:t xml:space="preserve"> </w:t>
      </w:r>
      <w:r w:rsidR="009E6E1F" w:rsidRPr="00150B00">
        <w:rPr>
          <w:rFonts w:ascii="Palatino Linotype" w:hAnsi="Palatino Linotype" w:cs="Arial"/>
        </w:rPr>
        <w:t>Inconforme por la respuesta del</w:t>
      </w:r>
      <w:r w:rsidR="009E6E1F" w:rsidRPr="00150B00">
        <w:rPr>
          <w:rFonts w:ascii="Palatino Linotype" w:hAnsi="Palatino Linotype" w:cs="Arial"/>
          <w:b/>
        </w:rPr>
        <w:t xml:space="preserve"> SUJETO OBLIGADO</w:t>
      </w:r>
      <w:r w:rsidR="009E6E1F" w:rsidRPr="00150B00">
        <w:rPr>
          <w:rFonts w:ascii="Palatino Linotype" w:hAnsi="Palatino Linotype" w:cs="Arial"/>
        </w:rPr>
        <w:t xml:space="preserve">, </w:t>
      </w:r>
      <w:bookmarkStart w:id="1" w:name="_Hlk65869348"/>
      <w:r w:rsidR="009E6E1F" w:rsidRPr="00150B00">
        <w:rPr>
          <w:rFonts w:ascii="Palatino Linotype" w:hAnsi="Palatino Linotype" w:cs="Arial"/>
        </w:rPr>
        <w:t xml:space="preserve">el </w:t>
      </w:r>
      <w:bookmarkStart w:id="2" w:name="_Hlk66905757"/>
      <w:r w:rsidR="00732BF0" w:rsidRPr="00150B00">
        <w:rPr>
          <w:rFonts w:ascii="Palatino Linotype" w:hAnsi="Palatino Linotype" w:cs="Arial"/>
        </w:rPr>
        <w:t>diez de febrero</w:t>
      </w:r>
      <w:r w:rsidR="008C7579" w:rsidRPr="00150B00">
        <w:rPr>
          <w:rFonts w:ascii="Palatino Linotype" w:hAnsi="Palatino Linotype" w:cs="Arial"/>
        </w:rPr>
        <w:t xml:space="preserve"> de dos mil veintiuno</w:t>
      </w:r>
      <w:bookmarkEnd w:id="1"/>
      <w:bookmarkEnd w:id="2"/>
      <w:r w:rsidR="009E6E1F" w:rsidRPr="00150B00">
        <w:rPr>
          <w:rFonts w:ascii="Palatino Linotype" w:hAnsi="Palatino Linotype" w:cs="Arial"/>
        </w:rPr>
        <w:t xml:space="preserve">, </w:t>
      </w:r>
      <w:r w:rsidR="009E6E1F" w:rsidRPr="00150B00">
        <w:rPr>
          <w:rFonts w:ascii="Palatino Linotype" w:hAnsi="Palatino Linotype" w:cs="Arial"/>
          <w:b/>
        </w:rPr>
        <w:t>EL RECURRENTE</w:t>
      </w:r>
      <w:r w:rsidR="009E6E1F" w:rsidRPr="00150B00">
        <w:rPr>
          <w:rFonts w:ascii="Palatino Linotype" w:hAnsi="Palatino Linotype" w:cs="Arial"/>
        </w:rPr>
        <w:t xml:space="preserve"> interpuso el recurso de revisión sujeto del presente estudio, el cual fue registrado en </w:t>
      </w:r>
      <w:r w:rsidR="009E6E1F" w:rsidRPr="00150B00">
        <w:rPr>
          <w:rFonts w:ascii="Palatino Linotype" w:hAnsi="Palatino Linotype" w:cs="Arial"/>
          <w:b/>
        </w:rPr>
        <w:t>EL SAIMEX</w:t>
      </w:r>
      <w:r w:rsidR="009E6E1F" w:rsidRPr="00150B00">
        <w:rPr>
          <w:rFonts w:ascii="Palatino Linotype" w:hAnsi="Palatino Linotype" w:cs="Arial"/>
        </w:rPr>
        <w:t xml:space="preserve"> y se le asignó el número de expediente </w:t>
      </w:r>
      <w:r w:rsidR="00732BF0" w:rsidRPr="00150B00">
        <w:rPr>
          <w:rFonts w:ascii="Palatino Linotype" w:hAnsi="Palatino Linotype" w:cs="Arial"/>
          <w:b/>
        </w:rPr>
        <w:t>00302</w:t>
      </w:r>
      <w:r w:rsidR="008A6AD5" w:rsidRPr="00150B00">
        <w:rPr>
          <w:rFonts w:ascii="Palatino Linotype" w:hAnsi="Palatino Linotype" w:cs="Arial"/>
          <w:b/>
        </w:rPr>
        <w:t>/INFOEM/IP/RR/202</w:t>
      </w:r>
      <w:r w:rsidR="008C7579" w:rsidRPr="00150B00">
        <w:rPr>
          <w:rFonts w:ascii="Palatino Linotype" w:hAnsi="Palatino Linotype" w:cs="Arial"/>
          <w:b/>
        </w:rPr>
        <w:t>1</w:t>
      </w:r>
      <w:r w:rsidR="009E6E1F" w:rsidRPr="00150B00">
        <w:rPr>
          <w:rFonts w:ascii="Palatino Linotype" w:hAnsi="Palatino Linotype" w:cs="Arial"/>
          <w:b/>
        </w:rPr>
        <w:t>,</w:t>
      </w:r>
      <w:r w:rsidR="009E6E1F" w:rsidRPr="00150B00">
        <w:rPr>
          <w:rFonts w:ascii="Palatino Linotype" w:hAnsi="Palatino Linotype" w:cs="Arial"/>
        </w:rPr>
        <w:t xml:space="preserve"> en el que señaló como acto impugnado</w:t>
      </w:r>
      <w:r w:rsidR="00732BF0" w:rsidRPr="00150B00">
        <w:rPr>
          <w:rFonts w:ascii="Palatino Linotype" w:hAnsi="Palatino Linotype" w:cs="Arial"/>
        </w:rPr>
        <w:t>:</w:t>
      </w:r>
    </w:p>
    <w:p w14:paraId="6F47FBF5" w14:textId="77777777" w:rsidR="00732BF0" w:rsidRPr="00150B00" w:rsidRDefault="00732BF0" w:rsidP="00732BF0">
      <w:pPr>
        <w:spacing w:line="360" w:lineRule="auto"/>
        <w:ind w:left="850" w:right="901"/>
        <w:jc w:val="both"/>
        <w:rPr>
          <w:rFonts w:ascii="Palatino Linotype" w:hAnsi="Palatino Linotype" w:cs="Arial"/>
          <w:i/>
          <w:iCs/>
          <w:sz w:val="22"/>
          <w:szCs w:val="22"/>
        </w:rPr>
      </w:pPr>
    </w:p>
    <w:p w14:paraId="3967AC49" w14:textId="19FBE334" w:rsidR="00732BF0" w:rsidRPr="00150B00" w:rsidRDefault="00732BF0" w:rsidP="00732BF0">
      <w:pPr>
        <w:spacing w:line="360" w:lineRule="auto"/>
        <w:ind w:left="850" w:right="901"/>
        <w:jc w:val="both"/>
        <w:rPr>
          <w:rFonts w:ascii="Palatino Linotype" w:hAnsi="Palatino Linotype" w:cs="Arial"/>
          <w:i/>
          <w:iCs/>
          <w:sz w:val="22"/>
          <w:szCs w:val="22"/>
        </w:rPr>
      </w:pPr>
      <w:r w:rsidRPr="00150B00">
        <w:rPr>
          <w:rFonts w:ascii="Palatino Linotype" w:hAnsi="Palatino Linotype" w:cs="Arial"/>
          <w:i/>
          <w:iCs/>
          <w:sz w:val="22"/>
          <w:szCs w:val="22"/>
        </w:rPr>
        <w:t>“LA RESPUESTA OTORGADA POR EL SUJETO OBLIGADO RESPECTO AL AÑO 2021.” (sic)</w:t>
      </w:r>
    </w:p>
    <w:p w14:paraId="541D18D8" w14:textId="5236C808" w:rsidR="00646958" w:rsidRPr="00150B00" w:rsidRDefault="00BE0F05" w:rsidP="003253C6">
      <w:pPr>
        <w:spacing w:line="360" w:lineRule="auto"/>
        <w:jc w:val="both"/>
        <w:rPr>
          <w:rFonts w:ascii="Palatino Linotype" w:hAnsi="Palatino Linotype" w:cs="Arial"/>
        </w:rPr>
      </w:pPr>
      <w:r w:rsidRPr="00150B00">
        <w:rPr>
          <w:rFonts w:ascii="Palatino Linotype" w:hAnsi="Palatino Linotype" w:cs="Arial"/>
        </w:rPr>
        <w:lastRenderedPageBreak/>
        <w:t xml:space="preserve">Así </w:t>
      </w:r>
      <w:r w:rsidR="00200BFC" w:rsidRPr="00150B00">
        <w:rPr>
          <w:rFonts w:ascii="Palatino Linotype" w:hAnsi="Palatino Linotype" w:cs="Arial"/>
        </w:rPr>
        <w:t xml:space="preserve">como, </w:t>
      </w:r>
      <w:r w:rsidRPr="00150B00">
        <w:rPr>
          <w:rFonts w:ascii="Palatino Linotype" w:hAnsi="Palatino Linotype" w:cs="Arial"/>
        </w:rPr>
        <w:t xml:space="preserve">las </w:t>
      </w:r>
      <w:r w:rsidR="00200BFC" w:rsidRPr="00150B00">
        <w:rPr>
          <w:rFonts w:ascii="Palatino Linotype" w:hAnsi="Palatino Linotype" w:cs="Arial"/>
        </w:rPr>
        <w:t>razon</w:t>
      </w:r>
      <w:r w:rsidR="003253C6" w:rsidRPr="00150B00">
        <w:rPr>
          <w:rFonts w:ascii="Palatino Linotype" w:hAnsi="Palatino Linotype" w:cs="Arial"/>
        </w:rPr>
        <w:t>es o motivos de inconformidad</w:t>
      </w:r>
      <w:r w:rsidR="008C7579" w:rsidRPr="00150B00">
        <w:rPr>
          <w:rFonts w:ascii="Palatino Linotype" w:hAnsi="Palatino Linotype" w:cs="Arial"/>
        </w:rPr>
        <w:t>:</w:t>
      </w:r>
    </w:p>
    <w:p w14:paraId="07B6A366" w14:textId="77777777" w:rsidR="009E6E1F" w:rsidRPr="00150B00" w:rsidRDefault="009E6E1F" w:rsidP="009E6E1F">
      <w:pPr>
        <w:jc w:val="both"/>
        <w:rPr>
          <w:rFonts w:ascii="Palatino Linotype" w:hAnsi="Palatino Linotype" w:cs="Arial"/>
          <w:sz w:val="22"/>
          <w:szCs w:val="22"/>
        </w:rPr>
      </w:pPr>
    </w:p>
    <w:p w14:paraId="288057DC" w14:textId="0496B5F1" w:rsidR="00F862A0" w:rsidRPr="00150B00" w:rsidRDefault="00200BFC" w:rsidP="009E6E1F">
      <w:pPr>
        <w:tabs>
          <w:tab w:val="left" w:pos="851"/>
        </w:tabs>
        <w:ind w:left="851" w:right="901"/>
        <w:jc w:val="both"/>
        <w:rPr>
          <w:rFonts w:ascii="Palatino Linotype" w:hAnsi="Palatino Linotype" w:cs="Arial"/>
          <w:i/>
          <w:sz w:val="22"/>
          <w:szCs w:val="22"/>
        </w:rPr>
      </w:pPr>
      <w:r w:rsidRPr="00150B00">
        <w:rPr>
          <w:rFonts w:ascii="Palatino Linotype" w:hAnsi="Palatino Linotype" w:cs="Arial"/>
          <w:i/>
          <w:sz w:val="22"/>
          <w:szCs w:val="22"/>
        </w:rPr>
        <w:t>“</w:t>
      </w:r>
      <w:r w:rsidR="00BE0F05" w:rsidRPr="00150B00">
        <w:rPr>
          <w:rFonts w:ascii="Palatino Linotype" w:hAnsi="Palatino Linotype" w:cs="Arial"/>
          <w:i/>
          <w:sz w:val="22"/>
          <w:szCs w:val="22"/>
        </w:rPr>
        <w:t>Conforme a lo previsto en la Ley de Transparencia Local, no basta que el sujeto obligado manifieste la inexistencia de algún documento, sino que debe seguir un procedimiento para acreditar la inexistencia, procedimiento que no se siguió, toda vez que se omite proporcionarme el Acta del Comité de Transparencia donde se hace constar la inexistencia de la información solicitada respecto al año 2021, esto es, las actas del 01 al 20 de enero de 2021.</w:t>
      </w:r>
      <w:r w:rsidR="009A2B79" w:rsidRPr="00150B00">
        <w:rPr>
          <w:rFonts w:ascii="Palatino Linotype" w:hAnsi="Palatino Linotype" w:cs="Arial"/>
          <w:i/>
          <w:sz w:val="22"/>
          <w:szCs w:val="22"/>
        </w:rPr>
        <w:t xml:space="preserve">” </w:t>
      </w:r>
      <w:r w:rsidRPr="00150B00">
        <w:rPr>
          <w:rFonts w:ascii="Palatino Linotype" w:hAnsi="Palatino Linotype" w:cs="Arial"/>
          <w:i/>
          <w:sz w:val="22"/>
          <w:szCs w:val="22"/>
        </w:rPr>
        <w:t>(sic)</w:t>
      </w:r>
    </w:p>
    <w:p w14:paraId="20839C7B" w14:textId="28C1286C" w:rsidR="00646958" w:rsidRPr="00150B00" w:rsidRDefault="00646958" w:rsidP="009E6E1F">
      <w:pPr>
        <w:tabs>
          <w:tab w:val="left" w:pos="851"/>
        </w:tabs>
        <w:ind w:right="901"/>
        <w:jc w:val="both"/>
        <w:rPr>
          <w:rFonts w:ascii="Palatino Linotype" w:hAnsi="Palatino Linotype" w:cs="Arial"/>
          <w:i/>
        </w:rPr>
      </w:pPr>
    </w:p>
    <w:p w14:paraId="7AFA6F77" w14:textId="63492A5A" w:rsidR="00200BFC" w:rsidRPr="00150B00" w:rsidRDefault="00F862A0" w:rsidP="00200BFC">
      <w:pPr>
        <w:spacing w:line="360" w:lineRule="auto"/>
        <w:jc w:val="both"/>
        <w:rPr>
          <w:rFonts w:ascii="Palatino Linotype" w:hAnsi="Palatino Linotype" w:cs="Arial"/>
        </w:rPr>
      </w:pPr>
      <w:r w:rsidRPr="00150B00">
        <w:rPr>
          <w:rFonts w:ascii="Palatino Linotype" w:hAnsi="Palatino Linotype" w:cs="Arial"/>
          <w:b/>
          <w:sz w:val="28"/>
          <w:szCs w:val="28"/>
        </w:rPr>
        <w:t>V</w:t>
      </w:r>
      <w:r w:rsidR="00200BFC" w:rsidRPr="00150B00">
        <w:rPr>
          <w:rFonts w:ascii="Palatino Linotype" w:hAnsi="Palatino Linotype" w:cs="Arial"/>
          <w:b/>
          <w:sz w:val="28"/>
          <w:szCs w:val="28"/>
        </w:rPr>
        <w:t xml:space="preserve">. </w:t>
      </w:r>
      <w:r w:rsidR="00200BFC" w:rsidRPr="00150B00">
        <w:rPr>
          <w:rFonts w:ascii="Palatino Linotype" w:hAnsi="Palatino Linotype" w:cs="Arial"/>
        </w:rPr>
        <w:t>E</w:t>
      </w:r>
      <w:r w:rsidR="008C7579" w:rsidRPr="00150B00">
        <w:rPr>
          <w:rFonts w:ascii="Palatino Linotype" w:hAnsi="Palatino Linotype" w:cs="Arial"/>
        </w:rPr>
        <w:t xml:space="preserve">l </w:t>
      </w:r>
      <w:r w:rsidR="00BE0F05" w:rsidRPr="00150B00">
        <w:rPr>
          <w:rFonts w:ascii="Palatino Linotype" w:hAnsi="Palatino Linotype" w:cs="Arial"/>
        </w:rPr>
        <w:t>diez de febrero de dos mil veintiuno</w:t>
      </w:r>
      <w:r w:rsidR="00200BFC" w:rsidRPr="00150B00">
        <w:rPr>
          <w:rFonts w:ascii="Palatino Linotype" w:hAnsi="Palatino Linotype" w:cs="Arial"/>
        </w:rPr>
        <w:t xml:space="preserve">, el recurso de que se trata se envió electrónicamente al Instituto de </w:t>
      </w:r>
      <w:r w:rsidR="00200BFC" w:rsidRPr="00150B00">
        <w:rPr>
          <w:rFonts w:ascii="Palatino Linotype" w:eastAsia="Arial Unicode MS" w:hAnsi="Palatino Linotype" w:cs="Arial"/>
        </w:rPr>
        <w:t>Transparencia</w:t>
      </w:r>
      <w:r w:rsidR="00200BFC" w:rsidRPr="00150B00">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150B00">
        <w:rPr>
          <w:rFonts w:ascii="Palatino Linotype" w:hAnsi="Palatino Linotype"/>
        </w:rPr>
        <w:t>Ley de Transparencia y Acceso a la Información Pública del Estado de México y Municipios</w:t>
      </w:r>
      <w:r w:rsidR="00200BFC" w:rsidRPr="00150B00">
        <w:rPr>
          <w:rFonts w:ascii="Palatino Linotype" w:hAnsi="Palatino Linotype" w:cs="Arial"/>
        </w:rPr>
        <w:t>, se turnó, a través del</w:t>
      </w:r>
      <w:r w:rsidR="00200BFC" w:rsidRPr="00150B00">
        <w:rPr>
          <w:rFonts w:ascii="Palatino Linotype" w:eastAsia="Arial Unicode MS" w:hAnsi="Palatino Linotype" w:cs="Arial"/>
        </w:rPr>
        <w:t xml:space="preserve"> </w:t>
      </w:r>
      <w:r w:rsidR="00200BFC" w:rsidRPr="00150B00">
        <w:rPr>
          <w:rFonts w:ascii="Palatino Linotype" w:eastAsia="Arial Unicode MS" w:hAnsi="Palatino Linotype" w:cs="Arial"/>
          <w:b/>
        </w:rPr>
        <w:t>SAIMEX</w:t>
      </w:r>
      <w:r w:rsidR="00200BFC" w:rsidRPr="00150B00">
        <w:rPr>
          <w:rFonts w:ascii="Palatino Linotype" w:hAnsi="Palatino Linotype"/>
        </w:rPr>
        <w:t xml:space="preserve">, a la </w:t>
      </w:r>
      <w:r w:rsidR="00200BFC" w:rsidRPr="00150B00">
        <w:rPr>
          <w:rFonts w:ascii="Palatino Linotype" w:hAnsi="Palatino Linotype" w:cs="Arial"/>
        </w:rPr>
        <w:t xml:space="preserve">Comisionada </w:t>
      </w:r>
      <w:r w:rsidR="00200BFC" w:rsidRPr="00150B00">
        <w:rPr>
          <w:rFonts w:ascii="Palatino Linotype" w:hAnsi="Palatino Linotype" w:cs="Arial"/>
          <w:b/>
        </w:rPr>
        <w:t>EVA ABAID YAPUR</w:t>
      </w:r>
      <w:r w:rsidR="00200BFC" w:rsidRPr="00150B00">
        <w:rPr>
          <w:rFonts w:ascii="Palatino Linotype" w:hAnsi="Palatino Linotype"/>
        </w:rPr>
        <w:t>,</w:t>
      </w:r>
      <w:r w:rsidR="00200BFC" w:rsidRPr="00150B00">
        <w:rPr>
          <w:rFonts w:ascii="Palatino Linotype" w:hAnsi="Palatino Linotype" w:cs="Arial"/>
        </w:rPr>
        <w:t xml:space="preserve"> a efecto de decretar su admisión o desechamiento.</w:t>
      </w:r>
    </w:p>
    <w:p w14:paraId="74931326" w14:textId="77777777" w:rsidR="00200BFC" w:rsidRPr="00150B00" w:rsidRDefault="00200BFC" w:rsidP="00200BFC">
      <w:pPr>
        <w:spacing w:line="360" w:lineRule="auto"/>
        <w:jc w:val="both"/>
        <w:rPr>
          <w:rFonts w:ascii="Palatino Linotype" w:hAnsi="Palatino Linotype" w:cs="Arial"/>
        </w:rPr>
      </w:pPr>
    </w:p>
    <w:p w14:paraId="4952A0CD" w14:textId="777D08A1" w:rsidR="00200BFC" w:rsidRPr="00150B00" w:rsidRDefault="00200BFC" w:rsidP="00200BFC">
      <w:pPr>
        <w:tabs>
          <w:tab w:val="center" w:pos="4252"/>
          <w:tab w:val="right" w:pos="8504"/>
        </w:tabs>
        <w:spacing w:line="360" w:lineRule="auto"/>
        <w:jc w:val="both"/>
        <w:rPr>
          <w:rFonts w:ascii="Palatino Linotype" w:hAnsi="Palatino Linotype" w:cs="Arial"/>
        </w:rPr>
      </w:pPr>
      <w:r w:rsidRPr="00150B00">
        <w:rPr>
          <w:rFonts w:ascii="Palatino Linotype" w:hAnsi="Palatino Linotype" w:cs="Arial"/>
          <w:b/>
          <w:sz w:val="28"/>
          <w:szCs w:val="28"/>
        </w:rPr>
        <w:t>V</w:t>
      </w:r>
      <w:r w:rsidR="00F862A0" w:rsidRPr="00150B00">
        <w:rPr>
          <w:rFonts w:ascii="Palatino Linotype" w:hAnsi="Palatino Linotype" w:cs="Arial"/>
          <w:b/>
          <w:sz w:val="28"/>
          <w:szCs w:val="28"/>
        </w:rPr>
        <w:t>I</w:t>
      </w:r>
      <w:r w:rsidRPr="00150B00">
        <w:rPr>
          <w:rFonts w:ascii="Palatino Linotype" w:hAnsi="Palatino Linotype" w:cs="Arial"/>
          <w:b/>
        </w:rPr>
        <w:t xml:space="preserve">. </w:t>
      </w:r>
      <w:r w:rsidRPr="00150B00">
        <w:rPr>
          <w:rFonts w:ascii="Palatino Linotype" w:hAnsi="Palatino Linotype" w:cs="Arial"/>
        </w:rPr>
        <w:t>De las constancias del expediente electrónico del</w:t>
      </w:r>
      <w:r w:rsidRPr="00150B00">
        <w:rPr>
          <w:rFonts w:ascii="Palatino Linotype" w:hAnsi="Palatino Linotype" w:cs="Arial"/>
          <w:b/>
        </w:rPr>
        <w:t xml:space="preserve"> SAIMEX</w:t>
      </w:r>
      <w:r w:rsidRPr="00150B00">
        <w:rPr>
          <w:rFonts w:ascii="Palatino Linotype" w:hAnsi="Palatino Linotype" w:cs="Arial"/>
        </w:rPr>
        <w:t xml:space="preserve">, se advierte que en fecha </w:t>
      </w:r>
      <w:r w:rsidR="00BE0F05" w:rsidRPr="00150B00">
        <w:rPr>
          <w:rFonts w:ascii="Palatino Linotype" w:hAnsi="Palatino Linotype" w:cs="Arial"/>
        </w:rPr>
        <w:t>dieciséis de febrero</w:t>
      </w:r>
      <w:r w:rsidR="008C7579" w:rsidRPr="00150B00">
        <w:rPr>
          <w:rFonts w:ascii="Palatino Linotype" w:hAnsi="Palatino Linotype" w:cs="Arial"/>
        </w:rPr>
        <w:t xml:space="preserve"> de dos mil veintiuno</w:t>
      </w:r>
      <w:r w:rsidRPr="00150B0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50B00">
        <w:rPr>
          <w:rFonts w:ascii="Palatino Linotype" w:hAnsi="Palatino Linotype" w:cs="Arial"/>
          <w:b/>
        </w:rPr>
        <w:t xml:space="preserve">EL SUJETO OBLIGADO </w:t>
      </w:r>
      <w:r w:rsidRPr="00150B00">
        <w:rPr>
          <w:rFonts w:ascii="Palatino Linotype" w:hAnsi="Palatino Linotype" w:cs="Arial"/>
        </w:rPr>
        <w:t>rindiera su</w:t>
      </w:r>
      <w:r w:rsidRPr="00150B00">
        <w:rPr>
          <w:rFonts w:ascii="Palatino Linotype" w:hAnsi="Palatino Linotype" w:cs="Arial"/>
          <w:b/>
        </w:rPr>
        <w:t xml:space="preserve"> </w:t>
      </w:r>
      <w:r w:rsidRPr="00150B00">
        <w:rPr>
          <w:rFonts w:ascii="Palatino Linotype" w:hAnsi="Palatino Linotype" w:cs="Arial"/>
        </w:rPr>
        <w:t>Informe Justificado.</w:t>
      </w:r>
    </w:p>
    <w:p w14:paraId="01EFA607" w14:textId="77777777" w:rsidR="00200BFC" w:rsidRPr="00150B00" w:rsidRDefault="00200BFC" w:rsidP="00200BFC">
      <w:pPr>
        <w:spacing w:line="360" w:lineRule="auto"/>
        <w:jc w:val="both"/>
        <w:rPr>
          <w:rFonts w:ascii="Palatino Linotype" w:eastAsia="Arial Unicode MS" w:hAnsi="Palatino Linotype" w:cs="Arial"/>
          <w:b/>
        </w:rPr>
      </w:pPr>
    </w:p>
    <w:p w14:paraId="63AD5523" w14:textId="0C8BB46D" w:rsidR="00BE0F05" w:rsidRPr="00150B00" w:rsidRDefault="00200BFC" w:rsidP="00BE0F05">
      <w:pPr>
        <w:spacing w:line="360" w:lineRule="auto"/>
        <w:jc w:val="both"/>
        <w:rPr>
          <w:rFonts w:ascii="Palatino Linotype" w:eastAsia="Arial Unicode MS" w:hAnsi="Palatino Linotype" w:cs="Arial"/>
          <w:bCs/>
        </w:rPr>
      </w:pPr>
      <w:r w:rsidRPr="00150B00">
        <w:rPr>
          <w:rFonts w:ascii="Palatino Linotype" w:eastAsia="Arial Unicode MS" w:hAnsi="Palatino Linotype" w:cs="Arial"/>
          <w:b/>
          <w:sz w:val="28"/>
          <w:szCs w:val="28"/>
        </w:rPr>
        <w:lastRenderedPageBreak/>
        <w:t>V</w:t>
      </w:r>
      <w:r w:rsidR="00F862A0" w:rsidRPr="00150B00">
        <w:rPr>
          <w:rFonts w:ascii="Palatino Linotype" w:eastAsia="Arial Unicode MS" w:hAnsi="Palatino Linotype" w:cs="Arial"/>
          <w:b/>
          <w:sz w:val="28"/>
          <w:szCs w:val="28"/>
        </w:rPr>
        <w:t>II</w:t>
      </w:r>
      <w:r w:rsidRPr="00150B00">
        <w:rPr>
          <w:rFonts w:ascii="Palatino Linotype" w:eastAsia="Arial Unicode MS" w:hAnsi="Palatino Linotype" w:cs="Arial"/>
          <w:b/>
        </w:rPr>
        <w:t>.</w:t>
      </w:r>
      <w:r w:rsidR="00F862A0" w:rsidRPr="00150B00">
        <w:rPr>
          <w:rFonts w:ascii="Palatino Linotype" w:eastAsia="Arial Unicode MS" w:hAnsi="Palatino Linotype" w:cs="Arial"/>
          <w:b/>
        </w:rPr>
        <w:t xml:space="preserve"> </w:t>
      </w:r>
      <w:r w:rsidR="00BE0F05" w:rsidRPr="00150B00">
        <w:rPr>
          <w:rFonts w:ascii="Palatino Linotype" w:eastAsia="Arial Unicode MS" w:hAnsi="Palatino Linotype" w:cs="Arial"/>
          <w:bCs/>
        </w:rPr>
        <w:t xml:space="preserve">En cumplimiento a lo anterior, de las constancias del expediente electrónico del </w:t>
      </w:r>
      <w:r w:rsidR="00BE0F05" w:rsidRPr="00150B00">
        <w:rPr>
          <w:rFonts w:ascii="Palatino Linotype" w:eastAsia="Arial Unicode MS" w:hAnsi="Palatino Linotype" w:cs="Arial"/>
          <w:b/>
        </w:rPr>
        <w:t>SAIMEX</w:t>
      </w:r>
      <w:r w:rsidR="00BE0F05" w:rsidRPr="00150B00">
        <w:rPr>
          <w:rFonts w:ascii="Palatino Linotype" w:eastAsia="Arial Unicode MS" w:hAnsi="Palatino Linotype" w:cs="Arial"/>
          <w:bCs/>
        </w:rPr>
        <w:t xml:space="preserve">, se observa que el día </w:t>
      </w:r>
      <w:r w:rsidR="005C7D54" w:rsidRPr="00150B00">
        <w:rPr>
          <w:rFonts w:ascii="Palatino Linotype" w:eastAsia="Arial Unicode MS" w:hAnsi="Palatino Linotype" w:cs="Arial"/>
          <w:bCs/>
        </w:rPr>
        <w:t>veinticuatro de febrero de dos mil veintiuno</w:t>
      </w:r>
      <w:r w:rsidR="00BE0F05" w:rsidRPr="00150B00">
        <w:rPr>
          <w:rFonts w:ascii="Palatino Linotype" w:eastAsia="Arial Unicode MS" w:hAnsi="Palatino Linotype" w:cs="Arial"/>
          <w:bCs/>
        </w:rPr>
        <w:t xml:space="preserve">, </w:t>
      </w:r>
      <w:r w:rsidR="00BE0F05" w:rsidRPr="00150B00">
        <w:rPr>
          <w:rFonts w:ascii="Palatino Linotype" w:eastAsia="Arial Unicode MS" w:hAnsi="Palatino Linotype" w:cs="Arial"/>
          <w:b/>
        </w:rPr>
        <w:t>EL SUJETO OBLIGADO</w:t>
      </w:r>
      <w:r w:rsidR="00BE0F05" w:rsidRPr="00150B00">
        <w:rPr>
          <w:rFonts w:ascii="Palatino Linotype" w:eastAsia="Arial Unicode MS" w:hAnsi="Palatino Linotype" w:cs="Arial"/>
          <w:bCs/>
        </w:rPr>
        <w:t xml:space="preserve"> envió el Informe Justificado, como se desprende en la imagen a continuación: </w:t>
      </w:r>
    </w:p>
    <w:p w14:paraId="4AA9B9E1" w14:textId="7EC659D3" w:rsidR="00BE0F05" w:rsidRPr="00150B00" w:rsidRDefault="00A059B7" w:rsidP="00BE0F05">
      <w:pPr>
        <w:spacing w:line="360" w:lineRule="auto"/>
        <w:jc w:val="center"/>
        <w:rPr>
          <w:rFonts w:ascii="Palatino Linotype" w:eastAsia="Arial Unicode MS" w:hAnsi="Palatino Linotype" w:cs="Arial"/>
          <w:bCs/>
        </w:rPr>
      </w:pPr>
      <w:r w:rsidRPr="00150B00">
        <w:rPr>
          <w:noProof/>
          <w:lang w:val="es-ES"/>
        </w:rPr>
        <w:drawing>
          <wp:inline distT="0" distB="0" distL="0" distR="0" wp14:anchorId="61AD4897" wp14:editId="02A86008">
            <wp:extent cx="5791835" cy="17576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57680"/>
                    </a:xfrm>
                    <a:prstGeom prst="rect">
                      <a:avLst/>
                    </a:prstGeom>
                  </pic:spPr>
                </pic:pic>
              </a:graphicData>
            </a:graphic>
          </wp:inline>
        </w:drawing>
      </w:r>
    </w:p>
    <w:p w14:paraId="08DBAB82" w14:textId="1048B370" w:rsidR="007931A5" w:rsidRPr="00150B00" w:rsidRDefault="00BE0F05" w:rsidP="00BE0F05">
      <w:pPr>
        <w:spacing w:line="360" w:lineRule="auto"/>
        <w:jc w:val="both"/>
        <w:rPr>
          <w:rFonts w:ascii="Palatino Linotype" w:eastAsia="Arial Unicode MS" w:hAnsi="Palatino Linotype" w:cs="Arial"/>
          <w:bCs/>
        </w:rPr>
      </w:pPr>
      <w:r w:rsidRPr="00150B00">
        <w:rPr>
          <w:rFonts w:ascii="Palatino Linotype" w:eastAsia="Arial Unicode MS" w:hAnsi="Palatino Linotype" w:cs="Arial"/>
          <w:bCs/>
        </w:rPr>
        <w:t xml:space="preserve">Advirtiendo que, en dicho informe </w:t>
      </w:r>
      <w:r w:rsidRPr="00150B00">
        <w:rPr>
          <w:rFonts w:ascii="Palatino Linotype" w:eastAsia="Arial Unicode MS" w:hAnsi="Palatino Linotype" w:cs="Arial"/>
          <w:b/>
        </w:rPr>
        <w:t>EL SUJETO OBLIGADO</w:t>
      </w:r>
      <w:r w:rsidRPr="00150B00">
        <w:rPr>
          <w:rFonts w:ascii="Palatino Linotype" w:eastAsia="Arial Unicode MS" w:hAnsi="Palatino Linotype" w:cs="Arial"/>
          <w:bCs/>
        </w:rPr>
        <w:t xml:space="preserve"> anexó </w:t>
      </w:r>
      <w:r w:rsidR="005C7D54" w:rsidRPr="00150B00">
        <w:rPr>
          <w:rFonts w:ascii="Palatino Linotype" w:eastAsia="Arial Unicode MS" w:hAnsi="Palatino Linotype" w:cs="Arial"/>
          <w:bCs/>
        </w:rPr>
        <w:t>el</w:t>
      </w:r>
      <w:r w:rsidRPr="00150B00">
        <w:rPr>
          <w:rFonts w:ascii="Palatino Linotype" w:eastAsia="Arial Unicode MS" w:hAnsi="Palatino Linotype" w:cs="Arial"/>
          <w:bCs/>
        </w:rPr>
        <w:t xml:space="preserve"> archivo electrónico</w:t>
      </w:r>
      <w:r w:rsidR="005C7D54" w:rsidRPr="00150B00">
        <w:rPr>
          <w:rFonts w:ascii="Palatino Linotype" w:eastAsia="Arial Unicode MS" w:hAnsi="Palatino Linotype" w:cs="Arial"/>
          <w:bCs/>
        </w:rPr>
        <w:t xml:space="preserve"> denominado</w:t>
      </w:r>
      <w:r w:rsidRPr="00150B00">
        <w:rPr>
          <w:rFonts w:ascii="Palatino Linotype" w:eastAsia="Arial Unicode MS" w:hAnsi="Palatino Linotype" w:cs="Arial"/>
          <w:bCs/>
        </w:rPr>
        <w:t xml:space="preserve"> </w:t>
      </w:r>
      <w:r w:rsidRPr="00150B00">
        <w:rPr>
          <w:rFonts w:ascii="Palatino Linotype" w:eastAsia="Arial Unicode MS" w:hAnsi="Palatino Linotype" w:cs="Arial"/>
          <w:b/>
          <w:bCs/>
          <w:i/>
          <w:iCs/>
        </w:rPr>
        <w:t>“</w:t>
      </w:r>
      <w:r w:rsidR="005C7D54" w:rsidRPr="00150B00">
        <w:rPr>
          <w:b/>
          <w:bCs/>
          <w:i/>
          <w:iCs/>
        </w:rPr>
        <w:t>SOLICITUD 0022 INFORMACION INEXISTENTE.pdf</w:t>
      </w:r>
      <w:r w:rsidRPr="00150B00">
        <w:rPr>
          <w:rFonts w:ascii="Palatino Linotype" w:eastAsia="Arial Unicode MS" w:hAnsi="Palatino Linotype" w:cs="Arial"/>
          <w:b/>
          <w:bCs/>
          <w:i/>
          <w:iCs/>
        </w:rPr>
        <w:t xml:space="preserve">” </w:t>
      </w:r>
    </w:p>
    <w:p w14:paraId="75252FE2" w14:textId="77777777" w:rsidR="007931A5" w:rsidRPr="00150B00" w:rsidRDefault="007931A5" w:rsidP="00BE0F05">
      <w:pPr>
        <w:spacing w:line="360" w:lineRule="auto"/>
        <w:jc w:val="both"/>
        <w:rPr>
          <w:rFonts w:ascii="Palatino Linotype" w:eastAsia="Arial Unicode MS" w:hAnsi="Palatino Linotype" w:cs="Arial"/>
          <w:bCs/>
        </w:rPr>
      </w:pPr>
    </w:p>
    <w:p w14:paraId="6C4CD915" w14:textId="6E4F5963" w:rsidR="00BE0F05" w:rsidRPr="00150B00" w:rsidRDefault="00BE0F05" w:rsidP="00BE0F05">
      <w:pPr>
        <w:spacing w:line="360" w:lineRule="auto"/>
        <w:jc w:val="both"/>
        <w:rPr>
          <w:rFonts w:ascii="Palatino Linotype" w:eastAsia="Arial Unicode MS" w:hAnsi="Palatino Linotype" w:cs="Arial"/>
        </w:rPr>
      </w:pPr>
      <w:r w:rsidRPr="00150B00">
        <w:rPr>
          <w:rFonts w:ascii="Palatino Linotype" w:eastAsia="MS Mincho" w:hAnsi="Palatino Linotype"/>
          <w:noProof/>
          <w:lang w:eastAsia="es-MX"/>
        </w:rPr>
        <w:t>Por su parte, el particular no realizó manifiestación alguna,</w:t>
      </w:r>
      <w:r w:rsidRPr="00150B00">
        <w:rPr>
          <w:rFonts w:ascii="Palatino Linotype" w:eastAsia="Arial Unicode MS" w:hAnsi="Palatino Linotype" w:cs="Arial"/>
        </w:rPr>
        <w:t xml:space="preserve"> ni presentó pruebas o alegatos.</w:t>
      </w:r>
    </w:p>
    <w:p w14:paraId="48CD625D" w14:textId="6347A22F" w:rsidR="00081337" w:rsidRPr="00150B00" w:rsidRDefault="00081337" w:rsidP="00BE0F05">
      <w:pPr>
        <w:spacing w:line="360" w:lineRule="auto"/>
        <w:jc w:val="both"/>
        <w:rPr>
          <w:rFonts w:ascii="Palatino Linotype" w:eastAsia="Arial Unicode MS" w:hAnsi="Palatino Linotype" w:cs="Arial"/>
          <w:bCs/>
        </w:rPr>
      </w:pPr>
    </w:p>
    <w:p w14:paraId="06F4D925" w14:textId="5CF48C80" w:rsidR="001B0B6F" w:rsidRPr="00150B00" w:rsidRDefault="002018F0" w:rsidP="002018F0">
      <w:pPr>
        <w:spacing w:line="360" w:lineRule="auto"/>
        <w:jc w:val="both"/>
        <w:rPr>
          <w:rFonts w:ascii="Palatino Linotype" w:hAnsi="Palatino Linotype" w:cs="Arial"/>
        </w:rPr>
      </w:pPr>
      <w:r w:rsidRPr="00150B00">
        <w:rPr>
          <w:rFonts w:ascii="Palatino Linotype" w:hAnsi="Palatino Linotype"/>
          <w:b/>
          <w:sz w:val="28"/>
        </w:rPr>
        <w:t>VIII</w:t>
      </w:r>
      <w:r w:rsidRPr="00150B00">
        <w:rPr>
          <w:rFonts w:ascii="Palatino Linotype" w:hAnsi="Palatino Linotype"/>
          <w:b/>
        </w:rPr>
        <w:t xml:space="preserve">. </w:t>
      </w:r>
      <w:r w:rsidRPr="00150B00">
        <w:rPr>
          <w:rFonts w:ascii="Palatino Linotype" w:hAnsi="Palatino Linotype" w:cs="Arial"/>
        </w:rPr>
        <w:t xml:space="preserve">Transcurrido el plazo señalado en el párrafo anterior y, una vez analizado el estado procesal que guarda el expediente, </w:t>
      </w:r>
      <w:bookmarkStart w:id="3" w:name="_Hlk59552221"/>
      <w:r w:rsidRPr="00150B00">
        <w:rPr>
          <w:rFonts w:ascii="Palatino Linotype" w:hAnsi="Palatino Linotype" w:cs="Arial"/>
        </w:rPr>
        <w:t xml:space="preserve">el </w:t>
      </w:r>
      <w:r w:rsidR="005D3C5A" w:rsidRPr="00150B00">
        <w:rPr>
          <w:rFonts w:ascii="Palatino Linotype" w:hAnsi="Palatino Linotype" w:cs="Arial"/>
        </w:rPr>
        <w:t>veinti</w:t>
      </w:r>
      <w:r w:rsidR="00A059B7" w:rsidRPr="00150B00">
        <w:rPr>
          <w:rFonts w:ascii="Palatino Linotype" w:hAnsi="Palatino Linotype" w:cs="Arial"/>
        </w:rPr>
        <w:t>dós de marzo</w:t>
      </w:r>
      <w:r w:rsidR="00907166" w:rsidRPr="00150B00">
        <w:rPr>
          <w:rFonts w:ascii="Palatino Linotype" w:hAnsi="Palatino Linotype" w:cs="Arial"/>
        </w:rPr>
        <w:t xml:space="preserve"> de dos mil veintiuno</w:t>
      </w:r>
      <w:bookmarkEnd w:id="3"/>
      <w:r w:rsidRPr="00150B00">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E11AA" w:rsidRPr="00150B00">
        <w:rPr>
          <w:rFonts w:ascii="Palatino Linotype" w:hAnsi="Palatino Linotype" w:cs="Arial"/>
        </w:rPr>
        <w:t>.</w:t>
      </w:r>
    </w:p>
    <w:p w14:paraId="590791BB" w14:textId="77777777" w:rsidR="005D3C5A" w:rsidRPr="00150B00" w:rsidRDefault="005D3C5A" w:rsidP="002018F0">
      <w:pPr>
        <w:spacing w:line="360" w:lineRule="auto"/>
        <w:jc w:val="both"/>
        <w:rPr>
          <w:rFonts w:ascii="Palatino Linotype" w:hAnsi="Palatino Linotype" w:cs="Arial"/>
        </w:rPr>
      </w:pPr>
    </w:p>
    <w:p w14:paraId="6E364439" w14:textId="77777777" w:rsidR="00FD4DA0" w:rsidRPr="00150B00" w:rsidRDefault="00FD4DA0" w:rsidP="00AE11AA">
      <w:pPr>
        <w:spacing w:after="120" w:line="360" w:lineRule="auto"/>
        <w:jc w:val="both"/>
        <w:rPr>
          <w:rFonts w:ascii="Palatino Linotype" w:eastAsia="MS Mincho" w:hAnsi="Palatino Linotype"/>
          <w:sz w:val="22"/>
          <w:szCs w:val="22"/>
          <w:lang w:val="es-ES_tradnl"/>
        </w:rPr>
      </w:pPr>
    </w:p>
    <w:p w14:paraId="6E075AE4" w14:textId="7326791C" w:rsidR="00275E59" w:rsidRPr="00150B00" w:rsidRDefault="00200BFC" w:rsidP="00275E59">
      <w:pPr>
        <w:jc w:val="center"/>
        <w:rPr>
          <w:rFonts w:ascii="Palatino Linotype" w:hAnsi="Palatino Linotype" w:cs="Arial"/>
          <w:b/>
          <w:bCs/>
          <w:spacing w:val="60"/>
          <w:sz w:val="28"/>
        </w:rPr>
      </w:pPr>
      <w:r w:rsidRPr="00150B00">
        <w:rPr>
          <w:rFonts w:ascii="Palatino Linotype" w:hAnsi="Palatino Linotype" w:cs="Arial"/>
          <w:b/>
          <w:bCs/>
          <w:spacing w:val="60"/>
          <w:sz w:val="28"/>
        </w:rPr>
        <w:t>CONSIDERANDO</w:t>
      </w:r>
    </w:p>
    <w:p w14:paraId="26011A90" w14:textId="77777777" w:rsidR="000D1F3E" w:rsidRPr="00150B00" w:rsidRDefault="000D1F3E" w:rsidP="003969B9">
      <w:pPr>
        <w:rPr>
          <w:rFonts w:ascii="Palatino Linotype" w:hAnsi="Palatino Linotype" w:cs="Arial"/>
          <w:b/>
          <w:bCs/>
          <w:spacing w:val="60"/>
          <w:szCs w:val="22"/>
        </w:rPr>
      </w:pPr>
    </w:p>
    <w:p w14:paraId="1CE2C5E0" w14:textId="128A06FA" w:rsidR="00CC0BEF" w:rsidRPr="00150B00"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150B00">
        <w:rPr>
          <w:rFonts w:ascii="Palatino Linotype" w:hAnsi="Palatino Linotype"/>
          <w:b/>
        </w:rPr>
        <w:t>Competencia</w:t>
      </w:r>
      <w:r w:rsidRPr="00150B00">
        <w:rPr>
          <w:rFonts w:ascii="Palatino Linotype" w:hAnsi="Palatino Linotype"/>
        </w:rPr>
        <w:t>.</w:t>
      </w:r>
      <w:r w:rsidRPr="00150B00">
        <w:rPr>
          <w:rFonts w:ascii="Palatino Linotype" w:hAnsi="Palatino Linotype"/>
          <w:b/>
        </w:rPr>
        <w:t xml:space="preserve"> </w:t>
      </w:r>
      <w:r w:rsidRPr="00150B0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969B9" w:rsidRPr="00150B00">
        <w:rPr>
          <w:rFonts w:ascii="Palatino Linotype" w:eastAsia="Calibri" w:hAnsi="Palatino Linotype" w:cs="Arial"/>
          <w:color w:val="000000" w:themeColor="text1"/>
          <w:lang w:val="es-ES_tradnl"/>
        </w:rPr>
        <w:t>trigésimo, trigésimo primero y trigésimo segundo</w:t>
      </w:r>
      <w:r w:rsidRPr="00150B00">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50B00">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34F19F" w14:textId="1D3872FC" w:rsidR="00FD4DA0" w:rsidRPr="00150B00" w:rsidRDefault="00CC0BEF" w:rsidP="00275E59">
      <w:pPr>
        <w:widowControl w:val="0"/>
        <w:tabs>
          <w:tab w:val="left" w:pos="1701"/>
          <w:tab w:val="left" w:pos="2977"/>
        </w:tabs>
        <w:autoSpaceDE w:val="0"/>
        <w:autoSpaceDN w:val="0"/>
        <w:adjustRightInd w:val="0"/>
        <w:spacing w:before="240" w:after="240" w:line="360" w:lineRule="auto"/>
        <w:jc w:val="both"/>
        <w:rPr>
          <w:rFonts w:ascii="Palatino Linotype" w:hAnsi="Palatino Linotype"/>
        </w:rPr>
      </w:pPr>
      <w:r w:rsidRPr="00150B00">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DD8B4F5" w14:textId="59E6BC8E" w:rsidR="00200BFC" w:rsidRPr="00150B00" w:rsidRDefault="00200BFC" w:rsidP="00200BFC">
      <w:pPr>
        <w:spacing w:line="360" w:lineRule="auto"/>
        <w:jc w:val="both"/>
        <w:rPr>
          <w:rFonts w:ascii="Palatino Linotype" w:hAnsi="Palatino Linotype" w:cs="Arial"/>
          <w:b/>
          <w:snapToGrid w:val="0"/>
        </w:rPr>
      </w:pPr>
      <w:r w:rsidRPr="00150B00">
        <w:rPr>
          <w:rFonts w:ascii="Palatino Linotype" w:hAnsi="Palatino Linotype" w:cs="Arial"/>
          <w:b/>
          <w:sz w:val="28"/>
        </w:rPr>
        <w:lastRenderedPageBreak/>
        <w:t>SEGUNDO</w:t>
      </w:r>
      <w:r w:rsidRPr="00150B00">
        <w:rPr>
          <w:rFonts w:ascii="Palatino Linotype" w:hAnsi="Palatino Linotype" w:cs="Arial"/>
          <w:b/>
        </w:rPr>
        <w:t xml:space="preserve">. Interés. </w:t>
      </w:r>
      <w:r w:rsidRPr="00150B00">
        <w:rPr>
          <w:rFonts w:ascii="Palatino Linotype" w:hAnsi="Palatino Linotype" w:cs="Arial"/>
          <w:bCs/>
        </w:rPr>
        <w:t xml:space="preserve">El recurso de revisión fue interpuesto por parte legítima, en atención a que se presentó por </w:t>
      </w:r>
      <w:r w:rsidR="00AE11AA" w:rsidRPr="00150B00">
        <w:rPr>
          <w:rFonts w:ascii="Palatino Linotype" w:hAnsi="Palatino Linotype" w:cs="Arial"/>
          <w:b/>
          <w:bCs/>
        </w:rPr>
        <w:t>EL</w:t>
      </w:r>
      <w:r w:rsidRPr="00150B00">
        <w:rPr>
          <w:rFonts w:ascii="Palatino Linotype" w:hAnsi="Palatino Linotype" w:cs="Arial"/>
          <w:b/>
          <w:bCs/>
        </w:rPr>
        <w:t xml:space="preserve"> RECURRENTE,</w:t>
      </w:r>
      <w:r w:rsidRPr="00150B00">
        <w:rPr>
          <w:rFonts w:ascii="Palatino Linotype" w:hAnsi="Palatino Linotype" w:cs="Arial"/>
          <w:bCs/>
        </w:rPr>
        <w:t xml:space="preserve"> quien es la misma persona que formuló la solicitud de acceso a la información pública al </w:t>
      </w:r>
      <w:r w:rsidRPr="00150B00">
        <w:rPr>
          <w:rFonts w:ascii="Palatino Linotype" w:hAnsi="Palatino Linotype" w:cs="Arial"/>
          <w:b/>
          <w:bCs/>
        </w:rPr>
        <w:t>SUJETO OBLIGADO.</w:t>
      </w:r>
    </w:p>
    <w:p w14:paraId="7267C8A1" w14:textId="22219D24" w:rsidR="00FD561B" w:rsidRPr="00150B00"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150B00">
        <w:rPr>
          <w:rFonts w:ascii="Palatino Linotype" w:hAnsi="Palatino Linotype" w:cs="Arial"/>
          <w:b/>
          <w:sz w:val="28"/>
        </w:rPr>
        <w:t>TERCERO</w:t>
      </w:r>
      <w:r w:rsidRPr="00150B00">
        <w:rPr>
          <w:rFonts w:ascii="Palatino Linotype" w:hAnsi="Palatino Linotype" w:cs="Arial"/>
          <w:b/>
        </w:rPr>
        <w:t xml:space="preserve">. </w:t>
      </w:r>
      <w:r w:rsidRPr="00150B00">
        <w:rPr>
          <w:rFonts w:ascii="Palatino Linotype" w:hAnsi="Palatino Linotype" w:cs="Arial"/>
          <w:b/>
          <w:lang w:val="es-ES"/>
        </w:rPr>
        <w:t>Oportunidad</w:t>
      </w:r>
      <w:r w:rsidR="00FD561B" w:rsidRPr="00150B00">
        <w:rPr>
          <w:rFonts w:ascii="Palatino Linotype" w:hAnsi="Palatino Linotype" w:cs="Arial"/>
        </w:rPr>
        <w:t xml:space="preserve">. El recurso de revisión fue interpuesto dentro del plazo de quince días hábiles, contados a partir del día siguiente al en que </w:t>
      </w:r>
      <w:r w:rsidR="005342F7" w:rsidRPr="00150B00">
        <w:rPr>
          <w:rFonts w:ascii="Palatino Linotype" w:hAnsi="Palatino Linotype" w:cs="Arial"/>
          <w:b/>
        </w:rPr>
        <w:t>EL</w:t>
      </w:r>
      <w:r w:rsidR="00FD561B" w:rsidRPr="00150B00">
        <w:rPr>
          <w:rFonts w:ascii="Palatino Linotype" w:hAnsi="Palatino Linotype" w:cs="Arial"/>
          <w:b/>
        </w:rPr>
        <w:t xml:space="preserve"> RECURRENTE </w:t>
      </w:r>
      <w:r w:rsidR="00FD561B" w:rsidRPr="00150B0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288C6BF" w14:textId="63E3DEBB" w:rsidR="00FD561B" w:rsidRPr="00150B00" w:rsidRDefault="00FD561B" w:rsidP="00FD561B">
      <w:pPr>
        <w:spacing w:before="100" w:beforeAutospacing="1" w:after="100" w:afterAutospacing="1"/>
        <w:ind w:left="720" w:right="709"/>
        <w:contextualSpacing/>
        <w:jc w:val="both"/>
        <w:rPr>
          <w:rFonts w:ascii="Palatino Linotype" w:hAnsi="Palatino Linotype" w:cs="Arial"/>
          <w:i/>
          <w:sz w:val="22"/>
        </w:rPr>
      </w:pPr>
      <w:r w:rsidRPr="00150B00">
        <w:rPr>
          <w:rFonts w:ascii="Palatino Linotype" w:hAnsi="Palatino Linotype" w:cs="Arial"/>
          <w:i/>
          <w:sz w:val="22"/>
        </w:rPr>
        <w:t>“</w:t>
      </w:r>
      <w:r w:rsidRPr="00150B00">
        <w:rPr>
          <w:rFonts w:ascii="Palatino Linotype" w:hAnsi="Palatino Linotype" w:cs="Arial"/>
          <w:b/>
          <w:i/>
          <w:sz w:val="22"/>
        </w:rPr>
        <w:t>Artículo 178.</w:t>
      </w:r>
      <w:r w:rsidRPr="00150B0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7E48A92" w14:textId="77777777" w:rsidR="001B0B6F" w:rsidRPr="00150B00" w:rsidRDefault="001B0B6F" w:rsidP="00FD561B">
      <w:pPr>
        <w:spacing w:before="100" w:beforeAutospacing="1" w:after="100" w:afterAutospacing="1"/>
        <w:ind w:left="720" w:right="709"/>
        <w:contextualSpacing/>
        <w:jc w:val="both"/>
        <w:rPr>
          <w:rFonts w:ascii="Palatino Linotype" w:hAnsi="Palatino Linotype" w:cs="Arial"/>
          <w:i/>
          <w:sz w:val="22"/>
        </w:rPr>
      </w:pPr>
    </w:p>
    <w:p w14:paraId="243D4369" w14:textId="55A4C653" w:rsidR="00FD561B" w:rsidRPr="00150B00" w:rsidRDefault="00FD561B" w:rsidP="00FD561B">
      <w:pPr>
        <w:spacing w:before="100" w:beforeAutospacing="1" w:after="100" w:afterAutospacing="1"/>
        <w:ind w:left="720" w:right="709"/>
        <w:contextualSpacing/>
        <w:jc w:val="both"/>
        <w:rPr>
          <w:rFonts w:ascii="Palatino Linotype" w:hAnsi="Palatino Linotype" w:cs="Arial"/>
          <w:i/>
          <w:sz w:val="22"/>
        </w:rPr>
      </w:pPr>
      <w:r w:rsidRPr="00150B0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D593C57" w14:textId="77777777" w:rsidR="001B0B6F" w:rsidRPr="00150B00" w:rsidRDefault="001B0B6F" w:rsidP="00FD561B">
      <w:pPr>
        <w:spacing w:before="100" w:beforeAutospacing="1" w:after="100" w:afterAutospacing="1"/>
        <w:ind w:left="720" w:right="709"/>
        <w:contextualSpacing/>
        <w:jc w:val="both"/>
        <w:rPr>
          <w:rFonts w:ascii="Palatino Linotype" w:hAnsi="Palatino Linotype" w:cs="Arial"/>
          <w:i/>
          <w:sz w:val="22"/>
        </w:rPr>
      </w:pPr>
    </w:p>
    <w:p w14:paraId="5D4FEB8F" w14:textId="77777777" w:rsidR="00FD561B" w:rsidRPr="00150B00" w:rsidRDefault="00FD561B" w:rsidP="00FD561B">
      <w:pPr>
        <w:spacing w:before="240" w:after="100" w:afterAutospacing="1"/>
        <w:ind w:left="720" w:right="709"/>
        <w:jc w:val="both"/>
        <w:rPr>
          <w:rFonts w:ascii="Palatino Linotype" w:hAnsi="Palatino Linotype" w:cs="Arial"/>
          <w:i/>
          <w:sz w:val="22"/>
        </w:rPr>
      </w:pPr>
      <w:r w:rsidRPr="00150B00">
        <w:rPr>
          <w:rFonts w:ascii="Palatino Linotype" w:hAnsi="Palatino Linotype" w:cs="Arial"/>
          <w:i/>
          <w:sz w:val="22"/>
        </w:rPr>
        <w:t xml:space="preserve">En el caso de que se interponga ante la Unidad de Transparencia, ésta deberá remitir el recurso de revisión al Instituto a más tardar al día </w:t>
      </w:r>
      <w:r w:rsidRPr="00150B00">
        <w:rPr>
          <w:rFonts w:ascii="Palatino Linotype" w:hAnsi="Palatino Linotype" w:cs="Arial"/>
          <w:i/>
          <w:sz w:val="22"/>
          <w:lang w:eastAsia="es-MX"/>
        </w:rPr>
        <w:t>siguiente</w:t>
      </w:r>
      <w:r w:rsidRPr="00150B00">
        <w:rPr>
          <w:rFonts w:ascii="Palatino Linotype" w:hAnsi="Palatino Linotype" w:cs="Arial"/>
          <w:i/>
          <w:sz w:val="22"/>
        </w:rPr>
        <w:t xml:space="preserve"> de haberlo recibido.”</w:t>
      </w:r>
    </w:p>
    <w:p w14:paraId="7FA8C718" w14:textId="4F61FDF8" w:rsidR="005D3C5A" w:rsidRPr="00150B00" w:rsidRDefault="00FD561B" w:rsidP="008A07E4">
      <w:pPr>
        <w:spacing w:before="240" w:after="100" w:afterAutospacing="1" w:line="360" w:lineRule="auto"/>
        <w:jc w:val="both"/>
        <w:rPr>
          <w:rFonts w:ascii="Palatino Linotype" w:eastAsiaTheme="minorEastAsia" w:hAnsi="Palatino Linotype" w:cs="Arial"/>
          <w:lang w:val="es-ES_tradnl"/>
        </w:rPr>
      </w:pPr>
      <w:r w:rsidRPr="00150B00">
        <w:rPr>
          <w:rFonts w:ascii="Palatino Linotype" w:hAnsi="Palatino Linotype" w:cs="Arial"/>
        </w:rPr>
        <w:t xml:space="preserve">En esa tesitura, atendiendo a que </w:t>
      </w:r>
      <w:r w:rsidRPr="00150B00">
        <w:rPr>
          <w:rFonts w:ascii="Palatino Linotype" w:hAnsi="Palatino Linotype" w:cs="Arial"/>
          <w:b/>
        </w:rPr>
        <w:t>EL SUJETO OBLIGADO</w:t>
      </w:r>
      <w:r w:rsidRPr="00150B00">
        <w:rPr>
          <w:rFonts w:ascii="Palatino Linotype" w:hAnsi="Palatino Linotype" w:cs="Arial"/>
        </w:rPr>
        <w:t xml:space="preserve"> notificó la respuesta a la solicitud de acceso a la información pública el día</w:t>
      </w:r>
      <w:r w:rsidRPr="00150B00">
        <w:rPr>
          <w:rFonts w:ascii="Palatino Linotype" w:hAnsi="Palatino Linotype" w:cs="Arial"/>
          <w:b/>
        </w:rPr>
        <w:t xml:space="preserve"> </w:t>
      </w:r>
      <w:r w:rsidR="005D3C5A" w:rsidRPr="00150B00">
        <w:rPr>
          <w:rFonts w:ascii="Palatino Linotype" w:hAnsi="Palatino Linotype" w:cs="Arial"/>
          <w:b/>
        </w:rPr>
        <w:t>nueve de febrero de dos mil veintiuno</w:t>
      </w:r>
      <w:r w:rsidRPr="00150B00">
        <w:rPr>
          <w:rFonts w:ascii="Palatino Linotype" w:hAnsi="Palatino Linotype" w:cs="Arial"/>
        </w:rPr>
        <w:t>; así, el plazo de quince días hábiles que el artículo 178 de la Ley de la materia otorga al</w:t>
      </w:r>
      <w:r w:rsidRPr="00150B00">
        <w:rPr>
          <w:rFonts w:ascii="Palatino Linotype" w:hAnsi="Palatino Linotype" w:cs="Arial"/>
          <w:b/>
        </w:rPr>
        <w:t xml:space="preserve"> RECURRENTE</w:t>
      </w:r>
      <w:r w:rsidRPr="00150B00">
        <w:rPr>
          <w:rFonts w:ascii="Palatino Linotype" w:hAnsi="Palatino Linotype" w:cs="Arial"/>
        </w:rPr>
        <w:t xml:space="preserve"> para presentar el respectivo recurso de revisión, transcurrió del </w:t>
      </w:r>
      <w:r w:rsidR="005D3C5A" w:rsidRPr="00150B00">
        <w:rPr>
          <w:rFonts w:ascii="Palatino Linotype" w:hAnsi="Palatino Linotype" w:cs="Arial"/>
          <w:b/>
        </w:rPr>
        <w:t xml:space="preserve">diez de febrero al tres de marzo </w:t>
      </w:r>
      <w:r w:rsidR="00B21ADE" w:rsidRPr="00150B00">
        <w:rPr>
          <w:rFonts w:ascii="Palatino Linotype" w:hAnsi="Palatino Linotype" w:cs="Arial"/>
          <w:b/>
        </w:rPr>
        <w:t>de dos mil veintiuno</w:t>
      </w:r>
      <w:r w:rsidRPr="00150B00">
        <w:rPr>
          <w:rFonts w:ascii="Palatino Linotype" w:hAnsi="Palatino Linotype" w:cs="Arial"/>
        </w:rPr>
        <w:t xml:space="preserve">, </w:t>
      </w:r>
      <w:r w:rsidR="00EE68EE" w:rsidRPr="00150B00">
        <w:rPr>
          <w:rFonts w:ascii="Palatino Linotype" w:eastAsiaTheme="minorEastAsia" w:hAnsi="Palatino Linotype" w:cs="Arial"/>
          <w:lang w:val="es-ES_tradnl"/>
        </w:rPr>
        <w:t xml:space="preserve">sin contemplar en el cómputo los días </w:t>
      </w:r>
      <w:r w:rsidR="005D3C5A" w:rsidRPr="00150B00">
        <w:rPr>
          <w:rFonts w:ascii="Palatino Linotype" w:eastAsiaTheme="minorEastAsia" w:hAnsi="Palatino Linotype" w:cs="Arial"/>
          <w:lang w:val="es-ES_tradnl"/>
        </w:rPr>
        <w:t xml:space="preserve">trece, catorce, veinte, veintiuno, veintisiete y veintiocho de </w:t>
      </w:r>
      <w:r w:rsidR="005D3C5A" w:rsidRPr="00150B00">
        <w:rPr>
          <w:rFonts w:ascii="Palatino Linotype" w:eastAsiaTheme="minorEastAsia" w:hAnsi="Palatino Linotype" w:cs="Arial"/>
          <w:lang w:val="es-ES_tradnl"/>
        </w:rPr>
        <w:lastRenderedPageBreak/>
        <w:t xml:space="preserve">febrero </w:t>
      </w:r>
      <w:r w:rsidR="00EE68EE" w:rsidRPr="00150B00">
        <w:rPr>
          <w:rFonts w:ascii="Palatino Linotype" w:eastAsiaTheme="minorEastAsia" w:hAnsi="Palatino Linotype" w:cs="Arial"/>
          <w:lang w:val="es-ES_tradnl"/>
        </w:rPr>
        <w:t xml:space="preserve">dos mil veintiuno, </w:t>
      </w:r>
      <w:bookmarkStart w:id="4" w:name="_Hlk62134391"/>
      <w:r w:rsidR="00EE68EE" w:rsidRPr="00150B00">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Información Pública del Estado de México y Municipios; </w:t>
      </w:r>
      <w:r w:rsidR="008A07E4" w:rsidRPr="00150B00">
        <w:rPr>
          <w:rFonts w:ascii="Palatino Linotype" w:hAnsi="Palatino Linotype" w:cs="Arial"/>
        </w:rPr>
        <w:t>así como, el día dos de marzo de dos mil veintiuno,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bookmarkEnd w:id="4"/>
    <w:p w14:paraId="2020E0C5" w14:textId="688AF85A" w:rsidR="00EE68EE" w:rsidRPr="00150B00" w:rsidRDefault="00EE68EE" w:rsidP="00E7637F">
      <w:pPr>
        <w:spacing w:line="360" w:lineRule="auto"/>
        <w:ind w:left="-5" w:hanging="10"/>
        <w:jc w:val="both"/>
        <w:rPr>
          <w:rFonts w:ascii="Palatino Linotype" w:eastAsia="Palatino Linotype" w:hAnsi="Palatino Linotype" w:cs="Palatino Linotype"/>
          <w:color w:val="000000"/>
          <w:lang w:eastAsia="es-MX"/>
        </w:rPr>
      </w:pPr>
      <w:r w:rsidRPr="00150B00">
        <w:rPr>
          <w:rFonts w:ascii="Palatino Linotype" w:eastAsia="Palatino Linotype" w:hAnsi="Palatino Linotype" w:cs="Palatino Linotype"/>
          <w:color w:val="000000"/>
          <w:lang w:eastAsia="es-MX"/>
        </w:rPr>
        <w:t>En ese tenor, si el recurso de revisión que nos ocupa, se interpuso el</w:t>
      </w:r>
      <w:r w:rsidRPr="00150B00">
        <w:rPr>
          <w:rFonts w:ascii="Palatino Linotype" w:eastAsia="Palatino Linotype" w:hAnsi="Palatino Linotype" w:cs="Palatino Linotype"/>
          <w:b/>
          <w:color w:val="000000"/>
          <w:lang w:eastAsia="es-MX"/>
        </w:rPr>
        <w:t xml:space="preserve"> </w:t>
      </w:r>
      <w:r w:rsidR="008A07E4" w:rsidRPr="00150B00">
        <w:rPr>
          <w:rFonts w:ascii="Palatino Linotype" w:eastAsia="Palatino Linotype" w:hAnsi="Palatino Linotype" w:cs="Palatino Linotype"/>
          <w:b/>
          <w:color w:val="000000"/>
          <w:lang w:eastAsia="es-MX"/>
        </w:rPr>
        <w:t>diez de febrero</w:t>
      </w:r>
      <w:r w:rsidR="006B6B26" w:rsidRPr="00150B00">
        <w:rPr>
          <w:rFonts w:ascii="Palatino Linotype" w:eastAsia="Palatino Linotype" w:hAnsi="Palatino Linotype" w:cs="Palatino Linotype"/>
          <w:b/>
          <w:color w:val="000000"/>
          <w:lang w:eastAsia="es-MX"/>
        </w:rPr>
        <w:t xml:space="preserve"> de dos mil veintiuno</w:t>
      </w:r>
      <w:r w:rsidRPr="00150B00">
        <w:rPr>
          <w:rFonts w:ascii="Palatino Linotype" w:eastAsia="Palatino Linotype" w:hAnsi="Palatino Linotype" w:cs="Palatino Linotype"/>
          <w:b/>
          <w:color w:val="000000"/>
          <w:lang w:eastAsia="es-MX"/>
        </w:rPr>
        <w:t>,</w:t>
      </w:r>
      <w:r w:rsidRPr="00150B00">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09BD2BFA" w14:textId="2896AB44" w:rsidR="0031118C" w:rsidRPr="00150B00" w:rsidRDefault="00200BFC" w:rsidP="006B6B2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50B00">
        <w:rPr>
          <w:rFonts w:ascii="Palatino Linotype" w:hAnsi="Palatino Linotype" w:cs="Arial"/>
          <w:b/>
          <w:sz w:val="28"/>
        </w:rPr>
        <w:t>CUARTO</w:t>
      </w:r>
      <w:r w:rsidRPr="00150B00">
        <w:rPr>
          <w:rFonts w:ascii="Palatino Linotype" w:hAnsi="Palatino Linotype"/>
          <w:b/>
        </w:rPr>
        <w:t xml:space="preserve">. Procedibilidad. </w:t>
      </w:r>
      <w:r w:rsidR="006B6B26" w:rsidRPr="00150B00">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006B6B26" w:rsidRPr="00150B00">
        <w:rPr>
          <w:rFonts w:ascii="Palatino Linotype" w:hAnsi="Palatino Linotype"/>
        </w:rPr>
        <w:t xml:space="preserve">Ley de Transparencia y Acceso a la Información Pública del Estado de México y Municipios, en atención a que fueron presentados mediante el formato visible en </w:t>
      </w:r>
      <w:r w:rsidR="006B6B26" w:rsidRPr="00150B00">
        <w:rPr>
          <w:rFonts w:ascii="Palatino Linotype" w:hAnsi="Palatino Linotype"/>
          <w:b/>
        </w:rPr>
        <w:t>EL SAIMEX.</w:t>
      </w:r>
    </w:p>
    <w:p w14:paraId="615880D1" w14:textId="7F06942C" w:rsidR="0090491B" w:rsidRPr="00150B00" w:rsidRDefault="004D6EDE" w:rsidP="0090491B">
      <w:pPr>
        <w:spacing w:line="360" w:lineRule="auto"/>
        <w:jc w:val="both"/>
        <w:rPr>
          <w:rFonts w:ascii="Palatino Linotype" w:hAnsi="Palatino Linotype" w:cs="Arial"/>
          <w:color w:val="000000" w:themeColor="text1"/>
        </w:rPr>
      </w:pPr>
      <w:r w:rsidRPr="00150B00">
        <w:rPr>
          <w:rFonts w:ascii="Palatino Linotype" w:hAnsi="Palatino Linotype" w:cs="Arial"/>
          <w:b/>
          <w:sz w:val="28"/>
          <w:szCs w:val="28"/>
        </w:rPr>
        <w:t>QUINTO</w:t>
      </w:r>
      <w:r w:rsidRPr="00150B00">
        <w:rPr>
          <w:rFonts w:ascii="Palatino Linotype" w:hAnsi="Palatino Linotype" w:cs="Arial"/>
          <w:b/>
        </w:rPr>
        <w:t xml:space="preserve">. </w:t>
      </w:r>
      <w:r w:rsidR="0090491B" w:rsidRPr="00150B00">
        <w:rPr>
          <w:rFonts w:ascii="Palatino Linotype" w:hAnsi="Palatino Linotype" w:cs="Arial"/>
          <w:b/>
          <w:lang w:val="es-ES"/>
        </w:rPr>
        <w:t>Estudio y resolución del asunto</w:t>
      </w:r>
      <w:r w:rsidR="00771842" w:rsidRPr="00150B00">
        <w:rPr>
          <w:rFonts w:ascii="Palatino Linotype" w:hAnsi="Palatino Linotype" w:cs="Arial"/>
        </w:rPr>
        <w:t xml:space="preserve">. </w:t>
      </w:r>
      <w:r w:rsidR="0090491B" w:rsidRPr="00150B00">
        <w:rPr>
          <w:rFonts w:ascii="Palatino Linotype" w:hAnsi="Palatino Linotype" w:cs="Arial"/>
          <w:color w:val="000000" w:themeColor="text1"/>
        </w:rPr>
        <w:t xml:space="preserve">Una vez determinada la vía sobre la que versará el presente recurso, y previa revisión del expediente electrónico formado en </w:t>
      </w:r>
      <w:r w:rsidR="0090491B" w:rsidRPr="00150B00">
        <w:rPr>
          <w:rFonts w:ascii="Palatino Linotype" w:hAnsi="Palatino Linotype" w:cs="Arial"/>
          <w:b/>
          <w:color w:val="000000" w:themeColor="text1"/>
        </w:rPr>
        <w:t>EL SAIMEX</w:t>
      </w:r>
      <w:r w:rsidR="0090491B" w:rsidRPr="00150B0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90491B" w:rsidRPr="00150B00">
        <w:rPr>
          <w:rFonts w:ascii="Palatino Linotype" w:hAnsi="Palatino Linotype" w:cs="Arial"/>
          <w:color w:val="000000" w:themeColor="text1"/>
        </w:rPr>
        <w:lastRenderedPageBreak/>
        <w:t>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1B52B12A" w14:textId="77777777" w:rsidR="0090491B" w:rsidRPr="00150B00" w:rsidRDefault="0090491B" w:rsidP="0090491B">
      <w:pPr>
        <w:spacing w:line="360" w:lineRule="auto"/>
        <w:jc w:val="both"/>
        <w:rPr>
          <w:rFonts w:ascii="Palatino Linotype" w:hAnsi="Palatino Linotype" w:cs="Arial"/>
          <w:color w:val="000000" w:themeColor="text1"/>
        </w:rPr>
      </w:pPr>
    </w:p>
    <w:p w14:paraId="4E634690" w14:textId="5E1944A2" w:rsidR="0090491B" w:rsidRPr="00150B00" w:rsidRDefault="0090491B" w:rsidP="0090491B">
      <w:pPr>
        <w:spacing w:line="360" w:lineRule="auto"/>
        <w:jc w:val="both"/>
        <w:rPr>
          <w:rFonts w:ascii="Palatino Linotype" w:hAnsi="Palatino Linotype"/>
          <w:lang w:val="es-ES"/>
        </w:rPr>
      </w:pPr>
      <w:r w:rsidRPr="00150B00">
        <w:rPr>
          <w:rFonts w:ascii="Palatino Linotype" w:hAnsi="Palatino Linotype" w:cs="Arial"/>
        </w:rPr>
        <w:t xml:space="preserve">Atento a ello, </w:t>
      </w:r>
      <w:r w:rsidRPr="00150B00">
        <w:rPr>
          <w:rFonts w:ascii="Palatino Linotype" w:hAnsi="Palatino Linotype"/>
          <w:bCs/>
          <w:lang w:val="es-ES"/>
        </w:rPr>
        <w:t xml:space="preserve">es conveniente recordar que el particular requirió saber del </w:t>
      </w:r>
      <w:r w:rsidRPr="00150B00">
        <w:rPr>
          <w:rFonts w:ascii="Palatino Linotype" w:hAnsi="Palatino Linotype"/>
          <w:b/>
          <w:bCs/>
          <w:lang w:val="es-ES"/>
        </w:rPr>
        <w:t xml:space="preserve">SUJETO OBLIGADO </w:t>
      </w:r>
      <w:r w:rsidRPr="00150B00">
        <w:rPr>
          <w:rFonts w:ascii="Palatino Linotype" w:hAnsi="Palatino Linotype"/>
          <w:bCs/>
          <w:lang w:val="es-ES"/>
        </w:rPr>
        <w:t>las actas emitidas por el Comité de Transparencia, desde el 01 de enero de 2019 al 20 de enero de 2021</w:t>
      </w:r>
      <w:r w:rsidRPr="00150B00">
        <w:rPr>
          <w:rFonts w:ascii="Verdana" w:hAnsi="Verdana"/>
          <w:sz w:val="14"/>
          <w:szCs w:val="14"/>
          <w:lang w:eastAsia="es-MX"/>
        </w:rPr>
        <w:t xml:space="preserve">; </w:t>
      </w:r>
      <w:r w:rsidRPr="00150B00">
        <w:rPr>
          <w:rFonts w:ascii="Palatino Linotype" w:hAnsi="Palatino Linotype" w:cs="Arial"/>
        </w:rPr>
        <w:t xml:space="preserve">al respecto, </w:t>
      </w:r>
      <w:r w:rsidRPr="00150B00">
        <w:rPr>
          <w:rFonts w:ascii="Palatino Linotype" w:hAnsi="Palatino Linotype" w:cs="Arial"/>
          <w:b/>
        </w:rPr>
        <w:t xml:space="preserve">EL </w:t>
      </w:r>
      <w:r w:rsidRPr="00150B00">
        <w:rPr>
          <w:rFonts w:ascii="Palatino Linotype" w:hAnsi="Palatino Linotype"/>
          <w:b/>
          <w:lang w:val="es-ES"/>
        </w:rPr>
        <w:t>SUJETO OBLIGADO</w:t>
      </w:r>
      <w:r w:rsidRPr="00150B00">
        <w:rPr>
          <w:rFonts w:ascii="Palatino Linotype" w:hAnsi="Palatino Linotype"/>
          <w:lang w:val="es-ES"/>
        </w:rPr>
        <w:t xml:space="preserve"> mediante respuesta descrita en el Resultando </w:t>
      </w:r>
      <w:r w:rsidRPr="00150B00">
        <w:rPr>
          <w:rFonts w:ascii="Palatino Linotype" w:hAnsi="Palatino Linotype"/>
          <w:b/>
          <w:bCs/>
          <w:lang w:val="es-ES"/>
        </w:rPr>
        <w:t>II</w:t>
      </w:r>
      <w:r w:rsidRPr="00150B00">
        <w:rPr>
          <w:rFonts w:ascii="Palatino Linotype" w:hAnsi="Palatino Linotype"/>
          <w:lang w:val="es-ES"/>
        </w:rPr>
        <w:t xml:space="preserve">, </w:t>
      </w:r>
      <w:r w:rsidR="008250F6" w:rsidRPr="00150B00">
        <w:rPr>
          <w:rFonts w:ascii="Palatino Linotype" w:hAnsi="Palatino Linotype"/>
          <w:lang w:val="es-ES"/>
        </w:rPr>
        <w:t xml:space="preserve">manifestó que las actas del 01 de enero de 2019 al 31 de diciembre de 2020, se encuentran publicadas en el link </w:t>
      </w:r>
      <w:hyperlink r:id="rId11" w:history="1">
        <w:r w:rsidR="008250F6" w:rsidRPr="00150B00">
          <w:rPr>
            <w:rStyle w:val="Hipervnculo"/>
            <w:rFonts w:ascii="Palatino Linotype" w:hAnsi="Palatino Linotype"/>
            <w:lang w:val="es-ES"/>
          </w:rPr>
          <w:t>https://www.ipomex.org.mx/ipo3/lgt/indice/IXTAPANDELASAL/art_92_xliii_b.web</w:t>
        </w:r>
      </w:hyperlink>
      <w:r w:rsidR="008250F6" w:rsidRPr="00150B00">
        <w:rPr>
          <w:rFonts w:ascii="Palatino Linotype" w:hAnsi="Palatino Linotype"/>
          <w:lang w:val="es-ES"/>
        </w:rPr>
        <w:t xml:space="preserve">, asimismo, arguyó que respecto el periodo comprendido del primero de enero al 20 de enero de 2021, el Comité de Transparencia de este Sujeto Obligado no </w:t>
      </w:r>
      <w:r w:rsidR="003C76E9" w:rsidRPr="00150B00">
        <w:rPr>
          <w:rFonts w:ascii="Palatino Linotype" w:hAnsi="Palatino Linotype"/>
          <w:lang w:val="es-ES"/>
        </w:rPr>
        <w:t>realizó</w:t>
      </w:r>
      <w:r w:rsidR="008250F6" w:rsidRPr="00150B00">
        <w:rPr>
          <w:rFonts w:ascii="Palatino Linotype" w:hAnsi="Palatino Linotype"/>
          <w:lang w:val="es-ES"/>
        </w:rPr>
        <w:t xml:space="preserve"> ninguna sesión por lo que no se cuenta con actas.</w:t>
      </w:r>
    </w:p>
    <w:p w14:paraId="7D2262F2" w14:textId="43CF369F" w:rsidR="0090491B" w:rsidRPr="00150B00" w:rsidRDefault="0090491B" w:rsidP="0090491B">
      <w:pPr>
        <w:spacing w:line="360" w:lineRule="auto"/>
        <w:jc w:val="both"/>
        <w:rPr>
          <w:rFonts w:ascii="Palatino Linotype" w:hAnsi="Palatino Linotype"/>
          <w:lang w:val="es-ES"/>
        </w:rPr>
      </w:pPr>
    </w:p>
    <w:p w14:paraId="2B3ACC23" w14:textId="13418B5C" w:rsidR="0090491B" w:rsidRPr="00150B00" w:rsidRDefault="0090491B" w:rsidP="0090491B">
      <w:pPr>
        <w:spacing w:line="360" w:lineRule="auto"/>
        <w:jc w:val="both"/>
        <w:rPr>
          <w:rFonts w:ascii="Palatino Linotype" w:hAnsi="Palatino Linotype"/>
          <w:lang w:val="es-ES"/>
        </w:rPr>
      </w:pPr>
      <w:r w:rsidRPr="00150B00">
        <w:rPr>
          <w:rFonts w:ascii="Palatino Linotype" w:hAnsi="Palatino Linotype"/>
          <w:lang w:val="es-ES"/>
        </w:rPr>
        <w:t xml:space="preserve">Ante tal respuesta, el particular expresó su inconformidad, interponiendo el presente recurso de revisión, manifestando medularmente como razones y motivos de inconformidad que </w:t>
      </w:r>
      <w:r w:rsidR="008250F6" w:rsidRPr="00150B00">
        <w:rPr>
          <w:rFonts w:ascii="Palatino Linotype" w:hAnsi="Palatino Linotype"/>
          <w:lang w:val="es-ES"/>
        </w:rPr>
        <w:t>se debía justificar la inexistencia de la actas correspondientes al año 2021</w:t>
      </w:r>
      <w:r w:rsidRPr="00150B00">
        <w:rPr>
          <w:rFonts w:ascii="Palatino Linotype" w:hAnsi="Palatino Linotype"/>
          <w:lang w:val="es-ES"/>
        </w:rPr>
        <w:t xml:space="preserve">. </w:t>
      </w:r>
    </w:p>
    <w:p w14:paraId="09B615B0" w14:textId="77777777" w:rsidR="0090491B" w:rsidRPr="00150B00" w:rsidRDefault="0090491B" w:rsidP="0090491B">
      <w:pPr>
        <w:spacing w:line="360" w:lineRule="auto"/>
        <w:jc w:val="both"/>
        <w:rPr>
          <w:rFonts w:ascii="Palatino Linotype" w:hAnsi="Palatino Linotype"/>
          <w:lang w:val="es-ES"/>
        </w:rPr>
      </w:pPr>
    </w:p>
    <w:p w14:paraId="296AB28B" w14:textId="49B2110D" w:rsidR="0090491B" w:rsidRPr="00150B00" w:rsidRDefault="0090491B" w:rsidP="0090491B">
      <w:pPr>
        <w:spacing w:line="360" w:lineRule="auto"/>
        <w:jc w:val="both"/>
        <w:rPr>
          <w:rFonts w:ascii="Palatino Linotype" w:hAnsi="Palatino Linotype"/>
          <w:lang w:val="es-ES"/>
        </w:rPr>
      </w:pPr>
      <w:r w:rsidRPr="00150B00">
        <w:rPr>
          <w:rFonts w:ascii="Palatino Linotype" w:hAnsi="Palatino Linotype"/>
          <w:lang w:val="es-ES"/>
        </w:rPr>
        <w:lastRenderedPageBreak/>
        <w:t xml:space="preserve">En un acto procesal posterior, podemos advertir que </w:t>
      </w:r>
      <w:r w:rsidRPr="00150B00">
        <w:rPr>
          <w:rFonts w:ascii="Palatino Linotype" w:hAnsi="Palatino Linotype"/>
          <w:b/>
          <w:lang w:val="es-ES"/>
        </w:rPr>
        <w:t xml:space="preserve">EL SUJETO OBLIGADO, </w:t>
      </w:r>
      <w:r w:rsidRPr="00150B00">
        <w:rPr>
          <w:rFonts w:ascii="Palatino Linotype" w:hAnsi="Palatino Linotype"/>
          <w:lang w:val="es-ES"/>
        </w:rPr>
        <w:t>rindió su Informe Justificado, mismo en el que ratificó su r</w:t>
      </w:r>
      <w:r w:rsidR="008250F6" w:rsidRPr="00150B00">
        <w:rPr>
          <w:rFonts w:ascii="Palatino Linotype" w:hAnsi="Palatino Linotype"/>
          <w:lang w:val="es-ES"/>
        </w:rPr>
        <w:t>espuesta.</w:t>
      </w:r>
    </w:p>
    <w:p w14:paraId="2206777C" w14:textId="03A27BAF" w:rsidR="00AB3DF4" w:rsidRPr="00150B00" w:rsidRDefault="00AB3DF4" w:rsidP="005B3AC0">
      <w:pPr>
        <w:widowControl w:val="0"/>
        <w:tabs>
          <w:tab w:val="left" w:pos="1276"/>
        </w:tabs>
        <w:autoSpaceDE w:val="0"/>
        <w:autoSpaceDN w:val="0"/>
        <w:adjustRightInd w:val="0"/>
        <w:spacing w:before="240" w:line="360" w:lineRule="auto"/>
        <w:jc w:val="both"/>
        <w:rPr>
          <w:rFonts w:ascii="Palatino Linotype" w:hAnsi="Palatino Linotype" w:cs="Arial"/>
        </w:rPr>
      </w:pPr>
      <w:r w:rsidRPr="00150B00">
        <w:rPr>
          <w:rFonts w:ascii="Palatino Linotype" w:hAnsi="Palatino Linotype" w:cs="Arial"/>
        </w:rPr>
        <w:t xml:space="preserve">Primeramente, es toral señalar que </w:t>
      </w:r>
      <w:r w:rsidRPr="00150B00">
        <w:rPr>
          <w:rFonts w:ascii="Palatino Linotype" w:hAnsi="Palatino Linotype" w:cs="Arial"/>
          <w:b/>
        </w:rPr>
        <w:t>EL RECURRENTE</w:t>
      </w:r>
      <w:r w:rsidRPr="00150B00">
        <w:rPr>
          <w:rFonts w:ascii="Palatino Linotype" w:hAnsi="Palatino Linotype" w:cs="Arial"/>
        </w:rPr>
        <w:t xml:space="preserve"> no impugnó todos los rubros vertidos como respuesta del </w:t>
      </w:r>
      <w:r w:rsidRPr="00150B00">
        <w:rPr>
          <w:rFonts w:ascii="Palatino Linotype" w:hAnsi="Palatino Linotype" w:cs="Arial"/>
          <w:b/>
        </w:rPr>
        <w:t>SUJETO OBLIGADO</w:t>
      </w:r>
      <w:r w:rsidRPr="00150B00">
        <w:rPr>
          <w:rFonts w:ascii="Palatino Linotype" w:hAnsi="Palatino Linotype" w:cs="Arial"/>
        </w:rPr>
        <w:t xml:space="preserve">; por ello, la respuesta relativas a los rubros no combatidos queda intocada, ya que se advierte que se da por satisfecho el requerimiento de información respecto a </w:t>
      </w:r>
      <w:r w:rsidRPr="00150B00">
        <w:rPr>
          <w:rFonts w:ascii="Palatino Linotype" w:hAnsi="Palatino Linotype"/>
          <w:lang w:val="es-ES"/>
        </w:rPr>
        <w:t>las actas del 01 de enero de 2019 al 31 de diciembre de 2020</w:t>
      </w:r>
      <w:r w:rsidRPr="00150B00">
        <w:rPr>
          <w:rFonts w:ascii="Palatino Linotype" w:hAnsi="Palatino Linotype" w:cs="Arial"/>
        </w:rPr>
        <w:t xml:space="preserve">, quedando firme ante la falta de impugnación en específico, pues se entiende que </w:t>
      </w:r>
      <w:r w:rsidRPr="00150B00">
        <w:rPr>
          <w:rFonts w:ascii="Palatino Linotype" w:hAnsi="Palatino Linotype" w:cs="Arial"/>
          <w:b/>
        </w:rPr>
        <w:t>EL RECURRENTE</w:t>
      </w:r>
      <w:r w:rsidRPr="00150B00">
        <w:rPr>
          <w:rFonts w:ascii="Palatino Linotype" w:hAnsi="Palatino Linotype" w:cs="Arial"/>
        </w:rPr>
        <w:t xml:space="preserve"> ésta conforme con la información al no contravenir la misma.</w:t>
      </w:r>
    </w:p>
    <w:p w14:paraId="33B8A236" w14:textId="1AFB8227" w:rsidR="00AB3DF4" w:rsidRPr="00150B00" w:rsidRDefault="00AB3DF4" w:rsidP="005B3AC0">
      <w:pPr>
        <w:widowControl w:val="0"/>
        <w:tabs>
          <w:tab w:val="left" w:pos="1276"/>
        </w:tabs>
        <w:autoSpaceDE w:val="0"/>
        <w:autoSpaceDN w:val="0"/>
        <w:adjustRightInd w:val="0"/>
        <w:spacing w:before="240" w:line="360" w:lineRule="auto"/>
        <w:jc w:val="both"/>
        <w:rPr>
          <w:rFonts w:ascii="Palatino Linotype" w:hAnsi="Palatino Linotype" w:cs="Arial"/>
        </w:rPr>
      </w:pPr>
    </w:p>
    <w:p w14:paraId="3A692A3A" w14:textId="77777777" w:rsidR="00AB3DF4" w:rsidRPr="00150B00" w:rsidRDefault="00AB3DF4" w:rsidP="005B3AC0">
      <w:pPr>
        <w:spacing w:line="360" w:lineRule="auto"/>
        <w:ind w:right="49"/>
        <w:jc w:val="both"/>
        <w:rPr>
          <w:rFonts w:ascii="Palatino Linotype" w:hAnsi="Palatino Linotype" w:cs="Arial"/>
        </w:rPr>
      </w:pPr>
      <w:r w:rsidRPr="00150B00">
        <w:rPr>
          <w:rFonts w:ascii="Palatino Linotype" w:hAnsi="Palatino Linotype" w:cs="Arial"/>
        </w:rPr>
        <w:t>Sirve de sustento por analogía la tesis jurisprudencial número VI.3o.C. J/60, publicada en el Semanario Judicial de la Federación y su Gaceta bajo el número de registro 176,608 que a la letra dice:</w:t>
      </w:r>
    </w:p>
    <w:p w14:paraId="6F85C38A" w14:textId="0191797E" w:rsidR="00AB3DF4" w:rsidRPr="00150B00" w:rsidRDefault="00AB3DF4" w:rsidP="005B3AC0">
      <w:pPr>
        <w:shd w:val="clear" w:color="auto" w:fill="FFFFFF"/>
        <w:ind w:left="851" w:right="902"/>
        <w:jc w:val="both"/>
        <w:rPr>
          <w:rFonts w:ascii="Palatino Linotype" w:hAnsi="Palatino Linotype" w:cs="Arial"/>
          <w:i/>
          <w:iCs/>
          <w:sz w:val="22"/>
        </w:rPr>
      </w:pPr>
      <w:r w:rsidRPr="00150B00">
        <w:rPr>
          <w:rFonts w:ascii="Palatino Linotype" w:hAnsi="Palatino Linotype" w:cs="Arial"/>
          <w:b/>
          <w:bCs/>
          <w:i/>
          <w:iCs/>
          <w:sz w:val="22"/>
        </w:rPr>
        <w:t xml:space="preserve">“ACTOS CONSENTIDOS. SON LOS QUE NO SE IMPUGNAN MEDIANTE EL RECURSO IDÓNEO. </w:t>
      </w:r>
      <w:r w:rsidRPr="00150B00">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4EE7724" w14:textId="77777777" w:rsidR="00AB3DF4" w:rsidRPr="00150B00" w:rsidRDefault="00AB3DF4" w:rsidP="005B3AC0">
      <w:pPr>
        <w:shd w:val="clear" w:color="auto" w:fill="FFFFFF"/>
        <w:ind w:left="851" w:right="902"/>
        <w:jc w:val="both"/>
        <w:rPr>
          <w:rFonts w:ascii="Palatino Linotype" w:hAnsi="Palatino Linotype" w:cs="Arial"/>
          <w:sz w:val="18"/>
          <w:szCs w:val="19"/>
        </w:rPr>
      </w:pPr>
    </w:p>
    <w:p w14:paraId="79AB887B" w14:textId="7AEF3A8A" w:rsidR="00AB3DF4" w:rsidRPr="00150B00" w:rsidRDefault="00AB3DF4" w:rsidP="005B3AC0">
      <w:pPr>
        <w:shd w:val="clear" w:color="auto" w:fill="FFFFFF"/>
        <w:spacing w:line="360" w:lineRule="auto"/>
        <w:ind w:right="49"/>
        <w:jc w:val="both"/>
        <w:rPr>
          <w:rFonts w:ascii="Palatino Linotype" w:hAnsi="Palatino Linotype" w:cs="Arial"/>
        </w:rPr>
      </w:pPr>
      <w:r w:rsidRPr="00150B00">
        <w:rPr>
          <w:rFonts w:ascii="Palatino Linotype" w:hAnsi="Palatino Linotype" w:cs="Arial"/>
        </w:rPr>
        <w:t xml:space="preserve">Lo anterior es así, debido a que, cuando </w:t>
      </w:r>
      <w:r w:rsidRPr="00150B00">
        <w:rPr>
          <w:rFonts w:ascii="Palatino Linotype" w:hAnsi="Palatino Linotype" w:cs="Arial"/>
          <w:b/>
          <w:bCs/>
        </w:rPr>
        <w:t xml:space="preserve">EL RECURRENTE </w:t>
      </w:r>
      <w:r w:rsidRPr="00150B00">
        <w:rPr>
          <w:rFonts w:ascii="Palatino Linotype" w:hAnsi="Palatino Linotype" w:cs="Arial"/>
        </w:rPr>
        <w:t xml:space="preserve">impugnó la respuesta del </w:t>
      </w:r>
      <w:r w:rsidRPr="00150B00">
        <w:rPr>
          <w:rFonts w:ascii="Palatino Linotype" w:hAnsi="Palatino Linotype" w:cs="Arial"/>
          <w:b/>
          <w:bCs/>
        </w:rPr>
        <w:t>SUJETO OBLIGADO</w:t>
      </w:r>
      <w:r w:rsidRPr="00150B00">
        <w:rPr>
          <w:rFonts w:ascii="Palatino Linotype" w:hAnsi="Palatino Linotype" w:cs="Arial"/>
        </w:rPr>
        <w:t xml:space="preserve">, no expresó razón o motivo de inconformidad en contra de todos los rubros solicitados; por lo que, dichos rubros deben declararse atendidos, pues se entiende que </w:t>
      </w:r>
      <w:r w:rsidRPr="00150B00">
        <w:rPr>
          <w:rFonts w:ascii="Palatino Linotype" w:hAnsi="Palatino Linotype" w:cs="Arial"/>
          <w:b/>
          <w:bCs/>
        </w:rPr>
        <w:t>EL RECURRENTE</w:t>
      </w:r>
      <w:r w:rsidRPr="00150B00">
        <w:rPr>
          <w:rFonts w:ascii="Palatino Linotype" w:hAnsi="Palatino Linotype" w:cs="Arial"/>
        </w:rPr>
        <w:t xml:space="preserve"> está conforme con la información al no contravenir la misma.</w:t>
      </w:r>
    </w:p>
    <w:p w14:paraId="37674114" w14:textId="77777777" w:rsidR="00AB3DF4" w:rsidRPr="00150B00" w:rsidRDefault="00AB3DF4" w:rsidP="005B3AC0">
      <w:pPr>
        <w:shd w:val="clear" w:color="auto" w:fill="FFFFFF"/>
        <w:spacing w:line="360" w:lineRule="auto"/>
        <w:ind w:right="49"/>
        <w:jc w:val="both"/>
        <w:rPr>
          <w:rFonts w:ascii="Palatino Linotype" w:hAnsi="Palatino Linotype" w:cs="Arial"/>
        </w:rPr>
      </w:pPr>
    </w:p>
    <w:p w14:paraId="449FC08F" w14:textId="4B864A2C" w:rsidR="00AB3DF4" w:rsidRPr="00150B00" w:rsidRDefault="00AB3DF4" w:rsidP="005B3AC0">
      <w:pPr>
        <w:shd w:val="clear" w:color="auto" w:fill="FFFFFF"/>
        <w:spacing w:line="360" w:lineRule="auto"/>
        <w:ind w:right="49"/>
        <w:jc w:val="both"/>
        <w:rPr>
          <w:rFonts w:ascii="Palatino Linotype" w:hAnsi="Palatino Linotype" w:cs="Arial"/>
        </w:rPr>
      </w:pPr>
      <w:r w:rsidRPr="00150B00">
        <w:rPr>
          <w:rFonts w:ascii="Palatino Linotype" w:eastAsia="Arial Unicode MS" w:hAnsi="Palatino Linotype" w:cs="Arial"/>
        </w:rPr>
        <w:t xml:space="preserve">Consecuentemente, la parte de la respuesta que no fue impugnada debe declararse consentida por </w:t>
      </w:r>
      <w:r w:rsidRPr="00150B00">
        <w:rPr>
          <w:rFonts w:ascii="Palatino Linotype" w:eastAsia="Arial Unicode MS" w:hAnsi="Palatino Linotype" w:cs="Arial"/>
          <w:b/>
        </w:rPr>
        <w:t>EL RECURRENTE</w:t>
      </w:r>
      <w:r w:rsidRPr="00150B00">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14:paraId="09648449" w14:textId="77777777" w:rsidR="003C76E9" w:rsidRPr="00150B00" w:rsidRDefault="003C76E9" w:rsidP="005B3AC0">
      <w:pPr>
        <w:shd w:val="clear" w:color="auto" w:fill="FFFFFF"/>
        <w:spacing w:line="360" w:lineRule="auto"/>
        <w:ind w:right="49"/>
        <w:jc w:val="both"/>
        <w:rPr>
          <w:rFonts w:ascii="Palatino Linotype" w:hAnsi="Palatino Linotype" w:cs="Arial"/>
        </w:rPr>
      </w:pPr>
    </w:p>
    <w:p w14:paraId="3FAAFAC0" w14:textId="5498E262" w:rsidR="00AB3DF4" w:rsidRPr="00150B00" w:rsidRDefault="00AB3DF4" w:rsidP="005B3AC0">
      <w:pPr>
        <w:shd w:val="clear" w:color="auto" w:fill="FFFFFF"/>
        <w:spacing w:line="360" w:lineRule="auto"/>
        <w:ind w:right="49"/>
        <w:jc w:val="both"/>
        <w:rPr>
          <w:rFonts w:ascii="Palatino Linotype" w:hAnsi="Palatino Linotype" w:cs="Arial"/>
        </w:rPr>
      </w:pPr>
      <w:r w:rsidRPr="00150B00">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14:paraId="0831B8F3" w14:textId="77777777" w:rsidR="00AB3DF4" w:rsidRPr="00150B00" w:rsidRDefault="00AB3DF4" w:rsidP="00AB3DF4">
      <w:pPr>
        <w:shd w:val="clear" w:color="auto" w:fill="FFFFFF"/>
        <w:ind w:right="49"/>
        <w:rPr>
          <w:rFonts w:ascii="Palatino Linotype" w:hAnsi="Palatino Linotype" w:cs="Arial"/>
        </w:rPr>
      </w:pPr>
    </w:p>
    <w:p w14:paraId="40DAC7A6" w14:textId="1D62788F" w:rsidR="008250F6" w:rsidRPr="00150B00" w:rsidRDefault="00AB3DF4" w:rsidP="005B3AC0">
      <w:pPr>
        <w:ind w:left="709" w:right="899"/>
        <w:jc w:val="both"/>
        <w:rPr>
          <w:rFonts w:ascii="Palatino Linotype" w:hAnsi="Palatino Linotype"/>
          <w:lang w:val="es-ES"/>
        </w:rPr>
      </w:pPr>
      <w:r w:rsidRPr="00150B00">
        <w:rPr>
          <w:rFonts w:ascii="Palatino Linotype" w:hAnsi="Palatino Linotype" w:cs="Arial"/>
          <w:b/>
          <w:bCs/>
          <w:i/>
          <w:iCs/>
          <w:sz w:val="22"/>
        </w:rPr>
        <w:t xml:space="preserve">“REVISIÓN EN AMPARO. LOS RESOLUTIVOS NO COMBATIDOS DEBEN DECLARARSE FIRMES. </w:t>
      </w:r>
      <w:r w:rsidRPr="00150B00">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503B69" w14:textId="77777777" w:rsidR="0090491B" w:rsidRPr="00150B00" w:rsidRDefault="0090491B" w:rsidP="0090491B">
      <w:pPr>
        <w:tabs>
          <w:tab w:val="left" w:pos="851"/>
        </w:tabs>
        <w:ind w:right="901"/>
        <w:jc w:val="both"/>
        <w:rPr>
          <w:rFonts w:ascii="Palatino Linotype" w:hAnsi="Palatino Linotype" w:cs="Arial"/>
          <w:i/>
          <w:color w:val="000000" w:themeColor="text1"/>
          <w:sz w:val="22"/>
          <w:szCs w:val="22"/>
        </w:rPr>
      </w:pPr>
    </w:p>
    <w:p w14:paraId="0A041ED6" w14:textId="699BBA94" w:rsidR="0090491B" w:rsidRPr="00150B00" w:rsidRDefault="00AB3DF4" w:rsidP="0090491B">
      <w:pPr>
        <w:spacing w:line="360" w:lineRule="auto"/>
        <w:jc w:val="both"/>
        <w:rPr>
          <w:rFonts w:ascii="Palatino Linotype" w:hAnsi="Palatino Linotype"/>
          <w:lang w:val="es-ES"/>
        </w:rPr>
      </w:pPr>
      <w:r w:rsidRPr="00150B00">
        <w:rPr>
          <w:rFonts w:ascii="Palatino Linotype" w:hAnsi="Palatino Linotype"/>
        </w:rPr>
        <w:t xml:space="preserve">Una vez precisado lo anterior </w:t>
      </w:r>
      <w:r w:rsidR="0090491B" w:rsidRPr="00150B00">
        <w:rPr>
          <w:rFonts w:ascii="Palatino Linotype" w:hAnsi="Palatino Linotype"/>
          <w:lang w:val="es-ES"/>
        </w:rPr>
        <w:t xml:space="preserve">expuesto, se advierte que el </w:t>
      </w:r>
      <w:r w:rsidR="0090491B" w:rsidRPr="00150B00">
        <w:rPr>
          <w:rFonts w:ascii="Palatino Linotype" w:hAnsi="Palatino Linotype"/>
          <w:b/>
          <w:lang w:val="es-ES"/>
        </w:rPr>
        <w:t>SUJETO OBLIGADO</w:t>
      </w:r>
      <w:r w:rsidR="0090491B" w:rsidRPr="00150B00">
        <w:rPr>
          <w:rFonts w:ascii="Palatino Linotype" w:hAnsi="Palatino Linotype"/>
          <w:lang w:val="es-ES"/>
        </w:rPr>
        <w:t xml:space="preserve"> atendió y otorgó respuesta a la información presentada por el particular, 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14:paraId="5B1FBC9A" w14:textId="77777777" w:rsidR="0090491B" w:rsidRPr="00150B00" w:rsidRDefault="0090491B" w:rsidP="0090491B">
      <w:pPr>
        <w:jc w:val="both"/>
        <w:rPr>
          <w:rFonts w:ascii="Palatino Linotype" w:hAnsi="Palatino Linotype"/>
          <w:lang w:eastAsia="es-MX"/>
        </w:rPr>
      </w:pPr>
    </w:p>
    <w:p w14:paraId="6B933702" w14:textId="77777777" w:rsidR="0090491B" w:rsidRPr="00150B00" w:rsidRDefault="0090491B" w:rsidP="0090491B">
      <w:pPr>
        <w:autoSpaceDE w:val="0"/>
        <w:autoSpaceDN w:val="0"/>
        <w:adjustRightInd w:val="0"/>
        <w:ind w:left="851" w:right="900"/>
        <w:jc w:val="both"/>
        <w:rPr>
          <w:rFonts w:ascii="Palatino Linotype" w:eastAsia="MS Mincho" w:hAnsi="Palatino Linotype" w:cs="Bookman Old Style,Bold"/>
          <w:b/>
          <w:bCs/>
          <w:i/>
          <w:sz w:val="22"/>
          <w:szCs w:val="22"/>
          <w:lang w:eastAsia="es-MX"/>
        </w:rPr>
      </w:pPr>
      <w:r w:rsidRPr="00150B00">
        <w:rPr>
          <w:rFonts w:ascii="Palatino Linotype" w:eastAsia="MS Mincho" w:hAnsi="Palatino Linotype" w:cs="Bookman Old Style,Bold"/>
          <w:bCs/>
          <w:i/>
          <w:sz w:val="22"/>
          <w:szCs w:val="22"/>
          <w:lang w:eastAsia="es-MX"/>
        </w:rPr>
        <w:t>“</w:t>
      </w:r>
      <w:r w:rsidRPr="00150B00">
        <w:rPr>
          <w:rFonts w:ascii="Palatino Linotype" w:eastAsia="MS Mincho" w:hAnsi="Palatino Linotype" w:cs="Bookman Old Style,Bold"/>
          <w:b/>
          <w:bCs/>
          <w:i/>
          <w:sz w:val="22"/>
          <w:szCs w:val="22"/>
          <w:lang w:eastAsia="es-MX"/>
        </w:rPr>
        <w:t xml:space="preserve">Artículo 4. </w:t>
      </w:r>
      <w:r w:rsidRPr="00150B00">
        <w:rPr>
          <w:rFonts w:ascii="Palatino Linotype" w:eastAsia="MS Mincho" w:hAnsi="Palatino Linotype" w:cs="Bookman Old Style,Bold"/>
          <w:bCs/>
          <w:i/>
          <w:sz w:val="22"/>
          <w:szCs w:val="22"/>
          <w:lang w:eastAsia="es-MX"/>
        </w:rPr>
        <w:t>…</w:t>
      </w:r>
    </w:p>
    <w:p w14:paraId="09B24A7B" w14:textId="77777777" w:rsidR="0090491B" w:rsidRPr="00150B00"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p>
    <w:p w14:paraId="17E002D0" w14:textId="77777777" w:rsidR="0090491B" w:rsidRPr="00150B00"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150B00">
        <w:rPr>
          <w:rFonts w:ascii="Palatino Linotype" w:eastAsia="MS Mincho" w:hAnsi="Palatino Linotype" w:cs="Bookman Old Style"/>
          <w:i/>
          <w:sz w:val="22"/>
          <w:szCs w:val="22"/>
          <w:u w:val="single"/>
          <w:lang w:eastAsia="es-MX"/>
        </w:rPr>
        <w:t>Toda la información generada, obtenida, adquirida, transformada, administrada o en posesión de los sujetos obligados es pública y accesible de manera permanente a cualquier persona</w:t>
      </w:r>
      <w:r w:rsidRPr="00150B00">
        <w:rPr>
          <w:rFonts w:ascii="Palatino Linotype" w:eastAsia="MS Mincho" w:hAnsi="Palatino Linotype" w:cs="Bookman Old Style"/>
          <w:i/>
          <w:sz w:val="22"/>
          <w:szCs w:val="22"/>
          <w:lang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D8ACE6" w14:textId="77777777" w:rsidR="0090491B" w:rsidRPr="00150B00"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150B00">
        <w:rPr>
          <w:rFonts w:ascii="Palatino Linotype" w:eastAsia="MS Mincho" w:hAnsi="Palatino Linotype" w:cs="Bookman Old Style"/>
          <w:i/>
          <w:sz w:val="22"/>
          <w:szCs w:val="22"/>
          <w:lang w:eastAsia="es-MX"/>
        </w:rPr>
        <w:t>…”</w:t>
      </w:r>
    </w:p>
    <w:p w14:paraId="1E6DA409" w14:textId="77777777" w:rsidR="0090491B" w:rsidRPr="00150B00"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150B00">
        <w:rPr>
          <w:rFonts w:ascii="Palatino Linotype" w:eastAsia="MS Mincho" w:hAnsi="Palatino Linotype" w:cs="Bookman Old Style,Bold"/>
          <w:bCs/>
          <w:i/>
          <w:sz w:val="22"/>
          <w:szCs w:val="22"/>
          <w:lang w:eastAsia="es-MX"/>
        </w:rPr>
        <w:t>“</w:t>
      </w:r>
      <w:r w:rsidRPr="00150B00">
        <w:rPr>
          <w:rFonts w:ascii="Palatino Linotype" w:eastAsia="MS Mincho" w:hAnsi="Palatino Linotype" w:cs="Bookman Old Style,Bold"/>
          <w:b/>
          <w:bCs/>
          <w:i/>
          <w:sz w:val="22"/>
          <w:szCs w:val="22"/>
          <w:lang w:eastAsia="es-MX"/>
        </w:rPr>
        <w:t xml:space="preserve">Artículo 12. </w:t>
      </w:r>
      <w:r w:rsidRPr="00150B00">
        <w:rPr>
          <w:rFonts w:ascii="Palatino Linotype" w:eastAsia="MS Mincho" w:hAnsi="Palatino Linotype" w:cs="Bookman Old Style"/>
          <w:i/>
          <w:sz w:val="22"/>
          <w:szCs w:val="22"/>
          <w:lang w:eastAsia="es-MX"/>
        </w:rPr>
        <w:t>(…)</w:t>
      </w:r>
    </w:p>
    <w:p w14:paraId="6F3AB4C0" w14:textId="77777777" w:rsidR="0090491B" w:rsidRPr="00150B00"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150B00">
        <w:rPr>
          <w:rFonts w:ascii="Palatino Linotype" w:eastAsia="MS Mincho" w:hAnsi="Palatino Linotype" w:cs="Bookman Old Style"/>
          <w:i/>
          <w:sz w:val="22"/>
          <w:szCs w:val="22"/>
          <w:u w:val="single"/>
          <w:lang w:eastAsia="es-MX"/>
        </w:rPr>
        <w:t>Los sujetos obligados sólo proporcionarán la información pública que se les requiera y que obre en sus archivos</w:t>
      </w:r>
      <w:r w:rsidRPr="00150B00">
        <w:rPr>
          <w:rFonts w:ascii="Palatino Linotype" w:eastAsia="MS Mincho" w:hAnsi="Palatino Linotype" w:cs="Bookman Old Style"/>
          <w:i/>
          <w:sz w:val="22"/>
          <w:szCs w:val="22"/>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A350E87" w14:textId="77777777" w:rsidR="0090491B" w:rsidRPr="00150B00" w:rsidRDefault="0090491B" w:rsidP="0090491B">
      <w:pPr>
        <w:autoSpaceDE w:val="0"/>
        <w:autoSpaceDN w:val="0"/>
        <w:adjustRightInd w:val="0"/>
        <w:ind w:left="851" w:right="900"/>
        <w:jc w:val="both"/>
        <w:rPr>
          <w:rFonts w:ascii="Palatino Linotype" w:eastAsia="MS Mincho" w:hAnsi="Palatino Linotype" w:cs="Bookman Old Style"/>
          <w:i/>
          <w:sz w:val="22"/>
          <w:szCs w:val="22"/>
          <w:lang w:eastAsia="es-MX"/>
        </w:rPr>
      </w:pPr>
      <w:r w:rsidRPr="00150B00">
        <w:rPr>
          <w:rFonts w:ascii="Palatino Linotype" w:eastAsia="MS Mincho" w:hAnsi="Palatino Linotype" w:cs="Bookman Old Style,Bold"/>
          <w:bCs/>
          <w:i/>
          <w:sz w:val="22"/>
          <w:szCs w:val="22"/>
          <w:lang w:eastAsia="es-MX"/>
        </w:rPr>
        <w:t>“</w:t>
      </w:r>
      <w:r w:rsidRPr="00150B00">
        <w:rPr>
          <w:rFonts w:ascii="Palatino Linotype" w:eastAsia="MS Mincho" w:hAnsi="Palatino Linotype" w:cs="Bookman Old Style,Bold"/>
          <w:b/>
          <w:bCs/>
          <w:i/>
          <w:sz w:val="22"/>
          <w:szCs w:val="22"/>
          <w:lang w:eastAsia="es-MX"/>
        </w:rPr>
        <w:t xml:space="preserve">Artículo 163. </w:t>
      </w:r>
      <w:r w:rsidRPr="00150B00">
        <w:rPr>
          <w:rFonts w:ascii="Palatino Linotype" w:eastAsia="MS Mincho" w:hAnsi="Palatino Linotype" w:cs="Bookman Old Style"/>
          <w:i/>
          <w:sz w:val="22"/>
          <w:szCs w:val="22"/>
          <w:u w:val="single"/>
          <w:lang w:eastAsia="es-MX"/>
        </w:rPr>
        <w:t>La Unidad de Transparencia deberá notificar la respuesta a la solicitud al interesado en el menor tiempo posible</w:t>
      </w:r>
      <w:r w:rsidRPr="00150B00">
        <w:rPr>
          <w:rFonts w:ascii="Palatino Linotype" w:eastAsia="MS Mincho" w:hAnsi="Palatino Linotype" w:cs="Bookman Old Style"/>
          <w:i/>
          <w:sz w:val="22"/>
          <w:szCs w:val="22"/>
          <w:lang w:eastAsia="es-MX"/>
        </w:rPr>
        <w:t xml:space="preserve">, que </w:t>
      </w:r>
      <w:r w:rsidRPr="00150B00">
        <w:rPr>
          <w:rFonts w:ascii="Palatino Linotype" w:eastAsia="MS Mincho" w:hAnsi="Palatino Linotype" w:cs="Bookman Old Style"/>
          <w:i/>
          <w:sz w:val="22"/>
          <w:szCs w:val="22"/>
          <w:u w:val="single"/>
          <w:lang w:eastAsia="es-MX"/>
        </w:rPr>
        <w:t>no podrá exceder de quince días hábiles</w:t>
      </w:r>
      <w:r w:rsidRPr="00150B00">
        <w:rPr>
          <w:rFonts w:ascii="Palatino Linotype" w:eastAsia="MS Mincho" w:hAnsi="Palatino Linotype" w:cs="Bookman Old Style"/>
          <w:i/>
          <w:sz w:val="22"/>
          <w:szCs w:val="22"/>
          <w:lang w:eastAsia="es-MX"/>
        </w:rPr>
        <w:t>, contados a partir del día siguiente a la presentación de aquélla. “</w:t>
      </w:r>
    </w:p>
    <w:p w14:paraId="207B36B9" w14:textId="77777777" w:rsidR="0090491B" w:rsidRPr="00150B00" w:rsidRDefault="0090491B" w:rsidP="0090491B">
      <w:pPr>
        <w:autoSpaceDE w:val="0"/>
        <w:autoSpaceDN w:val="0"/>
        <w:adjustRightInd w:val="0"/>
        <w:ind w:left="851" w:right="900"/>
        <w:jc w:val="both"/>
        <w:rPr>
          <w:rFonts w:ascii="Palatino Linotype" w:hAnsi="Palatino Linotype"/>
          <w:i/>
          <w:sz w:val="22"/>
          <w:szCs w:val="22"/>
          <w:lang w:val="es-ES"/>
        </w:rPr>
      </w:pPr>
      <w:r w:rsidRPr="00150B00">
        <w:rPr>
          <w:rFonts w:ascii="Palatino Linotype" w:hAnsi="Palatino Linotype"/>
          <w:i/>
          <w:sz w:val="22"/>
          <w:szCs w:val="22"/>
          <w:lang w:val="es-ES"/>
        </w:rPr>
        <w:t>“</w:t>
      </w:r>
      <w:r w:rsidRPr="00150B00">
        <w:rPr>
          <w:rFonts w:ascii="Palatino Linotype" w:hAnsi="Palatino Linotype"/>
          <w:b/>
          <w:i/>
          <w:sz w:val="22"/>
          <w:szCs w:val="22"/>
          <w:lang w:val="es-ES"/>
        </w:rPr>
        <w:t>Artículo 166</w:t>
      </w:r>
      <w:r w:rsidRPr="00150B00">
        <w:rPr>
          <w:rFonts w:ascii="Palatino Linotype" w:hAnsi="Palatino Linotype"/>
          <w:i/>
          <w:sz w:val="22"/>
          <w:szCs w:val="22"/>
          <w:lang w:val="es-ES"/>
        </w:rPr>
        <w:t xml:space="preserve">. </w:t>
      </w:r>
      <w:r w:rsidRPr="00150B00">
        <w:rPr>
          <w:rFonts w:ascii="Palatino Linotype" w:hAnsi="Palatino Linotype"/>
          <w:i/>
          <w:sz w:val="22"/>
          <w:szCs w:val="22"/>
          <w:u w:val="single"/>
          <w:lang w:val="es-ES"/>
        </w:rPr>
        <w:t>La obligación de acceso a la información pública se tendrá por cumplida cuando el solicitante tenga a su disposición la información requerida</w:t>
      </w:r>
      <w:r w:rsidRPr="00150B00">
        <w:rPr>
          <w:rFonts w:ascii="Palatino Linotype" w:hAnsi="Palatino Linotype"/>
          <w:i/>
          <w:sz w:val="22"/>
          <w:szCs w:val="22"/>
          <w:lang w:val="es-ES"/>
        </w:rPr>
        <w:t>, o cuando realice la consulta de la misma en el lugar en el que ésta se localice.</w:t>
      </w:r>
    </w:p>
    <w:p w14:paraId="31EF1D57" w14:textId="77777777" w:rsidR="0090491B" w:rsidRPr="00150B00" w:rsidRDefault="0090491B" w:rsidP="0090491B">
      <w:pPr>
        <w:autoSpaceDE w:val="0"/>
        <w:autoSpaceDN w:val="0"/>
        <w:adjustRightInd w:val="0"/>
        <w:ind w:left="851" w:right="900"/>
        <w:jc w:val="both"/>
        <w:rPr>
          <w:rFonts w:ascii="Palatino Linotype" w:hAnsi="Palatino Linotype"/>
          <w:i/>
          <w:sz w:val="22"/>
          <w:szCs w:val="22"/>
          <w:lang w:val="es-ES"/>
        </w:rPr>
      </w:pPr>
      <w:r w:rsidRPr="00150B00">
        <w:rPr>
          <w:rFonts w:ascii="Palatino Linotype" w:hAnsi="Palatino Linotype"/>
          <w:i/>
          <w:sz w:val="22"/>
          <w:szCs w:val="22"/>
          <w:lang w:val="es-ES"/>
        </w:rPr>
        <w:t>…”</w:t>
      </w:r>
    </w:p>
    <w:p w14:paraId="3D456D0B" w14:textId="77777777" w:rsidR="0090491B" w:rsidRPr="00150B00" w:rsidRDefault="0090491B" w:rsidP="0090491B">
      <w:pPr>
        <w:autoSpaceDE w:val="0"/>
        <w:autoSpaceDN w:val="0"/>
        <w:adjustRightInd w:val="0"/>
        <w:ind w:left="851" w:right="900"/>
        <w:jc w:val="both"/>
        <w:rPr>
          <w:rFonts w:ascii="Palatino Linotype" w:hAnsi="Palatino Linotype"/>
          <w:i/>
          <w:sz w:val="22"/>
          <w:szCs w:val="22"/>
          <w:lang w:val="es-ES"/>
        </w:rPr>
      </w:pPr>
      <w:r w:rsidRPr="00150B00">
        <w:rPr>
          <w:rFonts w:ascii="Palatino Linotype" w:hAnsi="Palatino Linotype"/>
          <w:i/>
          <w:sz w:val="22"/>
          <w:szCs w:val="22"/>
          <w:lang w:val="es-ES"/>
        </w:rPr>
        <w:t>(Énfasis añadido)</w:t>
      </w:r>
    </w:p>
    <w:p w14:paraId="2B75220E" w14:textId="77777777" w:rsidR="0090491B" w:rsidRPr="00150B00" w:rsidRDefault="0090491B" w:rsidP="0090491B">
      <w:pPr>
        <w:autoSpaceDE w:val="0"/>
        <w:autoSpaceDN w:val="0"/>
        <w:adjustRightInd w:val="0"/>
        <w:ind w:right="49"/>
        <w:jc w:val="both"/>
        <w:rPr>
          <w:rFonts w:ascii="Palatino Linotype" w:hAnsi="Palatino Linotype"/>
          <w:sz w:val="22"/>
          <w:szCs w:val="22"/>
          <w:lang w:val="es-ES"/>
        </w:rPr>
      </w:pPr>
    </w:p>
    <w:p w14:paraId="47A82B82" w14:textId="77777777" w:rsidR="0090491B" w:rsidRPr="00150B00" w:rsidRDefault="0090491B" w:rsidP="0090491B">
      <w:pPr>
        <w:autoSpaceDE w:val="0"/>
        <w:autoSpaceDN w:val="0"/>
        <w:adjustRightInd w:val="0"/>
        <w:spacing w:line="360" w:lineRule="auto"/>
        <w:jc w:val="both"/>
        <w:rPr>
          <w:rFonts w:ascii="Palatino Linotype" w:eastAsia="MS Mincho" w:hAnsi="Palatino Linotype" w:cs="Bookman Old Style"/>
          <w:lang w:eastAsia="es-MX"/>
        </w:rPr>
      </w:pPr>
      <w:r w:rsidRPr="00150B00">
        <w:rPr>
          <w:rFonts w:ascii="Palatino Linotype" w:hAnsi="Palatino Linotype"/>
          <w:lang w:val="es-ES"/>
        </w:rPr>
        <w:t xml:space="preserve">De los numerales transcritos se colige que la respuesta de todo Sujeto Obligado deberá emitirse en el menor tiempo posible y no podrá exceder de quince días hábiles, plazo dentro del cual deberá expedir la información que se les requiera y obre en sus archivos, siempre y cuando haya sido generada, obtenida, adquirida, transformada, administrada se encuentre en posesión de éstos, la cual es pública y accesible de manera permanente a cualquier persona, información que </w:t>
      </w:r>
      <w:r w:rsidRPr="00150B00">
        <w:rPr>
          <w:rFonts w:ascii="Palatino Linotype" w:eastAsia="MS Mincho" w:hAnsi="Palatino Linotype" w:cs="Bookman Old Style"/>
          <w:lang w:eastAsia="es-MX"/>
        </w:rPr>
        <w:t xml:space="preserve">podrá ser clasificada excepcionalmente como reservada temporalmente por razones de interés </w:t>
      </w:r>
      <w:r w:rsidRPr="00150B00">
        <w:rPr>
          <w:rFonts w:ascii="Palatino Linotype" w:eastAsia="MS Mincho" w:hAnsi="Palatino Linotype" w:cs="Bookman Old Style"/>
          <w:lang w:eastAsia="es-MX"/>
        </w:rPr>
        <w:lastRenderedPageBreak/>
        <w:t>público en los términos de las causas legítimas y estrictamente necesarias previstas por la Ley de Transparencia y Acceso a la Información Pública vigente en la entidad.</w:t>
      </w:r>
    </w:p>
    <w:p w14:paraId="1999EB74" w14:textId="77777777" w:rsidR="0090491B" w:rsidRPr="00150B00" w:rsidRDefault="0090491B" w:rsidP="0090491B">
      <w:pPr>
        <w:autoSpaceDE w:val="0"/>
        <w:autoSpaceDN w:val="0"/>
        <w:adjustRightInd w:val="0"/>
        <w:spacing w:line="360" w:lineRule="auto"/>
        <w:ind w:right="49"/>
        <w:jc w:val="both"/>
        <w:rPr>
          <w:rFonts w:ascii="Palatino Linotype" w:eastAsia="MS Mincho" w:hAnsi="Palatino Linotype" w:cs="Bookman Old Style"/>
          <w:lang w:eastAsia="es-MX"/>
        </w:rPr>
      </w:pPr>
    </w:p>
    <w:p w14:paraId="40EA70B8" w14:textId="198004C0" w:rsidR="0090491B" w:rsidRPr="00150B00" w:rsidRDefault="0090491B" w:rsidP="0090491B">
      <w:pPr>
        <w:autoSpaceDE w:val="0"/>
        <w:autoSpaceDN w:val="0"/>
        <w:adjustRightInd w:val="0"/>
        <w:spacing w:line="360" w:lineRule="auto"/>
        <w:ind w:right="49"/>
        <w:jc w:val="both"/>
        <w:rPr>
          <w:rFonts w:ascii="Palatino Linotype" w:hAnsi="Palatino Linotype"/>
          <w:lang w:val="es-ES"/>
        </w:rPr>
      </w:pPr>
      <w:r w:rsidRPr="00150B00">
        <w:rPr>
          <w:rFonts w:ascii="Palatino Linotype" w:eastAsia="MS Mincho" w:hAnsi="Palatino Linotype" w:cs="Bookman Old Style"/>
          <w:lang w:eastAsia="es-MX"/>
        </w:rPr>
        <w:t xml:space="preserve">Es así que, en el presente asunto </w:t>
      </w:r>
      <w:r w:rsidRPr="00150B00">
        <w:rPr>
          <w:rFonts w:ascii="Palatino Linotype" w:eastAsia="MS Mincho" w:hAnsi="Palatino Linotype" w:cs="Bookman Old Style"/>
          <w:b/>
          <w:lang w:eastAsia="es-MX"/>
        </w:rPr>
        <w:t>EL</w:t>
      </w:r>
      <w:r w:rsidRPr="00150B00">
        <w:rPr>
          <w:rFonts w:ascii="Palatino Linotype" w:eastAsia="MS Mincho" w:hAnsi="Palatino Linotype" w:cs="Bookman Old Style"/>
          <w:lang w:eastAsia="es-MX"/>
        </w:rPr>
        <w:t xml:space="preserve"> </w:t>
      </w:r>
      <w:r w:rsidRPr="00150B00">
        <w:rPr>
          <w:rFonts w:ascii="Palatino Linotype" w:eastAsia="MS Mincho" w:hAnsi="Palatino Linotype" w:cs="Bookman Old Style"/>
          <w:b/>
          <w:lang w:eastAsia="es-MX"/>
        </w:rPr>
        <w:t xml:space="preserve">SUJETO OBLIGADO </w:t>
      </w:r>
      <w:r w:rsidRPr="00150B00">
        <w:rPr>
          <w:rFonts w:ascii="Palatino Linotype" w:eastAsia="MS Mincho" w:hAnsi="Palatino Linotype" w:cs="Bookman Old Style"/>
          <w:lang w:eastAsia="es-MX"/>
        </w:rPr>
        <w:t xml:space="preserve">otorgó respuesta al </w:t>
      </w:r>
      <w:r w:rsidRPr="00150B00">
        <w:rPr>
          <w:rFonts w:ascii="Palatino Linotype" w:eastAsia="MS Mincho" w:hAnsi="Palatino Linotype" w:cs="Bookman Old Style"/>
          <w:lang w:val="es-ES" w:eastAsia="es-MX"/>
        </w:rPr>
        <w:t xml:space="preserve">misma en la cual refiere que </w:t>
      </w:r>
      <w:r w:rsidR="00AB3DF4" w:rsidRPr="00150B00">
        <w:rPr>
          <w:rFonts w:ascii="Palatino Linotype" w:hAnsi="Palatino Linotype"/>
          <w:lang w:val="es-ES"/>
        </w:rPr>
        <w:t>respecto el periodo comprendido del primero de enero al 20 de enero de 2021, el Comité de Transparencia de este Sujeto Obligado no generó ninguna sesión por lo que no se cuenta con actas.</w:t>
      </w:r>
    </w:p>
    <w:p w14:paraId="0E27C775" w14:textId="77777777" w:rsidR="003C76E9" w:rsidRPr="00150B00" w:rsidRDefault="003C76E9" w:rsidP="0090491B">
      <w:pPr>
        <w:autoSpaceDE w:val="0"/>
        <w:autoSpaceDN w:val="0"/>
        <w:adjustRightInd w:val="0"/>
        <w:spacing w:line="360" w:lineRule="auto"/>
        <w:ind w:right="49"/>
        <w:jc w:val="both"/>
        <w:rPr>
          <w:rFonts w:ascii="Palatino Linotype" w:hAnsi="Palatino Linotype"/>
          <w:lang w:val="es-ES"/>
        </w:rPr>
      </w:pPr>
    </w:p>
    <w:p w14:paraId="271B8F39" w14:textId="61D221A4" w:rsidR="003C76E9" w:rsidRPr="00150B00" w:rsidRDefault="003C76E9" w:rsidP="0090491B">
      <w:pPr>
        <w:autoSpaceDE w:val="0"/>
        <w:autoSpaceDN w:val="0"/>
        <w:adjustRightInd w:val="0"/>
        <w:spacing w:line="360" w:lineRule="auto"/>
        <w:ind w:right="49"/>
        <w:jc w:val="both"/>
        <w:rPr>
          <w:rFonts w:ascii="Palatino Linotype" w:hAnsi="Palatino Linotype"/>
          <w:lang w:val="es-ES"/>
        </w:rPr>
      </w:pPr>
      <w:r w:rsidRPr="00150B00">
        <w:rPr>
          <w:rFonts w:ascii="Palatino Linotype" w:hAnsi="Palatino Linotype"/>
          <w:lang w:val="es-ES"/>
        </w:rPr>
        <w:t>Así, conviene traer a contexto el ordinal 19 de la Ley de la materia, mismo que indica en su segundo párrafo que en casos en que ciertas facultades p funciones no se hayan ejercido, se debe fundar y motivar la respuesta, siendo que en ese sentido fue la misma, al referir que no se realizaron sesiones por lo tanto no cabría la entrega de actas que no derivaron ya que no se realizaron sesiones ordinarias o extraordinarias en dichas fechas.</w:t>
      </w:r>
    </w:p>
    <w:p w14:paraId="32B56BAD" w14:textId="77777777" w:rsidR="00AB3DF4" w:rsidRPr="00150B00" w:rsidRDefault="00AB3DF4" w:rsidP="0090491B">
      <w:pPr>
        <w:autoSpaceDE w:val="0"/>
        <w:autoSpaceDN w:val="0"/>
        <w:adjustRightInd w:val="0"/>
        <w:spacing w:line="360" w:lineRule="auto"/>
        <w:ind w:right="49"/>
        <w:jc w:val="both"/>
        <w:rPr>
          <w:rFonts w:ascii="Palatino Linotype" w:eastAsia="MS Mincho" w:hAnsi="Palatino Linotype" w:cs="Bookman Old Style"/>
          <w:lang w:val="es-ES" w:eastAsia="es-MX"/>
        </w:rPr>
      </w:pPr>
    </w:p>
    <w:p w14:paraId="7CF329CB" w14:textId="7FF8785A" w:rsidR="0090491B" w:rsidRPr="00150B00" w:rsidRDefault="0090491B" w:rsidP="0090491B">
      <w:pPr>
        <w:shd w:val="clear" w:color="auto" w:fill="FFFFFF"/>
        <w:spacing w:line="360" w:lineRule="auto"/>
        <w:jc w:val="both"/>
        <w:rPr>
          <w:rFonts w:ascii="Palatino Linotype" w:hAnsi="Palatino Linotype" w:cs="Arial"/>
        </w:rPr>
      </w:pPr>
      <w:r w:rsidRPr="00150B00">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7A2E20F5" w14:textId="77777777" w:rsidR="00AB3DF4" w:rsidRPr="00150B00" w:rsidRDefault="00AB3DF4" w:rsidP="0090491B">
      <w:pPr>
        <w:shd w:val="clear" w:color="auto" w:fill="FFFFFF"/>
        <w:spacing w:line="360" w:lineRule="auto"/>
        <w:jc w:val="both"/>
        <w:rPr>
          <w:rFonts w:ascii="Palatino Linotype" w:hAnsi="Palatino Linotype" w:cs="Arial"/>
        </w:rPr>
      </w:pPr>
    </w:p>
    <w:p w14:paraId="1797409E" w14:textId="77777777" w:rsidR="0090491B" w:rsidRPr="00150B00" w:rsidRDefault="0090491B" w:rsidP="0090491B">
      <w:pPr>
        <w:shd w:val="clear" w:color="auto" w:fill="FFFFFF"/>
        <w:spacing w:line="360" w:lineRule="auto"/>
        <w:jc w:val="both"/>
        <w:rPr>
          <w:rFonts w:ascii="Palatino Linotype" w:hAnsi="Palatino Linotype" w:cs="Arial"/>
          <w:color w:val="222222"/>
        </w:rPr>
      </w:pPr>
      <w:r w:rsidRPr="00150B00">
        <w:rPr>
          <w:rFonts w:ascii="Palatino Linotype" w:hAnsi="Palatino Linotype" w:cs="Arial"/>
        </w:rPr>
        <w:t xml:space="preserve">Por ello, de conformidad con lo establecido en el artículo 12 de la Ley de Transparencia y Acceso a la Información Pública del Estado de México y Municipios </w:t>
      </w:r>
      <w:r w:rsidRPr="00150B00">
        <w:rPr>
          <w:rFonts w:ascii="Palatino Linotype" w:hAnsi="Palatino Linotype" w:cs="Arial"/>
          <w:b/>
        </w:rPr>
        <w:t>EL SUJETO OBLIGADO</w:t>
      </w:r>
      <w:r w:rsidRPr="00150B00">
        <w:rPr>
          <w:rFonts w:ascii="Palatino Linotype" w:hAnsi="Palatino Linotype" w:cs="Arial"/>
        </w:rPr>
        <w:t xml:space="preserve"> sólo proporcionará la información que se les requiera y que obre en sus archivos, lo que a </w:t>
      </w:r>
      <w:r w:rsidRPr="00150B00">
        <w:rPr>
          <w:rFonts w:ascii="Palatino Linotype" w:hAnsi="Palatino Linotype" w:cs="Arial"/>
          <w:i/>
        </w:rPr>
        <w:t>contrario sensu</w:t>
      </w:r>
      <w:r w:rsidRPr="00150B00">
        <w:rPr>
          <w:rFonts w:ascii="Palatino Linotype" w:hAnsi="Palatino Linotype" w:cs="Arial"/>
        </w:rPr>
        <w:t xml:space="preserve"> significa que no se está obligado a proporcionar lo que no obre en sus archivos; destacando entonces que el Pleno de </w:t>
      </w:r>
      <w:r w:rsidRPr="00150B00">
        <w:rPr>
          <w:rFonts w:ascii="Palatino Linotype" w:hAnsi="Palatino Linotype" w:cs="Arial"/>
        </w:rPr>
        <w:lastRenderedPageBreak/>
        <w:t>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150B00">
        <w:rPr>
          <w:rFonts w:ascii="Palatino Linotype" w:hAnsi="Palatino Linotype" w:cs="Arial"/>
          <w:color w:val="222222"/>
        </w:rPr>
        <w:t>:</w:t>
      </w:r>
    </w:p>
    <w:p w14:paraId="2096A838" w14:textId="77777777" w:rsidR="0090491B" w:rsidRPr="00150B00" w:rsidRDefault="0090491B" w:rsidP="0090491B">
      <w:pPr>
        <w:shd w:val="clear" w:color="auto" w:fill="FFFFFF"/>
        <w:spacing w:line="360" w:lineRule="auto"/>
        <w:jc w:val="both"/>
        <w:rPr>
          <w:rFonts w:ascii="Palatino Linotype" w:hAnsi="Palatino Linotype" w:cs="Arial"/>
          <w:color w:val="222222"/>
        </w:rPr>
      </w:pPr>
    </w:p>
    <w:p w14:paraId="4EC0365F" w14:textId="77777777" w:rsidR="0090491B" w:rsidRPr="00150B00" w:rsidRDefault="0090491B" w:rsidP="0090491B">
      <w:pPr>
        <w:shd w:val="clear" w:color="auto" w:fill="FFFFFF"/>
        <w:ind w:left="851"/>
        <w:jc w:val="both"/>
        <w:rPr>
          <w:rFonts w:ascii="Palatino Linotype" w:hAnsi="Palatino Linotype" w:cs="Arial"/>
          <w:color w:val="222222"/>
        </w:rPr>
      </w:pPr>
      <w:r w:rsidRPr="00150B00">
        <w:rPr>
          <w:rFonts w:ascii="Palatino Linotype" w:hAnsi="Palatino Linotype" w:cs="Arial"/>
          <w:b/>
          <w:bCs/>
          <w:i/>
          <w:iCs/>
          <w:color w:val="222222"/>
        </w:rPr>
        <w:t>“HECHOS NEGATIVOS, NO SON SUSCEPTIBLES DE DEMOSTRACIÓN.</w:t>
      </w:r>
    </w:p>
    <w:p w14:paraId="3EF2C609" w14:textId="77777777" w:rsidR="0090491B" w:rsidRPr="00150B00" w:rsidRDefault="0090491B" w:rsidP="0090491B">
      <w:pPr>
        <w:shd w:val="clear" w:color="auto" w:fill="FFFFFF"/>
        <w:ind w:left="851" w:right="899"/>
        <w:jc w:val="both"/>
        <w:rPr>
          <w:rFonts w:ascii="Palatino Linotype" w:hAnsi="Palatino Linotype" w:cs="Arial"/>
          <w:color w:val="222222"/>
        </w:rPr>
      </w:pPr>
      <w:r w:rsidRPr="00150B00">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02A413DA" w14:textId="77777777" w:rsidR="0090491B" w:rsidRPr="00150B00" w:rsidRDefault="0090491B" w:rsidP="0090491B">
      <w:pPr>
        <w:shd w:val="clear" w:color="auto" w:fill="FFFFFF"/>
        <w:ind w:left="851" w:right="899"/>
        <w:jc w:val="both"/>
        <w:rPr>
          <w:rFonts w:ascii="Palatino Linotype" w:hAnsi="Palatino Linotype" w:cs="Arial"/>
          <w:i/>
          <w:iCs/>
          <w:color w:val="222222"/>
        </w:rPr>
      </w:pPr>
      <w:r w:rsidRPr="00150B00">
        <w:rPr>
          <w:rFonts w:ascii="Palatino Linotype" w:hAnsi="Palatino Linotype" w:cs="Arial"/>
          <w:i/>
          <w:iCs/>
          <w:color w:val="222222"/>
        </w:rPr>
        <w:t>Amparo en revisión 2022/61. José García Florín (Menor). 9 de octubre de 1961. Cinco votos. Ponente: José Rivera Pérez Campos.”</w:t>
      </w:r>
    </w:p>
    <w:p w14:paraId="6B9A37BB" w14:textId="77777777" w:rsidR="0090491B" w:rsidRPr="00150B00" w:rsidRDefault="0090491B" w:rsidP="0090491B">
      <w:pPr>
        <w:shd w:val="clear" w:color="auto" w:fill="FFFFFF"/>
        <w:ind w:right="49"/>
        <w:jc w:val="both"/>
        <w:rPr>
          <w:rFonts w:ascii="Palatino Linotype" w:hAnsi="Palatino Linotype" w:cs="Arial"/>
          <w:iCs/>
          <w:color w:val="222222"/>
        </w:rPr>
      </w:pPr>
    </w:p>
    <w:p w14:paraId="16590137" w14:textId="77777777" w:rsidR="0090491B" w:rsidRPr="00150B00" w:rsidRDefault="0090491B" w:rsidP="00E97DA6">
      <w:pPr>
        <w:shd w:val="clear" w:color="auto" w:fill="FFFFFF"/>
        <w:spacing w:line="360" w:lineRule="auto"/>
        <w:ind w:right="49"/>
        <w:jc w:val="both"/>
        <w:rPr>
          <w:rFonts w:ascii="Palatino Linotype" w:hAnsi="Palatino Linotype" w:cs="Arial"/>
          <w:iCs/>
          <w:color w:val="222222"/>
        </w:rPr>
      </w:pPr>
      <w:r w:rsidRPr="00150B00">
        <w:rPr>
          <w:rFonts w:ascii="Palatino Linotype" w:hAnsi="Palatino Linotype" w:cs="Arial"/>
          <w:iCs/>
          <w:color w:val="222222"/>
        </w:rPr>
        <w:t>De igual forma, es aplicable el criterio 7/2017, emitido en la Segunda Época por el Instituto Nacional de Transparencia, Acceso a la Información y Protección de Datos Personales (INAI), el cual señala lo siguiente:</w:t>
      </w:r>
    </w:p>
    <w:p w14:paraId="6F906455" w14:textId="77777777" w:rsidR="0090491B" w:rsidRPr="00150B00" w:rsidRDefault="0090491B" w:rsidP="0090491B">
      <w:pPr>
        <w:shd w:val="clear" w:color="auto" w:fill="FFFFFF"/>
        <w:ind w:right="49"/>
        <w:jc w:val="both"/>
        <w:rPr>
          <w:rFonts w:ascii="Palatino Linotype" w:hAnsi="Palatino Linotype" w:cs="Arial"/>
          <w:iCs/>
          <w:color w:val="222222"/>
        </w:rPr>
      </w:pPr>
    </w:p>
    <w:p w14:paraId="11660A6A" w14:textId="77777777" w:rsidR="0090491B" w:rsidRPr="00150B00" w:rsidRDefault="0090491B" w:rsidP="0090491B">
      <w:pPr>
        <w:shd w:val="clear" w:color="auto" w:fill="FFFFFF"/>
        <w:ind w:left="851" w:right="902"/>
        <w:jc w:val="both"/>
        <w:rPr>
          <w:rFonts w:ascii="Palatino Linotype" w:hAnsi="Palatino Linotype" w:cs="Arial"/>
          <w:i/>
          <w:color w:val="222222"/>
        </w:rPr>
      </w:pPr>
      <w:r w:rsidRPr="00150B00">
        <w:rPr>
          <w:rFonts w:ascii="Palatino Linotype" w:hAnsi="Palatino Linotype" w:cs="Arial"/>
          <w:i/>
          <w:color w:val="222222"/>
        </w:rPr>
        <w:t xml:space="preserve">“Casos en los que </w:t>
      </w:r>
      <w:r w:rsidRPr="00150B00">
        <w:rPr>
          <w:rFonts w:ascii="Palatino Linotype" w:hAnsi="Palatino Linotype" w:cs="Arial"/>
          <w:b/>
          <w:i/>
          <w:color w:val="222222"/>
        </w:rPr>
        <w:t>no es necesario que el Comité de Transparencia confirme formalmente la inexistencia</w:t>
      </w:r>
      <w:r w:rsidRPr="00150B00">
        <w:rPr>
          <w:rFonts w:ascii="Palatino Linotype" w:hAnsi="Palatino Linotype" w:cs="Arial"/>
          <w:i/>
          <w:color w:val="222222"/>
        </w:rPr>
        <w:t xml:space="preserve">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150B00">
        <w:rPr>
          <w:rFonts w:ascii="Palatino Linotype" w:hAnsi="Palatino Linotype" w:cs="Arial"/>
          <w:b/>
          <w:i/>
          <w:color w:val="222222"/>
        </w:rPr>
        <w:t>no será necesario que el Comité de Transparencia emita una resolución que confirme la inexistencia de la información</w:t>
      </w:r>
      <w:r w:rsidRPr="00150B00">
        <w:rPr>
          <w:rFonts w:ascii="Palatino Linotype" w:hAnsi="Palatino Linotype" w:cs="Arial"/>
          <w:i/>
          <w:color w:val="222222"/>
        </w:rPr>
        <w:t xml:space="preserve">. </w:t>
      </w:r>
    </w:p>
    <w:p w14:paraId="12AA4FF7" w14:textId="77777777" w:rsidR="0090491B" w:rsidRPr="00150B00" w:rsidRDefault="0090491B" w:rsidP="0090491B">
      <w:pPr>
        <w:shd w:val="clear" w:color="auto" w:fill="FFFFFF"/>
        <w:ind w:left="851" w:right="902"/>
        <w:jc w:val="both"/>
        <w:rPr>
          <w:rFonts w:ascii="Palatino Linotype" w:hAnsi="Palatino Linotype" w:cs="Arial"/>
          <w:i/>
          <w:color w:val="222222"/>
        </w:rPr>
      </w:pPr>
      <w:r w:rsidRPr="00150B00">
        <w:rPr>
          <w:rFonts w:ascii="Palatino Linotype" w:hAnsi="Palatino Linotype" w:cs="Arial"/>
          <w:i/>
          <w:color w:val="222222"/>
        </w:rPr>
        <w:t>Resoluciones:</w:t>
      </w:r>
    </w:p>
    <w:p w14:paraId="2ACA66D6" w14:textId="77777777" w:rsidR="0090491B" w:rsidRPr="00150B00" w:rsidRDefault="0090491B" w:rsidP="0090491B">
      <w:pPr>
        <w:shd w:val="clear" w:color="auto" w:fill="FFFFFF"/>
        <w:ind w:left="851" w:right="902"/>
        <w:jc w:val="both"/>
        <w:rPr>
          <w:rFonts w:ascii="Palatino Linotype" w:hAnsi="Palatino Linotype" w:cs="Arial"/>
          <w:i/>
          <w:color w:val="222222"/>
        </w:rPr>
      </w:pPr>
      <w:r w:rsidRPr="00150B00">
        <w:rPr>
          <w:rFonts w:ascii="Palatino Linotype" w:hAnsi="Palatino Linotype" w:cs="Arial"/>
          <w:i/>
          <w:color w:val="222222"/>
        </w:rPr>
        <w:lastRenderedPageBreak/>
        <w:t>•</w:t>
      </w:r>
      <w:r w:rsidRPr="00150B00">
        <w:rPr>
          <w:rFonts w:ascii="Palatino Linotype" w:hAnsi="Palatino Linotype" w:cs="Arial"/>
          <w:i/>
          <w:color w:val="222222"/>
        </w:rPr>
        <w:tab/>
        <w:t>RRA 2959/16. Secretaría de Gobernación. 23 de noviembre de 2016. Por unanimidad. Comisionado Ponente Rosendoevgueni Monterrey Chepov.</w:t>
      </w:r>
    </w:p>
    <w:p w14:paraId="31D7EABF" w14:textId="77777777" w:rsidR="0090491B" w:rsidRPr="00150B00" w:rsidRDefault="0090491B" w:rsidP="0090491B">
      <w:pPr>
        <w:shd w:val="clear" w:color="auto" w:fill="FFFFFF"/>
        <w:ind w:left="851" w:right="902"/>
        <w:jc w:val="both"/>
        <w:rPr>
          <w:rFonts w:ascii="Palatino Linotype" w:hAnsi="Palatino Linotype" w:cs="Arial"/>
          <w:i/>
          <w:color w:val="222222"/>
        </w:rPr>
      </w:pPr>
      <w:r w:rsidRPr="00150B00">
        <w:rPr>
          <w:rFonts w:ascii="Palatino Linotype" w:hAnsi="Palatino Linotype" w:cs="Arial"/>
          <w:i/>
          <w:color w:val="222222"/>
        </w:rPr>
        <w:t>•</w:t>
      </w:r>
      <w:r w:rsidRPr="00150B00">
        <w:rPr>
          <w:rFonts w:ascii="Palatino Linotype" w:hAnsi="Palatino Linotype" w:cs="Arial"/>
          <w:i/>
          <w:color w:val="222222"/>
        </w:rPr>
        <w:tab/>
        <w:t>RRA 3186/16. Petróleos Mexicanos. 13 de diciembre de 2016. Por unanimidad. Comisionado Ponente Francisco Javier Acuña Llamas.</w:t>
      </w:r>
    </w:p>
    <w:p w14:paraId="5FBC94BF" w14:textId="0A6ADFB5" w:rsidR="003C76E9" w:rsidRPr="00150B00" w:rsidRDefault="0090491B" w:rsidP="0090491B">
      <w:pPr>
        <w:shd w:val="clear" w:color="auto" w:fill="FFFFFF"/>
        <w:ind w:left="851" w:right="902"/>
        <w:jc w:val="both"/>
        <w:rPr>
          <w:rFonts w:ascii="Palatino Linotype" w:hAnsi="Palatino Linotype"/>
        </w:rPr>
      </w:pPr>
      <w:r w:rsidRPr="00150B00">
        <w:rPr>
          <w:rFonts w:ascii="Palatino Linotype" w:hAnsi="Palatino Linotype" w:cs="Arial"/>
          <w:i/>
          <w:color w:val="222222"/>
        </w:rPr>
        <w:t>•</w:t>
      </w:r>
      <w:r w:rsidRPr="00150B00">
        <w:rPr>
          <w:rFonts w:ascii="Palatino Linotype" w:hAnsi="Palatino Linotype" w:cs="Arial"/>
          <w:i/>
          <w:color w:val="222222"/>
        </w:rPr>
        <w:tab/>
        <w:t>RRA 4216/16. Cámara de Diputados. 05 de enero de 2017. Por unanimidad. Comisionada Ponente Areli Cano Guadiana.”</w:t>
      </w:r>
    </w:p>
    <w:p w14:paraId="60A35906" w14:textId="77777777" w:rsidR="003C76E9" w:rsidRPr="00150B00" w:rsidRDefault="003C76E9" w:rsidP="0090491B">
      <w:pPr>
        <w:shd w:val="clear" w:color="auto" w:fill="FFFFFF"/>
        <w:ind w:left="851" w:right="902"/>
        <w:jc w:val="both"/>
        <w:rPr>
          <w:rFonts w:ascii="Palatino Linotype" w:hAnsi="Palatino Linotype" w:cs="Arial"/>
          <w:i/>
          <w:color w:val="222222"/>
        </w:rPr>
      </w:pPr>
    </w:p>
    <w:p w14:paraId="06850DD9" w14:textId="53CBD38A" w:rsidR="00E97DA6" w:rsidRPr="00150B00" w:rsidRDefault="003C76E9" w:rsidP="00E97DA6">
      <w:pPr>
        <w:shd w:val="clear" w:color="auto" w:fill="FFFFFF"/>
        <w:spacing w:line="360" w:lineRule="auto"/>
        <w:ind w:right="49"/>
        <w:jc w:val="both"/>
        <w:rPr>
          <w:rFonts w:ascii="Palatino Linotype" w:hAnsi="Palatino Linotype"/>
        </w:rPr>
      </w:pPr>
      <w:r w:rsidRPr="00150B00">
        <w:rPr>
          <w:rFonts w:ascii="Palatino Linotype" w:hAnsi="Palatino Linotype"/>
        </w:rPr>
        <w:t xml:space="preserve">Siguiendo con lo anterior, </w:t>
      </w:r>
      <w:r w:rsidR="00E97DA6" w:rsidRPr="00150B00">
        <w:rPr>
          <w:rFonts w:ascii="Palatino Linotype" w:hAnsi="Palatino Linotype"/>
        </w:rPr>
        <w:t>se estima que en el presente asunto no aplica el ordenar la declaratoria de inexistencia de la información, ya que si bien es atribución de los Comités de Transparencia el sesionar, la norma no determina por Ley que éstas se hagan en cada cierto tiempo, sino ello dependerá de las funciones, aunado a que se insiste, para el lapso del 1 al 20 de enero del año 2021, al no haberse sesionado conlleva a no generar actas.</w:t>
      </w:r>
    </w:p>
    <w:p w14:paraId="0293BEF3" w14:textId="77777777" w:rsidR="003C76E9" w:rsidRPr="00150B00" w:rsidRDefault="003C76E9" w:rsidP="00E97DA6">
      <w:pPr>
        <w:shd w:val="clear" w:color="auto" w:fill="FFFFFF"/>
        <w:ind w:right="902"/>
        <w:jc w:val="both"/>
        <w:rPr>
          <w:rFonts w:ascii="Palatino Linotype" w:hAnsi="Palatino Linotype"/>
        </w:rPr>
      </w:pPr>
    </w:p>
    <w:p w14:paraId="390FD937" w14:textId="54663E46" w:rsidR="0090491B" w:rsidRPr="00150B00" w:rsidRDefault="0090491B" w:rsidP="0090491B">
      <w:pPr>
        <w:autoSpaceDE w:val="0"/>
        <w:autoSpaceDN w:val="0"/>
        <w:adjustRightInd w:val="0"/>
        <w:spacing w:line="360" w:lineRule="auto"/>
        <w:ind w:right="49"/>
        <w:jc w:val="both"/>
        <w:rPr>
          <w:rFonts w:ascii="Palatino Linotype" w:hAnsi="Palatino Linotype" w:cs="Arial"/>
          <w:b/>
          <w:i/>
          <w:sz w:val="22"/>
          <w:szCs w:val="22"/>
          <w:lang w:val="es-ES"/>
        </w:rPr>
      </w:pPr>
      <w:r w:rsidRPr="00150B00">
        <w:rPr>
          <w:rFonts w:ascii="Palatino Linotype" w:hAnsi="Palatino Linotype" w:cs="Arial"/>
          <w:lang w:val="es-ES"/>
        </w:rPr>
        <w:t xml:space="preserve">En ese tenor, se resalta que la respuesta satisfizo </w:t>
      </w:r>
      <w:r w:rsidR="00AB3DF4" w:rsidRPr="00150B00">
        <w:rPr>
          <w:rFonts w:ascii="Palatino Linotype" w:hAnsi="Palatino Linotype" w:cs="Arial"/>
          <w:lang w:val="es-ES"/>
        </w:rPr>
        <w:t xml:space="preserve">las </w:t>
      </w:r>
      <w:r w:rsidR="003C76E9" w:rsidRPr="00150B00">
        <w:rPr>
          <w:rFonts w:ascii="Palatino Linotype" w:hAnsi="Palatino Linotype" w:cs="Arial"/>
          <w:lang w:val="es-ES"/>
        </w:rPr>
        <w:t>pretensiones</w:t>
      </w:r>
      <w:r w:rsidRPr="00150B00">
        <w:rPr>
          <w:rFonts w:ascii="Palatino Linotype" w:hAnsi="Palatino Linotype" w:cs="Arial"/>
          <w:lang w:val="es-ES"/>
        </w:rPr>
        <w:t xml:space="preserve"> del particular mismas que consistían</w:t>
      </w:r>
      <w:r w:rsidR="00AB3DF4" w:rsidRPr="00150B00">
        <w:rPr>
          <w:rFonts w:ascii="Palatino Linotype" w:hAnsi="Palatino Linotype" w:cs="Arial"/>
          <w:lang w:val="es-ES"/>
        </w:rPr>
        <w:t xml:space="preserve"> en conocer las actas emitidas por el Comité de Transparencia, desde el 01 de enero de 2019 al 20 de enero de 2021</w:t>
      </w:r>
      <w:r w:rsidRPr="00150B00">
        <w:rPr>
          <w:rFonts w:ascii="Palatino Linotype" w:hAnsi="Palatino Linotype"/>
          <w:bCs/>
          <w:lang w:val="es-ES"/>
        </w:rPr>
        <w:t>.</w:t>
      </w:r>
    </w:p>
    <w:p w14:paraId="300CE2DB" w14:textId="77777777" w:rsidR="0090491B" w:rsidRPr="00150B00" w:rsidRDefault="0090491B" w:rsidP="0090491B">
      <w:pPr>
        <w:jc w:val="both"/>
        <w:rPr>
          <w:rFonts w:ascii="Palatino Linotype" w:hAnsi="Palatino Linotype" w:cs="Arial"/>
          <w:bCs/>
          <w:szCs w:val="22"/>
          <w:lang w:val="es-ES"/>
        </w:rPr>
      </w:pPr>
    </w:p>
    <w:p w14:paraId="7967B728" w14:textId="77777777" w:rsidR="0090491B" w:rsidRPr="00150B00" w:rsidRDefault="0090491B" w:rsidP="0090491B">
      <w:pPr>
        <w:spacing w:line="360" w:lineRule="auto"/>
        <w:jc w:val="both"/>
        <w:rPr>
          <w:rFonts w:ascii="Palatino Linotype" w:hAnsi="Palatino Linotype" w:cs="Arial"/>
          <w:bCs/>
          <w:szCs w:val="22"/>
          <w:lang w:val="es-ES"/>
        </w:rPr>
      </w:pPr>
      <w:r w:rsidRPr="00150B00">
        <w:rPr>
          <w:rFonts w:ascii="Palatino Linotype" w:hAnsi="Palatino Linotype" w:cs="Arial"/>
          <w:bCs/>
          <w:szCs w:val="22"/>
          <w:lang w:val="es-ES"/>
        </w:rPr>
        <w:t xml:space="preserve">Aunado a lo anterior, es importante señalar que este Instituto considera que al haber existido un pronunciamiento por parte del </w:t>
      </w:r>
      <w:r w:rsidRPr="00150B00">
        <w:rPr>
          <w:rFonts w:ascii="Palatino Linotype" w:hAnsi="Palatino Linotype" w:cs="Arial"/>
          <w:b/>
          <w:bCs/>
          <w:szCs w:val="22"/>
          <w:lang w:val="es-ES"/>
        </w:rPr>
        <w:t>SUJETO OBLIGADO</w:t>
      </w:r>
      <w:r w:rsidRPr="00150B00">
        <w:rPr>
          <w:rFonts w:ascii="Palatino Linotype" w:hAnsi="Palatino Linotype" w:cs="Arial"/>
          <w:bCs/>
          <w:szCs w:val="22"/>
          <w:lang w:val="es-ES"/>
        </w:rPr>
        <w:t xml:space="preserve">, </w:t>
      </w:r>
      <w:r w:rsidRPr="00150B00">
        <w:rPr>
          <w:rFonts w:ascii="Palatino Linotype" w:hAnsi="Palatino Linotype"/>
        </w:rPr>
        <w:t>a fin de dar respuesta a la solicitud planteada,</w:t>
      </w:r>
      <w:r w:rsidRPr="00150B00">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1AEA844D" w14:textId="77777777" w:rsidR="0090491B" w:rsidRPr="00150B00" w:rsidRDefault="0090491B" w:rsidP="0090491B">
      <w:pPr>
        <w:spacing w:line="360" w:lineRule="auto"/>
        <w:jc w:val="both"/>
        <w:rPr>
          <w:rFonts w:ascii="Palatino Linotype" w:hAnsi="Palatino Linotype" w:cs="Arial"/>
          <w:bCs/>
          <w:sz w:val="16"/>
          <w:szCs w:val="16"/>
          <w:lang w:val="es-ES"/>
        </w:rPr>
      </w:pPr>
    </w:p>
    <w:p w14:paraId="31E240BC" w14:textId="77777777" w:rsidR="0090491B" w:rsidRPr="00150B00" w:rsidRDefault="0090491B" w:rsidP="0090491B">
      <w:pPr>
        <w:spacing w:line="360" w:lineRule="auto"/>
        <w:jc w:val="both"/>
        <w:rPr>
          <w:rFonts w:ascii="Palatino Linotype" w:hAnsi="Palatino Linotype" w:cs="Arial"/>
          <w:bCs/>
          <w:szCs w:val="22"/>
          <w:lang w:val="es-ES"/>
        </w:rPr>
      </w:pPr>
      <w:r w:rsidRPr="00150B00">
        <w:rPr>
          <w:rFonts w:ascii="Palatino Linotype" w:hAnsi="Palatino Linotype" w:cs="Arial"/>
          <w:bCs/>
          <w:szCs w:val="22"/>
          <w:lang w:val="es-ES"/>
        </w:rPr>
        <w:t xml:space="preserve">Sirve de apoyo a lo anterior, por analogía el criterio 31-10 emitido por el entonces Instituto Federal de Acceso a la Información ahora Instituto Nacional de </w:t>
      </w:r>
      <w:r w:rsidRPr="00150B00">
        <w:rPr>
          <w:rFonts w:ascii="Palatino Linotype" w:hAnsi="Palatino Linotype" w:cs="Arial"/>
          <w:bCs/>
          <w:szCs w:val="22"/>
          <w:lang w:val="es-ES"/>
        </w:rPr>
        <w:lastRenderedPageBreak/>
        <w:t>Transparencia, Acceso a la Información y Protección de Datos Personales (INAI) que a la letra dice:</w:t>
      </w:r>
    </w:p>
    <w:p w14:paraId="4FDA4011" w14:textId="77777777" w:rsidR="0090491B" w:rsidRPr="00150B00" w:rsidRDefault="0090491B" w:rsidP="0090491B">
      <w:pPr>
        <w:tabs>
          <w:tab w:val="left" w:pos="1140"/>
        </w:tabs>
        <w:jc w:val="both"/>
        <w:rPr>
          <w:rFonts w:ascii="Palatino Linotype" w:hAnsi="Palatino Linotype" w:cs="Arial"/>
          <w:bCs/>
          <w:szCs w:val="22"/>
          <w:lang w:val="es-ES"/>
        </w:rPr>
      </w:pPr>
      <w:r w:rsidRPr="00150B00">
        <w:rPr>
          <w:rFonts w:ascii="Palatino Linotype" w:hAnsi="Palatino Linotype" w:cs="Arial"/>
          <w:bCs/>
          <w:szCs w:val="22"/>
          <w:lang w:val="es-ES"/>
        </w:rPr>
        <w:tab/>
      </w:r>
    </w:p>
    <w:p w14:paraId="02D8A8DE" w14:textId="77777777" w:rsidR="0090491B" w:rsidRPr="00150B00" w:rsidRDefault="0090491B" w:rsidP="0090491B">
      <w:pPr>
        <w:tabs>
          <w:tab w:val="left" w:pos="709"/>
        </w:tabs>
        <w:ind w:left="851" w:right="899"/>
        <w:jc w:val="both"/>
        <w:rPr>
          <w:rFonts w:ascii="Palatino Linotype" w:hAnsi="Palatino Linotype" w:cs="Arial"/>
          <w:b/>
          <w:bCs/>
          <w:i/>
          <w:sz w:val="22"/>
          <w:szCs w:val="22"/>
          <w:lang w:val="es-ES"/>
        </w:rPr>
      </w:pPr>
      <w:r w:rsidRPr="00150B00">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150B00">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50B00">
        <w:rPr>
          <w:rFonts w:ascii="Palatino Linotype" w:hAnsi="Palatino Linotype" w:cs="Arial"/>
          <w:b/>
          <w:bCs/>
          <w:i/>
          <w:sz w:val="22"/>
          <w:szCs w:val="22"/>
          <w:lang w:val="es-ES"/>
        </w:rPr>
        <w:t>”</w:t>
      </w:r>
    </w:p>
    <w:p w14:paraId="4CD2F436" w14:textId="77777777" w:rsidR="0090491B" w:rsidRPr="00150B00" w:rsidRDefault="0090491B" w:rsidP="0090491B">
      <w:pPr>
        <w:tabs>
          <w:tab w:val="left" w:pos="1140"/>
        </w:tabs>
        <w:jc w:val="both"/>
        <w:rPr>
          <w:rFonts w:ascii="Palatino Linotype" w:hAnsi="Palatino Linotype" w:cs="Arial"/>
          <w:bCs/>
          <w:szCs w:val="22"/>
          <w:lang w:val="es-ES"/>
        </w:rPr>
      </w:pPr>
    </w:p>
    <w:p w14:paraId="53EF91DC" w14:textId="77777777" w:rsidR="0090491B" w:rsidRPr="00150B00" w:rsidRDefault="0090491B" w:rsidP="0090491B">
      <w:pPr>
        <w:spacing w:line="360" w:lineRule="auto"/>
        <w:jc w:val="both"/>
        <w:rPr>
          <w:rFonts w:ascii="Palatino Linotype" w:eastAsia="Arial Unicode MS" w:hAnsi="Palatino Linotype" w:cs="Arial"/>
          <w:lang w:val="es-ES"/>
        </w:rPr>
      </w:pPr>
    </w:p>
    <w:p w14:paraId="28BB9863" w14:textId="77777777" w:rsidR="0090491B" w:rsidRPr="00150B00" w:rsidRDefault="0090491B" w:rsidP="0090491B">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3FD1E448" w14:textId="0DE7F253" w:rsidR="0090491B" w:rsidRPr="00150B00" w:rsidRDefault="0090491B" w:rsidP="0090491B">
      <w:pPr>
        <w:spacing w:line="360" w:lineRule="auto"/>
        <w:jc w:val="both"/>
        <w:rPr>
          <w:rFonts w:ascii="Palatino Linotype" w:eastAsia="Calibri" w:hAnsi="Palatino Linotype"/>
          <w:b/>
          <w:lang w:val="es-ES"/>
        </w:rPr>
      </w:pPr>
      <w:r w:rsidRPr="00150B00">
        <w:rPr>
          <w:rFonts w:ascii="Palatino Linotype" w:eastAsia="Calibri" w:hAnsi="Palatino Linotype"/>
          <w:lang w:val="es-ES"/>
        </w:rPr>
        <w:t xml:space="preserve">Por lo anterior, se considera que las </w:t>
      </w:r>
      <w:r w:rsidRPr="00150B00">
        <w:rPr>
          <w:rFonts w:ascii="Palatino Linotype" w:hAnsi="Palatino Linotype" w:cs="Arial"/>
          <w:lang w:val="es-ES"/>
        </w:rPr>
        <w:t xml:space="preserve">razones o motivos de inconformidad planteadas por </w:t>
      </w:r>
      <w:r w:rsidRPr="00150B00">
        <w:rPr>
          <w:rFonts w:ascii="Palatino Linotype" w:hAnsi="Palatino Linotype" w:cs="Arial"/>
          <w:b/>
          <w:lang w:val="es-ES"/>
        </w:rPr>
        <w:t>EL RECURRENTE,</w:t>
      </w:r>
      <w:r w:rsidRPr="00150B00">
        <w:rPr>
          <w:rFonts w:ascii="Palatino Linotype" w:hAnsi="Palatino Linotype"/>
          <w:b/>
          <w:lang w:val="es-ES"/>
        </w:rPr>
        <w:t xml:space="preserve"> </w:t>
      </w:r>
      <w:r w:rsidRPr="00150B00">
        <w:rPr>
          <w:rFonts w:ascii="Palatino Linotype" w:hAnsi="Palatino Linotype" w:cs="Arial"/>
          <w:lang w:val="es-ES"/>
        </w:rPr>
        <w:t xml:space="preserve">resultan </w:t>
      </w:r>
      <w:r w:rsidRPr="00150B00">
        <w:rPr>
          <w:rFonts w:ascii="Palatino Linotype" w:hAnsi="Palatino Linotype" w:cs="Arial"/>
          <w:b/>
          <w:lang w:val="es-ES"/>
        </w:rPr>
        <w:t>infundadas</w:t>
      </w:r>
      <w:r w:rsidRPr="00150B00">
        <w:rPr>
          <w:rFonts w:ascii="Palatino Linotype" w:hAnsi="Palatino Linotype" w:cs="Arial"/>
          <w:lang w:val="es-ES"/>
        </w:rPr>
        <w:t>;</w:t>
      </w:r>
      <w:r w:rsidRPr="00150B00">
        <w:rPr>
          <w:rFonts w:ascii="Palatino Linotype" w:eastAsia="Calibri" w:hAnsi="Palatino Linotype"/>
          <w:lang w:val="es-ES"/>
        </w:rPr>
        <w:t xml:space="preserve"> en consecuencia, este Órgano Garante determina </w:t>
      </w:r>
      <w:r w:rsidRPr="00150B00">
        <w:rPr>
          <w:rFonts w:ascii="Palatino Linotype" w:eastAsia="Calibri" w:hAnsi="Palatino Linotype"/>
          <w:b/>
          <w:lang w:val="es-ES"/>
        </w:rPr>
        <w:t xml:space="preserve">CONFIRMAR </w:t>
      </w:r>
      <w:r w:rsidRPr="00150B00">
        <w:rPr>
          <w:rFonts w:ascii="Palatino Linotype" w:eastAsia="Calibri" w:hAnsi="Palatino Linotype"/>
          <w:lang w:val="es-ES"/>
        </w:rPr>
        <w:t xml:space="preserve">la respuesta otorgada por el </w:t>
      </w:r>
      <w:r w:rsidRPr="00150B00">
        <w:rPr>
          <w:rFonts w:ascii="Palatino Linotype" w:eastAsia="Calibri" w:hAnsi="Palatino Linotype"/>
          <w:b/>
          <w:lang w:val="es-ES"/>
        </w:rPr>
        <w:t xml:space="preserve">SUJETO OBLIGADO </w:t>
      </w:r>
      <w:r w:rsidRPr="00150B00">
        <w:rPr>
          <w:rFonts w:ascii="Palatino Linotype" w:eastAsia="Calibri" w:hAnsi="Palatino Linotype"/>
          <w:lang w:val="es-ES"/>
        </w:rPr>
        <w:t xml:space="preserve">en la solicitud </w:t>
      </w:r>
      <w:r w:rsidR="005B3AC0" w:rsidRPr="00150B00">
        <w:rPr>
          <w:rFonts w:ascii="Palatino Linotype" w:eastAsia="MS Mincho" w:hAnsi="Palatino Linotype" w:cs="Arial"/>
          <w:b/>
          <w:bCs/>
        </w:rPr>
        <w:t>00022/IXTASAL/IP/2021</w:t>
      </w:r>
      <w:r w:rsidRPr="00150B00">
        <w:rPr>
          <w:rFonts w:ascii="Palatino Linotype" w:eastAsia="Calibri" w:hAnsi="Palatino Linotype"/>
          <w:b/>
          <w:lang w:val="es-ES"/>
        </w:rPr>
        <w:t>.</w:t>
      </w:r>
    </w:p>
    <w:p w14:paraId="722F8195" w14:textId="77777777" w:rsidR="0090491B" w:rsidRPr="00150B00" w:rsidRDefault="0090491B" w:rsidP="0090491B">
      <w:pPr>
        <w:autoSpaceDE w:val="0"/>
        <w:autoSpaceDN w:val="0"/>
        <w:adjustRightInd w:val="0"/>
        <w:spacing w:line="360" w:lineRule="auto"/>
        <w:ind w:right="-91"/>
        <w:jc w:val="both"/>
        <w:rPr>
          <w:rFonts w:ascii="Palatino Linotype" w:eastAsia="Cambria" w:hAnsi="Palatino Linotype" w:cs="Arial"/>
          <w:color w:val="000000"/>
          <w:lang w:val="es-ES" w:eastAsia="en-US"/>
        </w:rPr>
      </w:pPr>
    </w:p>
    <w:p w14:paraId="238B32C2" w14:textId="77777777" w:rsidR="0090491B" w:rsidRPr="00150B00" w:rsidRDefault="0090491B" w:rsidP="0090491B">
      <w:pPr>
        <w:widowControl w:val="0"/>
        <w:autoSpaceDE w:val="0"/>
        <w:autoSpaceDN w:val="0"/>
        <w:adjustRightInd w:val="0"/>
        <w:spacing w:line="360" w:lineRule="auto"/>
        <w:jc w:val="both"/>
        <w:rPr>
          <w:rFonts w:ascii="Palatino Linotype" w:hAnsi="Palatino Linotype"/>
          <w:b/>
          <w:bCs/>
          <w:color w:val="000000" w:themeColor="text1"/>
          <w:spacing w:val="40"/>
          <w:sz w:val="28"/>
        </w:rPr>
      </w:pPr>
      <w:r w:rsidRPr="00150B00">
        <w:rPr>
          <w:rFonts w:ascii="Palatino Linotype" w:eastAsia="Calibri" w:hAnsi="Palatino Linotype" w:cs="Arial"/>
          <w:color w:val="000000" w:themeColor="text1"/>
        </w:rPr>
        <w:t xml:space="preserve">Así, con </w:t>
      </w:r>
      <w:r w:rsidRPr="00150B00">
        <w:rPr>
          <w:rFonts w:ascii="Palatino Linotype" w:hAnsi="Palatino Linotype" w:cs="Arial"/>
          <w:color w:val="000000" w:themeColor="text1"/>
        </w:rPr>
        <w:t>fundamento</w:t>
      </w:r>
      <w:r w:rsidRPr="00150B00">
        <w:rPr>
          <w:rFonts w:ascii="Palatino Linotype" w:eastAsia="Calibri" w:hAnsi="Palatino Linotype" w:cs="Arial"/>
          <w:color w:val="000000" w:themeColor="text1"/>
        </w:rPr>
        <w:t xml:space="preserve"> en lo prescrito en los artículos 5, párrafos </w:t>
      </w:r>
      <w:r w:rsidRPr="00150B00">
        <w:rPr>
          <w:rFonts w:ascii="Palatino Linotype" w:hAnsi="Palatino Linotype"/>
          <w:color w:val="000000" w:themeColor="text1"/>
        </w:rPr>
        <w:t>vigésimo noveno, trigésimo y trigésimo primero,</w:t>
      </w:r>
      <w:r w:rsidRPr="00150B00">
        <w:rPr>
          <w:rFonts w:ascii="Palatino Linotype" w:eastAsia="Calibri" w:hAnsi="Palatino Linotype" w:cs="Arial"/>
          <w:color w:val="000000" w:themeColor="text1"/>
        </w:rPr>
        <w:t xml:space="preserve"> de la Constitución Política del Estado Libre y Soberano de </w:t>
      </w:r>
      <w:r w:rsidRPr="00150B00">
        <w:rPr>
          <w:rFonts w:ascii="Palatino Linotype" w:hAnsi="Palatino Linotype" w:cs="Arial"/>
          <w:color w:val="000000" w:themeColor="text1"/>
        </w:rPr>
        <w:t>México</w:t>
      </w:r>
      <w:r w:rsidRPr="00150B00">
        <w:rPr>
          <w:rFonts w:ascii="Palatino Linotype" w:eastAsia="Calibri" w:hAnsi="Palatino Linotype" w:cs="Arial"/>
          <w:color w:val="000000" w:themeColor="text1"/>
        </w:rPr>
        <w:t xml:space="preserve">, y los artículos </w:t>
      </w:r>
      <w:r w:rsidRPr="00150B00">
        <w:rPr>
          <w:rFonts w:ascii="Palatino Linotype" w:hAnsi="Palatino Linotype"/>
          <w:color w:val="000000" w:themeColor="text1"/>
        </w:rPr>
        <w:t xml:space="preserve">2, </w:t>
      </w:r>
      <w:r w:rsidRPr="00150B00">
        <w:rPr>
          <w:rFonts w:ascii="Palatino Linotype" w:hAnsi="Palatino Linotype" w:cs="Arial"/>
          <w:color w:val="000000" w:themeColor="text1"/>
        </w:rPr>
        <w:t>fracción</w:t>
      </w:r>
      <w:r w:rsidRPr="00150B00">
        <w:rPr>
          <w:rFonts w:ascii="Palatino Linotype" w:hAnsi="Palatino Linotype"/>
          <w:color w:val="000000" w:themeColor="text1"/>
        </w:rPr>
        <w:t xml:space="preserve"> II, 9, </w:t>
      </w:r>
      <w:r w:rsidRPr="00150B00">
        <w:rPr>
          <w:rFonts w:ascii="Palatino Linotype" w:hAnsi="Palatino Linotype" w:cs="Arial"/>
          <w:color w:val="000000" w:themeColor="text1"/>
        </w:rPr>
        <w:t>29</w:t>
      </w:r>
      <w:r w:rsidRPr="00150B00">
        <w:rPr>
          <w:rFonts w:ascii="Palatino Linotype" w:hAnsi="Palatino Linotype"/>
          <w:color w:val="000000" w:themeColor="text1"/>
        </w:rPr>
        <w:t>, 36, fracciones I y II, 176, 178, 179, 181, 185, fracción I, 186 y 188,</w:t>
      </w:r>
      <w:r w:rsidRPr="00150B00">
        <w:rPr>
          <w:rFonts w:ascii="Palatino Linotype" w:eastAsia="Calibri" w:hAnsi="Palatino Linotype" w:cs="Arial"/>
          <w:color w:val="000000" w:themeColor="text1"/>
        </w:rPr>
        <w:t xml:space="preserve"> de la Ley de Transparencia y Acceso a la Información Pública del Estado de México y </w:t>
      </w:r>
      <w:r w:rsidRPr="00150B00">
        <w:rPr>
          <w:rFonts w:ascii="Palatino Linotype" w:hAnsi="Palatino Linotype" w:cs="Arial"/>
          <w:color w:val="000000" w:themeColor="text1"/>
        </w:rPr>
        <w:t>Municipios</w:t>
      </w:r>
      <w:r w:rsidRPr="00150B00">
        <w:rPr>
          <w:rFonts w:ascii="Palatino Linotype" w:eastAsia="Calibri" w:hAnsi="Palatino Linotype" w:cs="Arial"/>
          <w:color w:val="000000" w:themeColor="text1"/>
        </w:rPr>
        <w:t xml:space="preserve">, </w:t>
      </w:r>
      <w:r w:rsidRPr="00150B00">
        <w:rPr>
          <w:rFonts w:ascii="Palatino Linotype" w:hAnsi="Palatino Linotype"/>
          <w:color w:val="000000" w:themeColor="text1"/>
        </w:rPr>
        <w:t>este</w:t>
      </w:r>
      <w:r w:rsidRPr="00150B00">
        <w:rPr>
          <w:rFonts w:ascii="Palatino Linotype" w:eastAsia="Calibri" w:hAnsi="Palatino Linotype" w:cs="Arial"/>
          <w:color w:val="000000" w:themeColor="text1"/>
        </w:rPr>
        <w:t xml:space="preserve"> Pleno:</w:t>
      </w:r>
    </w:p>
    <w:p w14:paraId="2E26F93F" w14:textId="77777777" w:rsidR="0090491B" w:rsidRPr="00150B00" w:rsidRDefault="0090491B" w:rsidP="0090491B">
      <w:pPr>
        <w:jc w:val="center"/>
        <w:rPr>
          <w:rFonts w:ascii="Palatino Linotype" w:hAnsi="Palatino Linotype"/>
          <w:b/>
          <w:bCs/>
          <w:color w:val="000000" w:themeColor="text1"/>
          <w:spacing w:val="40"/>
          <w:sz w:val="28"/>
        </w:rPr>
      </w:pPr>
    </w:p>
    <w:p w14:paraId="2834A547" w14:textId="77777777" w:rsidR="0090491B" w:rsidRPr="00150B00" w:rsidRDefault="0090491B" w:rsidP="0090491B">
      <w:pPr>
        <w:jc w:val="center"/>
        <w:rPr>
          <w:rFonts w:ascii="Palatino Linotype" w:hAnsi="Palatino Linotype"/>
          <w:b/>
          <w:bCs/>
          <w:color w:val="000000" w:themeColor="text1"/>
          <w:spacing w:val="40"/>
          <w:sz w:val="28"/>
        </w:rPr>
      </w:pPr>
      <w:r w:rsidRPr="00150B00">
        <w:rPr>
          <w:rFonts w:ascii="Palatino Linotype" w:hAnsi="Palatino Linotype"/>
          <w:b/>
          <w:bCs/>
          <w:color w:val="000000" w:themeColor="text1"/>
          <w:spacing w:val="40"/>
          <w:sz w:val="28"/>
        </w:rPr>
        <w:t>RESUELVE</w:t>
      </w:r>
    </w:p>
    <w:p w14:paraId="06B561E6" w14:textId="77777777" w:rsidR="0090491B" w:rsidRPr="00150B00" w:rsidRDefault="0090491B" w:rsidP="0090491B">
      <w:pPr>
        <w:jc w:val="center"/>
        <w:rPr>
          <w:rFonts w:ascii="Palatino Linotype" w:hAnsi="Palatino Linotype"/>
          <w:b/>
          <w:bCs/>
          <w:color w:val="000000" w:themeColor="text1"/>
          <w:spacing w:val="40"/>
          <w:sz w:val="28"/>
        </w:rPr>
      </w:pPr>
    </w:p>
    <w:p w14:paraId="77796481" w14:textId="77777777" w:rsidR="0090491B" w:rsidRPr="00150B00" w:rsidRDefault="0090491B" w:rsidP="0090491B">
      <w:pPr>
        <w:widowControl w:val="0"/>
        <w:autoSpaceDE w:val="0"/>
        <w:autoSpaceDN w:val="0"/>
        <w:adjustRightInd w:val="0"/>
        <w:spacing w:line="360" w:lineRule="auto"/>
        <w:jc w:val="both"/>
        <w:rPr>
          <w:rFonts w:ascii="Palatino Linotype" w:hAnsi="Palatino Linotype" w:cs="Arial"/>
          <w:color w:val="000000" w:themeColor="text1"/>
        </w:rPr>
      </w:pPr>
      <w:r w:rsidRPr="00150B00">
        <w:rPr>
          <w:rFonts w:ascii="Palatino Linotype" w:hAnsi="Palatino Linotype" w:cs="Arial"/>
          <w:b/>
          <w:color w:val="000000" w:themeColor="text1"/>
          <w:sz w:val="28"/>
          <w:szCs w:val="28"/>
        </w:rPr>
        <w:t>PRIMERO.</w:t>
      </w:r>
      <w:r w:rsidRPr="00150B00">
        <w:rPr>
          <w:rFonts w:ascii="Palatino Linotype" w:hAnsi="Palatino Linotype" w:cs="Arial"/>
          <w:color w:val="000000" w:themeColor="text1"/>
        </w:rPr>
        <w:t xml:space="preserve"> Resultan </w:t>
      </w:r>
      <w:r w:rsidRPr="00150B00">
        <w:rPr>
          <w:rFonts w:ascii="Palatino Linotype" w:hAnsi="Palatino Linotype" w:cs="Arial"/>
          <w:b/>
          <w:color w:val="000000" w:themeColor="text1"/>
        </w:rPr>
        <w:t xml:space="preserve">infundadas </w:t>
      </w:r>
      <w:r w:rsidRPr="00150B00">
        <w:rPr>
          <w:rFonts w:ascii="Palatino Linotype" w:hAnsi="Palatino Linotype" w:cs="Arial"/>
          <w:color w:val="000000" w:themeColor="text1"/>
        </w:rPr>
        <w:t xml:space="preserve">las razones o motivos de inconformidad planteadas por </w:t>
      </w:r>
      <w:r w:rsidRPr="00150B00">
        <w:rPr>
          <w:rFonts w:ascii="Palatino Linotype" w:hAnsi="Palatino Linotype" w:cs="Arial"/>
          <w:b/>
          <w:color w:val="000000" w:themeColor="text1"/>
          <w:lang w:eastAsia="es-MX"/>
        </w:rPr>
        <w:t>EL RECURRENTE</w:t>
      </w:r>
      <w:r w:rsidRPr="00150B00">
        <w:rPr>
          <w:rFonts w:ascii="Palatino Linotype" w:hAnsi="Palatino Linotype" w:cs="Arial"/>
          <w:color w:val="000000" w:themeColor="text1"/>
        </w:rPr>
        <w:t xml:space="preserve"> y analizadas en el Considerando </w:t>
      </w:r>
      <w:r w:rsidRPr="00150B00">
        <w:rPr>
          <w:rFonts w:ascii="Palatino Linotype" w:hAnsi="Palatino Linotype" w:cs="Arial"/>
          <w:b/>
          <w:color w:val="000000" w:themeColor="text1"/>
        </w:rPr>
        <w:t>QUINTO</w:t>
      </w:r>
      <w:r w:rsidRPr="00150B00">
        <w:rPr>
          <w:rFonts w:ascii="Palatino Linotype" w:hAnsi="Palatino Linotype" w:cs="Arial"/>
          <w:color w:val="000000" w:themeColor="text1"/>
        </w:rPr>
        <w:t xml:space="preserve"> de esta resolución.</w:t>
      </w:r>
    </w:p>
    <w:p w14:paraId="0711B2A9" w14:textId="77777777" w:rsidR="0090491B" w:rsidRPr="00150B00" w:rsidRDefault="0090491B" w:rsidP="0090491B">
      <w:pPr>
        <w:widowControl w:val="0"/>
        <w:autoSpaceDE w:val="0"/>
        <w:autoSpaceDN w:val="0"/>
        <w:adjustRightInd w:val="0"/>
        <w:spacing w:line="360" w:lineRule="auto"/>
        <w:jc w:val="both"/>
        <w:rPr>
          <w:rFonts w:ascii="Palatino Linotype" w:hAnsi="Palatino Linotype" w:cs="Arial"/>
          <w:color w:val="000000" w:themeColor="text1"/>
        </w:rPr>
      </w:pPr>
    </w:p>
    <w:p w14:paraId="4CFFB25E" w14:textId="6BA3883D" w:rsidR="0090491B" w:rsidRPr="00150B00" w:rsidRDefault="0090491B" w:rsidP="0090491B">
      <w:pPr>
        <w:spacing w:line="360" w:lineRule="auto"/>
        <w:jc w:val="both"/>
        <w:rPr>
          <w:rFonts w:ascii="Palatino Linotype" w:hAnsi="Palatino Linotype" w:cs="Arial"/>
          <w:color w:val="000000" w:themeColor="text1"/>
        </w:rPr>
      </w:pPr>
      <w:r w:rsidRPr="00150B00">
        <w:rPr>
          <w:rFonts w:ascii="Palatino Linotype" w:hAnsi="Palatino Linotype" w:cs="Arial"/>
          <w:b/>
          <w:color w:val="000000" w:themeColor="text1"/>
          <w:sz w:val="28"/>
          <w:szCs w:val="28"/>
        </w:rPr>
        <w:t>SEGUNDO.</w:t>
      </w:r>
      <w:r w:rsidRPr="00150B00">
        <w:rPr>
          <w:rFonts w:ascii="Palatino Linotype" w:hAnsi="Palatino Linotype" w:cs="Arial"/>
          <w:color w:val="000000" w:themeColor="text1"/>
        </w:rPr>
        <w:t xml:space="preserve"> Se </w:t>
      </w:r>
      <w:r w:rsidRPr="00150B00">
        <w:rPr>
          <w:rFonts w:ascii="Palatino Linotype" w:hAnsi="Palatino Linotype" w:cs="Arial"/>
          <w:b/>
          <w:color w:val="000000" w:themeColor="text1"/>
        </w:rPr>
        <w:t>CONFIRMA</w:t>
      </w:r>
      <w:r w:rsidRPr="00150B00">
        <w:rPr>
          <w:rFonts w:ascii="Palatino Linotype" w:hAnsi="Palatino Linotype" w:cs="Arial"/>
          <w:color w:val="000000" w:themeColor="text1"/>
        </w:rPr>
        <w:t xml:space="preserve"> la respuesta otorgada por </w:t>
      </w:r>
      <w:r w:rsidRPr="00150B00">
        <w:rPr>
          <w:rFonts w:ascii="Palatino Linotype" w:hAnsi="Palatino Linotype" w:cs="Arial"/>
          <w:b/>
          <w:color w:val="000000" w:themeColor="text1"/>
        </w:rPr>
        <w:t xml:space="preserve">EL SUJETO OBLIGADO </w:t>
      </w:r>
      <w:r w:rsidRPr="00150B00">
        <w:rPr>
          <w:rFonts w:ascii="Palatino Linotype" w:hAnsi="Palatino Linotype" w:cs="Arial"/>
          <w:color w:val="000000" w:themeColor="text1"/>
        </w:rPr>
        <w:t>a la</w:t>
      </w:r>
      <w:r w:rsidRPr="00150B00">
        <w:rPr>
          <w:rFonts w:ascii="Palatino Linotype" w:hAnsi="Palatino Linotype" w:cs="Arial"/>
          <w:b/>
          <w:color w:val="000000" w:themeColor="text1"/>
        </w:rPr>
        <w:t xml:space="preserve"> </w:t>
      </w:r>
      <w:r w:rsidRPr="00150B00">
        <w:rPr>
          <w:rFonts w:ascii="Palatino Linotype" w:hAnsi="Palatino Linotype" w:cs="Arial"/>
          <w:color w:val="000000" w:themeColor="text1"/>
        </w:rPr>
        <w:t xml:space="preserve">solicitud de información </w:t>
      </w:r>
      <w:r w:rsidR="005B3AC0" w:rsidRPr="00150B00">
        <w:rPr>
          <w:rFonts w:ascii="Palatino Linotype" w:eastAsia="MS Mincho" w:hAnsi="Palatino Linotype" w:cs="Arial"/>
          <w:b/>
          <w:bCs/>
        </w:rPr>
        <w:t>00022/IXTASAL/IP/2021</w:t>
      </w:r>
      <w:r w:rsidRPr="00150B00">
        <w:rPr>
          <w:rFonts w:ascii="Palatino Linotype" w:hAnsi="Palatino Linotype" w:cs="Arial"/>
          <w:color w:val="000000" w:themeColor="text1"/>
        </w:rPr>
        <w:t>.</w:t>
      </w:r>
    </w:p>
    <w:p w14:paraId="086AAA1A" w14:textId="77777777" w:rsidR="0090491B" w:rsidRPr="00150B00" w:rsidRDefault="0090491B" w:rsidP="0090491B">
      <w:pPr>
        <w:spacing w:line="360" w:lineRule="auto"/>
        <w:jc w:val="both"/>
        <w:rPr>
          <w:rFonts w:ascii="Palatino Linotype" w:hAnsi="Palatino Linotype" w:cs="Arial"/>
          <w:color w:val="000000" w:themeColor="text1"/>
        </w:rPr>
      </w:pPr>
    </w:p>
    <w:p w14:paraId="7F0C54C6" w14:textId="77777777" w:rsidR="0090491B" w:rsidRPr="00150B00" w:rsidRDefault="0090491B" w:rsidP="0090491B">
      <w:pPr>
        <w:widowControl w:val="0"/>
        <w:autoSpaceDE w:val="0"/>
        <w:autoSpaceDN w:val="0"/>
        <w:adjustRightInd w:val="0"/>
        <w:spacing w:line="360" w:lineRule="auto"/>
        <w:jc w:val="both"/>
        <w:rPr>
          <w:rFonts w:ascii="Palatino Linotype" w:hAnsi="Palatino Linotype" w:cs="Arial"/>
          <w:b/>
          <w:color w:val="000000" w:themeColor="text1"/>
        </w:rPr>
      </w:pPr>
      <w:r w:rsidRPr="00150B00">
        <w:rPr>
          <w:rFonts w:ascii="Palatino Linotype" w:hAnsi="Palatino Linotype" w:cs="Arial"/>
          <w:b/>
          <w:color w:val="000000" w:themeColor="text1"/>
          <w:sz w:val="28"/>
          <w:szCs w:val="28"/>
        </w:rPr>
        <w:t xml:space="preserve">TERCERO. </w:t>
      </w:r>
      <w:r w:rsidRPr="00150B00">
        <w:rPr>
          <w:rFonts w:ascii="Palatino Linotype" w:hAnsi="Palatino Linotype" w:cs="Arial"/>
          <w:b/>
          <w:color w:val="000000" w:themeColor="text1"/>
        </w:rPr>
        <w:t xml:space="preserve">Notifíquese </w:t>
      </w:r>
      <w:r w:rsidRPr="00150B00">
        <w:rPr>
          <w:rFonts w:ascii="Palatino Linotype" w:hAnsi="Palatino Linotype" w:cs="Arial"/>
          <w:color w:val="000000" w:themeColor="text1"/>
        </w:rPr>
        <w:t xml:space="preserve">la presente resolución al Titular de la Unidad de Transparencia del </w:t>
      </w:r>
      <w:r w:rsidRPr="00150B00">
        <w:rPr>
          <w:rFonts w:ascii="Palatino Linotype" w:hAnsi="Palatino Linotype" w:cs="Arial"/>
          <w:b/>
          <w:color w:val="000000" w:themeColor="text1"/>
        </w:rPr>
        <w:t>SUJETO OBLIGADO</w:t>
      </w:r>
      <w:r w:rsidRPr="00150B00">
        <w:rPr>
          <w:rFonts w:ascii="Palatino Linotype" w:hAnsi="Palatino Linotype" w:cs="Arial"/>
          <w:color w:val="000000" w:themeColor="text1"/>
        </w:rPr>
        <w:t xml:space="preserve"> para su conocimiento</w:t>
      </w:r>
      <w:r w:rsidRPr="00150B00">
        <w:rPr>
          <w:rFonts w:ascii="Palatino Linotype" w:hAnsi="Palatino Linotype" w:cs="Arial"/>
          <w:b/>
          <w:color w:val="000000" w:themeColor="text1"/>
        </w:rPr>
        <w:t>.</w:t>
      </w:r>
    </w:p>
    <w:p w14:paraId="171D2C04" w14:textId="77777777" w:rsidR="0090491B" w:rsidRPr="00150B00" w:rsidRDefault="0090491B" w:rsidP="0090491B">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552E4123" w14:textId="77777777" w:rsidR="0090491B" w:rsidRPr="00150B00" w:rsidRDefault="0090491B" w:rsidP="0090491B">
      <w:pPr>
        <w:spacing w:line="360" w:lineRule="auto"/>
        <w:jc w:val="both"/>
        <w:rPr>
          <w:rFonts w:ascii="Palatino Linotype" w:hAnsi="Palatino Linotype"/>
          <w:color w:val="000000" w:themeColor="text1"/>
        </w:rPr>
      </w:pPr>
      <w:r w:rsidRPr="00150B00">
        <w:rPr>
          <w:rFonts w:ascii="Palatino Linotype" w:hAnsi="Palatino Linotype" w:cs="Arial"/>
          <w:b/>
          <w:color w:val="000000" w:themeColor="text1"/>
          <w:sz w:val="28"/>
          <w:szCs w:val="28"/>
        </w:rPr>
        <w:t>CUARTO.</w:t>
      </w:r>
      <w:r w:rsidRPr="00150B00">
        <w:rPr>
          <w:rFonts w:ascii="Palatino Linotype" w:hAnsi="Palatino Linotype"/>
          <w:b/>
          <w:color w:val="000000" w:themeColor="text1"/>
          <w:szCs w:val="17"/>
          <w:lang w:eastAsia="es-ES_tradnl"/>
        </w:rPr>
        <w:t xml:space="preserve"> Notifíquese</w:t>
      </w:r>
      <w:r w:rsidRPr="00150B00">
        <w:rPr>
          <w:rFonts w:ascii="Palatino Linotype" w:hAnsi="Palatino Linotype"/>
          <w:color w:val="000000" w:themeColor="text1"/>
          <w:szCs w:val="17"/>
          <w:lang w:eastAsia="es-ES_tradnl"/>
        </w:rPr>
        <w:t xml:space="preserve"> al </w:t>
      </w:r>
      <w:r w:rsidRPr="00150B00">
        <w:rPr>
          <w:rFonts w:ascii="Palatino Linotype" w:hAnsi="Palatino Linotype"/>
          <w:b/>
          <w:color w:val="000000" w:themeColor="text1"/>
          <w:szCs w:val="17"/>
          <w:lang w:eastAsia="es-ES_tradnl"/>
        </w:rPr>
        <w:t>RECURRENTE</w:t>
      </w:r>
      <w:r w:rsidRPr="00150B00">
        <w:rPr>
          <w:rFonts w:ascii="Palatino Linotype" w:hAnsi="Palatino Linotype"/>
          <w:color w:val="000000" w:themeColor="text1"/>
          <w:szCs w:val="17"/>
          <w:lang w:eastAsia="es-ES_tradnl"/>
        </w:rPr>
        <w:t xml:space="preserve"> la presente resolución.</w:t>
      </w:r>
    </w:p>
    <w:p w14:paraId="6A85B195" w14:textId="77777777" w:rsidR="0090491B" w:rsidRPr="00150B00" w:rsidRDefault="0090491B" w:rsidP="0090491B">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1425F001" w14:textId="7CBAF00C" w:rsidR="00CC44CC" w:rsidRPr="00150B00" w:rsidRDefault="0090491B" w:rsidP="005B3AC0">
      <w:pPr>
        <w:pStyle w:val="Prrafodelista"/>
        <w:widowControl w:val="0"/>
        <w:autoSpaceDE w:val="0"/>
        <w:autoSpaceDN w:val="0"/>
        <w:adjustRightInd w:val="0"/>
        <w:spacing w:line="360" w:lineRule="auto"/>
        <w:ind w:left="0"/>
        <w:contextualSpacing/>
        <w:jc w:val="both"/>
        <w:rPr>
          <w:rFonts w:ascii="Palatino Linotype" w:hAnsi="Palatino Linotype" w:cs="Arial"/>
          <w:szCs w:val="28"/>
        </w:rPr>
      </w:pPr>
      <w:r w:rsidRPr="00150B00">
        <w:rPr>
          <w:rFonts w:ascii="Palatino Linotype" w:hAnsi="Palatino Linotype" w:cs="Arial"/>
          <w:b/>
          <w:color w:val="000000" w:themeColor="text1"/>
          <w:sz w:val="28"/>
          <w:szCs w:val="28"/>
        </w:rPr>
        <w:t xml:space="preserve">QUINTO. </w:t>
      </w:r>
      <w:r w:rsidRPr="00150B00">
        <w:rPr>
          <w:rFonts w:ascii="Palatino Linotype" w:hAnsi="Palatino Linotype"/>
          <w:b/>
          <w:color w:val="000000" w:themeColor="text1"/>
          <w:szCs w:val="17"/>
          <w:lang w:eastAsia="es-ES_tradnl"/>
        </w:rPr>
        <w:t>Hágase del conocimiento</w:t>
      </w:r>
      <w:r w:rsidRPr="00150B00">
        <w:rPr>
          <w:rFonts w:ascii="Palatino Linotype" w:hAnsi="Palatino Linotype"/>
          <w:color w:val="000000" w:themeColor="text1"/>
          <w:szCs w:val="17"/>
          <w:lang w:eastAsia="es-ES_tradnl"/>
        </w:rPr>
        <w:t xml:space="preserve"> del </w:t>
      </w:r>
      <w:r w:rsidRPr="00150B00">
        <w:rPr>
          <w:rFonts w:ascii="Palatino Linotype" w:hAnsi="Palatino Linotype"/>
          <w:b/>
          <w:color w:val="000000" w:themeColor="text1"/>
          <w:szCs w:val="17"/>
          <w:lang w:eastAsia="es-ES_tradnl"/>
        </w:rPr>
        <w:t>RECURRENTE</w:t>
      </w:r>
      <w:r w:rsidRPr="00150B00">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B0683C9" w14:textId="77777777" w:rsidR="00EC69A8" w:rsidRPr="00150B00" w:rsidRDefault="00EC69A8" w:rsidP="00771842">
      <w:pPr>
        <w:spacing w:line="360" w:lineRule="auto"/>
        <w:jc w:val="both"/>
        <w:rPr>
          <w:rFonts w:ascii="Palatino Linotype" w:eastAsia="Calibri" w:hAnsi="Palatino Linotype" w:cs="Arial"/>
          <w:lang w:val="es-ES"/>
        </w:rPr>
      </w:pPr>
    </w:p>
    <w:p w14:paraId="42730DA1" w14:textId="0F1CACC9" w:rsidR="00200BFC" w:rsidRPr="00150B00" w:rsidRDefault="00200BFC" w:rsidP="00200BFC">
      <w:pPr>
        <w:spacing w:line="360" w:lineRule="auto"/>
        <w:jc w:val="both"/>
        <w:rPr>
          <w:rFonts w:ascii="Palatino Linotype" w:hAnsi="Palatino Linotype" w:cs="Arial"/>
        </w:rPr>
      </w:pPr>
      <w:r w:rsidRPr="00150B00">
        <w:rPr>
          <w:rFonts w:ascii="Palatino Linotype" w:hAnsi="Palatino Linotype" w:cs="Arial"/>
        </w:rPr>
        <w:t xml:space="preserve">ASÍ LO RESUELVE, POR </w:t>
      </w:r>
      <w:r w:rsidR="00150B00">
        <w:rPr>
          <w:rFonts w:ascii="Palatino Linotype" w:hAnsi="Palatino Linotype" w:cs="Arial"/>
        </w:rPr>
        <w:t xml:space="preserve">UNANIMIDAD </w:t>
      </w:r>
      <w:r w:rsidRPr="00150B00">
        <w:rPr>
          <w:rFonts w:ascii="Palatino Linotype" w:hAnsi="Palatino Linotype" w:cs="Arial"/>
        </w:rPr>
        <w:t>DE VOTOS EL PLENO DEL</w:t>
      </w:r>
      <w:r w:rsidRPr="00150B00">
        <w:rPr>
          <w:rFonts w:ascii="Palatino Linotype" w:eastAsia="Arial Unicode MS" w:hAnsi="Palatino Linotype" w:cs="Arial"/>
        </w:rPr>
        <w:t xml:space="preserve"> INSTITUTO DE </w:t>
      </w:r>
      <w:r w:rsidRPr="00150B00">
        <w:rPr>
          <w:rFonts w:ascii="Palatino Linotype" w:hAnsi="Palatino Linotype"/>
          <w:lang w:eastAsia="en-US"/>
        </w:rPr>
        <w:t>TRANSPARENCIA</w:t>
      </w:r>
      <w:r w:rsidRPr="00150B00">
        <w:rPr>
          <w:rFonts w:ascii="Palatino Linotype" w:eastAsia="Arial Unicode MS" w:hAnsi="Palatino Linotype" w:cs="Arial"/>
        </w:rPr>
        <w:t>, ACCESO A LA INFORMACIÓN PÚBLICA Y PROTECCIÓN DE DATOS PERSONALES DEL ESTADO DE MÉXICO Y MUNICIPIOS</w:t>
      </w:r>
      <w:r w:rsidRPr="00150B00">
        <w:rPr>
          <w:rFonts w:ascii="Palatino Linotype" w:hAnsi="Palatino Linotype" w:cs="Arial"/>
        </w:rPr>
        <w:t xml:space="preserve">, </w:t>
      </w:r>
      <w:r w:rsidRPr="00150B00">
        <w:rPr>
          <w:rFonts w:ascii="Palatino Linotype" w:hAnsi="Palatino Linotype" w:cs="Arial"/>
        </w:rPr>
        <w:lastRenderedPageBreak/>
        <w:t xml:space="preserve">CONFORMADO POR LOS COMISIONADOS ZULEMA MARTÍNEZ SÁNCHEZ; EVA ABAID YAPUR; JOSÉ GUADALUPE LUNA HERNÁNDEZ, JAVIER MARTÍNEZ CRUZ Y LUIS GUSTAVO PARRA NORIEGA; </w:t>
      </w:r>
      <w:r w:rsidRPr="00150B00">
        <w:rPr>
          <w:rFonts w:ascii="Palatino Linotype" w:hAnsi="Palatino Linotype" w:cs="Arial"/>
          <w:shd w:val="clear" w:color="auto" w:fill="FFFFFF" w:themeFill="background1"/>
        </w:rPr>
        <w:t xml:space="preserve">EN </w:t>
      </w:r>
      <w:r w:rsidR="005C25EA" w:rsidRPr="00150B00">
        <w:rPr>
          <w:rFonts w:ascii="Palatino Linotype" w:hAnsi="Palatino Linotype" w:cs="Arial"/>
          <w:shd w:val="clear" w:color="auto" w:fill="FFFFFF" w:themeFill="background1"/>
        </w:rPr>
        <w:t xml:space="preserve">LA </w:t>
      </w:r>
      <w:r w:rsidR="00150B00">
        <w:rPr>
          <w:rFonts w:ascii="Palatino Linotype" w:hAnsi="Palatino Linotype" w:cs="Arial"/>
        </w:rPr>
        <w:t>DÉ</w:t>
      </w:r>
      <w:r w:rsidR="00FA17B9" w:rsidRPr="00150B00">
        <w:rPr>
          <w:rFonts w:ascii="Palatino Linotype" w:hAnsi="Palatino Linotype" w:cs="Arial"/>
        </w:rPr>
        <w:t>CIMA</w:t>
      </w:r>
      <w:r w:rsidR="00150B00">
        <w:rPr>
          <w:rFonts w:ascii="Palatino Linotype" w:hAnsi="Palatino Linotype" w:cs="Arial"/>
        </w:rPr>
        <w:t xml:space="preserve"> SESIÓ</w:t>
      </w:r>
      <w:r w:rsidR="00081337" w:rsidRPr="00150B00">
        <w:rPr>
          <w:rFonts w:ascii="Palatino Linotype" w:hAnsi="Palatino Linotype" w:cs="Arial"/>
        </w:rPr>
        <w:t>N</w:t>
      </w:r>
      <w:r w:rsidR="00BA3809" w:rsidRPr="00150B00">
        <w:rPr>
          <w:rFonts w:ascii="Palatino Linotype" w:hAnsi="Palatino Linotype" w:cs="Arial"/>
        </w:rPr>
        <w:t xml:space="preserve"> </w:t>
      </w:r>
      <w:r w:rsidRPr="00150B00">
        <w:rPr>
          <w:rFonts w:ascii="Palatino Linotype" w:hAnsi="Palatino Linotype" w:cs="Arial"/>
        </w:rPr>
        <w:t xml:space="preserve">ORDINARIA CELEBRADA EL </w:t>
      </w:r>
      <w:r w:rsidR="00FA17B9" w:rsidRPr="00150B00">
        <w:rPr>
          <w:rFonts w:ascii="Palatino Linotype" w:hAnsi="Palatino Linotype" w:cs="Arial"/>
        </w:rPr>
        <w:t>VEINTICUATRO</w:t>
      </w:r>
      <w:r w:rsidR="005C25EA" w:rsidRPr="00150B00">
        <w:rPr>
          <w:rFonts w:ascii="Palatino Linotype" w:hAnsi="Palatino Linotype" w:cs="Arial"/>
        </w:rPr>
        <w:t xml:space="preserve"> DE </w:t>
      </w:r>
      <w:r w:rsidR="00081337" w:rsidRPr="00150B00">
        <w:rPr>
          <w:rFonts w:ascii="Palatino Linotype" w:hAnsi="Palatino Linotype" w:cs="Arial"/>
        </w:rPr>
        <w:t>MARZO</w:t>
      </w:r>
      <w:r w:rsidR="005C25EA" w:rsidRPr="00150B00">
        <w:rPr>
          <w:rFonts w:ascii="Palatino Linotype" w:hAnsi="Palatino Linotype" w:cs="Arial"/>
        </w:rPr>
        <w:t xml:space="preserve"> </w:t>
      </w:r>
      <w:r w:rsidRPr="00150B00">
        <w:rPr>
          <w:rFonts w:ascii="Palatino Linotype" w:hAnsi="Palatino Linotype" w:cs="Arial"/>
        </w:rPr>
        <w:t>DE DOS MIL VEINT</w:t>
      </w:r>
      <w:r w:rsidR="001C08BA" w:rsidRPr="00150B00">
        <w:rPr>
          <w:rFonts w:ascii="Palatino Linotype" w:hAnsi="Palatino Linotype" w:cs="Arial"/>
        </w:rPr>
        <w:t>IUNO</w:t>
      </w:r>
      <w:r w:rsidRPr="00150B00">
        <w:rPr>
          <w:rFonts w:ascii="Palatino Linotype" w:hAnsi="Palatino Linotype" w:cs="Arial"/>
        </w:rPr>
        <w:t xml:space="preserve">, ANTE EL SECRETARIO TÉCNICO DEL PLENO, </w:t>
      </w:r>
      <w:r w:rsidRPr="00150B00">
        <w:rPr>
          <w:rFonts w:ascii="Palatino Linotype" w:eastAsia="Arial Unicode MS" w:hAnsi="Palatino Linotype" w:cs="Arial"/>
        </w:rPr>
        <w:t>ALEXIS</w:t>
      </w:r>
      <w:r w:rsidRPr="00150B00">
        <w:rPr>
          <w:rFonts w:ascii="Palatino Linotype" w:hAnsi="Palatino Linotype" w:cs="Arial"/>
        </w:rPr>
        <w:t xml:space="preserve"> TAPIA RAMÍREZ.</w:t>
      </w:r>
    </w:p>
    <w:p w14:paraId="568434C7" w14:textId="2A97E842" w:rsidR="003969B9" w:rsidRDefault="00200BFC" w:rsidP="00BB17AB">
      <w:pPr>
        <w:jc w:val="both"/>
        <w:rPr>
          <w:rFonts w:ascii="Palatino Linotype" w:hAnsi="Palatino Linotype" w:cs="Arial"/>
          <w:sz w:val="14"/>
          <w:szCs w:val="14"/>
        </w:rPr>
      </w:pPr>
      <w:r w:rsidRPr="00150B00">
        <w:rPr>
          <w:rFonts w:ascii="Palatino Linotype" w:hAnsi="Palatino Linotype" w:cs="Arial"/>
          <w:sz w:val="14"/>
          <w:szCs w:val="14"/>
        </w:rPr>
        <w:t>YSM/</w:t>
      </w:r>
      <w:r w:rsidR="003874E5" w:rsidRPr="00150B00">
        <w:rPr>
          <w:rFonts w:ascii="Palatino Linotype" w:hAnsi="Palatino Linotype" w:cs="Arial"/>
          <w:sz w:val="14"/>
          <w:szCs w:val="14"/>
        </w:rPr>
        <w:t>ATU</w:t>
      </w:r>
      <w:r w:rsidR="00DE00DF" w:rsidRPr="00150B00">
        <w:rPr>
          <w:rFonts w:ascii="Palatino Linotype" w:hAnsi="Palatino Linotype" w:cs="Arial"/>
          <w:sz w:val="14"/>
          <w:szCs w:val="14"/>
        </w:rPr>
        <w:t>/</w:t>
      </w:r>
      <w:r w:rsidR="00C86B63" w:rsidRPr="00150B00">
        <w:rPr>
          <w:rFonts w:ascii="Palatino Linotype" w:hAnsi="Palatino Linotype" w:cs="Arial"/>
          <w:sz w:val="14"/>
          <w:szCs w:val="14"/>
        </w:rPr>
        <w:t>CCC</w:t>
      </w:r>
      <w:r w:rsidR="005B3AC0" w:rsidRPr="00150B00">
        <w:rPr>
          <w:rFonts w:ascii="Palatino Linotype" w:hAnsi="Palatino Linotype" w:cs="Arial"/>
          <w:sz w:val="14"/>
          <w:szCs w:val="14"/>
        </w:rPr>
        <w:t>/EJCA</w:t>
      </w:r>
    </w:p>
    <w:p w14:paraId="7B6C9EDB" w14:textId="77777777" w:rsidR="003969B9" w:rsidRDefault="003969B9">
      <w:pPr>
        <w:rPr>
          <w:rFonts w:ascii="Palatino Linotype" w:hAnsi="Palatino Linotype" w:cs="Arial"/>
          <w:sz w:val="14"/>
          <w:szCs w:val="14"/>
        </w:rPr>
      </w:pPr>
      <w:r>
        <w:rPr>
          <w:rFonts w:ascii="Palatino Linotype" w:hAnsi="Palatino Linotype" w:cs="Arial"/>
          <w:sz w:val="14"/>
          <w:szCs w:val="14"/>
        </w:rPr>
        <w:br w:type="page"/>
      </w:r>
    </w:p>
    <w:p w14:paraId="5137A18E" w14:textId="77777777" w:rsidR="00C34EFF" w:rsidRPr="003969B9" w:rsidRDefault="00C34EFF" w:rsidP="00BB17AB">
      <w:pPr>
        <w:jc w:val="both"/>
        <w:rPr>
          <w:rFonts w:ascii="Palatino Linotype" w:hAnsi="Palatino Linotype" w:cs="Arial"/>
          <w:sz w:val="14"/>
          <w:szCs w:val="14"/>
        </w:rPr>
      </w:pPr>
    </w:p>
    <w:p w14:paraId="275ED07F" w14:textId="7B716875" w:rsidR="003874E5" w:rsidRDefault="003874E5" w:rsidP="00BB17AB">
      <w:pPr>
        <w:jc w:val="both"/>
        <w:rPr>
          <w:rFonts w:ascii="Palatino Linotype" w:hAnsi="Palatino Linotype" w:cs="Arial"/>
        </w:rPr>
      </w:pPr>
    </w:p>
    <w:p w14:paraId="48C145EB" w14:textId="34C59861" w:rsidR="003874E5" w:rsidRDefault="003874E5" w:rsidP="00BB17AB">
      <w:pPr>
        <w:jc w:val="both"/>
        <w:rPr>
          <w:rFonts w:ascii="Palatino Linotype" w:hAnsi="Palatino Linotype"/>
        </w:rPr>
      </w:pPr>
    </w:p>
    <w:p w14:paraId="1B73A2B9" w14:textId="3E3652BF" w:rsidR="00B97505" w:rsidRDefault="00B97505" w:rsidP="00BB17AB">
      <w:pPr>
        <w:jc w:val="both"/>
        <w:rPr>
          <w:rFonts w:ascii="Palatino Linotype" w:hAnsi="Palatino Linotype"/>
        </w:rPr>
      </w:pPr>
    </w:p>
    <w:p w14:paraId="4511446D" w14:textId="427AD7AC" w:rsidR="00B97505" w:rsidRDefault="00B97505" w:rsidP="00BB17AB">
      <w:pPr>
        <w:jc w:val="both"/>
        <w:rPr>
          <w:rFonts w:ascii="Palatino Linotype" w:hAnsi="Palatino Linotype"/>
        </w:rPr>
      </w:pPr>
    </w:p>
    <w:p w14:paraId="7DB0C5A9" w14:textId="019BDEFB" w:rsidR="00B97505" w:rsidRDefault="00B97505" w:rsidP="00BB17AB">
      <w:pPr>
        <w:jc w:val="both"/>
        <w:rPr>
          <w:rFonts w:ascii="Palatino Linotype" w:hAnsi="Palatino Linotype"/>
        </w:rPr>
      </w:pPr>
    </w:p>
    <w:p w14:paraId="53C5FCF4" w14:textId="6D85F834" w:rsidR="00B97505" w:rsidRDefault="00B97505" w:rsidP="00BB17AB">
      <w:pPr>
        <w:jc w:val="both"/>
        <w:rPr>
          <w:rFonts w:ascii="Palatino Linotype" w:hAnsi="Palatino Linotype"/>
        </w:rPr>
      </w:pPr>
    </w:p>
    <w:p w14:paraId="478FC6D8" w14:textId="71CC324B" w:rsidR="00B97505" w:rsidRDefault="00B97505" w:rsidP="00BB17AB">
      <w:pPr>
        <w:jc w:val="both"/>
        <w:rPr>
          <w:rFonts w:ascii="Palatino Linotype" w:hAnsi="Palatino Linotype"/>
        </w:rPr>
      </w:pPr>
    </w:p>
    <w:p w14:paraId="41B261AE" w14:textId="735A228E" w:rsidR="00B97505" w:rsidRDefault="00B97505" w:rsidP="00BB17AB">
      <w:pPr>
        <w:jc w:val="both"/>
        <w:rPr>
          <w:rFonts w:ascii="Palatino Linotype" w:hAnsi="Palatino Linotype"/>
        </w:rPr>
      </w:pPr>
    </w:p>
    <w:p w14:paraId="63EC9353" w14:textId="05DCCD2B" w:rsidR="00B97505" w:rsidRDefault="00B97505" w:rsidP="00BB17AB">
      <w:pPr>
        <w:jc w:val="both"/>
        <w:rPr>
          <w:rFonts w:ascii="Palatino Linotype" w:hAnsi="Palatino Linotype"/>
        </w:rPr>
      </w:pPr>
    </w:p>
    <w:p w14:paraId="02B7A153" w14:textId="59B49131" w:rsidR="00B97505" w:rsidRDefault="00B97505" w:rsidP="00BB17AB">
      <w:pPr>
        <w:jc w:val="both"/>
        <w:rPr>
          <w:rFonts w:ascii="Palatino Linotype" w:hAnsi="Palatino Linotype"/>
        </w:rPr>
      </w:pPr>
    </w:p>
    <w:p w14:paraId="7F32ECCD" w14:textId="5FB369CF" w:rsidR="00B97505" w:rsidRDefault="00B97505" w:rsidP="00BB17AB">
      <w:pPr>
        <w:jc w:val="both"/>
        <w:rPr>
          <w:rFonts w:ascii="Palatino Linotype" w:hAnsi="Palatino Linotype"/>
        </w:rPr>
      </w:pPr>
    </w:p>
    <w:p w14:paraId="00EF156D" w14:textId="6F15A74C" w:rsidR="00B97505" w:rsidRDefault="00B97505" w:rsidP="00BB17AB">
      <w:pPr>
        <w:jc w:val="both"/>
        <w:rPr>
          <w:rFonts w:ascii="Palatino Linotype" w:hAnsi="Palatino Linotype"/>
        </w:rPr>
      </w:pPr>
    </w:p>
    <w:p w14:paraId="2CC0115D" w14:textId="5F66DA73" w:rsidR="00B97505" w:rsidRDefault="00B97505" w:rsidP="00BB17AB">
      <w:pPr>
        <w:jc w:val="both"/>
        <w:rPr>
          <w:rFonts w:ascii="Palatino Linotype" w:hAnsi="Palatino Linotype"/>
        </w:rPr>
      </w:pPr>
    </w:p>
    <w:p w14:paraId="07D75A6D" w14:textId="6BB4C99B" w:rsidR="00B97505" w:rsidRDefault="00B97505" w:rsidP="00BB17AB">
      <w:pPr>
        <w:jc w:val="both"/>
        <w:rPr>
          <w:rFonts w:ascii="Palatino Linotype" w:hAnsi="Palatino Linotype"/>
        </w:rPr>
      </w:pPr>
    </w:p>
    <w:p w14:paraId="11A7407D" w14:textId="5861B494" w:rsidR="00B97505" w:rsidRDefault="00B97505" w:rsidP="00BB17AB">
      <w:pPr>
        <w:jc w:val="both"/>
        <w:rPr>
          <w:rFonts w:ascii="Palatino Linotype" w:hAnsi="Palatino Linotype"/>
        </w:rPr>
      </w:pPr>
    </w:p>
    <w:p w14:paraId="3759824F" w14:textId="7FE8E3CB" w:rsidR="00B97505" w:rsidRDefault="00B97505" w:rsidP="00BB17AB">
      <w:pPr>
        <w:jc w:val="both"/>
        <w:rPr>
          <w:rFonts w:ascii="Palatino Linotype" w:hAnsi="Palatino Linotype"/>
        </w:rPr>
      </w:pPr>
    </w:p>
    <w:p w14:paraId="2477CD72" w14:textId="23115B11" w:rsidR="00B97505" w:rsidRDefault="00B97505" w:rsidP="00BB17AB">
      <w:pPr>
        <w:jc w:val="both"/>
        <w:rPr>
          <w:rFonts w:ascii="Palatino Linotype" w:hAnsi="Palatino Linotype"/>
        </w:rPr>
      </w:pPr>
    </w:p>
    <w:p w14:paraId="6BDF6E0B" w14:textId="77777777" w:rsidR="00B97505" w:rsidRPr="002C6DE8" w:rsidRDefault="00B97505" w:rsidP="00BB17AB">
      <w:pPr>
        <w:jc w:val="both"/>
        <w:rPr>
          <w:rFonts w:ascii="Palatino Linotype" w:hAnsi="Palatino Linotype"/>
        </w:rPr>
      </w:pPr>
    </w:p>
    <w:sectPr w:rsidR="00B97505" w:rsidRPr="002C6DE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8ED4E" w14:textId="77777777" w:rsidR="009C5630" w:rsidRDefault="009C5630" w:rsidP="00C80F8C">
      <w:r>
        <w:separator/>
      </w:r>
    </w:p>
  </w:endnote>
  <w:endnote w:type="continuationSeparator" w:id="0">
    <w:p w14:paraId="0822D582" w14:textId="77777777" w:rsidR="009C5630" w:rsidRDefault="009C563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altName w:val="Book Antiqua"/>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4708E" w14:textId="54F0F11A"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7522">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7522">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87D5B" w14:textId="4138D6B0"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8752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87522">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5F03D" w14:textId="77777777" w:rsidR="009C5630" w:rsidRDefault="009C5630" w:rsidP="00C80F8C">
      <w:r>
        <w:separator/>
      </w:r>
    </w:p>
  </w:footnote>
  <w:footnote w:type="continuationSeparator" w:id="0">
    <w:p w14:paraId="142FD044" w14:textId="77777777" w:rsidR="009C5630" w:rsidRDefault="009C5630"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B900" w14:textId="424AEA1D" w:rsidR="00CC44CC" w:rsidRDefault="00E1304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C575" w14:textId="6D323160" w:rsidR="00CC44CC" w:rsidRPr="0010196A" w:rsidRDefault="00E1304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17CC5B1" w:rsidR="00CC44CC" w:rsidRPr="00664658" w:rsidRDefault="00CC44CC" w:rsidP="00C34EFF">
          <w:pPr>
            <w:jc w:val="both"/>
            <w:rPr>
              <w:rFonts w:ascii="Palatino Linotype" w:hAnsi="Palatino Linotype"/>
              <w:b/>
              <w:sz w:val="22"/>
              <w:szCs w:val="22"/>
              <w:lang w:val="es-ES_tradnl"/>
            </w:rPr>
          </w:pPr>
          <w:r>
            <w:rPr>
              <w:rFonts w:ascii="Palatino Linotype" w:hAnsi="Palatino Linotype"/>
              <w:b/>
              <w:bCs/>
              <w:sz w:val="22"/>
              <w:szCs w:val="22"/>
            </w:rPr>
            <w:t>00302</w:t>
          </w:r>
          <w:r w:rsidRPr="00674E6B">
            <w:rPr>
              <w:rFonts w:ascii="Palatino Linotype" w:hAnsi="Palatino Linotype"/>
              <w:b/>
              <w:bCs/>
              <w:sz w:val="22"/>
              <w:szCs w:val="22"/>
            </w:rPr>
            <w:t>/INFOEM/IP/RR/2021</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27EA674" w:rsidR="00CC44CC" w:rsidRPr="00D41D47" w:rsidRDefault="00CC44CC" w:rsidP="00200BFC">
          <w:pPr>
            <w:jc w:val="both"/>
            <w:rPr>
              <w:rFonts w:ascii="Palatino Linotype" w:hAnsi="Palatino Linotype"/>
              <w:b/>
              <w:sz w:val="22"/>
              <w:szCs w:val="22"/>
              <w:lang w:val="es-ES_tradnl"/>
            </w:rPr>
          </w:pPr>
          <w:bookmarkStart w:id="5" w:name="_Hlk66905104"/>
          <w:r w:rsidRPr="0074343D">
            <w:rPr>
              <w:rFonts w:ascii="Palatino Linotype" w:hAnsi="Palatino Linotype"/>
              <w:b/>
              <w:bCs/>
              <w:sz w:val="22"/>
              <w:szCs w:val="22"/>
            </w:rPr>
            <w:t>Ayuntamiento de Ixtapan de la Sal</w:t>
          </w:r>
          <w:bookmarkEnd w:id="5"/>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CC44CC" w:rsidRPr="00664658" w:rsidRDefault="00CC44CC"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E5BC5" w14:textId="0DEDC0D2" w:rsidR="00CC44CC" w:rsidRPr="0010196A" w:rsidRDefault="00E1304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22CD50B" w:rsidR="00CC44CC" w:rsidRPr="008F2CCC" w:rsidRDefault="00CC44CC" w:rsidP="00C34EFF">
          <w:pPr>
            <w:jc w:val="both"/>
            <w:rPr>
              <w:rFonts w:ascii="Palatino Linotype" w:hAnsi="Palatino Linotype"/>
              <w:b/>
              <w:sz w:val="22"/>
              <w:szCs w:val="22"/>
              <w:lang w:val="es-ES_tradnl"/>
            </w:rPr>
          </w:pPr>
          <w:r>
            <w:rPr>
              <w:rFonts w:ascii="Palatino Linotype" w:hAnsi="Palatino Linotype"/>
              <w:b/>
              <w:bCs/>
              <w:sz w:val="22"/>
              <w:szCs w:val="22"/>
            </w:rPr>
            <w:t>00302</w:t>
          </w:r>
          <w:r w:rsidRPr="000A27E2">
            <w:rPr>
              <w:rFonts w:ascii="Palatino Linotype" w:hAnsi="Palatino Linotype"/>
              <w:b/>
              <w:bCs/>
              <w:sz w:val="22"/>
              <w:szCs w:val="22"/>
            </w:rPr>
            <w:t>/INFOEM/IP/RR/202</w:t>
          </w:r>
          <w:r>
            <w:rPr>
              <w:rFonts w:ascii="Palatino Linotype" w:hAnsi="Palatino Linotype"/>
              <w:b/>
              <w:bCs/>
              <w:sz w:val="22"/>
              <w:szCs w:val="22"/>
            </w:rPr>
            <w:t>1</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5A11A93" w:rsidR="00CC44CC" w:rsidRPr="008F2CCC" w:rsidRDefault="00E13041" w:rsidP="00200BFC">
          <w:pPr>
            <w:jc w:val="both"/>
            <w:rPr>
              <w:rFonts w:ascii="Palatino Linotype" w:hAnsi="Palatino Linotype"/>
              <w:b/>
              <w:sz w:val="22"/>
              <w:szCs w:val="22"/>
              <w:lang w:val="es-ES_tradnl"/>
            </w:rPr>
          </w:pPr>
          <w:proofErr w:type="spellStart"/>
          <w:r>
            <w:rPr>
              <w:rFonts w:ascii="Palatino Linotype" w:hAnsi="Palatino Linotype"/>
              <w:b/>
              <w:bCs/>
              <w:sz w:val="22"/>
              <w:szCs w:val="22"/>
            </w:rPr>
            <w:t>xxxx</w:t>
          </w:r>
          <w:proofErr w:type="spellEnd"/>
          <w:r w:rsidR="00CC44CC" w:rsidRPr="0074343D">
            <w:rPr>
              <w:rFonts w:ascii="Palatino Linotype" w:hAnsi="Palatino Linotype"/>
              <w:b/>
              <w:bCs/>
              <w:sz w:val="22"/>
              <w:szCs w:val="22"/>
            </w:rPr>
            <w:t xml:space="preserve"> </w:t>
          </w:r>
          <w:proofErr w:type="spellStart"/>
          <w:r>
            <w:rPr>
              <w:rFonts w:ascii="Palatino Linotype" w:hAnsi="Palatino Linotype"/>
              <w:b/>
              <w:bCs/>
              <w:sz w:val="22"/>
              <w:szCs w:val="22"/>
            </w:rPr>
            <w:t>xxxxxxx</w:t>
          </w:r>
          <w:proofErr w:type="spellEnd"/>
          <w:r w:rsidR="00CC44CC" w:rsidRPr="0074343D">
            <w:rPr>
              <w:rFonts w:ascii="Palatino Linotype" w:hAnsi="Palatino Linotype"/>
              <w:b/>
              <w:bCs/>
              <w:sz w:val="22"/>
              <w:szCs w:val="22"/>
            </w:rPr>
            <w:t xml:space="preserve"> </w:t>
          </w:r>
          <w:proofErr w:type="spellStart"/>
          <w:r>
            <w:rPr>
              <w:rFonts w:ascii="Palatino Linotype" w:hAnsi="Palatino Linotype"/>
              <w:b/>
              <w:bCs/>
              <w:sz w:val="22"/>
              <w:szCs w:val="22"/>
            </w:rPr>
            <w:t>xxxxxxx</w:t>
          </w:r>
          <w:proofErr w:type="spellEnd"/>
        </w:p>
      </w:tc>
    </w:tr>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A55A165" w:rsidR="00CC44CC" w:rsidRPr="00DC41C8" w:rsidRDefault="00CC44CC" w:rsidP="00200BFC">
          <w:pPr>
            <w:jc w:val="both"/>
            <w:rPr>
              <w:rFonts w:ascii="Palatino Linotype" w:hAnsi="Palatino Linotype"/>
              <w:b/>
              <w:sz w:val="22"/>
              <w:szCs w:val="22"/>
            </w:rPr>
          </w:pPr>
          <w:r w:rsidRPr="0074343D">
            <w:rPr>
              <w:rFonts w:ascii="Palatino Linotype" w:hAnsi="Palatino Linotype"/>
              <w:b/>
              <w:bCs/>
              <w:sz w:val="22"/>
              <w:szCs w:val="22"/>
            </w:rPr>
            <w:t>Ayuntamiento de Ixtapan de la Sal</w:t>
          </w:r>
        </w:p>
      </w:tc>
    </w:tr>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CC44CC" w:rsidRPr="008F2CCC" w:rsidRDefault="00CC44CC"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0"/>
  </w:num>
  <w:num w:numId="3">
    <w:abstractNumId w:val="3"/>
  </w:num>
  <w:num w:numId="4">
    <w:abstractNumId w:val="10"/>
  </w:num>
  <w:num w:numId="5">
    <w:abstractNumId w:val="12"/>
  </w:num>
  <w:num w:numId="6">
    <w:abstractNumId w:val="8"/>
  </w:num>
  <w:num w:numId="7">
    <w:abstractNumId w:val="9"/>
  </w:num>
  <w:num w:numId="8">
    <w:abstractNumId w:val="1"/>
  </w:num>
  <w:num w:numId="9">
    <w:abstractNumId w:val="6"/>
  </w:num>
  <w:num w:numId="10">
    <w:abstractNumId w:val="11"/>
  </w:num>
  <w:num w:numId="11">
    <w:abstractNumId w:val="5"/>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9C1"/>
    <w:rsid w:val="00077AC1"/>
    <w:rsid w:val="00077B79"/>
    <w:rsid w:val="00077BB8"/>
    <w:rsid w:val="00077BC0"/>
    <w:rsid w:val="0008043B"/>
    <w:rsid w:val="00081337"/>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588"/>
    <w:rsid w:val="00111746"/>
    <w:rsid w:val="00111DBB"/>
    <w:rsid w:val="00111F07"/>
    <w:rsid w:val="00112988"/>
    <w:rsid w:val="00113015"/>
    <w:rsid w:val="001131FD"/>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8C4"/>
    <w:rsid w:val="00146D8A"/>
    <w:rsid w:val="001471C8"/>
    <w:rsid w:val="0014732A"/>
    <w:rsid w:val="00147FCE"/>
    <w:rsid w:val="00150B00"/>
    <w:rsid w:val="00150B44"/>
    <w:rsid w:val="00150BAE"/>
    <w:rsid w:val="00150CF7"/>
    <w:rsid w:val="00151C8C"/>
    <w:rsid w:val="00151EC2"/>
    <w:rsid w:val="001528A8"/>
    <w:rsid w:val="00152D76"/>
    <w:rsid w:val="00152FDC"/>
    <w:rsid w:val="00153435"/>
    <w:rsid w:val="0015349A"/>
    <w:rsid w:val="00153D84"/>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B6F"/>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E59"/>
    <w:rsid w:val="00275FC6"/>
    <w:rsid w:val="002766F9"/>
    <w:rsid w:val="00277316"/>
    <w:rsid w:val="00277453"/>
    <w:rsid w:val="00277DD9"/>
    <w:rsid w:val="0028019C"/>
    <w:rsid w:val="002814A1"/>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7AD"/>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628"/>
    <w:rsid w:val="00364BC7"/>
    <w:rsid w:val="00365921"/>
    <w:rsid w:val="00365DB3"/>
    <w:rsid w:val="00366317"/>
    <w:rsid w:val="003663F5"/>
    <w:rsid w:val="00366DDB"/>
    <w:rsid w:val="00367536"/>
    <w:rsid w:val="0036781E"/>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4E5"/>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5CEB"/>
    <w:rsid w:val="003B7AA0"/>
    <w:rsid w:val="003C0396"/>
    <w:rsid w:val="003C04E5"/>
    <w:rsid w:val="003C0544"/>
    <w:rsid w:val="003C0560"/>
    <w:rsid w:val="003C0C03"/>
    <w:rsid w:val="003C0C4B"/>
    <w:rsid w:val="003C0F0A"/>
    <w:rsid w:val="003C20B9"/>
    <w:rsid w:val="003C22CD"/>
    <w:rsid w:val="003C2568"/>
    <w:rsid w:val="003C3640"/>
    <w:rsid w:val="003C3ACE"/>
    <w:rsid w:val="003C3D09"/>
    <w:rsid w:val="003C492A"/>
    <w:rsid w:val="003C4A66"/>
    <w:rsid w:val="003C549A"/>
    <w:rsid w:val="003C582F"/>
    <w:rsid w:val="003C5AD5"/>
    <w:rsid w:val="003C5BE8"/>
    <w:rsid w:val="003C5FA2"/>
    <w:rsid w:val="003C653B"/>
    <w:rsid w:val="003C65F0"/>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ACD"/>
    <w:rsid w:val="00410E81"/>
    <w:rsid w:val="00410F42"/>
    <w:rsid w:val="00410F5E"/>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50388"/>
    <w:rsid w:val="0045098B"/>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56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C2E"/>
    <w:rsid w:val="0054716E"/>
    <w:rsid w:val="0054754C"/>
    <w:rsid w:val="00547BC3"/>
    <w:rsid w:val="00547D0B"/>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D72"/>
    <w:rsid w:val="0057305F"/>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442E"/>
    <w:rsid w:val="005B6571"/>
    <w:rsid w:val="005B6AFF"/>
    <w:rsid w:val="005B6C71"/>
    <w:rsid w:val="005B70A2"/>
    <w:rsid w:val="005B7AD1"/>
    <w:rsid w:val="005C0DCA"/>
    <w:rsid w:val="005C1FEE"/>
    <w:rsid w:val="005C21E7"/>
    <w:rsid w:val="005C23B7"/>
    <w:rsid w:val="005C25EA"/>
    <w:rsid w:val="005C267D"/>
    <w:rsid w:val="005C295E"/>
    <w:rsid w:val="005C2995"/>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AA0"/>
    <w:rsid w:val="00601150"/>
    <w:rsid w:val="006011C5"/>
    <w:rsid w:val="00601329"/>
    <w:rsid w:val="006017E2"/>
    <w:rsid w:val="00601AC5"/>
    <w:rsid w:val="00602A6F"/>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741"/>
    <w:rsid w:val="00706383"/>
    <w:rsid w:val="007066E2"/>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F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F27"/>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CF"/>
    <w:rsid w:val="008C6296"/>
    <w:rsid w:val="008C64BD"/>
    <w:rsid w:val="008C737C"/>
    <w:rsid w:val="008C7579"/>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BC1"/>
    <w:rsid w:val="009B5F7F"/>
    <w:rsid w:val="009B756F"/>
    <w:rsid w:val="009B7C7B"/>
    <w:rsid w:val="009C0DF7"/>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48F"/>
    <w:rsid w:val="00A00B3D"/>
    <w:rsid w:val="00A00E64"/>
    <w:rsid w:val="00A01032"/>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2FD"/>
    <w:rsid w:val="00B17371"/>
    <w:rsid w:val="00B1748C"/>
    <w:rsid w:val="00B17BDF"/>
    <w:rsid w:val="00B20602"/>
    <w:rsid w:val="00B20BC5"/>
    <w:rsid w:val="00B21ADE"/>
    <w:rsid w:val="00B2226C"/>
    <w:rsid w:val="00B2247C"/>
    <w:rsid w:val="00B2286E"/>
    <w:rsid w:val="00B23010"/>
    <w:rsid w:val="00B240D0"/>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67A6"/>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522"/>
    <w:rsid w:val="00C87924"/>
    <w:rsid w:val="00C9040D"/>
    <w:rsid w:val="00C90C6E"/>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320A"/>
    <w:rsid w:val="00D034AE"/>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041"/>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509C"/>
    <w:rsid w:val="00EC5301"/>
    <w:rsid w:val="00EC5CA8"/>
    <w:rsid w:val="00EC64B5"/>
    <w:rsid w:val="00EC685F"/>
    <w:rsid w:val="00EC69A8"/>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AB7"/>
    <w:rsid w:val="00EE68E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5E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179D3752-CD6C-4CD2-BF0B-1AE7A36C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IXTAPANDELASAL/art_92_xliii_b.web"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AAFB-11FC-6A44-B69A-BD22DCBB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4162</Words>
  <Characters>22893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Corral Cruz</cp:lastModifiedBy>
  <cp:revision>4</cp:revision>
  <cp:lastPrinted>2021-03-25T02:21:00Z</cp:lastPrinted>
  <dcterms:created xsi:type="dcterms:W3CDTF">2021-03-25T02:21:00Z</dcterms:created>
  <dcterms:modified xsi:type="dcterms:W3CDTF">2021-04-08T03:24:00Z</dcterms:modified>
</cp:coreProperties>
</file>