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6DC" w:rsidRPr="001552CC" w:rsidRDefault="009F16DC" w:rsidP="001552CC">
      <w:pPr>
        <w:spacing w:line="360" w:lineRule="auto"/>
        <w:jc w:val="both"/>
        <w:rPr>
          <w:rFonts w:ascii="Palatino Linotype" w:hAnsi="Palatino Linotype"/>
          <w:lang w:val="es-ES_tradnl" w:eastAsia="es-ES"/>
        </w:rPr>
      </w:pPr>
    </w:p>
    <w:p w:rsidR="009F16DC" w:rsidRPr="001552CC" w:rsidRDefault="009F16DC" w:rsidP="001552CC">
      <w:pPr>
        <w:spacing w:line="360" w:lineRule="auto"/>
        <w:jc w:val="both"/>
        <w:rPr>
          <w:rFonts w:ascii="Palatino Linotype" w:eastAsiaTheme="minorEastAsia" w:hAnsi="Palatino Linotype"/>
          <w:lang w:val="es-ES_tradnl" w:eastAsia="es-ES"/>
        </w:rPr>
      </w:pPr>
      <w:r w:rsidRPr="001552CC">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ED2948" w:rsidRPr="001552CC">
        <w:rPr>
          <w:rFonts w:ascii="Palatino Linotype" w:eastAsiaTheme="minorEastAsia" w:hAnsi="Palatino Linotype"/>
          <w:lang w:val="es-ES_tradnl" w:eastAsia="es-ES"/>
        </w:rPr>
        <w:t>diez (10) de noviembre</w:t>
      </w:r>
      <w:r w:rsidRPr="001552CC">
        <w:rPr>
          <w:rFonts w:ascii="Palatino Linotype" w:eastAsiaTheme="minorEastAsia" w:hAnsi="Palatino Linotype"/>
          <w:lang w:val="es-ES_tradnl" w:eastAsia="es-ES"/>
        </w:rPr>
        <w:t xml:space="preserve">  de dos mil veintiuno.</w:t>
      </w:r>
    </w:p>
    <w:p w:rsidR="009F16DC" w:rsidRPr="001552CC" w:rsidRDefault="009F16DC" w:rsidP="001552CC">
      <w:pPr>
        <w:spacing w:line="360" w:lineRule="auto"/>
        <w:jc w:val="both"/>
        <w:rPr>
          <w:rFonts w:ascii="Palatino Linotype" w:eastAsiaTheme="minorEastAsia" w:hAnsi="Palatino Linotype"/>
          <w:lang w:val="es-ES_tradnl" w:eastAsia="es-ES"/>
        </w:rPr>
      </w:pPr>
    </w:p>
    <w:p w:rsidR="009F16DC" w:rsidRPr="001552CC" w:rsidRDefault="009F16DC" w:rsidP="001552CC">
      <w:pPr>
        <w:spacing w:line="360" w:lineRule="auto"/>
        <w:jc w:val="both"/>
        <w:rPr>
          <w:rFonts w:ascii="Palatino Linotype" w:hAnsi="Palatino Linotype"/>
        </w:rPr>
      </w:pPr>
      <w:r w:rsidRPr="001552CC">
        <w:rPr>
          <w:rFonts w:ascii="Palatino Linotype" w:hAnsi="Palatino Linotype"/>
          <w:b/>
        </w:rPr>
        <w:t>VISTO</w:t>
      </w:r>
      <w:r w:rsidRPr="001552CC">
        <w:rPr>
          <w:rFonts w:ascii="Palatino Linotype" w:hAnsi="Palatino Linotype"/>
        </w:rPr>
        <w:t xml:space="preserve"> el expediente electrónico formado con motivo del recurso de revisión </w:t>
      </w:r>
      <w:r w:rsidR="00ED2948" w:rsidRPr="001552CC">
        <w:rPr>
          <w:rFonts w:ascii="Palatino Linotype" w:hAnsi="Palatino Linotype"/>
          <w:b/>
        </w:rPr>
        <w:t>04583</w:t>
      </w:r>
      <w:r w:rsidRPr="001552CC">
        <w:rPr>
          <w:rFonts w:ascii="Palatino Linotype" w:hAnsi="Palatino Linotype"/>
          <w:b/>
        </w:rPr>
        <w:t>/INFOEM/IP/RR/2021,</w:t>
      </w:r>
      <w:r w:rsidRPr="001552CC">
        <w:rPr>
          <w:rFonts w:ascii="Palatino Linotype" w:hAnsi="Palatino Linotype" w:cs="Arial"/>
          <w:b/>
          <w:bCs/>
        </w:rPr>
        <w:t xml:space="preserve"> </w:t>
      </w:r>
      <w:r w:rsidRPr="001552CC">
        <w:rPr>
          <w:rFonts w:ascii="Palatino Linotype" w:eastAsiaTheme="minorEastAsia" w:hAnsi="Palatino Linotype"/>
          <w:lang w:val="es-ES_tradnl" w:eastAsia="es-ES"/>
        </w:rPr>
        <w:t xml:space="preserve">promovido </w:t>
      </w:r>
      <w:r w:rsidR="00063E59">
        <w:rPr>
          <w:rFonts w:ascii="Palatino Linotype" w:eastAsiaTheme="minorEastAsia" w:hAnsi="Palatino Linotype"/>
          <w:b/>
          <w:lang w:val="es-ES" w:eastAsia="es-ES"/>
        </w:rPr>
        <w:t>marcos XXXXXXXXXXXXXX</w:t>
      </w:r>
      <w:r w:rsidRPr="001552CC">
        <w:rPr>
          <w:rFonts w:ascii="Palatino Linotype" w:hAnsi="Palatino Linotype"/>
        </w:rPr>
        <w:t xml:space="preserve">, quien en lo sucesivo se identificará como </w:t>
      </w:r>
      <w:r w:rsidRPr="001552CC">
        <w:rPr>
          <w:rFonts w:ascii="Palatino Linotype" w:hAnsi="Palatino Linotype"/>
          <w:b/>
        </w:rPr>
        <w:t xml:space="preserve">EL </w:t>
      </w:r>
      <w:r w:rsidRPr="001552CC">
        <w:rPr>
          <w:rFonts w:ascii="Palatino Linotype" w:hAnsi="Palatino Linotype" w:cs="Arial"/>
          <w:b/>
        </w:rPr>
        <w:t>RECURRENTE</w:t>
      </w:r>
      <w:r w:rsidRPr="001552CC">
        <w:rPr>
          <w:rFonts w:ascii="Palatino Linotype" w:hAnsi="Palatino Linotype" w:cs="Arial"/>
        </w:rPr>
        <w:t>, en contra de la respuesta de</w:t>
      </w:r>
      <w:r w:rsidR="00ED2948" w:rsidRPr="001552CC">
        <w:rPr>
          <w:rFonts w:ascii="Palatino Linotype" w:hAnsi="Palatino Linotype" w:cs="Arial"/>
        </w:rPr>
        <w:t xml:space="preserve"> </w:t>
      </w:r>
      <w:r w:rsidRPr="001552CC">
        <w:rPr>
          <w:rFonts w:ascii="Palatino Linotype" w:hAnsi="Palatino Linotype" w:cs="Arial"/>
        </w:rPr>
        <w:t>l</w:t>
      </w:r>
      <w:r w:rsidR="00ED2948" w:rsidRPr="001552CC">
        <w:rPr>
          <w:rFonts w:ascii="Palatino Linotype" w:hAnsi="Palatino Linotype" w:cs="Arial"/>
        </w:rPr>
        <w:t>a</w:t>
      </w:r>
      <w:r w:rsidRPr="001552CC">
        <w:rPr>
          <w:rFonts w:ascii="Palatino Linotype" w:hAnsi="Palatino Linotype" w:cs="Arial"/>
        </w:rPr>
        <w:t xml:space="preserve"> </w:t>
      </w:r>
      <w:r w:rsidR="00ED2948" w:rsidRPr="001552CC">
        <w:rPr>
          <w:rFonts w:ascii="Palatino Linotype" w:hAnsi="Palatino Linotype" w:cs="Arial"/>
          <w:b/>
        </w:rPr>
        <w:t>Secretaría de Seguridad</w:t>
      </w:r>
      <w:r w:rsidRPr="001552CC">
        <w:rPr>
          <w:rFonts w:ascii="Palatino Linotype" w:hAnsi="Palatino Linotype" w:cs="Arial"/>
          <w:b/>
        </w:rPr>
        <w:t>,</w:t>
      </w:r>
      <w:r w:rsidRPr="001552CC">
        <w:rPr>
          <w:rFonts w:ascii="Palatino Linotype" w:hAnsi="Palatino Linotype"/>
          <w:b/>
        </w:rPr>
        <w:t xml:space="preserve"> </w:t>
      </w:r>
      <w:r w:rsidRPr="001552CC">
        <w:rPr>
          <w:rFonts w:ascii="Palatino Linotype" w:hAnsi="Palatino Linotype"/>
        </w:rPr>
        <w:t>en lo sucesivo el</w:t>
      </w:r>
      <w:r w:rsidRPr="001552CC">
        <w:rPr>
          <w:rFonts w:ascii="Palatino Linotype" w:hAnsi="Palatino Linotype"/>
          <w:b/>
        </w:rPr>
        <w:t xml:space="preserve"> SUJETO OBLIGADO</w:t>
      </w:r>
      <w:r w:rsidRPr="001552CC">
        <w:rPr>
          <w:rFonts w:ascii="Palatino Linotype" w:hAnsi="Palatino Linotype"/>
        </w:rPr>
        <w:t>, por lo que se procede a dictar la presente resolución, con base en los siguientes:</w:t>
      </w:r>
    </w:p>
    <w:p w:rsidR="009F16DC" w:rsidRPr="001552CC" w:rsidRDefault="009F16DC" w:rsidP="001552CC">
      <w:pPr>
        <w:spacing w:line="360" w:lineRule="auto"/>
        <w:jc w:val="both"/>
        <w:rPr>
          <w:rFonts w:ascii="Palatino Linotype" w:hAnsi="Palatino Linotype"/>
          <w:b/>
        </w:rPr>
      </w:pPr>
    </w:p>
    <w:p w:rsidR="009F16DC" w:rsidRPr="001552CC" w:rsidRDefault="009F16DC" w:rsidP="001552CC">
      <w:pPr>
        <w:keepNext/>
        <w:keepLines/>
        <w:spacing w:line="360" w:lineRule="auto"/>
        <w:jc w:val="center"/>
        <w:outlineLvl w:val="0"/>
        <w:rPr>
          <w:rFonts w:ascii="Palatino Linotype" w:eastAsiaTheme="majorEastAsia" w:hAnsi="Palatino Linotype" w:cstheme="majorBidi"/>
          <w:b/>
          <w:szCs w:val="32"/>
        </w:rPr>
      </w:pPr>
      <w:bookmarkStart w:id="0" w:name="_Toc84935140"/>
      <w:r w:rsidRPr="001552CC">
        <w:rPr>
          <w:rFonts w:ascii="Palatino Linotype" w:eastAsiaTheme="majorEastAsia" w:hAnsi="Palatino Linotype" w:cstheme="majorBidi"/>
          <w:b/>
          <w:szCs w:val="32"/>
        </w:rPr>
        <w:t>ANTECEDENTES</w:t>
      </w:r>
      <w:bookmarkEnd w:id="0"/>
    </w:p>
    <w:p w:rsidR="009F16DC" w:rsidRPr="001552CC" w:rsidRDefault="009F16DC" w:rsidP="001552CC">
      <w:pPr>
        <w:spacing w:line="360" w:lineRule="auto"/>
        <w:rPr>
          <w:rFonts w:ascii="Palatino Linotype" w:eastAsiaTheme="minorEastAsia" w:hAnsi="Palatino Linotype"/>
        </w:rPr>
      </w:pPr>
    </w:p>
    <w:p w:rsidR="009F16DC" w:rsidRPr="001552CC" w:rsidRDefault="009F16DC" w:rsidP="001552CC">
      <w:pPr>
        <w:numPr>
          <w:ilvl w:val="0"/>
          <w:numId w:val="1"/>
        </w:numPr>
        <w:spacing w:line="360" w:lineRule="auto"/>
        <w:ind w:left="0" w:firstLine="0"/>
        <w:contextualSpacing/>
        <w:jc w:val="both"/>
        <w:rPr>
          <w:rFonts w:ascii="Palatino Linotype" w:hAnsi="Palatino Linotype" w:cs="Arial"/>
          <w:lang w:val="es-ES" w:eastAsia="es-ES"/>
        </w:rPr>
      </w:pPr>
      <w:r w:rsidRPr="001552CC">
        <w:rPr>
          <w:rFonts w:ascii="Palatino Linotype" w:eastAsia="Calibri" w:hAnsi="Palatino Linotype" w:cs="Arial"/>
          <w:lang w:val="es-ES" w:eastAsia="es-ES"/>
        </w:rPr>
        <w:t xml:space="preserve">El día </w:t>
      </w:r>
      <w:r w:rsidR="00ED2948" w:rsidRPr="001552CC">
        <w:rPr>
          <w:rFonts w:ascii="Palatino Linotype" w:eastAsia="Calibri" w:hAnsi="Palatino Linotype" w:cs="Arial"/>
          <w:lang w:val="es-ES" w:eastAsia="es-ES"/>
        </w:rPr>
        <w:t>doce (12) de agosto</w:t>
      </w:r>
      <w:r w:rsidRPr="001552CC">
        <w:rPr>
          <w:rFonts w:ascii="Palatino Linotype" w:eastAsia="Calibri" w:hAnsi="Palatino Linotype" w:cs="Arial"/>
          <w:lang w:val="es-ES" w:eastAsia="es-ES"/>
        </w:rPr>
        <w:t xml:space="preserve"> de dos mil veintiuno,</w:t>
      </w:r>
      <w:r w:rsidRPr="001552CC">
        <w:rPr>
          <w:rFonts w:ascii="Palatino Linotype" w:eastAsia="Calibri" w:hAnsi="Palatino Linotype"/>
          <w:lang w:val="es-ES" w:eastAsia="es-ES"/>
        </w:rPr>
        <w:t xml:space="preserve"> </w:t>
      </w:r>
      <w:r w:rsidRPr="001552CC">
        <w:rPr>
          <w:rFonts w:ascii="Palatino Linotype" w:eastAsia="Calibri" w:hAnsi="Palatino Linotype"/>
          <w:b/>
          <w:lang w:val="es-ES" w:eastAsia="es-ES"/>
        </w:rPr>
        <w:t>EL RECURRENTE</w:t>
      </w:r>
      <w:r w:rsidRPr="001552CC">
        <w:rPr>
          <w:rFonts w:ascii="Palatino Linotype" w:eastAsiaTheme="minorEastAsia" w:hAnsi="Palatino Linotype"/>
          <w:b/>
          <w:lang w:val="es-ES_tradnl" w:eastAsia="es-ES"/>
        </w:rPr>
        <w:t>,</w:t>
      </w:r>
      <w:r w:rsidRPr="001552CC">
        <w:rPr>
          <w:rFonts w:ascii="Palatino Linotype" w:eastAsia="Calibri" w:hAnsi="Palatino Linotype" w:cs="Arial"/>
          <w:lang w:val="es-ES" w:eastAsia="es-ES"/>
        </w:rPr>
        <w:t xml:space="preserve"> ante el </w:t>
      </w:r>
      <w:r w:rsidRPr="001552CC">
        <w:rPr>
          <w:rFonts w:ascii="Palatino Linotype" w:eastAsia="Calibri" w:hAnsi="Palatino Linotype" w:cs="Arial"/>
          <w:b/>
          <w:lang w:val="es-ES" w:eastAsia="es-ES"/>
        </w:rPr>
        <w:t>SUJETO OBLIGADO</w:t>
      </w:r>
      <w:r w:rsidRPr="001552CC">
        <w:rPr>
          <w:rFonts w:ascii="Palatino Linotype" w:eastAsia="Calibri" w:hAnsi="Palatino Linotype" w:cs="Arial"/>
          <w:lang w:val="es-ES_tradnl" w:eastAsia="es-ES"/>
        </w:rPr>
        <w:t xml:space="preserve"> vía </w:t>
      </w:r>
      <w:r w:rsidRPr="001552CC">
        <w:rPr>
          <w:rFonts w:ascii="Palatino Linotype" w:eastAsia="Calibri" w:hAnsi="Palatino Linotype" w:cs="Arial"/>
          <w:lang w:val="es-ES" w:eastAsia="es-ES"/>
        </w:rPr>
        <w:t>Sistema de Acceso a la Información Mexiquense (</w:t>
      </w:r>
      <w:r w:rsidRPr="001552CC">
        <w:rPr>
          <w:rFonts w:ascii="Palatino Linotype" w:eastAsia="Calibri" w:hAnsi="Palatino Linotype" w:cs="Arial"/>
          <w:b/>
          <w:lang w:val="es-ES" w:eastAsia="es-ES"/>
        </w:rPr>
        <w:t>SAIMEX)</w:t>
      </w:r>
      <w:r w:rsidRPr="001552CC">
        <w:rPr>
          <w:rFonts w:ascii="Palatino Linotype" w:eastAsia="Calibri" w:hAnsi="Palatino Linotype" w:cs="Arial"/>
          <w:lang w:val="es-ES" w:eastAsia="es-ES"/>
        </w:rPr>
        <w:t xml:space="preserve">, presentó una solicitud de información registrada con el número </w:t>
      </w:r>
      <w:r w:rsidR="00ED2948" w:rsidRPr="001552CC">
        <w:rPr>
          <w:rFonts w:ascii="Palatino Linotype" w:hAnsi="Palatino Linotype"/>
          <w:b/>
          <w:bCs/>
        </w:rPr>
        <w:t>00413/SSEM/IP/2021</w:t>
      </w:r>
      <w:r w:rsidRPr="001552CC">
        <w:rPr>
          <w:rFonts w:ascii="Palatino Linotype" w:eastAsiaTheme="minorEastAsia" w:hAnsi="Palatino Linotype"/>
          <w:b/>
          <w:lang w:val="es-ES_tradnl" w:eastAsia="es-ES"/>
        </w:rPr>
        <w:t xml:space="preserve">, </w:t>
      </w:r>
      <w:r w:rsidRPr="001552CC">
        <w:rPr>
          <w:rFonts w:ascii="Palatino Linotype" w:eastAsia="Calibri" w:hAnsi="Palatino Linotype" w:cs="Arial"/>
          <w:lang w:val="es-ES" w:eastAsia="es-ES"/>
        </w:rPr>
        <w:t>mediante la cual solicitó lo siguiente:</w:t>
      </w:r>
    </w:p>
    <w:p w:rsidR="009F16DC" w:rsidRPr="001552CC" w:rsidRDefault="009F16DC" w:rsidP="001552CC">
      <w:pPr>
        <w:spacing w:line="360" w:lineRule="auto"/>
        <w:contextualSpacing/>
        <w:jc w:val="both"/>
        <w:rPr>
          <w:rFonts w:ascii="Palatino Linotype" w:hAnsi="Palatino Linotype" w:cs="Arial"/>
          <w:lang w:val="es-ES" w:eastAsia="es-ES"/>
        </w:rPr>
      </w:pPr>
    </w:p>
    <w:p w:rsidR="009F16DC" w:rsidRPr="001552CC" w:rsidRDefault="009F16DC" w:rsidP="001552CC">
      <w:pPr>
        <w:pStyle w:val="Prrafodelista"/>
        <w:spacing w:line="360" w:lineRule="auto"/>
        <w:ind w:left="1069" w:right="567"/>
        <w:jc w:val="both"/>
        <w:rPr>
          <w:rFonts w:ascii="Palatino Linotype" w:hAnsi="Palatino Linotype"/>
          <w:i/>
          <w:color w:val="000000"/>
        </w:rPr>
      </w:pPr>
      <w:r w:rsidRPr="001552CC">
        <w:rPr>
          <w:rFonts w:ascii="Palatino Linotype" w:hAnsi="Palatino Linotype"/>
          <w:i/>
          <w:color w:val="000000"/>
        </w:rPr>
        <w:t xml:space="preserve"> “</w:t>
      </w:r>
      <w:r w:rsidR="00ED2948" w:rsidRPr="001552CC">
        <w:rPr>
          <w:rFonts w:ascii="Palatino Linotype" w:hAnsi="Palatino Linotype"/>
          <w:i/>
          <w:color w:val="000000"/>
        </w:rPr>
        <w:t>Requiero saber el nombre y cargo de los encargados de transito y vialidad que prestan su servicio en el municipio de San Antonio La Isla. Según el director de seguridad pública, Comandante Alberto Alarcon, es la SSEM quien es la dependencia responsable de prestar este servicio en el municipio. Gracias</w:t>
      </w:r>
      <w:r w:rsidRPr="001552CC">
        <w:rPr>
          <w:rFonts w:ascii="Palatino Linotype" w:hAnsi="Palatino Linotype"/>
          <w:i/>
          <w:color w:val="000000"/>
        </w:rPr>
        <w:t xml:space="preserve">” (Sic) </w:t>
      </w:r>
    </w:p>
    <w:p w:rsidR="009F16DC" w:rsidRPr="001552CC" w:rsidRDefault="009F16DC" w:rsidP="001552CC">
      <w:pPr>
        <w:spacing w:line="360" w:lineRule="auto"/>
        <w:contextualSpacing/>
        <w:jc w:val="both"/>
        <w:rPr>
          <w:rFonts w:ascii="Palatino Linotype" w:eastAsia="Calibri" w:hAnsi="Palatino Linotype"/>
          <w:lang w:val="es-ES" w:eastAsia="es-ES"/>
        </w:rPr>
      </w:pPr>
    </w:p>
    <w:p w:rsidR="009F16DC" w:rsidRPr="001552CC" w:rsidRDefault="009F16DC" w:rsidP="001552CC">
      <w:pPr>
        <w:numPr>
          <w:ilvl w:val="0"/>
          <w:numId w:val="1"/>
        </w:numPr>
        <w:spacing w:line="360" w:lineRule="auto"/>
        <w:ind w:left="0" w:firstLine="0"/>
        <w:contextualSpacing/>
        <w:jc w:val="both"/>
        <w:rPr>
          <w:rFonts w:ascii="Palatino Linotype" w:eastAsia="Calibri" w:hAnsi="Palatino Linotype"/>
          <w:lang w:val="es-ES" w:eastAsia="es-ES"/>
        </w:rPr>
      </w:pPr>
      <w:r w:rsidRPr="001552CC">
        <w:rPr>
          <w:rFonts w:ascii="Palatino Linotype" w:eastAsiaTheme="minorEastAsia" w:hAnsi="Palatino Linotype"/>
          <w:lang w:val="es-ES_tradnl" w:eastAsia="es-ES"/>
        </w:rPr>
        <w:t xml:space="preserve">El </w:t>
      </w:r>
      <w:r w:rsidR="00ED2948" w:rsidRPr="001552CC">
        <w:rPr>
          <w:rFonts w:ascii="Palatino Linotype" w:eastAsiaTheme="minorEastAsia" w:hAnsi="Palatino Linotype"/>
          <w:lang w:val="es-ES_tradnl" w:eastAsia="es-ES"/>
        </w:rPr>
        <w:t>dos (02) de septiembre</w:t>
      </w:r>
      <w:r w:rsidRPr="001552CC">
        <w:rPr>
          <w:rFonts w:ascii="Palatino Linotype" w:eastAsiaTheme="minorEastAsia" w:hAnsi="Palatino Linotype"/>
          <w:lang w:val="es-ES_tradnl" w:eastAsia="es-ES"/>
        </w:rPr>
        <w:t xml:space="preserve">  de dos mil veintiuno, </w:t>
      </w:r>
      <w:r w:rsidRPr="001552CC">
        <w:rPr>
          <w:rFonts w:ascii="Palatino Linotype" w:eastAsia="Calibri" w:hAnsi="Palatino Linotype"/>
          <w:lang w:val="es-ES" w:eastAsia="es-ES"/>
        </w:rPr>
        <w:t xml:space="preserve">el </w:t>
      </w:r>
      <w:r w:rsidRPr="001552CC">
        <w:rPr>
          <w:rFonts w:ascii="Palatino Linotype" w:eastAsia="Calibri" w:hAnsi="Palatino Linotype" w:cs="Arial"/>
          <w:b/>
          <w:lang w:val="es-AR" w:eastAsia="es-ES"/>
        </w:rPr>
        <w:t>SUJETO OBLIGADO</w:t>
      </w:r>
      <w:r w:rsidRPr="001552CC">
        <w:rPr>
          <w:rFonts w:ascii="Palatino Linotype" w:eastAsia="Calibri" w:hAnsi="Palatino Linotype" w:cs="Arial"/>
          <w:b/>
          <w:i/>
          <w:lang w:val="es-AR" w:eastAsia="es-ES"/>
        </w:rPr>
        <w:t xml:space="preserve"> </w:t>
      </w:r>
      <w:r w:rsidRPr="001552CC">
        <w:rPr>
          <w:rFonts w:ascii="Palatino Linotype" w:hAnsi="Palatino Linotype" w:cs="Arial"/>
          <w:lang w:val="es-ES" w:eastAsia="es-ES"/>
        </w:rPr>
        <w:t>dio respuestas a la solicitud de información en los siguientes términos:</w:t>
      </w:r>
    </w:p>
    <w:p w:rsidR="009F16DC" w:rsidRPr="001552CC" w:rsidRDefault="009F16DC" w:rsidP="001552CC">
      <w:pPr>
        <w:spacing w:line="360" w:lineRule="auto"/>
        <w:ind w:left="720"/>
        <w:contextualSpacing/>
        <w:rPr>
          <w:rFonts w:ascii="Palatino Linotype" w:hAnsi="Palatino Linotype" w:cs="Arial"/>
          <w:lang w:val="es-ES" w:eastAsia="es-ES"/>
        </w:rPr>
      </w:pPr>
    </w:p>
    <w:p w:rsidR="009F16DC" w:rsidRPr="001552CC" w:rsidRDefault="009F16DC" w:rsidP="001552CC">
      <w:pPr>
        <w:spacing w:line="360" w:lineRule="auto"/>
        <w:ind w:right="567"/>
        <w:jc w:val="both"/>
        <w:rPr>
          <w:rFonts w:ascii="Palatino Linotype" w:hAnsi="Palatino Linotype"/>
        </w:rPr>
      </w:pPr>
    </w:p>
    <w:tbl>
      <w:tblPr>
        <w:tblW w:w="7375" w:type="dxa"/>
        <w:jc w:val="center"/>
        <w:tblCellSpacing w:w="0" w:type="dxa"/>
        <w:tblCellMar>
          <w:left w:w="0" w:type="dxa"/>
          <w:right w:w="0" w:type="dxa"/>
        </w:tblCellMar>
        <w:tblLook w:val="04A0" w:firstRow="1" w:lastRow="0" w:firstColumn="1" w:lastColumn="0" w:noHBand="0" w:noVBand="1"/>
      </w:tblPr>
      <w:tblGrid>
        <w:gridCol w:w="7375"/>
      </w:tblGrid>
      <w:tr w:rsidR="00ED2948" w:rsidRPr="001552CC" w:rsidTr="00ED2948">
        <w:trPr>
          <w:trHeight w:val="286"/>
          <w:tblCellSpacing w:w="0" w:type="dxa"/>
          <w:jc w:val="center"/>
        </w:trPr>
        <w:tc>
          <w:tcPr>
            <w:tcW w:w="0" w:type="auto"/>
            <w:vAlign w:val="center"/>
            <w:hideMark/>
          </w:tcPr>
          <w:p w:rsidR="00ED2948" w:rsidRPr="001552CC" w:rsidRDefault="00ED2948" w:rsidP="001552CC">
            <w:pPr>
              <w:spacing w:line="360" w:lineRule="auto"/>
              <w:jc w:val="right"/>
              <w:rPr>
                <w:rFonts w:ascii="Palatino Linotype" w:hAnsi="Palatino Linotype"/>
                <w:i/>
                <w:sz w:val="22"/>
                <w:szCs w:val="22"/>
                <w:lang w:val="es-ES" w:eastAsia="es-ES"/>
              </w:rPr>
            </w:pPr>
            <w:r w:rsidRPr="001552CC">
              <w:rPr>
                <w:rFonts w:ascii="Palatino Linotype" w:hAnsi="Palatino Linotype"/>
                <w:i/>
                <w:sz w:val="22"/>
                <w:szCs w:val="22"/>
                <w:lang w:val="es-ES" w:eastAsia="es-ES"/>
              </w:rPr>
              <w:t>Metepec, México a 02 de Septiembre de 2021</w:t>
            </w:r>
          </w:p>
        </w:tc>
      </w:tr>
      <w:tr w:rsidR="00ED2948" w:rsidRPr="001552CC" w:rsidTr="00ED2948">
        <w:trPr>
          <w:trHeight w:val="286"/>
          <w:tblCellSpacing w:w="0" w:type="dxa"/>
          <w:jc w:val="center"/>
        </w:trPr>
        <w:tc>
          <w:tcPr>
            <w:tcW w:w="0" w:type="auto"/>
            <w:vAlign w:val="center"/>
            <w:hideMark/>
          </w:tcPr>
          <w:p w:rsidR="00ED2948" w:rsidRPr="001552CC" w:rsidRDefault="00ED2948" w:rsidP="001552CC">
            <w:pPr>
              <w:spacing w:line="360" w:lineRule="auto"/>
              <w:jc w:val="right"/>
              <w:rPr>
                <w:rFonts w:ascii="Palatino Linotype" w:hAnsi="Palatino Linotype"/>
                <w:i/>
                <w:sz w:val="22"/>
                <w:szCs w:val="22"/>
                <w:lang w:val="es-ES" w:eastAsia="es-ES"/>
              </w:rPr>
            </w:pPr>
            <w:r w:rsidRPr="001552CC">
              <w:rPr>
                <w:rFonts w:ascii="Palatino Linotype" w:hAnsi="Palatino Linotype"/>
                <w:i/>
                <w:sz w:val="22"/>
                <w:szCs w:val="22"/>
                <w:lang w:val="es-ES" w:eastAsia="es-ES"/>
              </w:rPr>
              <w:t>Nombre del solicit</w:t>
            </w:r>
            <w:r w:rsidR="00063E59">
              <w:rPr>
                <w:rFonts w:ascii="Palatino Linotype" w:hAnsi="Palatino Linotype"/>
                <w:i/>
                <w:sz w:val="22"/>
                <w:szCs w:val="22"/>
                <w:lang w:val="es-ES" w:eastAsia="es-ES"/>
              </w:rPr>
              <w:t>ante: XXXXXXXXXXXXXXXXXXXXXXX</w:t>
            </w:r>
          </w:p>
        </w:tc>
      </w:tr>
      <w:tr w:rsidR="00ED2948" w:rsidRPr="001552CC" w:rsidTr="00ED2948">
        <w:trPr>
          <w:trHeight w:val="286"/>
          <w:tblCellSpacing w:w="0" w:type="dxa"/>
          <w:jc w:val="center"/>
        </w:trPr>
        <w:tc>
          <w:tcPr>
            <w:tcW w:w="0" w:type="auto"/>
            <w:vAlign w:val="center"/>
            <w:hideMark/>
          </w:tcPr>
          <w:p w:rsidR="00ED2948" w:rsidRPr="001552CC" w:rsidRDefault="00ED2948" w:rsidP="001552CC">
            <w:pPr>
              <w:spacing w:line="360" w:lineRule="auto"/>
              <w:jc w:val="right"/>
              <w:rPr>
                <w:rFonts w:ascii="Palatino Linotype" w:hAnsi="Palatino Linotype"/>
                <w:i/>
                <w:sz w:val="22"/>
                <w:szCs w:val="22"/>
                <w:lang w:val="es-ES" w:eastAsia="es-ES"/>
              </w:rPr>
            </w:pPr>
            <w:r w:rsidRPr="001552CC">
              <w:rPr>
                <w:rFonts w:ascii="Palatino Linotype" w:hAnsi="Palatino Linotype"/>
                <w:i/>
                <w:sz w:val="22"/>
                <w:szCs w:val="22"/>
                <w:lang w:val="es-ES" w:eastAsia="es-ES"/>
              </w:rPr>
              <w:t>Folio de la solicitud: 00413/SSEM/IP/2021</w:t>
            </w:r>
          </w:p>
        </w:tc>
      </w:tr>
      <w:tr w:rsidR="00ED2948" w:rsidRPr="001552CC" w:rsidTr="00ED2948">
        <w:trPr>
          <w:trHeight w:val="430"/>
          <w:tblCellSpacing w:w="0" w:type="dxa"/>
          <w:jc w:val="center"/>
        </w:trPr>
        <w:tc>
          <w:tcPr>
            <w:tcW w:w="0" w:type="auto"/>
            <w:vAlign w:val="center"/>
            <w:hideMark/>
          </w:tcPr>
          <w:p w:rsidR="00ED2948" w:rsidRPr="001552CC" w:rsidRDefault="00ED2948" w:rsidP="001552CC">
            <w:pPr>
              <w:spacing w:line="360" w:lineRule="auto"/>
              <w:jc w:val="right"/>
              <w:rPr>
                <w:rFonts w:ascii="Palatino Linotype" w:hAnsi="Palatino Linotype"/>
                <w:i/>
                <w:sz w:val="22"/>
                <w:szCs w:val="22"/>
                <w:lang w:val="es-ES" w:eastAsia="es-ES"/>
              </w:rPr>
            </w:pPr>
          </w:p>
        </w:tc>
      </w:tr>
      <w:tr w:rsidR="00ED2948" w:rsidRPr="001552CC" w:rsidTr="00ED2948">
        <w:trPr>
          <w:trHeight w:val="143"/>
          <w:tblCellSpacing w:w="0" w:type="dxa"/>
          <w:jc w:val="center"/>
        </w:trPr>
        <w:tc>
          <w:tcPr>
            <w:tcW w:w="0" w:type="auto"/>
            <w:vAlign w:val="center"/>
            <w:hideMark/>
          </w:tcPr>
          <w:p w:rsidR="00ED2948" w:rsidRPr="001552CC" w:rsidRDefault="00ED2948" w:rsidP="001552CC">
            <w:pPr>
              <w:spacing w:line="360" w:lineRule="auto"/>
              <w:jc w:val="center"/>
              <w:rPr>
                <w:rFonts w:ascii="Palatino Linotype" w:hAnsi="Palatino Linotype"/>
                <w:i/>
                <w:sz w:val="22"/>
                <w:szCs w:val="22"/>
                <w:lang w:val="es-ES" w:eastAsia="es-ES"/>
              </w:rPr>
            </w:pPr>
          </w:p>
        </w:tc>
      </w:tr>
      <w:tr w:rsidR="00ED2948" w:rsidRPr="001552CC" w:rsidTr="00ED2948">
        <w:trPr>
          <w:trHeight w:val="358"/>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p>
        </w:tc>
      </w:tr>
      <w:tr w:rsidR="00ED2948" w:rsidRPr="001552CC" w:rsidTr="00ED2948">
        <w:trPr>
          <w:trHeight w:val="143"/>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r w:rsidRPr="001552CC">
              <w:rPr>
                <w:rFonts w:ascii="Palatino Linotype" w:hAnsi="Palatino Linotype"/>
                <w:i/>
                <w:sz w:val="22"/>
                <w:szCs w:val="22"/>
                <w:lang w:val="es-ES" w:eastAsia="es-ES"/>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tc>
      </w:tr>
      <w:tr w:rsidR="00ED2948" w:rsidRPr="001552CC" w:rsidTr="00ED2948">
        <w:trPr>
          <w:trHeight w:val="358"/>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p>
        </w:tc>
      </w:tr>
      <w:tr w:rsidR="00ED2948" w:rsidRPr="001552CC" w:rsidTr="00ED2948">
        <w:trPr>
          <w:trHeight w:val="143"/>
          <w:tblCellSpacing w:w="0" w:type="dxa"/>
          <w:jc w:val="center"/>
        </w:trPr>
        <w:tc>
          <w:tcPr>
            <w:tcW w:w="0" w:type="auto"/>
            <w:vAlign w:val="center"/>
            <w:hideMark/>
          </w:tcPr>
          <w:p w:rsidR="00ED2948" w:rsidRPr="001552CC" w:rsidRDefault="00ED2948" w:rsidP="001552CC">
            <w:pPr>
              <w:spacing w:line="360" w:lineRule="auto"/>
              <w:jc w:val="center"/>
              <w:rPr>
                <w:rFonts w:ascii="Palatino Linotype" w:hAnsi="Palatino Linotype"/>
                <w:i/>
                <w:sz w:val="22"/>
                <w:szCs w:val="22"/>
                <w:lang w:val="es-ES" w:eastAsia="es-ES"/>
              </w:rPr>
            </w:pPr>
          </w:p>
        </w:tc>
      </w:tr>
      <w:tr w:rsidR="00ED2948" w:rsidRPr="001552CC" w:rsidTr="00ED2948">
        <w:trPr>
          <w:trHeight w:val="143"/>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bookmarkStart w:id="1" w:name="_GoBack"/>
            <w:bookmarkEnd w:id="1"/>
          </w:p>
        </w:tc>
      </w:tr>
      <w:tr w:rsidR="00ED2948" w:rsidRPr="001552CC" w:rsidTr="00ED2948">
        <w:trPr>
          <w:trHeight w:val="143"/>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r w:rsidRPr="001552CC">
              <w:rPr>
                <w:rFonts w:ascii="Palatino Linotype" w:hAnsi="Palatino Linotype"/>
                <w:i/>
                <w:sz w:val="22"/>
                <w:szCs w:val="22"/>
                <w:lang w:val="es-ES" w:eastAsia="es-ES"/>
              </w:rPr>
              <w:t>ATENTAMENTE</w:t>
            </w:r>
          </w:p>
        </w:tc>
      </w:tr>
      <w:tr w:rsidR="00ED2948" w:rsidRPr="001552CC" w:rsidTr="00ED2948">
        <w:trPr>
          <w:trHeight w:val="215"/>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p>
        </w:tc>
      </w:tr>
      <w:tr w:rsidR="00ED2948" w:rsidRPr="001552CC" w:rsidTr="00ED2948">
        <w:trPr>
          <w:trHeight w:val="143"/>
          <w:tblCellSpacing w:w="0" w:type="dxa"/>
          <w:jc w:val="center"/>
        </w:trPr>
        <w:tc>
          <w:tcPr>
            <w:tcW w:w="0" w:type="auto"/>
            <w:vAlign w:val="center"/>
            <w:hideMark/>
          </w:tcPr>
          <w:p w:rsidR="00ED2948" w:rsidRPr="001552CC" w:rsidRDefault="00ED2948" w:rsidP="001552CC">
            <w:pPr>
              <w:spacing w:line="360" w:lineRule="auto"/>
              <w:rPr>
                <w:rFonts w:ascii="Palatino Linotype" w:hAnsi="Palatino Linotype"/>
                <w:i/>
                <w:sz w:val="22"/>
                <w:szCs w:val="22"/>
                <w:lang w:val="es-ES" w:eastAsia="es-ES"/>
              </w:rPr>
            </w:pPr>
            <w:r w:rsidRPr="001552CC">
              <w:rPr>
                <w:rFonts w:ascii="Palatino Linotype" w:hAnsi="Palatino Linotype"/>
                <w:i/>
                <w:sz w:val="22"/>
                <w:szCs w:val="22"/>
                <w:lang w:val="es-ES" w:eastAsia="es-ES"/>
              </w:rPr>
              <w:t>M. en D. Larissa León Arce</w:t>
            </w:r>
          </w:p>
        </w:tc>
      </w:tr>
    </w:tbl>
    <w:p w:rsidR="009F16DC" w:rsidRPr="001552CC" w:rsidRDefault="009F16DC" w:rsidP="001552CC">
      <w:pPr>
        <w:spacing w:line="360" w:lineRule="auto"/>
        <w:ind w:right="567"/>
        <w:jc w:val="both"/>
        <w:rPr>
          <w:rFonts w:ascii="Palatino Linotype" w:hAnsi="Palatino Linotype"/>
        </w:rPr>
      </w:pPr>
    </w:p>
    <w:p w:rsidR="00ED2948" w:rsidRPr="001552CC" w:rsidRDefault="00ED2948" w:rsidP="001552CC">
      <w:pPr>
        <w:spacing w:line="360" w:lineRule="auto"/>
        <w:ind w:right="567"/>
        <w:jc w:val="both"/>
        <w:rPr>
          <w:rFonts w:ascii="Palatino Linotype" w:hAnsi="Palatino Linotype"/>
        </w:rPr>
      </w:pPr>
      <w:r w:rsidRPr="001552CC">
        <w:rPr>
          <w:rFonts w:ascii="Palatino Linotype" w:hAnsi="Palatino Linotype"/>
        </w:rPr>
        <w:t>Documento adjunto a la respuesta:</w:t>
      </w:r>
    </w:p>
    <w:p w:rsidR="00ED2948" w:rsidRPr="001552CC" w:rsidRDefault="00ED2948" w:rsidP="001552CC">
      <w:pPr>
        <w:spacing w:line="360" w:lineRule="auto"/>
        <w:ind w:right="567"/>
        <w:jc w:val="both"/>
        <w:rPr>
          <w:rFonts w:ascii="Palatino Linotype" w:hAnsi="Palatino Linotype"/>
        </w:rPr>
      </w:pPr>
    </w:p>
    <w:p w:rsidR="00ED2948" w:rsidRPr="00D20AEC" w:rsidRDefault="007F4A9B" w:rsidP="001552CC">
      <w:pPr>
        <w:pStyle w:val="Prrafodelista"/>
        <w:numPr>
          <w:ilvl w:val="0"/>
          <w:numId w:val="4"/>
        </w:numPr>
        <w:spacing w:line="360" w:lineRule="auto"/>
        <w:ind w:right="567"/>
        <w:jc w:val="both"/>
        <w:rPr>
          <w:rFonts w:ascii="Palatino Linotype" w:hAnsi="Palatino Linotype"/>
          <w:szCs w:val="22"/>
        </w:rPr>
      </w:pPr>
      <w:hyperlink r:id="rId7" w:tgtFrame="_blank" w:history="1">
        <w:r w:rsidR="00ED2948" w:rsidRPr="001552CC">
          <w:rPr>
            <w:rStyle w:val="Hipervnculo"/>
            <w:rFonts w:ascii="Palatino Linotype" w:eastAsiaTheme="majorEastAsia" w:hAnsi="Palatino Linotype" w:cs="Arial"/>
            <w:b/>
            <w:bCs/>
            <w:color w:val="auto"/>
            <w:szCs w:val="22"/>
          </w:rPr>
          <w:t>Respuesta 413.pdf</w:t>
        </w:r>
      </w:hyperlink>
      <w:r w:rsidR="00ED2948" w:rsidRPr="001552CC">
        <w:rPr>
          <w:rFonts w:ascii="Palatino Linotype" w:hAnsi="Palatino Linotype"/>
          <w:szCs w:val="22"/>
        </w:rPr>
        <w:t xml:space="preserve">: </w:t>
      </w:r>
      <w:r w:rsidR="00326E72" w:rsidRPr="001552CC">
        <w:rPr>
          <w:rFonts w:ascii="Palatino Linotype" w:hAnsi="Palatino Linotype"/>
          <w:szCs w:val="22"/>
        </w:rPr>
        <w:t xml:space="preserve">documento suscrito por la titular de la unidad de transparencia, de fecha treinta y uno de agosto de dos mil veintiuno, en el que señaló de forma medular </w:t>
      </w:r>
      <w:r w:rsidR="00B85D22" w:rsidRPr="001552CC">
        <w:rPr>
          <w:rFonts w:ascii="Palatino Linotype" w:hAnsi="Palatino Linotype"/>
          <w:i/>
          <w:szCs w:val="22"/>
        </w:rPr>
        <w:t>“</w:t>
      </w:r>
      <w:r w:rsidR="00326E72" w:rsidRPr="001552CC">
        <w:rPr>
          <w:rFonts w:ascii="Palatino Linotype" w:hAnsi="Palatino Linotype"/>
          <w:i/>
          <w:szCs w:val="22"/>
        </w:rPr>
        <w:t xml:space="preserve">La Directora de Policía de Tránsito de esta Secretaría de Seguridad, Yazmin Butrón Cárdenas, es la encargada de coordinar la vigilancia </w:t>
      </w:r>
      <w:r w:rsidR="00B85D22" w:rsidRPr="001552CC">
        <w:rPr>
          <w:rFonts w:ascii="Palatino Linotype" w:hAnsi="Palatino Linotype"/>
          <w:i/>
          <w:szCs w:val="22"/>
        </w:rPr>
        <w:t xml:space="preserve">de las disposiciones legales, y administrativas en materia de tránsito, según corresponda, </w:t>
      </w:r>
      <w:r w:rsidR="00B85D22" w:rsidRPr="001552CC">
        <w:rPr>
          <w:rFonts w:ascii="Palatino Linotype" w:hAnsi="Palatino Linotype"/>
          <w:i/>
          <w:szCs w:val="22"/>
        </w:rPr>
        <w:lastRenderedPageBreak/>
        <w:t>asimismo es importante señalar que el personal destinado a estas labores es designado en la totalidad del Estado de México de acuerdo a las necesidades del servicio.”</w:t>
      </w:r>
    </w:p>
    <w:p w:rsidR="009F16DC" w:rsidRPr="001552CC" w:rsidRDefault="009F16DC" w:rsidP="001552CC">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552CC">
        <w:rPr>
          <w:rFonts w:ascii="Palatino Linotype" w:eastAsia="Calibri" w:hAnsi="Palatino Linotype" w:cs="Arial"/>
          <w:lang w:val="es-AR" w:eastAsia="es-ES"/>
        </w:rPr>
        <w:t xml:space="preserve">El </w:t>
      </w:r>
      <w:r w:rsidR="00B85D22" w:rsidRPr="001552CC">
        <w:rPr>
          <w:rFonts w:ascii="Palatino Linotype" w:eastAsia="Calibri" w:hAnsi="Palatino Linotype" w:cs="Arial"/>
          <w:lang w:val="es-AR" w:eastAsia="es-ES"/>
        </w:rPr>
        <w:t>cinco (05) de septiembre</w:t>
      </w:r>
      <w:r w:rsidRPr="001552CC">
        <w:rPr>
          <w:rFonts w:ascii="Palatino Linotype" w:eastAsia="Calibri" w:hAnsi="Palatino Linotype" w:cs="Arial"/>
          <w:lang w:val="es-AR" w:eastAsia="es-ES"/>
        </w:rPr>
        <w:t xml:space="preserve">  de dos mil veintiuno</w:t>
      </w:r>
      <w:r w:rsidRPr="001552CC">
        <w:rPr>
          <w:rFonts w:ascii="Palatino Linotype" w:hAnsi="Palatino Linotype" w:cs="Arial"/>
          <w:lang w:val="es-ES" w:eastAsia="es-ES"/>
        </w:rPr>
        <w:t xml:space="preserve">, </w:t>
      </w:r>
      <w:r w:rsidRPr="001552CC">
        <w:rPr>
          <w:rFonts w:ascii="Palatino Linotype" w:eastAsiaTheme="minorEastAsia" w:hAnsi="Palatino Linotype"/>
          <w:b/>
          <w:lang w:val="es-ES_tradnl" w:eastAsia="es-ES"/>
        </w:rPr>
        <w:t>EL RECURRENTE</w:t>
      </w:r>
      <w:r w:rsidRPr="001552CC">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9F16DC" w:rsidRPr="001552CC" w:rsidRDefault="009F16DC" w:rsidP="001552CC">
      <w:pPr>
        <w:spacing w:line="360" w:lineRule="auto"/>
        <w:ind w:left="567" w:right="567"/>
        <w:contextualSpacing/>
        <w:rPr>
          <w:rFonts w:ascii="Palatino Linotype" w:eastAsiaTheme="minorEastAsia" w:hAnsi="Palatino Linotype" w:cs="Arial"/>
          <w:i/>
          <w:lang w:val="es-ES_tradnl" w:eastAsia="es-ES"/>
        </w:rPr>
      </w:pPr>
    </w:p>
    <w:p w:rsidR="009F16DC" w:rsidRPr="001552CC" w:rsidRDefault="009F16DC" w:rsidP="001552CC">
      <w:pPr>
        <w:spacing w:line="360" w:lineRule="auto"/>
        <w:ind w:left="567" w:right="567"/>
        <w:contextualSpacing/>
        <w:jc w:val="both"/>
        <w:rPr>
          <w:rFonts w:ascii="Palatino Linotype" w:eastAsia="Calibri" w:hAnsi="Palatino Linotype" w:cs="Arial"/>
          <w:i/>
          <w:lang w:val="es-ES" w:eastAsia="es-ES"/>
        </w:rPr>
      </w:pPr>
      <w:r w:rsidRPr="001552CC">
        <w:rPr>
          <w:rFonts w:ascii="Palatino Linotype" w:eastAsiaTheme="minorEastAsia" w:hAnsi="Palatino Linotype"/>
          <w:b/>
          <w:lang w:val="es-ES_tradnl" w:eastAsia="es-ES"/>
        </w:rPr>
        <w:t>Acto impugnado</w:t>
      </w:r>
      <w:r w:rsidRPr="001552CC">
        <w:rPr>
          <w:rFonts w:ascii="Palatino Linotype" w:eastAsiaTheme="minorEastAsia" w:hAnsi="Palatino Linotype"/>
          <w:b/>
          <w:i/>
          <w:lang w:val="es-ES_tradnl" w:eastAsia="es-ES"/>
        </w:rPr>
        <w:t>:</w:t>
      </w:r>
      <w:r w:rsidRPr="001552CC">
        <w:rPr>
          <w:rFonts w:ascii="Palatino Linotype" w:hAnsi="Palatino Linotype"/>
          <w:i/>
          <w:color w:val="000000"/>
        </w:rPr>
        <w:t xml:space="preserve"> “</w:t>
      </w:r>
      <w:r w:rsidR="00B85D22" w:rsidRPr="001552CC">
        <w:rPr>
          <w:rFonts w:ascii="Palatino Linotype" w:hAnsi="Palatino Linotype"/>
          <w:i/>
          <w:color w:val="000000"/>
        </w:rPr>
        <w:t>No me están dando la información solicitada, solo me hace referencia a la ley de seguridad pública, que ya conozco Requiero saber que elementos están destinados a las funciones de vialidad y Tránsito en el municipio de San antonio la isla</w:t>
      </w:r>
      <w:r w:rsidRPr="001552CC">
        <w:rPr>
          <w:rFonts w:ascii="Palatino Linotype" w:hAnsi="Palatino Linotype"/>
          <w:i/>
          <w:color w:val="000000"/>
        </w:rPr>
        <w:t xml:space="preserve">” (Sic); </w:t>
      </w:r>
      <w:r w:rsidRPr="001552CC">
        <w:rPr>
          <w:rFonts w:ascii="Palatino Linotype" w:eastAsia="Calibri" w:hAnsi="Palatino Linotype" w:cs="Arial"/>
          <w:i/>
          <w:lang w:val="es-ES" w:eastAsia="es-ES"/>
        </w:rPr>
        <w:t>Y</w:t>
      </w:r>
    </w:p>
    <w:p w:rsidR="009F16DC" w:rsidRPr="001552CC" w:rsidRDefault="009F16DC" w:rsidP="001552CC">
      <w:pPr>
        <w:spacing w:line="360" w:lineRule="auto"/>
        <w:ind w:left="567" w:right="567"/>
        <w:contextualSpacing/>
        <w:jc w:val="both"/>
        <w:rPr>
          <w:rFonts w:ascii="Palatino Linotype" w:eastAsia="Calibri" w:hAnsi="Palatino Linotype" w:cs="Arial"/>
          <w:lang w:val="es-ES" w:eastAsia="es-ES"/>
        </w:rPr>
      </w:pPr>
    </w:p>
    <w:p w:rsidR="009F16DC" w:rsidRPr="001552CC" w:rsidRDefault="009F16DC" w:rsidP="001552CC">
      <w:pPr>
        <w:spacing w:line="360" w:lineRule="auto"/>
        <w:ind w:left="567" w:right="567"/>
        <w:contextualSpacing/>
        <w:jc w:val="both"/>
        <w:rPr>
          <w:rFonts w:ascii="Palatino Linotype" w:hAnsi="Palatino Linotype"/>
          <w:i/>
          <w:color w:val="000000"/>
        </w:rPr>
      </w:pPr>
      <w:r w:rsidRPr="001552CC">
        <w:rPr>
          <w:rFonts w:ascii="Palatino Linotype" w:eastAsiaTheme="minorEastAsia" w:hAnsi="Palatino Linotype"/>
          <w:b/>
          <w:lang w:val="es-ES_tradnl" w:eastAsia="es-ES"/>
        </w:rPr>
        <w:t>Razones o Motivos de inconformidad:</w:t>
      </w:r>
      <w:r w:rsidRPr="001552CC">
        <w:rPr>
          <w:rFonts w:ascii="Palatino Linotype" w:eastAsiaTheme="majorEastAsia" w:hAnsi="Palatino Linotype" w:cstheme="majorBidi"/>
          <w:b/>
          <w:color w:val="2E74B5" w:themeColor="accent1" w:themeShade="BF"/>
          <w:sz w:val="26"/>
          <w:szCs w:val="26"/>
          <w:lang w:val="es-ES" w:eastAsia="es-ES"/>
        </w:rPr>
        <w:t xml:space="preserve"> </w:t>
      </w:r>
      <w:r w:rsidRPr="001552CC">
        <w:rPr>
          <w:rFonts w:ascii="Palatino Linotype" w:eastAsiaTheme="majorEastAsia" w:hAnsi="Palatino Linotype" w:cstheme="majorBidi"/>
          <w:i/>
          <w:lang w:val="es-ES" w:eastAsia="es-ES"/>
        </w:rPr>
        <w:t>“</w:t>
      </w:r>
      <w:r w:rsidR="00B85D22" w:rsidRPr="001552CC">
        <w:rPr>
          <w:rFonts w:ascii="Palatino Linotype" w:hAnsi="Palatino Linotype"/>
          <w:i/>
          <w:color w:val="000000"/>
        </w:rPr>
        <w:t>El ayuntamiento no tiene elementos de vialidad y Tránsito y argumentan que la SSEM es responsable del servicio La SSEM no tiene ningún elemento asignado al municipio Entonces, quien realiza esta labor?</w:t>
      </w:r>
      <w:r w:rsidRPr="001552CC">
        <w:rPr>
          <w:rFonts w:ascii="Palatino Linotype" w:hAnsi="Palatino Linotype"/>
          <w:i/>
          <w:color w:val="000000"/>
        </w:rPr>
        <w:t>” (Sic).</w:t>
      </w:r>
    </w:p>
    <w:bookmarkEnd w:id="2"/>
    <w:bookmarkEnd w:id="3"/>
    <w:bookmarkEnd w:id="4"/>
    <w:p w:rsidR="009F16DC" w:rsidRPr="001552CC" w:rsidRDefault="009F16DC" w:rsidP="001552CC">
      <w:pPr>
        <w:spacing w:line="360" w:lineRule="auto"/>
        <w:jc w:val="both"/>
        <w:rPr>
          <w:rFonts w:ascii="Palatino Linotype" w:eastAsia="Calibri" w:hAnsi="Palatino Linotype" w:cs="Arial"/>
          <w:lang w:val="es-AR" w:eastAsia="es-ES"/>
        </w:rPr>
      </w:pPr>
    </w:p>
    <w:p w:rsidR="009F16DC" w:rsidRPr="001552CC" w:rsidRDefault="009F16DC" w:rsidP="001552CC">
      <w:pPr>
        <w:numPr>
          <w:ilvl w:val="0"/>
          <w:numId w:val="1"/>
        </w:numPr>
        <w:spacing w:line="360" w:lineRule="auto"/>
        <w:ind w:left="0" w:firstLine="0"/>
        <w:contextualSpacing/>
        <w:jc w:val="both"/>
        <w:rPr>
          <w:rFonts w:ascii="Palatino Linotype" w:eastAsia="Calibri" w:hAnsi="Palatino Linotype" w:cs="Arial"/>
          <w:lang w:val="es-AR" w:eastAsia="es-ES"/>
        </w:rPr>
      </w:pPr>
      <w:r w:rsidRPr="001552CC">
        <w:rPr>
          <w:rFonts w:ascii="Palatino Linotype" w:hAnsi="Palatino Linotype" w:cs="Arial"/>
          <w:lang w:val="es-ES" w:eastAsia="es-ES"/>
        </w:rPr>
        <w:t xml:space="preserve">Se registró el recurso de revisión bajo el número de expediente </w:t>
      </w:r>
      <w:r w:rsidRPr="001552CC">
        <w:rPr>
          <w:rFonts w:ascii="Palatino Linotype" w:eastAsiaTheme="minorEastAsia" w:hAnsi="Palatino Linotype" w:cs="Arial"/>
          <w:bCs/>
          <w:lang w:val="es-ES_tradnl" w:eastAsia="es-ES"/>
        </w:rPr>
        <w:t xml:space="preserve">al rubro indicado, asimismo con fundamento en lo dispuesto por el </w:t>
      </w:r>
      <w:r w:rsidRPr="001552CC">
        <w:rPr>
          <w:rFonts w:ascii="Palatino Linotype" w:eastAsia="Calibri" w:hAnsi="Palatino Linotype" w:cs="Arial"/>
          <w:lang w:val="es-ES" w:eastAsia="es-ES"/>
        </w:rPr>
        <w:t xml:space="preserve">artículo 185 fracción I de la </w:t>
      </w:r>
      <w:r w:rsidRPr="001552CC">
        <w:rPr>
          <w:rFonts w:ascii="Palatino Linotype" w:eastAsia="Calibri" w:hAnsi="Palatino Linotype" w:cs="Arial"/>
          <w:b/>
          <w:lang w:val="es-ES" w:eastAsia="es-ES"/>
        </w:rPr>
        <w:t xml:space="preserve">Ley de Transparencia y Acceso a la Información Pública del Estado de México y Municipios </w:t>
      </w:r>
      <w:r w:rsidR="00B85D22" w:rsidRPr="001552CC">
        <w:rPr>
          <w:rFonts w:ascii="Palatino Linotype" w:hAnsi="Palatino Linotype" w:cs="Arial"/>
          <w:lang w:val="es-ES" w:eastAsia="es-ES"/>
        </w:rPr>
        <w:t>se turnó a la</w:t>
      </w:r>
      <w:r w:rsidRPr="001552CC">
        <w:rPr>
          <w:rFonts w:ascii="Palatino Linotype" w:hAnsi="Palatino Linotype" w:cs="Arial"/>
          <w:lang w:val="es-ES" w:eastAsia="es-ES"/>
        </w:rPr>
        <w:t xml:space="preserve"> </w:t>
      </w:r>
      <w:r w:rsidR="00B85D22" w:rsidRPr="001552CC">
        <w:rPr>
          <w:rFonts w:ascii="Palatino Linotype" w:hAnsi="Palatino Linotype" w:cs="Arial"/>
          <w:b/>
          <w:lang w:val="es-ES" w:eastAsia="es-ES"/>
        </w:rPr>
        <w:t>Comisionada María del Rosario Mejía Ayala</w:t>
      </w:r>
      <w:r w:rsidRPr="001552CC">
        <w:rPr>
          <w:rFonts w:ascii="Palatino Linotype" w:hAnsi="Palatino Linotype" w:cs="Arial"/>
          <w:b/>
          <w:lang w:val="es-ES" w:eastAsia="es-ES"/>
        </w:rPr>
        <w:t xml:space="preserve">, </w:t>
      </w:r>
      <w:r w:rsidRPr="001552CC">
        <w:rPr>
          <w:rFonts w:ascii="Palatino Linotype" w:hAnsi="Palatino Linotype" w:cs="Arial"/>
          <w:lang w:val="es-ES" w:eastAsia="es-ES"/>
        </w:rPr>
        <w:t xml:space="preserve">con el objeto de </w:t>
      </w:r>
      <w:r w:rsidRPr="001552CC">
        <w:rPr>
          <w:rFonts w:ascii="Palatino Linotype" w:hAnsi="Palatino Linotype" w:cs="Arial"/>
          <w:lang w:eastAsia="es-ES"/>
        </w:rPr>
        <w:t xml:space="preserve">su análisis. </w:t>
      </w:r>
    </w:p>
    <w:p w:rsidR="009F16DC" w:rsidRPr="001552CC" w:rsidRDefault="009F16DC" w:rsidP="001552CC">
      <w:pPr>
        <w:spacing w:line="360" w:lineRule="auto"/>
        <w:contextualSpacing/>
        <w:jc w:val="both"/>
        <w:rPr>
          <w:rFonts w:ascii="Palatino Linotype" w:eastAsia="Calibri" w:hAnsi="Palatino Linotype" w:cs="Arial"/>
          <w:lang w:val="es-AR" w:eastAsia="es-ES"/>
        </w:rPr>
      </w:pPr>
    </w:p>
    <w:p w:rsidR="009F16DC" w:rsidRPr="001552CC" w:rsidRDefault="009F16DC" w:rsidP="001552CC">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552CC">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w:t>
      </w:r>
      <w:r w:rsidR="00B85D22" w:rsidRPr="001552CC">
        <w:rPr>
          <w:rFonts w:ascii="Palatino Linotype" w:eastAsia="Calibri" w:hAnsi="Palatino Linotype" w:cs="Arial"/>
          <w:lang w:val="es-ES" w:eastAsia="es-ES"/>
        </w:rPr>
        <w:t>nueve (09) de septiembre</w:t>
      </w:r>
      <w:r w:rsidRPr="001552CC">
        <w:rPr>
          <w:rFonts w:ascii="Palatino Linotype" w:eastAsia="Calibri" w:hAnsi="Palatino Linotype" w:cs="Arial"/>
          <w:lang w:val="es-ES" w:eastAsia="es-ES"/>
        </w:rPr>
        <w:t xml:space="preserve"> de dos mil veintiuno, puso a disposición de las partes el expediente electrónico </w:t>
      </w:r>
      <w:r w:rsidRPr="001552CC">
        <w:rPr>
          <w:rFonts w:ascii="Palatino Linotype" w:eastAsia="Calibri" w:hAnsi="Palatino Linotype" w:cs="Arial"/>
          <w:lang w:val="es-ES_tradnl" w:eastAsia="es-ES"/>
        </w:rPr>
        <w:t xml:space="preserve">vía </w:t>
      </w:r>
      <w:r w:rsidRPr="001552CC">
        <w:rPr>
          <w:rFonts w:ascii="Palatino Linotype" w:eastAsia="Calibri" w:hAnsi="Palatino Linotype" w:cs="Arial"/>
          <w:b/>
          <w:lang w:val="es-ES" w:eastAsia="es-ES"/>
        </w:rPr>
        <w:t xml:space="preserve">SAIMEX </w:t>
      </w:r>
      <w:r w:rsidRPr="001552CC">
        <w:rPr>
          <w:rFonts w:ascii="Palatino Linotype" w:eastAsia="Calibri" w:hAnsi="Palatino Linotype" w:cs="Arial"/>
          <w:lang w:val="es-ES" w:eastAsia="es-ES"/>
        </w:rPr>
        <w:t xml:space="preserve">a efecto de que en un plazo máximo de siete días </w:t>
      </w:r>
      <w:r w:rsidRPr="001552CC">
        <w:rPr>
          <w:rFonts w:ascii="Palatino Linotype" w:eastAsia="Calibri" w:hAnsi="Palatino Linotype" w:cs="Arial"/>
          <w:lang w:val="es-ES" w:eastAsia="es-ES"/>
        </w:rPr>
        <w:lastRenderedPageBreak/>
        <w:t xml:space="preserve">manifestaran lo que a derecho convinieran, ofrecieran pruebas y alegatos según corresponda al caso concreto, de esta forma para que el </w:t>
      </w:r>
      <w:r w:rsidRPr="001552CC">
        <w:rPr>
          <w:rFonts w:ascii="Palatino Linotype" w:eastAsia="Calibri" w:hAnsi="Palatino Linotype" w:cs="Arial"/>
          <w:b/>
          <w:lang w:val="es-ES" w:eastAsia="es-ES"/>
        </w:rPr>
        <w:t>SUJETO OBLIGADO</w:t>
      </w:r>
      <w:r w:rsidRPr="001552CC">
        <w:rPr>
          <w:rFonts w:ascii="Palatino Linotype" w:eastAsia="Calibri" w:hAnsi="Palatino Linotype" w:cs="Arial"/>
          <w:lang w:val="es-ES" w:eastAsia="es-ES"/>
        </w:rPr>
        <w:t xml:space="preserve"> presentara el informe justificado procedente.  Por su parte, el particular no realizó ningún tipo de manifestación.</w:t>
      </w:r>
    </w:p>
    <w:p w:rsidR="009F16DC" w:rsidRPr="001552CC" w:rsidRDefault="009F16DC" w:rsidP="001552CC">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9F16DC" w:rsidRPr="001552CC" w:rsidRDefault="009F16DC" w:rsidP="001552CC">
      <w:pPr>
        <w:numPr>
          <w:ilvl w:val="0"/>
          <w:numId w:val="1"/>
        </w:numPr>
        <w:spacing w:line="360" w:lineRule="auto"/>
        <w:ind w:left="0" w:firstLine="0"/>
        <w:contextualSpacing/>
        <w:jc w:val="both"/>
        <w:rPr>
          <w:rFonts w:ascii="Palatino Linotype" w:eastAsia="Calibri" w:hAnsi="Palatino Linotype" w:cs="Arial"/>
          <w:lang w:val="es-ES" w:eastAsia="es-ES"/>
        </w:rPr>
      </w:pPr>
      <w:r w:rsidRPr="001552CC">
        <w:rPr>
          <w:rFonts w:ascii="Palatino Linotype" w:eastAsia="Calibri" w:hAnsi="Palatino Linotype" w:cs="Arial"/>
          <w:lang w:val="es-ES" w:eastAsia="es-ES"/>
        </w:rPr>
        <w:t xml:space="preserve">El día </w:t>
      </w:r>
      <w:r w:rsidR="00B85D22" w:rsidRPr="001552CC">
        <w:rPr>
          <w:rFonts w:ascii="Palatino Linotype" w:eastAsia="Calibri" w:hAnsi="Palatino Linotype" w:cs="Arial"/>
          <w:lang w:val="es-ES" w:eastAsia="es-ES"/>
        </w:rPr>
        <w:t>veintiuno (21) de septiembre</w:t>
      </w:r>
      <w:r w:rsidRPr="001552CC">
        <w:rPr>
          <w:rFonts w:ascii="Palatino Linotype" w:eastAsia="Calibri" w:hAnsi="Palatino Linotype" w:cs="Arial"/>
          <w:lang w:val="es-ES" w:eastAsia="es-ES"/>
        </w:rPr>
        <w:t xml:space="preserve"> de dos mil veintiuno, el </w:t>
      </w:r>
      <w:r w:rsidRPr="001552CC">
        <w:rPr>
          <w:rFonts w:ascii="Palatino Linotype" w:eastAsia="Calibri" w:hAnsi="Palatino Linotype" w:cs="Arial"/>
          <w:b/>
          <w:lang w:val="es-ES" w:eastAsia="es-ES"/>
        </w:rPr>
        <w:t>SUJETO OBLIGADO</w:t>
      </w:r>
      <w:r w:rsidRPr="001552CC">
        <w:rPr>
          <w:rFonts w:ascii="Palatino Linotype" w:eastAsia="Calibri" w:hAnsi="Palatino Linotype" w:cs="Arial"/>
          <w:lang w:val="es-ES" w:eastAsia="es-ES"/>
        </w:rPr>
        <w:t xml:space="preserve"> rindió informe justificado, </w:t>
      </w:r>
      <w:r w:rsidR="00B85D22" w:rsidRPr="001552CC">
        <w:rPr>
          <w:rFonts w:ascii="Palatino Linotype" w:eastAsia="Calibri" w:hAnsi="Palatino Linotype" w:cs="Arial"/>
          <w:lang w:val="es-ES" w:eastAsia="es-ES"/>
        </w:rPr>
        <w:t xml:space="preserve">el cual </w:t>
      </w:r>
      <w:r w:rsidRPr="001552CC">
        <w:rPr>
          <w:rFonts w:ascii="Palatino Linotype" w:eastAsia="Calibri" w:hAnsi="Palatino Linotype" w:cs="Arial"/>
          <w:lang w:val="es-ES" w:eastAsia="es-ES"/>
        </w:rPr>
        <w:t xml:space="preserve"> se puso a la vista el </w:t>
      </w:r>
      <w:r w:rsidR="00B85D22" w:rsidRPr="001552CC">
        <w:rPr>
          <w:rFonts w:ascii="Palatino Linotype" w:eastAsia="Calibri" w:hAnsi="Palatino Linotype" w:cs="Arial"/>
          <w:lang w:val="es-ES" w:eastAsia="es-ES"/>
        </w:rPr>
        <w:t>diecinueve (19) de octubre</w:t>
      </w:r>
      <w:r w:rsidRPr="001552CC">
        <w:rPr>
          <w:rFonts w:ascii="Palatino Linotype" w:eastAsia="Calibri" w:hAnsi="Palatino Linotype" w:cs="Arial"/>
          <w:lang w:val="es-ES" w:eastAsia="es-ES"/>
        </w:rPr>
        <w:t xml:space="preserve">  del presente año, y en el que consta el siguiente documento:</w:t>
      </w:r>
    </w:p>
    <w:p w:rsidR="009F16DC" w:rsidRPr="001552CC" w:rsidRDefault="009F16DC" w:rsidP="001552CC">
      <w:pPr>
        <w:spacing w:line="360" w:lineRule="auto"/>
        <w:contextualSpacing/>
        <w:jc w:val="both"/>
        <w:rPr>
          <w:rFonts w:ascii="Palatino Linotype" w:eastAsia="Calibri" w:hAnsi="Palatino Linotype" w:cs="Arial"/>
          <w:lang w:val="es-ES" w:eastAsia="es-ES"/>
        </w:rPr>
      </w:pPr>
    </w:p>
    <w:p w:rsidR="009F16DC" w:rsidRPr="001552CC" w:rsidRDefault="007F4A9B" w:rsidP="001552CC">
      <w:pPr>
        <w:pStyle w:val="Prrafodelista"/>
        <w:numPr>
          <w:ilvl w:val="0"/>
          <w:numId w:val="2"/>
        </w:numPr>
        <w:spacing w:line="360" w:lineRule="auto"/>
        <w:jc w:val="both"/>
        <w:rPr>
          <w:rFonts w:ascii="Palatino Linotype" w:hAnsi="Palatino Linotype"/>
        </w:rPr>
      </w:pPr>
      <w:hyperlink r:id="rId8" w:history="1">
        <w:r w:rsidR="00B85D22" w:rsidRPr="001552CC">
          <w:rPr>
            <w:rStyle w:val="Hipervnculo"/>
            <w:rFonts w:ascii="Palatino Linotype" w:eastAsia="Calibri" w:hAnsi="Palatino Linotype" w:cs="Arial"/>
            <w:b/>
            <w:bCs/>
            <w:sz w:val="24"/>
            <w:lang w:eastAsia="es-ES"/>
          </w:rPr>
          <w:t>INFORME JUSTIFICADO RR-04583.pdf</w:t>
        </w:r>
      </w:hyperlink>
      <w:r w:rsidR="009F16DC" w:rsidRPr="001552CC">
        <w:rPr>
          <w:rFonts w:ascii="Palatino Linotype" w:eastAsia="Calibri" w:hAnsi="Palatino Linotype" w:cs="Arial"/>
          <w:sz w:val="24"/>
          <w:lang w:val="es-ES" w:eastAsia="es-ES"/>
        </w:rPr>
        <w:t xml:space="preserve">: </w:t>
      </w:r>
      <w:r w:rsidR="00A81B51" w:rsidRPr="001552CC">
        <w:rPr>
          <w:rFonts w:ascii="Palatino Linotype" w:eastAsia="Calibri" w:hAnsi="Palatino Linotype" w:cs="Arial"/>
          <w:sz w:val="24"/>
          <w:lang w:val="es-ES" w:eastAsia="es-ES"/>
        </w:rPr>
        <w:t xml:space="preserve">  Oficio 20600007000000S/UIPPE/1439/2021 del veintiuno (21) de septiembre de dos mil veintiuno, mediante el cual el Sujeto Obligado rinde su informe justificado.</w:t>
      </w:r>
    </w:p>
    <w:p w:rsidR="009F16DC" w:rsidRPr="001552CC" w:rsidRDefault="009F16DC" w:rsidP="001552CC">
      <w:pPr>
        <w:spacing w:line="360" w:lineRule="auto"/>
        <w:contextualSpacing/>
        <w:jc w:val="both"/>
        <w:rPr>
          <w:rFonts w:ascii="Palatino Linotype" w:eastAsiaTheme="minorEastAsia" w:hAnsi="Palatino Linotype"/>
          <w:b/>
          <w:u w:val="single"/>
          <w:lang w:val="es-ES_tradnl" w:eastAsia="es-ES"/>
        </w:rPr>
      </w:pPr>
    </w:p>
    <w:p w:rsidR="009F16DC" w:rsidRPr="001552CC" w:rsidRDefault="009F16DC" w:rsidP="001552CC">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552CC">
        <w:rPr>
          <w:rFonts w:ascii="Palatino Linotype" w:eastAsiaTheme="minorEastAsia" w:hAnsi="Palatino Linotype"/>
          <w:lang w:val="es-ES_tradnl" w:eastAsia="es-ES"/>
        </w:rPr>
        <w:t>El Comisionado Ponente decretó el cierre de instrucción</w:t>
      </w:r>
      <w:r w:rsidRPr="001552CC">
        <w:rPr>
          <w:rFonts w:ascii="Palatino Linotype" w:eastAsiaTheme="minorEastAsia" w:hAnsi="Palatino Linotype" w:cs="Arial"/>
          <w:lang w:val="es-ES_tradnl" w:eastAsia="es-ES"/>
        </w:rPr>
        <w:t xml:space="preserve"> </w:t>
      </w:r>
      <w:r w:rsidRPr="001552CC">
        <w:rPr>
          <w:rFonts w:ascii="Palatino Linotype" w:eastAsiaTheme="minorEastAsia" w:hAnsi="Palatino Linotype"/>
          <w:lang w:val="es-ES_tradnl" w:eastAsia="es-ES"/>
        </w:rPr>
        <w:t xml:space="preserve">mediante el acuerdo de fecha </w:t>
      </w:r>
      <w:r w:rsidR="00A81B51" w:rsidRPr="001552CC">
        <w:rPr>
          <w:rFonts w:ascii="Palatino Linotype" w:eastAsiaTheme="minorEastAsia" w:hAnsi="Palatino Linotype"/>
          <w:lang w:val="es-ES_tradnl" w:eastAsia="es-ES"/>
        </w:rPr>
        <w:t xml:space="preserve">veinticinco (25) de octubre </w:t>
      </w:r>
      <w:r w:rsidRPr="001552CC">
        <w:rPr>
          <w:rFonts w:ascii="Palatino Linotype" w:eastAsiaTheme="minorEastAsia" w:hAnsi="Palatino Linotype"/>
          <w:lang w:val="es-ES_tradnl" w:eastAsia="es-ES"/>
        </w:rPr>
        <w:t xml:space="preserve"> de dos mil veintiuno.</w:t>
      </w:r>
      <w:r w:rsidRPr="001552CC">
        <w:rPr>
          <w:rFonts w:ascii="Palatino Linotype" w:eastAsiaTheme="minorEastAsia" w:hAnsi="Palatino Linotype" w:cs="Arial"/>
          <w:lang w:val="es-ES_tradnl" w:eastAsia="es-ES"/>
        </w:rPr>
        <w:t xml:space="preserve"> </w:t>
      </w:r>
    </w:p>
    <w:p w:rsidR="009F16DC" w:rsidRPr="001552CC" w:rsidRDefault="009F16DC" w:rsidP="001552CC">
      <w:pPr>
        <w:spacing w:line="360" w:lineRule="auto"/>
        <w:contextualSpacing/>
        <w:jc w:val="both"/>
        <w:rPr>
          <w:rFonts w:ascii="Palatino Linotype" w:eastAsiaTheme="minorEastAsia" w:hAnsi="Palatino Linotype"/>
          <w:b/>
          <w:u w:val="single"/>
          <w:lang w:val="es-ES_tradnl" w:eastAsia="es-ES"/>
        </w:rPr>
      </w:pPr>
    </w:p>
    <w:p w:rsidR="009F16DC" w:rsidRPr="001552CC" w:rsidRDefault="009F16DC" w:rsidP="001552CC">
      <w:pPr>
        <w:pStyle w:val="Prrafodelista"/>
        <w:numPr>
          <w:ilvl w:val="0"/>
          <w:numId w:val="1"/>
        </w:numPr>
        <w:spacing w:line="360" w:lineRule="auto"/>
        <w:ind w:left="0" w:firstLine="0"/>
        <w:jc w:val="both"/>
        <w:rPr>
          <w:rFonts w:ascii="Palatino Linotype" w:eastAsia="Calibri" w:hAnsi="Palatino Linotype" w:cs="Arial"/>
          <w:sz w:val="24"/>
          <w:lang w:val="es-ES"/>
        </w:rPr>
      </w:pPr>
      <w:r w:rsidRPr="001552CC">
        <w:rPr>
          <w:rFonts w:ascii="Palatino Linotype" w:eastAsia="Calibri" w:hAnsi="Palatino Linotype" w:cs="Arial"/>
          <w:sz w:val="24"/>
          <w:lang w:val="es-ES"/>
        </w:rPr>
        <w:t xml:space="preserve">El </w:t>
      </w:r>
      <w:r w:rsidR="00A81B51" w:rsidRPr="001552CC">
        <w:rPr>
          <w:rFonts w:ascii="Palatino Linotype" w:eastAsia="Calibri" w:hAnsi="Palatino Linotype" w:cs="Arial"/>
          <w:sz w:val="24"/>
          <w:lang w:val="es-ES"/>
        </w:rPr>
        <w:t xml:space="preserve">tres (03) de noviembre </w:t>
      </w:r>
      <w:r w:rsidRPr="001552CC">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 </w:t>
      </w:r>
      <w:r w:rsidRPr="001552CC">
        <w:rPr>
          <w:rFonts w:ascii="Palatino Linotype" w:hAnsi="Palatino Linotype" w:cs="Arial"/>
          <w:sz w:val="24"/>
        </w:rPr>
        <w:t>posterior a ello ordenó turnar el expediente a resolución, misma que ahora se pronuncia; y------------------------------------------------------------------------------------</w:t>
      </w:r>
    </w:p>
    <w:p w:rsidR="009F16DC" w:rsidRPr="001552CC" w:rsidRDefault="009F16DC" w:rsidP="001552CC">
      <w:pPr>
        <w:spacing w:line="360" w:lineRule="auto"/>
        <w:contextualSpacing/>
        <w:jc w:val="both"/>
        <w:rPr>
          <w:rFonts w:ascii="Palatino Linotype" w:eastAsiaTheme="minorEastAsia" w:hAnsi="Palatino Linotype"/>
          <w:b/>
          <w:u w:val="single"/>
          <w:lang w:val="es-ES_tradnl" w:eastAsia="es-ES"/>
        </w:rPr>
      </w:pPr>
    </w:p>
    <w:p w:rsidR="009F16DC" w:rsidRPr="001552CC" w:rsidRDefault="009F16DC" w:rsidP="001552CC">
      <w:pPr>
        <w:keepNext/>
        <w:keepLines/>
        <w:spacing w:line="360" w:lineRule="auto"/>
        <w:jc w:val="center"/>
        <w:outlineLvl w:val="0"/>
        <w:rPr>
          <w:rFonts w:ascii="Palatino Linotype" w:eastAsiaTheme="majorEastAsia" w:hAnsi="Palatino Linotype" w:cstheme="majorBidi"/>
        </w:rPr>
      </w:pPr>
      <w:bookmarkStart w:id="5" w:name="_Toc84935141"/>
      <w:r w:rsidRPr="001552CC">
        <w:rPr>
          <w:rFonts w:ascii="Palatino Linotype" w:eastAsiaTheme="majorEastAsia" w:hAnsi="Palatino Linotype" w:cstheme="majorBidi"/>
          <w:b/>
        </w:rPr>
        <w:t>CONSIDERANDO</w:t>
      </w:r>
      <w:bookmarkEnd w:id="5"/>
      <w:r w:rsidRPr="001552CC">
        <w:rPr>
          <w:rFonts w:ascii="Palatino Linotype" w:eastAsiaTheme="majorEastAsia" w:hAnsi="Palatino Linotype" w:cstheme="majorBidi"/>
          <w:b/>
        </w:rPr>
        <w:t xml:space="preserve"> </w:t>
      </w:r>
    </w:p>
    <w:p w:rsidR="009F16DC" w:rsidRPr="001552CC" w:rsidRDefault="009F16DC" w:rsidP="001552CC">
      <w:pPr>
        <w:spacing w:line="360" w:lineRule="auto"/>
        <w:rPr>
          <w:rFonts w:ascii="Palatino Linotype" w:eastAsiaTheme="minorEastAsia" w:hAnsi="Palatino Linotype"/>
        </w:rPr>
      </w:pPr>
    </w:p>
    <w:p w:rsidR="009F16DC" w:rsidRPr="001552CC" w:rsidRDefault="009F16DC" w:rsidP="001552CC">
      <w:pPr>
        <w:keepNext/>
        <w:keepLines/>
        <w:spacing w:line="360" w:lineRule="auto"/>
        <w:outlineLvl w:val="1"/>
        <w:rPr>
          <w:rFonts w:ascii="Palatino Linotype" w:eastAsiaTheme="majorEastAsia" w:hAnsi="Palatino Linotype" w:cstheme="majorBidi"/>
          <w:b/>
          <w:szCs w:val="26"/>
        </w:rPr>
      </w:pPr>
      <w:bookmarkStart w:id="6" w:name="_Toc84935142"/>
      <w:r w:rsidRPr="001552CC">
        <w:rPr>
          <w:rFonts w:ascii="Palatino Linotype" w:eastAsiaTheme="majorEastAsia" w:hAnsi="Palatino Linotype" w:cstheme="majorBidi"/>
          <w:b/>
          <w:szCs w:val="26"/>
        </w:rPr>
        <w:lastRenderedPageBreak/>
        <w:t>PRIMERO. De la competencia</w:t>
      </w:r>
      <w:bookmarkEnd w:id="6"/>
    </w:p>
    <w:p w:rsidR="009F16DC" w:rsidRPr="001552CC" w:rsidRDefault="009F16DC" w:rsidP="001552CC">
      <w:pPr>
        <w:keepNext/>
        <w:keepLines/>
        <w:spacing w:line="360" w:lineRule="auto"/>
        <w:outlineLvl w:val="1"/>
        <w:rPr>
          <w:rFonts w:ascii="Palatino Linotype" w:eastAsiaTheme="majorEastAsia" w:hAnsi="Palatino Linotype" w:cstheme="majorBidi"/>
          <w:b/>
          <w:bCs/>
          <w:spacing w:val="60"/>
          <w:szCs w:val="26"/>
        </w:rPr>
      </w:pPr>
    </w:p>
    <w:p w:rsidR="009F16DC" w:rsidRPr="001552CC" w:rsidRDefault="009F16DC" w:rsidP="001552CC">
      <w:pPr>
        <w:numPr>
          <w:ilvl w:val="0"/>
          <w:numId w:val="1"/>
        </w:numPr>
        <w:spacing w:line="360" w:lineRule="auto"/>
        <w:ind w:left="0" w:firstLine="0"/>
        <w:contextualSpacing/>
        <w:jc w:val="both"/>
        <w:rPr>
          <w:rFonts w:ascii="Palatino Linotype" w:eastAsia="Calibri" w:hAnsi="Palatino Linotype"/>
          <w:lang w:eastAsia="es-ES"/>
        </w:rPr>
      </w:pPr>
      <w:r w:rsidRPr="001552CC">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1552CC">
        <w:rPr>
          <w:rFonts w:ascii="Palatino Linotype" w:eastAsia="Calibri" w:hAnsi="Palatino Linotype"/>
          <w:b/>
          <w:lang w:val="es-ES" w:eastAsia="es-ES"/>
        </w:rPr>
        <w:t>Constitución Política de los Estados Unidos Mexicanos</w:t>
      </w:r>
      <w:r w:rsidRPr="001552CC">
        <w:rPr>
          <w:rFonts w:ascii="Palatino Linotype" w:eastAsia="Calibri" w:hAnsi="Palatino Linotype"/>
          <w:lang w:val="es-ES" w:eastAsia="es-ES"/>
        </w:rPr>
        <w:t xml:space="preserve">; 5, </w:t>
      </w:r>
      <w:r w:rsidRPr="001552CC">
        <w:rPr>
          <w:rFonts w:ascii="Palatino Linotype" w:eastAsia="Calibri" w:hAnsi="Palatino Linotype"/>
          <w:lang w:eastAsia="es-ES"/>
        </w:rPr>
        <w:t xml:space="preserve">párrafos trigésimo, trigésimo primero y trigésimo segundo, fracciones I, II, III, IV y V de la </w:t>
      </w:r>
      <w:r w:rsidRPr="001552CC">
        <w:rPr>
          <w:rFonts w:ascii="Palatino Linotype" w:eastAsia="Calibri" w:hAnsi="Palatino Linotype"/>
          <w:b/>
          <w:lang w:eastAsia="es-ES"/>
        </w:rPr>
        <w:t>Constitución Política del Estado Libre y Soberano de México</w:t>
      </w:r>
      <w:r w:rsidRPr="001552CC">
        <w:rPr>
          <w:rFonts w:ascii="Palatino Linotype" w:eastAsia="Calibri" w:hAnsi="Palatino Linotype"/>
          <w:b/>
          <w:lang w:val="es-ES" w:eastAsia="es-ES"/>
        </w:rPr>
        <w:t>;</w:t>
      </w:r>
      <w:r w:rsidRPr="001552CC">
        <w:rPr>
          <w:rFonts w:ascii="Palatino Linotype" w:eastAsia="Calibri" w:hAnsi="Palatino Linotype"/>
          <w:lang w:val="es-ES" w:eastAsia="es-ES"/>
        </w:rPr>
        <w:t xml:space="preserve"> 1, 3 fracción I, 82, 97, 98, 119, 123, 124, 127, 128 y 133 </w:t>
      </w:r>
      <w:r w:rsidRPr="001552CC">
        <w:rPr>
          <w:rFonts w:ascii="Palatino Linotype" w:eastAsia="Calibri" w:hAnsi="Palatino Linotype"/>
          <w:b/>
          <w:lang w:eastAsia="es-ES"/>
        </w:rPr>
        <w:t>Ley de Protección de Datos Personales en Posesión de Sujetos Obligados del Estado de México y Municipios</w:t>
      </w:r>
      <w:r w:rsidRPr="001552CC">
        <w:rPr>
          <w:rFonts w:ascii="Palatino Linotype" w:eastAsia="Calibri" w:hAnsi="Palatino Linotype"/>
          <w:lang w:val="es-ES" w:eastAsia="es-ES"/>
        </w:rPr>
        <w:t xml:space="preserve">; y 10, 7, 9 fracciones I y XXIV, y 11 del </w:t>
      </w:r>
      <w:r w:rsidRPr="001552CC">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9F16DC" w:rsidRPr="001552CC" w:rsidRDefault="009F16DC" w:rsidP="001552CC">
      <w:pPr>
        <w:spacing w:line="360" w:lineRule="auto"/>
        <w:contextualSpacing/>
        <w:jc w:val="both"/>
        <w:rPr>
          <w:rFonts w:ascii="Palatino Linotype" w:eastAsiaTheme="minorEastAsia" w:hAnsi="Palatino Linotype"/>
          <w:lang w:val="es-ES_tradnl" w:eastAsia="es-ES"/>
        </w:rPr>
      </w:pPr>
    </w:p>
    <w:p w:rsidR="009F16DC" w:rsidRPr="001552CC" w:rsidRDefault="009F16DC" w:rsidP="001552CC">
      <w:pPr>
        <w:keepNext/>
        <w:keepLines/>
        <w:spacing w:line="360" w:lineRule="auto"/>
        <w:outlineLvl w:val="1"/>
        <w:rPr>
          <w:rFonts w:ascii="Palatino Linotype" w:eastAsiaTheme="majorEastAsia" w:hAnsi="Palatino Linotype" w:cstheme="majorBidi"/>
          <w:b/>
          <w:szCs w:val="26"/>
        </w:rPr>
      </w:pPr>
      <w:bookmarkStart w:id="7" w:name="_Toc84935143"/>
      <w:r w:rsidRPr="001552CC">
        <w:rPr>
          <w:rFonts w:ascii="Palatino Linotype" w:eastAsiaTheme="majorEastAsia" w:hAnsi="Palatino Linotype" w:cstheme="majorBidi"/>
          <w:b/>
          <w:szCs w:val="26"/>
        </w:rPr>
        <w:t>SEGUNDO. De la oportunidad y procedencia.</w:t>
      </w:r>
      <w:bookmarkEnd w:id="7"/>
    </w:p>
    <w:p w:rsidR="009F16DC" w:rsidRPr="001552CC" w:rsidRDefault="009F16DC" w:rsidP="001552CC">
      <w:pPr>
        <w:spacing w:line="360" w:lineRule="auto"/>
        <w:rPr>
          <w:rFonts w:ascii="Palatino Linotype" w:eastAsiaTheme="minorEastAsia" w:hAnsi="Palatino Linotype"/>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eastAsia="Calibri" w:hAnsi="Palatino Linotype" w:cs="Arial"/>
          <w:lang w:val="es-ES_tradnl" w:eastAsia="es-ES"/>
        </w:rPr>
        <w:t xml:space="preserve">El medio de impugnación fue presentado a través del </w:t>
      </w:r>
      <w:r w:rsidRPr="001552CC">
        <w:rPr>
          <w:rFonts w:ascii="Palatino Linotype" w:eastAsia="Calibri" w:hAnsi="Palatino Linotype" w:cs="Arial"/>
          <w:b/>
          <w:lang w:val="es-ES_tradnl" w:eastAsia="es-ES"/>
        </w:rPr>
        <w:t>SAIMEX,</w:t>
      </w:r>
      <w:r w:rsidRPr="001552CC">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552CC">
        <w:rPr>
          <w:rFonts w:ascii="Palatino Linotype" w:eastAsia="Calibri" w:hAnsi="Palatino Linotype" w:cs="Arial"/>
          <w:b/>
          <w:lang w:val="es-ES_tradnl" w:eastAsia="es-ES"/>
        </w:rPr>
        <w:t>SUJETO OBLIGADO</w:t>
      </w:r>
      <w:r w:rsidRPr="001552CC">
        <w:rPr>
          <w:rFonts w:ascii="Palatino Linotype" w:eastAsia="Calibri" w:hAnsi="Palatino Linotype" w:cs="Arial"/>
          <w:lang w:val="es-ES_tradnl" w:eastAsia="es-ES"/>
        </w:rPr>
        <w:t xml:space="preserve"> entregó respuesta a la solicitud el día </w:t>
      </w:r>
      <w:r w:rsidR="003627E9" w:rsidRPr="001552CC">
        <w:rPr>
          <w:rFonts w:ascii="Palatino Linotype" w:eastAsia="Calibri" w:hAnsi="Palatino Linotype" w:cs="Arial"/>
          <w:lang w:val="es-ES_tradnl" w:eastAsia="es-ES"/>
        </w:rPr>
        <w:t>dos (02) de septiembre</w:t>
      </w:r>
      <w:r w:rsidRPr="001552CC">
        <w:rPr>
          <w:rFonts w:ascii="Palatino Linotype" w:eastAsia="Calibri" w:hAnsi="Palatino Linotype" w:cs="Arial"/>
          <w:lang w:val="es-ES_tradnl" w:eastAsia="es-ES"/>
        </w:rPr>
        <w:t xml:space="preserve"> de dos mil veintiuno, </w:t>
      </w:r>
      <w:r w:rsidRPr="001552CC">
        <w:rPr>
          <w:rFonts w:ascii="Palatino Linotype" w:eastAsiaTheme="minorEastAsia" w:hAnsi="Palatino Linotype" w:cs="Arial"/>
          <w:lang w:val="es-ES_tradnl" w:eastAsia="es-ES"/>
        </w:rPr>
        <w:t xml:space="preserve">de tal forma que el plazo para interponer el recurso de revisión transcurrió del </w:t>
      </w:r>
      <w:r w:rsidR="003627E9" w:rsidRPr="001552CC">
        <w:rPr>
          <w:rFonts w:ascii="Palatino Linotype" w:eastAsiaTheme="minorEastAsia" w:hAnsi="Palatino Linotype" w:cs="Arial"/>
          <w:lang w:val="es-ES_tradnl" w:eastAsia="es-ES"/>
        </w:rPr>
        <w:t>tres (03)</w:t>
      </w:r>
      <w:r w:rsidRPr="001552CC">
        <w:rPr>
          <w:rFonts w:ascii="Palatino Linotype" w:eastAsiaTheme="minorEastAsia" w:hAnsi="Palatino Linotype" w:cs="Arial"/>
          <w:lang w:val="es-ES_tradnl" w:eastAsia="es-ES"/>
        </w:rPr>
        <w:t xml:space="preserve">  al </w:t>
      </w:r>
      <w:r w:rsidR="003627E9" w:rsidRPr="001552CC">
        <w:rPr>
          <w:rFonts w:ascii="Palatino Linotype" w:eastAsiaTheme="minorEastAsia" w:hAnsi="Palatino Linotype" w:cs="Arial"/>
          <w:lang w:val="es-ES_tradnl" w:eastAsia="es-ES"/>
        </w:rPr>
        <w:t>veinticuatro (24) de septiembre de</w:t>
      </w:r>
      <w:r w:rsidRPr="001552CC">
        <w:rPr>
          <w:rFonts w:ascii="Palatino Linotype" w:eastAsiaTheme="minorEastAsia" w:hAnsi="Palatino Linotype" w:cs="Arial"/>
          <w:lang w:val="es-ES_tradnl" w:eastAsia="es-ES"/>
        </w:rPr>
        <w:t xml:space="preserve"> dos mil veintiuno; en consecuencia, presentó su inconformidad el día </w:t>
      </w:r>
      <w:r w:rsidR="003627E9" w:rsidRPr="001552CC">
        <w:rPr>
          <w:rFonts w:ascii="Palatino Linotype" w:eastAsiaTheme="minorEastAsia" w:hAnsi="Palatino Linotype" w:cs="Arial"/>
          <w:lang w:val="es-ES_tradnl" w:eastAsia="es-ES"/>
        </w:rPr>
        <w:t xml:space="preserve">cinco (05) de septiembre </w:t>
      </w:r>
      <w:r w:rsidRPr="001552CC">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1552CC">
        <w:rPr>
          <w:rFonts w:ascii="Palatino Linotype" w:eastAsiaTheme="minorEastAsia" w:hAnsi="Palatino Linotype" w:cs="Arial"/>
          <w:b/>
          <w:lang w:val="es-ES_tradnl" w:eastAsia="es-ES"/>
        </w:rPr>
        <w:t xml:space="preserve">Ley de Transparencia y Acceso a la Información Pública del Estado de México y Municipios </w:t>
      </w:r>
      <w:r w:rsidRPr="001552CC">
        <w:rPr>
          <w:rFonts w:ascii="Palatino Linotype" w:eastAsiaTheme="minorEastAsia" w:hAnsi="Palatino Linotype" w:cs="Arial"/>
          <w:lang w:val="es-ES_tradnl" w:eastAsia="es-ES"/>
        </w:rPr>
        <w:t>vigente.</w:t>
      </w:r>
    </w:p>
    <w:p w:rsidR="009F16DC" w:rsidRPr="001552CC" w:rsidRDefault="009F16DC" w:rsidP="001552CC">
      <w:pPr>
        <w:spacing w:line="360" w:lineRule="auto"/>
        <w:ind w:right="49"/>
        <w:contextualSpacing/>
        <w:jc w:val="both"/>
        <w:rPr>
          <w:rFonts w:ascii="Palatino Linotype" w:eastAsiaTheme="minorEastAsia" w:hAnsi="Palatino Linotype" w:cs="Arial"/>
          <w:lang w:val="es-ES_tradnl" w:eastAsia="es-ES"/>
        </w:rPr>
      </w:pPr>
    </w:p>
    <w:p w:rsidR="003627E9" w:rsidRPr="008E2C1A"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eastAsia="Calibri" w:hAnsi="Palatino Linotype" w:cs="Arial"/>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8E2C1A" w:rsidRDefault="008E2C1A" w:rsidP="008E2C1A">
      <w:pPr>
        <w:pStyle w:val="Prrafodelista"/>
        <w:rPr>
          <w:rFonts w:ascii="Palatino Linotype" w:eastAsiaTheme="minorEastAsia" w:hAnsi="Palatino Linotype"/>
          <w:lang w:val="es-ES_tradnl" w:eastAsia="es-ES"/>
        </w:rPr>
      </w:pPr>
    </w:p>
    <w:p w:rsidR="008E2C1A" w:rsidRPr="00D20AEC" w:rsidRDefault="008E2C1A" w:rsidP="008E2C1A">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pStyle w:val="Ttulo1"/>
        <w:spacing w:before="0" w:line="360" w:lineRule="auto"/>
        <w:rPr>
          <w:rFonts w:ascii="Palatino Linotype" w:eastAsiaTheme="minorEastAsia" w:hAnsi="Palatino Linotype"/>
          <w:b/>
          <w:color w:val="auto"/>
          <w:sz w:val="24"/>
          <w:lang w:eastAsia="es-ES"/>
        </w:rPr>
      </w:pPr>
      <w:bookmarkStart w:id="11" w:name="_Toc70082938"/>
      <w:bookmarkStart w:id="12" w:name="_Toc84935144"/>
      <w:r w:rsidRPr="001552CC">
        <w:rPr>
          <w:rFonts w:ascii="Palatino Linotype" w:eastAsiaTheme="minorEastAsia" w:hAnsi="Palatino Linotype"/>
          <w:b/>
          <w:color w:val="auto"/>
          <w:sz w:val="24"/>
          <w:lang w:eastAsia="es-ES"/>
        </w:rPr>
        <w:t>TERCERO. De las causales del sobreseimiento.</w:t>
      </w:r>
      <w:bookmarkEnd w:id="11"/>
      <w:bookmarkEnd w:id="12"/>
    </w:p>
    <w:p w:rsidR="009F16DC" w:rsidRPr="001552CC" w:rsidRDefault="009F16DC" w:rsidP="001552CC">
      <w:pPr>
        <w:spacing w:line="360" w:lineRule="auto"/>
        <w:ind w:right="49"/>
        <w:contextualSpacing/>
        <w:jc w:val="both"/>
        <w:rPr>
          <w:rFonts w:ascii="Palatino Linotype" w:eastAsiaTheme="minorEastAsia" w:hAnsi="Palatino Linotype"/>
          <w:b/>
          <w:lang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olor w:val="000000" w:themeColor="text1"/>
        </w:rPr>
        <w:t xml:space="preserve">Ante la solicitud </w:t>
      </w:r>
      <w:r w:rsidRPr="001552CC">
        <w:rPr>
          <w:rFonts w:ascii="Palatino Linotype" w:eastAsia="Calibri" w:hAnsi="Palatino Linotype" w:cs="Arial"/>
          <w:color w:val="000000" w:themeColor="text1"/>
          <w:lang w:val="es-ES"/>
        </w:rPr>
        <w:t>formulada por el particular a</w:t>
      </w:r>
      <w:r w:rsidR="003627E9" w:rsidRPr="001552CC">
        <w:rPr>
          <w:rFonts w:ascii="Palatino Linotype" w:eastAsia="Calibri" w:hAnsi="Palatino Linotype" w:cs="Arial"/>
          <w:color w:val="000000" w:themeColor="text1"/>
          <w:lang w:val="es-ES"/>
        </w:rPr>
        <w:t xml:space="preserve"> </w:t>
      </w:r>
      <w:r w:rsidRPr="001552CC">
        <w:rPr>
          <w:rFonts w:ascii="Palatino Linotype" w:eastAsia="Calibri" w:hAnsi="Palatino Linotype" w:cs="Arial"/>
          <w:color w:val="000000" w:themeColor="text1"/>
          <w:lang w:val="es-ES"/>
        </w:rPr>
        <w:t>l</w:t>
      </w:r>
      <w:r w:rsidR="003627E9" w:rsidRPr="001552CC">
        <w:rPr>
          <w:rFonts w:ascii="Palatino Linotype" w:eastAsia="Calibri" w:hAnsi="Palatino Linotype" w:cs="Arial"/>
          <w:color w:val="000000" w:themeColor="text1"/>
          <w:lang w:val="es-ES"/>
        </w:rPr>
        <w:t>a</w:t>
      </w:r>
      <w:r w:rsidRPr="001552CC">
        <w:rPr>
          <w:rFonts w:ascii="Palatino Linotype" w:eastAsia="Calibri" w:hAnsi="Palatino Linotype" w:cs="Arial"/>
          <w:b/>
          <w:color w:val="000000" w:themeColor="text1"/>
          <w:lang w:val="es-ES"/>
        </w:rPr>
        <w:t xml:space="preserve"> </w:t>
      </w:r>
      <w:r w:rsidR="003627E9" w:rsidRPr="001552CC">
        <w:rPr>
          <w:rFonts w:ascii="Palatino Linotype" w:eastAsia="Calibri" w:hAnsi="Palatino Linotype" w:cs="Arial"/>
          <w:b/>
          <w:color w:val="000000" w:themeColor="text1"/>
          <w:lang w:val="es-ES"/>
        </w:rPr>
        <w:t>Secretaría de Seguridad</w:t>
      </w:r>
      <w:r w:rsidRPr="001552CC">
        <w:rPr>
          <w:rFonts w:ascii="Palatino Linotype" w:eastAsia="Calibri" w:hAnsi="Palatino Linotype" w:cs="Arial"/>
          <w:b/>
          <w:color w:val="000000" w:themeColor="text1"/>
          <w:lang w:val="es-ES"/>
        </w:rPr>
        <w:t xml:space="preserve"> </w:t>
      </w:r>
      <w:r w:rsidR="003627E9" w:rsidRPr="001552CC">
        <w:rPr>
          <w:rFonts w:ascii="Palatino Linotype" w:hAnsi="Palatino Linotype"/>
          <w:color w:val="000000" w:themeColor="text1"/>
        </w:rPr>
        <w:t>en donde se requiere, el nombre y cargo de los encargados de tránsito y vialidad que prestan su servicio en el Municipio de San Antonio la Isla; e</w:t>
      </w:r>
      <w:r w:rsidRPr="001552CC">
        <w:rPr>
          <w:rFonts w:ascii="Palatino Linotype" w:hAnsi="Palatino Linotype"/>
        </w:rPr>
        <w:t>l Sujeto Obligado</w:t>
      </w:r>
      <w:r w:rsidR="003627E9" w:rsidRPr="001552CC">
        <w:rPr>
          <w:rFonts w:ascii="Palatino Linotype" w:hAnsi="Palatino Linotype"/>
          <w:iCs/>
          <w:color w:val="000000"/>
        </w:rPr>
        <w:t xml:space="preserve"> manifestó mediante respuesta que la encargada de coordinar la vigilancia de las disposiciones legales y administrativas en materia de tránsito es la Directora de Policía de Tránsito de la Secretaría de Seguridad, Yazmin Butrón Cárdenas.</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hAnsi="Palatino Linotype"/>
          <w:i/>
          <w:color w:val="000000"/>
        </w:rPr>
      </w:pPr>
      <w:r w:rsidRPr="001552CC">
        <w:rPr>
          <w:rFonts w:ascii="Palatino Linotype" w:eastAsia="MS Mincho" w:hAnsi="Palatino Linotype"/>
        </w:rPr>
        <w:t>En atención a lo anterior expuesto, es pertinente señalar que el párrafo primero del artículo 11 de la</w:t>
      </w:r>
      <w:r w:rsidRPr="001552CC">
        <w:rPr>
          <w:rFonts w:ascii="Palatino Linotype" w:hAnsi="Palatino Linotype"/>
        </w:rPr>
        <w:t xml:space="preserve"> </w:t>
      </w:r>
      <w:r w:rsidRPr="001552CC">
        <w:rPr>
          <w:rFonts w:ascii="Palatino Linotype" w:hAnsi="Palatino Linotype"/>
          <w:b/>
        </w:rPr>
        <w:t>Ley de Transparencia y Acceso a la Información Pública del Estado de México y Municipios</w:t>
      </w:r>
      <w:r w:rsidRPr="001552CC">
        <w:rPr>
          <w:rFonts w:ascii="Palatino Linotype" w:hAnsi="Palatino Linotype"/>
        </w:rPr>
        <w:t xml:space="preserve"> , misma que dispone las formas en que se habrá de generar, publicar y hacer entrega de la información al señalar que </w:t>
      </w:r>
      <w:r w:rsidRPr="001552CC">
        <w:rPr>
          <w:rFonts w:ascii="Palatino Linotype" w:eastAsia="Calibri" w:hAnsi="Palatino Linotype" w:cs="Arial"/>
          <w:lang w:val="es-ES"/>
        </w:rPr>
        <w:t>“</w:t>
      </w:r>
      <w:r w:rsidRPr="001552CC">
        <w:rPr>
          <w:rFonts w:ascii="Palatino Linotype" w:hAnsi="Palatino Linotype"/>
          <w:i/>
        </w:rPr>
        <w:t xml:space="preserve">En la generación, publicación y </w:t>
      </w:r>
      <w:r w:rsidRPr="001552CC">
        <w:rPr>
          <w:rFonts w:ascii="Palatino Linotype" w:hAnsi="Palatino Linotype"/>
          <w:b/>
          <w:i/>
          <w:u w:val="single"/>
        </w:rPr>
        <w:t>entrega de información</w:t>
      </w:r>
      <w:r w:rsidRPr="001552CC">
        <w:rPr>
          <w:rFonts w:ascii="Palatino Linotype" w:hAnsi="Palatino Linotype"/>
          <w:i/>
        </w:rPr>
        <w:t xml:space="preserve"> se deberá garantizar que ésta sea accesible, actualizada, </w:t>
      </w:r>
      <w:r w:rsidRPr="001552CC">
        <w:rPr>
          <w:rFonts w:ascii="Palatino Linotype" w:hAnsi="Palatino Linotype"/>
          <w:b/>
          <w:i/>
          <w:u w:val="single"/>
        </w:rPr>
        <w:t>completa</w:t>
      </w:r>
      <w:r w:rsidRPr="001552CC">
        <w:rPr>
          <w:rFonts w:ascii="Palatino Linotype" w:hAnsi="Palatino Linotype"/>
          <w:i/>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eastAsia="MS Mincho" w:hAnsi="Palatino Linotype"/>
        </w:rPr>
        <w:lastRenderedPageBreak/>
        <w:t xml:space="preserve">De ello se advierte que la respuesta de todos los Sujetos Obligados a una solicitud de Acceso a la Información Pública debe ser completa </w:t>
      </w:r>
      <w:r w:rsidRPr="001552CC">
        <w:rPr>
          <w:rFonts w:ascii="Palatino Linotype" w:hAnsi="Palatino Linotype"/>
        </w:rPr>
        <w:t>confiable, accesible, verificable, veraz, integral</w:t>
      </w:r>
      <w:r w:rsidRPr="001552CC">
        <w:rPr>
          <w:rFonts w:ascii="Palatino Linotype" w:eastAsia="MS Mincho" w:hAnsi="Palatino Linotype"/>
        </w:rPr>
        <w:t xml:space="preserve"> y congruente con lo requerido, de lo contrario se contravendría el artículo 11 de la Ley de Transparencia Local.</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rPr>
        <w:t xml:space="preserve">Bajo ese tenor, se concluye que es obligación de todas las autoridades, promover, respetar y garantizar los derechos humanos, entre ellos el de acceso a la información pública, por lo que la falta de respuesta, las respuestas imprecisas, </w:t>
      </w:r>
      <w:r w:rsidRPr="001552CC">
        <w:rPr>
          <w:rFonts w:ascii="Palatino Linotype" w:hAnsi="Palatino Linotype"/>
          <w:b/>
          <w:u w:val="single"/>
        </w:rPr>
        <w:t>incompletas</w:t>
      </w:r>
      <w:r w:rsidRPr="001552CC">
        <w:rPr>
          <w:rFonts w:ascii="Palatino Linotype" w:hAnsi="Palatino Linotype"/>
        </w:rPr>
        <w:t xml:space="preserve">, o que no corresponden a lo solicitado </w:t>
      </w:r>
      <w:r w:rsidRPr="001552CC">
        <w:rPr>
          <w:rFonts w:ascii="Palatino Linotype" w:hAnsi="Palatino Linotype"/>
          <w:b/>
          <w:u w:val="single"/>
        </w:rPr>
        <w:t>generan una afectación inicial susceptible de ser reparada mediante el recurso de revisión</w:t>
      </w:r>
      <w:r w:rsidRPr="001552CC">
        <w:rPr>
          <w:rFonts w:ascii="Palatino Linotype" w:hAnsi="Palatino Linotype"/>
        </w:rPr>
        <w:t>.</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1552CC" w:rsidRPr="001552CC" w:rsidRDefault="00834ECA" w:rsidP="001552CC">
      <w:pPr>
        <w:numPr>
          <w:ilvl w:val="0"/>
          <w:numId w:val="1"/>
        </w:numPr>
        <w:spacing w:line="360" w:lineRule="auto"/>
        <w:ind w:left="0" w:right="49" w:firstLine="0"/>
        <w:contextualSpacing/>
        <w:jc w:val="both"/>
        <w:rPr>
          <w:rFonts w:ascii="Palatino Linotype" w:eastAsiaTheme="minorEastAsia" w:hAnsi="Palatino Linotype"/>
          <w:i/>
          <w:sz w:val="44"/>
          <w:lang w:val="es-ES_tradnl" w:eastAsia="es-ES"/>
        </w:rPr>
      </w:pPr>
      <w:r w:rsidRPr="001552CC">
        <w:rPr>
          <w:rFonts w:ascii="Palatino Linotype" w:eastAsiaTheme="minorEastAsia" w:hAnsi="Palatino Linotype"/>
          <w:lang w:val="es-ES_tradnl" w:eastAsia="es-ES"/>
        </w:rPr>
        <w:t>Ahora bien, el RECURRENTE manifestó como acto impugnado “</w:t>
      </w:r>
      <w:r w:rsidRPr="001552CC">
        <w:rPr>
          <w:rFonts w:ascii="Palatino Linotype" w:hAnsi="Palatino Linotype"/>
          <w:i/>
          <w:color w:val="000000"/>
        </w:rPr>
        <w:t xml:space="preserve">No me están dando la información solicitada, solo me hace referencia a la ley de seguridad pública, que ya conozco Requiero saber que elementos están destinados a las funciones de vialidad y Tránsito en el municipio de San antonio la isla”, </w:t>
      </w:r>
      <w:r w:rsidRPr="001552CC">
        <w:rPr>
          <w:rFonts w:ascii="Palatino Linotype" w:hAnsi="Palatino Linotype"/>
          <w:color w:val="000000"/>
        </w:rPr>
        <w:t>y en sus motivos de inconformidad “</w:t>
      </w:r>
      <w:r w:rsidRPr="001552CC">
        <w:rPr>
          <w:rFonts w:ascii="Palatino Linotype" w:hAnsi="Palatino Linotype"/>
          <w:i/>
          <w:color w:val="000000"/>
          <w:szCs w:val="14"/>
        </w:rPr>
        <w:t>El ayuntamiento no tiene elementos de vialidad y Tránsito y argumentan que la SSEM es responsable del servicio La SSEM no tiene ningún elemento asignado al municipio Entonces, quien realiza esta labor?”</w:t>
      </w:r>
    </w:p>
    <w:p w:rsidR="001552CC" w:rsidRPr="001552CC" w:rsidRDefault="001552CC" w:rsidP="001552CC">
      <w:pPr>
        <w:spacing w:line="360" w:lineRule="auto"/>
        <w:ind w:right="49"/>
        <w:contextualSpacing/>
        <w:jc w:val="both"/>
        <w:rPr>
          <w:rFonts w:ascii="Palatino Linotype" w:eastAsiaTheme="minorEastAsia" w:hAnsi="Palatino Linotype"/>
          <w:i/>
          <w:lang w:val="es-ES_tradnl" w:eastAsia="es-ES"/>
        </w:rPr>
      </w:pPr>
    </w:p>
    <w:p w:rsidR="001552CC" w:rsidRPr="00D20AEC" w:rsidRDefault="001E33D1" w:rsidP="001552CC">
      <w:pPr>
        <w:numPr>
          <w:ilvl w:val="0"/>
          <w:numId w:val="1"/>
        </w:numPr>
        <w:spacing w:line="360" w:lineRule="auto"/>
        <w:ind w:left="0" w:right="49" w:firstLine="0"/>
        <w:contextualSpacing/>
        <w:jc w:val="both"/>
        <w:rPr>
          <w:rFonts w:ascii="Palatino Linotype" w:eastAsia="MS Mincho" w:hAnsi="Palatino Linotype" w:cstheme="majorBidi"/>
          <w:b/>
          <w:lang w:val="es-ES_tradnl" w:eastAsia="es-ES"/>
        </w:rPr>
      </w:pPr>
      <w:r w:rsidRPr="001552CC">
        <w:rPr>
          <w:rFonts w:ascii="Palatino Linotype" w:eastAsiaTheme="minorEastAsia" w:hAnsi="Palatino Linotype"/>
          <w:lang w:val="es-ES_tradnl" w:eastAsia="es-ES"/>
        </w:rPr>
        <w:t xml:space="preserve">En este caso, es importante señalar que por </w:t>
      </w:r>
      <w:r w:rsidR="001552CC" w:rsidRPr="001552CC">
        <w:rPr>
          <w:rFonts w:ascii="Palatino Linotype" w:eastAsiaTheme="minorEastAsia" w:hAnsi="Palatino Linotype"/>
          <w:lang w:val="es-ES_tradnl" w:eastAsia="es-ES"/>
        </w:rPr>
        <w:t>lo que hace a argumentos ver</w:t>
      </w:r>
      <w:r w:rsidRPr="001552CC">
        <w:rPr>
          <w:rFonts w:ascii="Palatino Linotype" w:eastAsiaTheme="minorEastAsia" w:hAnsi="Palatino Linotype"/>
          <w:lang w:val="es-ES_tradnl" w:eastAsia="es-ES"/>
        </w:rPr>
        <w:t>t</w:t>
      </w:r>
      <w:r w:rsidR="001552CC" w:rsidRPr="001552CC">
        <w:rPr>
          <w:rFonts w:ascii="Palatino Linotype" w:eastAsiaTheme="minorEastAsia" w:hAnsi="Palatino Linotype"/>
          <w:lang w:val="es-ES_tradnl" w:eastAsia="es-ES"/>
        </w:rPr>
        <w:t>id</w:t>
      </w:r>
      <w:r w:rsidRPr="001552CC">
        <w:rPr>
          <w:rFonts w:ascii="Palatino Linotype" w:eastAsiaTheme="minorEastAsia" w:hAnsi="Palatino Linotype"/>
          <w:lang w:val="es-ES_tradnl" w:eastAsia="es-ES"/>
        </w:rPr>
        <w:t xml:space="preserve">os por el RECURRENTE </w:t>
      </w:r>
      <w:r w:rsidR="001552CC" w:rsidRPr="001552CC">
        <w:rPr>
          <w:rFonts w:ascii="Palatino Linotype" w:eastAsiaTheme="minorEastAsia" w:hAnsi="Palatino Linotype"/>
          <w:lang w:val="es-ES_tradnl" w:eastAsia="es-ES"/>
        </w:rPr>
        <w:t>en el</w:t>
      </w:r>
      <w:r w:rsidRPr="001552CC">
        <w:rPr>
          <w:rFonts w:ascii="Palatino Linotype" w:eastAsiaTheme="minorEastAsia" w:hAnsi="Palatino Linotype"/>
          <w:lang w:val="es-ES_tradnl" w:eastAsia="es-ES"/>
        </w:rPr>
        <w:t xml:space="preserve"> recurso de revisión, </w:t>
      </w:r>
      <w:r w:rsidR="001552CC" w:rsidRPr="001552CC">
        <w:rPr>
          <w:rFonts w:ascii="Palatino Linotype" w:eastAsia="MS Mincho" w:hAnsi="Palatino Linotype" w:cstheme="majorBidi"/>
          <w:b/>
          <w:lang w:val="es-ES_tradnl" w:eastAsia="es-ES"/>
        </w:rPr>
        <w:t xml:space="preserve">se desprenden nuevos requerimientos, mismos que no pueden ser atendidos dado que no fueron solicitados inicialmente, a lo que se le conoce también como plus petitio. </w:t>
      </w:r>
      <w:r w:rsidR="001552CC" w:rsidRPr="001552CC">
        <w:rPr>
          <w:rFonts w:ascii="Palatino Linotype" w:hAnsi="Palatino Linotype" w:cs="Arial"/>
          <w:color w:val="000000"/>
          <w:lang w:val="es-ES" w:eastAsia="es-ES"/>
        </w:rPr>
        <w:t xml:space="preserve">Sirve de apoyo a lo anterior por analogía, la Jurisprudencia No. 29 visible a foja 19 del </w:t>
      </w:r>
      <w:r w:rsidR="001552CC" w:rsidRPr="001552CC">
        <w:rPr>
          <w:rFonts w:ascii="Palatino Linotype" w:hAnsi="Palatino Linotype" w:cs="Arial"/>
          <w:color w:val="000000"/>
          <w:lang w:val="es-ES" w:eastAsia="es-ES"/>
        </w:rPr>
        <w:lastRenderedPageBreak/>
        <w:t>Apéndice al Semanario Judicial de la Federación 1917-1995, Torno VI, Materia Común, Primera Parte, Tesis de la Suprema Corte de Justicia, que enseña:</w:t>
      </w:r>
    </w:p>
    <w:p w:rsidR="00D20AEC" w:rsidRPr="001552CC" w:rsidRDefault="00D20AEC" w:rsidP="00D20AEC">
      <w:pPr>
        <w:spacing w:line="360" w:lineRule="auto"/>
        <w:ind w:right="49"/>
        <w:contextualSpacing/>
        <w:jc w:val="both"/>
        <w:rPr>
          <w:rFonts w:ascii="Palatino Linotype" w:eastAsia="MS Mincho" w:hAnsi="Palatino Linotype" w:cstheme="majorBidi"/>
          <w:b/>
          <w:lang w:val="es-ES_tradnl" w:eastAsia="es-ES"/>
        </w:rPr>
      </w:pPr>
    </w:p>
    <w:p w:rsidR="001552CC" w:rsidRPr="001552CC" w:rsidRDefault="001552CC" w:rsidP="001552CC">
      <w:pPr>
        <w:pStyle w:val="Prrafodelista"/>
        <w:spacing w:line="360" w:lineRule="auto"/>
        <w:ind w:left="786" w:right="901"/>
        <w:jc w:val="both"/>
        <w:rPr>
          <w:rFonts w:ascii="Palatino Linotype" w:hAnsi="Palatino Linotype" w:cs="Arial"/>
          <w:b/>
          <w:color w:val="000000"/>
          <w:lang w:val="es-ES" w:eastAsia="es-ES"/>
        </w:rPr>
      </w:pPr>
      <w:r w:rsidRPr="001552CC">
        <w:rPr>
          <w:rFonts w:ascii="Palatino Linotype" w:hAnsi="Palatino Linotype" w:cs="Arial"/>
          <w:b/>
          <w:color w:val="000000"/>
          <w:lang w:val="es-ES" w:eastAsia="es-ES"/>
        </w:rPr>
        <w:t>"</w:t>
      </w:r>
      <w:r w:rsidRPr="001552CC">
        <w:rPr>
          <w:rFonts w:ascii="Palatino Linotype" w:hAnsi="Palatino Linotype" w:cs="Arial"/>
          <w:i/>
          <w:color w:val="000000"/>
          <w:lang w:val="es-ES" w:eastAsia="es-ES"/>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1552CC">
        <w:rPr>
          <w:rFonts w:ascii="Palatino Linotype" w:hAnsi="Palatino Linotype" w:cs="Arial"/>
          <w:b/>
          <w:color w:val="000000"/>
          <w:lang w:val="es-ES" w:eastAsia="es-ES"/>
        </w:rPr>
        <w:t>"</w:t>
      </w:r>
    </w:p>
    <w:p w:rsidR="001552CC" w:rsidRPr="001552CC" w:rsidRDefault="001552CC" w:rsidP="001552CC">
      <w:pPr>
        <w:pStyle w:val="Prrafodelista"/>
        <w:spacing w:line="360" w:lineRule="auto"/>
        <w:ind w:left="786" w:right="901"/>
        <w:jc w:val="both"/>
        <w:rPr>
          <w:rFonts w:ascii="Palatino Linotype" w:hAnsi="Palatino Linotype" w:cs="Arial"/>
          <w:b/>
          <w:color w:val="000000"/>
          <w:lang w:val="es-ES" w:eastAsia="es-ES"/>
        </w:rPr>
      </w:pPr>
    </w:p>
    <w:p w:rsidR="001552CC" w:rsidRPr="00D20AEC" w:rsidRDefault="001552CC" w:rsidP="001552CC">
      <w:pPr>
        <w:pStyle w:val="Prrafodelista"/>
        <w:numPr>
          <w:ilvl w:val="0"/>
          <w:numId w:val="1"/>
        </w:numPr>
        <w:spacing w:line="360" w:lineRule="auto"/>
        <w:ind w:left="0" w:firstLine="0"/>
        <w:jc w:val="both"/>
        <w:rPr>
          <w:rFonts w:ascii="Palatino Linotype" w:hAnsi="Palatino Linotype" w:cs="Arial"/>
          <w:color w:val="000000"/>
          <w:sz w:val="24"/>
          <w:lang w:val="es-ES" w:eastAsia="es-ES"/>
        </w:rPr>
      </w:pPr>
      <w:r w:rsidRPr="00D20AEC">
        <w:rPr>
          <w:rFonts w:ascii="Palatino Linotype" w:hAnsi="Palatino Linotype" w:cs="Arial"/>
          <w:color w:val="000000"/>
          <w:sz w:val="24"/>
          <w:lang w:val="es-ES" w:eastAsia="es-ES"/>
        </w:rPr>
        <w:t>Asimismo, cabe por analogía en el presente asunto el fallo emitido por el Segundo Tribunal Colegiado del Cuarto Circuito, recaído en el amparo directo 277/88, que establece:</w:t>
      </w:r>
    </w:p>
    <w:p w:rsidR="001552CC" w:rsidRPr="001552CC" w:rsidRDefault="001552CC" w:rsidP="001552CC">
      <w:pPr>
        <w:pStyle w:val="Prrafodelista"/>
        <w:spacing w:line="360" w:lineRule="auto"/>
        <w:ind w:left="0"/>
        <w:jc w:val="both"/>
        <w:rPr>
          <w:rFonts w:ascii="Palatino Linotype" w:hAnsi="Palatino Linotype" w:cs="Arial"/>
          <w:color w:val="000000"/>
          <w:lang w:val="es-ES" w:eastAsia="es-ES"/>
        </w:rPr>
      </w:pPr>
    </w:p>
    <w:p w:rsidR="001552CC" w:rsidRPr="001552CC" w:rsidRDefault="001552CC" w:rsidP="001552CC">
      <w:pPr>
        <w:pStyle w:val="Prrafodelista"/>
        <w:spacing w:line="360" w:lineRule="auto"/>
        <w:ind w:left="786" w:right="901"/>
        <w:jc w:val="both"/>
        <w:rPr>
          <w:rFonts w:ascii="Palatino Linotype" w:hAnsi="Palatino Linotype" w:cs="Arial"/>
          <w:b/>
          <w:color w:val="000000"/>
          <w:lang w:val="es-ES" w:eastAsia="es-ES"/>
        </w:rPr>
      </w:pPr>
      <w:r w:rsidRPr="001552CC">
        <w:rPr>
          <w:rFonts w:ascii="Palatino Linotype" w:hAnsi="Palatino Linotype" w:cs="Arial"/>
          <w:b/>
          <w:color w:val="000000"/>
          <w:lang w:val="es-ES" w:eastAsia="es-ES"/>
        </w:rPr>
        <w:t>“</w:t>
      </w:r>
      <w:r w:rsidRPr="001552CC">
        <w:rPr>
          <w:rFonts w:ascii="Palatino Linotype" w:hAnsi="Palatino Linotype" w:cs="Arial"/>
          <w:i/>
          <w:color w:val="000000"/>
          <w:lang w:val="es-ES" w:eastAsia="es-ES"/>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w:t>
      </w:r>
      <w:r w:rsidRPr="001552CC">
        <w:rPr>
          <w:rFonts w:ascii="Palatino Linotype" w:hAnsi="Palatino Linotype" w:cs="Arial"/>
          <w:i/>
          <w:color w:val="000000"/>
          <w:lang w:val="es-ES" w:eastAsia="es-ES"/>
        </w:rPr>
        <w:lastRenderedPageBreak/>
        <w:t>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1552CC">
        <w:rPr>
          <w:rFonts w:ascii="Palatino Linotype" w:hAnsi="Palatino Linotype" w:cs="Arial"/>
          <w:b/>
          <w:color w:val="000000"/>
          <w:lang w:val="es-ES" w:eastAsia="es-ES"/>
        </w:rPr>
        <w:t>”</w:t>
      </w:r>
    </w:p>
    <w:p w:rsidR="001552CC" w:rsidRPr="001552CC" w:rsidRDefault="001552CC" w:rsidP="001552CC">
      <w:pPr>
        <w:pStyle w:val="Prrafodelista"/>
        <w:spacing w:line="360" w:lineRule="auto"/>
        <w:ind w:left="786" w:right="901"/>
        <w:jc w:val="both"/>
        <w:rPr>
          <w:rFonts w:ascii="Palatino Linotype" w:hAnsi="Palatino Linotype" w:cs="Arial"/>
          <w:b/>
          <w:color w:val="000000"/>
          <w:lang w:val="es-ES" w:eastAsia="es-ES"/>
        </w:rPr>
      </w:pPr>
    </w:p>
    <w:p w:rsidR="001552CC" w:rsidRPr="00D20AEC" w:rsidRDefault="001552CC" w:rsidP="001552CC">
      <w:pPr>
        <w:pStyle w:val="Prrafodelista"/>
        <w:numPr>
          <w:ilvl w:val="0"/>
          <w:numId w:val="1"/>
        </w:numPr>
        <w:spacing w:line="360" w:lineRule="auto"/>
        <w:ind w:left="0" w:firstLine="0"/>
        <w:jc w:val="both"/>
        <w:rPr>
          <w:rFonts w:ascii="Palatino Linotype" w:hAnsi="Palatino Linotype" w:cs="Arial"/>
          <w:color w:val="000000"/>
          <w:sz w:val="24"/>
          <w:lang w:val="es-ES" w:eastAsia="es-ES"/>
        </w:rPr>
      </w:pPr>
      <w:r w:rsidRPr="00D20AEC">
        <w:rPr>
          <w:rFonts w:ascii="Palatino Linotype" w:hAnsi="Palatino Linotype" w:cs="Arial"/>
          <w:color w:val="000000"/>
          <w:sz w:val="24"/>
          <w:lang w:val="es-ES" w:eastAsia="es-ES"/>
        </w:rPr>
        <w:t xml:space="preserve">Por lo anterior, se establece que, el recurso de revisión presentado por </w:t>
      </w:r>
      <w:r w:rsidRPr="00D20AEC">
        <w:rPr>
          <w:rFonts w:ascii="Palatino Linotype" w:hAnsi="Palatino Linotype" w:cs="Arial"/>
          <w:b/>
          <w:color w:val="000000"/>
          <w:sz w:val="24"/>
          <w:lang w:val="es-ES" w:eastAsia="es-ES"/>
        </w:rPr>
        <w:t>EL RECURRENTE</w:t>
      </w:r>
      <w:r w:rsidRPr="00D20AEC">
        <w:rPr>
          <w:rFonts w:ascii="Palatino Linotype" w:hAnsi="Palatino Linotype" w:cs="Arial"/>
          <w:color w:val="000000"/>
          <w:sz w:val="24"/>
          <w:lang w:val="es-ES" w:eastAsia="es-ES"/>
        </w:rPr>
        <w:t xml:space="preserve"> no debe variar el fondo de la litis, de tal manera que, los argumentos planteados por </w:t>
      </w:r>
      <w:r w:rsidRPr="00D20AEC">
        <w:rPr>
          <w:rFonts w:ascii="Palatino Linotype" w:hAnsi="Palatino Linotype" w:cs="Arial"/>
          <w:b/>
          <w:color w:val="000000"/>
          <w:sz w:val="24"/>
          <w:lang w:val="es-ES" w:eastAsia="es-ES"/>
        </w:rPr>
        <w:t>EL RECURRENTE</w:t>
      </w:r>
      <w:r w:rsidRPr="00D20AEC">
        <w:rPr>
          <w:rFonts w:ascii="Palatino Linotype" w:hAnsi="Palatino Linotype" w:cs="Arial"/>
          <w:color w:val="000000"/>
          <w:sz w:val="24"/>
          <w:lang w:val="es-ES" w:eastAsia="es-ES"/>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1552CC" w:rsidRPr="00D20AEC" w:rsidRDefault="001552CC" w:rsidP="001552CC">
      <w:pPr>
        <w:pStyle w:val="Prrafodelista"/>
        <w:spacing w:line="360" w:lineRule="auto"/>
        <w:ind w:left="0"/>
        <w:jc w:val="both"/>
        <w:rPr>
          <w:rFonts w:ascii="Palatino Linotype" w:hAnsi="Palatino Linotype" w:cs="Arial"/>
          <w:color w:val="000000"/>
          <w:sz w:val="24"/>
          <w:lang w:val="es-ES" w:eastAsia="es-ES"/>
        </w:rPr>
      </w:pPr>
    </w:p>
    <w:p w:rsidR="001552CC" w:rsidRPr="00D20AEC" w:rsidRDefault="001552CC" w:rsidP="001552CC">
      <w:pPr>
        <w:pStyle w:val="Prrafodelista"/>
        <w:numPr>
          <w:ilvl w:val="0"/>
          <w:numId w:val="1"/>
        </w:numPr>
        <w:shd w:val="clear" w:color="auto" w:fill="FFFFFF"/>
        <w:spacing w:line="360" w:lineRule="auto"/>
        <w:ind w:left="0" w:firstLine="0"/>
        <w:jc w:val="both"/>
        <w:rPr>
          <w:rFonts w:ascii="Palatino Linotype" w:hAnsi="Palatino Linotype" w:cs="Arial"/>
          <w:color w:val="000000"/>
          <w:sz w:val="24"/>
          <w:lang w:val="es-ES" w:eastAsia="es-ES"/>
        </w:rPr>
      </w:pPr>
      <w:r w:rsidRPr="00D20AEC">
        <w:rPr>
          <w:rFonts w:ascii="Palatino Linotype" w:hAnsi="Palatino Linotype" w:cs="Arial"/>
          <w:color w:val="000000"/>
          <w:sz w:val="24"/>
          <w:lang w:val="es-ES" w:eastAsia="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1552CC" w:rsidRPr="001552CC" w:rsidRDefault="001552CC" w:rsidP="001552CC">
      <w:pPr>
        <w:pStyle w:val="Prrafodelista"/>
        <w:shd w:val="clear" w:color="auto" w:fill="FFFFFF"/>
        <w:spacing w:line="360" w:lineRule="auto"/>
        <w:ind w:left="0"/>
        <w:jc w:val="both"/>
        <w:rPr>
          <w:rFonts w:ascii="Palatino Linotype" w:hAnsi="Palatino Linotype" w:cs="Arial"/>
          <w:color w:val="000000"/>
          <w:lang w:val="es-ES" w:eastAsia="es-ES"/>
        </w:rPr>
      </w:pPr>
    </w:p>
    <w:p w:rsidR="001552CC" w:rsidRPr="001552CC" w:rsidRDefault="001552CC" w:rsidP="001552CC">
      <w:pPr>
        <w:pStyle w:val="Prrafodelista"/>
        <w:shd w:val="clear" w:color="auto" w:fill="FFFFFF"/>
        <w:spacing w:line="360" w:lineRule="auto"/>
        <w:ind w:left="786" w:right="899"/>
        <w:jc w:val="both"/>
        <w:rPr>
          <w:rFonts w:ascii="Palatino Linotype" w:hAnsi="Palatino Linotype" w:cs="Arial"/>
          <w:b/>
          <w:i/>
          <w:iCs/>
          <w:color w:val="000000"/>
          <w:lang w:val="es-ES" w:eastAsia="es-ES"/>
        </w:rPr>
      </w:pPr>
      <w:r w:rsidRPr="001552CC">
        <w:rPr>
          <w:rFonts w:ascii="Palatino Linotype" w:hAnsi="Palatino Linotype" w:cs="Arial"/>
          <w:b/>
          <w:bCs/>
          <w:i/>
          <w:iCs/>
          <w:color w:val="000000"/>
          <w:lang w:val="es-ES" w:eastAsia="es-ES"/>
        </w:rPr>
        <w:lastRenderedPageBreak/>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1552CC">
        <w:rPr>
          <w:rFonts w:ascii="Palatino Linotype" w:hAnsi="Palatino Linotype" w:cs="Arial"/>
          <w:i/>
          <w:iCs/>
          <w:color w:val="000000"/>
          <w:lang w:val="es-ES" w:eastAsia="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1552CC">
        <w:rPr>
          <w:rFonts w:ascii="Palatino Linotype" w:hAnsi="Palatino Linotype" w:cs="Arial"/>
          <w:i/>
          <w:iCs/>
          <w:color w:val="000000"/>
          <w:lang w:val="es-ES" w:eastAsia="es-ES"/>
        </w:rPr>
        <w:br/>
        <w:t>OCTAVO TRIBUNAL COLEGIADO EN MATERIA ADMINISTRATIVA DEL PRIMER CIRCUITO.</w:t>
      </w:r>
      <w:r w:rsidRPr="001552CC">
        <w:rPr>
          <w:rFonts w:ascii="Palatino Linotype" w:hAnsi="Palatino Linotype" w:cs="Arial"/>
          <w:b/>
          <w:i/>
          <w:iCs/>
          <w:color w:val="000000"/>
          <w:lang w:val="es-ES" w:eastAsia="es-ES"/>
        </w:rPr>
        <w:t>”</w:t>
      </w:r>
    </w:p>
    <w:p w:rsidR="001552CC" w:rsidRPr="001552CC" w:rsidRDefault="001552CC" w:rsidP="001552CC">
      <w:pPr>
        <w:pStyle w:val="Prrafodelista"/>
        <w:shd w:val="clear" w:color="auto" w:fill="FFFFFF"/>
        <w:spacing w:line="360" w:lineRule="auto"/>
        <w:ind w:left="786" w:right="899"/>
        <w:jc w:val="both"/>
        <w:rPr>
          <w:rFonts w:ascii="Palatino Linotype" w:hAnsi="Palatino Linotype" w:cs="Arial"/>
          <w:b/>
          <w:color w:val="000000"/>
          <w:lang w:val="es-ES" w:eastAsia="es-ES"/>
        </w:rPr>
      </w:pPr>
    </w:p>
    <w:p w:rsidR="001552CC" w:rsidRPr="00D20AEC" w:rsidRDefault="001552CC" w:rsidP="001552CC">
      <w:pPr>
        <w:pStyle w:val="Prrafodelista"/>
        <w:numPr>
          <w:ilvl w:val="0"/>
          <w:numId w:val="1"/>
        </w:numPr>
        <w:shd w:val="clear" w:color="auto" w:fill="FFFFFF"/>
        <w:spacing w:line="360" w:lineRule="auto"/>
        <w:ind w:left="0" w:firstLine="0"/>
        <w:jc w:val="both"/>
        <w:rPr>
          <w:rFonts w:ascii="Palatino Linotype" w:hAnsi="Palatino Linotype" w:cs="Arial"/>
          <w:color w:val="000000"/>
          <w:sz w:val="24"/>
          <w:lang w:val="es-ES" w:eastAsia="es-ES"/>
        </w:rPr>
      </w:pPr>
      <w:r w:rsidRPr="00D20AEC">
        <w:rPr>
          <w:rFonts w:ascii="Palatino Linotype" w:hAnsi="Palatino Linotype" w:cs="Arial"/>
          <w:color w:val="000000"/>
          <w:sz w:val="24"/>
          <w:lang w:val="es-ES" w:eastAsia="es-ES"/>
        </w:rPr>
        <w:lastRenderedPageBreak/>
        <w:t xml:space="preserve">Así mismo ha sido criterio del Instituto Nacional de Transparencia, Acceso a la Información y Protección de Datos Personales bajo el número 27/10, que </w:t>
      </w:r>
      <w:r w:rsidRPr="00D20AEC">
        <w:rPr>
          <w:rFonts w:ascii="Palatino Linotype" w:hAnsi="Palatino Linotype" w:cs="Arial"/>
          <w:bCs/>
          <w:color w:val="000000"/>
          <w:sz w:val="24"/>
          <w:u w:val="single"/>
          <w:lang w:val="es-ES" w:eastAsia="es-ES"/>
        </w:rPr>
        <w:t>resulta improcedente ampliar las solicitudes de información pública</w:t>
      </w:r>
      <w:r w:rsidRPr="00D20AEC">
        <w:rPr>
          <w:rFonts w:ascii="Palatino Linotype" w:hAnsi="Palatino Linotype" w:cs="Arial"/>
          <w:color w:val="000000"/>
          <w:sz w:val="24"/>
          <w:u w:val="single"/>
          <w:lang w:val="es-ES" w:eastAsia="es-ES"/>
        </w:rPr>
        <w:t xml:space="preserve"> o de datos personales a través de la interposición del recurso de revisión</w:t>
      </w:r>
      <w:r w:rsidRPr="00D20AEC">
        <w:rPr>
          <w:rFonts w:ascii="Palatino Linotype" w:hAnsi="Palatino Linotype" w:cs="Arial"/>
          <w:color w:val="000000"/>
          <w:sz w:val="24"/>
          <w:lang w:val="es-ES" w:eastAsia="es-ES"/>
        </w:rPr>
        <w:t xml:space="preserve">, como se estima acontece en el presente asunto, al aumentar datos a la solicitud inicial, </w:t>
      </w:r>
      <w:r w:rsidRPr="00D20AEC">
        <w:rPr>
          <w:rFonts w:ascii="Palatino Linotype" w:hAnsi="Palatino Linotype" w:cs="Arial"/>
          <w:b/>
          <w:bCs/>
          <w:color w:val="000000"/>
          <w:sz w:val="24"/>
          <w:lang w:val="es-ES" w:eastAsia="es-ES"/>
        </w:rPr>
        <w:t>por lo que se insiste no se puede entrar al estudio de la información novedosa</w:t>
      </w:r>
      <w:r w:rsidRPr="00D20AEC">
        <w:rPr>
          <w:rFonts w:ascii="Palatino Linotype" w:hAnsi="Palatino Linotype" w:cs="Arial"/>
          <w:color w:val="000000"/>
          <w:sz w:val="24"/>
          <w:lang w:val="es-ES" w:eastAsia="es-ES"/>
        </w:rPr>
        <w:t>, criterio que es de la literalidad siguiente:</w:t>
      </w:r>
    </w:p>
    <w:p w:rsidR="001552CC" w:rsidRPr="00D20AEC" w:rsidRDefault="001552CC" w:rsidP="001552CC">
      <w:pPr>
        <w:pStyle w:val="Prrafodelista"/>
        <w:shd w:val="clear" w:color="auto" w:fill="FFFFFF"/>
        <w:spacing w:line="360" w:lineRule="auto"/>
        <w:ind w:left="0"/>
        <w:jc w:val="both"/>
        <w:rPr>
          <w:rFonts w:ascii="Palatino Linotype" w:hAnsi="Palatino Linotype" w:cs="Arial"/>
          <w:color w:val="000000"/>
          <w:sz w:val="24"/>
          <w:lang w:val="es-ES" w:eastAsia="es-ES"/>
        </w:rPr>
      </w:pPr>
    </w:p>
    <w:p w:rsidR="001552CC" w:rsidRPr="001552CC" w:rsidRDefault="001552CC" w:rsidP="001552CC">
      <w:pPr>
        <w:shd w:val="clear" w:color="auto" w:fill="FFFFFF"/>
        <w:spacing w:line="360" w:lineRule="auto"/>
        <w:ind w:left="851" w:right="899"/>
        <w:jc w:val="both"/>
        <w:rPr>
          <w:rFonts w:ascii="Palatino Linotype" w:hAnsi="Palatino Linotype" w:cs="Arial"/>
          <w:color w:val="000000"/>
          <w:lang w:val="es-ES" w:eastAsia="es-ES"/>
        </w:rPr>
      </w:pPr>
      <w:r w:rsidRPr="001552CC">
        <w:rPr>
          <w:rFonts w:ascii="Palatino Linotype" w:hAnsi="Palatino Linotype" w:cs="Arial"/>
          <w:b/>
          <w:bCs/>
          <w:i/>
          <w:iCs/>
          <w:color w:val="000000"/>
          <w:lang w:val="es-ES" w:eastAsia="es-ES"/>
        </w:rPr>
        <w:t>“Es improcedente ampliar las solicitudes de acceso a información pública o datos personales, a través de la interposición del recurso de revisión.</w:t>
      </w:r>
      <w:r w:rsidRPr="001552CC">
        <w:rPr>
          <w:rFonts w:ascii="Palatino Linotype" w:hAnsi="Palatino Linotype" w:cs="Arial"/>
          <w:i/>
          <w:iCs/>
          <w:color w:val="000000"/>
          <w:lang w:val="es-ES" w:eastAsia="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1552CC" w:rsidRDefault="001552CC" w:rsidP="001552CC">
      <w:pPr>
        <w:shd w:val="clear" w:color="auto" w:fill="FFFFFF"/>
        <w:spacing w:line="360" w:lineRule="auto"/>
        <w:ind w:left="851" w:right="899"/>
        <w:jc w:val="both"/>
        <w:rPr>
          <w:rFonts w:ascii="Palatino Linotype" w:hAnsi="Palatino Linotype" w:cs="Arial"/>
          <w:b/>
          <w:i/>
          <w:iCs/>
          <w:color w:val="000000"/>
          <w:lang w:val="es-ES" w:eastAsia="es-ES"/>
        </w:rPr>
      </w:pPr>
      <w:r w:rsidRPr="001552CC">
        <w:rPr>
          <w:rFonts w:ascii="Palatino Linotype" w:hAnsi="Palatino Linotype" w:cs="Arial"/>
          <w:i/>
          <w:iCs/>
          <w:color w:val="000000"/>
          <w:lang w:val="es-ES" w:eastAsia="es-E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1552CC">
        <w:rPr>
          <w:rFonts w:ascii="Palatino Linotype" w:hAnsi="Palatino Linotype" w:cs="Arial"/>
          <w:b/>
          <w:i/>
          <w:iCs/>
          <w:color w:val="000000"/>
          <w:lang w:val="es-ES" w:eastAsia="es-ES"/>
        </w:rPr>
        <w:t>”</w:t>
      </w:r>
    </w:p>
    <w:p w:rsidR="00D20AEC" w:rsidRPr="001552CC" w:rsidRDefault="00D20AEC" w:rsidP="001552CC">
      <w:pPr>
        <w:shd w:val="clear" w:color="auto" w:fill="FFFFFF"/>
        <w:spacing w:line="360" w:lineRule="auto"/>
        <w:ind w:left="851" w:right="899"/>
        <w:jc w:val="both"/>
        <w:rPr>
          <w:rFonts w:ascii="Palatino Linotype" w:hAnsi="Palatino Linotype" w:cs="Arial"/>
          <w:b/>
          <w:i/>
          <w:iCs/>
          <w:color w:val="000000"/>
          <w:lang w:val="es-ES" w:eastAsia="es-ES"/>
        </w:rPr>
      </w:pPr>
    </w:p>
    <w:p w:rsidR="001552CC" w:rsidRPr="00D20AEC" w:rsidRDefault="001552CC" w:rsidP="001552CC">
      <w:pPr>
        <w:pStyle w:val="Prrafodelista"/>
        <w:numPr>
          <w:ilvl w:val="0"/>
          <w:numId w:val="1"/>
        </w:numPr>
        <w:spacing w:line="360" w:lineRule="auto"/>
        <w:ind w:left="0" w:firstLine="0"/>
        <w:jc w:val="both"/>
        <w:rPr>
          <w:rFonts w:ascii="Palatino Linotype" w:hAnsi="Palatino Linotype" w:cs="Arial"/>
          <w:color w:val="000000"/>
          <w:sz w:val="24"/>
          <w:lang w:val="es-ES" w:eastAsia="es-ES"/>
        </w:rPr>
      </w:pPr>
      <w:r w:rsidRPr="00D20AEC">
        <w:rPr>
          <w:rFonts w:ascii="Palatino Linotype" w:hAnsi="Palatino Linotype" w:cs="Arial"/>
          <w:color w:val="000000"/>
          <w:sz w:val="24"/>
          <w:lang w:val="es-ES" w:eastAsia="es-ES"/>
        </w:rPr>
        <w:lastRenderedPageBreak/>
        <w:t xml:space="preserve">En tal virtud, resulta procedente </w:t>
      </w:r>
      <w:r w:rsidRPr="00D20AEC">
        <w:rPr>
          <w:rFonts w:ascii="Palatino Linotype" w:hAnsi="Palatino Linotype" w:cs="Arial"/>
          <w:b/>
          <w:color w:val="000000"/>
          <w:sz w:val="24"/>
          <w:lang w:val="es-ES" w:eastAsia="es-ES"/>
        </w:rPr>
        <w:t>DESECHAR</w:t>
      </w:r>
      <w:r w:rsidRPr="00D20AEC">
        <w:rPr>
          <w:rFonts w:ascii="Palatino Linotype" w:hAnsi="Palatino Linotype" w:cs="Arial"/>
          <w:color w:val="000000"/>
          <w:sz w:val="24"/>
          <w:lang w:val="es-ES" w:eastAsia="es-ES"/>
        </w:rPr>
        <w:t xml:space="preserve"> el presente recurso, en términos del artículo 191, fracción VII de la de la Ley de Transparencia y Acceso a la Información Pública del Estado de México y Municipios, que literalmente establece:</w:t>
      </w:r>
    </w:p>
    <w:p w:rsidR="001552CC" w:rsidRPr="001552CC" w:rsidRDefault="001552CC" w:rsidP="001552CC">
      <w:pPr>
        <w:pStyle w:val="Prrafodelista"/>
        <w:spacing w:line="360" w:lineRule="auto"/>
        <w:ind w:left="0"/>
        <w:jc w:val="both"/>
        <w:rPr>
          <w:rFonts w:ascii="Palatino Linotype" w:hAnsi="Palatino Linotype" w:cs="Arial"/>
          <w:color w:val="000000"/>
          <w:lang w:val="es-ES" w:eastAsia="es-ES"/>
        </w:rPr>
      </w:pPr>
    </w:p>
    <w:p w:rsidR="001552CC" w:rsidRPr="001552CC" w:rsidRDefault="001552CC" w:rsidP="001552CC">
      <w:pPr>
        <w:pStyle w:val="Prrafodelista"/>
        <w:spacing w:line="360" w:lineRule="auto"/>
        <w:ind w:left="786" w:right="901"/>
        <w:jc w:val="both"/>
        <w:rPr>
          <w:rFonts w:ascii="Palatino Linotype" w:hAnsi="Palatino Linotype" w:cs="Arial"/>
          <w:i/>
          <w:lang w:val="es-ES" w:eastAsia="es-ES"/>
        </w:rPr>
      </w:pPr>
      <w:r w:rsidRPr="001552CC">
        <w:rPr>
          <w:rFonts w:ascii="Palatino Linotype" w:hAnsi="Palatino Linotype" w:cs="Arial"/>
          <w:b/>
          <w:i/>
          <w:lang w:val="es-ES" w:eastAsia="es-ES"/>
        </w:rPr>
        <w:t xml:space="preserve">“Artículo 191. </w:t>
      </w:r>
      <w:r w:rsidRPr="001552CC">
        <w:rPr>
          <w:rFonts w:ascii="Palatino Linotype" w:hAnsi="Palatino Linotype" w:cs="Arial"/>
          <w:i/>
          <w:lang w:val="es-ES" w:eastAsia="es-ES"/>
        </w:rPr>
        <w:t>El recurso será desechado por improcedente cuando:</w:t>
      </w:r>
    </w:p>
    <w:p w:rsidR="001552CC" w:rsidRPr="001552CC" w:rsidRDefault="001552CC" w:rsidP="001552CC">
      <w:pPr>
        <w:pStyle w:val="Prrafodelista"/>
        <w:spacing w:line="360" w:lineRule="auto"/>
        <w:ind w:left="786" w:right="901"/>
        <w:jc w:val="both"/>
        <w:rPr>
          <w:rFonts w:ascii="Palatino Linotype" w:hAnsi="Palatino Linotype" w:cs="Arial"/>
          <w:b/>
          <w:i/>
          <w:lang w:val="es-ES" w:eastAsia="es-ES"/>
        </w:rPr>
      </w:pPr>
      <w:r w:rsidRPr="001552CC">
        <w:rPr>
          <w:rFonts w:ascii="Palatino Linotype" w:hAnsi="Palatino Linotype" w:cs="Arial"/>
          <w:b/>
          <w:i/>
          <w:lang w:val="es-ES" w:eastAsia="es-ES"/>
        </w:rPr>
        <w:t xml:space="preserve">VII. </w:t>
      </w:r>
      <w:r w:rsidRPr="001552CC">
        <w:rPr>
          <w:rFonts w:ascii="Palatino Linotype" w:hAnsi="Palatino Linotype" w:cs="Arial"/>
          <w:i/>
          <w:lang w:val="es-ES" w:eastAsia="es-ES"/>
        </w:rPr>
        <w:t>El recurrente amplíe su solicitud en el recurso de revisión, únicamente respecto de los nuevos contenidos.</w:t>
      </w:r>
      <w:r w:rsidRPr="001552CC">
        <w:rPr>
          <w:rFonts w:ascii="Palatino Linotype" w:hAnsi="Palatino Linotype" w:cs="Arial"/>
          <w:b/>
          <w:i/>
          <w:lang w:val="es-ES" w:eastAsia="es-ES"/>
        </w:rPr>
        <w:t>”</w:t>
      </w:r>
    </w:p>
    <w:p w:rsidR="001552CC" w:rsidRPr="001552CC" w:rsidRDefault="001552CC" w:rsidP="001552CC">
      <w:pPr>
        <w:pStyle w:val="Prrafodelista"/>
        <w:spacing w:line="360" w:lineRule="auto"/>
        <w:ind w:left="786" w:right="901"/>
        <w:jc w:val="both"/>
        <w:rPr>
          <w:rFonts w:ascii="Palatino Linotype" w:hAnsi="Palatino Linotype" w:cs="Arial"/>
          <w:i/>
          <w:lang w:val="es-ES" w:eastAsia="es-ES"/>
        </w:rPr>
      </w:pPr>
    </w:p>
    <w:p w:rsidR="001E33D1" w:rsidRPr="00D20AEC" w:rsidRDefault="001552CC" w:rsidP="001552CC">
      <w:pPr>
        <w:pStyle w:val="Prrafodelista"/>
        <w:numPr>
          <w:ilvl w:val="0"/>
          <w:numId w:val="1"/>
        </w:numPr>
        <w:spacing w:line="360" w:lineRule="auto"/>
        <w:ind w:left="0" w:firstLine="0"/>
        <w:jc w:val="both"/>
        <w:rPr>
          <w:rFonts w:ascii="Palatino Linotype" w:hAnsi="Palatino Linotype" w:cs="Arial"/>
          <w:color w:val="000000"/>
          <w:sz w:val="24"/>
          <w:lang w:val="es-ES" w:eastAsia="es-ES"/>
        </w:rPr>
      </w:pPr>
      <w:r w:rsidRPr="00D20AEC">
        <w:rPr>
          <w:rFonts w:ascii="Palatino Linotype" w:hAnsi="Palatino Linotype" w:cs="Arial"/>
          <w:color w:val="000000"/>
          <w:sz w:val="24"/>
          <w:lang w:val="es-ES" w:eastAsia="es-ES"/>
        </w:rPr>
        <w:t>No obstante lo anterior, se dejan a salvo los derechos del</w:t>
      </w:r>
      <w:r w:rsidRPr="00D20AEC">
        <w:rPr>
          <w:rFonts w:ascii="Palatino Linotype" w:hAnsi="Palatino Linotype" w:cs="Arial"/>
          <w:b/>
          <w:color w:val="000000"/>
          <w:sz w:val="24"/>
          <w:lang w:val="es-ES" w:eastAsia="es-ES"/>
        </w:rPr>
        <w:t xml:space="preserve"> RECURRENTE </w:t>
      </w:r>
      <w:r w:rsidRPr="00D20AEC">
        <w:rPr>
          <w:rFonts w:ascii="Palatino Linotype" w:hAnsi="Palatino Linotype" w:cs="Arial"/>
          <w:color w:val="000000"/>
          <w:sz w:val="24"/>
          <w:lang w:val="es-ES" w:eastAsia="es-ES"/>
        </w:rPr>
        <w:t>para ejercitar su derecho de acceso a la información pública, realizando una nueva solicitud respecto de la información requerida mediante el recurso de revisión.</w:t>
      </w:r>
    </w:p>
    <w:p w:rsidR="00D20AEC" w:rsidRPr="00D20AEC" w:rsidRDefault="00D20AEC" w:rsidP="00D20AEC">
      <w:pPr>
        <w:pStyle w:val="Prrafodelista"/>
        <w:spacing w:line="360" w:lineRule="auto"/>
        <w:ind w:left="0"/>
        <w:jc w:val="both"/>
        <w:rPr>
          <w:rFonts w:ascii="Palatino Linotype" w:hAnsi="Palatino Linotype" w:cs="Arial"/>
          <w:color w:val="000000"/>
          <w:sz w:val="24"/>
          <w:lang w:val="es-ES" w:eastAsia="es-ES"/>
        </w:rPr>
      </w:pPr>
    </w:p>
    <w:p w:rsidR="00AD77A0" w:rsidRPr="00D20AEC" w:rsidRDefault="001552CC" w:rsidP="001552CC">
      <w:pPr>
        <w:numPr>
          <w:ilvl w:val="0"/>
          <w:numId w:val="1"/>
        </w:numPr>
        <w:spacing w:line="360" w:lineRule="auto"/>
        <w:ind w:left="0" w:right="49" w:firstLine="0"/>
        <w:contextualSpacing/>
        <w:jc w:val="both"/>
        <w:rPr>
          <w:rFonts w:ascii="Palatino Linotype" w:eastAsiaTheme="minorEastAsia" w:hAnsi="Palatino Linotype"/>
          <w:i/>
          <w:lang w:val="es-ES_tradnl" w:eastAsia="es-ES"/>
        </w:rPr>
      </w:pPr>
      <w:r w:rsidRPr="00D20AEC">
        <w:rPr>
          <w:rFonts w:ascii="Palatino Linotype" w:eastAsiaTheme="minorEastAsia" w:hAnsi="Palatino Linotype"/>
          <w:lang w:val="es-ES_tradnl" w:eastAsia="es-ES"/>
        </w:rPr>
        <w:t>Ahora bien, por lo que hace a la solicitud inicial del particular, el Sujeto Obligado manifestó m</w:t>
      </w:r>
      <w:r w:rsidR="00AD77A0" w:rsidRPr="00D20AEC">
        <w:rPr>
          <w:rFonts w:ascii="Palatino Linotype" w:eastAsiaTheme="minorEastAsia" w:hAnsi="Palatino Linotype"/>
          <w:lang w:val="es-ES_tradnl" w:eastAsia="es-ES"/>
        </w:rPr>
        <w:t>ediante informe justificado, lo siguiente:</w:t>
      </w:r>
    </w:p>
    <w:p w:rsidR="004F780B" w:rsidRPr="001552CC" w:rsidRDefault="004F780B" w:rsidP="001552CC">
      <w:pPr>
        <w:spacing w:line="360" w:lineRule="auto"/>
        <w:ind w:right="49"/>
        <w:contextualSpacing/>
        <w:jc w:val="both"/>
        <w:rPr>
          <w:rFonts w:ascii="Palatino Linotype" w:eastAsiaTheme="minorEastAsia" w:hAnsi="Palatino Linotype"/>
          <w:i/>
          <w:lang w:val="es-ES_tradnl" w:eastAsia="es-ES"/>
        </w:rPr>
      </w:pPr>
    </w:p>
    <w:p w:rsidR="00AD77A0" w:rsidRPr="001552CC" w:rsidRDefault="00AD77A0" w:rsidP="001552CC">
      <w:pPr>
        <w:spacing w:line="360" w:lineRule="auto"/>
        <w:ind w:right="49"/>
        <w:contextualSpacing/>
        <w:jc w:val="center"/>
        <w:rPr>
          <w:rFonts w:ascii="Palatino Linotype" w:eastAsiaTheme="minorEastAsia" w:hAnsi="Palatino Linotype"/>
          <w:i/>
          <w:sz w:val="40"/>
          <w:lang w:val="es-ES_tradnl" w:eastAsia="es-ES"/>
        </w:rPr>
      </w:pPr>
      <w:r w:rsidRPr="001552CC">
        <w:rPr>
          <w:rFonts w:ascii="Palatino Linotype" w:hAnsi="Palatino Linotype"/>
          <w:noProof/>
          <w:lang w:val="es-ES" w:eastAsia="es-ES"/>
        </w:rPr>
        <w:drawing>
          <wp:inline distT="0" distB="0" distL="0" distR="0" wp14:anchorId="1D7CC21D" wp14:editId="26648FBF">
            <wp:extent cx="4895850" cy="152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06" t="28013" r="34320" b="46038"/>
                    <a:stretch/>
                  </pic:blipFill>
                  <pic:spPr bwMode="auto">
                    <a:xfrm>
                      <a:off x="0" y="0"/>
                      <a:ext cx="4925508" cy="1533232"/>
                    </a:xfrm>
                    <a:prstGeom prst="rect">
                      <a:avLst/>
                    </a:prstGeom>
                    <a:ln>
                      <a:noFill/>
                    </a:ln>
                    <a:extLst>
                      <a:ext uri="{53640926-AAD7-44D8-BBD7-CCE9431645EC}">
                        <a14:shadowObscured xmlns:a14="http://schemas.microsoft.com/office/drawing/2010/main"/>
                      </a:ext>
                    </a:extLst>
                  </pic:spPr>
                </pic:pic>
              </a:graphicData>
            </a:graphic>
          </wp:inline>
        </w:drawing>
      </w:r>
    </w:p>
    <w:p w:rsidR="004F780B" w:rsidRPr="001552CC" w:rsidRDefault="004F780B" w:rsidP="001552CC">
      <w:pPr>
        <w:spacing w:line="360" w:lineRule="auto"/>
        <w:ind w:right="49"/>
        <w:contextualSpacing/>
        <w:jc w:val="center"/>
        <w:rPr>
          <w:rFonts w:ascii="Palatino Linotype" w:eastAsiaTheme="minorEastAsia" w:hAnsi="Palatino Linotype"/>
          <w:i/>
          <w:sz w:val="40"/>
          <w:lang w:val="es-ES_tradnl" w:eastAsia="es-ES"/>
        </w:rPr>
      </w:pPr>
      <w:r w:rsidRPr="001552CC">
        <w:rPr>
          <w:rFonts w:ascii="Palatino Linotype" w:hAnsi="Palatino Linotype"/>
          <w:noProof/>
          <w:lang w:val="es-ES" w:eastAsia="es-ES"/>
        </w:rPr>
        <w:lastRenderedPageBreak/>
        <w:drawing>
          <wp:inline distT="0" distB="0" distL="0" distR="0" wp14:anchorId="38001B29" wp14:editId="06CE7748">
            <wp:extent cx="4942840" cy="3762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03" t="15333" r="34321" b="18616"/>
                    <a:stretch/>
                  </pic:blipFill>
                  <pic:spPr bwMode="auto">
                    <a:xfrm>
                      <a:off x="0" y="0"/>
                      <a:ext cx="4968383" cy="3781818"/>
                    </a:xfrm>
                    <a:prstGeom prst="rect">
                      <a:avLst/>
                    </a:prstGeom>
                    <a:ln>
                      <a:noFill/>
                    </a:ln>
                    <a:extLst>
                      <a:ext uri="{53640926-AAD7-44D8-BBD7-CCE9431645EC}">
                        <a14:shadowObscured xmlns:a14="http://schemas.microsoft.com/office/drawing/2010/main"/>
                      </a:ext>
                    </a:extLst>
                  </pic:spPr>
                </pic:pic>
              </a:graphicData>
            </a:graphic>
          </wp:inline>
        </w:drawing>
      </w:r>
    </w:p>
    <w:p w:rsidR="004F780B" w:rsidRPr="001552CC" w:rsidRDefault="004F780B" w:rsidP="001552CC">
      <w:pPr>
        <w:spacing w:line="360" w:lineRule="auto"/>
        <w:ind w:right="49"/>
        <w:contextualSpacing/>
        <w:jc w:val="center"/>
        <w:rPr>
          <w:rFonts w:ascii="Palatino Linotype" w:eastAsiaTheme="minorEastAsia" w:hAnsi="Palatino Linotype"/>
          <w:i/>
          <w:sz w:val="40"/>
          <w:lang w:val="es-ES_tradnl" w:eastAsia="es-ES"/>
        </w:rPr>
      </w:pPr>
      <w:r w:rsidRPr="001552CC">
        <w:rPr>
          <w:rFonts w:ascii="Palatino Linotype" w:hAnsi="Palatino Linotype"/>
          <w:noProof/>
          <w:lang w:val="es-ES" w:eastAsia="es-ES"/>
        </w:rPr>
        <w:lastRenderedPageBreak/>
        <w:drawing>
          <wp:inline distT="0" distB="0" distL="0" distR="0" wp14:anchorId="5973168F" wp14:editId="291FF3FA">
            <wp:extent cx="7257080" cy="5176006"/>
            <wp:effectExtent l="0" t="7303"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71" t="23590" r="28516" b="19205"/>
                    <a:stretch/>
                  </pic:blipFill>
                  <pic:spPr bwMode="auto">
                    <a:xfrm rot="5400000">
                      <a:off x="0" y="0"/>
                      <a:ext cx="7273044" cy="5187392"/>
                    </a:xfrm>
                    <a:prstGeom prst="rect">
                      <a:avLst/>
                    </a:prstGeom>
                    <a:ln>
                      <a:noFill/>
                    </a:ln>
                    <a:extLst>
                      <a:ext uri="{53640926-AAD7-44D8-BBD7-CCE9431645EC}">
                        <a14:shadowObscured xmlns:a14="http://schemas.microsoft.com/office/drawing/2010/main"/>
                      </a:ext>
                    </a:extLst>
                  </pic:spPr>
                </pic:pic>
              </a:graphicData>
            </a:graphic>
          </wp:inline>
        </w:drawing>
      </w:r>
    </w:p>
    <w:p w:rsidR="004F780B" w:rsidRPr="001552CC" w:rsidRDefault="004F780B" w:rsidP="001552CC">
      <w:pPr>
        <w:spacing w:line="360" w:lineRule="auto"/>
        <w:ind w:right="49"/>
        <w:contextualSpacing/>
        <w:jc w:val="center"/>
        <w:rPr>
          <w:rFonts w:ascii="Palatino Linotype" w:eastAsiaTheme="minorEastAsia" w:hAnsi="Palatino Linotype"/>
          <w:i/>
          <w:sz w:val="40"/>
          <w:lang w:val="es-ES_tradnl" w:eastAsia="es-ES"/>
        </w:rPr>
      </w:pPr>
      <w:r w:rsidRPr="001552CC">
        <w:rPr>
          <w:rFonts w:ascii="Palatino Linotype" w:hAnsi="Palatino Linotype"/>
          <w:noProof/>
          <w:lang w:val="es-ES" w:eastAsia="es-ES"/>
        </w:rPr>
        <w:lastRenderedPageBreak/>
        <w:drawing>
          <wp:inline distT="0" distB="0" distL="0" distR="0" wp14:anchorId="7B9F845E" wp14:editId="54B0DB76">
            <wp:extent cx="6951514" cy="5453831"/>
            <wp:effectExtent l="6033" t="0" r="7937" b="793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59" t="27127" r="30340" b="15963"/>
                    <a:stretch/>
                  </pic:blipFill>
                  <pic:spPr bwMode="auto">
                    <a:xfrm rot="5400000">
                      <a:off x="0" y="0"/>
                      <a:ext cx="6967739" cy="5466560"/>
                    </a:xfrm>
                    <a:prstGeom prst="rect">
                      <a:avLst/>
                    </a:prstGeom>
                    <a:ln>
                      <a:noFill/>
                    </a:ln>
                    <a:extLst>
                      <a:ext uri="{53640926-AAD7-44D8-BBD7-CCE9431645EC}">
                        <a14:shadowObscured xmlns:a14="http://schemas.microsoft.com/office/drawing/2010/main"/>
                      </a:ext>
                    </a:extLst>
                  </pic:spPr>
                </pic:pic>
              </a:graphicData>
            </a:graphic>
          </wp:inline>
        </w:drawing>
      </w:r>
    </w:p>
    <w:p w:rsidR="004F780B" w:rsidRPr="001552CC" w:rsidRDefault="004F780B" w:rsidP="001552CC">
      <w:pPr>
        <w:spacing w:line="360" w:lineRule="auto"/>
        <w:ind w:right="49"/>
        <w:contextualSpacing/>
        <w:jc w:val="center"/>
        <w:rPr>
          <w:rFonts w:ascii="Palatino Linotype" w:eastAsiaTheme="minorEastAsia" w:hAnsi="Palatino Linotype"/>
          <w:i/>
          <w:sz w:val="40"/>
          <w:lang w:val="es-ES_tradnl" w:eastAsia="es-ES"/>
        </w:rPr>
      </w:pPr>
    </w:p>
    <w:p w:rsidR="00D136C7" w:rsidRPr="001552CC" w:rsidRDefault="00184BAB" w:rsidP="001552CC">
      <w:pPr>
        <w:numPr>
          <w:ilvl w:val="0"/>
          <w:numId w:val="1"/>
        </w:numPr>
        <w:spacing w:line="360" w:lineRule="auto"/>
        <w:ind w:left="0" w:right="49" w:firstLine="0"/>
        <w:contextualSpacing/>
        <w:jc w:val="both"/>
        <w:rPr>
          <w:rFonts w:ascii="Palatino Linotype" w:eastAsiaTheme="minorEastAsia" w:hAnsi="Palatino Linotype"/>
          <w:i/>
          <w:sz w:val="40"/>
          <w:lang w:val="es-ES_tradnl" w:eastAsia="es-ES"/>
        </w:rPr>
      </w:pPr>
      <w:r w:rsidRPr="001552CC">
        <w:rPr>
          <w:rFonts w:ascii="Palatino Linotype" w:eastAsiaTheme="minorEastAsia" w:hAnsi="Palatino Linotype"/>
          <w:lang w:val="es-ES_tradnl" w:eastAsia="es-ES"/>
        </w:rPr>
        <w:lastRenderedPageBreak/>
        <w:t>En este caso, el SUJETO OBLIGADO, refirió tanto en respuesta como en informe justificado, el nombre de la Directora de  Policía de Tránsito, quien es la encargada de coordinar las disposiciones legales y administrativas en materia de tránsito; y en aras de garantizar el derecho de acceso a la información el SUJETO OBLIGADO, el Sujeto Obligado manifestó a través de informe justificado, que existen 11</w:t>
      </w:r>
      <w:r w:rsidR="00D136C7" w:rsidRPr="001552CC">
        <w:rPr>
          <w:rFonts w:ascii="Palatino Linotype" w:eastAsiaTheme="minorEastAsia" w:hAnsi="Palatino Linotype"/>
          <w:lang w:val="es-ES_tradnl" w:eastAsia="es-ES"/>
        </w:rPr>
        <w:t xml:space="preserve"> Subdirecciones Operativas y que San Antonio la Isla se encuentra dentro de la Subdirección de Ixtapan de la Sal.</w:t>
      </w:r>
    </w:p>
    <w:p w:rsidR="001552CC" w:rsidRPr="001552CC" w:rsidRDefault="001552CC" w:rsidP="001552CC">
      <w:pPr>
        <w:spacing w:line="360" w:lineRule="auto"/>
        <w:ind w:right="49"/>
        <w:contextualSpacing/>
        <w:jc w:val="both"/>
        <w:rPr>
          <w:rFonts w:ascii="Palatino Linotype" w:eastAsiaTheme="minorEastAsia" w:hAnsi="Palatino Linotype"/>
          <w:i/>
          <w:lang w:val="es-ES_tradnl" w:eastAsia="es-ES"/>
        </w:rPr>
      </w:pPr>
    </w:p>
    <w:p w:rsidR="00150D4D" w:rsidRPr="001552CC" w:rsidRDefault="00D136C7" w:rsidP="001552CC">
      <w:pPr>
        <w:numPr>
          <w:ilvl w:val="0"/>
          <w:numId w:val="1"/>
        </w:numPr>
        <w:spacing w:line="360" w:lineRule="auto"/>
        <w:ind w:left="0" w:right="49" w:firstLine="0"/>
        <w:contextualSpacing/>
        <w:jc w:val="both"/>
        <w:rPr>
          <w:rFonts w:ascii="Palatino Linotype" w:eastAsiaTheme="minorEastAsia" w:hAnsi="Palatino Linotype"/>
          <w:i/>
          <w:sz w:val="40"/>
          <w:lang w:val="es-ES_tradnl" w:eastAsia="es-ES"/>
        </w:rPr>
      </w:pPr>
      <w:r w:rsidRPr="001552CC">
        <w:rPr>
          <w:rFonts w:ascii="Palatino Linotype" w:eastAsiaTheme="minorEastAsia" w:hAnsi="Palatino Linotype"/>
          <w:lang w:val="es-ES_tradnl" w:eastAsia="es-ES"/>
        </w:rPr>
        <w:t xml:space="preserve"> Asimismo, refirió que para desarrollar planes y programas en materia de tránsito deben ser sometidas a superior jerárquico, que inicia con el Subsecretario de Policía Estatal, después con el Director General de Seguridad Pública y Tránsito y termina con la encargada de Policía y Tránsito, de los cuales refirió sus nombres así como la liga electr</w:t>
      </w:r>
      <w:r w:rsidR="003A387B" w:rsidRPr="001552CC">
        <w:rPr>
          <w:rFonts w:ascii="Palatino Linotype" w:eastAsiaTheme="minorEastAsia" w:hAnsi="Palatino Linotype"/>
          <w:lang w:val="es-ES_tradnl" w:eastAsia="es-ES"/>
        </w:rPr>
        <w:t>ónica en el que se pueden cons</w:t>
      </w:r>
      <w:r w:rsidRPr="001552CC">
        <w:rPr>
          <w:rFonts w:ascii="Palatino Linotype" w:eastAsiaTheme="minorEastAsia" w:hAnsi="Palatino Linotype"/>
          <w:lang w:val="es-ES_tradnl" w:eastAsia="es-ES"/>
        </w:rPr>
        <w:t>ultar.</w:t>
      </w:r>
      <w:r w:rsidR="003A387B" w:rsidRPr="001552CC">
        <w:rPr>
          <w:rFonts w:ascii="Palatino Linotype" w:eastAsiaTheme="minorEastAsia" w:hAnsi="Palatino Linotype"/>
          <w:lang w:val="es-ES_tradnl" w:eastAsia="es-ES"/>
        </w:rPr>
        <w:t xml:space="preserve"> Aunado a ello, el SUJETO OBLIGADO señaló en su informe justificado, que en cada subdirección operativa se asignan elementos quienes deben cubrir en servicio de tránsito en la totalidad de los municipios y que no hay u número determinado para cada municipio, que de acuerdo a las necesida</w:t>
      </w:r>
      <w:r w:rsidR="001F0D3F" w:rsidRPr="001552CC">
        <w:rPr>
          <w:rFonts w:ascii="Palatino Linotype" w:eastAsiaTheme="minorEastAsia" w:hAnsi="Palatino Linotype"/>
          <w:lang w:val="es-ES_tradnl" w:eastAsia="es-ES"/>
        </w:rPr>
        <w:t>des del municipio son asignados, quedando como encargada la Directora de Policía de Tránsito.</w:t>
      </w:r>
    </w:p>
    <w:p w:rsidR="009F16DC" w:rsidRPr="001552CC" w:rsidRDefault="009F16DC" w:rsidP="001552CC">
      <w:pPr>
        <w:spacing w:line="360" w:lineRule="auto"/>
        <w:ind w:right="49"/>
        <w:contextualSpacing/>
        <w:jc w:val="both"/>
        <w:rPr>
          <w:rStyle w:val="Hipervnculo"/>
          <w:rFonts w:ascii="Palatino Linotype" w:eastAsiaTheme="minorEastAsia" w:hAnsi="Palatino Linotype"/>
          <w:lang w:val="es-ES_tradnl" w:eastAsia="es-ES"/>
        </w:rPr>
      </w:pPr>
    </w:p>
    <w:p w:rsidR="009F16DC" w:rsidRPr="00D20AE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 xml:space="preserve">Así tenemos que con la información enviada a través del informe justificado, el SUJETO OBLIGADO </w:t>
      </w:r>
      <w:r w:rsidR="001E33D1" w:rsidRPr="001552CC">
        <w:rPr>
          <w:rFonts w:ascii="Palatino Linotype" w:hAnsi="Palatino Linotype" w:cs="Arial"/>
        </w:rPr>
        <w:t xml:space="preserve">robusteció su respuesta y por lo tanto </w:t>
      </w:r>
      <w:r w:rsidRPr="001552CC">
        <w:rPr>
          <w:rFonts w:ascii="Palatino Linotype" w:hAnsi="Palatino Linotype" w:cs="Arial"/>
          <w:b/>
        </w:rPr>
        <w:t>modificó</w:t>
      </w:r>
      <w:r w:rsidRPr="001552CC">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192 </w:t>
      </w:r>
      <w:r w:rsidRPr="001552CC">
        <w:rPr>
          <w:rFonts w:ascii="Palatino Linotype" w:eastAsia="Batang" w:hAnsi="Palatino Linotype" w:cs="Arial"/>
        </w:rPr>
        <w:t xml:space="preserve">de la </w:t>
      </w:r>
      <w:r w:rsidRPr="001552CC">
        <w:rPr>
          <w:rFonts w:ascii="Palatino Linotype" w:eastAsia="Batang" w:hAnsi="Palatino Linotype" w:cs="Arial"/>
          <w:b/>
        </w:rPr>
        <w:t>Ley de Transparencia y Acceso a la Información Pública del Estado de México y Municipios</w:t>
      </w:r>
      <w:r w:rsidRPr="001552CC">
        <w:rPr>
          <w:rFonts w:ascii="Palatino Linotype" w:hAnsi="Palatino Linotype" w:cs="Arial"/>
        </w:rPr>
        <w:t>.</w:t>
      </w: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lang w:eastAsia="en-US"/>
        </w:rPr>
        <w:lastRenderedPageBreak/>
        <w:t xml:space="preserve">Una vez precisado lo anterior, </w:t>
      </w:r>
      <w:r w:rsidRPr="001552CC">
        <w:rPr>
          <w:rFonts w:ascii="Palatino Linotype" w:eastAsia="Batang" w:hAnsi="Palatino Linotype" w:cs="Arial"/>
        </w:rPr>
        <w:t xml:space="preserve">por lo que hace a las causas de sobreseimiento contenidas en </w:t>
      </w:r>
      <w:r w:rsidRPr="001552CC">
        <w:rPr>
          <w:rFonts w:ascii="Palatino Linotype" w:hAnsi="Palatino Linotype" w:cs="Arial"/>
        </w:rPr>
        <w:t xml:space="preserve">la fracción III del artículo 192 </w:t>
      </w:r>
      <w:r w:rsidRPr="001552CC">
        <w:rPr>
          <w:rFonts w:ascii="Palatino Linotype" w:eastAsia="Batang" w:hAnsi="Palatino Linotype" w:cs="Arial"/>
        </w:rPr>
        <w:t xml:space="preserve">de la </w:t>
      </w:r>
      <w:r w:rsidRPr="001552CC">
        <w:rPr>
          <w:rFonts w:ascii="Palatino Linotype" w:eastAsia="Batang" w:hAnsi="Palatino Linotype" w:cs="Arial"/>
          <w:b/>
        </w:rPr>
        <w:t>Ley de Transparencia y Acceso a la Información Pública del Estado de México y Municipios</w:t>
      </w:r>
      <w:r w:rsidRPr="001552CC">
        <w:rPr>
          <w:rFonts w:ascii="Palatino Linotype" w:eastAsia="Batang" w:hAnsi="Palatino Linotype" w:cs="Arial"/>
        </w:rPr>
        <w:t xml:space="preserve">, es oportuno señalar que estos requisitos privilegian la existencia de elementos de fondo, tales como el desistimiento o fallecimiento del </w:t>
      </w:r>
      <w:r w:rsidRPr="001552CC">
        <w:rPr>
          <w:rFonts w:ascii="Palatino Linotype" w:eastAsia="Batang" w:hAnsi="Palatino Linotype" w:cs="Arial"/>
          <w:b/>
        </w:rPr>
        <w:t>RECURRENTE</w:t>
      </w:r>
      <w:r w:rsidRPr="001552CC">
        <w:rPr>
          <w:rFonts w:ascii="Palatino Linotype" w:eastAsia="Batang" w:hAnsi="Palatino Linotype" w:cs="Arial"/>
        </w:rPr>
        <w:t xml:space="preserve"> o que el </w:t>
      </w:r>
      <w:r w:rsidRPr="001552CC">
        <w:rPr>
          <w:rFonts w:ascii="Palatino Linotype" w:eastAsia="Batang" w:hAnsi="Palatino Linotype" w:cs="Arial"/>
          <w:b/>
        </w:rPr>
        <w:t>SUJETO OBLIGADO</w:t>
      </w:r>
      <w:r w:rsidRPr="001552CC">
        <w:rPr>
          <w:rFonts w:ascii="Palatino Linotype" w:eastAsia="Batang" w:hAnsi="Palatino Linotype" w:cs="Arial"/>
        </w:rPr>
        <w:t xml:space="preserve"> </w:t>
      </w:r>
      <w:r w:rsidRPr="001552CC">
        <w:rPr>
          <w:rFonts w:ascii="Palatino Linotype" w:eastAsia="Batang" w:hAnsi="Palatino Linotype" w:cs="Arial"/>
          <w:b/>
          <w:u w:val="single"/>
        </w:rPr>
        <w:t>modifique o revoque el acto</w:t>
      </w:r>
      <w:r w:rsidRPr="001552CC">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1552CC">
        <w:rPr>
          <w:rFonts w:ascii="Palatino Linotype" w:hAnsi="Palatino Linotype" w:cs="Arial"/>
          <w:b/>
        </w:rPr>
        <w:t>SUJETO OBLIGADO</w:t>
      </w:r>
      <w:r w:rsidRPr="001552CC">
        <w:rPr>
          <w:rFonts w:ascii="Palatino Linotype" w:hAnsi="Palatino Linotype" w:cs="Arial"/>
        </w:rPr>
        <w:t>:</w:t>
      </w:r>
    </w:p>
    <w:p w:rsidR="009F16DC" w:rsidRPr="001552CC" w:rsidRDefault="009F16DC" w:rsidP="001552CC">
      <w:pPr>
        <w:spacing w:line="360" w:lineRule="auto"/>
        <w:ind w:right="49"/>
        <w:contextualSpacing/>
        <w:jc w:val="both"/>
        <w:rPr>
          <w:rFonts w:ascii="Palatino Linotype" w:hAnsi="Palatino Linotype" w:cs="Arial"/>
        </w:rPr>
      </w:pPr>
    </w:p>
    <w:p w:rsidR="009F16DC" w:rsidRPr="001552CC" w:rsidRDefault="009F16DC" w:rsidP="001552CC">
      <w:pPr>
        <w:pStyle w:val="Prrafodelista"/>
        <w:numPr>
          <w:ilvl w:val="0"/>
          <w:numId w:val="3"/>
        </w:numPr>
        <w:spacing w:line="360" w:lineRule="auto"/>
        <w:ind w:left="567" w:right="567" w:firstLine="0"/>
        <w:jc w:val="both"/>
        <w:rPr>
          <w:rFonts w:ascii="Palatino Linotype" w:hAnsi="Palatino Linotype" w:cs="Arial"/>
          <w:sz w:val="24"/>
        </w:rPr>
      </w:pPr>
      <w:r w:rsidRPr="001552CC">
        <w:rPr>
          <w:rFonts w:ascii="Palatino Linotype" w:hAnsi="Palatino Linotype" w:cs="Arial"/>
          <w:b/>
          <w:sz w:val="24"/>
        </w:rPr>
        <w:t>Modifique el acto impugnado:</w:t>
      </w:r>
      <w:r w:rsidRPr="001552CC">
        <w:rPr>
          <w:rFonts w:ascii="Palatino Linotype" w:hAnsi="Palatino Linotype" w:cs="Arial"/>
          <w:sz w:val="24"/>
        </w:rPr>
        <w:t xml:space="preserve"> Se actualiza cuando el </w:t>
      </w:r>
      <w:r w:rsidRPr="001552CC">
        <w:rPr>
          <w:rFonts w:ascii="Palatino Linotype" w:hAnsi="Palatino Linotype" w:cs="Arial"/>
          <w:b/>
          <w:sz w:val="24"/>
        </w:rPr>
        <w:t>SUJETO OBLIGADO</w:t>
      </w:r>
      <w:r w:rsidRPr="001552CC">
        <w:rPr>
          <w:rFonts w:ascii="Palatino Linotype" w:hAnsi="Palatino Linotype" w:cs="Arial"/>
          <w:sz w:val="24"/>
        </w:rPr>
        <w:t xml:space="preserve"> después de haber otorgado una respuesta y hasta antes de dictada la resolución del recurso de revisión, emite una diversa en la que subsane las deficiencias que hubiera tenido.</w:t>
      </w:r>
    </w:p>
    <w:p w:rsidR="009F16DC" w:rsidRPr="001552CC" w:rsidRDefault="009F16DC" w:rsidP="001552CC">
      <w:pPr>
        <w:pStyle w:val="Prrafodelista"/>
        <w:numPr>
          <w:ilvl w:val="0"/>
          <w:numId w:val="3"/>
        </w:numPr>
        <w:spacing w:line="360" w:lineRule="auto"/>
        <w:ind w:left="567" w:right="616" w:firstLine="0"/>
        <w:jc w:val="both"/>
        <w:rPr>
          <w:rFonts w:ascii="Palatino Linotype" w:hAnsi="Palatino Linotype" w:cs="Arial"/>
          <w:sz w:val="24"/>
        </w:rPr>
      </w:pPr>
      <w:r w:rsidRPr="001552CC">
        <w:rPr>
          <w:rFonts w:ascii="Palatino Linotype" w:hAnsi="Palatino Linotype" w:cs="Arial"/>
          <w:b/>
          <w:sz w:val="24"/>
        </w:rPr>
        <w:t>Revoque el acto impugnado:</w:t>
      </w:r>
      <w:r w:rsidRPr="001552CC">
        <w:rPr>
          <w:rFonts w:ascii="Palatino Linotype" w:hAnsi="Palatino Linotype" w:cs="Arial"/>
          <w:sz w:val="24"/>
        </w:rPr>
        <w:t xml:space="preserve"> En este supuesto, el </w:t>
      </w:r>
      <w:r w:rsidRPr="001552CC">
        <w:rPr>
          <w:rFonts w:ascii="Palatino Linotype" w:hAnsi="Palatino Linotype" w:cs="Arial"/>
          <w:b/>
          <w:sz w:val="24"/>
        </w:rPr>
        <w:t>SUJETO OBLIGADO</w:t>
      </w:r>
      <w:r w:rsidRPr="001552CC">
        <w:rPr>
          <w:rFonts w:ascii="Palatino Linotype" w:hAnsi="Palatino Linotype" w:cs="Arial"/>
          <w:sz w:val="24"/>
        </w:rPr>
        <w:t xml:space="preserve"> deja sin efectos la primera respuesta y en su lugar emite otra que satisfaga lo solicitado por el particular en un primer momento.</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 xml:space="preserve">Las consecuencias jurídicas de esta modificación o revocación es que el recurso de revisión interpuesto quede sin efectos o sin materia. Un acto impugnado queda sin efectos, cuando aun existiendo jurídicamente, no genera consecuencia legal alguna; </w:t>
      </w:r>
      <w:r w:rsidRPr="001552CC">
        <w:rPr>
          <w:rFonts w:ascii="Palatino Linotype" w:hAnsi="Palatino Linotype" w:cs="Arial"/>
        </w:rPr>
        <w:lastRenderedPageBreak/>
        <w:t>queda sin materia, cuando ha sido satisfecha la pretensión del particular, ya sea porque se hizo la entrega de la información solicitada o porque se completó la misma.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 xml:space="preserve">En el presente asunto, este Pleno advierte que el </w:t>
      </w:r>
      <w:r w:rsidRPr="001552CC">
        <w:rPr>
          <w:rFonts w:ascii="Palatino Linotype" w:hAnsi="Palatino Linotype" w:cs="Arial"/>
          <w:b/>
        </w:rPr>
        <w:t>SUJETO OBLIGADO</w:t>
      </w:r>
      <w:r w:rsidRPr="001552CC">
        <w:rPr>
          <w:rFonts w:ascii="Palatino Linotype" w:hAnsi="Palatino Linotype" w:cs="Arial"/>
        </w:rPr>
        <w:t xml:space="preserve"> con la información enviada a través del informe de justificación, </w:t>
      </w:r>
      <w:r w:rsidRPr="001552CC">
        <w:rPr>
          <w:rFonts w:ascii="Palatino Linotype" w:hAnsi="Palatino Linotype" w:cs="Arial"/>
          <w:b/>
        </w:rPr>
        <w:t>modifica</w:t>
      </w:r>
      <w:r w:rsidRPr="001552CC">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552CC">
        <w:rPr>
          <w:rFonts w:ascii="Palatino Linotype" w:hAnsi="Palatino Linotype" w:cs="Arial"/>
          <w:b/>
        </w:rPr>
        <w:t>SUJETOS OBLIGADOS</w:t>
      </w:r>
      <w:r w:rsidRPr="001552CC">
        <w:rPr>
          <w:rFonts w:ascii="Palatino Linotype" w:hAnsi="Palatino Linotype" w:cs="Arial"/>
        </w:rPr>
        <w:t xml:space="preserve"> o la negativa de entrega de la misma, derivada de la solicitud de información pública.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 xml:space="preserve">De este modo, cuando el </w:t>
      </w:r>
      <w:r w:rsidRPr="001552CC">
        <w:rPr>
          <w:rFonts w:ascii="Palatino Linotype" w:hAnsi="Palatino Linotype" w:cs="Arial"/>
          <w:b/>
        </w:rPr>
        <w:t xml:space="preserve">SUJETO OBLIGADO, </w:t>
      </w:r>
      <w:r w:rsidRPr="001552CC">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1552CC">
        <w:rPr>
          <w:rFonts w:ascii="Palatino Linotype" w:hAnsi="Palatino Linotype" w:cs="Arial"/>
          <w:i/>
        </w:rPr>
        <w:t>litis</w:t>
      </w:r>
      <w:r w:rsidRPr="001552CC">
        <w:rPr>
          <w:rFonts w:ascii="Palatino Linotype" w:hAnsi="Palatino Linotype" w:cs="Arial"/>
        </w:rPr>
        <w:t xml:space="preserve"> planteada, debido a que la afectación en su esfera de derechos fue restituida por la propia autoridad que emitió el acto motivo de impugnación.</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lastRenderedPageBreak/>
        <w:t>Sirve de sustento a lo anterior la siguiente jurisprudencia por contradicción, cuyo rubro, texto y datos de identificación son los siguientes:</w:t>
      </w:r>
    </w:p>
    <w:p w:rsidR="009F16DC" w:rsidRPr="001552CC" w:rsidRDefault="009F16DC" w:rsidP="001552CC">
      <w:pPr>
        <w:spacing w:line="360" w:lineRule="auto"/>
        <w:ind w:right="49"/>
        <w:contextualSpacing/>
        <w:jc w:val="both"/>
        <w:rPr>
          <w:rFonts w:ascii="Palatino Linotype" w:hAnsi="Palatino Linotype" w:cs="Arial"/>
        </w:rPr>
      </w:pPr>
    </w:p>
    <w:p w:rsidR="009F16DC" w:rsidRPr="001552CC" w:rsidRDefault="009F16DC" w:rsidP="001552CC">
      <w:pPr>
        <w:spacing w:line="360" w:lineRule="auto"/>
        <w:ind w:left="567" w:right="618"/>
        <w:jc w:val="both"/>
        <w:rPr>
          <w:rFonts w:ascii="Palatino Linotype" w:hAnsi="Palatino Linotype" w:cs="Arial"/>
          <w:i/>
          <w:sz w:val="22"/>
          <w:szCs w:val="22"/>
        </w:rPr>
      </w:pPr>
      <w:r w:rsidRPr="001552CC">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552CC">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hAnsi="Palatino Linotype" w:cs="Arial"/>
        </w:rPr>
        <w:t>La anterior jurisprudencia resulta aplicable al presente asunto, en dos aspectos:</w:t>
      </w:r>
    </w:p>
    <w:p w:rsidR="009F16DC" w:rsidRPr="001552CC" w:rsidRDefault="009F16DC" w:rsidP="001552CC">
      <w:pPr>
        <w:pStyle w:val="Prrafodelista"/>
        <w:spacing w:line="360" w:lineRule="auto"/>
        <w:ind w:left="786" w:right="567"/>
        <w:jc w:val="both"/>
        <w:rPr>
          <w:rFonts w:ascii="Palatino Linotype" w:hAnsi="Palatino Linotype" w:cs="Arial"/>
        </w:rPr>
      </w:pPr>
      <w:r w:rsidRPr="001552CC">
        <w:rPr>
          <w:rFonts w:ascii="Palatino Linotype" w:hAnsi="Palatino Linotype" w:cs="Arial"/>
          <w:b/>
        </w:rPr>
        <w:lastRenderedPageBreak/>
        <w:t>La cesación de los efectos perniciosos del acto de autoridad:</w:t>
      </w:r>
      <w:r w:rsidRPr="001552CC">
        <w:rPr>
          <w:rFonts w:ascii="Palatino Linotype" w:hAnsi="Palatino Linotype" w:cs="Arial"/>
        </w:rPr>
        <w:t xml:space="preserve"> Al respecto, la Ley de Transparencia contempla la figura jurídica del sobreseimiento cuando el </w:t>
      </w:r>
      <w:r w:rsidRPr="001552CC">
        <w:rPr>
          <w:rFonts w:ascii="Palatino Linotype" w:hAnsi="Palatino Linotype" w:cs="Arial"/>
          <w:b/>
        </w:rPr>
        <w:t>SUJETO OBLIGADO</w:t>
      </w:r>
      <w:r w:rsidRPr="001552CC">
        <w:rPr>
          <w:rFonts w:ascii="Palatino Linotype" w:hAnsi="Palatino Linotype" w:cs="Arial"/>
        </w:rPr>
        <w:t xml:space="preserve"> de </w:t>
      </w:r>
      <w:r w:rsidRPr="001552CC">
        <w:rPr>
          <w:rFonts w:ascii="Palatino Linotype" w:hAnsi="Palatino Linotype" w:cs="Arial"/>
          <w:i/>
        </w:rPr>
        <w:t>motu proprio</w:t>
      </w:r>
      <w:r w:rsidRPr="001552CC">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rsidR="009F16DC" w:rsidRPr="001552CC" w:rsidRDefault="009F16DC" w:rsidP="001552CC">
      <w:pPr>
        <w:pStyle w:val="Prrafodelista"/>
        <w:spacing w:line="360" w:lineRule="auto"/>
        <w:ind w:left="567" w:right="567"/>
        <w:jc w:val="both"/>
        <w:rPr>
          <w:rFonts w:ascii="Palatino Linotype" w:hAnsi="Palatino Linotype" w:cs="Arial"/>
        </w:rPr>
      </w:pPr>
    </w:p>
    <w:p w:rsidR="009F16DC" w:rsidRPr="001552CC" w:rsidRDefault="009F16DC" w:rsidP="001552CC">
      <w:pPr>
        <w:pStyle w:val="Prrafodelista"/>
        <w:spacing w:line="360" w:lineRule="auto"/>
        <w:ind w:left="786" w:right="616"/>
        <w:jc w:val="both"/>
        <w:rPr>
          <w:rFonts w:ascii="Palatino Linotype" w:hAnsi="Palatino Linotype" w:cs="Arial"/>
        </w:rPr>
      </w:pPr>
      <w:r w:rsidRPr="001552CC">
        <w:rPr>
          <w:rFonts w:ascii="Palatino Linotype" w:hAnsi="Palatino Linotype" w:cs="Arial"/>
          <w:b/>
        </w:rPr>
        <w:t>El momento procesal para modificar el acto impugnado:</w:t>
      </w:r>
      <w:r w:rsidRPr="001552CC">
        <w:rPr>
          <w:rFonts w:ascii="Palatino Linotype" w:hAnsi="Palatino Linotype" w:cs="Arial"/>
        </w:rPr>
        <w:t xml:space="preserve"> Para que se actualice el sobreseimiento de un recurso de revisión, el </w:t>
      </w:r>
      <w:r w:rsidRPr="001552CC">
        <w:rPr>
          <w:rFonts w:ascii="Palatino Linotype" w:hAnsi="Palatino Linotype" w:cs="Arial"/>
          <w:b/>
        </w:rPr>
        <w:t>SUJETO OBLIGADO</w:t>
      </w:r>
      <w:r w:rsidRPr="001552CC">
        <w:rPr>
          <w:rFonts w:ascii="Palatino Linotype" w:hAnsi="Palatino Linotype" w:cs="Arial"/>
        </w:rPr>
        <w:t xml:space="preserve"> puede entregar o completar la información al momento de rendir su informe de justificación o </w:t>
      </w:r>
      <w:r w:rsidRPr="001552CC">
        <w:rPr>
          <w:rFonts w:ascii="Palatino Linotype" w:hAnsi="Palatino Linotype" w:cs="Arial"/>
          <w:b/>
          <w:u w:val="single"/>
        </w:rPr>
        <w:t>posteriormente</w:t>
      </w:r>
      <w:r w:rsidRPr="001552CC">
        <w:rPr>
          <w:rFonts w:ascii="Palatino Linotype" w:hAnsi="Palatino Linotype" w:cs="Arial"/>
        </w:rPr>
        <w:t xml:space="preserve"> a éste, siempre y cuando el Pleno del Instituto no haya dictado resolución definitiva.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eastAsia="Batang" w:hAnsi="Palatino Linotype" w:cs="Arial"/>
        </w:rPr>
        <w:t xml:space="preserve">Además, de acuerdo con el procesalista Niceto Alcalá-Zamora y Castillo en su obra </w:t>
      </w:r>
      <w:r w:rsidRPr="001552CC">
        <w:rPr>
          <w:rFonts w:ascii="Palatino Linotype" w:eastAsia="Batang" w:hAnsi="Palatino Linotype" w:cs="Arial"/>
          <w:i/>
        </w:rPr>
        <w:t>“Cuestiones de Terminología Procesal”</w:t>
      </w:r>
      <w:r w:rsidRPr="001552CC">
        <w:rPr>
          <w:rFonts w:ascii="Palatino Linotype" w:eastAsia="Batang" w:hAnsi="Palatino Linotype" w:cs="Arial"/>
        </w:rPr>
        <w:t xml:space="preserve">, el sobreseimiento es </w:t>
      </w:r>
      <w:r w:rsidRPr="001552CC">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eastAsia="Batang" w:hAnsi="Palatino Linotype" w:cs="Arial"/>
        </w:rPr>
        <w:t xml:space="preserve">Eduardo Pallares, en su artículo </w:t>
      </w:r>
      <w:r w:rsidRPr="001552CC">
        <w:rPr>
          <w:rFonts w:ascii="Palatino Linotype" w:eastAsia="Batang" w:hAnsi="Palatino Linotype" w:cs="Arial"/>
          <w:i/>
        </w:rPr>
        <w:t>“La caducidad y el sobreseimiento en el amparo”</w:t>
      </w:r>
      <w:r w:rsidRPr="001552CC">
        <w:rPr>
          <w:rFonts w:ascii="Palatino Linotype" w:eastAsia="Batang" w:hAnsi="Palatino Linotype" w:cs="Arial"/>
        </w:rPr>
        <w:t xml:space="preserve">, cita la definición de Aguilera Paz, aduciendo que se </w:t>
      </w:r>
      <w:r w:rsidRPr="001552CC">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1552CC">
        <w:rPr>
          <w:rFonts w:ascii="Palatino Linotype" w:eastAsia="Batang" w:hAnsi="Palatino Linotype" w:cs="Arial"/>
        </w:rPr>
        <w:t>. Asimismo señala que existe el sobreseimiento provisional y el definitivo</w:t>
      </w:r>
      <w:r w:rsidRPr="001552CC">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rsidR="009F16DC" w:rsidRPr="001552CC" w:rsidRDefault="009F16DC" w:rsidP="001552CC">
      <w:pPr>
        <w:spacing w:line="360" w:lineRule="auto"/>
        <w:ind w:right="49"/>
        <w:contextualSpacing/>
        <w:jc w:val="both"/>
        <w:rPr>
          <w:rFonts w:ascii="Palatino Linotype" w:eastAsiaTheme="minorEastAsia" w:hAnsi="Palatino Linotype"/>
          <w:lang w:val="es-ES_tradnl" w:eastAsia="es-ES"/>
        </w:rPr>
      </w:pPr>
    </w:p>
    <w:p w:rsidR="009F16DC" w:rsidRPr="001552CC" w:rsidRDefault="009F16DC" w:rsidP="001552C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52CC">
        <w:rPr>
          <w:rFonts w:ascii="Palatino Linotype" w:eastAsia="Batang" w:hAnsi="Palatino Linotype" w:cs="Arial"/>
        </w:rPr>
        <w:t xml:space="preserve">Así, para la doctrina el sobreseimiento provoca que un procedimiento se suspenda o se resuelva en definitiva </w:t>
      </w:r>
      <w:r w:rsidRPr="001552CC">
        <w:rPr>
          <w:rFonts w:ascii="Palatino Linotype" w:eastAsia="Batang" w:hAnsi="Palatino Linotype" w:cs="Arial"/>
          <w:b/>
          <w:u w:val="single"/>
        </w:rPr>
        <w:t xml:space="preserve">sin que se entre al estudio de los agravios o motivos de inconformidad. </w:t>
      </w:r>
      <w:r w:rsidRPr="001552CC">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rsidR="009F16DC" w:rsidRPr="001552CC" w:rsidRDefault="009F16DC" w:rsidP="001552CC">
      <w:pPr>
        <w:pStyle w:val="Prrafodelista"/>
        <w:spacing w:line="360" w:lineRule="auto"/>
        <w:ind w:left="0" w:right="49"/>
        <w:jc w:val="both"/>
        <w:rPr>
          <w:rFonts w:ascii="Palatino Linotype" w:hAnsi="Palatino Linotype"/>
        </w:rPr>
      </w:pPr>
    </w:p>
    <w:p w:rsidR="009F16DC" w:rsidRPr="001552CC" w:rsidRDefault="009F16DC" w:rsidP="001552CC">
      <w:pPr>
        <w:spacing w:line="360" w:lineRule="auto"/>
        <w:ind w:left="567" w:right="616"/>
        <w:jc w:val="both"/>
        <w:rPr>
          <w:rFonts w:ascii="Palatino Linotype" w:hAnsi="Palatino Linotype"/>
        </w:rPr>
      </w:pPr>
      <w:r w:rsidRPr="001552CC">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rsidR="009F16DC" w:rsidRPr="001552CC" w:rsidRDefault="009F16DC" w:rsidP="001552CC">
      <w:pPr>
        <w:autoSpaceDE w:val="0"/>
        <w:autoSpaceDN w:val="0"/>
        <w:adjustRightInd w:val="0"/>
        <w:spacing w:line="360" w:lineRule="auto"/>
        <w:ind w:left="567" w:right="616"/>
        <w:jc w:val="both"/>
        <w:rPr>
          <w:rFonts w:ascii="Palatino Linotype" w:eastAsia="Batang" w:hAnsi="Palatino Linotype" w:cs="Arial"/>
          <w:i/>
          <w:sz w:val="22"/>
          <w:szCs w:val="22"/>
          <w:lang w:val="es-AR"/>
        </w:rPr>
      </w:pPr>
      <w:r w:rsidRPr="001552CC">
        <w:rPr>
          <w:rFonts w:ascii="Palatino Linotype" w:eastAsia="Batang" w:hAnsi="Palatino Linotype" w:cs="Arial"/>
          <w:b/>
          <w:i/>
          <w:sz w:val="22"/>
          <w:szCs w:val="22"/>
          <w:lang w:val="es-AR"/>
        </w:rPr>
        <w:t>El sobreseimiento</w:t>
      </w:r>
      <w:r w:rsidRPr="001552CC">
        <w:rPr>
          <w:rFonts w:ascii="Palatino Linotype" w:eastAsia="Batang" w:hAnsi="Palatino Linotype" w:cs="Arial"/>
          <w:i/>
          <w:sz w:val="22"/>
          <w:szCs w:val="22"/>
          <w:lang w:val="es-AR"/>
        </w:rPr>
        <w:t xml:space="preserve"> en el juicio de amparo directo </w:t>
      </w:r>
      <w:r w:rsidRPr="001552CC">
        <w:rPr>
          <w:rFonts w:ascii="Palatino Linotype" w:eastAsia="Batang" w:hAnsi="Palatino Linotype" w:cs="Arial"/>
          <w:b/>
          <w:i/>
          <w:sz w:val="22"/>
          <w:szCs w:val="22"/>
          <w:lang w:val="es-AR"/>
        </w:rPr>
        <w:t>provoca la terminación de la controversia planteada</w:t>
      </w:r>
      <w:r w:rsidRPr="001552CC">
        <w:rPr>
          <w:rFonts w:ascii="Palatino Linotype" w:eastAsia="Batang" w:hAnsi="Palatino Linotype" w:cs="Arial"/>
          <w:i/>
          <w:sz w:val="22"/>
          <w:szCs w:val="22"/>
          <w:lang w:val="es-AR"/>
        </w:rPr>
        <w:t xml:space="preserve"> por el quejoso en la demanda de amparo</w:t>
      </w:r>
      <w:r w:rsidRPr="001552CC">
        <w:rPr>
          <w:rFonts w:ascii="Palatino Linotype" w:eastAsia="Batang" w:hAnsi="Palatino Linotype" w:cs="Arial"/>
          <w:b/>
          <w:i/>
          <w:sz w:val="22"/>
          <w:szCs w:val="22"/>
          <w:lang w:val="es-AR"/>
        </w:rPr>
        <w:t>, sin hacer un pronunciamiento de fondo sobre la legalidad o ilegalidad de la sentencia reclamada</w:t>
      </w:r>
      <w:r w:rsidRPr="001552CC">
        <w:rPr>
          <w:rFonts w:ascii="Palatino Linotype" w:eastAsia="Batang" w:hAnsi="Palatino Linotype" w:cs="Arial"/>
          <w:i/>
          <w:sz w:val="22"/>
          <w:szCs w:val="22"/>
          <w:lang w:val="es-AR"/>
        </w:rPr>
        <w:t xml:space="preserve">. </w:t>
      </w:r>
      <w:r w:rsidRPr="001552CC">
        <w:rPr>
          <w:rFonts w:ascii="Palatino Linotype" w:eastAsia="Batang" w:hAnsi="Palatino Linotype" w:cs="Arial"/>
          <w:b/>
          <w:i/>
          <w:sz w:val="22"/>
          <w:szCs w:val="22"/>
          <w:lang w:val="es-AR"/>
        </w:rPr>
        <w:t xml:space="preserve">Por consiguiente, si al sobreseerse en el juicio de amparo </w:t>
      </w:r>
      <w:r w:rsidRPr="001552CC">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552CC">
        <w:rPr>
          <w:rFonts w:ascii="Palatino Linotype" w:eastAsia="Batang" w:hAnsi="Palatino Linotype" w:cs="Arial"/>
          <w:i/>
          <w:sz w:val="22"/>
          <w:szCs w:val="22"/>
          <w:lang w:val="es-AR"/>
        </w:rPr>
        <w:t>.</w:t>
      </w:r>
    </w:p>
    <w:p w:rsidR="009F16DC" w:rsidRPr="001552CC" w:rsidRDefault="009F16DC" w:rsidP="001552CC">
      <w:pPr>
        <w:autoSpaceDE w:val="0"/>
        <w:autoSpaceDN w:val="0"/>
        <w:adjustRightInd w:val="0"/>
        <w:spacing w:line="360" w:lineRule="auto"/>
        <w:ind w:left="567" w:right="616"/>
        <w:jc w:val="both"/>
        <w:rPr>
          <w:rFonts w:ascii="Palatino Linotype" w:eastAsia="Batang" w:hAnsi="Palatino Linotype" w:cs="Arial"/>
          <w:i/>
          <w:sz w:val="22"/>
          <w:szCs w:val="22"/>
          <w:lang w:val="es-AR"/>
        </w:rPr>
      </w:pPr>
      <w:r w:rsidRPr="001552CC">
        <w:rPr>
          <w:rFonts w:ascii="Palatino Linotype" w:eastAsia="Batang" w:hAnsi="Palatino Linotype" w:cs="Arial"/>
          <w:i/>
          <w:sz w:val="22"/>
          <w:szCs w:val="22"/>
          <w:lang w:val="es-AR"/>
        </w:rPr>
        <w:t>SÉPTIMO TRIBUNAL COLEGIADO EN MATERIA CIVIL DEL PRIMER CIRCUITO.</w:t>
      </w:r>
    </w:p>
    <w:p w:rsidR="009F16DC" w:rsidRPr="001552CC" w:rsidRDefault="009F16DC" w:rsidP="001552CC">
      <w:pPr>
        <w:autoSpaceDE w:val="0"/>
        <w:autoSpaceDN w:val="0"/>
        <w:adjustRightInd w:val="0"/>
        <w:spacing w:line="360" w:lineRule="auto"/>
        <w:ind w:left="567" w:right="616"/>
        <w:jc w:val="both"/>
        <w:rPr>
          <w:rFonts w:ascii="Palatino Linotype" w:eastAsia="Batang" w:hAnsi="Palatino Linotype" w:cs="Arial"/>
          <w:i/>
          <w:sz w:val="22"/>
          <w:szCs w:val="22"/>
          <w:lang w:val="es-AR"/>
        </w:rPr>
      </w:pPr>
      <w:r w:rsidRPr="001552CC">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bookmarkStart w:id="13" w:name="_Toc72934786"/>
    </w:p>
    <w:bookmarkEnd w:id="13"/>
    <w:p w:rsidR="009F16DC" w:rsidRPr="001552CC" w:rsidRDefault="009F16DC" w:rsidP="001552CC">
      <w:pPr>
        <w:pStyle w:val="Sinespaciado"/>
        <w:spacing w:line="360" w:lineRule="auto"/>
        <w:contextualSpacing/>
        <w:jc w:val="both"/>
        <w:rPr>
          <w:rFonts w:ascii="Palatino Linotype" w:eastAsia="Calibri" w:hAnsi="Palatino Linotype"/>
        </w:rPr>
      </w:pPr>
    </w:p>
    <w:p w:rsidR="009F16DC" w:rsidRPr="001552CC" w:rsidRDefault="009F16DC" w:rsidP="001552CC">
      <w:pPr>
        <w:pStyle w:val="Sinespaciado"/>
        <w:numPr>
          <w:ilvl w:val="0"/>
          <w:numId w:val="1"/>
        </w:numPr>
        <w:spacing w:line="360" w:lineRule="auto"/>
        <w:ind w:left="0" w:firstLine="0"/>
        <w:contextualSpacing/>
        <w:jc w:val="both"/>
        <w:rPr>
          <w:rFonts w:ascii="Palatino Linotype" w:eastAsia="Calibri" w:hAnsi="Palatino Linotype"/>
          <w:sz w:val="24"/>
        </w:rPr>
      </w:pPr>
      <w:r w:rsidRPr="001552CC">
        <w:rPr>
          <w:rFonts w:ascii="Palatino Linotype" w:eastAsia="Calibri" w:hAnsi="Palatino Linotype"/>
          <w:sz w:val="24"/>
        </w:rPr>
        <w:t xml:space="preserve">Por lo anteriormente expuesto y fundado, este </w:t>
      </w:r>
      <w:r w:rsidRPr="001552CC">
        <w:rPr>
          <w:rFonts w:ascii="Palatino Linotype" w:eastAsia="Calibri" w:hAnsi="Palatino Linotype"/>
          <w:b/>
          <w:bCs/>
          <w:sz w:val="24"/>
        </w:rPr>
        <w:t>ÓRGANO GARANTE</w:t>
      </w:r>
      <w:r w:rsidRPr="001552CC">
        <w:rPr>
          <w:rFonts w:ascii="Palatino Linotype" w:eastAsia="Calibri" w:hAnsi="Palatino Linotype"/>
          <w:sz w:val="24"/>
        </w:rPr>
        <w:t xml:space="preserve"> emite los siguientes:</w:t>
      </w:r>
    </w:p>
    <w:p w:rsidR="009F16DC" w:rsidRPr="001552CC" w:rsidRDefault="009F16DC" w:rsidP="001552CC">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4" w:name="_Toc528153792"/>
      <w:bookmarkStart w:id="15" w:name="_Toc71158406"/>
      <w:bookmarkStart w:id="16" w:name="_Toc84935145"/>
      <w:r w:rsidRPr="001552CC">
        <w:rPr>
          <w:rFonts w:ascii="Palatino Linotype" w:eastAsiaTheme="majorEastAsia" w:hAnsi="Palatino Linotype" w:cstheme="majorBidi"/>
          <w:b/>
          <w:color w:val="000000" w:themeColor="text1"/>
          <w:lang w:eastAsia="en-US"/>
        </w:rPr>
        <w:lastRenderedPageBreak/>
        <w:t>R E S O L U T I V O S</w:t>
      </w:r>
      <w:bookmarkEnd w:id="14"/>
      <w:bookmarkEnd w:id="15"/>
      <w:bookmarkEnd w:id="16"/>
    </w:p>
    <w:p w:rsidR="009F16DC" w:rsidRPr="001552CC" w:rsidRDefault="009F16DC" w:rsidP="001552CC">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9F16DC" w:rsidRPr="001552CC" w:rsidRDefault="009F16DC" w:rsidP="001552CC">
      <w:pPr>
        <w:spacing w:line="360" w:lineRule="auto"/>
        <w:jc w:val="both"/>
        <w:rPr>
          <w:rFonts w:ascii="Palatino Linotype" w:eastAsiaTheme="minorHAnsi" w:hAnsi="Palatino Linotype" w:cstheme="minorBidi"/>
          <w:szCs w:val="20"/>
          <w:lang w:eastAsia="en-US"/>
        </w:rPr>
      </w:pPr>
      <w:r w:rsidRPr="001552CC">
        <w:rPr>
          <w:rFonts w:ascii="Palatino Linotype" w:eastAsiaTheme="minorHAnsi" w:hAnsi="Palatino Linotype" w:cstheme="minorBidi"/>
          <w:b/>
          <w:szCs w:val="20"/>
          <w:lang w:eastAsia="en-US"/>
        </w:rPr>
        <w:t xml:space="preserve">PRIMERO. </w:t>
      </w:r>
      <w:r w:rsidRPr="001552CC">
        <w:rPr>
          <w:rFonts w:ascii="Palatino Linotype" w:eastAsiaTheme="minorHAnsi" w:hAnsi="Palatino Linotype" w:cstheme="minorBidi"/>
          <w:szCs w:val="20"/>
          <w:lang w:eastAsia="en-US"/>
        </w:rPr>
        <w:t xml:space="preserve">Se </w:t>
      </w:r>
      <w:r w:rsidRPr="001552CC">
        <w:rPr>
          <w:rFonts w:ascii="Palatino Linotype" w:eastAsiaTheme="minorHAnsi" w:hAnsi="Palatino Linotype" w:cstheme="minorBidi"/>
          <w:b/>
          <w:szCs w:val="20"/>
          <w:lang w:eastAsia="en-US"/>
        </w:rPr>
        <w:t>SOBRESEE</w:t>
      </w:r>
      <w:r w:rsidRPr="001552CC">
        <w:rPr>
          <w:rFonts w:ascii="Palatino Linotype" w:eastAsiaTheme="minorHAnsi" w:hAnsi="Palatino Linotype" w:cstheme="minorBidi"/>
          <w:szCs w:val="20"/>
          <w:lang w:eastAsia="en-US"/>
        </w:rPr>
        <w:t xml:space="preserve"> el recurso de revisión número </w:t>
      </w:r>
      <w:r w:rsidR="001F0D3F" w:rsidRPr="001552CC">
        <w:rPr>
          <w:rFonts w:ascii="Palatino Linotype" w:eastAsiaTheme="minorHAnsi" w:hAnsi="Palatino Linotype" w:cstheme="minorBidi"/>
          <w:b/>
          <w:szCs w:val="20"/>
          <w:lang w:eastAsia="en-US"/>
        </w:rPr>
        <w:t>04583</w:t>
      </w:r>
      <w:r w:rsidRPr="001552CC">
        <w:rPr>
          <w:rFonts w:ascii="Palatino Linotype" w:eastAsiaTheme="minorHAnsi" w:hAnsi="Palatino Linotype" w:cstheme="minorBidi"/>
          <w:b/>
          <w:szCs w:val="20"/>
          <w:lang w:eastAsia="en-US"/>
        </w:rPr>
        <w:t>/INFOEM/IP/RR/2021</w:t>
      </w:r>
      <w:r w:rsidRPr="001552CC">
        <w:rPr>
          <w:rFonts w:ascii="Palatino Linotype" w:eastAsiaTheme="minorHAnsi" w:hAnsi="Palatino Linotype" w:cstheme="minorBidi"/>
          <w:szCs w:val="20"/>
          <w:lang w:eastAsia="en-US"/>
        </w:rPr>
        <w:t xml:space="preserve">, porque al </w:t>
      </w:r>
      <w:r w:rsidRPr="001552CC">
        <w:rPr>
          <w:rFonts w:ascii="Palatino Linotype" w:eastAsiaTheme="minorHAnsi" w:hAnsi="Palatino Linotype" w:cstheme="minorBidi"/>
          <w:b/>
          <w:szCs w:val="20"/>
          <w:lang w:eastAsia="en-US"/>
        </w:rPr>
        <w:t>modificar la respuesta a través del informe justificado y atender lo solicitado, el recurso</w:t>
      </w:r>
      <w:r w:rsidRPr="001552CC">
        <w:rPr>
          <w:rFonts w:ascii="Palatino Linotype" w:eastAsiaTheme="minorHAnsi" w:hAnsi="Palatino Linotype" w:cstheme="minorBidi"/>
          <w:szCs w:val="20"/>
          <w:lang w:eastAsia="en-US"/>
        </w:rPr>
        <w:t xml:space="preserve"> de revisión quedó sin materia en términos del  Considerando </w:t>
      </w:r>
      <w:r w:rsidR="001F0D3F" w:rsidRPr="001552CC">
        <w:rPr>
          <w:rFonts w:ascii="Palatino Linotype" w:eastAsiaTheme="minorHAnsi" w:hAnsi="Palatino Linotype" w:cstheme="minorBidi"/>
          <w:b/>
          <w:szCs w:val="20"/>
          <w:lang w:eastAsia="en-US"/>
        </w:rPr>
        <w:t>TERCER</w:t>
      </w:r>
      <w:r w:rsidRPr="001552CC">
        <w:rPr>
          <w:rFonts w:ascii="Palatino Linotype" w:eastAsiaTheme="minorHAnsi" w:hAnsi="Palatino Linotype" w:cstheme="minorBidi"/>
          <w:b/>
          <w:szCs w:val="20"/>
          <w:lang w:eastAsia="en-US"/>
        </w:rPr>
        <w:t>O</w:t>
      </w:r>
      <w:r w:rsidRPr="001552CC">
        <w:rPr>
          <w:rFonts w:ascii="Palatino Linotype" w:eastAsiaTheme="minorHAnsi" w:hAnsi="Palatino Linotype" w:cstheme="minorBidi"/>
          <w:szCs w:val="20"/>
          <w:lang w:eastAsia="en-US"/>
        </w:rPr>
        <w:t xml:space="preserve"> de la presente resolución.</w:t>
      </w:r>
    </w:p>
    <w:p w:rsidR="009F16DC" w:rsidRPr="001552CC" w:rsidRDefault="009F16DC" w:rsidP="001552CC">
      <w:pPr>
        <w:spacing w:line="360" w:lineRule="auto"/>
        <w:jc w:val="both"/>
        <w:rPr>
          <w:rFonts w:ascii="Palatino Linotype" w:eastAsiaTheme="minorHAnsi" w:hAnsi="Palatino Linotype" w:cstheme="minorBidi"/>
          <w:sz w:val="22"/>
          <w:szCs w:val="20"/>
          <w:lang w:eastAsia="en-US"/>
        </w:rPr>
      </w:pPr>
    </w:p>
    <w:p w:rsidR="009F16DC" w:rsidRPr="001552CC" w:rsidRDefault="009F16DC" w:rsidP="001552CC">
      <w:pPr>
        <w:spacing w:line="360" w:lineRule="auto"/>
        <w:jc w:val="both"/>
        <w:rPr>
          <w:rFonts w:ascii="Palatino Linotype" w:eastAsia="Calibri" w:hAnsi="Palatino Linotype" w:cs="Arial"/>
          <w:b/>
          <w:bCs/>
          <w:lang w:val="es-ES" w:eastAsia="en-US"/>
        </w:rPr>
      </w:pPr>
      <w:r w:rsidRPr="001552CC">
        <w:rPr>
          <w:rFonts w:ascii="Palatino Linotype" w:eastAsia="Calibri" w:hAnsi="Palatino Linotype" w:cs="Arial"/>
          <w:b/>
          <w:bCs/>
          <w:lang w:val="es-ES" w:eastAsia="en-US"/>
        </w:rPr>
        <w:t xml:space="preserve">SEGUNDO. REMÍTASE </w:t>
      </w:r>
      <w:r w:rsidRPr="001552CC">
        <w:rPr>
          <w:rFonts w:ascii="Palatino Linotype" w:eastAsia="Calibri" w:hAnsi="Palatino Linotype" w:cs="Arial"/>
          <w:bCs/>
          <w:lang w:val="es-ES" w:eastAsia="en-US"/>
        </w:rPr>
        <w:t xml:space="preserve">a través del Sistema de Acceso a la Información Mexiquense </w:t>
      </w:r>
      <w:r w:rsidRPr="001552CC">
        <w:rPr>
          <w:rFonts w:ascii="Palatino Linotype" w:eastAsia="Calibri" w:hAnsi="Palatino Linotype" w:cs="Arial"/>
          <w:b/>
          <w:bCs/>
          <w:lang w:val="es-ES" w:eastAsia="en-US"/>
        </w:rPr>
        <w:t xml:space="preserve">(SAIMEX) </w:t>
      </w:r>
      <w:r w:rsidRPr="001552CC">
        <w:rPr>
          <w:rFonts w:ascii="Palatino Linotype" w:eastAsia="Calibri" w:hAnsi="Palatino Linotype" w:cs="Arial"/>
          <w:bCs/>
          <w:lang w:val="es-ES" w:eastAsia="en-US"/>
        </w:rPr>
        <w:t>la presente resolución al Titular de la Unidad de Transparencia del</w:t>
      </w:r>
      <w:r w:rsidRPr="001552CC">
        <w:rPr>
          <w:rFonts w:ascii="Palatino Linotype" w:eastAsia="Calibri" w:hAnsi="Palatino Linotype" w:cs="Arial"/>
          <w:b/>
          <w:bCs/>
          <w:lang w:val="es-ES" w:eastAsia="en-US"/>
        </w:rPr>
        <w:t xml:space="preserve"> SUJETO OBLIGADO. </w:t>
      </w:r>
    </w:p>
    <w:p w:rsidR="009F16DC" w:rsidRPr="001552CC" w:rsidRDefault="009F16DC" w:rsidP="001552CC">
      <w:pPr>
        <w:spacing w:line="360" w:lineRule="auto"/>
        <w:jc w:val="both"/>
        <w:rPr>
          <w:rFonts w:ascii="Palatino Linotype" w:eastAsia="Palatino Linotype" w:hAnsi="Palatino Linotype" w:cs="Palatino Linotype"/>
          <w:b/>
          <w:lang w:eastAsia="en-US"/>
        </w:rPr>
      </w:pPr>
    </w:p>
    <w:p w:rsidR="009F16DC" w:rsidRPr="001552CC" w:rsidRDefault="009F16DC" w:rsidP="001552CC">
      <w:pPr>
        <w:spacing w:line="360" w:lineRule="auto"/>
        <w:jc w:val="both"/>
        <w:rPr>
          <w:rFonts w:ascii="Palatino Linotype" w:hAnsi="Palatino Linotype"/>
          <w:color w:val="222222"/>
          <w:lang w:val="es-ES"/>
        </w:rPr>
      </w:pPr>
      <w:r w:rsidRPr="001552CC">
        <w:rPr>
          <w:rFonts w:ascii="Palatino Linotype" w:hAnsi="Palatino Linotype" w:cs="Arial"/>
          <w:b/>
          <w:lang w:eastAsia="en-US"/>
        </w:rPr>
        <w:t xml:space="preserve">TERCERO. </w:t>
      </w:r>
      <w:r w:rsidRPr="001552CC">
        <w:rPr>
          <w:rFonts w:ascii="Palatino Linotype" w:hAnsi="Palatino Linotype"/>
          <w:b/>
          <w:bCs/>
          <w:lang w:val="es-ES" w:eastAsia="en-US"/>
        </w:rPr>
        <w:t xml:space="preserve">Notifíquese </w:t>
      </w:r>
      <w:r w:rsidRPr="001552CC">
        <w:rPr>
          <w:rFonts w:ascii="Palatino Linotype" w:hAnsi="Palatino Linotype"/>
          <w:bCs/>
          <w:lang w:val="es-ES" w:eastAsia="en-US"/>
        </w:rPr>
        <w:t xml:space="preserve">al </w:t>
      </w:r>
      <w:r w:rsidRPr="001552CC">
        <w:rPr>
          <w:rFonts w:ascii="Palatino Linotype" w:hAnsi="Palatino Linotype"/>
          <w:b/>
          <w:bCs/>
          <w:lang w:val="es-ES" w:eastAsia="en-US"/>
        </w:rPr>
        <w:t>RECURRENTE</w:t>
      </w:r>
      <w:r w:rsidRPr="001552CC">
        <w:rPr>
          <w:rFonts w:ascii="Palatino Linotype" w:eastAsiaTheme="minorHAnsi" w:hAnsi="Palatino Linotype" w:cstheme="minorBidi"/>
          <w:lang w:eastAsia="en-US"/>
        </w:rPr>
        <w:t xml:space="preserve"> </w:t>
      </w:r>
      <w:r w:rsidRPr="001552CC">
        <w:rPr>
          <w:rFonts w:ascii="Palatino Linotype" w:hAnsi="Palatino Linotype"/>
          <w:lang w:val="es-ES"/>
        </w:rPr>
        <w:t>la presente resolución</w:t>
      </w:r>
      <w:r w:rsidR="001F0D3F" w:rsidRPr="001552CC">
        <w:rPr>
          <w:rFonts w:ascii="Palatino Linotype" w:hAnsi="Palatino Linotype"/>
          <w:lang w:val="es-ES"/>
        </w:rPr>
        <w:t xml:space="preserve"> vía SAIMEX</w:t>
      </w:r>
      <w:r w:rsidRPr="001552CC">
        <w:rPr>
          <w:rFonts w:ascii="Palatino Linotype" w:hAnsi="Palatino Linotype"/>
          <w:lang w:val="es-ES"/>
        </w:rPr>
        <w:t>.</w:t>
      </w:r>
    </w:p>
    <w:p w:rsidR="009F16DC" w:rsidRPr="001552CC" w:rsidRDefault="009F16DC" w:rsidP="001552CC">
      <w:pPr>
        <w:spacing w:line="360" w:lineRule="auto"/>
        <w:jc w:val="both"/>
        <w:rPr>
          <w:rFonts w:ascii="Palatino Linotype" w:hAnsi="Palatino Linotype"/>
          <w:color w:val="222222"/>
          <w:lang w:val="es-ES"/>
        </w:rPr>
      </w:pPr>
    </w:p>
    <w:p w:rsidR="009F16DC" w:rsidRPr="001552CC" w:rsidRDefault="009F16DC" w:rsidP="001552CC">
      <w:pPr>
        <w:spacing w:line="360" w:lineRule="auto"/>
        <w:jc w:val="both"/>
        <w:rPr>
          <w:rFonts w:ascii="Palatino Linotype" w:eastAsia="MS Mincho" w:hAnsi="Palatino Linotype"/>
          <w:lang w:val="es-ES" w:eastAsia="es-ES"/>
        </w:rPr>
      </w:pPr>
      <w:r w:rsidRPr="001552CC">
        <w:rPr>
          <w:rFonts w:ascii="Palatino Linotype" w:eastAsia="MS Mincho" w:hAnsi="Palatino Linotype"/>
          <w:b/>
          <w:lang w:eastAsia="es-ES"/>
        </w:rPr>
        <w:t>CUARTO.</w:t>
      </w:r>
      <w:r w:rsidRPr="001552CC">
        <w:rPr>
          <w:rFonts w:ascii="Palatino Linotype" w:eastAsia="MS Mincho" w:hAnsi="Palatino Linotype"/>
          <w:lang w:eastAsia="es-ES"/>
        </w:rPr>
        <w:t xml:space="preserve"> </w:t>
      </w:r>
      <w:r w:rsidRPr="001552CC">
        <w:rPr>
          <w:rFonts w:ascii="Palatino Linotype" w:eastAsia="MS Mincho" w:hAnsi="Palatino Linotype"/>
          <w:lang w:val="es-ES" w:eastAsia="es-ES"/>
        </w:rPr>
        <w:t xml:space="preserve">Se hace del conocimiento del </w:t>
      </w:r>
      <w:r w:rsidRPr="001552CC">
        <w:rPr>
          <w:rFonts w:ascii="Palatino Linotype" w:hAnsi="Palatino Linotype"/>
          <w:b/>
          <w:bCs/>
          <w:lang w:val="es-ES" w:eastAsia="es-ES"/>
        </w:rPr>
        <w:t>RECURRENTE</w:t>
      </w:r>
      <w:r w:rsidRPr="001552CC">
        <w:rPr>
          <w:rFonts w:ascii="Palatino Linotype" w:eastAsiaTheme="minorEastAsia" w:hAnsi="Palatino Linotype" w:cstheme="minorBidi"/>
          <w:lang w:val="es-ES_tradnl" w:eastAsia="es-ES"/>
        </w:rPr>
        <w:t xml:space="preserve">  </w:t>
      </w:r>
      <w:r w:rsidRPr="001552CC">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552CC">
        <w:rPr>
          <w:rFonts w:ascii="Palatino Linotype" w:eastAsia="MS Mincho" w:hAnsi="Palatino Linotype"/>
          <w:bCs/>
          <w:lang w:val="es-ES" w:eastAsia="es-ES"/>
        </w:rPr>
        <w:t>vía juicio de amparo</w:t>
      </w:r>
      <w:r w:rsidRPr="001552CC">
        <w:rPr>
          <w:rFonts w:ascii="Palatino Linotype" w:eastAsia="MS Mincho" w:hAnsi="Palatino Linotype"/>
          <w:lang w:val="es-ES" w:eastAsia="es-ES"/>
        </w:rPr>
        <w:t> en los términos de las leyes aplicables.</w:t>
      </w:r>
    </w:p>
    <w:p w:rsidR="009F16DC" w:rsidRPr="001552CC" w:rsidRDefault="009F16DC" w:rsidP="001552CC">
      <w:pPr>
        <w:spacing w:line="360" w:lineRule="auto"/>
        <w:jc w:val="both"/>
        <w:rPr>
          <w:rFonts w:ascii="Palatino Linotype" w:eastAsia="MS Mincho" w:hAnsi="Palatino Linotype"/>
          <w:lang w:val="es-ES" w:eastAsia="es-ES"/>
        </w:rPr>
      </w:pPr>
    </w:p>
    <w:p w:rsidR="009F16DC" w:rsidRPr="001552CC" w:rsidRDefault="009F16DC" w:rsidP="001552CC">
      <w:pPr>
        <w:spacing w:line="360" w:lineRule="auto"/>
        <w:ind w:right="48"/>
        <w:jc w:val="both"/>
        <w:rPr>
          <w:rFonts w:ascii="Palatino Linotype" w:hAnsi="Palatino Linotype"/>
        </w:rPr>
      </w:pPr>
      <w:r w:rsidRPr="001552C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F0D3F" w:rsidRPr="001552CC">
        <w:rPr>
          <w:rFonts w:ascii="Palatino Linotype" w:hAnsi="Palatino Linotype"/>
        </w:rPr>
        <w:lastRenderedPageBreak/>
        <w:t>CUADRAGÉSIMA</w:t>
      </w:r>
      <w:r w:rsidRPr="001552CC">
        <w:rPr>
          <w:rFonts w:ascii="Palatino Linotype" w:hAnsi="Palatino Linotype"/>
        </w:rPr>
        <w:t xml:space="preserve"> SESIÓN ORDINARIA CELEBRADA EL DÍA </w:t>
      </w:r>
      <w:r w:rsidR="001F0D3F" w:rsidRPr="001552CC">
        <w:rPr>
          <w:rFonts w:ascii="Palatino Linotype" w:hAnsi="Palatino Linotype"/>
        </w:rPr>
        <w:t xml:space="preserve">DIEZ DE NOVIEMBRE </w:t>
      </w:r>
      <w:r w:rsidRPr="001552CC">
        <w:rPr>
          <w:rFonts w:ascii="Palatino Linotype" w:hAnsi="Palatino Linotype"/>
        </w:rPr>
        <w:t xml:space="preserve"> DE DOS MIL VEINTIUNO, ANTE EL SECRETARIO TÉCNICO DEL PLENO, ALEXIS TAPIA RAMÍREZ. </w:t>
      </w:r>
    </w:p>
    <w:p w:rsidR="009F16DC" w:rsidRPr="001552CC" w:rsidRDefault="009F16DC" w:rsidP="001552CC">
      <w:pPr>
        <w:spacing w:line="360" w:lineRule="auto"/>
        <w:ind w:right="48"/>
        <w:rPr>
          <w:rFonts w:ascii="Palatino Linotype" w:hAnsi="Palatino Linotype"/>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ind w:right="49"/>
        <w:jc w:val="both"/>
        <w:rPr>
          <w:rFonts w:ascii="Palatino Linotype" w:eastAsiaTheme="minorEastAsia" w:hAnsi="Palatino Linotype" w:cs="Arial"/>
          <w:lang w:val="es-ES_tradnl" w:eastAsia="es-ES"/>
        </w:rPr>
      </w:pPr>
    </w:p>
    <w:p w:rsidR="009F16DC" w:rsidRPr="001552CC" w:rsidRDefault="009F16DC" w:rsidP="001552CC">
      <w:pPr>
        <w:spacing w:line="360" w:lineRule="auto"/>
        <w:rPr>
          <w:rFonts w:ascii="Palatino Linotype" w:hAnsi="Palatino Linotype"/>
        </w:rPr>
      </w:pPr>
    </w:p>
    <w:p w:rsidR="009F16DC" w:rsidRPr="001552CC" w:rsidRDefault="009F16DC" w:rsidP="001552CC">
      <w:pPr>
        <w:spacing w:line="360" w:lineRule="auto"/>
        <w:rPr>
          <w:rFonts w:ascii="Palatino Linotype" w:hAnsi="Palatino Linotype"/>
        </w:rPr>
      </w:pPr>
    </w:p>
    <w:p w:rsidR="009F16DC" w:rsidRPr="001552CC" w:rsidRDefault="009F16DC" w:rsidP="001552CC">
      <w:pPr>
        <w:spacing w:line="360" w:lineRule="auto"/>
        <w:rPr>
          <w:rFonts w:ascii="Palatino Linotype" w:hAnsi="Palatino Linotype"/>
        </w:rPr>
      </w:pPr>
    </w:p>
    <w:p w:rsidR="009F16DC" w:rsidRPr="001552CC" w:rsidRDefault="009F16DC" w:rsidP="001552CC">
      <w:pPr>
        <w:spacing w:line="360" w:lineRule="auto"/>
        <w:rPr>
          <w:rFonts w:ascii="Palatino Linotype" w:hAnsi="Palatino Linotype"/>
        </w:rPr>
      </w:pPr>
    </w:p>
    <w:p w:rsidR="009F16DC" w:rsidRPr="001552CC" w:rsidRDefault="009F16DC" w:rsidP="001552CC">
      <w:pPr>
        <w:spacing w:line="360" w:lineRule="auto"/>
        <w:rPr>
          <w:rFonts w:ascii="Palatino Linotype" w:hAnsi="Palatino Linotype"/>
        </w:rPr>
      </w:pPr>
    </w:p>
    <w:p w:rsidR="004E1710" w:rsidRPr="001552CC" w:rsidRDefault="007F4A9B" w:rsidP="001552CC">
      <w:pPr>
        <w:spacing w:line="360" w:lineRule="auto"/>
        <w:rPr>
          <w:rFonts w:ascii="Palatino Linotype" w:hAnsi="Palatino Linotype"/>
        </w:rPr>
      </w:pPr>
    </w:p>
    <w:sectPr w:rsidR="004E1710" w:rsidRPr="001552CC" w:rsidSect="00336D01">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A9B" w:rsidRDefault="007F4A9B" w:rsidP="009F16DC">
      <w:r>
        <w:separator/>
      </w:r>
    </w:p>
  </w:endnote>
  <w:endnote w:type="continuationSeparator" w:id="0">
    <w:p w:rsidR="007F4A9B" w:rsidRDefault="007F4A9B" w:rsidP="009F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D01" w:rsidRDefault="005E2595">
    <w:pPr>
      <w:pStyle w:val="Piedepgina"/>
      <w:jc w:val="right"/>
    </w:pPr>
    <w:r>
      <w:rPr>
        <w:lang w:val="es-ES"/>
      </w:rPr>
      <w:t xml:space="preserve">Página </w:t>
    </w:r>
    <w:r>
      <w:rPr>
        <w:b/>
        <w:bCs/>
      </w:rPr>
      <w:fldChar w:fldCharType="begin"/>
    </w:r>
    <w:r>
      <w:rPr>
        <w:b/>
        <w:bCs/>
      </w:rPr>
      <w:instrText>PAGE</w:instrText>
    </w:r>
    <w:r>
      <w:rPr>
        <w:b/>
        <w:bCs/>
      </w:rPr>
      <w:fldChar w:fldCharType="separate"/>
    </w:r>
    <w:r w:rsidR="00063E59">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63E59">
      <w:rPr>
        <w:b/>
        <w:bCs/>
        <w:noProof/>
      </w:rPr>
      <w:t>24</w:t>
    </w:r>
    <w:r>
      <w:rPr>
        <w:b/>
        <w:bCs/>
      </w:rPr>
      <w:fldChar w:fldCharType="end"/>
    </w:r>
  </w:p>
  <w:p w:rsidR="00336D01" w:rsidRDefault="007F4A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D01" w:rsidRDefault="005E2595">
    <w:pPr>
      <w:pStyle w:val="Piedepgina"/>
      <w:jc w:val="right"/>
    </w:pPr>
    <w:r>
      <w:rPr>
        <w:lang w:val="es-ES"/>
      </w:rPr>
      <w:t xml:space="preserve">Página </w:t>
    </w:r>
    <w:r>
      <w:rPr>
        <w:b/>
        <w:bCs/>
      </w:rPr>
      <w:fldChar w:fldCharType="begin"/>
    </w:r>
    <w:r>
      <w:rPr>
        <w:b/>
        <w:bCs/>
      </w:rPr>
      <w:instrText>PAGE</w:instrText>
    </w:r>
    <w:r>
      <w:rPr>
        <w:b/>
        <w:bCs/>
      </w:rPr>
      <w:fldChar w:fldCharType="separate"/>
    </w:r>
    <w:r w:rsidR="00063E5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63E59">
      <w:rPr>
        <w:b/>
        <w:bCs/>
        <w:noProof/>
      </w:rPr>
      <w:t>24</w:t>
    </w:r>
    <w:r>
      <w:rPr>
        <w:b/>
        <w:bCs/>
      </w:rPr>
      <w:fldChar w:fldCharType="end"/>
    </w:r>
  </w:p>
  <w:p w:rsidR="00336D01" w:rsidRDefault="007F4A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A9B" w:rsidRDefault="007F4A9B" w:rsidP="009F16DC">
      <w:r>
        <w:separator/>
      </w:r>
    </w:p>
  </w:footnote>
  <w:footnote w:type="continuationSeparator" w:id="0">
    <w:p w:rsidR="007F4A9B" w:rsidRDefault="007F4A9B" w:rsidP="009F1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D01" w:rsidRDefault="007F4A9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336D01" w:rsidRPr="005C106F" w:rsidTr="00336D01">
      <w:trPr>
        <w:trHeight w:val="1435"/>
      </w:trPr>
      <w:tc>
        <w:tcPr>
          <w:tcW w:w="2268" w:type="dxa"/>
          <w:shd w:val="clear" w:color="auto" w:fill="auto"/>
        </w:tcPr>
        <w:p w:rsidR="00336D01" w:rsidRPr="005C106F" w:rsidRDefault="007F4A9B" w:rsidP="00336D01">
          <w:pPr>
            <w:tabs>
              <w:tab w:val="right" w:pos="4273"/>
            </w:tabs>
            <w:rPr>
              <w:rFonts w:ascii="Garamond" w:eastAsia="Calibri" w:hAnsi="Garamond"/>
              <w:sz w:val="16"/>
              <w:szCs w:val="16"/>
              <w:lang w:eastAsia="en-US"/>
            </w:rPr>
          </w:pPr>
        </w:p>
      </w:tc>
      <w:tc>
        <w:tcPr>
          <w:tcW w:w="6946" w:type="dxa"/>
          <w:shd w:val="clear" w:color="auto" w:fill="auto"/>
        </w:tcPr>
        <w:p w:rsidR="00336D01" w:rsidRDefault="007F4A9B" w:rsidP="00336D01"/>
        <w:tbl>
          <w:tblPr>
            <w:tblW w:w="6662" w:type="dxa"/>
            <w:tblInd w:w="40" w:type="dxa"/>
            <w:tblLayout w:type="fixed"/>
            <w:tblLook w:val="0420" w:firstRow="1" w:lastRow="0" w:firstColumn="0" w:lastColumn="0" w:noHBand="0" w:noVBand="1"/>
          </w:tblPr>
          <w:tblGrid>
            <w:gridCol w:w="2551"/>
            <w:gridCol w:w="4111"/>
          </w:tblGrid>
          <w:tr w:rsidR="00336D01" w:rsidTr="00336D01">
            <w:trPr>
              <w:trHeight w:val="150"/>
            </w:trPr>
            <w:tc>
              <w:tcPr>
                <w:tcW w:w="2551" w:type="dxa"/>
                <w:shd w:val="clear" w:color="auto" w:fill="auto"/>
              </w:tcPr>
              <w:p w:rsidR="00336D01" w:rsidRPr="00020E73" w:rsidRDefault="005E2595" w:rsidP="00336D0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336D01" w:rsidRPr="00020E73" w:rsidRDefault="00ED2948" w:rsidP="00336D0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04583</w:t>
                </w:r>
                <w:r w:rsidR="005E2595" w:rsidRPr="009E7B0A">
                  <w:rPr>
                    <w:rFonts w:ascii="Palatino Linotype" w:eastAsia="Calibri" w:hAnsi="Palatino Linotype" w:cs="Tahoma"/>
                    <w:bCs/>
                    <w:sz w:val="22"/>
                    <w:szCs w:val="22"/>
                    <w:lang w:eastAsia="en-US"/>
                  </w:rPr>
                  <w:t>/INFOEM/IP/RR/2021</w:t>
                </w:r>
                <w:r w:rsidR="005E2595" w:rsidRPr="009E7B0A">
                  <w:rPr>
                    <w:rFonts w:ascii="Palatino Linotype" w:eastAsia="Calibri" w:hAnsi="Palatino Linotype" w:cs="Tahoma"/>
                    <w:b/>
                    <w:bCs/>
                    <w:sz w:val="22"/>
                    <w:szCs w:val="22"/>
                    <w:lang w:eastAsia="en-US"/>
                  </w:rPr>
                  <w:t xml:space="preserve"> </w:t>
                </w:r>
              </w:p>
            </w:tc>
          </w:tr>
          <w:tr w:rsidR="00336D01" w:rsidTr="00336D01">
            <w:trPr>
              <w:trHeight w:val="295"/>
            </w:trPr>
            <w:tc>
              <w:tcPr>
                <w:tcW w:w="2551" w:type="dxa"/>
                <w:shd w:val="clear" w:color="auto" w:fill="auto"/>
              </w:tcPr>
              <w:p w:rsidR="00336D01" w:rsidRPr="00020E73" w:rsidRDefault="005E2595" w:rsidP="00336D0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336D01" w:rsidRPr="00020E73" w:rsidRDefault="00ED2948" w:rsidP="00336D0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Seguridad</w:t>
                </w:r>
              </w:p>
            </w:tc>
          </w:tr>
          <w:tr w:rsidR="00336D01" w:rsidTr="00336D01">
            <w:trPr>
              <w:trHeight w:val="295"/>
            </w:trPr>
            <w:tc>
              <w:tcPr>
                <w:tcW w:w="2551" w:type="dxa"/>
                <w:shd w:val="clear" w:color="auto" w:fill="auto"/>
              </w:tcPr>
              <w:p w:rsidR="00336D01" w:rsidRPr="00020E73" w:rsidRDefault="005E2595" w:rsidP="00336D0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336D01" w:rsidRPr="00020E73" w:rsidRDefault="005E2595" w:rsidP="00336D0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36D01" w:rsidRPr="00020E73" w:rsidRDefault="007F4A9B" w:rsidP="00336D01">
                <w:pPr>
                  <w:tabs>
                    <w:tab w:val="right" w:pos="8838"/>
                  </w:tabs>
                  <w:ind w:left="-108" w:right="171"/>
                  <w:jc w:val="both"/>
                  <w:rPr>
                    <w:rFonts w:ascii="Palatino Linotype" w:eastAsia="Calibri" w:hAnsi="Palatino Linotype" w:cs="Tahoma"/>
                    <w:b/>
                    <w:sz w:val="22"/>
                    <w:szCs w:val="22"/>
                    <w:lang w:val="es-ES" w:eastAsia="en-US"/>
                  </w:rPr>
                </w:pPr>
              </w:p>
            </w:tc>
          </w:tr>
        </w:tbl>
        <w:p w:rsidR="00336D01" w:rsidRPr="005C106F" w:rsidRDefault="007F4A9B" w:rsidP="00336D01">
          <w:pPr>
            <w:tabs>
              <w:tab w:val="right" w:pos="8838"/>
            </w:tabs>
            <w:ind w:left="-28"/>
            <w:jc w:val="both"/>
            <w:rPr>
              <w:rFonts w:ascii="Arial" w:eastAsia="Calibri" w:hAnsi="Arial" w:cs="Arial"/>
              <w:b/>
              <w:sz w:val="22"/>
              <w:szCs w:val="22"/>
              <w:lang w:eastAsia="en-US"/>
            </w:rPr>
          </w:pPr>
        </w:p>
      </w:tc>
    </w:tr>
  </w:tbl>
  <w:p w:rsidR="00336D01" w:rsidRPr="00443C6B" w:rsidRDefault="007F4A9B" w:rsidP="00336D01">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336D01" w:rsidRPr="00330DA7" w:rsidTr="00336D01">
      <w:trPr>
        <w:trHeight w:val="1435"/>
      </w:trPr>
      <w:tc>
        <w:tcPr>
          <w:tcW w:w="2268" w:type="dxa"/>
          <w:shd w:val="clear" w:color="auto" w:fill="auto"/>
        </w:tcPr>
        <w:p w:rsidR="00336D01" w:rsidRPr="00330DA7" w:rsidRDefault="007F4A9B" w:rsidP="00336D0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336D01" w:rsidRPr="00330DA7" w:rsidTr="00336D01">
            <w:trPr>
              <w:trHeight w:val="144"/>
            </w:trPr>
            <w:tc>
              <w:tcPr>
                <w:tcW w:w="2444" w:type="dxa"/>
                <w:shd w:val="clear" w:color="auto" w:fill="auto"/>
              </w:tcPr>
              <w:p w:rsidR="00336D01" w:rsidRPr="00020E73" w:rsidRDefault="005E2595" w:rsidP="00336D0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336D01" w:rsidRPr="00020E73" w:rsidRDefault="009F16DC" w:rsidP="00336D01">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04583</w:t>
                </w:r>
                <w:r w:rsidR="005E2595" w:rsidRPr="009E7B0A">
                  <w:rPr>
                    <w:rFonts w:ascii="Palatino Linotype" w:eastAsia="Calibri" w:hAnsi="Palatino Linotype" w:cs="Tahoma"/>
                    <w:sz w:val="22"/>
                    <w:szCs w:val="22"/>
                    <w:lang w:eastAsia="en-US"/>
                  </w:rPr>
                  <w:t>/INFOEM/IP/RR/2021</w:t>
                </w:r>
                <w:r w:rsidR="005E2595">
                  <w:rPr>
                    <w:rFonts w:ascii="Palatino Linotype" w:eastAsia="Calibri" w:hAnsi="Palatino Linotype" w:cs="Tahoma"/>
                    <w:b/>
                    <w:bCs/>
                    <w:sz w:val="22"/>
                    <w:szCs w:val="22"/>
                    <w:lang w:eastAsia="en-US"/>
                  </w:rPr>
                  <w:t xml:space="preserve"> </w:t>
                </w:r>
              </w:p>
            </w:tc>
          </w:tr>
          <w:tr w:rsidR="00336D01" w:rsidRPr="00330DA7" w:rsidTr="00336D01">
            <w:trPr>
              <w:trHeight w:val="144"/>
            </w:trPr>
            <w:tc>
              <w:tcPr>
                <w:tcW w:w="2444" w:type="dxa"/>
                <w:shd w:val="clear" w:color="auto" w:fill="auto"/>
              </w:tcPr>
              <w:p w:rsidR="00336D01" w:rsidRPr="00020E73" w:rsidRDefault="005E2595" w:rsidP="00336D0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336D01" w:rsidRPr="00020E73" w:rsidRDefault="00063E59" w:rsidP="00336D01">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w:t>
                </w:r>
              </w:p>
            </w:tc>
          </w:tr>
          <w:tr w:rsidR="00336D01" w:rsidRPr="00330DA7" w:rsidTr="00336D01">
            <w:trPr>
              <w:trHeight w:val="283"/>
            </w:trPr>
            <w:tc>
              <w:tcPr>
                <w:tcW w:w="2444" w:type="dxa"/>
                <w:shd w:val="clear" w:color="auto" w:fill="auto"/>
              </w:tcPr>
              <w:p w:rsidR="00336D01" w:rsidRPr="00020E73" w:rsidRDefault="005E2595" w:rsidP="00336D0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336D01" w:rsidRPr="009E7B0A" w:rsidRDefault="00ED2948" w:rsidP="00336D01">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Seguridad</w:t>
                </w:r>
              </w:p>
            </w:tc>
          </w:tr>
          <w:tr w:rsidR="00336D01" w:rsidRPr="00330DA7" w:rsidTr="00336D01">
            <w:trPr>
              <w:trHeight w:val="283"/>
            </w:trPr>
            <w:tc>
              <w:tcPr>
                <w:tcW w:w="2444" w:type="dxa"/>
                <w:shd w:val="clear" w:color="auto" w:fill="auto"/>
              </w:tcPr>
              <w:p w:rsidR="00336D01" w:rsidRPr="00020E73" w:rsidRDefault="005E2595" w:rsidP="00336D0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336D01" w:rsidRPr="00020E73" w:rsidRDefault="005E2595" w:rsidP="00336D0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36D01" w:rsidRPr="00020E73" w:rsidRDefault="007F4A9B" w:rsidP="00336D01">
                <w:pPr>
                  <w:tabs>
                    <w:tab w:val="right" w:pos="8838"/>
                  </w:tabs>
                  <w:ind w:left="-74" w:right="-105"/>
                  <w:jc w:val="both"/>
                  <w:rPr>
                    <w:rFonts w:ascii="Palatino Linotype" w:eastAsia="Calibri" w:hAnsi="Palatino Linotype" w:cs="Tahoma"/>
                    <w:b/>
                    <w:sz w:val="22"/>
                    <w:szCs w:val="22"/>
                    <w:lang w:val="es-ES" w:eastAsia="en-US"/>
                  </w:rPr>
                </w:pPr>
              </w:p>
            </w:tc>
          </w:tr>
        </w:tbl>
        <w:p w:rsidR="00336D01" w:rsidRPr="00330DA7" w:rsidRDefault="007F4A9B" w:rsidP="00336D01">
          <w:pPr>
            <w:tabs>
              <w:tab w:val="right" w:pos="8838"/>
            </w:tabs>
            <w:ind w:left="-28"/>
            <w:jc w:val="both"/>
            <w:rPr>
              <w:rFonts w:ascii="Arial" w:eastAsia="Calibri" w:hAnsi="Arial" w:cs="Arial"/>
              <w:b/>
              <w:sz w:val="22"/>
              <w:szCs w:val="22"/>
              <w:lang w:eastAsia="en-US"/>
            </w:rPr>
          </w:pPr>
        </w:p>
      </w:tc>
    </w:tr>
  </w:tbl>
  <w:p w:rsidR="00336D01" w:rsidRPr="00827FA0" w:rsidRDefault="007F4A9B" w:rsidP="00336D01">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A58CC"/>
    <w:multiLevelType w:val="hybridMultilevel"/>
    <w:tmpl w:val="8F264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495630"/>
    <w:multiLevelType w:val="hybridMultilevel"/>
    <w:tmpl w:val="93444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2D5A1D6E"/>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6DC"/>
    <w:rsid w:val="00007A3C"/>
    <w:rsid w:val="00063E59"/>
    <w:rsid w:val="0010011B"/>
    <w:rsid w:val="00150D4D"/>
    <w:rsid w:val="001552CC"/>
    <w:rsid w:val="00184BAB"/>
    <w:rsid w:val="001E33D1"/>
    <w:rsid w:val="001F0D3F"/>
    <w:rsid w:val="00205E05"/>
    <w:rsid w:val="00214EBE"/>
    <w:rsid w:val="00326E72"/>
    <w:rsid w:val="003627E9"/>
    <w:rsid w:val="003A387B"/>
    <w:rsid w:val="004F780B"/>
    <w:rsid w:val="005E2595"/>
    <w:rsid w:val="0076643E"/>
    <w:rsid w:val="007F4A9B"/>
    <w:rsid w:val="00834ECA"/>
    <w:rsid w:val="008E2C1A"/>
    <w:rsid w:val="009F16DC"/>
    <w:rsid w:val="00A81B51"/>
    <w:rsid w:val="00AD77A0"/>
    <w:rsid w:val="00B85D22"/>
    <w:rsid w:val="00C91549"/>
    <w:rsid w:val="00D136C7"/>
    <w:rsid w:val="00D20AEC"/>
    <w:rsid w:val="00DE688B"/>
    <w:rsid w:val="00E81E0A"/>
    <w:rsid w:val="00ED29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753D5B8-CA94-496A-AD89-60E45D9A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6DC"/>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9F16D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16DC"/>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9F16DC"/>
    <w:pPr>
      <w:tabs>
        <w:tab w:val="center" w:pos="4419"/>
        <w:tab w:val="right" w:pos="8838"/>
      </w:tabs>
    </w:pPr>
  </w:style>
  <w:style w:type="character" w:customStyle="1" w:styleId="EncabezadoCar">
    <w:name w:val="Encabezado Car"/>
    <w:basedOn w:val="Fuentedeprrafopredeter"/>
    <w:link w:val="Encabezado"/>
    <w:uiPriority w:val="99"/>
    <w:rsid w:val="009F16DC"/>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F16DC"/>
    <w:pPr>
      <w:tabs>
        <w:tab w:val="center" w:pos="4419"/>
        <w:tab w:val="right" w:pos="8838"/>
      </w:tabs>
    </w:pPr>
  </w:style>
  <w:style w:type="character" w:customStyle="1" w:styleId="PiedepginaCar">
    <w:name w:val="Pie de página Car"/>
    <w:basedOn w:val="Fuentedeprrafopredeter"/>
    <w:link w:val="Piedepgina"/>
    <w:uiPriority w:val="99"/>
    <w:rsid w:val="009F16DC"/>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F16DC"/>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9F16DC"/>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9F16DC"/>
    <w:rPr>
      <w:color w:val="0563C1"/>
      <w:u w:val="single"/>
    </w:rPr>
  </w:style>
  <w:style w:type="paragraph" w:styleId="Sinespaciado">
    <w:name w:val="No Spacing"/>
    <w:aliases w:val="Francesa,INAI"/>
    <w:link w:val="SinespaciadoCar"/>
    <w:uiPriority w:val="1"/>
    <w:qFormat/>
    <w:rsid w:val="009F16DC"/>
    <w:pPr>
      <w:spacing w:after="0" w:line="240" w:lineRule="auto"/>
    </w:pPr>
    <w:rPr>
      <w:lang w:val="es-MX"/>
    </w:rPr>
  </w:style>
  <w:style w:type="character" w:customStyle="1" w:styleId="SinespaciadoCar">
    <w:name w:val="Sin espaciado Car"/>
    <w:aliases w:val="Francesa Car,INAI Car"/>
    <w:link w:val="Sinespaciado"/>
    <w:uiPriority w:val="1"/>
    <w:locked/>
    <w:rsid w:val="009F16DC"/>
    <w:rPr>
      <w:lang w:val="es-MX"/>
    </w:rPr>
  </w:style>
  <w:style w:type="paragraph" w:styleId="TDC1">
    <w:name w:val="toc 1"/>
    <w:basedOn w:val="Normal"/>
    <w:next w:val="Normal"/>
    <w:autoRedefine/>
    <w:uiPriority w:val="39"/>
    <w:unhideWhenUsed/>
    <w:rsid w:val="009F16DC"/>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9F16DC"/>
    <w:pPr>
      <w:tabs>
        <w:tab w:val="right" w:leader="dot" w:pos="8637"/>
      </w:tabs>
      <w:spacing w:line="480" w:lineRule="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19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19676.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imex.org.mx/saimex/solicitud/downloadAttach/1207802.page"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4385</Words>
  <Characters>24121</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2021-12-02T20:52:00Z</dcterms:created>
  <dcterms:modified xsi:type="dcterms:W3CDTF">2021-12-02T20:52:00Z</dcterms:modified>
</cp:coreProperties>
</file>