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BE206" w14:textId="77777777" w:rsidR="005E1F22" w:rsidRPr="00BC2B1F" w:rsidRDefault="004B52D7">
      <w:pPr>
        <w:spacing w:before="240" w:after="0" w:line="360" w:lineRule="auto"/>
        <w:ind w:right="49"/>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noviembre de dos mil veintidós.</w:t>
      </w:r>
    </w:p>
    <w:p w14:paraId="725B05D9" w14:textId="77777777" w:rsidR="005E1F22" w:rsidRPr="00BC2B1F" w:rsidRDefault="005E1F22"/>
    <w:p w14:paraId="28FC57D6" w14:textId="0C1C0C75"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 xml:space="preserve">Visto </w:t>
      </w:r>
      <w:r w:rsidRPr="00BC2B1F">
        <w:rPr>
          <w:rFonts w:ascii="Palatino Linotype" w:eastAsia="Palatino Linotype" w:hAnsi="Palatino Linotype" w:cs="Palatino Linotype"/>
          <w:sz w:val="24"/>
          <w:szCs w:val="24"/>
        </w:rPr>
        <w:t xml:space="preserve">el expediente relativo al recurso de revisión </w:t>
      </w:r>
      <w:r w:rsidRPr="00BC2B1F">
        <w:rPr>
          <w:rFonts w:ascii="Palatino Linotype" w:eastAsia="Palatino Linotype" w:hAnsi="Palatino Linotype" w:cs="Palatino Linotype"/>
          <w:b/>
          <w:sz w:val="24"/>
          <w:szCs w:val="24"/>
        </w:rPr>
        <w:t>10044/INFOEM/IP/RR/2022</w:t>
      </w:r>
      <w:r w:rsidRPr="00BC2B1F">
        <w:rPr>
          <w:rFonts w:ascii="Palatino Linotype" w:eastAsia="Palatino Linotype" w:hAnsi="Palatino Linotype" w:cs="Palatino Linotype"/>
          <w:sz w:val="24"/>
          <w:szCs w:val="24"/>
        </w:rPr>
        <w:t xml:space="preserve">, interpuesto por </w:t>
      </w:r>
      <w:r w:rsidR="004F1322">
        <w:rPr>
          <w:rFonts w:ascii="Palatino Linotype" w:eastAsia="Palatino Linotype" w:hAnsi="Palatino Linotype" w:cs="Palatino Linotype"/>
          <w:sz w:val="24"/>
          <w:szCs w:val="24"/>
        </w:rPr>
        <w:t>XXXXXXX</w:t>
      </w:r>
      <w:r w:rsidRPr="00BC2B1F">
        <w:rPr>
          <w:rFonts w:ascii="Palatino Linotype" w:eastAsia="Palatino Linotype" w:hAnsi="Palatino Linotype" w:cs="Palatino Linotype"/>
          <w:sz w:val="24"/>
          <w:szCs w:val="24"/>
        </w:rPr>
        <w:t xml:space="preserve"> al cual en lo sucesivo se le denominara </w:t>
      </w:r>
      <w:r w:rsidRPr="00BC2B1F">
        <w:rPr>
          <w:rFonts w:ascii="Palatino Linotype" w:eastAsia="Palatino Linotype" w:hAnsi="Palatino Linotype" w:cs="Palatino Linotype"/>
          <w:b/>
          <w:sz w:val="24"/>
          <w:szCs w:val="24"/>
        </w:rPr>
        <w:t>EL RECURRENTE</w:t>
      </w:r>
      <w:r w:rsidRPr="00BC2B1F">
        <w:rPr>
          <w:rFonts w:ascii="Palatino Linotype" w:eastAsia="Palatino Linotype" w:hAnsi="Palatino Linotype" w:cs="Palatino Linotype"/>
          <w:sz w:val="24"/>
          <w:szCs w:val="24"/>
        </w:rPr>
        <w:t xml:space="preserve">, en contra de la respuesta a la solicitud de información con número de folio </w:t>
      </w:r>
      <w:r w:rsidRPr="00BC2B1F">
        <w:rPr>
          <w:rFonts w:ascii="Palatino Linotype" w:eastAsia="Palatino Linotype" w:hAnsi="Palatino Linotype" w:cs="Palatino Linotype"/>
          <w:b/>
          <w:sz w:val="24"/>
          <w:szCs w:val="24"/>
        </w:rPr>
        <w:t>00018/JLCAVT/IP/2022,</w:t>
      </w:r>
      <w:r w:rsidRPr="00BC2B1F">
        <w:rPr>
          <w:rFonts w:ascii="Palatino Linotype" w:eastAsia="Palatino Linotype" w:hAnsi="Palatino Linotype" w:cs="Palatino Linotype"/>
          <w:sz w:val="24"/>
          <w:szCs w:val="24"/>
        </w:rPr>
        <w:t xml:space="preserve"> por parte de la Junta Local de Conciliación y Arbitraje Valle de Toluca, en lo sucesivo </w:t>
      </w:r>
      <w:r w:rsidRPr="00BC2B1F">
        <w:rPr>
          <w:rFonts w:ascii="Palatino Linotype" w:eastAsia="Palatino Linotype" w:hAnsi="Palatino Linotype" w:cs="Palatino Linotype"/>
          <w:b/>
          <w:sz w:val="24"/>
          <w:szCs w:val="24"/>
        </w:rPr>
        <w:t>EL</w:t>
      </w:r>
      <w:r w:rsidRPr="00BC2B1F">
        <w:rPr>
          <w:rFonts w:ascii="Palatino Linotype" w:eastAsia="Palatino Linotype" w:hAnsi="Palatino Linotype" w:cs="Palatino Linotype"/>
          <w:sz w:val="24"/>
          <w:szCs w:val="24"/>
        </w:rPr>
        <w:t xml:space="preserve"> </w:t>
      </w:r>
      <w:r w:rsidRPr="00BC2B1F">
        <w:rPr>
          <w:rFonts w:ascii="Palatino Linotype" w:eastAsia="Palatino Linotype" w:hAnsi="Palatino Linotype" w:cs="Palatino Linotype"/>
          <w:b/>
          <w:sz w:val="24"/>
          <w:szCs w:val="24"/>
        </w:rPr>
        <w:t xml:space="preserve">SUJETO OBLIGADO; </w:t>
      </w:r>
      <w:r w:rsidRPr="00BC2B1F">
        <w:rPr>
          <w:rFonts w:ascii="Palatino Linotype" w:eastAsia="Palatino Linotype" w:hAnsi="Palatino Linotype" w:cs="Palatino Linotype"/>
          <w:sz w:val="24"/>
          <w:szCs w:val="24"/>
        </w:rPr>
        <w:t>se procede a dictar la presente resolución, con base en lo siguiente.</w:t>
      </w:r>
    </w:p>
    <w:p w14:paraId="73C265E9"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3CC8C31" w14:textId="77777777" w:rsidR="005E1F22" w:rsidRPr="00BC2B1F" w:rsidRDefault="004B52D7">
      <w:pPr>
        <w:spacing w:after="0" w:line="360" w:lineRule="auto"/>
        <w:ind w:right="49"/>
        <w:jc w:val="center"/>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A N T E C E D E N T E S</w:t>
      </w:r>
    </w:p>
    <w:p w14:paraId="592AE0AE"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CFA6BD8" w14:textId="77777777" w:rsidR="005E1F22" w:rsidRPr="00BC2B1F" w:rsidRDefault="004B52D7">
      <w:pPr>
        <w:spacing w:after="0" w:line="360" w:lineRule="auto"/>
        <w:ind w:right="49"/>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1.</w:t>
      </w:r>
      <w:r w:rsidRPr="00BC2B1F">
        <w:rPr>
          <w:rFonts w:ascii="Palatino Linotype" w:eastAsia="Palatino Linotype" w:hAnsi="Palatino Linotype" w:cs="Palatino Linotype"/>
          <w:sz w:val="24"/>
          <w:szCs w:val="24"/>
        </w:rPr>
        <w:t xml:space="preserve"> </w:t>
      </w:r>
      <w:r w:rsidRPr="00BC2B1F">
        <w:rPr>
          <w:rFonts w:ascii="Palatino Linotype" w:eastAsia="Palatino Linotype" w:hAnsi="Palatino Linotype" w:cs="Palatino Linotype"/>
          <w:b/>
          <w:sz w:val="24"/>
          <w:szCs w:val="24"/>
        </w:rPr>
        <w:t xml:space="preserve">SOLICITUD DE INFORMACIÓN. </w:t>
      </w:r>
      <w:r w:rsidRPr="00BC2B1F">
        <w:rPr>
          <w:rFonts w:ascii="Palatino Linotype" w:eastAsia="Palatino Linotype" w:hAnsi="Palatino Linotype" w:cs="Palatino Linotype"/>
          <w:sz w:val="24"/>
          <w:szCs w:val="24"/>
        </w:rPr>
        <w:t xml:space="preserve">Con fecha dieciocho de abril de dos mil veintidós, </w:t>
      </w:r>
      <w:r w:rsidRPr="00BC2B1F">
        <w:rPr>
          <w:rFonts w:ascii="Palatino Linotype" w:eastAsia="Palatino Linotype" w:hAnsi="Palatino Linotype" w:cs="Palatino Linotype"/>
          <w:b/>
          <w:sz w:val="24"/>
          <w:szCs w:val="24"/>
        </w:rPr>
        <w:t>EL RECURRENTE</w:t>
      </w:r>
      <w:r w:rsidRPr="00BC2B1F">
        <w:rPr>
          <w:rFonts w:ascii="Palatino Linotype" w:eastAsia="Palatino Linotype" w:hAnsi="Palatino Linotype" w:cs="Palatino Linotype"/>
          <w:sz w:val="24"/>
          <w:szCs w:val="24"/>
        </w:rPr>
        <w:t xml:space="preserve">, presentó a través de la Plataforma Nacional de Transparencia (PNT) vinculada al </w:t>
      </w:r>
      <w:r w:rsidRPr="00BC2B1F">
        <w:rPr>
          <w:rFonts w:ascii="Palatino Linotype" w:eastAsia="Palatino Linotype" w:hAnsi="Palatino Linotype" w:cs="Palatino Linotype"/>
          <w:b/>
          <w:sz w:val="24"/>
          <w:szCs w:val="24"/>
        </w:rPr>
        <w:t>SAIMEX</w:t>
      </w:r>
      <w:r w:rsidRPr="00BC2B1F">
        <w:rPr>
          <w:rFonts w:ascii="Palatino Linotype" w:eastAsia="Palatino Linotype" w:hAnsi="Palatino Linotype" w:cs="Palatino Linotype"/>
          <w:sz w:val="24"/>
          <w:szCs w:val="24"/>
        </w:rPr>
        <w:t xml:space="preserve"> ante </w:t>
      </w:r>
      <w:r w:rsidRPr="00BC2B1F">
        <w:rPr>
          <w:rFonts w:ascii="Palatino Linotype" w:eastAsia="Palatino Linotype" w:hAnsi="Palatino Linotype" w:cs="Palatino Linotype"/>
          <w:b/>
          <w:sz w:val="24"/>
          <w:szCs w:val="24"/>
        </w:rPr>
        <w:t>EL SUJETO OBLIGADO</w:t>
      </w:r>
      <w:r w:rsidRPr="00BC2B1F">
        <w:rPr>
          <w:rFonts w:ascii="Palatino Linotype" w:eastAsia="Palatino Linotype" w:hAnsi="Palatino Linotype" w:cs="Palatino Linotype"/>
          <w:sz w:val="24"/>
          <w:szCs w:val="24"/>
        </w:rPr>
        <w:t>, solicitud de acceso a la información pública, registrada bajo el número de expediente</w:t>
      </w:r>
      <w:r w:rsidRPr="00BC2B1F">
        <w:rPr>
          <w:rFonts w:ascii="Verdana" w:eastAsia="Verdana" w:hAnsi="Verdana" w:cs="Verdana"/>
          <w:b/>
        </w:rPr>
        <w:t> </w:t>
      </w:r>
      <w:r w:rsidRPr="00BC2B1F">
        <w:rPr>
          <w:rFonts w:ascii="Palatino Linotype" w:eastAsia="Palatino Linotype" w:hAnsi="Palatino Linotype" w:cs="Palatino Linotype"/>
          <w:b/>
          <w:sz w:val="24"/>
          <w:szCs w:val="24"/>
        </w:rPr>
        <w:t>00018/JLCAVT/IP/2022</w:t>
      </w:r>
      <w:r w:rsidRPr="00BC2B1F">
        <w:rPr>
          <w:rFonts w:ascii="Palatino Linotype" w:eastAsia="Palatino Linotype" w:hAnsi="Palatino Linotype" w:cs="Palatino Linotype"/>
          <w:sz w:val="24"/>
          <w:szCs w:val="24"/>
        </w:rPr>
        <w:t>,</w:t>
      </w:r>
      <w:r w:rsidRPr="00BC2B1F">
        <w:rPr>
          <w:rFonts w:ascii="Palatino Linotype" w:eastAsia="Palatino Linotype" w:hAnsi="Palatino Linotype" w:cs="Palatino Linotype"/>
          <w:b/>
          <w:sz w:val="24"/>
          <w:szCs w:val="24"/>
        </w:rPr>
        <w:t xml:space="preserve"> </w:t>
      </w:r>
      <w:r w:rsidRPr="00BC2B1F">
        <w:rPr>
          <w:rFonts w:ascii="Palatino Linotype" w:eastAsia="Palatino Linotype" w:hAnsi="Palatino Linotype" w:cs="Palatino Linotype"/>
          <w:sz w:val="24"/>
          <w:szCs w:val="24"/>
        </w:rPr>
        <w:t>mediante el cual solicitó la siguiente información:</w:t>
      </w:r>
    </w:p>
    <w:p w14:paraId="0E08283F" w14:textId="77777777" w:rsidR="005E1F22" w:rsidRPr="00BC2B1F" w:rsidRDefault="005E1F22">
      <w:pPr>
        <w:spacing w:after="0" w:line="360" w:lineRule="auto"/>
        <w:ind w:right="49"/>
        <w:jc w:val="both"/>
        <w:rPr>
          <w:rFonts w:ascii="Palatino Linotype" w:eastAsia="Palatino Linotype" w:hAnsi="Palatino Linotype" w:cs="Palatino Linotype"/>
          <w:sz w:val="24"/>
          <w:szCs w:val="24"/>
        </w:rPr>
      </w:pPr>
    </w:p>
    <w:p w14:paraId="69FCA624" w14:textId="77777777" w:rsidR="005E1F22" w:rsidRPr="00BC2B1F" w:rsidRDefault="004B52D7">
      <w:pPr>
        <w:spacing w:after="0" w:line="276" w:lineRule="auto"/>
        <w:ind w:left="709" w:right="758"/>
        <w:jc w:val="both"/>
        <w:rPr>
          <w:rFonts w:ascii="Palatino Linotype" w:eastAsia="Palatino Linotype" w:hAnsi="Palatino Linotype" w:cs="Palatino Linotype"/>
          <w:i/>
        </w:rPr>
      </w:pPr>
      <w:r w:rsidRPr="00BC2B1F">
        <w:rPr>
          <w:rFonts w:ascii="Palatino Linotype" w:eastAsia="Palatino Linotype" w:hAnsi="Palatino Linotype" w:cs="Palatino Linotype"/>
          <w:i/>
        </w:rPr>
        <w:lastRenderedPageBreak/>
        <w:t>“Toluca: Solicito el nombre del sindicato, el nombre del secretario general del mismo, el número de expediente del contrato colectivo de trabajo, fecha inicial de la firma, última fecha de revisión, y la dirección donde se encuentra registrado el Contrato Colectivo de Trabajo de las siguientes empresas: 1. DECOARO Y SUPERVISION, SA DE CV 2. FEDERAL EXPRESS HOLDINGS MEXICO Y COMPAÑIA, SNC DE CV 3. VAMOS A MEXICO, SA DE CV 4. GRUPO COMERCIALIZADOR CAFETERO, SA DE CV 5. SUBWAY INTERNATIONAL DE MEXICO, S DE RL DE CV 6. SAETA DE SEGURIDAD PRIVADA, SA DE CV” (Sic).</w:t>
      </w:r>
    </w:p>
    <w:p w14:paraId="1C7EA832" w14:textId="77777777" w:rsidR="005E1F22" w:rsidRPr="00BC2B1F" w:rsidRDefault="005E1F22">
      <w:pPr>
        <w:spacing w:after="0" w:line="360" w:lineRule="auto"/>
        <w:ind w:left="709" w:right="758"/>
        <w:jc w:val="both"/>
        <w:rPr>
          <w:rFonts w:ascii="Palatino Linotype" w:eastAsia="Palatino Linotype" w:hAnsi="Palatino Linotype" w:cs="Palatino Linotype"/>
          <w:i/>
        </w:rPr>
      </w:pPr>
    </w:p>
    <w:p w14:paraId="420735F8" w14:textId="77777777" w:rsidR="005E1F22" w:rsidRPr="00BC2B1F" w:rsidRDefault="004B52D7">
      <w:pPr>
        <w:spacing w:after="0" w:line="360" w:lineRule="auto"/>
        <w:ind w:right="49"/>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Modalidad de entrega: </w:t>
      </w:r>
    </w:p>
    <w:p w14:paraId="29AE4097" w14:textId="77777777" w:rsidR="005E1F22" w:rsidRPr="00BC2B1F" w:rsidRDefault="004B52D7">
      <w:pPr>
        <w:spacing w:after="0" w:line="360" w:lineRule="auto"/>
        <w:ind w:right="49"/>
        <w:jc w:val="both"/>
        <w:rPr>
          <w:rFonts w:ascii="Palatino Linotype" w:eastAsia="Palatino Linotype" w:hAnsi="Palatino Linotype" w:cs="Palatino Linotype"/>
          <w:sz w:val="24"/>
          <w:szCs w:val="24"/>
        </w:rPr>
      </w:pPr>
      <w:r w:rsidRPr="00BC2B1F">
        <w:rPr>
          <w:noProof/>
        </w:rPr>
        <w:drawing>
          <wp:inline distT="0" distB="0" distL="0" distR="0" wp14:anchorId="3289690A" wp14:editId="5C8F64D8">
            <wp:extent cx="6050222" cy="1098015"/>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050222" cy="1098015"/>
                    </a:xfrm>
                    <a:prstGeom prst="rect">
                      <a:avLst/>
                    </a:prstGeom>
                    <a:ln/>
                  </pic:spPr>
                </pic:pic>
              </a:graphicData>
            </a:graphic>
          </wp:inline>
        </w:drawing>
      </w:r>
    </w:p>
    <w:p w14:paraId="1CF09E00"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5EA21DE" w14:textId="77777777" w:rsidR="005E1F22" w:rsidRPr="00BC2B1F" w:rsidRDefault="004B52D7">
      <w:pPr>
        <w:spacing w:after="0" w:line="360" w:lineRule="auto"/>
        <w:jc w:val="both"/>
      </w:pPr>
      <w:r w:rsidRPr="00BC2B1F">
        <w:rPr>
          <w:rFonts w:ascii="Palatino Linotype" w:eastAsia="Palatino Linotype" w:hAnsi="Palatino Linotype" w:cs="Palatino Linotype"/>
          <w:b/>
          <w:sz w:val="24"/>
          <w:szCs w:val="24"/>
        </w:rPr>
        <w:t xml:space="preserve">2. RESPUESTA.  </w:t>
      </w:r>
      <w:r w:rsidRPr="00BC2B1F">
        <w:rPr>
          <w:rFonts w:ascii="Palatino Linotype" w:eastAsia="Palatino Linotype" w:hAnsi="Palatino Linotype" w:cs="Palatino Linotype"/>
          <w:sz w:val="24"/>
          <w:szCs w:val="24"/>
        </w:rPr>
        <w:t xml:space="preserve">Con fecha veintiséis de mayo del dos mil veintidós, </w:t>
      </w:r>
      <w:r w:rsidRPr="00BC2B1F">
        <w:rPr>
          <w:rFonts w:ascii="Palatino Linotype" w:eastAsia="Palatino Linotype" w:hAnsi="Palatino Linotype" w:cs="Palatino Linotype"/>
          <w:b/>
          <w:sz w:val="24"/>
          <w:szCs w:val="24"/>
        </w:rPr>
        <w:t>EL SUJETO OBLIGADO</w:t>
      </w:r>
      <w:r w:rsidRPr="00BC2B1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BC2B1F">
        <w:t xml:space="preserve"> </w:t>
      </w:r>
    </w:p>
    <w:p w14:paraId="12222083" w14:textId="77777777" w:rsidR="005E1F22" w:rsidRPr="00BC2B1F" w:rsidRDefault="005E1F22">
      <w:pPr>
        <w:spacing w:after="0" w:line="360" w:lineRule="auto"/>
        <w:jc w:val="both"/>
      </w:pPr>
    </w:p>
    <w:p w14:paraId="4245F36B" w14:textId="77777777" w:rsidR="005E1F22" w:rsidRPr="00BC2B1F" w:rsidRDefault="004B52D7">
      <w:pPr>
        <w:spacing w:after="0"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9821B2" w14:textId="77777777" w:rsidR="005E1F22" w:rsidRPr="00BC2B1F" w:rsidRDefault="004B52D7">
      <w:pPr>
        <w:spacing w:after="0"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 xml:space="preserve">Toluca de Lerdo, México, a 26 de mayo de 2022. Asunto: Respuesta a la solicitud de información No. 00018/JLCAVT/IP/2022. EL (LA) SOLICITANTE PRESENTE En atención a su solicitud de información número 00018/JLCAVT/IP/2022, de fecha dieciocho de mayo de dos mil veintidós, que a la letra dice: “Solicito el nombre del sindicato, el nombre del secretario general del </w:t>
      </w:r>
      <w:r w:rsidRPr="00BC2B1F">
        <w:rPr>
          <w:rFonts w:ascii="Palatino Linotype" w:eastAsia="Palatino Linotype" w:hAnsi="Palatino Linotype" w:cs="Palatino Linotype"/>
          <w:i/>
        </w:rPr>
        <w:lastRenderedPageBreak/>
        <w:t xml:space="preserve">mismo, el número de expediente del contrato colectivo de trabajo, fecha inicial de la firma, última fecha de revisión, y la dirección donde se encuentra registrado el Contrato Colectivo de Trabajo de las siguientes empresas: 1. DECOARO Y SUPERVISION, SA DE CV 2. FEDERAL EXPRESS HOLDINGS MEXICO Y COMPAÑIA, SNC DE CV 3. VAMOS A MEXICO, SA DE CV 4. GRUPO COMERCIALIZADOR CAFETERO, SA DE CV 5. SUBWAY INTERNATIONAL DE MEXICO, S DE RL DE CV 6. SAETA DE SEGURIDAD PRIVADA, SA DE CV” (Sic). Al respecto, hago de su conocimiento que en fecha veintiséis de mayo del año en curso, el Comité de Transparencia de la Junta Local de Conciliación y Arbitraje del Valle de Toluca, sesionó y mediante acuerdo CT/JLCAVT/EXT20/03/2022, determinó informar a la o el peticionario lo siguiente: La Cámara de Senadores publicó el 18 de noviembre de 2020 en el Diario Oficial de la Federación, la Declaratoria de inicio de funciones de la primera etapa de la implementación de la Reforma en Materia de Justicia Laboral, por lo que a partir de esa fecha inició labores el </w:t>
      </w:r>
      <w:r w:rsidRPr="00BC2B1F">
        <w:rPr>
          <w:rFonts w:ascii="Palatino Linotype" w:eastAsia="Palatino Linotype" w:hAnsi="Palatino Linotype" w:cs="Palatino Linotype"/>
          <w:b/>
          <w:i/>
          <w:u w:val="single"/>
        </w:rPr>
        <w:t>Centro Federal de Conciliación y Registro Laboral, al cual le fueron remitidos los archivos electrónicos de todos los Contratos Colectivos de Trabajo depositados en la Junta Local de Conciliación y Arbitraje del Valle de Toluca</w:t>
      </w:r>
      <w:r w:rsidRPr="00BC2B1F">
        <w:rPr>
          <w:rFonts w:ascii="Palatino Linotype" w:eastAsia="Palatino Linotype" w:hAnsi="Palatino Linotype" w:cs="Palatino Linotype"/>
          <w:i/>
        </w:rPr>
        <w:t>. Siendo el Centro Federal de Conciliación y Registro Laboral, la única autoridad facultada para proporcionar información relativa a los Contratos Colectivos de Trabajo de todas las Entidades Federativas. Sin otro particular, reciba un cordial saludo.</w:t>
      </w:r>
    </w:p>
    <w:p w14:paraId="37516AA1" w14:textId="77777777" w:rsidR="005E1F22" w:rsidRPr="00BC2B1F" w:rsidRDefault="004B52D7">
      <w:pPr>
        <w:spacing w:after="0"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ATENTAMENTE</w:t>
      </w:r>
    </w:p>
    <w:p w14:paraId="49746879" w14:textId="77777777" w:rsidR="005E1F22" w:rsidRPr="00BC2B1F" w:rsidRDefault="004B52D7">
      <w:pPr>
        <w:spacing w:after="0"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Lic. Seguridad Ciudadana José Alberto Flores Hernández</w:t>
      </w:r>
    </w:p>
    <w:p w14:paraId="11D8B676" w14:textId="77777777" w:rsidR="005E1F22" w:rsidRPr="00BC2B1F" w:rsidRDefault="005E1F22"/>
    <w:p w14:paraId="41DC91CD" w14:textId="77777777" w:rsidR="005E1F22" w:rsidRPr="00BC2B1F" w:rsidRDefault="004B52D7">
      <w:pPr>
        <w:spacing w:before="80" w:after="240" w:line="360" w:lineRule="auto"/>
        <w:ind w:right="-234"/>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El Sujeto Obligado </w:t>
      </w:r>
      <w:proofErr w:type="gramStart"/>
      <w:r w:rsidRPr="00BC2B1F">
        <w:rPr>
          <w:rFonts w:ascii="Palatino Linotype" w:eastAsia="Palatino Linotype" w:hAnsi="Palatino Linotype" w:cs="Palatino Linotype"/>
          <w:sz w:val="24"/>
          <w:szCs w:val="24"/>
        </w:rPr>
        <w:t>adjuntó  para</w:t>
      </w:r>
      <w:proofErr w:type="gramEnd"/>
      <w:r w:rsidRPr="00BC2B1F">
        <w:rPr>
          <w:rFonts w:ascii="Palatino Linotype" w:eastAsia="Palatino Linotype" w:hAnsi="Palatino Linotype" w:cs="Palatino Linotype"/>
          <w:sz w:val="24"/>
          <w:szCs w:val="24"/>
        </w:rPr>
        <w:t xml:space="preserve"> tal efecto los siguientes archivos:</w:t>
      </w:r>
    </w:p>
    <w:p w14:paraId="45D24382"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i/>
          <w:sz w:val="24"/>
          <w:szCs w:val="24"/>
          <w:u w:val="single"/>
        </w:rPr>
        <w:t>“</w:t>
      </w:r>
      <w:hyperlink r:id="rId9">
        <w:r w:rsidRPr="00BC2B1F">
          <w:rPr>
            <w:rFonts w:ascii="Palatino Linotype" w:eastAsia="Palatino Linotype" w:hAnsi="Palatino Linotype" w:cs="Palatino Linotype"/>
            <w:b/>
            <w:i/>
            <w:sz w:val="24"/>
            <w:szCs w:val="24"/>
            <w:u w:val="single"/>
          </w:rPr>
          <w:t>SOLICITUD DE INFORMACION 00018.PDF</w:t>
        </w:r>
      </w:hyperlink>
      <w:r w:rsidRPr="00BC2B1F">
        <w:rPr>
          <w:rFonts w:ascii="Palatino Linotype" w:eastAsia="Palatino Linotype" w:hAnsi="Palatino Linotype" w:cs="Palatino Linotype"/>
          <w:b/>
          <w:i/>
          <w:sz w:val="24"/>
          <w:szCs w:val="24"/>
          <w:u w:val="single"/>
        </w:rPr>
        <w:t xml:space="preserve">” </w:t>
      </w:r>
      <w:r w:rsidRPr="00BC2B1F">
        <w:rPr>
          <w:rFonts w:ascii="Palatino Linotype" w:eastAsia="Palatino Linotype" w:hAnsi="Palatino Linotype" w:cs="Palatino Linotype"/>
          <w:sz w:val="24"/>
          <w:szCs w:val="24"/>
        </w:rPr>
        <w:t xml:space="preserve">Oficio de fecha veinticuatro de mayo de dos mil veintidós, signado por el Secretario General de Conflictos Colectivos y Huelgas, mediante el cual refiere que el dieciocho de noviembre del </w:t>
      </w:r>
      <w:r w:rsidRPr="00BC2B1F">
        <w:rPr>
          <w:rFonts w:ascii="Palatino Linotype" w:eastAsia="Palatino Linotype" w:hAnsi="Palatino Linotype" w:cs="Palatino Linotype"/>
          <w:sz w:val="24"/>
          <w:szCs w:val="24"/>
        </w:rPr>
        <w:lastRenderedPageBreak/>
        <w:t>año dos mil veinte se publicó en el Diario Oficial de la Federación la declaratoria de inicio de funciones de la primera etapa de la implementación de la reforma en Materia de Justicia Laboral, por lo que a partir de esa fecha inicio labores el Centro Federal de Conciliación y Registro Federal  al cual le fueron remitidos los archivos de todos los contratos colectivos de trabajo depositados en la Junta Local de Conciliación y Arbitraje Valle de Toluca.</w:t>
      </w:r>
    </w:p>
    <w:p w14:paraId="2E74AA7E" w14:textId="77777777" w:rsidR="005E1F22" w:rsidRPr="00BC2B1F" w:rsidRDefault="004B52D7">
      <w:pPr>
        <w:spacing w:after="0" w:line="360" w:lineRule="auto"/>
        <w:jc w:val="center"/>
        <w:rPr>
          <w:rFonts w:ascii="Palatino Linotype" w:eastAsia="Palatino Linotype" w:hAnsi="Palatino Linotype" w:cs="Palatino Linotype"/>
          <w:sz w:val="24"/>
          <w:szCs w:val="24"/>
        </w:rPr>
      </w:pPr>
      <w:bookmarkStart w:id="0" w:name="_heading=h.gjdgxs" w:colFirst="0" w:colLast="0"/>
      <w:bookmarkEnd w:id="0"/>
      <w:r w:rsidRPr="00BC2B1F">
        <w:rPr>
          <w:noProof/>
        </w:rPr>
        <w:drawing>
          <wp:inline distT="0" distB="0" distL="0" distR="0" wp14:anchorId="041CA5DD" wp14:editId="5A13B845">
            <wp:extent cx="3267412" cy="4339922"/>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9204" t="28063" r="38561" b="19432"/>
                    <a:stretch>
                      <a:fillRect/>
                    </a:stretch>
                  </pic:blipFill>
                  <pic:spPr>
                    <a:xfrm>
                      <a:off x="0" y="0"/>
                      <a:ext cx="3267412" cy="4339922"/>
                    </a:xfrm>
                    <a:prstGeom prst="rect">
                      <a:avLst/>
                    </a:prstGeom>
                    <a:ln/>
                  </pic:spPr>
                </pic:pic>
              </a:graphicData>
            </a:graphic>
          </wp:inline>
        </w:drawing>
      </w:r>
    </w:p>
    <w:p w14:paraId="4CBD7C90" w14:textId="77777777" w:rsidR="005E1F22" w:rsidRPr="00BC2B1F" w:rsidRDefault="004B52D7">
      <w:pPr>
        <w:spacing w:after="0" w:line="240" w:lineRule="auto"/>
        <w:rPr>
          <w:rFonts w:ascii="Palatino Linotype" w:eastAsia="Palatino Linotype" w:hAnsi="Palatino Linotype" w:cs="Palatino Linotype"/>
          <w:b/>
          <w:i/>
          <w:sz w:val="24"/>
          <w:szCs w:val="24"/>
          <w:u w:val="single"/>
        </w:rPr>
      </w:pPr>
      <w:r w:rsidRPr="00BC2B1F">
        <w:rPr>
          <w:rFonts w:ascii="Palatino Linotype" w:eastAsia="Palatino Linotype" w:hAnsi="Palatino Linotype" w:cs="Palatino Linotype"/>
          <w:b/>
          <w:i/>
          <w:sz w:val="24"/>
          <w:szCs w:val="24"/>
          <w:u w:val="single"/>
        </w:rPr>
        <w:br/>
        <w:t>“</w:t>
      </w:r>
      <w:hyperlink r:id="rId11">
        <w:r w:rsidRPr="00BC2B1F">
          <w:rPr>
            <w:rFonts w:ascii="Palatino Linotype" w:eastAsia="Palatino Linotype" w:hAnsi="Palatino Linotype" w:cs="Palatino Linotype"/>
            <w:b/>
            <w:i/>
            <w:sz w:val="24"/>
            <w:szCs w:val="24"/>
            <w:u w:val="single"/>
          </w:rPr>
          <w:t>00018-JLCAVT-IP-2022.PDF</w:t>
        </w:r>
      </w:hyperlink>
      <w:r w:rsidRPr="00BC2B1F">
        <w:rPr>
          <w:rFonts w:ascii="Palatino Linotype" w:eastAsia="Palatino Linotype" w:hAnsi="Palatino Linotype" w:cs="Palatino Linotype"/>
          <w:b/>
          <w:i/>
          <w:sz w:val="24"/>
          <w:szCs w:val="24"/>
          <w:u w:val="single"/>
        </w:rPr>
        <w:t>”:</w:t>
      </w:r>
    </w:p>
    <w:p w14:paraId="1C608385" w14:textId="77777777" w:rsidR="005E1F22" w:rsidRPr="00BC2B1F" w:rsidRDefault="005E1F22">
      <w:pPr>
        <w:spacing w:after="0" w:line="240" w:lineRule="auto"/>
        <w:rPr>
          <w:rFonts w:ascii="Palatino Linotype" w:eastAsia="Palatino Linotype" w:hAnsi="Palatino Linotype" w:cs="Palatino Linotype"/>
          <w:sz w:val="24"/>
          <w:szCs w:val="24"/>
        </w:rPr>
      </w:pPr>
    </w:p>
    <w:p w14:paraId="3DA24BAD" w14:textId="77777777" w:rsidR="005E1F22" w:rsidRPr="00BC2B1F" w:rsidRDefault="004B52D7">
      <w:pPr>
        <w:spacing w:after="0" w:line="240" w:lineRule="auto"/>
        <w:rPr>
          <w:rFonts w:ascii="Palatino Linotype" w:eastAsia="Palatino Linotype" w:hAnsi="Palatino Linotype" w:cs="Palatino Linotype"/>
          <w:b/>
          <w:i/>
          <w:sz w:val="24"/>
          <w:szCs w:val="24"/>
          <w:u w:val="single"/>
        </w:rPr>
      </w:pPr>
      <w:r w:rsidRPr="00BC2B1F">
        <w:rPr>
          <w:rFonts w:ascii="Palatino Linotype" w:eastAsia="Palatino Linotype" w:hAnsi="Palatino Linotype" w:cs="Palatino Linotype"/>
          <w:b/>
          <w:i/>
          <w:sz w:val="24"/>
          <w:szCs w:val="24"/>
          <w:u w:val="single"/>
        </w:rPr>
        <w:lastRenderedPageBreak/>
        <w:br/>
        <w:t>“</w:t>
      </w:r>
      <w:hyperlink r:id="rId12">
        <w:r w:rsidRPr="00BC2B1F">
          <w:rPr>
            <w:rFonts w:ascii="Palatino Linotype" w:eastAsia="Palatino Linotype" w:hAnsi="Palatino Linotype" w:cs="Palatino Linotype"/>
            <w:b/>
            <w:i/>
            <w:sz w:val="24"/>
            <w:szCs w:val="24"/>
            <w:u w:val="single"/>
          </w:rPr>
          <w:t>00018-JLCAVT-IP-2022.PDF</w:t>
        </w:r>
      </w:hyperlink>
      <w:r w:rsidRPr="00BC2B1F">
        <w:rPr>
          <w:rFonts w:ascii="Palatino Linotype" w:eastAsia="Palatino Linotype" w:hAnsi="Palatino Linotype" w:cs="Palatino Linotype"/>
          <w:b/>
          <w:i/>
          <w:sz w:val="24"/>
          <w:szCs w:val="24"/>
          <w:u w:val="single"/>
        </w:rPr>
        <w:t>”:</w:t>
      </w:r>
    </w:p>
    <w:p w14:paraId="163DF4D5" w14:textId="77777777" w:rsidR="005E1F22" w:rsidRPr="00BC2B1F" w:rsidRDefault="005E1F22">
      <w:pPr>
        <w:spacing w:after="0" w:line="240" w:lineRule="auto"/>
        <w:rPr>
          <w:rFonts w:ascii="Palatino Linotype" w:eastAsia="Palatino Linotype" w:hAnsi="Palatino Linotype" w:cs="Palatino Linotype"/>
          <w:b/>
          <w:i/>
          <w:sz w:val="24"/>
          <w:szCs w:val="24"/>
          <w:u w:val="single"/>
        </w:rPr>
      </w:pPr>
    </w:p>
    <w:p w14:paraId="61E63FB5" w14:textId="77777777" w:rsidR="005E1F22" w:rsidRPr="00BC2B1F" w:rsidRDefault="005E1F22">
      <w:pPr>
        <w:spacing w:after="0" w:line="240" w:lineRule="auto"/>
        <w:rPr>
          <w:rFonts w:ascii="Palatino Linotype" w:eastAsia="Palatino Linotype" w:hAnsi="Palatino Linotype" w:cs="Palatino Linotype"/>
          <w:b/>
          <w:i/>
          <w:sz w:val="24"/>
          <w:szCs w:val="24"/>
          <w:u w:val="single"/>
        </w:rPr>
      </w:pPr>
    </w:p>
    <w:p w14:paraId="5926E2A9"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Cabe mencionar que en estos dos archivos se adjunta el oficio de fecha veintiséis de mayo de dos mil veintidós, signado por el Titular de la Unidad de Transparencia, mediante el cual refiere que el Comité de Transparencia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sesionó y mediante el acuerdo JLCAVT/EXT22/03/2022 determina en términos generales la incompetencia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para otorgar respuesta, bajo las consideraciones expuestas en el oficio antes descrito, sin embargo no adjunta para tal efecto el acuerdo en mención. </w:t>
      </w:r>
    </w:p>
    <w:p w14:paraId="43D25A6A" w14:textId="77777777" w:rsidR="005E1F22" w:rsidRPr="00BC2B1F" w:rsidRDefault="004B52D7">
      <w:pPr>
        <w:spacing w:after="0" w:line="360" w:lineRule="auto"/>
        <w:jc w:val="center"/>
        <w:rPr>
          <w:rFonts w:ascii="Palatino Linotype" w:eastAsia="Palatino Linotype" w:hAnsi="Palatino Linotype" w:cs="Palatino Linotype"/>
          <w:sz w:val="24"/>
          <w:szCs w:val="24"/>
        </w:rPr>
      </w:pPr>
      <w:r w:rsidRPr="00BC2B1F">
        <w:rPr>
          <w:noProof/>
        </w:rPr>
        <w:lastRenderedPageBreak/>
        <w:drawing>
          <wp:inline distT="0" distB="0" distL="0" distR="0" wp14:anchorId="4191169E" wp14:editId="761D8649">
            <wp:extent cx="4144610" cy="506095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6994" t="23449" r="36540" b="10382"/>
                    <a:stretch>
                      <a:fillRect/>
                    </a:stretch>
                  </pic:blipFill>
                  <pic:spPr>
                    <a:xfrm>
                      <a:off x="0" y="0"/>
                      <a:ext cx="4144610" cy="5060955"/>
                    </a:xfrm>
                    <a:prstGeom prst="rect">
                      <a:avLst/>
                    </a:prstGeom>
                    <a:ln/>
                  </pic:spPr>
                </pic:pic>
              </a:graphicData>
            </a:graphic>
          </wp:inline>
        </w:drawing>
      </w:r>
    </w:p>
    <w:p w14:paraId="77E3795C" w14:textId="77777777" w:rsidR="005E1F22" w:rsidRPr="00BC2B1F" w:rsidRDefault="005E1F22">
      <w:pPr>
        <w:spacing w:after="0" w:line="240" w:lineRule="auto"/>
        <w:rPr>
          <w:rFonts w:ascii="Arial" w:eastAsia="Arial" w:hAnsi="Arial" w:cs="Arial"/>
          <w:b/>
          <w:sz w:val="15"/>
          <w:szCs w:val="15"/>
        </w:rPr>
      </w:pPr>
    </w:p>
    <w:p w14:paraId="6CB3AAFE" w14:textId="77777777" w:rsidR="005E1F22" w:rsidRPr="00BC2B1F" w:rsidRDefault="004B52D7">
      <w:pPr>
        <w:spacing w:before="80" w:after="240" w:line="360" w:lineRule="auto"/>
        <w:ind w:right="-234"/>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b/>
          <w:sz w:val="24"/>
          <w:szCs w:val="24"/>
        </w:rPr>
        <w:t xml:space="preserve">3. DEL RECURSO DE REVISIÓN. </w:t>
      </w:r>
      <w:r w:rsidRPr="00BC2B1F">
        <w:rPr>
          <w:rFonts w:ascii="Palatino Linotype" w:eastAsia="Palatino Linotype" w:hAnsi="Palatino Linotype" w:cs="Palatino Linotype"/>
          <w:sz w:val="24"/>
          <w:szCs w:val="24"/>
        </w:rPr>
        <w:t>Inconforme con la respuesta del</w:t>
      </w:r>
      <w:r w:rsidRPr="00BC2B1F">
        <w:rPr>
          <w:rFonts w:ascii="Palatino Linotype" w:eastAsia="Palatino Linotype" w:hAnsi="Palatino Linotype" w:cs="Palatino Linotype"/>
          <w:b/>
          <w:sz w:val="24"/>
          <w:szCs w:val="24"/>
        </w:rPr>
        <w:t xml:space="preserve"> SUJETO OBLIGADO, </w:t>
      </w:r>
      <w:r w:rsidRPr="00BC2B1F">
        <w:rPr>
          <w:rFonts w:ascii="Palatino Linotype" w:eastAsia="Palatino Linotype" w:hAnsi="Palatino Linotype" w:cs="Palatino Linotype"/>
          <w:sz w:val="24"/>
          <w:szCs w:val="24"/>
        </w:rPr>
        <w:t>en fecha treinta de mayo de dos mil veintidós</w:t>
      </w:r>
      <w:r w:rsidRPr="00BC2B1F">
        <w:rPr>
          <w:rFonts w:ascii="Palatino Linotype" w:eastAsia="Palatino Linotype" w:hAnsi="Palatino Linotype" w:cs="Palatino Linotype"/>
          <w:b/>
          <w:sz w:val="24"/>
          <w:szCs w:val="24"/>
        </w:rPr>
        <w:t xml:space="preserve">, EL RECURRENTE </w:t>
      </w:r>
      <w:r w:rsidRPr="00BC2B1F">
        <w:rPr>
          <w:rFonts w:ascii="Palatino Linotype" w:eastAsia="Palatino Linotype" w:hAnsi="Palatino Linotype" w:cs="Palatino Linotype"/>
          <w:sz w:val="24"/>
          <w:szCs w:val="24"/>
        </w:rPr>
        <w:t>interpuso el recurso de revisión, el cual fue registrado</w:t>
      </w:r>
      <w:r w:rsidRPr="00BC2B1F">
        <w:rPr>
          <w:rFonts w:ascii="Palatino Linotype" w:eastAsia="Palatino Linotype" w:hAnsi="Palatino Linotype" w:cs="Palatino Linotype"/>
          <w:b/>
          <w:sz w:val="24"/>
          <w:szCs w:val="24"/>
        </w:rPr>
        <w:t xml:space="preserve"> </w:t>
      </w:r>
      <w:r w:rsidRPr="00BC2B1F">
        <w:rPr>
          <w:rFonts w:ascii="Palatino Linotype" w:eastAsia="Palatino Linotype" w:hAnsi="Palatino Linotype" w:cs="Palatino Linotype"/>
          <w:sz w:val="24"/>
          <w:szCs w:val="24"/>
        </w:rPr>
        <w:t xml:space="preserve">en el sistema electrónico con el expediente número </w:t>
      </w:r>
      <w:r w:rsidRPr="00BC2B1F">
        <w:rPr>
          <w:rFonts w:ascii="Palatino Linotype" w:eastAsia="Palatino Linotype" w:hAnsi="Palatino Linotype" w:cs="Palatino Linotype"/>
          <w:b/>
          <w:sz w:val="24"/>
          <w:szCs w:val="24"/>
        </w:rPr>
        <w:t>10044/INFOEM/IP/RR/2022</w:t>
      </w:r>
      <w:r w:rsidRPr="00BC2B1F">
        <w:rPr>
          <w:rFonts w:ascii="Palatino Linotype" w:eastAsia="Palatino Linotype" w:hAnsi="Palatino Linotype" w:cs="Palatino Linotype"/>
          <w:sz w:val="24"/>
          <w:szCs w:val="24"/>
        </w:rPr>
        <w:t>, en el cual manifiesta, lo siguiente:</w:t>
      </w:r>
    </w:p>
    <w:p w14:paraId="43B3B3C1" w14:textId="77777777" w:rsidR="005E1F22" w:rsidRPr="00BC2B1F" w:rsidRDefault="004B52D7">
      <w:pPr>
        <w:numPr>
          <w:ilvl w:val="0"/>
          <w:numId w:val="1"/>
        </w:numPr>
        <w:spacing w:before="240" w:after="240" w:line="360" w:lineRule="auto"/>
        <w:jc w:val="both"/>
        <w:rPr>
          <w:rFonts w:ascii="Palatino Linotype" w:eastAsia="Palatino Linotype" w:hAnsi="Palatino Linotype" w:cs="Palatino Linotype"/>
          <w:b/>
          <w:i/>
          <w:sz w:val="24"/>
          <w:szCs w:val="24"/>
        </w:rPr>
      </w:pPr>
      <w:r w:rsidRPr="00BC2B1F">
        <w:rPr>
          <w:rFonts w:ascii="Palatino Linotype" w:eastAsia="Palatino Linotype" w:hAnsi="Palatino Linotype" w:cs="Palatino Linotype"/>
          <w:b/>
          <w:i/>
          <w:sz w:val="24"/>
          <w:szCs w:val="24"/>
        </w:rPr>
        <w:t>Acto Impugnado:</w:t>
      </w:r>
    </w:p>
    <w:p w14:paraId="6003D917" w14:textId="77777777" w:rsidR="005E1F22" w:rsidRPr="00BC2B1F" w:rsidRDefault="004B52D7">
      <w:pPr>
        <w:spacing w:before="240" w:after="240" w:line="276" w:lineRule="auto"/>
        <w:ind w:left="851"/>
        <w:jc w:val="both"/>
        <w:rPr>
          <w:rFonts w:ascii="Palatino Linotype" w:eastAsia="Palatino Linotype" w:hAnsi="Palatino Linotype" w:cs="Palatino Linotype"/>
          <w:i/>
        </w:rPr>
      </w:pPr>
      <w:r w:rsidRPr="00BC2B1F">
        <w:rPr>
          <w:rFonts w:ascii="Palatino Linotype" w:eastAsia="Palatino Linotype" w:hAnsi="Palatino Linotype" w:cs="Palatino Linotype"/>
          <w:i/>
        </w:rPr>
        <w:lastRenderedPageBreak/>
        <w:t>“LA LEY ESTATAL ESTABLECE QUE LAS JUNTAS MANTENDRAN SUS FUNCIONES HASTA QUE COMIECE A TRABAJAR EL CENTRO FEDERAL, PERO ESTE YA ENTRO EN FUNCIONES. SIN EMBARGO, DE ACUERDO CON LA LEY DE TRANSPARENCIA Y ACCESO A LA INFORMACIÓN PÚBLICA DEL ESTADO DE MÉXICO Y SUS MUNICIPIOS EN SU ARTÍCULO 99, LAS AUTORIDADES ADMINISTRATIVAS Y JURISDICCIONALES EN MATERIA LABORAL CONSERVAN LA OBLIGACIÓN DE MANTENER A DISPICIÓN DEL PÚBLICO LA INFORMACIÓN SOBRE LOS SINDICATOS.” [sic]</w:t>
      </w:r>
    </w:p>
    <w:p w14:paraId="0EAC295D" w14:textId="77777777" w:rsidR="005E1F22" w:rsidRPr="00BC2B1F" w:rsidRDefault="004B52D7">
      <w:pPr>
        <w:numPr>
          <w:ilvl w:val="0"/>
          <w:numId w:val="1"/>
        </w:numPr>
        <w:spacing w:before="240" w:after="240" w:line="360" w:lineRule="auto"/>
        <w:rPr>
          <w:rFonts w:ascii="Palatino Linotype" w:eastAsia="Palatino Linotype" w:hAnsi="Palatino Linotype" w:cs="Palatino Linotype"/>
          <w:i/>
          <w:sz w:val="24"/>
          <w:szCs w:val="24"/>
        </w:rPr>
      </w:pPr>
      <w:r w:rsidRPr="00BC2B1F">
        <w:rPr>
          <w:rFonts w:ascii="Palatino Linotype" w:eastAsia="Palatino Linotype" w:hAnsi="Palatino Linotype" w:cs="Palatino Linotype"/>
          <w:b/>
          <w:i/>
          <w:sz w:val="24"/>
          <w:szCs w:val="24"/>
        </w:rPr>
        <w:t>Razones o Motivos de Inconformidad</w:t>
      </w:r>
      <w:r w:rsidRPr="00BC2B1F">
        <w:rPr>
          <w:rFonts w:ascii="Palatino Linotype" w:eastAsia="Palatino Linotype" w:hAnsi="Palatino Linotype" w:cs="Palatino Linotype"/>
          <w:i/>
          <w:sz w:val="24"/>
          <w:szCs w:val="24"/>
        </w:rPr>
        <w:t>:</w:t>
      </w:r>
    </w:p>
    <w:p w14:paraId="7DBB9EBC" w14:textId="77777777" w:rsidR="005E1F22" w:rsidRPr="00BC2B1F" w:rsidRDefault="004B52D7">
      <w:pPr>
        <w:spacing w:before="240" w:after="0" w:line="276" w:lineRule="auto"/>
        <w:ind w:left="851"/>
        <w:jc w:val="both"/>
        <w:rPr>
          <w:rFonts w:ascii="Palatino Linotype" w:eastAsia="Palatino Linotype" w:hAnsi="Palatino Linotype" w:cs="Palatino Linotype"/>
          <w:i/>
        </w:rPr>
      </w:pPr>
      <w:r w:rsidRPr="00BC2B1F">
        <w:rPr>
          <w:rFonts w:ascii="Palatino Linotype" w:eastAsia="Palatino Linotype" w:hAnsi="Palatino Linotype" w:cs="Palatino Linotype"/>
          <w:i/>
          <w:sz w:val="24"/>
          <w:szCs w:val="24"/>
        </w:rPr>
        <w:t>“</w:t>
      </w:r>
      <w:r w:rsidRPr="00BC2B1F">
        <w:rPr>
          <w:rFonts w:ascii="Palatino Linotype" w:eastAsia="Palatino Linotype" w:hAnsi="Palatino Linotype" w:cs="Palatino Linotype"/>
          <w:i/>
        </w:rPr>
        <w:t>” [sic]</w:t>
      </w:r>
    </w:p>
    <w:p w14:paraId="21C59D37" w14:textId="77777777" w:rsidR="005E1F22" w:rsidRPr="00BC2B1F" w:rsidRDefault="005E1F22">
      <w:pPr>
        <w:spacing w:before="240" w:after="0" w:line="276" w:lineRule="auto"/>
        <w:ind w:left="851"/>
        <w:jc w:val="both"/>
        <w:rPr>
          <w:rFonts w:ascii="Palatino Linotype" w:eastAsia="Palatino Linotype" w:hAnsi="Palatino Linotype" w:cs="Palatino Linotype"/>
          <w:i/>
        </w:rPr>
      </w:pPr>
    </w:p>
    <w:p w14:paraId="352D17D4"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 xml:space="preserve">4. TURNO. </w:t>
      </w:r>
      <w:r w:rsidRPr="00BC2B1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C2B1F">
        <w:rPr>
          <w:rFonts w:ascii="Palatino Linotype" w:eastAsia="Palatino Linotype" w:hAnsi="Palatino Linotype" w:cs="Palatino Linotype"/>
          <w:b/>
          <w:sz w:val="24"/>
          <w:szCs w:val="24"/>
        </w:rPr>
        <w:t xml:space="preserve">Guadalupe Ramírez Peña, </w:t>
      </w:r>
      <w:r w:rsidRPr="00BC2B1F">
        <w:rPr>
          <w:rFonts w:ascii="Palatino Linotype" w:eastAsia="Palatino Linotype" w:hAnsi="Palatino Linotype" w:cs="Palatino Linotype"/>
          <w:sz w:val="24"/>
          <w:szCs w:val="24"/>
        </w:rPr>
        <w:t xml:space="preserve">a efecto de que analizara sobre su admisión o su </w:t>
      </w:r>
      <w:proofErr w:type="spellStart"/>
      <w:r w:rsidRPr="00BC2B1F">
        <w:rPr>
          <w:rFonts w:ascii="Palatino Linotype" w:eastAsia="Palatino Linotype" w:hAnsi="Palatino Linotype" w:cs="Palatino Linotype"/>
          <w:sz w:val="24"/>
          <w:szCs w:val="24"/>
        </w:rPr>
        <w:t>desechamiento</w:t>
      </w:r>
      <w:proofErr w:type="spellEnd"/>
      <w:r w:rsidRPr="00BC2B1F">
        <w:rPr>
          <w:rFonts w:ascii="Palatino Linotype" w:eastAsia="Palatino Linotype" w:hAnsi="Palatino Linotype" w:cs="Palatino Linotype"/>
          <w:sz w:val="24"/>
          <w:szCs w:val="24"/>
        </w:rPr>
        <w:t>.</w:t>
      </w:r>
    </w:p>
    <w:p w14:paraId="1DF7F97B" w14:textId="77777777" w:rsidR="005E1F22" w:rsidRPr="00BC2B1F" w:rsidRDefault="005E1F22"/>
    <w:p w14:paraId="4D2AB8E0"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5. ADMISIÓN DEL RECURSO DE REVISIÓN.</w:t>
      </w:r>
      <w:r w:rsidRPr="00BC2B1F">
        <w:rPr>
          <w:rFonts w:ascii="Palatino Linotype" w:eastAsia="Palatino Linotype" w:hAnsi="Palatino Linotype" w:cs="Palatino Linotype"/>
          <w:sz w:val="24"/>
          <w:szCs w:val="24"/>
        </w:rPr>
        <w:t xml:space="preserve"> Con fecha</w:t>
      </w:r>
      <w:r w:rsidRPr="00BC2B1F">
        <w:rPr>
          <w:rFonts w:ascii="Palatino Linotype" w:eastAsia="Palatino Linotype" w:hAnsi="Palatino Linotype" w:cs="Palatino Linotype"/>
          <w:b/>
          <w:sz w:val="24"/>
          <w:szCs w:val="24"/>
        </w:rPr>
        <w:t xml:space="preserve"> dos de junio de dos mil veintidós, </w:t>
      </w:r>
      <w:r w:rsidRPr="00BC2B1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BC2B1F">
        <w:rPr>
          <w:rFonts w:ascii="Palatino Linotype" w:eastAsia="Palatino Linotype" w:hAnsi="Palatino Linotype" w:cs="Palatino Linotype"/>
          <w:sz w:val="24"/>
          <w:szCs w:val="24"/>
        </w:rPr>
        <w:lastRenderedPageBreak/>
        <w:t xml:space="preserve">conveniente, ofrecieran pruebas, formularan alegatos y el </w:t>
      </w:r>
      <w:r w:rsidRPr="00BC2B1F">
        <w:rPr>
          <w:rFonts w:ascii="Palatino Linotype" w:eastAsia="Palatino Linotype" w:hAnsi="Palatino Linotype" w:cs="Palatino Linotype"/>
          <w:b/>
          <w:sz w:val="24"/>
          <w:szCs w:val="24"/>
        </w:rPr>
        <w:t xml:space="preserve">SUJETO OBLIGADO </w:t>
      </w:r>
      <w:r w:rsidRPr="00BC2B1F">
        <w:rPr>
          <w:rFonts w:ascii="Palatino Linotype" w:eastAsia="Palatino Linotype" w:hAnsi="Palatino Linotype" w:cs="Palatino Linotype"/>
          <w:sz w:val="24"/>
          <w:szCs w:val="24"/>
        </w:rPr>
        <w:t>presentará su informe justificado.</w:t>
      </w:r>
    </w:p>
    <w:p w14:paraId="7B03575E" w14:textId="77777777" w:rsidR="005E1F22" w:rsidRPr="00BC2B1F" w:rsidRDefault="005E1F22"/>
    <w:p w14:paraId="4A3BA3DD" w14:textId="77777777" w:rsidR="005E1F22" w:rsidRPr="00BC2B1F" w:rsidRDefault="004B52D7">
      <w:pPr>
        <w:spacing w:before="160" w:after="0" w:line="360" w:lineRule="auto"/>
        <w:ind w:right="49"/>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6. MANIFESTACIONES.</w:t>
      </w:r>
      <w:r w:rsidRPr="00BC2B1F">
        <w:rPr>
          <w:rFonts w:ascii="Palatino Linotype" w:eastAsia="Palatino Linotype" w:hAnsi="Palatino Linotype" w:cs="Palatino Linotype"/>
          <w:sz w:val="24"/>
          <w:szCs w:val="24"/>
        </w:rPr>
        <w:t xml:space="preserve"> El trece de junio de dos mil veintidós se recibió, a través del Sistema de Acceso a la Información Mexiquense (SAIMEX), el Informe Justificado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w:t>
      </w:r>
      <w:r w:rsidRPr="00BC2B1F">
        <w:rPr>
          <w:rFonts w:ascii="Palatino Linotype" w:eastAsia="Palatino Linotype" w:hAnsi="Palatino Linotype" w:cs="Palatino Linotype"/>
          <w:b/>
          <w:sz w:val="24"/>
          <w:szCs w:val="24"/>
        </w:rPr>
        <w:t xml:space="preserve"> </w:t>
      </w:r>
      <w:r w:rsidRPr="00BC2B1F">
        <w:rPr>
          <w:rFonts w:ascii="Palatino Linotype" w:eastAsia="Palatino Linotype" w:hAnsi="Palatino Linotype" w:cs="Palatino Linotype"/>
          <w:sz w:val="24"/>
          <w:szCs w:val="24"/>
        </w:rPr>
        <w:t>a través del siguiente archivo electrónico:</w:t>
      </w:r>
    </w:p>
    <w:p w14:paraId="6D0A32B8" w14:textId="77777777" w:rsidR="005E1F22" w:rsidRPr="00BC2B1F" w:rsidRDefault="005E1F22">
      <w:pPr>
        <w:spacing w:after="0" w:line="240" w:lineRule="auto"/>
        <w:jc w:val="both"/>
        <w:rPr>
          <w:rFonts w:ascii="Palatino Linotype" w:eastAsia="Palatino Linotype" w:hAnsi="Palatino Linotype" w:cs="Palatino Linotype"/>
          <w:sz w:val="24"/>
          <w:szCs w:val="24"/>
        </w:rPr>
      </w:pPr>
    </w:p>
    <w:p w14:paraId="3B48AA17" w14:textId="77777777" w:rsidR="005E1F22" w:rsidRPr="00BC2B1F" w:rsidRDefault="00095461">
      <w:pPr>
        <w:spacing w:after="0" w:line="360" w:lineRule="auto"/>
        <w:jc w:val="both"/>
        <w:rPr>
          <w:rFonts w:ascii="Palatino Linotype" w:eastAsia="Palatino Linotype" w:hAnsi="Palatino Linotype" w:cs="Palatino Linotype"/>
          <w:sz w:val="24"/>
          <w:szCs w:val="24"/>
        </w:rPr>
      </w:pPr>
      <w:hyperlink r:id="rId14">
        <w:r w:rsidR="004B52D7" w:rsidRPr="00BC2B1F">
          <w:rPr>
            <w:rFonts w:ascii="Palatino Linotype" w:eastAsia="Palatino Linotype" w:hAnsi="Palatino Linotype" w:cs="Palatino Linotype"/>
            <w:b/>
            <w:sz w:val="24"/>
            <w:szCs w:val="24"/>
          </w:rPr>
          <w:t>10044-INFOEM-IP-RR-2022.pdf</w:t>
        </w:r>
      </w:hyperlink>
      <w:r w:rsidR="004B52D7" w:rsidRPr="00BC2B1F">
        <w:rPr>
          <w:rFonts w:ascii="Palatino Linotype" w:eastAsia="Palatino Linotype" w:hAnsi="Palatino Linotype" w:cs="Palatino Linotype"/>
          <w:sz w:val="24"/>
          <w:szCs w:val="24"/>
        </w:rPr>
        <w:t xml:space="preserve">: Oficio de fecha diez de junio de dos mil veintidós, signado por el Titular de la Unidad de Transparencia, mediante el cual ratifica en términos generales su respuesta inicial.  </w:t>
      </w:r>
    </w:p>
    <w:p w14:paraId="6DB207E6"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61E5F0B3"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7. AMPLIACIÓN DEL TÉRMINO PARA RESOLVER</w:t>
      </w:r>
      <w:r w:rsidRPr="00BC2B1F">
        <w:rPr>
          <w:rFonts w:ascii="Palatino Linotype" w:eastAsia="Palatino Linotype" w:hAnsi="Palatino Linotype" w:cs="Palatino Linotype"/>
          <w:sz w:val="24"/>
          <w:szCs w:val="24"/>
        </w:rPr>
        <w:t>.</w:t>
      </w:r>
      <w:r w:rsidRPr="00BC2B1F">
        <w:rPr>
          <w:rFonts w:ascii="Palatino Linotype" w:eastAsia="Palatino Linotype" w:hAnsi="Palatino Linotype" w:cs="Palatino Linotype"/>
        </w:rPr>
        <w:t xml:space="preserve"> </w:t>
      </w:r>
      <w:r w:rsidRPr="00BC2B1F">
        <w:rPr>
          <w:rFonts w:ascii="Palatino Linotype" w:eastAsia="Palatino Linotype" w:hAnsi="Palatino Linotype" w:cs="Palatino Linotype"/>
          <w:sz w:val="24"/>
          <w:szCs w:val="24"/>
        </w:rPr>
        <w:t xml:space="preserve">En fecha doce de octubre de dos mil veintidós, se amplió el término para resolver el recurso de revisión en términos del artículo 181 párrafo tercero de la Ley de Transparencia y Acceso a la Información Pública del Estado de México y Municipios. </w:t>
      </w:r>
    </w:p>
    <w:p w14:paraId="4D4FDD77"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BF0014A"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E2C4F"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4AA67D8F"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Por ello, es menester precisar </w:t>
      </w:r>
      <w:proofErr w:type="gramStart"/>
      <w:r w:rsidRPr="00BC2B1F">
        <w:rPr>
          <w:rFonts w:ascii="Palatino Linotype" w:eastAsia="Palatino Linotype" w:hAnsi="Palatino Linotype" w:cs="Palatino Linotype"/>
          <w:sz w:val="24"/>
          <w:szCs w:val="24"/>
        </w:rPr>
        <w:t>que</w:t>
      </w:r>
      <w:proofErr w:type="gramEnd"/>
      <w:r w:rsidRPr="00BC2B1F">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2BACE4"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6948DC7"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0FFB50"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2C28F4BF"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A41FE35"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10C20149" w14:textId="77777777" w:rsidR="005E1F22" w:rsidRPr="00BC2B1F" w:rsidRDefault="004B52D7">
      <w:pPr>
        <w:spacing w:after="0" w:line="360" w:lineRule="auto"/>
        <w:jc w:val="both"/>
        <w:rPr>
          <w:rFonts w:ascii="Palatino Linotype" w:eastAsia="Palatino Linotype" w:hAnsi="Palatino Linotype" w:cs="Palatino Linotype"/>
          <w:strike/>
          <w:sz w:val="24"/>
          <w:szCs w:val="24"/>
        </w:rPr>
      </w:pPr>
      <w:r w:rsidRPr="00BC2B1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DB812AD"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19B169CA" w14:textId="77777777" w:rsidR="005E1F22" w:rsidRPr="00BC2B1F" w:rsidRDefault="004B52D7">
      <w:pPr>
        <w:numPr>
          <w:ilvl w:val="0"/>
          <w:numId w:val="2"/>
        </w:num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4634366F" w14:textId="77777777" w:rsidR="005E1F22" w:rsidRPr="00BC2B1F" w:rsidRDefault="005E1F22">
      <w:pPr>
        <w:spacing w:after="0" w:line="360" w:lineRule="auto"/>
        <w:ind w:left="927"/>
        <w:jc w:val="both"/>
        <w:rPr>
          <w:rFonts w:ascii="Palatino Linotype" w:eastAsia="Palatino Linotype" w:hAnsi="Palatino Linotype" w:cs="Palatino Linotype"/>
          <w:sz w:val="24"/>
          <w:szCs w:val="24"/>
        </w:rPr>
      </w:pPr>
    </w:p>
    <w:p w14:paraId="5C19282C" w14:textId="77777777" w:rsidR="005E1F22" w:rsidRPr="00BC2B1F" w:rsidRDefault="004B52D7">
      <w:pPr>
        <w:numPr>
          <w:ilvl w:val="0"/>
          <w:numId w:val="2"/>
        </w:num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Actividad Procesal del interesado. Acciones u omisiones del interesado.</w:t>
      </w:r>
    </w:p>
    <w:p w14:paraId="4C2716BF"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12A07368" w14:textId="77777777" w:rsidR="005E1F22" w:rsidRPr="00BC2B1F" w:rsidRDefault="004B52D7">
      <w:pPr>
        <w:numPr>
          <w:ilvl w:val="0"/>
          <w:numId w:val="2"/>
        </w:num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0782457" w14:textId="77777777" w:rsidR="005E1F22" w:rsidRPr="00BC2B1F" w:rsidRDefault="004B52D7">
      <w:pPr>
        <w:spacing w:after="0" w:line="360" w:lineRule="auto"/>
        <w:ind w:left="56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C16E2FE" w14:textId="77777777" w:rsidR="005E1F22" w:rsidRPr="00BC2B1F" w:rsidRDefault="005E1F22">
      <w:pPr>
        <w:spacing w:after="0" w:line="360" w:lineRule="auto"/>
        <w:ind w:left="567"/>
        <w:jc w:val="both"/>
        <w:rPr>
          <w:rFonts w:ascii="Palatino Linotype" w:eastAsia="Palatino Linotype" w:hAnsi="Palatino Linotype" w:cs="Palatino Linotype"/>
          <w:sz w:val="24"/>
          <w:szCs w:val="24"/>
        </w:rPr>
      </w:pPr>
    </w:p>
    <w:p w14:paraId="650EE564" w14:textId="77777777" w:rsidR="005E1F22" w:rsidRPr="00BC2B1F" w:rsidRDefault="004B52D7">
      <w:pPr>
        <w:spacing w:after="0" w:line="360" w:lineRule="auto"/>
        <w:ind w:left="56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83133C"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4A859979" w14:textId="77777777" w:rsidR="005E1F22" w:rsidRPr="00BC2B1F" w:rsidRDefault="004B52D7">
      <w:pPr>
        <w:spacing w:after="0" w:line="360" w:lineRule="auto"/>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C2B1F">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BC2B1F">
        <w:rPr>
          <w:rFonts w:ascii="Palatino Linotype" w:eastAsia="Palatino Linotype" w:hAnsi="Palatino Linotype" w:cs="Palatino Linotype"/>
          <w:i/>
          <w:sz w:val="24"/>
          <w:szCs w:val="24"/>
        </w:rPr>
        <w:lastRenderedPageBreak/>
        <w:t>CARACTERÍSTICAS DEL CASO.”</w:t>
      </w:r>
      <w:r w:rsidRPr="00BC2B1F">
        <w:rPr>
          <w:rFonts w:ascii="Palatino Linotype" w:eastAsia="Palatino Linotype" w:hAnsi="Palatino Linotype" w:cs="Palatino Linotype"/>
          <w:sz w:val="24"/>
          <w:szCs w:val="24"/>
        </w:rPr>
        <w:t>, visible en la Gaceta del Seminario Judicial de la Federación con el registro digital 205635.</w:t>
      </w:r>
    </w:p>
    <w:p w14:paraId="025D8509"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8C56816"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6E837"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D7756C0"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647FC9C"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2B2C5FC"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 </w:t>
      </w:r>
      <w:r w:rsidRPr="00BC2B1F">
        <w:rPr>
          <w:rFonts w:ascii="Palatino Linotype" w:eastAsia="Palatino Linotype" w:hAnsi="Palatino Linotype" w:cs="Palatino Linotype"/>
          <w:i/>
          <w:sz w:val="24"/>
          <w:szCs w:val="24"/>
        </w:rPr>
        <w:t>“PLAZO RAZONABLE PARA RESOLVER. DIMENSIÓN Y EFECTOS DE ESTE CONCEPTO CUANDO SE ADUCE EXCESIVA CARGA DE TRABAJO.”</w:t>
      </w:r>
      <w:r w:rsidRPr="00BC2B1F">
        <w:rPr>
          <w:rFonts w:ascii="Palatino Linotype" w:eastAsia="Palatino Linotype" w:hAnsi="Palatino Linotype" w:cs="Palatino Linotype"/>
          <w:sz w:val="24"/>
          <w:szCs w:val="24"/>
        </w:rPr>
        <w:t xml:space="preserve"> consultable en el Seminario Judicial de la Federación y su gaceta, con el registro digital 2002351.</w:t>
      </w:r>
    </w:p>
    <w:p w14:paraId="2F62422B" w14:textId="77777777" w:rsidR="005E1F22" w:rsidRPr="00BC2B1F" w:rsidRDefault="005E1F22">
      <w:pPr>
        <w:spacing w:after="0" w:line="360" w:lineRule="auto"/>
        <w:jc w:val="both"/>
        <w:rPr>
          <w:rFonts w:ascii="Palatino Linotype" w:eastAsia="Palatino Linotype" w:hAnsi="Palatino Linotype" w:cs="Palatino Linotype"/>
          <w:b/>
          <w:sz w:val="24"/>
          <w:szCs w:val="24"/>
        </w:rPr>
      </w:pPr>
    </w:p>
    <w:p w14:paraId="67913B7E"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BC2B1F">
        <w:rPr>
          <w:rFonts w:ascii="Palatino Linotype" w:eastAsia="Palatino Linotype" w:hAnsi="Palatino Linotype" w:cs="Palatino Linotype"/>
          <w:sz w:val="24"/>
          <w:szCs w:val="24"/>
        </w:rPr>
        <w:t>, visible en el Seminario Judicial de la Federación y su gaceta, con el registro digital 2002350.</w:t>
      </w:r>
    </w:p>
    <w:p w14:paraId="49A442BD"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3DA13111" w14:textId="77777777" w:rsidR="005E1F22" w:rsidRPr="00BC2B1F" w:rsidRDefault="004B52D7">
      <w:pPr>
        <w:spacing w:before="160" w:after="0" w:line="360" w:lineRule="auto"/>
        <w:ind w:right="49"/>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BC2B1F">
        <w:rPr>
          <w:rFonts w:ascii="Palatino Linotype" w:eastAsia="Palatino Linotype" w:hAnsi="Palatino Linotype" w:cs="Palatino Linotype"/>
          <w:b/>
          <w:sz w:val="24"/>
          <w:szCs w:val="24"/>
        </w:rPr>
        <w:br/>
      </w:r>
    </w:p>
    <w:p w14:paraId="6BE41BEF" w14:textId="77777777" w:rsidR="005E1F22" w:rsidRPr="00BC2B1F" w:rsidRDefault="004B52D7">
      <w:pPr>
        <w:pBdr>
          <w:top w:val="nil"/>
          <w:left w:val="nil"/>
          <w:bottom w:val="nil"/>
          <w:right w:val="nil"/>
          <w:between w:val="nil"/>
        </w:pBdr>
        <w:spacing w:before="120" w:after="0" w:line="360" w:lineRule="auto"/>
        <w:ind w:right="-234" w:hanging="22"/>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 xml:space="preserve">8. ALCANCE AL INFORME JUSTIFICADO  </w:t>
      </w:r>
      <w:r w:rsidRPr="00BC2B1F">
        <w:rPr>
          <w:rFonts w:ascii="Palatino Linotype" w:eastAsia="Palatino Linotype" w:hAnsi="Palatino Linotype" w:cs="Palatino Linotype"/>
          <w:sz w:val="24"/>
          <w:szCs w:val="24"/>
        </w:rPr>
        <w:t xml:space="preserve">El trece de octubre de dos mil veintidós, el sujeto obligado remitió mediante alcance al informe justificado, el acta de la vigésima segunda sesión extraordinaria 2022 del Comité de Transparencia de la Junta Local de Conciliación y Arbitraje del Valle de Toluca, misma que refiere en respuesta e informe justificado, en donde se analiza el recurso de revisión en turno por lo que mediante unanimidad de los integrantes del Comité de Transparencia se aprueba el acuerdo de incompetencia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en otorgar respuesta a la solicitud de información, se adjunta la primera página a manera de ejemplo:</w:t>
      </w:r>
    </w:p>
    <w:p w14:paraId="291099F6" w14:textId="77777777" w:rsidR="005E1F22" w:rsidRPr="00BC2B1F" w:rsidRDefault="005E1F22">
      <w:pPr>
        <w:pBdr>
          <w:top w:val="nil"/>
          <w:left w:val="nil"/>
          <w:bottom w:val="nil"/>
          <w:right w:val="nil"/>
          <w:between w:val="nil"/>
        </w:pBdr>
        <w:spacing w:before="120" w:after="0" w:line="360" w:lineRule="auto"/>
        <w:ind w:right="-234" w:hanging="22"/>
        <w:jc w:val="both"/>
      </w:pPr>
    </w:p>
    <w:p w14:paraId="7CEF28D6" w14:textId="77777777" w:rsidR="005E1F22" w:rsidRPr="00BC2B1F" w:rsidRDefault="004B52D7">
      <w:pPr>
        <w:pBdr>
          <w:top w:val="nil"/>
          <w:left w:val="nil"/>
          <w:bottom w:val="nil"/>
          <w:right w:val="nil"/>
          <w:between w:val="nil"/>
        </w:pBdr>
        <w:spacing w:before="120" w:after="0" w:line="360" w:lineRule="auto"/>
        <w:ind w:right="-234" w:hanging="22"/>
        <w:rPr>
          <w:rFonts w:ascii="Palatino Linotype" w:eastAsia="Palatino Linotype" w:hAnsi="Palatino Linotype" w:cs="Palatino Linotype"/>
          <w:sz w:val="24"/>
          <w:szCs w:val="24"/>
        </w:rPr>
      </w:pPr>
      <w:r w:rsidRPr="00BC2B1F">
        <w:rPr>
          <w:noProof/>
        </w:rPr>
        <w:lastRenderedPageBreak/>
        <w:drawing>
          <wp:inline distT="0" distB="0" distL="0" distR="0" wp14:anchorId="65B58505" wp14:editId="7FBCFD3C">
            <wp:extent cx="5671762" cy="7350077"/>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34653" t="16898" r="33129" b="8870"/>
                    <a:stretch>
                      <a:fillRect/>
                    </a:stretch>
                  </pic:blipFill>
                  <pic:spPr>
                    <a:xfrm>
                      <a:off x="0" y="0"/>
                      <a:ext cx="5671762" cy="7350077"/>
                    </a:xfrm>
                    <a:prstGeom prst="rect">
                      <a:avLst/>
                    </a:prstGeom>
                    <a:ln/>
                  </pic:spPr>
                </pic:pic>
              </a:graphicData>
            </a:graphic>
          </wp:inline>
        </w:drawing>
      </w:r>
    </w:p>
    <w:p w14:paraId="7DFE9BF7" w14:textId="77777777" w:rsidR="005E1F22" w:rsidRPr="00BC2B1F" w:rsidRDefault="005E1F22">
      <w:pPr>
        <w:spacing w:after="0" w:line="360" w:lineRule="auto"/>
        <w:jc w:val="both"/>
        <w:rPr>
          <w:rFonts w:ascii="Palatino Linotype" w:eastAsia="Palatino Linotype" w:hAnsi="Palatino Linotype" w:cs="Palatino Linotype"/>
          <w:b/>
          <w:sz w:val="24"/>
          <w:szCs w:val="24"/>
        </w:rPr>
      </w:pPr>
    </w:p>
    <w:p w14:paraId="2BB2473F"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 xml:space="preserve">9. CIERRE DE INSTRUCCIÓN. </w:t>
      </w:r>
      <w:r w:rsidRPr="00BC2B1F">
        <w:rPr>
          <w:rFonts w:ascii="Palatino Linotype" w:eastAsia="Palatino Linotype" w:hAnsi="Palatino Linotype" w:cs="Palatino Linotype"/>
          <w:sz w:val="24"/>
          <w:szCs w:val="24"/>
        </w:rPr>
        <w:t>El veintiuno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16400BE"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247D7675"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C361CAC" w14:textId="77777777" w:rsidR="005E1F22" w:rsidRPr="00BC2B1F" w:rsidRDefault="005E1F22"/>
    <w:p w14:paraId="42F6FF33" w14:textId="77777777" w:rsidR="005E1F22" w:rsidRPr="00BC2B1F" w:rsidRDefault="004B52D7">
      <w:pPr>
        <w:widowControl w:val="0"/>
        <w:spacing w:after="0" w:line="360" w:lineRule="auto"/>
        <w:jc w:val="center"/>
        <w:rPr>
          <w:rFonts w:ascii="Palatino Linotype" w:eastAsia="Palatino Linotype" w:hAnsi="Palatino Linotype" w:cs="Palatino Linotype"/>
          <w:b/>
          <w:sz w:val="24"/>
          <w:szCs w:val="24"/>
        </w:rPr>
      </w:pPr>
      <w:r w:rsidRPr="00BC2B1F">
        <w:rPr>
          <w:rFonts w:ascii="Palatino Linotype" w:eastAsia="Palatino Linotype" w:hAnsi="Palatino Linotype" w:cs="Palatino Linotype"/>
          <w:b/>
          <w:sz w:val="24"/>
          <w:szCs w:val="24"/>
        </w:rPr>
        <w:t>C O N S I D E R A N D O S</w:t>
      </w:r>
    </w:p>
    <w:p w14:paraId="18A9262A" w14:textId="77777777" w:rsidR="005E1F22" w:rsidRPr="00BC2B1F" w:rsidRDefault="005E1F22">
      <w:pPr>
        <w:widowControl w:val="0"/>
        <w:spacing w:after="0" w:line="360" w:lineRule="auto"/>
        <w:jc w:val="center"/>
        <w:rPr>
          <w:rFonts w:ascii="Palatino Linotype" w:eastAsia="Palatino Linotype" w:hAnsi="Palatino Linotype" w:cs="Palatino Linotype"/>
          <w:b/>
          <w:sz w:val="24"/>
          <w:szCs w:val="24"/>
        </w:rPr>
      </w:pPr>
    </w:p>
    <w:p w14:paraId="2C29DC8C"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PRIMERO. COMPETENCIA.</w:t>
      </w:r>
      <w:r w:rsidRPr="00BC2B1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BC2B1F">
        <w:rPr>
          <w:rFonts w:ascii="Palatino Linotype" w:eastAsia="Palatino Linotype" w:hAnsi="Palatino Linotype" w:cs="Palatino Linotype"/>
          <w:sz w:val="24"/>
          <w:szCs w:val="24"/>
        </w:rPr>
        <w:lastRenderedPageBreak/>
        <w:t>y XXIV y 11 del Reglamento Interior del Instituto de Transparencia, Acceso a la Información Pública y Protección de Datos Personales del Estado de México y Municipios.</w:t>
      </w:r>
    </w:p>
    <w:p w14:paraId="5CFE9EAE" w14:textId="77777777" w:rsidR="005E1F22" w:rsidRPr="00BC2B1F" w:rsidRDefault="005E1F22"/>
    <w:p w14:paraId="2F1A5F6A"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SEGUNDO. OPORTUNIDAD Y PROCEDIBILIDAD DEL RECURSO DE REVISIÓN</w:t>
      </w:r>
      <w:r w:rsidRPr="00BC2B1F">
        <w:rPr>
          <w:rFonts w:ascii="Palatino Linotype" w:eastAsia="Palatino Linotype" w:hAnsi="Palatino Linotype" w:cs="Palatino Linotype"/>
          <w:sz w:val="24"/>
          <w:szCs w:val="24"/>
        </w:rPr>
        <w:t>.</w:t>
      </w:r>
      <w:r w:rsidRPr="00BC2B1F">
        <w:rPr>
          <w:rFonts w:ascii="Palatino Linotype" w:eastAsia="Palatino Linotype" w:hAnsi="Palatino Linotype" w:cs="Palatino Linotype"/>
        </w:rPr>
        <w:t xml:space="preserve"> </w:t>
      </w:r>
      <w:r w:rsidRPr="00BC2B1F">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1CB360F"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BE59B0B" w14:textId="77777777" w:rsidR="005E1F22" w:rsidRPr="00BC2B1F" w:rsidRDefault="004B52D7">
      <w:pPr>
        <w:spacing w:after="24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BC2B1F">
        <w:rPr>
          <w:rFonts w:ascii="Palatino Linotype" w:eastAsia="Palatino Linotype" w:hAnsi="Palatino Linotype" w:cs="Palatino Linotype"/>
          <w:b/>
          <w:sz w:val="24"/>
          <w:szCs w:val="24"/>
        </w:rPr>
        <w:t xml:space="preserve">SUJETO OBLIGADO </w:t>
      </w:r>
      <w:r w:rsidRPr="00BC2B1F">
        <w:rPr>
          <w:rFonts w:ascii="Palatino Linotype" w:eastAsia="Palatino Linotype" w:hAnsi="Palatino Linotype" w:cs="Palatino Linotype"/>
          <w:sz w:val="24"/>
          <w:szCs w:val="24"/>
        </w:rPr>
        <w:t xml:space="preserve">remitió la respuesta a la solicitud de información el día </w:t>
      </w:r>
      <w:r w:rsidRPr="00BC2B1F">
        <w:rPr>
          <w:rFonts w:ascii="Palatino Linotype" w:eastAsia="Palatino Linotype" w:hAnsi="Palatino Linotype" w:cs="Palatino Linotype"/>
          <w:b/>
          <w:sz w:val="24"/>
          <w:szCs w:val="24"/>
        </w:rPr>
        <w:t xml:space="preserve">veintiséis de mayo de dos mil veintidós, </w:t>
      </w:r>
      <w:r w:rsidRPr="00BC2B1F">
        <w:rPr>
          <w:rFonts w:ascii="Palatino Linotype" w:eastAsia="Palatino Linotype" w:hAnsi="Palatino Linotype" w:cs="Palatino Linotype"/>
          <w:sz w:val="24"/>
          <w:szCs w:val="24"/>
        </w:rPr>
        <w:t xml:space="preserve">mientras que el recurso de revisión interpuesto por la parte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se tuvo por presentado el día </w:t>
      </w:r>
      <w:r w:rsidRPr="00BC2B1F">
        <w:rPr>
          <w:rFonts w:ascii="Palatino Linotype" w:eastAsia="Palatino Linotype" w:hAnsi="Palatino Linotype" w:cs="Palatino Linotype"/>
          <w:b/>
          <w:sz w:val="24"/>
          <w:szCs w:val="24"/>
        </w:rPr>
        <w:t>treinta de mayo de dos mil veintidós</w:t>
      </w:r>
      <w:r w:rsidRPr="00BC2B1F">
        <w:rPr>
          <w:rFonts w:ascii="Palatino Linotype" w:eastAsia="Palatino Linotype" w:hAnsi="Palatino Linotype" w:cs="Palatino Linotype"/>
          <w:sz w:val="24"/>
          <w:szCs w:val="24"/>
        </w:rPr>
        <w:t>, esto es, al  segundo día hábil en que tuvo conocimiento de la respuesta impugnada.</w:t>
      </w:r>
    </w:p>
    <w:p w14:paraId="0279B451" w14:textId="77777777" w:rsidR="005E1F22" w:rsidRPr="00BC2B1F" w:rsidRDefault="004B52D7">
      <w:pPr>
        <w:spacing w:before="240" w:after="24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este sentido, al considerar la fecha en que se formuló la solicitud y la fecha en que respondió a esta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12072733" w14:textId="77777777" w:rsidR="005E1F22" w:rsidRPr="00BC2B1F" w:rsidRDefault="004B52D7">
      <w:pPr>
        <w:spacing w:before="240" w:after="24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 xml:space="preserve">Por cuanto hace a la procedibilidad del recurso de revisión, es de suma importancia señalar que la parte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no señaló nombre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77839B" w14:textId="77777777" w:rsidR="005E1F22" w:rsidRPr="00BC2B1F" w:rsidRDefault="004B52D7">
      <w:pPr>
        <w:spacing w:before="240" w:after="240" w:line="276" w:lineRule="auto"/>
        <w:ind w:left="851" w:right="902"/>
        <w:jc w:val="both"/>
        <w:rPr>
          <w:rFonts w:ascii="Palatino Linotype" w:eastAsia="Palatino Linotype" w:hAnsi="Palatino Linotype" w:cs="Palatino Linotype"/>
          <w:i/>
        </w:rPr>
      </w:pPr>
      <w:r w:rsidRPr="00BC2B1F">
        <w:rPr>
          <w:rFonts w:ascii="Palatino Linotype" w:eastAsia="Palatino Linotype" w:hAnsi="Palatino Linotype" w:cs="Palatino Linotype"/>
          <w:i/>
        </w:rPr>
        <w:t>"Las solicitudes anónimas, con nombre incompleto</w:t>
      </w:r>
      <w:r w:rsidRPr="00BC2B1F">
        <w:rPr>
          <w:rFonts w:ascii="Palatino Linotype" w:eastAsia="Palatino Linotype" w:hAnsi="Palatino Linotype" w:cs="Palatino Linotype"/>
          <w:b/>
          <w:i/>
        </w:rPr>
        <w:t xml:space="preserve"> o seudónimo</w:t>
      </w:r>
      <w:r w:rsidRPr="00BC2B1F">
        <w:rPr>
          <w:rFonts w:ascii="Palatino Linotype" w:eastAsia="Palatino Linotype" w:hAnsi="Palatino Linotype" w:cs="Palatino Linotype"/>
          <w:i/>
        </w:rPr>
        <w:t xml:space="preserve"> </w:t>
      </w:r>
      <w:r w:rsidRPr="00BC2B1F">
        <w:rPr>
          <w:rFonts w:ascii="Palatino Linotype" w:eastAsia="Palatino Linotype" w:hAnsi="Palatino Linotype" w:cs="Palatino Linotype"/>
          <w:b/>
          <w:i/>
        </w:rPr>
        <w:t>serán procedentes para su trámite por parte del sujeto obligado ante quien se presente</w:t>
      </w:r>
      <w:r w:rsidRPr="00BC2B1F">
        <w:rPr>
          <w:rFonts w:ascii="Palatino Linotype" w:eastAsia="Palatino Linotype" w:hAnsi="Palatino Linotype" w:cs="Palatino Linotype"/>
          <w:i/>
        </w:rPr>
        <w:t>. No podrá requerirse información adicional con motivo del nombre proporcionado por el solicitante."</w:t>
      </w:r>
    </w:p>
    <w:p w14:paraId="7F00A500" w14:textId="77777777" w:rsidR="005E1F22" w:rsidRPr="00BC2B1F" w:rsidRDefault="004B52D7">
      <w:pPr>
        <w:spacing w:after="0" w:line="360" w:lineRule="auto"/>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C2B1F">
        <w:rPr>
          <w:rFonts w:ascii="Palatino Linotype" w:eastAsia="Palatino Linotype" w:hAnsi="Palatino Linotype" w:cs="Palatino Linotype"/>
          <w:b/>
          <w:sz w:val="24"/>
          <w:szCs w:val="24"/>
        </w:rPr>
        <w:t>EL SAIMEX.</w:t>
      </w:r>
    </w:p>
    <w:p w14:paraId="56C6ED15" w14:textId="77777777" w:rsidR="005E1F22" w:rsidRPr="00BC2B1F" w:rsidRDefault="005E1F22">
      <w:pPr>
        <w:spacing w:after="0" w:line="360" w:lineRule="auto"/>
        <w:jc w:val="both"/>
        <w:rPr>
          <w:rFonts w:ascii="Palatino Linotype" w:eastAsia="Palatino Linotype" w:hAnsi="Palatino Linotype" w:cs="Palatino Linotype"/>
          <w:b/>
          <w:sz w:val="24"/>
          <w:szCs w:val="24"/>
        </w:rPr>
      </w:pPr>
    </w:p>
    <w:p w14:paraId="288210AD" w14:textId="77777777" w:rsidR="005E1F22" w:rsidRPr="00BC2B1F" w:rsidRDefault="004B52D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Finalmente, resulta procedente la interposición del recurso, según lo aducido por el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en sus razones o motivos de inconformidad, de acuerdo a los artículos 179 fracciones I y IV de la Ley de Transparencia y Acceso a la Información Pública del Estado de México y Municipios; que a la letra dice:</w:t>
      </w:r>
    </w:p>
    <w:p w14:paraId="20C692B8" w14:textId="77777777" w:rsidR="005E1F22" w:rsidRPr="00BC2B1F" w:rsidRDefault="005E1F22">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7CF75676" w14:textId="77777777" w:rsidR="005E1F22" w:rsidRPr="00BC2B1F" w:rsidRDefault="004B52D7">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BC2B1F">
        <w:rPr>
          <w:rFonts w:ascii="Palatino Linotype" w:eastAsia="Palatino Linotype" w:hAnsi="Palatino Linotype" w:cs="Palatino Linotype"/>
          <w:b/>
          <w:i/>
        </w:rPr>
        <w:lastRenderedPageBreak/>
        <w:t>“Artículo 179</w:t>
      </w:r>
      <w:r w:rsidRPr="00BC2B1F">
        <w:rPr>
          <w:rFonts w:ascii="Palatino Linotype" w:eastAsia="Palatino Linotype" w:hAnsi="Palatino Linotype" w:cs="Palatino Linotype"/>
          <w:i/>
        </w:rPr>
        <w:t xml:space="preserve">. </w:t>
      </w:r>
      <w:r w:rsidRPr="00BC2B1F">
        <w:rPr>
          <w:rFonts w:ascii="Palatino Linotype" w:eastAsia="Palatino Linotype" w:hAnsi="Palatino Linotype" w:cs="Palatino Linotype"/>
          <w:b/>
          <w:i/>
        </w:rPr>
        <w:t>El recurso de revisión</w:t>
      </w:r>
      <w:r w:rsidRPr="00BC2B1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C2B1F">
        <w:rPr>
          <w:rFonts w:ascii="Palatino Linotype" w:eastAsia="Palatino Linotype" w:hAnsi="Palatino Linotype" w:cs="Palatino Linotype"/>
          <w:b/>
          <w:i/>
        </w:rPr>
        <w:t>, y procederá en contra de las siguientes causas</w:t>
      </w:r>
      <w:r w:rsidRPr="00BC2B1F">
        <w:rPr>
          <w:rFonts w:ascii="Palatino Linotype" w:eastAsia="Palatino Linotype" w:hAnsi="Palatino Linotype" w:cs="Palatino Linotype"/>
          <w:i/>
        </w:rPr>
        <w:t>:</w:t>
      </w:r>
    </w:p>
    <w:p w14:paraId="37BCE0DB" w14:textId="77777777" w:rsidR="005E1F22" w:rsidRPr="00BC2B1F" w:rsidRDefault="004B52D7">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BC2B1F">
        <w:rPr>
          <w:rFonts w:ascii="Palatino Linotype" w:eastAsia="Palatino Linotype" w:hAnsi="Palatino Linotype" w:cs="Palatino Linotype"/>
          <w:i/>
        </w:rPr>
        <w:t>…</w:t>
      </w:r>
    </w:p>
    <w:p w14:paraId="640B124A" w14:textId="77777777" w:rsidR="005E1F22" w:rsidRPr="00BC2B1F" w:rsidRDefault="004B52D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BC2B1F">
        <w:rPr>
          <w:rFonts w:ascii="Palatino Linotype" w:eastAsia="Palatino Linotype" w:hAnsi="Palatino Linotype" w:cs="Palatino Linotype"/>
          <w:i/>
        </w:rPr>
        <w:t>I. La negativa a la información solicitada;</w:t>
      </w:r>
    </w:p>
    <w:p w14:paraId="17C98DD5" w14:textId="77777777" w:rsidR="005E1F22" w:rsidRPr="00BC2B1F" w:rsidRDefault="004B52D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BC2B1F">
        <w:rPr>
          <w:rFonts w:ascii="Palatino Linotype" w:eastAsia="Palatino Linotype" w:hAnsi="Palatino Linotype" w:cs="Palatino Linotype"/>
          <w:i/>
        </w:rPr>
        <w:t>(…)</w:t>
      </w:r>
    </w:p>
    <w:p w14:paraId="2A52DBE7" w14:textId="77777777" w:rsidR="005E1F22" w:rsidRPr="00BC2B1F" w:rsidRDefault="004B52D7">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sidRPr="00BC2B1F">
        <w:rPr>
          <w:rFonts w:ascii="Palatino Linotype" w:eastAsia="Palatino Linotype" w:hAnsi="Palatino Linotype" w:cs="Palatino Linotype"/>
          <w:i/>
        </w:rPr>
        <w:t>IV. La declaración de incompetencia por el sujeto obligado;” (Sic)</w:t>
      </w:r>
    </w:p>
    <w:p w14:paraId="47CAF73F" w14:textId="77777777" w:rsidR="005E1F22" w:rsidRPr="00BC2B1F" w:rsidRDefault="005E1F22"/>
    <w:p w14:paraId="507C0CEB" w14:textId="77777777" w:rsidR="005E1F22" w:rsidRPr="00BC2B1F" w:rsidRDefault="004B52D7">
      <w:pPr>
        <w:spacing w:before="240" w:after="24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TERCERO. ANÁLISIS DE LAS CAUSALES DE SOBRESEIMIENTO DEL RECURSO DE REVISIÓN.</w:t>
      </w:r>
      <w:r w:rsidRPr="00BC2B1F">
        <w:rPr>
          <w:rFonts w:ascii="Palatino Linotype" w:eastAsia="Palatino Linotype" w:hAnsi="Palatino Linotype" w:cs="Palatino Linotype"/>
          <w:sz w:val="24"/>
          <w:szCs w:val="24"/>
        </w:rPr>
        <w:t xml:space="preserve"> En primera instancia, debe apuntarse que del análisis al recurso de revisión que ahora se resuelve, se tiene que se actualiza la causal de sobreseimiento del recurso de revisión establecido en la fracción III del artículo 192</w:t>
      </w:r>
      <w:r w:rsidRPr="00BC2B1F">
        <w:rPr>
          <w:rFonts w:ascii="Palatino Linotype" w:eastAsia="Palatino Linotype" w:hAnsi="Palatino Linotype" w:cs="Palatino Linotype"/>
          <w:sz w:val="24"/>
          <w:szCs w:val="24"/>
          <w:vertAlign w:val="superscript"/>
        </w:rPr>
        <w:footnoteReference w:id="1"/>
      </w:r>
      <w:r w:rsidRPr="00BC2B1F">
        <w:rPr>
          <w:rFonts w:ascii="Palatino Linotype" w:eastAsia="Palatino Linotype" w:hAnsi="Palatino Linotype" w:cs="Palatino Linotype"/>
          <w:sz w:val="24"/>
          <w:szCs w:val="24"/>
        </w:rPr>
        <w:t xml:space="preserve"> en relación con el diverso 186 fracción I</w:t>
      </w:r>
      <w:r w:rsidRPr="00BC2B1F">
        <w:rPr>
          <w:rFonts w:ascii="Palatino Linotype" w:eastAsia="Palatino Linotype" w:hAnsi="Palatino Linotype" w:cs="Palatino Linotype"/>
          <w:sz w:val="24"/>
          <w:szCs w:val="24"/>
          <w:vertAlign w:val="superscript"/>
        </w:rPr>
        <w:footnoteReference w:id="2"/>
      </w:r>
      <w:r w:rsidRPr="00BC2B1F">
        <w:rPr>
          <w:rFonts w:ascii="Palatino Linotype" w:eastAsia="Palatino Linotype" w:hAnsi="Palatino Linotype" w:cs="Palatino Linotype"/>
          <w:sz w:val="24"/>
          <w:szCs w:val="24"/>
        </w:rPr>
        <w:t xml:space="preserve">, ambos de la Ley de Transparencia y Acceso a la Información Pública del Estado de México y Municipios, derivado del contenido rendido en alcance en informe justificado por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w:t>
      </w:r>
    </w:p>
    <w:p w14:paraId="420875D4" w14:textId="77777777" w:rsidR="005E1F22" w:rsidRPr="00BC2B1F" w:rsidRDefault="004B52D7">
      <w:pPr>
        <w:tabs>
          <w:tab w:val="left" w:pos="7513"/>
        </w:tabs>
        <w:spacing w:after="0" w:line="360" w:lineRule="auto"/>
        <w:ind w:right="51"/>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Para una mejor comprensión del asunto, de las constancias que obran en el expediente electrónico, valoradas anteriormente, destacan por su importancia los antecedentes siguientes:</w:t>
      </w:r>
    </w:p>
    <w:p w14:paraId="599D136A" w14:textId="77777777" w:rsidR="005E1F22" w:rsidRPr="00BC2B1F" w:rsidRDefault="005E1F22">
      <w:pPr>
        <w:tabs>
          <w:tab w:val="left" w:pos="7513"/>
        </w:tabs>
        <w:spacing w:after="0" w:line="360" w:lineRule="auto"/>
        <w:ind w:right="51"/>
        <w:jc w:val="both"/>
        <w:rPr>
          <w:rFonts w:ascii="Palatino Linotype" w:eastAsia="Palatino Linotype" w:hAnsi="Palatino Linotype" w:cs="Palatino Linotype"/>
          <w:sz w:val="24"/>
          <w:szCs w:val="24"/>
        </w:rPr>
      </w:pPr>
    </w:p>
    <w:p w14:paraId="79FEBBB2" w14:textId="77777777" w:rsidR="005E1F22" w:rsidRPr="00BC2B1F" w:rsidRDefault="004B52D7">
      <w:pPr>
        <w:tabs>
          <w:tab w:val="left" w:pos="7513"/>
        </w:tabs>
        <w:spacing w:after="240" w:line="360" w:lineRule="auto"/>
        <w:ind w:right="51"/>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la solicitud de información materia del presente recurso, la parte solicitante requirió al </w:t>
      </w:r>
      <w:r w:rsidRPr="00BC2B1F">
        <w:rPr>
          <w:rFonts w:ascii="Palatino Linotype" w:eastAsia="Palatino Linotype" w:hAnsi="Palatino Linotype" w:cs="Palatino Linotype"/>
          <w:b/>
          <w:sz w:val="24"/>
          <w:szCs w:val="24"/>
        </w:rPr>
        <w:t xml:space="preserve">SUJETO OBLIGADO de </w:t>
      </w:r>
      <w:r w:rsidRPr="00BC2B1F">
        <w:rPr>
          <w:rFonts w:ascii="Palatino Linotype" w:eastAsia="Palatino Linotype" w:hAnsi="Palatino Linotype" w:cs="Palatino Linotype"/>
          <w:sz w:val="24"/>
          <w:szCs w:val="24"/>
        </w:rPr>
        <w:t xml:space="preserve">las empresas referidas en la solicitud: </w:t>
      </w:r>
    </w:p>
    <w:p w14:paraId="3C7394F9" w14:textId="77777777" w:rsidR="005E1F22" w:rsidRPr="00BC2B1F" w:rsidRDefault="004B52D7">
      <w:pPr>
        <w:numPr>
          <w:ilvl w:val="0"/>
          <w:numId w:val="3"/>
        </w:numPr>
        <w:pBdr>
          <w:top w:val="nil"/>
          <w:left w:val="nil"/>
          <w:bottom w:val="nil"/>
          <w:right w:val="nil"/>
          <w:between w:val="nil"/>
        </w:pBdr>
        <w:tabs>
          <w:tab w:val="left" w:pos="7513"/>
        </w:tabs>
        <w:spacing w:before="240" w:after="240" w:line="360" w:lineRule="auto"/>
        <w:ind w:right="51"/>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El nombre del sindicato, el nombre del secretario general del mismo, el número de expediente del contrato colectivo de trabajo, fecha inicial de la firma, última fecha de revisión, y la dirección donde se encuentra registrado el Contrato Colectivo de Trabajo. </w:t>
      </w:r>
    </w:p>
    <w:p w14:paraId="3926F14B"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respuesta, menciona que el dieciocho de noviembre del año dos mil veinte se publicó en el Diario Oficial de la Federación la declaratoria de inicio de funciones de la primera etapa de la implementación de la reforma en Materia de Justicia Laboral, por lo que a partir de esa fecha inicio labores el Centro Federal de Conciliación y Registro </w:t>
      </w:r>
      <w:proofErr w:type="gramStart"/>
      <w:r w:rsidRPr="00BC2B1F">
        <w:rPr>
          <w:rFonts w:ascii="Palatino Linotype" w:eastAsia="Palatino Linotype" w:hAnsi="Palatino Linotype" w:cs="Palatino Linotype"/>
          <w:sz w:val="24"/>
          <w:szCs w:val="24"/>
        </w:rPr>
        <w:t>Federal  al</w:t>
      </w:r>
      <w:proofErr w:type="gramEnd"/>
      <w:r w:rsidRPr="00BC2B1F">
        <w:rPr>
          <w:rFonts w:ascii="Palatino Linotype" w:eastAsia="Palatino Linotype" w:hAnsi="Palatino Linotype" w:cs="Palatino Linotype"/>
          <w:sz w:val="24"/>
          <w:szCs w:val="24"/>
        </w:rPr>
        <w:t xml:space="preserve"> cual le fueron remitidos los archivos de todos los contratos colectivos de trabajo que se encontraban en posesión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w:t>
      </w:r>
    </w:p>
    <w:p w14:paraId="2603A61C"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75084E2B"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Conocida la respuesta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el </w:t>
      </w:r>
      <w:r w:rsidRPr="00BC2B1F">
        <w:rPr>
          <w:rFonts w:ascii="Palatino Linotype" w:eastAsia="Palatino Linotype" w:hAnsi="Palatino Linotype" w:cs="Palatino Linotype"/>
          <w:b/>
          <w:sz w:val="24"/>
          <w:szCs w:val="24"/>
        </w:rPr>
        <w:t xml:space="preserve">RECURRENTE </w:t>
      </w:r>
      <w:r w:rsidRPr="00BC2B1F">
        <w:rPr>
          <w:rFonts w:ascii="Palatino Linotype" w:eastAsia="Palatino Linotype" w:hAnsi="Palatino Linotype" w:cs="Palatino Linotype"/>
          <w:sz w:val="24"/>
          <w:szCs w:val="24"/>
        </w:rPr>
        <w:t xml:space="preserve">presentó el recurso de revisión que nos ocupa, mediante el cual señaló como motivo de inconformidad que la ley estatal establece que las juntas mantendrán sus funciones hasta que comience a trabajar el centro federal, pero este ya entró en funciones, sin embargo, de acuerdo con la Ley de Transparencia y Acceso a la Información Pública </w:t>
      </w:r>
      <w:r w:rsidRPr="00BC2B1F">
        <w:rPr>
          <w:rFonts w:ascii="Palatino Linotype" w:eastAsia="Palatino Linotype" w:hAnsi="Palatino Linotype" w:cs="Palatino Linotype"/>
          <w:sz w:val="24"/>
          <w:szCs w:val="24"/>
        </w:rPr>
        <w:lastRenderedPageBreak/>
        <w:t>del Estado de México y sus Municipios en su artículo 99, las autoridades administrativas y jurisdiccionales en materia laboral conservan la obligación de mantener a disposición del público la información sobre los sindicatos.</w:t>
      </w:r>
    </w:p>
    <w:p w14:paraId="5AABCB32"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B9F1582"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Cabe precisar que una vez notificado el recurso de revisión al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remitió su informe justificado a través del cual ratifica en términos generales su respuesta inicial, por lo que respecta a la parte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fue omisa de emitir manifestación alguna, aunando a lo anterior, el </w:t>
      </w:r>
      <w:r w:rsidRPr="00BC2B1F">
        <w:rPr>
          <w:rFonts w:ascii="Palatino Linotype" w:eastAsia="Palatino Linotype" w:hAnsi="Palatino Linotype" w:cs="Palatino Linotype"/>
          <w:b/>
          <w:sz w:val="24"/>
          <w:szCs w:val="24"/>
        </w:rPr>
        <w:t xml:space="preserve">SUJETO OBLIGADO </w:t>
      </w:r>
      <w:r w:rsidRPr="00BC2B1F">
        <w:rPr>
          <w:rFonts w:ascii="Palatino Linotype" w:eastAsia="Palatino Linotype" w:hAnsi="Palatino Linotype" w:cs="Palatino Linotype"/>
          <w:sz w:val="24"/>
          <w:szCs w:val="24"/>
        </w:rPr>
        <w:t xml:space="preserve">a efecto de otorgar un correcto acceso a la información pública del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mediante alcance al informe justificado remite el Acta del Comité de Transparencia mediante el cual declara su incompetencia para otorgar respuesta a la solicitud planteada por la parte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w:t>
      </w:r>
    </w:p>
    <w:p w14:paraId="7108D59E" w14:textId="77777777" w:rsidR="005E1F22" w:rsidRPr="00BC2B1F" w:rsidRDefault="005E1F22">
      <w:pPr>
        <w:spacing w:after="0" w:line="360" w:lineRule="auto"/>
        <w:jc w:val="both"/>
      </w:pPr>
    </w:p>
    <w:p w14:paraId="7AF813D8"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ese sentido, tomando en consideración la respuesta emitida, el informe justificado y el alcance al informe justificado por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este Instituto localizó el acuerdo por el que se hace del conocimiento el inicio de las funciones registrales a nivel nacional del Centro Federal de Conciliación y Registro Laboral: </w:t>
      </w:r>
    </w:p>
    <w:p w14:paraId="1A1E32A4" w14:textId="77777777" w:rsidR="005E1F22" w:rsidRPr="00BC2B1F" w:rsidRDefault="004B52D7">
      <w:pPr>
        <w:rPr>
          <w:rFonts w:ascii="Palatino Linotype" w:eastAsia="Palatino Linotype" w:hAnsi="Palatino Linotype" w:cs="Palatino Linotype"/>
          <w:sz w:val="24"/>
          <w:szCs w:val="24"/>
        </w:rPr>
      </w:pPr>
      <w:r w:rsidRPr="00BC2B1F">
        <w:rPr>
          <w:noProof/>
        </w:rPr>
        <w:lastRenderedPageBreak/>
        <w:drawing>
          <wp:inline distT="0" distB="0" distL="0" distR="0" wp14:anchorId="104BE0A2" wp14:editId="49F567D0">
            <wp:extent cx="5591175" cy="5263764"/>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4780" t="13879" r="37542" b="23054"/>
                    <a:stretch>
                      <a:fillRect/>
                    </a:stretch>
                  </pic:blipFill>
                  <pic:spPr>
                    <a:xfrm>
                      <a:off x="0" y="0"/>
                      <a:ext cx="5591175" cy="5263764"/>
                    </a:xfrm>
                    <a:prstGeom prst="rect">
                      <a:avLst/>
                    </a:prstGeom>
                    <a:ln/>
                  </pic:spPr>
                </pic:pic>
              </a:graphicData>
            </a:graphic>
          </wp:inline>
        </w:drawing>
      </w:r>
      <w:r w:rsidRPr="00BC2B1F">
        <w:rPr>
          <w:noProof/>
        </w:rPr>
        <mc:AlternateContent>
          <mc:Choice Requires="wpg">
            <w:drawing>
              <wp:anchor distT="0" distB="0" distL="114300" distR="114300" simplePos="0" relativeHeight="251658240" behindDoc="0" locked="0" layoutInCell="1" hidden="0" allowOverlap="1" wp14:anchorId="669C82E8" wp14:editId="1D56F126">
                <wp:simplePos x="0" y="0"/>
                <wp:positionH relativeFrom="column">
                  <wp:posOffset>63501</wp:posOffset>
                </wp:positionH>
                <wp:positionV relativeFrom="paragraph">
                  <wp:posOffset>2451100</wp:posOffset>
                </wp:positionV>
                <wp:extent cx="5505450" cy="1171575"/>
                <wp:effectExtent l="0" t="0" r="0" b="0"/>
                <wp:wrapNone/>
                <wp:docPr id="16" name="Rectángulo 16"/>
                <wp:cNvGraphicFramePr/>
                <a:graphic xmlns:a="http://schemas.openxmlformats.org/drawingml/2006/main">
                  <a:graphicData uri="http://schemas.microsoft.com/office/word/2010/wordprocessingShape">
                    <wps:wsp>
                      <wps:cNvSpPr/>
                      <wps:spPr>
                        <a:xfrm>
                          <a:off x="2612325" y="3213263"/>
                          <a:ext cx="5467350" cy="1133475"/>
                        </a:xfrm>
                        <a:prstGeom prst="rect">
                          <a:avLst/>
                        </a:prstGeom>
                        <a:noFill/>
                        <a:ln w="38100" cap="flat" cmpd="sng">
                          <a:solidFill>
                            <a:srgbClr val="FF0000"/>
                          </a:solidFill>
                          <a:prstDash val="solid"/>
                          <a:miter lim="800000"/>
                          <a:headEnd type="none" w="sm" len="sm"/>
                          <a:tailEnd type="none" w="sm" len="sm"/>
                        </a:ln>
                      </wps:spPr>
                      <wps:txbx>
                        <w:txbxContent>
                          <w:p w14:paraId="241807DF" w14:textId="77777777" w:rsidR="005E1F22" w:rsidRDefault="005E1F22">
                            <w:pPr>
                              <w:spacing w:line="255"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2451100</wp:posOffset>
                </wp:positionV>
                <wp:extent cx="5505450" cy="1171575"/>
                <wp:effectExtent b="0" l="0" r="0" t="0"/>
                <wp:wrapNone/>
                <wp:docPr id="16"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5505450" cy="1171575"/>
                        </a:xfrm>
                        <a:prstGeom prst="rect"/>
                        <a:ln/>
                      </pic:spPr>
                    </pic:pic>
                  </a:graphicData>
                </a:graphic>
              </wp:anchor>
            </w:drawing>
          </mc:Fallback>
        </mc:AlternateContent>
      </w:r>
      <w:r w:rsidRPr="00BC2B1F">
        <w:rPr>
          <w:noProof/>
        </w:rPr>
        <mc:AlternateContent>
          <mc:Choice Requires="wpg">
            <w:drawing>
              <wp:anchor distT="0" distB="0" distL="114300" distR="114300" simplePos="0" relativeHeight="251659264" behindDoc="0" locked="0" layoutInCell="1" hidden="0" allowOverlap="1" wp14:anchorId="2B6E03BE" wp14:editId="369247B2">
                <wp:simplePos x="0" y="0"/>
                <wp:positionH relativeFrom="column">
                  <wp:posOffset>3886200</wp:posOffset>
                </wp:positionH>
                <wp:positionV relativeFrom="paragraph">
                  <wp:posOffset>1981200</wp:posOffset>
                </wp:positionV>
                <wp:extent cx="895350" cy="161925"/>
                <wp:effectExtent l="0" t="0" r="0" b="0"/>
                <wp:wrapNone/>
                <wp:docPr id="17" name="Rectángulo 17"/>
                <wp:cNvGraphicFramePr/>
                <a:graphic xmlns:a="http://schemas.openxmlformats.org/drawingml/2006/main">
                  <a:graphicData uri="http://schemas.microsoft.com/office/word/2010/wordprocessingShape">
                    <wps:wsp>
                      <wps:cNvSpPr/>
                      <wps:spPr>
                        <a:xfrm>
                          <a:off x="4917375" y="3718088"/>
                          <a:ext cx="857250" cy="123825"/>
                        </a:xfrm>
                        <a:prstGeom prst="rect">
                          <a:avLst/>
                        </a:prstGeom>
                        <a:noFill/>
                        <a:ln w="38100" cap="flat" cmpd="sng">
                          <a:solidFill>
                            <a:srgbClr val="FF0000"/>
                          </a:solidFill>
                          <a:prstDash val="solid"/>
                          <a:miter lim="800000"/>
                          <a:headEnd type="none" w="sm" len="sm"/>
                          <a:tailEnd type="none" w="sm" len="sm"/>
                        </a:ln>
                      </wps:spPr>
                      <wps:txbx>
                        <w:txbxContent>
                          <w:p w14:paraId="2296187A" w14:textId="77777777" w:rsidR="005E1F22" w:rsidRDefault="005E1F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3886200</wp:posOffset>
                </wp:positionH>
                <wp:positionV relativeFrom="paragraph">
                  <wp:posOffset>1981200</wp:posOffset>
                </wp:positionV>
                <wp:extent cx="895350" cy="161925"/>
                <wp:effectExtent b="0" l="0" r="0" t="0"/>
                <wp:wrapNone/>
                <wp:docPr id="17"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895350" cy="161925"/>
                        </a:xfrm>
                        <a:prstGeom prst="rect"/>
                        <a:ln/>
                      </pic:spPr>
                    </pic:pic>
                  </a:graphicData>
                </a:graphic>
              </wp:anchor>
            </w:drawing>
          </mc:Fallback>
        </mc:AlternateContent>
      </w:r>
    </w:p>
    <w:p w14:paraId="13898A15"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donde se advierte que el dieciocho de noviembre del año dos mil </w:t>
      </w:r>
      <w:proofErr w:type="gramStart"/>
      <w:r w:rsidRPr="00BC2B1F">
        <w:rPr>
          <w:rFonts w:ascii="Palatino Linotype" w:eastAsia="Palatino Linotype" w:hAnsi="Palatino Linotype" w:cs="Palatino Linotype"/>
          <w:sz w:val="24"/>
          <w:szCs w:val="24"/>
        </w:rPr>
        <w:t>diecinueve  inicio</w:t>
      </w:r>
      <w:proofErr w:type="gramEnd"/>
      <w:r w:rsidRPr="00BC2B1F">
        <w:rPr>
          <w:rFonts w:ascii="Palatino Linotype" w:eastAsia="Palatino Linotype" w:hAnsi="Palatino Linotype" w:cs="Palatino Linotype"/>
          <w:sz w:val="24"/>
          <w:szCs w:val="24"/>
        </w:rPr>
        <w:t xml:space="preserve"> el Centro Federal de Conciliación y Registro Laboral inicio sus funciones de registro de contratos colectivos de trabajo y organizaciones sindicales en el Estado de México por lo que en fecha nueve de noviembre de dos mil veinte se crearon las oficinas de atención en el Estado de México. </w:t>
      </w:r>
    </w:p>
    <w:p w14:paraId="1E830C91" w14:textId="77777777" w:rsidR="005E1F22" w:rsidRPr="00BC2B1F" w:rsidRDefault="005E1F22">
      <w:pPr>
        <w:spacing w:after="0" w:line="360" w:lineRule="auto"/>
        <w:jc w:val="both"/>
      </w:pPr>
    </w:p>
    <w:p w14:paraId="2485CE59"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Además de lo antes referido, resulta oportuno mencionar la siguiente legislación aplicable a la materia:</w:t>
      </w:r>
    </w:p>
    <w:p w14:paraId="3C4A0499"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7E9F3A5E" w14:textId="77777777" w:rsidR="005E1F22" w:rsidRPr="00BC2B1F" w:rsidRDefault="004B52D7">
      <w:pPr>
        <w:spacing w:after="0" w:line="360" w:lineRule="auto"/>
        <w:ind w:left="851" w:right="900"/>
        <w:jc w:val="both"/>
        <w:rPr>
          <w:rFonts w:ascii="Palatino Linotype" w:eastAsia="Palatino Linotype" w:hAnsi="Palatino Linotype" w:cs="Palatino Linotype"/>
          <w:b/>
          <w:i/>
        </w:rPr>
      </w:pPr>
      <w:r w:rsidRPr="00BC2B1F">
        <w:rPr>
          <w:rFonts w:ascii="Palatino Linotype" w:eastAsia="Palatino Linotype" w:hAnsi="Palatino Linotype" w:cs="Palatino Linotype"/>
          <w:b/>
          <w:i/>
        </w:rPr>
        <w:t xml:space="preserve">LEY FEDERAL DEL TRABAJO </w:t>
      </w:r>
    </w:p>
    <w:p w14:paraId="3D8F31B8"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Artículo 386.- 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w:t>
      </w:r>
      <w:r w:rsidRPr="00BC2B1F">
        <w:rPr>
          <w:rFonts w:ascii="Palatino Linotype" w:eastAsia="Palatino Linotype" w:hAnsi="Palatino Linotype" w:cs="Palatino Linotype"/>
          <w:sz w:val="24"/>
          <w:szCs w:val="24"/>
          <w:vertAlign w:val="superscript"/>
        </w:rPr>
        <w:t xml:space="preserve"> </w:t>
      </w:r>
      <w:r w:rsidRPr="00BC2B1F">
        <w:rPr>
          <w:rFonts w:ascii="Palatino Linotype" w:eastAsia="Palatino Linotype" w:hAnsi="Palatino Linotype" w:cs="Palatino Linotype"/>
          <w:sz w:val="24"/>
          <w:szCs w:val="24"/>
          <w:vertAlign w:val="superscript"/>
        </w:rPr>
        <w:footnoteReference w:id="3"/>
      </w:r>
    </w:p>
    <w:p w14:paraId="39732634"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 xml:space="preserve">Artículo 390.- El contrato colectivo de trabajo deberá celebrarse por escrito, bajo pena de nulidad. Se hará por triplicado, entregándose un ejemplar a cada una de las partes y se depositará el otro tanto ante el </w:t>
      </w:r>
      <w:r w:rsidRPr="00BC2B1F">
        <w:rPr>
          <w:rFonts w:ascii="Palatino Linotype" w:eastAsia="Palatino Linotype" w:hAnsi="Palatino Linotype" w:cs="Palatino Linotype"/>
          <w:b/>
          <w:i/>
          <w:u w:val="single"/>
        </w:rPr>
        <w:t>Centro Federal de Conciliación y Registro Laboral</w:t>
      </w:r>
      <w:r w:rsidRPr="00BC2B1F">
        <w:rPr>
          <w:rFonts w:ascii="Palatino Linotype" w:eastAsia="Palatino Linotype" w:hAnsi="Palatino Linotype" w:cs="Palatino Linotype"/>
          <w:i/>
        </w:rPr>
        <w:t>, ante quien cada una de las partes celebrantes debe señalar domicilio. Dicho centro deberá asignarles un buzón electrónico.</w:t>
      </w:r>
      <w:r w:rsidRPr="00BC2B1F">
        <w:rPr>
          <w:rFonts w:ascii="Palatino Linotype" w:eastAsia="Palatino Linotype" w:hAnsi="Palatino Linotype" w:cs="Palatino Linotype"/>
          <w:sz w:val="24"/>
          <w:szCs w:val="24"/>
          <w:vertAlign w:val="superscript"/>
        </w:rPr>
        <w:t xml:space="preserve"> </w:t>
      </w:r>
      <w:r w:rsidRPr="00BC2B1F">
        <w:rPr>
          <w:rFonts w:ascii="Palatino Linotype" w:eastAsia="Palatino Linotype" w:hAnsi="Palatino Linotype" w:cs="Palatino Linotype"/>
          <w:sz w:val="24"/>
          <w:szCs w:val="24"/>
          <w:vertAlign w:val="superscript"/>
        </w:rPr>
        <w:footnoteReference w:id="4"/>
      </w:r>
    </w:p>
    <w:p w14:paraId="118D61E0" w14:textId="77777777" w:rsidR="005E1F22" w:rsidRPr="00BC2B1F" w:rsidRDefault="005E1F22">
      <w:pPr>
        <w:spacing w:line="276" w:lineRule="auto"/>
        <w:ind w:left="851" w:right="900"/>
        <w:jc w:val="both"/>
        <w:rPr>
          <w:rFonts w:ascii="Palatino Linotype" w:eastAsia="Palatino Linotype" w:hAnsi="Palatino Linotype" w:cs="Palatino Linotype"/>
          <w:i/>
        </w:rPr>
      </w:pPr>
    </w:p>
    <w:p w14:paraId="77F07EB3"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TRANSITORIOS</w:t>
      </w:r>
    </w:p>
    <w:p w14:paraId="60399F4C"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b/>
          <w:i/>
        </w:rPr>
        <w:t>Primero.</w:t>
      </w:r>
      <w:r w:rsidRPr="00BC2B1F">
        <w:rPr>
          <w:rFonts w:ascii="Palatino Linotype" w:eastAsia="Palatino Linotype" w:hAnsi="Palatino Linotype" w:cs="Palatino Linotype"/>
          <w:i/>
        </w:rPr>
        <w:t xml:space="preserve"> Vigencia. El presente Decreto entrará en vigor al día siguiente de su publicación en el Diario Oficial de la Federación. </w:t>
      </w:r>
      <w:r w:rsidRPr="00BC2B1F">
        <w:rPr>
          <w:rFonts w:ascii="Palatino Linotype" w:eastAsia="Palatino Linotype" w:hAnsi="Palatino Linotype" w:cs="Palatino Linotype"/>
          <w:sz w:val="24"/>
          <w:szCs w:val="24"/>
          <w:vertAlign w:val="superscript"/>
        </w:rPr>
        <w:footnoteReference w:id="5"/>
      </w:r>
    </w:p>
    <w:p w14:paraId="1DA113A2"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b/>
          <w:i/>
        </w:rPr>
        <w:t>Segundo.</w:t>
      </w:r>
      <w:r w:rsidRPr="00BC2B1F">
        <w:rPr>
          <w:rFonts w:ascii="Palatino Linotype" w:eastAsia="Palatino Linotype" w:hAnsi="Palatino Linotype" w:cs="Palatino Linotype"/>
          <w:i/>
        </w:rPr>
        <w:t xml:space="preserve"> Plazo para expedir Ley Orgánica del Centro Federal. Dentro de los ciento ochenta días siguientes a que entre en vigor el presente Decreto, el Congreso de la Unión expedirá la Ley Orgánica del Centro Federal de Conciliación y Registro Laboral. </w:t>
      </w:r>
    </w:p>
    <w:p w14:paraId="477AEC57"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b/>
          <w:i/>
        </w:rPr>
        <w:lastRenderedPageBreak/>
        <w:t>Tercero.</w:t>
      </w:r>
      <w:r w:rsidRPr="00BC2B1F">
        <w:rPr>
          <w:rFonts w:ascii="Palatino Linotype" w:eastAsia="Palatino Linotype" w:hAnsi="Palatino Linotype" w:cs="Palatino Linotype"/>
          <w:i/>
        </w:rPr>
        <w:t xml:space="preserve"> Plazo de inicio de funciones de la Autoridad Registral. El Centro Federal de Conciliación y Registro Laboral iniciará sus funciones en materia de registro de asociaciones sindicales y contratos colectivos de trabajo en un plazo no mayor de dos años a partir de la entrada en vigor del presente Decreto, atendiendo a las posibilidades presupuestales. Al día siguiente en que se suspenda el servicio de registro de las Juntas de Conciliación y Arbitraje, la Secretaría del Trabajo y Previsión Social y en su caso los Poderes Ejecutivos de las Entidades Federativas, iniciará operaciones el Centro Federal de Conciliación y Registro Laboral. Hasta en tanto el Centro Federal de Conciliación y Registro Laboral no inicie sus funciones registrales, las Juntas de Conciliación y Arbitraje, al igual que la Secretaría del Trabajo y Previsión Social continuarán con las funciones registrales previstas en la Ley Federal del Trabajo vigente al momento de la entrada en vigor del presente Decreto. </w:t>
      </w:r>
    </w:p>
    <w:p w14:paraId="51C9B22D" w14:textId="77777777" w:rsidR="005E1F22" w:rsidRPr="00BC2B1F" w:rsidRDefault="004B52D7">
      <w:pPr>
        <w:spacing w:line="276"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b/>
          <w:i/>
        </w:rPr>
        <w:t>Cuarto.</w:t>
      </w:r>
      <w:r w:rsidRPr="00BC2B1F">
        <w:rPr>
          <w:rFonts w:ascii="Palatino Linotype" w:eastAsia="Palatino Linotype" w:hAnsi="Palatino Linotype" w:cs="Palatino Linotype"/>
          <w:i/>
        </w:rPr>
        <w:t xml:space="preserve"> Traslado de Expedientes de Registro. Para efectos del traslado de expedientes de registro de asociaciones sindicales, contratos colectivos de trabajo, reglamentos interiores de trabajo y procedimientos administrativos relacionados, las Juntas de Conciliación y Arbitraje, la Secretaría del Trabajo y Previsión Social y los Poderes Ejecutivos de las Entidades Federativas deberán remitir al Centro Federal de Conciliación y Registro Laboral una relación completa de todos los expedientes y registros en su poder, con soporte electrónico de cada registro o expediente, con una anticipación mínima de seis meses al inicio de sus funciones. Para efecto de lo anterior, dichas autoridades establecerán y difundirán las fechas en que suspenderán sus funciones registrales e iniciarán las del Centro Federal referido, garantizando que no se afecten los derechos de los interesados. El traslado físico de los expedientes de todas las dependencias tanto federales como locales deberá concluir en un plazo no mayor a un año posterior al inicio de las funciones registrales de dicho Centro Federal; dicho Centro establecerá los mecanismos de coordinación conducentes con las autoridades referidas y emitirá los lineamientos necesarios para garantizar que la transferencia de expedientes y registros se realice bajo condiciones que brinden seguridad, certeza, exactitud, transparencia, publicidad y confiabilidad al procedimiento de entrega-recepción.</w:t>
      </w:r>
    </w:p>
    <w:p w14:paraId="41C549C1" w14:textId="77777777" w:rsidR="005E1F22" w:rsidRPr="00BC2B1F" w:rsidRDefault="005E1F22">
      <w:pPr>
        <w:rPr>
          <w:rFonts w:ascii="Palatino Linotype" w:eastAsia="Palatino Linotype" w:hAnsi="Palatino Linotype" w:cs="Palatino Linotype"/>
        </w:rPr>
      </w:pPr>
    </w:p>
    <w:p w14:paraId="48AB500C"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el que se establece que el contrato colectivo de trabajo es el convenio celebrado entre uno o varios sindicatos de trabajadores y uno o varios patrones, o uno o varios sindicatos de patrones, con objeto de establecer las condiciones laborales, mismo que deberá celebrarse por escrito por lo que se hará por triplicado, entregándose un ejemplar a cada una de las partes y se depositará el otro tanto ante el </w:t>
      </w:r>
      <w:r w:rsidRPr="00BC2B1F">
        <w:rPr>
          <w:rFonts w:ascii="Palatino Linotype" w:eastAsia="Palatino Linotype" w:hAnsi="Palatino Linotype" w:cs="Palatino Linotype"/>
          <w:b/>
          <w:sz w:val="24"/>
          <w:szCs w:val="24"/>
          <w:u w:val="single"/>
        </w:rPr>
        <w:t>Centro Federal de Conciliación y Registro Laboral</w:t>
      </w:r>
      <w:r w:rsidRPr="00BC2B1F">
        <w:rPr>
          <w:rFonts w:ascii="Palatino Linotype" w:eastAsia="Palatino Linotype" w:hAnsi="Palatino Linotype" w:cs="Palatino Linotype"/>
          <w:sz w:val="24"/>
          <w:szCs w:val="24"/>
          <w:u w:val="single"/>
        </w:rPr>
        <w:t xml:space="preserve">, </w:t>
      </w:r>
      <w:r w:rsidRPr="00BC2B1F">
        <w:rPr>
          <w:rFonts w:ascii="Palatino Linotype" w:eastAsia="Palatino Linotype" w:hAnsi="Palatino Linotype" w:cs="Palatino Linotype"/>
          <w:sz w:val="24"/>
          <w:szCs w:val="24"/>
        </w:rPr>
        <w:t>cabe destacar que es una reforma a la Ley Federal del Trabajo a efecto de implementar el nuevo sistema de justicia laboral, misma que fue publicada en el Diario Oficial de la Federación el primero de mayo del año dos mil diecinueve, por lo que en el artículo primero transitorio se establece que el Centro Federal de Conciliación y Registro Laboral iniciará sus funciones en materia de registro de asociaciones sindicales y contratos colectivos de trabajo en un plazo no mayor de dos años a partir de la entrada en vigor, esto es a más tardar el primero de noviembre de dos mil diecinueve, no obstante se advierte que entró en funciones el dieciocho de noviembre de dos mil diecinueve.</w:t>
      </w:r>
    </w:p>
    <w:p w14:paraId="6F2ABB84"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568AB04"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Por lo que del traslado de expedientes de registro de contratos colectivos de trabajo en posesión de otras entidades públicas deberán remitir al Centro Federal de Conciliación y Registro Laboral una relación completa de todos los expedientes y registros en su poder, con soporte electrónico de cada registro o expediente, con seis meses posteriores al inicio de sus </w:t>
      </w:r>
      <w:proofErr w:type="gramStart"/>
      <w:r w:rsidRPr="00BC2B1F">
        <w:rPr>
          <w:rFonts w:ascii="Palatino Linotype" w:eastAsia="Palatino Linotype" w:hAnsi="Palatino Linotype" w:cs="Palatino Linotype"/>
          <w:sz w:val="24"/>
          <w:szCs w:val="24"/>
        </w:rPr>
        <w:t>funciones  esto</w:t>
      </w:r>
      <w:proofErr w:type="gramEnd"/>
      <w:r w:rsidRPr="00BC2B1F">
        <w:rPr>
          <w:rFonts w:ascii="Palatino Linotype" w:eastAsia="Palatino Linotype" w:hAnsi="Palatino Linotype" w:cs="Palatino Linotype"/>
          <w:sz w:val="24"/>
          <w:szCs w:val="24"/>
        </w:rPr>
        <w:t xml:space="preserve"> es a partir del dieciocho de noviembre de dos mil veinte. </w:t>
      </w:r>
    </w:p>
    <w:p w14:paraId="2B75A03B"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A90C0DD"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 xml:space="preserve">Por lo que se advierte </w:t>
      </w:r>
      <w:proofErr w:type="gramStart"/>
      <w:r w:rsidRPr="00BC2B1F">
        <w:rPr>
          <w:rFonts w:ascii="Palatino Linotype" w:eastAsia="Palatino Linotype" w:hAnsi="Palatino Linotype" w:cs="Palatino Linotype"/>
          <w:sz w:val="24"/>
          <w:szCs w:val="24"/>
        </w:rPr>
        <w:t>que</w:t>
      </w:r>
      <w:proofErr w:type="gramEnd"/>
      <w:r w:rsidRPr="00BC2B1F">
        <w:rPr>
          <w:rFonts w:ascii="Palatino Linotype" w:eastAsia="Palatino Linotype" w:hAnsi="Palatino Linotype" w:cs="Palatino Linotype"/>
          <w:sz w:val="24"/>
          <w:szCs w:val="24"/>
        </w:rPr>
        <w:t xml:space="preserve"> a la fecha de la solicitud,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no tiene atribuciones para generar, poseer o administrar la información solicitada, ya que dichas atribuciones corresponden desde el dieciocho de noviembre del año dos mil veinte Centro Federal de Conciliación y Registro Laboral, siendo que este es un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distinto. </w:t>
      </w:r>
    </w:p>
    <w:p w14:paraId="7E43B86C"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706F4C9" w14:textId="77777777" w:rsidR="005E1F22" w:rsidRPr="00BC2B1F" w:rsidRDefault="004B52D7">
      <w:pPr>
        <w:spacing w:after="0" w:line="360" w:lineRule="auto"/>
        <w:ind w:right="-14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30E965B6"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noProof/>
        </w:rPr>
        <w:drawing>
          <wp:inline distT="0" distB="0" distL="0" distR="0" wp14:anchorId="24D54FEE" wp14:editId="26683641">
            <wp:extent cx="6531921" cy="37929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206" t="47374" r="10895" b="48702"/>
                    <a:stretch>
                      <a:fillRect/>
                    </a:stretch>
                  </pic:blipFill>
                  <pic:spPr>
                    <a:xfrm>
                      <a:off x="0" y="0"/>
                      <a:ext cx="6531921" cy="379296"/>
                    </a:xfrm>
                    <a:prstGeom prst="rect">
                      <a:avLst/>
                    </a:prstGeom>
                    <a:ln/>
                  </pic:spPr>
                </pic:pic>
              </a:graphicData>
            </a:graphic>
          </wp:inline>
        </w:drawing>
      </w:r>
    </w:p>
    <w:p w14:paraId="04EFD4C8"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noProof/>
        </w:rPr>
        <w:drawing>
          <wp:inline distT="0" distB="0" distL="0" distR="0" wp14:anchorId="06F61875" wp14:editId="2A1506DD">
            <wp:extent cx="6200395" cy="40389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206" t="54919" r="10895" b="41761"/>
                    <a:stretch>
                      <a:fillRect/>
                    </a:stretch>
                  </pic:blipFill>
                  <pic:spPr>
                    <a:xfrm>
                      <a:off x="0" y="0"/>
                      <a:ext cx="6200395" cy="403890"/>
                    </a:xfrm>
                    <a:prstGeom prst="rect">
                      <a:avLst/>
                    </a:prstGeom>
                    <a:ln/>
                  </pic:spPr>
                </pic:pic>
              </a:graphicData>
            </a:graphic>
          </wp:inline>
        </w:drawing>
      </w:r>
    </w:p>
    <w:p w14:paraId="7FC2B214" w14:textId="77777777" w:rsidR="005E1F22" w:rsidRPr="00BC2B1F" w:rsidRDefault="004B52D7">
      <w:pPr>
        <w:spacing w:after="0" w:line="360" w:lineRule="auto"/>
        <w:ind w:right="-14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Además </w:t>
      </w:r>
      <w:proofErr w:type="gramStart"/>
      <w:r w:rsidRPr="00BC2B1F">
        <w:rPr>
          <w:rFonts w:ascii="Palatino Linotype" w:eastAsia="Palatino Linotype" w:hAnsi="Palatino Linotype" w:cs="Palatino Linotype"/>
          <w:sz w:val="24"/>
          <w:szCs w:val="24"/>
        </w:rPr>
        <w:t>de la acuerdo</w:t>
      </w:r>
      <w:proofErr w:type="gramEnd"/>
      <w:r w:rsidRPr="00BC2B1F">
        <w:rPr>
          <w:rFonts w:ascii="Palatino Linotype" w:eastAsia="Palatino Linotype" w:hAnsi="Palatino Linotype" w:cs="Palatino Linotype"/>
          <w:sz w:val="24"/>
          <w:szCs w:val="24"/>
        </w:rPr>
        <w:t xml:space="preserve"> al Padrón de Sujetos Obligados del Ámbito Federal, en Términos de la Ley General de Transparencia y Acceso a la Información Pública el Pleno del Instituto Nacional de Transparencia, Acceso a la Información y Protección de Datos Personales, determina como Sujeto Obligado al Centro Federal de Conciliación y Registro Federal, tal como se muestra a continuación: </w:t>
      </w:r>
    </w:p>
    <w:p w14:paraId="6B3696A9"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noProof/>
        </w:rPr>
        <w:drawing>
          <wp:inline distT="0" distB="0" distL="0" distR="0" wp14:anchorId="03B51545" wp14:editId="54FDA865">
            <wp:extent cx="5915851" cy="402649"/>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3435" t="50996" r="34147" b="45081"/>
                    <a:stretch>
                      <a:fillRect/>
                    </a:stretch>
                  </pic:blipFill>
                  <pic:spPr>
                    <a:xfrm>
                      <a:off x="0" y="0"/>
                      <a:ext cx="5915851" cy="402649"/>
                    </a:xfrm>
                    <a:prstGeom prst="rect">
                      <a:avLst/>
                    </a:prstGeom>
                    <a:ln/>
                  </pic:spPr>
                </pic:pic>
              </a:graphicData>
            </a:graphic>
          </wp:inline>
        </w:drawing>
      </w:r>
    </w:p>
    <w:p w14:paraId="283EB2BA" w14:textId="77777777" w:rsidR="005E1F22" w:rsidRPr="00BC2B1F" w:rsidRDefault="004B52D7">
      <w:pPr>
        <w:spacing w:after="0" w:line="360" w:lineRule="auto"/>
        <w:ind w:right="-14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 xml:space="preserve">Conforme a lo anterior, se </w:t>
      </w:r>
      <w:proofErr w:type="gramStart"/>
      <w:r w:rsidRPr="00BC2B1F">
        <w:rPr>
          <w:rFonts w:ascii="Palatino Linotype" w:eastAsia="Palatino Linotype" w:hAnsi="Palatino Linotype" w:cs="Palatino Linotype"/>
          <w:sz w:val="24"/>
          <w:szCs w:val="24"/>
        </w:rPr>
        <w:t>reitera  que</w:t>
      </w:r>
      <w:proofErr w:type="gramEnd"/>
      <w:r w:rsidRPr="00BC2B1F">
        <w:rPr>
          <w:rFonts w:ascii="Palatino Linotype" w:eastAsia="Palatino Linotype" w:hAnsi="Palatino Linotype" w:cs="Palatino Linotype"/>
          <w:sz w:val="24"/>
          <w:szCs w:val="24"/>
        </w:rPr>
        <w:t xml:space="preserve">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actualmente a la fecha de la solicitud no tiene atribuciones para contar con la información peticionada, toda vez que es información de un sujeto obligado diverso a la Junta Local de Conciliación y Arbitraje Valle de Toluca.</w:t>
      </w:r>
    </w:p>
    <w:p w14:paraId="085B619D" w14:textId="77777777" w:rsidR="005E1F22" w:rsidRPr="00BC2B1F" w:rsidRDefault="005E1F22">
      <w:pPr>
        <w:spacing w:after="0" w:line="360" w:lineRule="auto"/>
        <w:ind w:right="-147"/>
        <w:jc w:val="both"/>
        <w:rPr>
          <w:rFonts w:ascii="Palatino Linotype" w:eastAsia="Palatino Linotype" w:hAnsi="Palatino Linotype" w:cs="Palatino Linotype"/>
          <w:sz w:val="24"/>
          <w:szCs w:val="24"/>
        </w:rPr>
      </w:pPr>
    </w:p>
    <w:p w14:paraId="34BC87EC"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Por lo anteriormente expuesto, este órgano colegiado considera correcta la respuesta otorgada por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hecha al momento de dar contestación a la solicitud de información, respecto de declarar su incompetencia, sin </w:t>
      </w:r>
      <w:proofErr w:type="gramStart"/>
      <w:r w:rsidRPr="00BC2B1F">
        <w:rPr>
          <w:rFonts w:ascii="Palatino Linotype" w:eastAsia="Palatino Linotype" w:hAnsi="Palatino Linotype" w:cs="Palatino Linotype"/>
          <w:sz w:val="24"/>
          <w:szCs w:val="24"/>
        </w:rPr>
        <w:t>embargo</w:t>
      </w:r>
      <w:proofErr w:type="gramEnd"/>
      <w:r w:rsidRPr="00BC2B1F">
        <w:rPr>
          <w:rFonts w:ascii="Palatino Linotype" w:eastAsia="Palatino Linotype" w:hAnsi="Palatino Linotype" w:cs="Palatino Linotype"/>
          <w:sz w:val="24"/>
          <w:szCs w:val="24"/>
        </w:rPr>
        <w:t xml:space="preserve"> la misma no se ajustó al contenido del diverso 167 de la Ley de Transparencia y Acceso a la Información Pública del Estado de México y Municipios, mismo que versa en el siguiente tenor:</w:t>
      </w:r>
    </w:p>
    <w:p w14:paraId="3FB731F1" w14:textId="77777777" w:rsidR="005E1F22" w:rsidRPr="00BC2B1F" w:rsidRDefault="004B52D7">
      <w:pPr>
        <w:spacing w:line="360" w:lineRule="auto"/>
        <w:ind w:left="851"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BC2B1F">
        <w:rPr>
          <w:rFonts w:ascii="Palatino Linotype" w:eastAsia="Palatino Linotype" w:hAnsi="Palatino Linotype" w:cs="Palatino Linotype"/>
          <w:i/>
          <w:u w:val="single"/>
        </w:rPr>
        <w:t>dentro de los tres días hábiles posteriores a la recepción de la solicitud</w:t>
      </w:r>
      <w:r w:rsidRPr="00BC2B1F">
        <w:rPr>
          <w:rFonts w:ascii="Palatino Linotype" w:eastAsia="Palatino Linotype" w:hAnsi="Palatino Linotype" w:cs="Palatino Linotype"/>
          <w:i/>
        </w:rPr>
        <w:t xml:space="preserve"> y, en su caso orientar al solicitante, el o los sujetos obligados competentes.</w:t>
      </w:r>
    </w:p>
    <w:p w14:paraId="7203AFC8"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 El cual, establece que cuando las unidades de transparencia determinen la notoria incompetencia por parte de los sujetos obligados, dentro del ámbito de aplicación, para atender la solicitud de acceso a la información, </w:t>
      </w:r>
      <w:r w:rsidRPr="00BC2B1F">
        <w:rPr>
          <w:rFonts w:ascii="Palatino Linotype" w:eastAsia="Palatino Linotype" w:hAnsi="Palatino Linotype" w:cs="Palatino Linotype"/>
          <w:b/>
          <w:sz w:val="24"/>
          <w:szCs w:val="24"/>
          <w:u w:val="single"/>
        </w:rPr>
        <w:t>deberán comunicarlo al solicitante, dentro de los tres días hábiles posteriores a la recepción de la solicitud y, en su caso orientar al solicitante, el o los sujetos obligados competentes</w:t>
      </w:r>
      <w:r w:rsidRPr="00BC2B1F">
        <w:rPr>
          <w:rFonts w:ascii="Palatino Linotype" w:eastAsia="Palatino Linotype" w:hAnsi="Palatino Linotype" w:cs="Palatino Linotype"/>
          <w:sz w:val="24"/>
          <w:szCs w:val="24"/>
        </w:rPr>
        <w:t xml:space="preserve">. </w:t>
      </w:r>
    </w:p>
    <w:p w14:paraId="127B8591" w14:textId="77777777" w:rsidR="005E1F22" w:rsidRPr="00BC2B1F" w:rsidRDefault="004B52D7">
      <w:pPr>
        <w:spacing w:after="0" w:line="360" w:lineRule="auto"/>
        <w:ind w:right="-147"/>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Situación que se insiste no fue prevista por el</w:t>
      </w:r>
      <w:r w:rsidRPr="00BC2B1F">
        <w:rPr>
          <w:rFonts w:ascii="Palatino Linotype" w:eastAsia="Palatino Linotype" w:hAnsi="Palatino Linotype" w:cs="Palatino Linotype"/>
          <w:b/>
          <w:sz w:val="24"/>
          <w:szCs w:val="24"/>
        </w:rPr>
        <w:t xml:space="preserve"> SUJETO OBLIGADO</w:t>
      </w:r>
      <w:r w:rsidRPr="00BC2B1F">
        <w:rPr>
          <w:rFonts w:ascii="Palatino Linotype" w:eastAsia="Palatino Linotype" w:hAnsi="Palatino Linotype" w:cs="Palatino Linotype"/>
          <w:sz w:val="24"/>
          <w:szCs w:val="24"/>
        </w:rPr>
        <w:t xml:space="preserve"> ya que su respuesta fue proporcionada al sexto día hábil de aquel en el que tuvo conocimiento de la solicitud de información, ya que esta se tuvo por presentada el dieciocho de mayo y la respuesta proporcionada por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fue notificada el veintiséis de mayo, ambos del dos mil veintidós</w:t>
      </w:r>
    </w:p>
    <w:p w14:paraId="27BFD389" w14:textId="77777777" w:rsidR="005E1F22" w:rsidRPr="00BC2B1F" w:rsidRDefault="005E1F22">
      <w:pPr>
        <w:spacing w:after="0" w:line="360" w:lineRule="auto"/>
        <w:ind w:right="-147"/>
        <w:jc w:val="both"/>
        <w:rPr>
          <w:rFonts w:ascii="Palatino Linotype" w:eastAsia="Palatino Linotype" w:hAnsi="Palatino Linotype" w:cs="Palatino Linotype"/>
          <w:sz w:val="24"/>
          <w:szCs w:val="24"/>
          <w:shd w:val="clear" w:color="auto" w:fill="FF9900"/>
        </w:rPr>
      </w:pPr>
    </w:p>
    <w:p w14:paraId="0522E9AB"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276AEFC2" w14:textId="77777777" w:rsidR="005E1F22" w:rsidRPr="00BC2B1F" w:rsidRDefault="004B52D7">
      <w:pPr>
        <w:spacing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No obstante, mediante alcance remitido por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a su informe justificado, remite el acta de la vigésima segunda sesión extraordinaria 2022 del Comité de Transparencia de la Junta Local de Conciliación y Arbitraje del Valle de Toluca, mediante la cual se confirma la incompetencia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para contar con la información requerida, precisando que por mandato de ley, actualmente no cuenta con atribuciones para generar, poseer o administrar la información solicitada, reiterando que la misma puede ser solicitada ante otro sujeto obligado, tal como se advierte a continuación: </w:t>
      </w:r>
    </w:p>
    <w:p w14:paraId="4C7CA684"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noProof/>
        </w:rPr>
        <w:lastRenderedPageBreak/>
        <w:drawing>
          <wp:inline distT="0" distB="0" distL="0" distR="0" wp14:anchorId="22320A9A" wp14:editId="74CD7C9A">
            <wp:extent cx="6115050" cy="624840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115050" cy="6248400"/>
                    </a:xfrm>
                    <a:prstGeom prst="rect">
                      <a:avLst/>
                    </a:prstGeom>
                    <a:ln/>
                  </pic:spPr>
                </pic:pic>
              </a:graphicData>
            </a:graphic>
          </wp:inline>
        </w:drawing>
      </w:r>
    </w:p>
    <w:p w14:paraId="650CE2E7"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noProof/>
        </w:rPr>
        <w:lastRenderedPageBreak/>
        <w:drawing>
          <wp:inline distT="0" distB="0" distL="0" distR="0" wp14:anchorId="0A3204CD" wp14:editId="3BEEF2D5">
            <wp:extent cx="5648325" cy="585787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48325" cy="5857875"/>
                    </a:xfrm>
                    <a:prstGeom prst="rect">
                      <a:avLst/>
                    </a:prstGeom>
                    <a:ln/>
                  </pic:spPr>
                </pic:pic>
              </a:graphicData>
            </a:graphic>
          </wp:inline>
        </w:drawing>
      </w:r>
    </w:p>
    <w:p w14:paraId="3A69A6AA"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 En consecuencia,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atendió su incompetencia a la que se hace referencia en la respuesta proporcionada, de conformidad a Ley de </w:t>
      </w:r>
      <w:r w:rsidRPr="00BC2B1F">
        <w:rPr>
          <w:rFonts w:ascii="Palatino Linotype" w:eastAsia="Palatino Linotype" w:hAnsi="Palatino Linotype" w:cs="Palatino Linotype"/>
          <w:sz w:val="24"/>
          <w:szCs w:val="24"/>
        </w:rPr>
        <w:lastRenderedPageBreak/>
        <w:t>Transparencia y Acceso a la Información Pública del Estado de México y Municipios, tal como se observa a continuación:</w:t>
      </w:r>
    </w:p>
    <w:p w14:paraId="022B8D12"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5BCF9FB0" w14:textId="77777777" w:rsidR="005E1F22" w:rsidRPr="00BC2B1F" w:rsidRDefault="004B52D7">
      <w:pPr>
        <w:spacing w:after="0" w:line="360" w:lineRule="auto"/>
        <w:ind w:left="567" w:right="567"/>
        <w:jc w:val="both"/>
        <w:rPr>
          <w:rFonts w:ascii="Palatino Linotype" w:eastAsia="Palatino Linotype" w:hAnsi="Palatino Linotype" w:cs="Palatino Linotype"/>
          <w:i/>
        </w:rPr>
      </w:pPr>
      <w:r w:rsidRPr="00BC2B1F">
        <w:rPr>
          <w:rFonts w:ascii="Palatino Linotype" w:eastAsia="Palatino Linotype" w:hAnsi="Palatino Linotype" w:cs="Palatino Linotype"/>
          <w:b/>
          <w:i/>
        </w:rPr>
        <w:t xml:space="preserve">“Artículo 49. </w:t>
      </w:r>
      <w:r w:rsidRPr="00BC2B1F">
        <w:rPr>
          <w:rFonts w:ascii="Palatino Linotype" w:eastAsia="Palatino Linotype" w:hAnsi="Palatino Linotype" w:cs="Palatino Linotype"/>
          <w:i/>
        </w:rPr>
        <w:t>Los Comités de Transparencia tendrán las siguientes atribuciones:</w:t>
      </w:r>
    </w:p>
    <w:p w14:paraId="472E0CF7" w14:textId="77777777" w:rsidR="005E1F22" w:rsidRPr="00BC2B1F" w:rsidRDefault="004B52D7">
      <w:pPr>
        <w:ind w:left="567" w:right="567"/>
        <w:jc w:val="both"/>
        <w:rPr>
          <w:rFonts w:ascii="Palatino Linotype" w:eastAsia="Palatino Linotype" w:hAnsi="Palatino Linotype" w:cs="Palatino Linotype"/>
          <w:i/>
        </w:rPr>
      </w:pPr>
      <w:r w:rsidRPr="00BC2B1F">
        <w:rPr>
          <w:rFonts w:ascii="Palatino Linotype" w:eastAsia="Palatino Linotype" w:hAnsi="Palatino Linotype" w:cs="Palatino Linotype"/>
          <w:i/>
        </w:rPr>
        <w:t>(…)</w:t>
      </w:r>
    </w:p>
    <w:p w14:paraId="4CB42B08" w14:textId="77777777" w:rsidR="005E1F22" w:rsidRPr="00BC2B1F" w:rsidRDefault="004B52D7">
      <w:pPr>
        <w:ind w:left="567" w:right="567"/>
        <w:jc w:val="both"/>
        <w:rPr>
          <w:rFonts w:ascii="Palatino Linotype" w:eastAsia="Palatino Linotype" w:hAnsi="Palatino Linotype" w:cs="Palatino Linotype"/>
          <w:i/>
        </w:rPr>
      </w:pPr>
      <w:r w:rsidRPr="00BC2B1F">
        <w:rPr>
          <w:rFonts w:ascii="Palatino Linotype" w:eastAsia="Palatino Linotype" w:hAnsi="Palatino Linotype" w:cs="Palatino Linotype"/>
          <w:b/>
          <w:i/>
        </w:rPr>
        <w:t xml:space="preserve">II. </w:t>
      </w:r>
      <w:r w:rsidRPr="00BC2B1F">
        <w:rPr>
          <w:rFonts w:ascii="Palatino Linotype" w:eastAsia="Palatino Linotype" w:hAnsi="Palatino Linotype" w:cs="Palatino Linotype"/>
          <w:i/>
        </w:rPr>
        <w:t xml:space="preserve">Confirmar, modificar o revocar las determinaciones </w:t>
      </w:r>
      <w:proofErr w:type="gramStart"/>
      <w:r w:rsidRPr="00BC2B1F">
        <w:rPr>
          <w:rFonts w:ascii="Palatino Linotype" w:eastAsia="Palatino Linotype" w:hAnsi="Palatino Linotype" w:cs="Palatino Linotype"/>
          <w:i/>
        </w:rPr>
        <w:t>que</w:t>
      </w:r>
      <w:proofErr w:type="gramEnd"/>
      <w:r w:rsidRPr="00BC2B1F">
        <w:rPr>
          <w:rFonts w:ascii="Palatino Linotype" w:eastAsia="Palatino Linotype" w:hAnsi="Palatino Linotype" w:cs="Palatino Linotype"/>
          <w:i/>
        </w:rPr>
        <w:t xml:space="preserve"> en materia de ampliación del plazo de respuesta, clasificación de la información y declaración de inexistencia </w:t>
      </w:r>
      <w:r w:rsidRPr="00BC2B1F">
        <w:rPr>
          <w:rFonts w:ascii="Palatino Linotype" w:eastAsia="Palatino Linotype" w:hAnsi="Palatino Linotype" w:cs="Palatino Linotype"/>
          <w:b/>
          <w:i/>
        </w:rPr>
        <w:t xml:space="preserve">o </w:t>
      </w:r>
      <w:r w:rsidRPr="00BC2B1F">
        <w:rPr>
          <w:rFonts w:ascii="Palatino Linotype" w:eastAsia="Palatino Linotype" w:hAnsi="Palatino Linotype" w:cs="Palatino Linotype"/>
          <w:b/>
          <w:i/>
          <w:u w:val="single"/>
        </w:rPr>
        <w:t>de incompetencia realicen los titulares de las áreas de los sujetos obligados</w:t>
      </w:r>
      <w:r w:rsidRPr="00BC2B1F">
        <w:rPr>
          <w:rFonts w:ascii="Palatino Linotype" w:eastAsia="Palatino Linotype" w:hAnsi="Palatino Linotype" w:cs="Palatino Linotype"/>
          <w:i/>
        </w:rPr>
        <w:t>;</w:t>
      </w:r>
    </w:p>
    <w:p w14:paraId="36E3C0CD" w14:textId="77777777" w:rsidR="005E1F22" w:rsidRPr="00BC2B1F" w:rsidRDefault="004B52D7">
      <w:pPr>
        <w:ind w:left="567" w:right="567"/>
        <w:jc w:val="both"/>
        <w:rPr>
          <w:rFonts w:ascii="Palatino Linotype" w:eastAsia="Palatino Linotype" w:hAnsi="Palatino Linotype" w:cs="Palatino Linotype"/>
          <w:i/>
        </w:rPr>
      </w:pPr>
      <w:r w:rsidRPr="00BC2B1F">
        <w:rPr>
          <w:rFonts w:ascii="Palatino Linotype" w:eastAsia="Palatino Linotype" w:hAnsi="Palatino Linotype" w:cs="Palatino Linotype"/>
          <w:b/>
          <w:i/>
        </w:rPr>
        <w:t>…</w:t>
      </w:r>
      <w:r w:rsidRPr="00BC2B1F">
        <w:rPr>
          <w:rFonts w:ascii="Palatino Linotype" w:eastAsia="Palatino Linotype" w:hAnsi="Palatino Linotype" w:cs="Palatino Linotype"/>
          <w:i/>
        </w:rPr>
        <w:t>”</w:t>
      </w:r>
    </w:p>
    <w:p w14:paraId="5A684BB7"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6E2DA41D"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Aunado a lo anterior, este Organismo Garante,</w:t>
      </w:r>
      <w:r w:rsidRPr="00BC2B1F">
        <w:rPr>
          <w:rFonts w:ascii="Palatino Linotype" w:eastAsia="Palatino Linotype" w:hAnsi="Palatino Linotype" w:cs="Palatino Linotype"/>
          <w:b/>
          <w:sz w:val="24"/>
          <w:szCs w:val="24"/>
        </w:rPr>
        <w:t xml:space="preserve"> </w:t>
      </w:r>
      <w:r w:rsidRPr="00BC2B1F">
        <w:rPr>
          <w:rFonts w:ascii="Palatino Linotype" w:eastAsia="Palatino Linotype" w:hAnsi="Palatino Linotype" w:cs="Palatino Linotype"/>
          <w:sz w:val="24"/>
          <w:szCs w:val="24"/>
        </w:rPr>
        <w:t xml:space="preserve">deja a salvo los derechos del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para que pueda formular una nueva solicitud de acceso a la información pública ante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correspondiente. </w:t>
      </w:r>
    </w:p>
    <w:p w14:paraId="67FDD74E"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1039C566"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En este sentido, y ante la información adicional y precisa remitida vía alcance al informe justificado, conviene hacer alusión a lo que señala el artículo 192, fracción III de la Ley de Transparencia y Acceso a la Información Pública del Estado de México y Municipios vigente, a saber:</w:t>
      </w:r>
    </w:p>
    <w:p w14:paraId="1356896A"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79E25330" w14:textId="77777777" w:rsidR="005E1F22" w:rsidRPr="00BC2B1F" w:rsidRDefault="004B52D7">
      <w:pPr>
        <w:tabs>
          <w:tab w:val="left" w:pos="709"/>
        </w:tabs>
        <w:spacing w:after="240" w:line="360" w:lineRule="auto"/>
        <w:ind w:left="860"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w:t>
      </w:r>
      <w:r w:rsidRPr="00BC2B1F">
        <w:rPr>
          <w:rFonts w:ascii="Palatino Linotype" w:eastAsia="Palatino Linotype" w:hAnsi="Palatino Linotype" w:cs="Palatino Linotype"/>
          <w:b/>
          <w:i/>
        </w:rPr>
        <w:t>Artículo 192</w:t>
      </w:r>
      <w:r w:rsidRPr="00BC2B1F">
        <w:rPr>
          <w:rFonts w:ascii="Palatino Linotype" w:eastAsia="Palatino Linotype" w:hAnsi="Palatino Linotype" w:cs="Palatino Linotype"/>
          <w:i/>
        </w:rPr>
        <w:t xml:space="preserve">. </w:t>
      </w:r>
      <w:r w:rsidRPr="00BC2B1F">
        <w:rPr>
          <w:rFonts w:ascii="Palatino Linotype" w:eastAsia="Palatino Linotype" w:hAnsi="Palatino Linotype" w:cs="Palatino Linotype"/>
          <w:b/>
          <w:i/>
        </w:rPr>
        <w:t>El recurso será sobreseído</w:t>
      </w:r>
      <w:r w:rsidRPr="00BC2B1F">
        <w:rPr>
          <w:rFonts w:ascii="Palatino Linotype" w:eastAsia="Palatino Linotype" w:hAnsi="Palatino Linotype" w:cs="Palatino Linotype"/>
          <w:i/>
        </w:rPr>
        <w:t xml:space="preserve">, </w:t>
      </w:r>
      <w:r w:rsidRPr="00BC2B1F">
        <w:rPr>
          <w:rFonts w:ascii="Palatino Linotype" w:eastAsia="Palatino Linotype" w:hAnsi="Palatino Linotype" w:cs="Palatino Linotype"/>
          <w:b/>
          <w:i/>
        </w:rPr>
        <w:t>en todo o en parte,</w:t>
      </w:r>
      <w:r w:rsidRPr="00BC2B1F">
        <w:rPr>
          <w:rFonts w:ascii="Palatino Linotype" w:eastAsia="Palatino Linotype" w:hAnsi="Palatino Linotype" w:cs="Palatino Linotype"/>
          <w:i/>
        </w:rPr>
        <w:t xml:space="preserve"> </w:t>
      </w:r>
      <w:r w:rsidRPr="00BC2B1F">
        <w:rPr>
          <w:rFonts w:ascii="Palatino Linotype" w:eastAsia="Palatino Linotype" w:hAnsi="Palatino Linotype" w:cs="Palatino Linotype"/>
          <w:b/>
          <w:i/>
        </w:rPr>
        <w:t>cuando una vez admitido, se actualicen alguno de los siguientes supuestos</w:t>
      </w:r>
      <w:r w:rsidRPr="00BC2B1F">
        <w:rPr>
          <w:rFonts w:ascii="Palatino Linotype" w:eastAsia="Palatino Linotype" w:hAnsi="Palatino Linotype" w:cs="Palatino Linotype"/>
          <w:i/>
        </w:rPr>
        <w:t xml:space="preserve">: </w:t>
      </w:r>
    </w:p>
    <w:p w14:paraId="7A9E54AA" w14:textId="77777777" w:rsidR="005E1F22" w:rsidRPr="00BC2B1F" w:rsidRDefault="004B52D7">
      <w:pPr>
        <w:tabs>
          <w:tab w:val="left" w:pos="709"/>
        </w:tabs>
        <w:spacing w:before="240" w:after="240" w:line="360" w:lineRule="auto"/>
        <w:ind w:left="1140" w:right="900"/>
        <w:jc w:val="both"/>
        <w:rPr>
          <w:rFonts w:ascii="Palatino Linotype" w:eastAsia="Palatino Linotype" w:hAnsi="Palatino Linotype" w:cs="Palatino Linotype"/>
          <w:i/>
        </w:rPr>
      </w:pPr>
      <w:r w:rsidRPr="00BC2B1F">
        <w:rPr>
          <w:rFonts w:ascii="Palatino Linotype" w:eastAsia="Palatino Linotype" w:hAnsi="Palatino Linotype" w:cs="Palatino Linotype"/>
          <w:i/>
        </w:rPr>
        <w:t>(…)</w:t>
      </w:r>
    </w:p>
    <w:p w14:paraId="27230442" w14:textId="77777777" w:rsidR="005E1F22" w:rsidRPr="00BC2B1F" w:rsidRDefault="004B52D7">
      <w:pPr>
        <w:tabs>
          <w:tab w:val="left" w:pos="709"/>
        </w:tabs>
        <w:spacing w:before="240" w:after="240" w:line="360" w:lineRule="auto"/>
        <w:ind w:left="1140" w:right="900"/>
        <w:jc w:val="both"/>
        <w:rPr>
          <w:rFonts w:ascii="Palatino Linotype" w:eastAsia="Palatino Linotype" w:hAnsi="Palatino Linotype" w:cs="Palatino Linotype"/>
          <w:i/>
        </w:rPr>
      </w:pPr>
      <w:r w:rsidRPr="00BC2B1F">
        <w:rPr>
          <w:rFonts w:ascii="Palatino Linotype" w:eastAsia="Palatino Linotype" w:hAnsi="Palatino Linotype" w:cs="Palatino Linotype"/>
          <w:b/>
          <w:i/>
        </w:rPr>
        <w:lastRenderedPageBreak/>
        <w:t>III. El sujeto obligado responsable del acto, lo modifique o revoque de tal manera que el recurso de revisión quede sin materia...</w:t>
      </w:r>
      <w:r w:rsidRPr="00BC2B1F">
        <w:rPr>
          <w:rFonts w:ascii="Palatino Linotype" w:eastAsia="Palatino Linotype" w:hAnsi="Palatino Linotype" w:cs="Palatino Linotype"/>
          <w:i/>
        </w:rPr>
        <w:t>”</w:t>
      </w:r>
    </w:p>
    <w:p w14:paraId="05670D41" w14:textId="77777777" w:rsidR="005E1F22" w:rsidRPr="00BC2B1F" w:rsidRDefault="004B52D7">
      <w:pPr>
        <w:tabs>
          <w:tab w:val="left" w:pos="709"/>
        </w:tabs>
        <w:spacing w:before="240"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De lo establecido en el precepto legal citado se advierte que el sobreseimiento del recurso de revisión procede en los siguientes casos:</w:t>
      </w:r>
    </w:p>
    <w:p w14:paraId="5D742FB5"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4D571C54" w14:textId="77777777" w:rsidR="005E1F22" w:rsidRPr="00BC2B1F" w:rsidRDefault="004B52D7">
      <w:pPr>
        <w:tabs>
          <w:tab w:val="left" w:pos="709"/>
        </w:tabs>
        <w:spacing w:after="0" w:line="360" w:lineRule="auto"/>
        <w:ind w:left="28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a) Cuando el Sujeto Obligado modifique el acto impugnado. </w:t>
      </w:r>
    </w:p>
    <w:p w14:paraId="21E699BC" w14:textId="77777777" w:rsidR="005E1F22" w:rsidRPr="00BC2B1F" w:rsidRDefault="004B52D7">
      <w:pPr>
        <w:tabs>
          <w:tab w:val="left" w:pos="709"/>
        </w:tabs>
        <w:spacing w:after="0" w:line="360" w:lineRule="auto"/>
        <w:ind w:left="28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b) Cuando el Sujeto Obligado revoque el acto impugnado; </w:t>
      </w:r>
    </w:p>
    <w:p w14:paraId="26A48542" w14:textId="77777777" w:rsidR="005E1F22" w:rsidRPr="00BC2B1F" w:rsidRDefault="005E1F22">
      <w:pPr>
        <w:tabs>
          <w:tab w:val="left" w:pos="709"/>
        </w:tabs>
        <w:spacing w:after="0" w:line="360" w:lineRule="auto"/>
        <w:ind w:left="280"/>
        <w:jc w:val="both"/>
        <w:rPr>
          <w:rFonts w:ascii="Palatino Linotype" w:eastAsia="Palatino Linotype" w:hAnsi="Palatino Linotype" w:cs="Palatino Linotype"/>
          <w:sz w:val="24"/>
          <w:szCs w:val="24"/>
        </w:rPr>
      </w:pPr>
    </w:p>
    <w:p w14:paraId="10990527"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Quedando en ambos casos el acto combatido sin materia o sin efectos.</w:t>
      </w:r>
    </w:p>
    <w:p w14:paraId="59676A48"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6F652013"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Como se observa de lo anterior, un acto impugnado es modificado en aquellos casos en los que el Sujeto Obligado después de haber otorgado una respuesta, o haber omitido hacerlo (acto de no hacer), emite una o una diversa de manera posterior y en ésta subsanó las deficiencias que hubiera tenido, quedando satisfecho el derecho subjetivo accionado por la parte recurrente.</w:t>
      </w:r>
    </w:p>
    <w:p w14:paraId="158C6387"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45D2F7CD"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4979516F"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lastRenderedPageBreak/>
        <w:t>En este orden de ideas, un acto impugnado queda sin efectos, cuando aun existiendo jurídicamente (esto es, que no se ha modificado, ni revocado) ya no genera ninguna consecuencia legal.</w:t>
      </w:r>
    </w:p>
    <w:p w14:paraId="4E35E09F"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03F710AD"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En tanto que, un acto impugnado queda sin materia, cuando ha sido satisfecha la pretensión del recurrente de manera que el Sujeto Obligado entrega una </w:t>
      </w:r>
      <w:proofErr w:type="gramStart"/>
      <w:r w:rsidRPr="00BC2B1F">
        <w:rPr>
          <w:rFonts w:ascii="Palatino Linotype" w:eastAsia="Palatino Linotype" w:hAnsi="Palatino Linotype" w:cs="Palatino Linotype"/>
          <w:sz w:val="24"/>
          <w:szCs w:val="24"/>
        </w:rPr>
        <w:t>respuesta</w:t>
      </w:r>
      <w:proofErr w:type="gramEnd"/>
      <w:r w:rsidRPr="00BC2B1F">
        <w:rPr>
          <w:rFonts w:ascii="Palatino Linotype" w:eastAsia="Palatino Linotype" w:hAnsi="Palatino Linotype" w:cs="Palatino Linotype"/>
          <w:sz w:val="24"/>
          <w:szCs w:val="24"/>
        </w:rPr>
        <w:t xml:space="preserve"> aunque sea posterior a los términos previstos en la ley y mediante ésta concede la información solicitada.</w:t>
      </w:r>
    </w:p>
    <w:p w14:paraId="38477951"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2905E24F"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Ahora bien, en el caso concreto, es evidente que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modificó su respuesta, ya que, a través de su pronunciamiento emitido en la etapa de manifestaciones, declaro su formal incompetencia.</w:t>
      </w:r>
    </w:p>
    <w:p w14:paraId="61C7A7EB"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4381DD8E" w14:textId="77777777" w:rsidR="005E1F22" w:rsidRPr="00BC2B1F" w:rsidRDefault="004B52D7">
      <w:pPr>
        <w:tabs>
          <w:tab w:val="left" w:pos="709"/>
        </w:tabs>
        <w:spacing w:after="0" w:line="360" w:lineRule="auto"/>
        <w:ind w:right="4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De este modo, cuando el </w:t>
      </w:r>
      <w:r w:rsidRPr="00BC2B1F">
        <w:rPr>
          <w:rFonts w:ascii="Palatino Linotype" w:eastAsia="Palatino Linotype" w:hAnsi="Palatino Linotype" w:cs="Palatino Linotype"/>
          <w:b/>
          <w:sz w:val="24"/>
          <w:szCs w:val="24"/>
        </w:rPr>
        <w:t xml:space="preserve">SUJETO OBLIGADO, </w:t>
      </w:r>
      <w:r w:rsidRPr="00BC2B1F">
        <w:rPr>
          <w:rFonts w:ascii="Palatino Linotype" w:eastAsia="Palatino Linotype" w:hAnsi="Palatino Linotype" w:cs="Palatino Linotype"/>
          <w:sz w:val="24"/>
          <w:szCs w:val="24"/>
        </w:rPr>
        <w:t xml:space="preserve">antes de que se dicte resolución definitiva, entrega la información solicitada o </w:t>
      </w:r>
      <w:r w:rsidRPr="00BC2B1F">
        <w:rPr>
          <w:rFonts w:ascii="Palatino Linotype" w:eastAsia="Palatino Linotype" w:hAnsi="Palatino Linotype" w:cs="Palatino Linotype"/>
          <w:sz w:val="24"/>
          <w:szCs w:val="24"/>
          <w:u w:val="single"/>
        </w:rPr>
        <w:t>completa la respuesta que en un primer momento fue incompleta</w:t>
      </w:r>
      <w:r w:rsidRPr="00BC2B1F">
        <w:rPr>
          <w:rFonts w:ascii="Palatino Linotype" w:eastAsia="Palatino Linotype" w:hAnsi="Palatino Linotype" w:cs="Palatino Linotype"/>
          <w:sz w:val="24"/>
          <w:szCs w:val="24"/>
        </w:rPr>
        <w:t xml:space="preserve"> o no correspondió con lo solicitado; el recurso de revisión que al efecto se haya interpuesto queda sin materia lo que imposibilita el estudio de fondo de la </w:t>
      </w:r>
      <w:r w:rsidRPr="00BC2B1F">
        <w:rPr>
          <w:rFonts w:ascii="Palatino Linotype" w:eastAsia="Palatino Linotype" w:hAnsi="Palatino Linotype" w:cs="Palatino Linotype"/>
          <w:i/>
          <w:sz w:val="24"/>
          <w:szCs w:val="24"/>
        </w:rPr>
        <w:t>litis</w:t>
      </w:r>
      <w:r w:rsidRPr="00BC2B1F">
        <w:rPr>
          <w:rFonts w:ascii="Palatino Linotype" w:eastAsia="Palatino Linotype" w:hAnsi="Palatino Linotype" w:cs="Palatino Linotype"/>
          <w:sz w:val="24"/>
          <w:szCs w:val="24"/>
        </w:rPr>
        <w:t xml:space="preserve"> planteada, debido a que la afectación en su esfera de derechos fue restituida por la propia autoridad que emitió el acto motivo de impugnación.</w:t>
      </w:r>
    </w:p>
    <w:p w14:paraId="681D5BBD" w14:textId="77777777" w:rsidR="005E1F22" w:rsidRPr="00BC2B1F" w:rsidRDefault="005E1F22">
      <w:pPr>
        <w:tabs>
          <w:tab w:val="left" w:pos="709"/>
        </w:tabs>
        <w:spacing w:after="0" w:line="360" w:lineRule="auto"/>
        <w:ind w:right="40"/>
        <w:jc w:val="both"/>
        <w:rPr>
          <w:rFonts w:ascii="Palatino Linotype" w:eastAsia="Palatino Linotype" w:hAnsi="Palatino Linotype" w:cs="Palatino Linotype"/>
          <w:sz w:val="24"/>
          <w:szCs w:val="24"/>
        </w:rPr>
      </w:pPr>
    </w:p>
    <w:p w14:paraId="4955429E" w14:textId="77777777" w:rsidR="005E1F22" w:rsidRPr="00BC2B1F" w:rsidRDefault="004B52D7">
      <w:pPr>
        <w:tabs>
          <w:tab w:val="left" w:pos="709"/>
        </w:tabs>
        <w:spacing w:after="0" w:line="360" w:lineRule="auto"/>
        <w:ind w:right="4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Por lo tanto, para que se actualice el sobreseimiento de un recurso de revisión,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puede entregar o completar la información al momento de </w:t>
      </w:r>
      <w:r w:rsidRPr="00BC2B1F">
        <w:rPr>
          <w:rFonts w:ascii="Palatino Linotype" w:eastAsia="Palatino Linotype" w:hAnsi="Palatino Linotype" w:cs="Palatino Linotype"/>
          <w:sz w:val="24"/>
          <w:szCs w:val="24"/>
        </w:rPr>
        <w:lastRenderedPageBreak/>
        <w:t xml:space="preserve">rendir su informe de justificación dentro de los siete días previstos para manifestar lo que a su derecho convenga, lo anterior también puede ocurrir si entrega la información después de ese lapso, pero antes del cierre de instrucción. </w:t>
      </w:r>
    </w:p>
    <w:p w14:paraId="66E982E2" w14:textId="77777777" w:rsidR="005E1F22" w:rsidRPr="00BC2B1F" w:rsidRDefault="005E1F22">
      <w:pPr>
        <w:tabs>
          <w:tab w:val="left" w:pos="709"/>
        </w:tabs>
        <w:spacing w:after="0" w:line="360" w:lineRule="auto"/>
        <w:ind w:right="40"/>
        <w:jc w:val="both"/>
        <w:rPr>
          <w:rFonts w:ascii="Palatino Linotype" w:eastAsia="Palatino Linotype" w:hAnsi="Palatino Linotype" w:cs="Palatino Linotype"/>
          <w:sz w:val="24"/>
          <w:szCs w:val="24"/>
        </w:rPr>
      </w:pPr>
    </w:p>
    <w:p w14:paraId="274F0FFD" w14:textId="77777777" w:rsidR="005E1F22" w:rsidRPr="00BC2B1F" w:rsidRDefault="004B52D7">
      <w:pPr>
        <w:tabs>
          <w:tab w:val="left" w:pos="709"/>
        </w:tabs>
        <w:spacing w:after="0" w:line="360" w:lineRule="auto"/>
        <w:ind w:right="4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Este Pleno advierte que 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con la información enviada mediante informe justificado, </w:t>
      </w:r>
      <w:r w:rsidRPr="00BC2B1F">
        <w:rPr>
          <w:rFonts w:ascii="Palatino Linotype" w:eastAsia="Palatino Linotype" w:hAnsi="Palatino Linotype" w:cs="Palatino Linotype"/>
          <w:b/>
          <w:sz w:val="24"/>
          <w:szCs w:val="24"/>
        </w:rPr>
        <w:t>modifica</w:t>
      </w:r>
      <w:r w:rsidRPr="00BC2B1F">
        <w:rPr>
          <w:rFonts w:ascii="Palatino Linotype" w:eastAsia="Palatino Linotype" w:hAnsi="Palatino Linotype" w:cs="Palatino Linotype"/>
          <w:sz w:val="24"/>
          <w:szCs w:val="24"/>
        </w:rPr>
        <w:t xml:space="preserve"> </w:t>
      </w:r>
      <w:r w:rsidRPr="00BC2B1F">
        <w:rPr>
          <w:rFonts w:ascii="Palatino Linotype" w:eastAsia="Palatino Linotype" w:hAnsi="Palatino Linotype" w:cs="Palatino Linotype"/>
          <w:sz w:val="24"/>
          <w:szCs w:val="24"/>
          <w:u w:val="single"/>
        </w:rPr>
        <w:t>el acto que le dio origen al recurso de revisión, por lo que trae como consecuencia que el mismo quede sin materia</w:t>
      </w:r>
      <w:r w:rsidRPr="00BC2B1F">
        <w:rPr>
          <w:rFonts w:ascii="Palatino Linotype" w:eastAsia="Palatino Linotype" w:hAnsi="Palatino Linotype" w:cs="Palatino Linotype"/>
          <w:sz w:val="24"/>
          <w:szCs w:val="24"/>
        </w:rPr>
        <w:t xml:space="preserve">, actualizándose de este modo, la hipótesis jurídica contenida en la </w:t>
      </w:r>
      <w:r w:rsidRPr="00BC2B1F">
        <w:rPr>
          <w:rFonts w:ascii="Palatino Linotype" w:eastAsia="Palatino Linotype" w:hAnsi="Palatino Linotype" w:cs="Palatino Linotype"/>
          <w:b/>
          <w:sz w:val="24"/>
          <w:szCs w:val="24"/>
        </w:rPr>
        <w:t>fracción III</w:t>
      </w:r>
      <w:r w:rsidRPr="00BC2B1F">
        <w:rPr>
          <w:rFonts w:ascii="Palatino Linotype" w:eastAsia="Palatino Linotype" w:hAnsi="Palatino Linotype" w:cs="Palatino Linotype"/>
          <w:sz w:val="24"/>
          <w:szCs w:val="24"/>
        </w:rPr>
        <w:t xml:space="preserve"> del citado artículo </w:t>
      </w:r>
      <w:r w:rsidRPr="00BC2B1F">
        <w:rPr>
          <w:rFonts w:ascii="Palatino Linotype" w:eastAsia="Palatino Linotype" w:hAnsi="Palatino Linotype" w:cs="Palatino Linotype"/>
          <w:b/>
          <w:sz w:val="24"/>
          <w:szCs w:val="24"/>
        </w:rPr>
        <w:t>192</w:t>
      </w:r>
      <w:r w:rsidRPr="00BC2B1F">
        <w:rPr>
          <w:rFonts w:ascii="Palatino Linotype" w:eastAsia="Palatino Linotype" w:hAnsi="Palatino Linotype" w:cs="Palatino Linotype"/>
          <w:sz w:val="24"/>
          <w:szCs w:val="24"/>
        </w:rPr>
        <w:t>.</w:t>
      </w:r>
    </w:p>
    <w:p w14:paraId="1F25285E" w14:textId="77777777" w:rsidR="005E1F22" w:rsidRPr="00BC2B1F" w:rsidRDefault="005E1F22">
      <w:pPr>
        <w:tabs>
          <w:tab w:val="left" w:pos="709"/>
        </w:tabs>
        <w:spacing w:after="0" w:line="360" w:lineRule="auto"/>
        <w:ind w:right="40"/>
        <w:jc w:val="both"/>
        <w:rPr>
          <w:rFonts w:ascii="Palatino Linotype" w:eastAsia="Palatino Linotype" w:hAnsi="Palatino Linotype" w:cs="Palatino Linotype"/>
          <w:sz w:val="24"/>
          <w:szCs w:val="24"/>
        </w:rPr>
      </w:pPr>
    </w:p>
    <w:p w14:paraId="6F8A4E40" w14:textId="77777777" w:rsidR="005E1F22" w:rsidRPr="00BC2B1F" w:rsidRDefault="004B52D7">
      <w:pPr>
        <w:tabs>
          <w:tab w:val="left" w:pos="709"/>
        </w:tabs>
        <w:spacing w:after="0" w:line="360" w:lineRule="auto"/>
        <w:ind w:right="40"/>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sz w:val="24"/>
          <w:szCs w:val="24"/>
        </w:rPr>
        <w:t xml:space="preserve">Así, siendo el </w:t>
      </w:r>
      <w:r w:rsidRPr="00BC2B1F">
        <w:rPr>
          <w:rFonts w:ascii="Palatino Linotype" w:eastAsia="Palatino Linotype" w:hAnsi="Palatino Linotype" w:cs="Palatino Linotype"/>
          <w:i/>
          <w:sz w:val="24"/>
          <w:szCs w:val="24"/>
        </w:rPr>
        <w:t>sobreseimiento</w:t>
      </w:r>
      <w:r w:rsidRPr="00BC2B1F">
        <w:rPr>
          <w:rFonts w:ascii="Palatino Linotype" w:eastAsia="Palatino Linotype" w:hAnsi="Palatino Linotype" w:cs="Palatino Linotype"/>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BC2B1F">
        <w:rPr>
          <w:rFonts w:ascii="Palatino Linotype" w:eastAsia="Palatino Linotype" w:hAnsi="Palatino Linotype" w:cs="Palatino Linotype"/>
          <w:b/>
          <w:sz w:val="24"/>
          <w:szCs w:val="24"/>
        </w:rPr>
        <w:t>SOBRESEIMIENTO, NO PERMITE ENTRAR AL ESTUDIO DE LAS CUESTIONES DE FONDO.</w:t>
      </w:r>
    </w:p>
    <w:p w14:paraId="27E8DE9E" w14:textId="77777777" w:rsidR="005E1F22" w:rsidRPr="00BC2B1F" w:rsidRDefault="005E1F22">
      <w:pPr>
        <w:tabs>
          <w:tab w:val="left" w:pos="709"/>
        </w:tabs>
        <w:spacing w:after="0" w:line="360" w:lineRule="auto"/>
        <w:ind w:right="40"/>
        <w:jc w:val="both"/>
        <w:rPr>
          <w:rFonts w:ascii="Palatino Linotype" w:eastAsia="Palatino Linotype" w:hAnsi="Palatino Linotype" w:cs="Palatino Linotype"/>
          <w:b/>
          <w:sz w:val="24"/>
          <w:szCs w:val="24"/>
        </w:rPr>
      </w:pPr>
    </w:p>
    <w:p w14:paraId="2BB1267F" w14:textId="77777777" w:rsidR="005E1F22" w:rsidRPr="00BC2B1F" w:rsidRDefault="004B52D7">
      <w:pPr>
        <w:tabs>
          <w:tab w:val="left" w:pos="709"/>
        </w:tabs>
        <w:spacing w:after="0" w:line="360" w:lineRule="auto"/>
        <w:ind w:right="40"/>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 xml:space="preserve">Por lo tanto, en términos del artículo 186 fracción I este Pleno determina el </w:t>
      </w:r>
      <w:r w:rsidRPr="00BC2B1F">
        <w:rPr>
          <w:rFonts w:ascii="Palatino Linotype" w:eastAsia="Palatino Linotype" w:hAnsi="Palatino Linotype" w:cs="Palatino Linotype"/>
          <w:b/>
          <w:sz w:val="24"/>
          <w:szCs w:val="24"/>
        </w:rPr>
        <w:t xml:space="preserve">SOBRESEIMIENTO </w:t>
      </w:r>
      <w:r w:rsidRPr="00BC2B1F">
        <w:rPr>
          <w:rFonts w:ascii="Palatino Linotype" w:eastAsia="Palatino Linotype" w:hAnsi="Palatino Linotype" w:cs="Palatino Linotype"/>
          <w:sz w:val="24"/>
          <w:szCs w:val="24"/>
        </w:rPr>
        <w:t xml:space="preserve">del presente recurso de revisión, toda vez que la afectación al derecho de acceso a la información pública establecido constitucionalmente a favor </w:t>
      </w:r>
      <w:r w:rsidRPr="00BC2B1F">
        <w:rPr>
          <w:rFonts w:ascii="Palatino Linotype" w:eastAsia="Palatino Linotype" w:hAnsi="Palatino Linotype" w:cs="Palatino Linotype"/>
          <w:sz w:val="24"/>
          <w:szCs w:val="24"/>
        </w:rPr>
        <w:lastRenderedPageBreak/>
        <w:t>del particular ha sido resarcida al proporcionar la información que ha sido observada por este Organismo Garante.</w:t>
      </w:r>
    </w:p>
    <w:p w14:paraId="461E9A79"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1F18E09C" w14:textId="77777777" w:rsidR="005E1F22" w:rsidRPr="00BC2B1F" w:rsidRDefault="004B52D7">
      <w:pPr>
        <w:tabs>
          <w:tab w:val="left" w:pos="709"/>
        </w:tabs>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86D938C" w14:textId="77777777" w:rsidR="005E1F22" w:rsidRPr="00BC2B1F" w:rsidRDefault="005E1F22">
      <w:pPr>
        <w:tabs>
          <w:tab w:val="left" w:pos="709"/>
        </w:tabs>
        <w:spacing w:after="0" w:line="360" w:lineRule="auto"/>
        <w:jc w:val="both"/>
        <w:rPr>
          <w:rFonts w:ascii="Palatino Linotype" w:eastAsia="Palatino Linotype" w:hAnsi="Palatino Linotype" w:cs="Palatino Linotype"/>
          <w:sz w:val="24"/>
          <w:szCs w:val="24"/>
        </w:rPr>
      </w:pPr>
    </w:p>
    <w:p w14:paraId="3EC2114A" w14:textId="77777777" w:rsidR="005E1F22" w:rsidRPr="00BC2B1F" w:rsidRDefault="004B52D7">
      <w:pPr>
        <w:spacing w:after="0" w:line="360" w:lineRule="auto"/>
        <w:jc w:val="center"/>
        <w:rPr>
          <w:rFonts w:ascii="Palatino Linotype" w:eastAsia="Palatino Linotype" w:hAnsi="Palatino Linotype" w:cs="Palatino Linotype"/>
          <w:b/>
          <w:sz w:val="24"/>
          <w:szCs w:val="24"/>
        </w:rPr>
      </w:pPr>
      <w:r w:rsidRPr="00BC2B1F">
        <w:rPr>
          <w:rFonts w:ascii="Palatino Linotype" w:eastAsia="Palatino Linotype" w:hAnsi="Palatino Linotype" w:cs="Palatino Linotype"/>
          <w:b/>
          <w:sz w:val="24"/>
          <w:szCs w:val="24"/>
        </w:rPr>
        <w:t>RESUELVE:</w:t>
      </w:r>
    </w:p>
    <w:p w14:paraId="361E1CE6" w14:textId="77777777" w:rsidR="005E1F22" w:rsidRPr="00BC2B1F" w:rsidRDefault="004B52D7">
      <w:pPr>
        <w:spacing w:after="0" w:line="360" w:lineRule="auto"/>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b/>
          <w:sz w:val="24"/>
          <w:szCs w:val="24"/>
        </w:rPr>
        <w:t xml:space="preserve">PRIMERO. </w:t>
      </w:r>
      <w:r w:rsidRPr="00BC2B1F">
        <w:rPr>
          <w:rFonts w:ascii="Palatino Linotype" w:eastAsia="Palatino Linotype" w:hAnsi="Palatino Linotype" w:cs="Palatino Linotype"/>
          <w:sz w:val="24"/>
          <w:szCs w:val="24"/>
        </w:rPr>
        <w:t xml:space="preserve">Se </w:t>
      </w:r>
      <w:r w:rsidRPr="00BC2B1F">
        <w:rPr>
          <w:rFonts w:ascii="Palatino Linotype" w:eastAsia="Palatino Linotype" w:hAnsi="Palatino Linotype" w:cs="Palatino Linotype"/>
          <w:b/>
          <w:sz w:val="24"/>
          <w:szCs w:val="24"/>
        </w:rPr>
        <w:t>SOBRESEE</w:t>
      </w:r>
      <w:r w:rsidRPr="00BC2B1F">
        <w:rPr>
          <w:rFonts w:ascii="Palatino Linotype" w:eastAsia="Palatino Linotype" w:hAnsi="Palatino Linotype" w:cs="Palatino Linotype"/>
          <w:sz w:val="24"/>
          <w:szCs w:val="24"/>
        </w:rPr>
        <w:t xml:space="preserve"> el recurso de revisión número </w:t>
      </w:r>
      <w:r w:rsidRPr="00BC2B1F">
        <w:rPr>
          <w:rFonts w:ascii="Palatino Linotype" w:eastAsia="Palatino Linotype" w:hAnsi="Palatino Linotype" w:cs="Palatino Linotype"/>
          <w:b/>
          <w:sz w:val="24"/>
          <w:szCs w:val="24"/>
        </w:rPr>
        <w:t>10044/INFOEM/IP/RR/2022,</w:t>
      </w:r>
      <w:r w:rsidRPr="00BC2B1F">
        <w:rPr>
          <w:rFonts w:ascii="Palatino Linotype" w:eastAsia="Palatino Linotype" w:hAnsi="Palatino Linotype" w:cs="Palatino Linotype"/>
          <w:sz w:val="24"/>
          <w:szCs w:val="24"/>
        </w:rPr>
        <w:t xml:space="preserve"> de conformidad con lo dispuesto en la fracción III del artículo 192 de la Ley de Transparencia y Acceso a la Información Pública del Estado de México y Municipios, porque al modificar la respuesta a la solicitud de acceso a la información </w:t>
      </w:r>
      <w:r w:rsidRPr="00BC2B1F">
        <w:rPr>
          <w:rFonts w:ascii="Palatino Linotype" w:eastAsia="Palatino Linotype" w:hAnsi="Palatino Linotype" w:cs="Palatino Linotype"/>
          <w:b/>
          <w:sz w:val="24"/>
          <w:szCs w:val="24"/>
        </w:rPr>
        <w:t>00018/JLCAVT/IP/2022,</w:t>
      </w:r>
      <w:r w:rsidRPr="00BC2B1F">
        <w:rPr>
          <w:rFonts w:ascii="Palatino Linotype" w:eastAsia="Palatino Linotype" w:hAnsi="Palatino Linotype" w:cs="Palatino Linotype"/>
          <w:sz w:val="24"/>
          <w:szCs w:val="24"/>
        </w:rPr>
        <w:t xml:space="preserve"> el recurso de revisión quedó sin materia en términos del Considerando Tercero de la presente resolución</w:t>
      </w:r>
      <w:r w:rsidRPr="00BC2B1F">
        <w:rPr>
          <w:rFonts w:ascii="Palatino Linotype" w:eastAsia="Palatino Linotype" w:hAnsi="Palatino Linotype" w:cs="Palatino Linotype"/>
          <w:b/>
          <w:sz w:val="24"/>
          <w:szCs w:val="24"/>
        </w:rPr>
        <w:t>.</w:t>
      </w:r>
    </w:p>
    <w:p w14:paraId="3C47754D" w14:textId="77777777" w:rsidR="005E1F22" w:rsidRPr="00BC2B1F" w:rsidRDefault="005E1F22">
      <w:pPr>
        <w:spacing w:after="0" w:line="360" w:lineRule="auto"/>
        <w:jc w:val="both"/>
        <w:rPr>
          <w:rFonts w:ascii="Palatino Linotype" w:eastAsia="Palatino Linotype" w:hAnsi="Palatino Linotype" w:cs="Palatino Linotype"/>
          <w:b/>
          <w:sz w:val="24"/>
          <w:szCs w:val="24"/>
        </w:rPr>
      </w:pPr>
    </w:p>
    <w:p w14:paraId="1C6BEB55" w14:textId="77777777" w:rsidR="005E1F22" w:rsidRPr="00BC2B1F" w:rsidRDefault="004B52D7">
      <w:pPr>
        <w:spacing w:after="0" w:line="360" w:lineRule="auto"/>
        <w:jc w:val="both"/>
        <w:rPr>
          <w:rFonts w:ascii="Palatino Linotype" w:eastAsia="Palatino Linotype" w:hAnsi="Palatino Linotype" w:cs="Palatino Linotype"/>
          <w:b/>
          <w:sz w:val="24"/>
          <w:szCs w:val="24"/>
        </w:rPr>
      </w:pPr>
      <w:r w:rsidRPr="00BC2B1F">
        <w:rPr>
          <w:rFonts w:ascii="Palatino Linotype" w:eastAsia="Palatino Linotype" w:hAnsi="Palatino Linotype" w:cs="Palatino Linotype"/>
          <w:b/>
          <w:sz w:val="24"/>
          <w:szCs w:val="24"/>
        </w:rPr>
        <w:t xml:space="preserve">SEGUNDO. Notifíquese, </w:t>
      </w:r>
      <w:r w:rsidRPr="00BC2B1F">
        <w:rPr>
          <w:rFonts w:ascii="Palatino Linotype" w:eastAsia="Palatino Linotype" w:hAnsi="Palatino Linotype" w:cs="Palatino Linotype"/>
          <w:sz w:val="24"/>
          <w:szCs w:val="24"/>
        </w:rPr>
        <w:t xml:space="preserve">vía </w:t>
      </w:r>
      <w:r w:rsidRPr="00BC2B1F">
        <w:rPr>
          <w:rFonts w:ascii="Palatino Linotype" w:eastAsia="Palatino Linotype" w:hAnsi="Palatino Linotype" w:cs="Palatino Linotype"/>
          <w:b/>
          <w:sz w:val="24"/>
          <w:szCs w:val="24"/>
        </w:rPr>
        <w:t xml:space="preserve">SAIMEX, </w:t>
      </w:r>
      <w:r w:rsidRPr="00BC2B1F">
        <w:rPr>
          <w:rFonts w:ascii="Palatino Linotype" w:eastAsia="Palatino Linotype" w:hAnsi="Palatino Linotype" w:cs="Palatino Linotype"/>
          <w:sz w:val="24"/>
          <w:szCs w:val="24"/>
        </w:rPr>
        <w:t xml:space="preserve">al Titular de la Unidad de Transparencia del </w:t>
      </w:r>
      <w:r w:rsidRPr="00BC2B1F">
        <w:rPr>
          <w:rFonts w:ascii="Palatino Linotype" w:eastAsia="Palatino Linotype" w:hAnsi="Palatino Linotype" w:cs="Palatino Linotype"/>
          <w:b/>
          <w:sz w:val="24"/>
          <w:szCs w:val="24"/>
        </w:rPr>
        <w:t>SUJETO OBLIGADO</w:t>
      </w:r>
      <w:r w:rsidRPr="00BC2B1F">
        <w:rPr>
          <w:rFonts w:ascii="Palatino Linotype" w:eastAsia="Palatino Linotype" w:hAnsi="Palatino Linotype" w:cs="Palatino Linotype"/>
          <w:sz w:val="24"/>
          <w:szCs w:val="24"/>
        </w:rPr>
        <w:t xml:space="preserve"> la presente resolución, para su conocimiento.</w:t>
      </w:r>
    </w:p>
    <w:p w14:paraId="732FE5FB"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F96C0AD"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b/>
          <w:sz w:val="24"/>
          <w:szCs w:val="24"/>
        </w:rPr>
        <w:t>TERCERO. Notifíquese vía SAIMEX</w:t>
      </w:r>
      <w:r w:rsidRPr="00BC2B1F">
        <w:rPr>
          <w:rFonts w:ascii="Palatino Linotype" w:eastAsia="Palatino Linotype" w:hAnsi="Palatino Linotype" w:cs="Palatino Linotype"/>
          <w:sz w:val="24"/>
          <w:szCs w:val="24"/>
        </w:rPr>
        <w:t xml:space="preserve">, al </w:t>
      </w:r>
      <w:r w:rsidRPr="00BC2B1F">
        <w:rPr>
          <w:rFonts w:ascii="Palatino Linotype" w:eastAsia="Palatino Linotype" w:hAnsi="Palatino Linotype" w:cs="Palatino Linotype"/>
          <w:b/>
          <w:sz w:val="24"/>
          <w:szCs w:val="24"/>
        </w:rPr>
        <w:t>RECURRENTE</w:t>
      </w:r>
      <w:r w:rsidRPr="00BC2B1F">
        <w:rPr>
          <w:rFonts w:ascii="Palatino Linotype" w:eastAsia="Palatino Linotype" w:hAnsi="Palatino Linotype" w:cs="Palatino Linotype"/>
          <w:sz w:val="24"/>
          <w:szCs w:val="24"/>
        </w:rPr>
        <w:t xml:space="preserve"> la presente resolución; así como, que de conformidad con lo establecido en el artículo 196 de la Ley de </w:t>
      </w:r>
      <w:r w:rsidRPr="00BC2B1F">
        <w:rPr>
          <w:rFonts w:ascii="Palatino Linotype" w:eastAsia="Palatino Linotype" w:hAnsi="Palatino Linotype" w:cs="Palatino Linotype"/>
          <w:sz w:val="24"/>
          <w:szCs w:val="24"/>
        </w:rPr>
        <w:lastRenderedPageBreak/>
        <w:t>Transparencia y Acceso a la Información Pública del Estado de México y Municipios, podrá impugnar vía Juicio de Amparo en los términos de las leyes aplicables.</w:t>
      </w:r>
    </w:p>
    <w:p w14:paraId="256A754E" w14:textId="77777777" w:rsidR="005E1F22" w:rsidRPr="00BC2B1F" w:rsidRDefault="005E1F22">
      <w:pPr>
        <w:spacing w:after="0" w:line="360" w:lineRule="auto"/>
        <w:jc w:val="both"/>
        <w:rPr>
          <w:rFonts w:ascii="Palatino Linotype" w:eastAsia="Palatino Linotype" w:hAnsi="Palatino Linotype" w:cs="Palatino Linotype"/>
          <w:sz w:val="24"/>
          <w:szCs w:val="24"/>
        </w:rPr>
      </w:pPr>
    </w:p>
    <w:p w14:paraId="0022FD9E" w14:textId="77777777" w:rsidR="005E1F22" w:rsidRPr="00BC2B1F" w:rsidRDefault="004B52D7">
      <w:pPr>
        <w:spacing w:after="0" w:line="360" w:lineRule="auto"/>
        <w:jc w:val="both"/>
        <w:rPr>
          <w:rFonts w:ascii="Palatino Linotype" w:eastAsia="Palatino Linotype" w:hAnsi="Palatino Linotype" w:cs="Palatino Linotype"/>
          <w:sz w:val="24"/>
          <w:szCs w:val="24"/>
        </w:rPr>
      </w:pPr>
      <w:r w:rsidRPr="00BC2B1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VEINTIDÓS, ANTE EL SECRETARIO TÉCNICO DEL PLENO ALEXIS TAPIA RAMÍREZ.</w:t>
      </w:r>
    </w:p>
    <w:p w14:paraId="5968466D" w14:textId="77777777" w:rsidR="005E1F22" w:rsidRDefault="005E1F22">
      <w:pPr>
        <w:spacing w:line="360" w:lineRule="auto"/>
        <w:jc w:val="both"/>
        <w:rPr>
          <w:rFonts w:ascii="Palatino Linotype" w:eastAsia="Palatino Linotype" w:hAnsi="Palatino Linotype" w:cs="Palatino Linotype"/>
          <w:sz w:val="24"/>
          <w:szCs w:val="24"/>
        </w:rPr>
      </w:pPr>
    </w:p>
    <w:p w14:paraId="1062AE00" w14:textId="77777777" w:rsidR="001310B4" w:rsidRDefault="001310B4">
      <w:pPr>
        <w:spacing w:line="360" w:lineRule="auto"/>
        <w:jc w:val="both"/>
        <w:rPr>
          <w:rFonts w:ascii="Palatino Linotype" w:eastAsia="Palatino Linotype" w:hAnsi="Palatino Linotype" w:cs="Palatino Linotype"/>
          <w:sz w:val="24"/>
          <w:szCs w:val="24"/>
        </w:rPr>
      </w:pPr>
    </w:p>
    <w:p w14:paraId="34B9F52A" w14:textId="77777777" w:rsidR="001310B4" w:rsidRDefault="001310B4">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58E69E5C" wp14:editId="2256061E">
                <wp:simplePos x="0" y="0"/>
                <wp:positionH relativeFrom="column">
                  <wp:posOffset>99887</wp:posOffset>
                </wp:positionH>
                <wp:positionV relativeFrom="paragraph">
                  <wp:posOffset>14206</wp:posOffset>
                </wp:positionV>
                <wp:extent cx="5507665" cy="2200940"/>
                <wp:effectExtent l="0" t="0" r="36195" b="27940"/>
                <wp:wrapNone/>
                <wp:docPr id="1" name="Conector recto 1"/>
                <wp:cNvGraphicFramePr/>
                <a:graphic xmlns:a="http://schemas.openxmlformats.org/drawingml/2006/main">
                  <a:graphicData uri="http://schemas.microsoft.com/office/word/2010/wordprocessingShape">
                    <wps:wsp>
                      <wps:cNvCnPr/>
                      <wps:spPr>
                        <a:xfrm>
                          <a:off x="0" y="0"/>
                          <a:ext cx="5507665" cy="2200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6BF37"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85pt,1.1pt" to="441.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" strokecolor="#5b9bd5 [3204]" strokeweight=".5pt">
                <v:stroke joinstyle="miter"/>
              </v:line>
            </w:pict>
          </mc:Fallback>
        </mc:AlternateContent>
      </w:r>
    </w:p>
    <w:p w14:paraId="5CFF2AD1" w14:textId="77777777" w:rsidR="001310B4" w:rsidRDefault="001310B4">
      <w:pPr>
        <w:spacing w:line="360" w:lineRule="auto"/>
        <w:jc w:val="both"/>
        <w:rPr>
          <w:rFonts w:ascii="Palatino Linotype" w:eastAsia="Palatino Linotype" w:hAnsi="Palatino Linotype" w:cs="Palatino Linotype"/>
          <w:sz w:val="24"/>
          <w:szCs w:val="24"/>
        </w:rPr>
      </w:pPr>
    </w:p>
    <w:p w14:paraId="441A769B" w14:textId="77777777" w:rsidR="001310B4" w:rsidRDefault="001310B4">
      <w:pPr>
        <w:spacing w:line="360" w:lineRule="auto"/>
        <w:jc w:val="both"/>
        <w:rPr>
          <w:rFonts w:ascii="Palatino Linotype" w:eastAsia="Palatino Linotype" w:hAnsi="Palatino Linotype" w:cs="Palatino Linotype"/>
          <w:sz w:val="24"/>
          <w:szCs w:val="24"/>
        </w:rPr>
      </w:pPr>
    </w:p>
    <w:p w14:paraId="4644FA9D" w14:textId="77777777" w:rsidR="001310B4" w:rsidRDefault="001310B4">
      <w:pPr>
        <w:spacing w:line="360" w:lineRule="auto"/>
        <w:jc w:val="both"/>
        <w:rPr>
          <w:rFonts w:ascii="Palatino Linotype" w:eastAsia="Palatino Linotype" w:hAnsi="Palatino Linotype" w:cs="Palatino Linotype"/>
          <w:sz w:val="24"/>
          <w:szCs w:val="24"/>
        </w:rPr>
      </w:pPr>
    </w:p>
    <w:p w14:paraId="5F4F3EDC" w14:textId="77777777" w:rsidR="001310B4" w:rsidRDefault="001310B4">
      <w:pPr>
        <w:spacing w:line="360" w:lineRule="auto"/>
        <w:jc w:val="both"/>
        <w:rPr>
          <w:rFonts w:ascii="Palatino Linotype" w:eastAsia="Palatino Linotype" w:hAnsi="Palatino Linotype" w:cs="Palatino Linotype"/>
          <w:sz w:val="24"/>
          <w:szCs w:val="24"/>
        </w:rPr>
      </w:pPr>
    </w:p>
    <w:p w14:paraId="7E2B785A" w14:textId="77777777" w:rsidR="001310B4" w:rsidRDefault="001310B4">
      <w:pPr>
        <w:spacing w:line="360" w:lineRule="auto"/>
        <w:jc w:val="both"/>
        <w:rPr>
          <w:rFonts w:ascii="Palatino Linotype" w:eastAsia="Palatino Linotype" w:hAnsi="Palatino Linotype" w:cs="Palatino Linotype"/>
          <w:sz w:val="24"/>
          <w:szCs w:val="24"/>
        </w:rPr>
      </w:pPr>
    </w:p>
    <w:p w14:paraId="64B50D41" w14:textId="77777777" w:rsidR="001310B4" w:rsidRDefault="001310B4">
      <w:pPr>
        <w:spacing w:line="360" w:lineRule="auto"/>
        <w:jc w:val="both"/>
        <w:rPr>
          <w:rFonts w:ascii="Palatino Linotype" w:eastAsia="Palatino Linotype" w:hAnsi="Palatino Linotype" w:cs="Palatino Linotype"/>
          <w:sz w:val="24"/>
          <w:szCs w:val="24"/>
        </w:rPr>
      </w:pPr>
    </w:p>
    <w:p w14:paraId="10CA5A7F" w14:textId="77777777" w:rsidR="001310B4" w:rsidRDefault="001310B4">
      <w:pPr>
        <w:spacing w:line="360" w:lineRule="auto"/>
        <w:jc w:val="both"/>
        <w:rPr>
          <w:rFonts w:ascii="Palatino Linotype" w:eastAsia="Palatino Linotype" w:hAnsi="Palatino Linotype" w:cs="Palatino Linotype"/>
          <w:sz w:val="24"/>
          <w:szCs w:val="24"/>
        </w:rPr>
      </w:pPr>
    </w:p>
    <w:p w14:paraId="3DFE727C" w14:textId="77777777" w:rsidR="001310B4" w:rsidRDefault="001310B4">
      <w:pPr>
        <w:spacing w:line="360" w:lineRule="auto"/>
        <w:jc w:val="both"/>
        <w:rPr>
          <w:rFonts w:ascii="Palatino Linotype" w:eastAsia="Palatino Linotype" w:hAnsi="Palatino Linotype" w:cs="Palatino Linotype"/>
          <w:sz w:val="24"/>
          <w:szCs w:val="24"/>
        </w:rPr>
      </w:pPr>
    </w:p>
    <w:p w14:paraId="657AC94D" w14:textId="77777777" w:rsidR="001310B4" w:rsidRPr="00BC2B1F" w:rsidRDefault="001310B4">
      <w:pPr>
        <w:spacing w:line="360" w:lineRule="auto"/>
        <w:jc w:val="both"/>
        <w:rPr>
          <w:rFonts w:ascii="Palatino Linotype" w:eastAsia="Palatino Linotype" w:hAnsi="Palatino Linotype" w:cs="Palatino Linotype"/>
          <w:sz w:val="24"/>
          <w:szCs w:val="24"/>
        </w:rPr>
      </w:pPr>
    </w:p>
    <w:sectPr w:rsidR="001310B4" w:rsidRPr="00BC2B1F">
      <w:headerReference w:type="default" r:id="rId23"/>
      <w:footerReference w:type="default" r:id="rId24"/>
      <w:headerReference w:type="first" r:id="rId25"/>
      <w:footerReference w:type="first" r:id="rId2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81C7" w14:textId="77777777" w:rsidR="004B52D7" w:rsidRDefault="004B52D7">
      <w:pPr>
        <w:spacing w:after="0" w:line="240" w:lineRule="auto"/>
      </w:pPr>
      <w:r>
        <w:separator/>
      </w:r>
    </w:p>
  </w:endnote>
  <w:endnote w:type="continuationSeparator" w:id="0">
    <w:p w14:paraId="38A7486E" w14:textId="77777777" w:rsidR="004B52D7" w:rsidRDefault="004B5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7F1F" w14:textId="77777777" w:rsidR="005E1F22" w:rsidRDefault="004B52D7">
    <w:pP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00755">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00755">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526B79CA" w14:textId="77777777" w:rsidR="005E1F22" w:rsidRDefault="005E1F2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A31B" w14:textId="77777777" w:rsidR="005E1F22" w:rsidRDefault="004B52D7">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310B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310B4">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1881FAEF" w14:textId="77777777" w:rsidR="005E1F22" w:rsidRDefault="005E1F2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6671" w14:textId="77777777" w:rsidR="004B52D7" w:rsidRDefault="004B52D7">
      <w:pPr>
        <w:spacing w:after="0" w:line="240" w:lineRule="auto"/>
      </w:pPr>
      <w:r>
        <w:separator/>
      </w:r>
    </w:p>
  </w:footnote>
  <w:footnote w:type="continuationSeparator" w:id="0">
    <w:p w14:paraId="74CB9964" w14:textId="77777777" w:rsidR="004B52D7" w:rsidRDefault="004B52D7">
      <w:pPr>
        <w:spacing w:after="0" w:line="240" w:lineRule="auto"/>
      </w:pPr>
      <w:r>
        <w:continuationSeparator/>
      </w:r>
    </w:p>
  </w:footnote>
  <w:footnote w:id="1">
    <w:p w14:paraId="7AE5C9B3" w14:textId="77777777" w:rsidR="005E1F22" w:rsidRDefault="004B52D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5C77C7AB" w14:textId="77777777" w:rsidR="005E1F22" w:rsidRDefault="004B52D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7A33DDD5" w14:textId="77777777" w:rsidR="005E1F22" w:rsidRDefault="004B52D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32D2381B" w14:textId="77777777" w:rsidR="005E1F22" w:rsidRDefault="004B52D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45BF23DF" w14:textId="77777777" w:rsidR="005E1F22" w:rsidRDefault="004B52D7">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 w:id="3">
    <w:p w14:paraId="50D00777" w14:textId="77777777" w:rsidR="005E1F22" w:rsidRDefault="004B52D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Párrafo reformado DOF 01-05-2019</w:t>
      </w:r>
      <w:r>
        <w:rPr>
          <w:rFonts w:ascii="Palatino Linotype" w:eastAsia="Palatino Linotype" w:hAnsi="Palatino Linotype" w:cs="Palatino Linotype"/>
          <w:color w:val="000000"/>
          <w:sz w:val="18"/>
          <w:szCs w:val="18"/>
        </w:rPr>
        <w:t>;</w:t>
      </w:r>
    </w:p>
  </w:footnote>
  <w:footnote w:id="4">
    <w:p w14:paraId="57BB37D2" w14:textId="77777777" w:rsidR="005E1F22" w:rsidRDefault="004B52D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Párrafo reformado DOF 01-05-2019</w:t>
      </w:r>
      <w:r>
        <w:rPr>
          <w:rFonts w:ascii="Palatino Linotype" w:eastAsia="Palatino Linotype" w:hAnsi="Palatino Linotype" w:cs="Palatino Linotype"/>
          <w:color w:val="000000"/>
          <w:sz w:val="18"/>
          <w:szCs w:val="18"/>
        </w:rPr>
        <w:t>;</w:t>
      </w:r>
    </w:p>
  </w:footnote>
  <w:footnote w:id="5">
    <w:p w14:paraId="44595A17" w14:textId="77777777" w:rsidR="005E1F22" w:rsidRDefault="004B52D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01-05-2019</w:t>
      </w:r>
      <w:r>
        <w:rPr>
          <w:rFonts w:ascii="Palatino Linotype" w:eastAsia="Palatino Linotype" w:hAnsi="Palatino Linotype" w:cs="Palatino Linotype"/>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739C" w14:textId="77777777" w:rsidR="005E1F22" w:rsidRDefault="005E1F22">
    <w:pPr>
      <w:widowControl w:val="0"/>
      <w:pBdr>
        <w:top w:val="nil"/>
        <w:left w:val="nil"/>
        <w:bottom w:val="nil"/>
        <w:right w:val="nil"/>
        <w:between w:val="nil"/>
      </w:pBdr>
      <w:spacing w:after="0" w:line="276" w:lineRule="auto"/>
      <w:rPr>
        <w:color w:val="000000"/>
      </w:rPr>
    </w:pPr>
  </w:p>
  <w:tbl>
    <w:tblPr>
      <w:tblStyle w:val="a0"/>
      <w:tblW w:w="10450" w:type="dxa"/>
      <w:tblInd w:w="-1303" w:type="dxa"/>
      <w:tblLayout w:type="fixed"/>
      <w:tblLook w:val="0400" w:firstRow="0" w:lastRow="0" w:firstColumn="0" w:lastColumn="0" w:noHBand="0" w:noVBand="1"/>
    </w:tblPr>
    <w:tblGrid>
      <w:gridCol w:w="5741"/>
      <w:gridCol w:w="4709"/>
    </w:tblGrid>
    <w:tr w:rsidR="005E1F22" w14:paraId="24F762D5" w14:textId="77777777">
      <w:trPr>
        <w:trHeight w:val="247"/>
      </w:trPr>
      <w:tc>
        <w:tcPr>
          <w:tcW w:w="5741" w:type="dxa"/>
        </w:tcPr>
        <w:p w14:paraId="51A2D946" w14:textId="77777777" w:rsidR="005E1F22" w:rsidRDefault="004B52D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6F7635B5" w14:textId="77777777" w:rsidR="005E1F22" w:rsidRDefault="004B52D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10044/INFOEM/IP/RR/2022</w:t>
          </w:r>
        </w:p>
      </w:tc>
    </w:tr>
    <w:tr w:rsidR="005E1F22" w14:paraId="0B245D75" w14:textId="77777777">
      <w:trPr>
        <w:trHeight w:val="213"/>
      </w:trPr>
      <w:tc>
        <w:tcPr>
          <w:tcW w:w="5741" w:type="dxa"/>
        </w:tcPr>
        <w:p w14:paraId="41974571" w14:textId="77777777" w:rsidR="005E1F22" w:rsidRDefault="004B52D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r>
            <w:rPr>
              <w:noProof/>
            </w:rPr>
            <w:drawing>
              <wp:anchor distT="0" distB="0" distL="0" distR="0" simplePos="0" relativeHeight="251658240" behindDoc="1" locked="0" layoutInCell="1" hidden="0" allowOverlap="1" wp14:anchorId="0FC67F9A" wp14:editId="4D19E82C">
                <wp:simplePos x="0" y="0"/>
                <wp:positionH relativeFrom="column">
                  <wp:posOffset>45720</wp:posOffset>
                </wp:positionH>
                <wp:positionV relativeFrom="paragraph">
                  <wp:posOffset>-636904</wp:posOffset>
                </wp:positionV>
                <wp:extent cx="7753350" cy="9942830"/>
                <wp:effectExtent l="0" t="0" r="0" b="0"/>
                <wp:wrapNone/>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830"/>
                        </a:xfrm>
                        <a:prstGeom prst="rect">
                          <a:avLst/>
                        </a:prstGeom>
                        <a:ln/>
                      </pic:spPr>
                    </pic:pic>
                  </a:graphicData>
                </a:graphic>
              </wp:anchor>
            </w:drawing>
          </w:r>
        </w:p>
      </w:tc>
      <w:tc>
        <w:tcPr>
          <w:tcW w:w="4709" w:type="dxa"/>
        </w:tcPr>
        <w:p w14:paraId="634FE580" w14:textId="77777777" w:rsidR="005E1F22" w:rsidRDefault="005E1F22">
          <w:pPr>
            <w:spacing w:after="120"/>
            <w:ind w:left="-486" w:right="214" w:firstLine="567"/>
            <w:jc w:val="right"/>
            <w:rPr>
              <w:rFonts w:ascii="Palatino Linotype" w:eastAsia="Palatino Linotype" w:hAnsi="Palatino Linotype" w:cs="Palatino Linotype"/>
              <w:sz w:val="24"/>
              <w:szCs w:val="24"/>
            </w:rPr>
          </w:pPr>
        </w:p>
      </w:tc>
    </w:tr>
    <w:tr w:rsidR="005E1F22" w14:paraId="67125408" w14:textId="77777777">
      <w:trPr>
        <w:trHeight w:val="265"/>
      </w:trPr>
      <w:tc>
        <w:tcPr>
          <w:tcW w:w="5741" w:type="dxa"/>
        </w:tcPr>
        <w:p w14:paraId="0D2211F2" w14:textId="77777777" w:rsidR="005E1F22" w:rsidRDefault="004B52D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6F172C7B" w14:textId="77777777" w:rsidR="005E1F22" w:rsidRDefault="004B52D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Junta Local de Conciliación y Arbitraje Valle de Toluca.</w:t>
          </w:r>
        </w:p>
      </w:tc>
    </w:tr>
    <w:tr w:rsidR="005E1F22" w14:paraId="68C4EFF8" w14:textId="77777777">
      <w:trPr>
        <w:trHeight w:val="373"/>
      </w:trPr>
      <w:tc>
        <w:tcPr>
          <w:tcW w:w="5741" w:type="dxa"/>
        </w:tcPr>
        <w:p w14:paraId="452E9FBB" w14:textId="77777777" w:rsidR="005E1F22" w:rsidRDefault="004B52D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28B2A732" w14:textId="77777777" w:rsidR="005E1F22" w:rsidRDefault="004B52D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636EFE2" w14:textId="77777777" w:rsidR="005E1F22" w:rsidRDefault="005E1F2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7C1D" w14:textId="77777777" w:rsidR="005E1F22" w:rsidRDefault="005E1F22">
    <w:pPr>
      <w:widowControl w:val="0"/>
      <w:pBdr>
        <w:top w:val="nil"/>
        <w:left w:val="nil"/>
        <w:bottom w:val="nil"/>
        <w:right w:val="nil"/>
        <w:between w:val="nil"/>
      </w:pBdr>
      <w:spacing w:after="0" w:line="276" w:lineRule="auto"/>
      <w:rPr>
        <w:rFonts w:ascii="Cambria" w:eastAsia="Cambria" w:hAnsi="Cambria" w:cs="Cambria"/>
        <w:color w:val="000000"/>
        <w:sz w:val="20"/>
        <w:szCs w:val="20"/>
      </w:rPr>
    </w:pPr>
  </w:p>
  <w:tbl>
    <w:tblPr>
      <w:tblStyle w:val="a"/>
      <w:tblW w:w="10450" w:type="dxa"/>
      <w:tblInd w:w="-1303" w:type="dxa"/>
      <w:tblLayout w:type="fixed"/>
      <w:tblLook w:val="0400" w:firstRow="0" w:lastRow="0" w:firstColumn="0" w:lastColumn="0" w:noHBand="0" w:noVBand="1"/>
    </w:tblPr>
    <w:tblGrid>
      <w:gridCol w:w="5741"/>
      <w:gridCol w:w="4709"/>
    </w:tblGrid>
    <w:tr w:rsidR="005E1F22" w14:paraId="58F76AA7" w14:textId="77777777">
      <w:trPr>
        <w:trHeight w:val="247"/>
      </w:trPr>
      <w:tc>
        <w:tcPr>
          <w:tcW w:w="5741" w:type="dxa"/>
        </w:tcPr>
        <w:p w14:paraId="6DF92905" w14:textId="77777777" w:rsidR="005E1F22" w:rsidRDefault="004B52D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0AA78DCB" w14:textId="77777777" w:rsidR="005E1F22" w:rsidRDefault="004B52D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10044/INFOEM/IP/RR/2022</w:t>
          </w:r>
        </w:p>
      </w:tc>
    </w:tr>
    <w:tr w:rsidR="005E1F22" w14:paraId="5E3E8E98" w14:textId="77777777">
      <w:trPr>
        <w:trHeight w:val="213"/>
      </w:trPr>
      <w:tc>
        <w:tcPr>
          <w:tcW w:w="5741" w:type="dxa"/>
        </w:tcPr>
        <w:p w14:paraId="26C37491" w14:textId="77777777" w:rsidR="005E1F22" w:rsidRDefault="004B52D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r>
            <w:rPr>
              <w:noProof/>
            </w:rPr>
            <w:drawing>
              <wp:anchor distT="0" distB="0" distL="0" distR="0" simplePos="0" relativeHeight="251659264" behindDoc="1" locked="0" layoutInCell="1" hidden="0" allowOverlap="1" wp14:anchorId="75ECC6C8" wp14:editId="1792EEF4">
                <wp:simplePos x="0" y="0"/>
                <wp:positionH relativeFrom="column">
                  <wp:posOffset>45720</wp:posOffset>
                </wp:positionH>
                <wp:positionV relativeFrom="paragraph">
                  <wp:posOffset>-636904</wp:posOffset>
                </wp:positionV>
                <wp:extent cx="7753350" cy="9942830"/>
                <wp:effectExtent l="0" t="0" r="0" b="0"/>
                <wp:wrapNone/>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830"/>
                        </a:xfrm>
                        <a:prstGeom prst="rect">
                          <a:avLst/>
                        </a:prstGeom>
                        <a:ln/>
                      </pic:spPr>
                    </pic:pic>
                  </a:graphicData>
                </a:graphic>
              </wp:anchor>
            </w:drawing>
          </w:r>
        </w:p>
      </w:tc>
      <w:tc>
        <w:tcPr>
          <w:tcW w:w="4709" w:type="dxa"/>
        </w:tcPr>
        <w:p w14:paraId="335BA7BB" w14:textId="21E3D8AF" w:rsidR="005E1F22" w:rsidRDefault="004F132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w:t>
          </w:r>
        </w:p>
      </w:tc>
    </w:tr>
    <w:tr w:rsidR="005E1F22" w14:paraId="5B369BCF" w14:textId="77777777">
      <w:trPr>
        <w:trHeight w:val="265"/>
      </w:trPr>
      <w:tc>
        <w:tcPr>
          <w:tcW w:w="5741" w:type="dxa"/>
        </w:tcPr>
        <w:p w14:paraId="20F13902" w14:textId="77777777" w:rsidR="005E1F22" w:rsidRDefault="004B52D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6124C8C2" w14:textId="77777777" w:rsidR="005E1F22" w:rsidRDefault="004B52D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Junta Local de Conciliación y Arbitraje Valle de Toluca.</w:t>
          </w:r>
        </w:p>
      </w:tc>
    </w:tr>
    <w:tr w:rsidR="005E1F22" w14:paraId="16AFBD76" w14:textId="77777777">
      <w:trPr>
        <w:trHeight w:val="373"/>
      </w:trPr>
      <w:tc>
        <w:tcPr>
          <w:tcW w:w="5741" w:type="dxa"/>
        </w:tcPr>
        <w:p w14:paraId="59042C2A" w14:textId="77777777" w:rsidR="005E1F22" w:rsidRDefault="004B52D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101F2A8B" w14:textId="77777777" w:rsidR="005E1F22" w:rsidRDefault="004B52D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F041CB9" w14:textId="77777777" w:rsidR="005E1F22" w:rsidRDefault="005E1F22">
    <w:pPr>
      <w:pBdr>
        <w:top w:val="nil"/>
        <w:left w:val="nil"/>
        <w:bottom w:val="nil"/>
        <w:right w:val="nil"/>
        <w:between w:val="nil"/>
      </w:pBdr>
      <w:tabs>
        <w:tab w:val="center" w:pos="4419"/>
        <w:tab w:val="right" w:pos="8838"/>
      </w:tabs>
      <w:spacing w:after="0" w:line="240" w:lineRule="auto"/>
      <w:rPr>
        <w:color w:val="000000"/>
      </w:rPr>
    </w:pPr>
  </w:p>
  <w:p w14:paraId="0BCEE2A4" w14:textId="77777777" w:rsidR="005E1F22" w:rsidRDefault="005E1F2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836A9"/>
    <w:multiLevelType w:val="multilevel"/>
    <w:tmpl w:val="7DDCE3D0"/>
    <w:lvl w:ilvl="0">
      <w:start w:val="4"/>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436C42"/>
    <w:multiLevelType w:val="multilevel"/>
    <w:tmpl w:val="E8F24A1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7E0254C6"/>
    <w:multiLevelType w:val="multilevel"/>
    <w:tmpl w:val="1102D4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F22"/>
    <w:rsid w:val="00095461"/>
    <w:rsid w:val="001310B4"/>
    <w:rsid w:val="00300755"/>
    <w:rsid w:val="004B52D7"/>
    <w:rsid w:val="004F1322"/>
    <w:rsid w:val="005E1F22"/>
    <w:rsid w:val="00BC2B1F"/>
    <w:rsid w:val="00F419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2906"/>
  <w15:docId w15:val="{931A77C8-53A5-44DC-A166-2AA88C7B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1D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27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71D2"/>
  </w:style>
  <w:style w:type="paragraph" w:styleId="Piedepgina">
    <w:name w:val="footer"/>
    <w:basedOn w:val="Normal"/>
    <w:link w:val="PiedepginaCar"/>
    <w:uiPriority w:val="99"/>
    <w:unhideWhenUsed/>
    <w:rsid w:val="00127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71D2"/>
  </w:style>
  <w:style w:type="character" w:styleId="Hipervnculo">
    <w:name w:val="Hyperlink"/>
    <w:basedOn w:val="Fuentedeprrafopredeter"/>
    <w:uiPriority w:val="99"/>
    <w:semiHidden/>
    <w:unhideWhenUsed/>
    <w:rsid w:val="007E3F4E"/>
    <w:rPr>
      <w:color w:val="0000FF"/>
      <w:u w:val="single"/>
    </w:rPr>
  </w:style>
  <w:style w:type="paragraph" w:styleId="Prrafodelista">
    <w:name w:val="List Paragraph"/>
    <w:basedOn w:val="Normal"/>
    <w:uiPriority w:val="34"/>
    <w:qFormat/>
    <w:rsid w:val="009411C5"/>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3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saimex.org.mx/saimex/solicitud/downloadAttach/1454503.page" TargetMode="External"/><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53078.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imex.org.mx/saimex/solicitud/downloadAttach/1452729.page" TargetMode="External"/><Relationship Id="rId14" Type="http://schemas.openxmlformats.org/officeDocument/2006/relationships/hyperlink" Target="https://saimex.org.mx/saimex/solicitud/downloadAttach/1474842.page"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EC3Y/zsERJf+/B06wnF2dOCW3w==">AMUW2mUQf1hie+nOzOR4TGwOlaaaxh1hy2ygCqTh2WxsPpEWfzWdNaZoDcJ7bK+G9WTyJnWpcXNMKDTmowlgyo+63jb8bxT8IyiyB0y6rr53RKcU//D5muACLpCXLfSu7VsPbuQgbeTx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35</Pages>
  <Words>5812</Words>
  <Characters>31966</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dcterms:created xsi:type="dcterms:W3CDTF">2022-11-23T23:49:00Z</dcterms:created>
  <dcterms:modified xsi:type="dcterms:W3CDTF">2022-11-23T23:49:00Z</dcterms:modified>
</cp:coreProperties>
</file>