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A16BB9" w14:textId="77777777" w:rsidR="00DF6FD1" w:rsidRDefault="002808E4">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w:t>
      </w:r>
      <w:r w:rsidRPr="001A783C">
        <w:rPr>
          <w:rFonts w:ascii="Palatino Linotype" w:eastAsia="Palatino Linotype" w:hAnsi="Palatino Linotype" w:cs="Palatino Linotype"/>
        </w:rPr>
        <w:t xml:space="preserve">a </w:t>
      </w:r>
      <w:r w:rsidR="001A783C" w:rsidRPr="001A783C">
        <w:rPr>
          <w:rFonts w:ascii="Palatino Linotype" w:eastAsia="Palatino Linotype" w:hAnsi="Palatino Linotype" w:cs="Palatino Linotype"/>
        </w:rPr>
        <w:t xml:space="preserve">veintisiete </w:t>
      </w:r>
      <w:r w:rsidRPr="001A783C">
        <w:rPr>
          <w:rFonts w:ascii="Palatino Linotype" w:eastAsia="Palatino Linotype" w:hAnsi="Palatino Linotype" w:cs="Palatino Linotype"/>
        </w:rPr>
        <w:t>de</w:t>
      </w:r>
      <w:r>
        <w:rPr>
          <w:rFonts w:ascii="Palatino Linotype" w:eastAsia="Palatino Linotype" w:hAnsi="Palatino Linotype" w:cs="Palatino Linotype"/>
        </w:rPr>
        <w:t xml:space="preserve"> enero del dos mil veintidós.</w:t>
      </w:r>
    </w:p>
    <w:p w14:paraId="1EAE920B" w14:textId="77777777" w:rsidR="00DF6FD1" w:rsidRDefault="002808E4">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Visto</w:t>
      </w:r>
      <w:r>
        <w:rPr>
          <w:rFonts w:ascii="Palatino Linotype" w:eastAsia="Palatino Linotype" w:hAnsi="Palatino Linotype" w:cs="Palatino Linotype"/>
        </w:rPr>
        <w:t xml:space="preserve"> el expediente relativo al recurso de revisión </w:t>
      </w:r>
      <w:r>
        <w:rPr>
          <w:rFonts w:ascii="Palatino Linotype" w:eastAsia="Palatino Linotype" w:hAnsi="Palatino Linotype" w:cs="Palatino Linotype"/>
          <w:b/>
        </w:rPr>
        <w:t>05379/INFOEM/IP/RR/2021</w:t>
      </w:r>
      <w:r>
        <w:rPr>
          <w:rFonts w:ascii="Palatino Linotype" w:eastAsia="Palatino Linotype" w:hAnsi="Palatino Linotype" w:cs="Palatino Linotype"/>
        </w:rPr>
        <w:t xml:space="preserve">, interpuesto por </w:t>
      </w:r>
      <w:r w:rsidR="00FC58DA">
        <w:rPr>
          <w:rFonts w:ascii="Palatino Linotype" w:eastAsia="Palatino Linotype" w:hAnsi="Palatino Linotype" w:cs="Palatino Linotype"/>
          <w:b/>
        </w:rPr>
        <w:t>XXXXXXXXXXXXXXXXXXXXX</w:t>
      </w:r>
      <w:r>
        <w:rPr>
          <w:rFonts w:ascii="Palatino Linotype" w:eastAsia="Palatino Linotype" w:hAnsi="Palatino Linotype" w:cs="Palatino Linotype"/>
        </w:rPr>
        <w:t xml:space="preserve">, a quien en lo sucesivo se le denominará </w:t>
      </w:r>
      <w:r>
        <w:rPr>
          <w:rFonts w:ascii="Palatino Linotype" w:eastAsia="Palatino Linotype" w:hAnsi="Palatino Linotype" w:cs="Palatino Linotype"/>
          <w:b/>
        </w:rPr>
        <w:t>EL</w:t>
      </w:r>
      <w:r>
        <w:rPr>
          <w:rFonts w:ascii="Palatino Linotype" w:eastAsia="Palatino Linotype" w:hAnsi="Palatino Linotype" w:cs="Palatino Linotype"/>
        </w:rPr>
        <w:t xml:space="preserve"> </w:t>
      </w:r>
      <w:r>
        <w:rPr>
          <w:rFonts w:ascii="Palatino Linotype" w:eastAsia="Palatino Linotype" w:hAnsi="Palatino Linotype" w:cs="Palatino Linotype"/>
          <w:b/>
        </w:rPr>
        <w:t>RECURRENTE</w:t>
      </w:r>
      <w:r>
        <w:rPr>
          <w:rFonts w:ascii="Palatino Linotype" w:eastAsia="Palatino Linotype" w:hAnsi="Palatino Linotype" w:cs="Palatino Linotype"/>
          <w:b/>
          <w:i/>
        </w:rPr>
        <w:t xml:space="preserve"> </w:t>
      </w:r>
      <w:r>
        <w:rPr>
          <w:rFonts w:ascii="Palatino Linotype" w:eastAsia="Palatino Linotype" w:hAnsi="Palatino Linotype" w:cs="Palatino Linotype"/>
        </w:rPr>
        <w:t xml:space="preserve">en contra de la respuesta a su solicitud de información con número de folio </w:t>
      </w:r>
      <w:r>
        <w:rPr>
          <w:rFonts w:ascii="Palatino Linotype" w:eastAsia="Palatino Linotype" w:hAnsi="Palatino Linotype" w:cs="Palatino Linotype"/>
          <w:b/>
        </w:rPr>
        <w:t>01383/HUIXQUIL/IP/2021</w:t>
      </w:r>
      <w:r>
        <w:rPr>
          <w:rFonts w:ascii="Palatino Linotype" w:eastAsia="Palatino Linotype" w:hAnsi="Palatino Linotype" w:cs="Palatino Linotype"/>
        </w:rPr>
        <w:t xml:space="preserve">, emitida por el </w:t>
      </w:r>
      <w:r>
        <w:rPr>
          <w:rFonts w:ascii="Palatino Linotype" w:eastAsia="Palatino Linotype" w:hAnsi="Palatino Linotype" w:cs="Palatino Linotype"/>
          <w:b/>
        </w:rPr>
        <w:t>Ayuntamiento de Huixquilucan</w:t>
      </w:r>
      <w:r>
        <w:rPr>
          <w:rFonts w:ascii="Palatino Linotype" w:eastAsia="Palatino Linotype" w:hAnsi="Palatino Linotype" w:cs="Palatino Linotype"/>
        </w:rPr>
        <w:t xml:space="preserve">, en lo sucesivo </w:t>
      </w:r>
      <w:r>
        <w:rPr>
          <w:rFonts w:ascii="Palatino Linotype" w:eastAsia="Palatino Linotype" w:hAnsi="Palatino Linotype" w:cs="Palatino Linotype"/>
          <w:b/>
        </w:rPr>
        <w:t>EL SUJETO OBLIGADO</w:t>
      </w:r>
      <w:r>
        <w:rPr>
          <w:rFonts w:ascii="Palatino Linotype" w:eastAsia="Palatino Linotype" w:hAnsi="Palatino Linotype" w:cs="Palatino Linotype"/>
        </w:rPr>
        <w:t>;</w:t>
      </w:r>
      <w:r>
        <w:rPr>
          <w:rFonts w:ascii="Palatino Linotype" w:eastAsia="Palatino Linotype" w:hAnsi="Palatino Linotype" w:cs="Palatino Linotype"/>
          <w:b/>
        </w:rPr>
        <w:t xml:space="preserve"> </w:t>
      </w:r>
      <w:r>
        <w:rPr>
          <w:rFonts w:ascii="Palatino Linotype" w:eastAsia="Palatino Linotype" w:hAnsi="Palatino Linotype" w:cs="Palatino Linotype"/>
        </w:rPr>
        <w:t>se procede a dictar la presente resolución, con base en lo siguiente.</w:t>
      </w:r>
    </w:p>
    <w:p w14:paraId="2A2570F6" w14:textId="77777777" w:rsidR="00DF6FD1" w:rsidRDefault="002808E4">
      <w:pPr>
        <w:pStyle w:val="Ttulo2"/>
        <w:jc w:val="center"/>
        <w:rPr>
          <w:rFonts w:ascii="Palatino Linotype" w:eastAsia="Palatino Linotype" w:hAnsi="Palatino Linotype" w:cs="Palatino Linotype"/>
          <w:b/>
          <w:color w:val="000000"/>
          <w:sz w:val="24"/>
          <w:szCs w:val="24"/>
        </w:rPr>
      </w:pPr>
      <w:r>
        <w:rPr>
          <w:rFonts w:ascii="Palatino Linotype" w:eastAsia="Palatino Linotype" w:hAnsi="Palatino Linotype" w:cs="Palatino Linotype"/>
          <w:b/>
          <w:color w:val="000000"/>
          <w:sz w:val="24"/>
          <w:szCs w:val="24"/>
        </w:rPr>
        <w:t>I.</w:t>
      </w:r>
      <w:r>
        <w:rPr>
          <w:rFonts w:ascii="Palatino Linotype" w:eastAsia="Palatino Linotype" w:hAnsi="Palatino Linotype" w:cs="Palatino Linotype"/>
          <w:b/>
          <w:color w:val="000000"/>
          <w:sz w:val="24"/>
          <w:szCs w:val="24"/>
        </w:rPr>
        <w:tab/>
        <w:t xml:space="preserve"> A N T E C E D E N T E S </w:t>
      </w:r>
    </w:p>
    <w:p w14:paraId="796B5359" w14:textId="77777777" w:rsidR="00DF6FD1" w:rsidRDefault="002808E4">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 xml:space="preserve">1. Solicitud de acceso a la información. </w:t>
      </w:r>
      <w:r>
        <w:rPr>
          <w:rFonts w:ascii="Palatino Linotype" w:eastAsia="Palatino Linotype" w:hAnsi="Palatino Linotype" w:cs="Palatino Linotype"/>
        </w:rPr>
        <w:t xml:space="preserve">Con fecha </w:t>
      </w:r>
      <w:r>
        <w:rPr>
          <w:rFonts w:ascii="Palatino Linotype" w:eastAsia="Palatino Linotype" w:hAnsi="Palatino Linotype" w:cs="Palatino Linotype"/>
          <w:b/>
        </w:rPr>
        <w:t>doce de octubre de dos mil veintiuno</w:t>
      </w:r>
      <w:r>
        <w:rPr>
          <w:rFonts w:ascii="Palatino Linotype" w:eastAsia="Palatino Linotype" w:hAnsi="Palatino Linotype" w:cs="Palatino Linotype"/>
        </w:rPr>
        <w:t xml:space="preserve">, el ahora </w:t>
      </w:r>
      <w:r>
        <w:rPr>
          <w:rFonts w:ascii="Palatino Linotype" w:eastAsia="Palatino Linotype" w:hAnsi="Palatino Linotype" w:cs="Palatino Linotype"/>
          <w:b/>
        </w:rPr>
        <w:t xml:space="preserve">RECURRENTE </w:t>
      </w:r>
      <w:r>
        <w:rPr>
          <w:rFonts w:ascii="Palatino Linotype" w:eastAsia="Palatino Linotype" w:hAnsi="Palatino Linotype" w:cs="Palatino Linotype"/>
        </w:rPr>
        <w:t xml:space="preserve">formuló solicitud de acceso a la información pública al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a través del Sistema de Acceso a la Información Mexiquense, en lo subsecuente </w:t>
      </w:r>
      <w:r>
        <w:rPr>
          <w:rFonts w:ascii="Palatino Linotype" w:eastAsia="Palatino Linotype" w:hAnsi="Palatino Linotype" w:cs="Palatino Linotype"/>
          <w:b/>
        </w:rPr>
        <w:t>EL SAIMEX,</w:t>
      </w:r>
      <w:r>
        <w:rPr>
          <w:rFonts w:ascii="Palatino Linotype" w:eastAsia="Palatino Linotype" w:hAnsi="Palatino Linotype" w:cs="Palatino Linotype"/>
        </w:rPr>
        <w:t xml:space="preserve"> requiriendo lo siguiente:</w:t>
      </w:r>
    </w:p>
    <w:p w14:paraId="25697033" w14:textId="77777777" w:rsidR="00DF6FD1" w:rsidRDefault="002808E4">
      <w:pPr>
        <w:spacing w:before="240" w:after="240" w:line="360" w:lineRule="auto"/>
        <w:ind w:left="851" w:right="900"/>
        <w:jc w:val="both"/>
        <w:rPr>
          <w:rFonts w:ascii="Palatino Linotype" w:eastAsia="Palatino Linotype" w:hAnsi="Palatino Linotype" w:cs="Palatino Linotype"/>
          <w:b/>
          <w:i/>
        </w:rPr>
      </w:pPr>
      <w:r>
        <w:rPr>
          <w:rFonts w:ascii="Palatino Linotype" w:eastAsia="Palatino Linotype" w:hAnsi="Palatino Linotype" w:cs="Palatino Linotype"/>
          <w:i/>
          <w:color w:val="000000"/>
        </w:rPr>
        <w:t xml:space="preserve">“Que multas se pueden aplicar a violaciones de tránsito en Huixquilucan, Edo. de México y que reglamento de tránsito es el vigente en el </w:t>
      </w:r>
      <w:proofErr w:type="spellStart"/>
      <w:r>
        <w:rPr>
          <w:rFonts w:ascii="Palatino Linotype" w:eastAsia="Palatino Linotype" w:hAnsi="Palatino Linotype" w:cs="Palatino Linotype"/>
          <w:i/>
          <w:color w:val="000000"/>
        </w:rPr>
        <w:t>msmo</w:t>
      </w:r>
      <w:proofErr w:type="spellEnd"/>
      <w:r>
        <w:rPr>
          <w:rFonts w:ascii="Palatino Linotype" w:eastAsia="Palatino Linotype" w:hAnsi="Palatino Linotype" w:cs="Palatino Linotype"/>
          <w:i/>
          <w:color w:val="000000"/>
        </w:rPr>
        <w:t xml:space="preserve"> municipio.”.</w:t>
      </w:r>
      <w:r>
        <w:rPr>
          <w:rFonts w:ascii="Palatino Linotype" w:eastAsia="Palatino Linotype" w:hAnsi="Palatino Linotype" w:cs="Palatino Linotype"/>
          <w:i/>
        </w:rPr>
        <w:t xml:space="preserve"> (sic)</w:t>
      </w:r>
    </w:p>
    <w:p w14:paraId="59021989" w14:textId="77777777" w:rsidR="00DF6FD1" w:rsidRDefault="002808E4">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rPr>
        <w:t xml:space="preserve">El solicitante indicó como modalidad de entrega a través del </w:t>
      </w:r>
      <w:r>
        <w:rPr>
          <w:rFonts w:ascii="Palatino Linotype" w:eastAsia="Palatino Linotype" w:hAnsi="Palatino Linotype" w:cs="Palatino Linotype"/>
          <w:b/>
        </w:rPr>
        <w:t>SAIMEX.</w:t>
      </w:r>
    </w:p>
    <w:p w14:paraId="409A81C6" w14:textId="77777777" w:rsidR="00DF6FD1" w:rsidRDefault="002808E4">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2. Respuesta. </w:t>
      </w:r>
      <w:r>
        <w:rPr>
          <w:rFonts w:ascii="Palatino Linotype" w:eastAsia="Palatino Linotype" w:hAnsi="Palatino Linotype" w:cs="Palatino Linotype"/>
        </w:rPr>
        <w:t xml:space="preserve">Con fecha </w:t>
      </w:r>
      <w:r>
        <w:rPr>
          <w:rFonts w:ascii="Palatino Linotype" w:eastAsia="Palatino Linotype" w:hAnsi="Palatino Linotype" w:cs="Palatino Linotype"/>
          <w:b/>
        </w:rPr>
        <w:t>tres de noviembre del año dos mil veintiuno</w:t>
      </w:r>
      <w:r>
        <w:rPr>
          <w:rFonts w:ascii="Palatino Linotype" w:eastAsia="Palatino Linotype" w:hAnsi="Palatino Linotype" w:cs="Palatino Linotype"/>
        </w:rPr>
        <w:t xml:space="preserve"> </w:t>
      </w:r>
      <w:r>
        <w:rPr>
          <w:rFonts w:ascii="Palatino Linotype" w:eastAsia="Palatino Linotype" w:hAnsi="Palatino Linotype" w:cs="Palatino Linotype"/>
          <w:b/>
        </w:rPr>
        <w:t>EL SUJETO OBLIGADO</w:t>
      </w:r>
      <w:r>
        <w:rPr>
          <w:rFonts w:ascii="Palatino Linotype" w:eastAsia="Palatino Linotype" w:hAnsi="Palatino Linotype" w:cs="Palatino Linotype"/>
        </w:rPr>
        <w:t xml:space="preserve">, a través del </w:t>
      </w:r>
      <w:r>
        <w:rPr>
          <w:rFonts w:ascii="Palatino Linotype" w:eastAsia="Palatino Linotype" w:hAnsi="Palatino Linotype" w:cs="Palatino Linotype"/>
          <w:b/>
        </w:rPr>
        <w:t>SAIMEX</w:t>
      </w:r>
      <w:r>
        <w:rPr>
          <w:rFonts w:ascii="Palatino Linotype" w:eastAsia="Palatino Linotype" w:hAnsi="Palatino Linotype" w:cs="Palatino Linotype"/>
        </w:rPr>
        <w:t>, notificó la respuesta al particular, de la siguiente manera:</w:t>
      </w:r>
    </w:p>
    <w:p w14:paraId="02715D14" w14:textId="118AC6C3" w:rsidR="00DF6FD1" w:rsidRDefault="00F84383">
      <w:pPr>
        <w:spacing w:before="240" w:after="240" w:line="360" w:lineRule="auto"/>
        <w:jc w:val="center"/>
        <w:rPr>
          <w:rFonts w:ascii="Palatino Linotype" w:eastAsia="Palatino Linotype" w:hAnsi="Palatino Linotype" w:cs="Palatino Linotype"/>
          <w:sz w:val="22"/>
          <w:szCs w:val="22"/>
        </w:rPr>
      </w:pPr>
      <w:r>
        <w:rPr>
          <w:noProof/>
        </w:rPr>
        <w:lastRenderedPageBreak/>
        <w:drawing>
          <wp:inline distT="0" distB="0" distL="0" distR="0" wp14:anchorId="13F7EF39" wp14:editId="375FC3CA">
            <wp:extent cx="5648214" cy="7334250"/>
            <wp:effectExtent l="76200" t="19050" r="67310" b="133350"/>
            <wp:docPr id="13" name="Imagen 13" descr="Interfaz de usuario gráfica, Aplicación, Wor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Interfaz de usuario gráfica, Aplicación, Word&#10;&#10;Descripción generada automáticamente"/>
                    <pic:cNvPicPr/>
                  </pic:nvPicPr>
                  <pic:blipFill rotWithShape="1">
                    <a:blip r:embed="rId7"/>
                    <a:srcRect l="6838" t="13070" r="70253" b="34043"/>
                    <a:stretch/>
                  </pic:blipFill>
                  <pic:spPr bwMode="auto">
                    <a:xfrm>
                      <a:off x="0" y="0"/>
                      <a:ext cx="5674529" cy="7368421"/>
                    </a:xfrm>
                    <a:prstGeom prst="rect">
                      <a:avLst/>
                    </a:prstGeom>
                    <a:ln>
                      <a:solidFill>
                        <a:schemeClr val="accent1"/>
                      </a:solidFill>
                    </a:ln>
                    <a:effectLst>
                      <a:outerShdw blurRad="50800" dist="50800" dir="5400000" algn="ctr" rotWithShape="0">
                        <a:schemeClr val="bg1">
                          <a:lumMod val="65000"/>
                        </a:schemeClr>
                      </a:outerShdw>
                    </a:effectLst>
                    <a:extLst>
                      <a:ext uri="{53640926-AAD7-44D8-BBD7-CCE9431645EC}">
                        <a14:shadowObscured xmlns:a14="http://schemas.microsoft.com/office/drawing/2010/main"/>
                      </a:ext>
                    </a:extLst>
                  </pic:spPr>
                </pic:pic>
              </a:graphicData>
            </a:graphic>
          </wp:inline>
        </w:drawing>
      </w:r>
    </w:p>
    <w:p w14:paraId="2145590B" w14:textId="77777777" w:rsidR="00DF6FD1" w:rsidRDefault="002808E4">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lastRenderedPageBreak/>
        <w:t xml:space="preserve">3. Recurso de revisión. </w:t>
      </w:r>
      <w:r>
        <w:rPr>
          <w:rFonts w:ascii="Palatino Linotype" w:eastAsia="Palatino Linotype" w:hAnsi="Palatino Linotype" w:cs="Palatino Linotype"/>
        </w:rPr>
        <w:t xml:space="preserve">El recurso de revisión se interpuso a través del </w:t>
      </w:r>
      <w:r>
        <w:rPr>
          <w:rFonts w:ascii="Palatino Linotype" w:eastAsia="Palatino Linotype" w:hAnsi="Palatino Linotype" w:cs="Palatino Linotype"/>
          <w:b/>
        </w:rPr>
        <w:t>SAIMEX</w:t>
      </w:r>
      <w:r>
        <w:rPr>
          <w:rFonts w:ascii="Palatino Linotype" w:eastAsia="Palatino Linotype" w:hAnsi="Palatino Linotype" w:cs="Palatino Linotype"/>
        </w:rPr>
        <w:t xml:space="preserve"> con fecha </w:t>
      </w:r>
      <w:r>
        <w:rPr>
          <w:rFonts w:ascii="Palatino Linotype" w:eastAsia="Palatino Linotype" w:hAnsi="Palatino Linotype" w:cs="Palatino Linotype"/>
          <w:b/>
        </w:rPr>
        <w:t>tres de noviembre de dos mil veintiuno</w:t>
      </w:r>
      <w:r>
        <w:rPr>
          <w:rFonts w:ascii="Palatino Linotype" w:eastAsia="Palatino Linotype" w:hAnsi="Palatino Linotype" w:cs="Palatino Linotype"/>
        </w:rPr>
        <w:t>, por parte del solicitante de información, quien expresó las siguientes manifestaciones:</w:t>
      </w:r>
    </w:p>
    <w:p w14:paraId="7C75BCC8" w14:textId="77777777" w:rsidR="00DF6FD1" w:rsidRDefault="002808E4">
      <w:pPr>
        <w:spacing w:before="240" w:after="240" w:line="360" w:lineRule="auto"/>
        <w:ind w:left="567"/>
        <w:rPr>
          <w:rFonts w:ascii="Palatino Linotype" w:eastAsia="Palatino Linotype" w:hAnsi="Palatino Linotype" w:cs="Palatino Linotype"/>
          <w:b/>
        </w:rPr>
      </w:pPr>
      <w:r>
        <w:rPr>
          <w:rFonts w:ascii="Palatino Linotype" w:eastAsia="Palatino Linotype" w:hAnsi="Palatino Linotype" w:cs="Palatino Linotype"/>
          <w:b/>
        </w:rPr>
        <w:t>a) Acto impugnado.</w:t>
      </w:r>
    </w:p>
    <w:p w14:paraId="4BD830ED" w14:textId="77777777" w:rsidR="00DF6FD1" w:rsidRDefault="002808E4">
      <w:pPr>
        <w:spacing w:line="360" w:lineRule="auto"/>
        <w:ind w:left="992"/>
        <w:jc w:val="both"/>
        <w:rPr>
          <w:rFonts w:ascii="Palatino Linotype" w:eastAsia="Palatino Linotype" w:hAnsi="Palatino Linotype" w:cs="Palatino Linotype"/>
          <w:i/>
        </w:rPr>
      </w:pPr>
      <w:r>
        <w:rPr>
          <w:rFonts w:ascii="Palatino Linotype" w:eastAsia="Palatino Linotype" w:hAnsi="Palatino Linotype" w:cs="Palatino Linotype"/>
          <w:i/>
        </w:rPr>
        <w:t>“</w:t>
      </w:r>
      <w:r>
        <w:rPr>
          <w:rFonts w:ascii="Palatino Linotype" w:eastAsia="Palatino Linotype" w:hAnsi="Palatino Linotype" w:cs="Palatino Linotype"/>
          <w:i/>
          <w:color w:val="000000"/>
        </w:rPr>
        <w:t>Respuesta que no contempla todo lo solicitado.</w:t>
      </w:r>
      <w:r>
        <w:rPr>
          <w:rFonts w:ascii="Palatino Linotype" w:eastAsia="Palatino Linotype" w:hAnsi="Palatino Linotype" w:cs="Palatino Linotype"/>
          <w:b/>
          <w:i/>
        </w:rPr>
        <w:t xml:space="preserve">”  </w:t>
      </w:r>
      <w:r>
        <w:rPr>
          <w:rFonts w:ascii="Palatino Linotype" w:eastAsia="Palatino Linotype" w:hAnsi="Palatino Linotype" w:cs="Palatino Linotype"/>
          <w:i/>
        </w:rPr>
        <w:t>(sic)</w:t>
      </w:r>
    </w:p>
    <w:p w14:paraId="3FD9E012" w14:textId="77777777" w:rsidR="00DF6FD1" w:rsidRDefault="002808E4">
      <w:pPr>
        <w:spacing w:before="240" w:after="240" w:line="360" w:lineRule="auto"/>
        <w:ind w:left="567"/>
        <w:jc w:val="both"/>
        <w:rPr>
          <w:rFonts w:ascii="Palatino Linotype" w:eastAsia="Palatino Linotype" w:hAnsi="Palatino Linotype" w:cs="Palatino Linotype"/>
          <w:b/>
        </w:rPr>
      </w:pPr>
      <w:r>
        <w:rPr>
          <w:rFonts w:ascii="Palatino Linotype" w:eastAsia="Palatino Linotype" w:hAnsi="Palatino Linotype" w:cs="Palatino Linotype"/>
          <w:b/>
        </w:rPr>
        <w:t>b) Motivos de inconformidad.</w:t>
      </w:r>
    </w:p>
    <w:p w14:paraId="2475E291" w14:textId="77777777" w:rsidR="00DF6FD1" w:rsidRDefault="002808E4">
      <w:pPr>
        <w:spacing w:line="360" w:lineRule="auto"/>
        <w:ind w:left="851" w:right="51"/>
        <w:jc w:val="both"/>
        <w:rPr>
          <w:rFonts w:ascii="Palatino Linotype" w:eastAsia="Palatino Linotype" w:hAnsi="Palatino Linotype" w:cs="Palatino Linotype"/>
          <w:i/>
        </w:rPr>
      </w:pPr>
      <w:r>
        <w:rPr>
          <w:rFonts w:ascii="Palatino Linotype" w:eastAsia="Palatino Linotype" w:hAnsi="Palatino Linotype" w:cs="Palatino Linotype"/>
          <w:i/>
        </w:rPr>
        <w:t>“</w:t>
      </w:r>
      <w:r>
        <w:rPr>
          <w:rFonts w:ascii="Palatino Linotype" w:eastAsia="Palatino Linotype" w:hAnsi="Palatino Linotype" w:cs="Palatino Linotype"/>
          <w:i/>
          <w:color w:val="000000"/>
        </w:rPr>
        <w:t xml:space="preserve">Acuso recibo de su amable respuesta de fecha 3 de noviembre del 2021, sin embargo me permito informarles que </w:t>
      </w:r>
      <w:r w:rsidRPr="001A783C">
        <w:rPr>
          <w:rFonts w:ascii="Palatino Linotype" w:eastAsia="Palatino Linotype" w:hAnsi="Palatino Linotype" w:cs="Palatino Linotype"/>
          <w:b/>
          <w:i/>
          <w:color w:val="000000"/>
          <w:u w:val="single"/>
        </w:rPr>
        <w:t>su respuesta es incompleta,</w:t>
      </w:r>
      <w:r>
        <w:rPr>
          <w:rFonts w:ascii="Palatino Linotype" w:eastAsia="Palatino Linotype" w:hAnsi="Palatino Linotype" w:cs="Palatino Linotype"/>
          <w:i/>
          <w:color w:val="000000"/>
        </w:rPr>
        <w:t xml:space="preserve"> </w:t>
      </w:r>
      <w:r w:rsidRPr="001A783C">
        <w:rPr>
          <w:rFonts w:ascii="Palatino Linotype" w:eastAsia="Palatino Linotype" w:hAnsi="Palatino Linotype" w:cs="Palatino Linotype"/>
          <w:b/>
          <w:i/>
          <w:color w:val="000000"/>
          <w:u w:val="single"/>
        </w:rPr>
        <w:t>ya que no mencionan nada acerca de “que reglamento de tránsito es el vigente en el mismo municipio</w:t>
      </w:r>
      <w:r>
        <w:rPr>
          <w:rFonts w:ascii="Palatino Linotype" w:eastAsia="Palatino Linotype" w:hAnsi="Palatino Linotype" w:cs="Palatino Linotype"/>
          <w:i/>
          <w:color w:val="000000"/>
        </w:rPr>
        <w:t xml:space="preserve">” Por otra parte, de ser posible deseo me hagan llegar una copia del comunicado 242 que se expidió desde el 7 de noviembre de 2016. Adicionalmente, en el caso de que en dicho comunicado no mencione las bases en las que se ampara la expedición de dicho documento, atentamente les solicito me las hagan saber. </w:t>
      </w:r>
      <w:proofErr w:type="spellStart"/>
      <w:r w:rsidRPr="001A783C">
        <w:rPr>
          <w:rFonts w:ascii="Palatino Linotype" w:eastAsia="Palatino Linotype" w:hAnsi="Palatino Linotype" w:cs="Palatino Linotype"/>
          <w:i/>
          <w:color w:val="000000"/>
          <w:sz w:val="22"/>
        </w:rPr>
        <w:t>Adicionalemente</w:t>
      </w:r>
      <w:proofErr w:type="spellEnd"/>
      <w:r>
        <w:rPr>
          <w:rFonts w:ascii="Palatino Linotype" w:eastAsia="Palatino Linotype" w:hAnsi="Palatino Linotype" w:cs="Palatino Linotype"/>
          <w:i/>
          <w:color w:val="000000"/>
        </w:rPr>
        <w:t>, es muy importante que se me informe si dicho comunicado 242 permite la suspensión de infracciones vehiculares del Reglamento de Tránsito que me imagino es estatal..”</w:t>
      </w:r>
      <w:r>
        <w:rPr>
          <w:rFonts w:ascii="Palatino Linotype" w:eastAsia="Palatino Linotype" w:hAnsi="Palatino Linotype" w:cs="Palatino Linotype"/>
          <w:i/>
        </w:rPr>
        <w:t xml:space="preserve"> (sic)</w:t>
      </w:r>
    </w:p>
    <w:p w14:paraId="598187DA" w14:textId="77777777" w:rsidR="00DF6FD1" w:rsidRDefault="002808E4">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5. Turno. </w:t>
      </w:r>
      <w:r>
        <w:rPr>
          <w:rFonts w:ascii="Palatino Linotype" w:eastAsia="Palatino Linotype" w:hAnsi="Palatino Linotype" w:cs="Palatino Linotype"/>
        </w:rPr>
        <w:t xml:space="preserve">De conformidad con el artículo 185 fracción VII de la Ley de Transparencia y Acceso a la Información Pública del Estado de México y Municipios vigente, </w:t>
      </w:r>
      <w:r>
        <w:rPr>
          <w:rFonts w:ascii="Palatino Linotype" w:eastAsia="Palatino Linotype" w:hAnsi="Palatino Linotype" w:cs="Palatino Linotype"/>
          <w:b/>
        </w:rPr>
        <w:t>tres de noviembre de dos mil veintiuno</w:t>
      </w:r>
      <w:r>
        <w:rPr>
          <w:rFonts w:ascii="Palatino Linotype" w:eastAsia="Palatino Linotype" w:hAnsi="Palatino Linotype" w:cs="Palatino Linotype"/>
        </w:rPr>
        <w:t xml:space="preserve"> el presente recurso de revisión se envió electrónicamente al Instituto de Transparencia, Acceso a la Información Pública y Protección de Datos Personales del Estado de México y Municipios, que por razón </w:t>
      </w:r>
      <w:r>
        <w:rPr>
          <w:rFonts w:ascii="Palatino Linotype" w:eastAsia="Palatino Linotype" w:hAnsi="Palatino Linotype" w:cs="Palatino Linotype"/>
        </w:rPr>
        <w:lastRenderedPageBreak/>
        <w:t xml:space="preserve">de turno fue asignado a la Comisionada </w:t>
      </w:r>
      <w:r>
        <w:rPr>
          <w:rFonts w:ascii="Palatino Linotype" w:eastAsia="Palatino Linotype" w:hAnsi="Palatino Linotype" w:cs="Palatino Linotype"/>
          <w:b/>
        </w:rPr>
        <w:t>Guadalupe Ramírez Peña</w:t>
      </w:r>
      <w:r>
        <w:rPr>
          <w:rFonts w:ascii="Palatino Linotype" w:eastAsia="Palatino Linotype" w:hAnsi="Palatino Linotype" w:cs="Palatino Linotype"/>
        </w:rPr>
        <w:t xml:space="preserve"> para su análisis, estudio, elaboración del proyecto y presentación ante el Pleno de este Instituto.</w:t>
      </w:r>
    </w:p>
    <w:p w14:paraId="5945925B" w14:textId="77777777" w:rsidR="00DF6FD1" w:rsidRDefault="002808E4">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6. Admisión. </w:t>
      </w:r>
      <w:r>
        <w:rPr>
          <w:rFonts w:ascii="Palatino Linotype" w:eastAsia="Palatino Linotype" w:hAnsi="Palatino Linotype" w:cs="Palatino Linotype"/>
        </w:rPr>
        <w:t xml:space="preserve">Mediante auto de fecha </w:t>
      </w:r>
      <w:r>
        <w:rPr>
          <w:rFonts w:ascii="Palatino Linotype" w:eastAsia="Palatino Linotype" w:hAnsi="Palatino Linotype" w:cs="Palatino Linotype"/>
          <w:b/>
        </w:rPr>
        <w:t>ocho de noviembre de dos mil veintiuno</w:t>
      </w:r>
      <w:r>
        <w:rPr>
          <w:rFonts w:ascii="Palatino Linotype" w:eastAsia="Palatino Linotype" w:hAnsi="Palatino Linotype" w:cs="Palatino Linotype"/>
        </w:rPr>
        <w:t xml:space="preserve">, este Órgano Garante, admitió a trámite el recurso de revisión respectivo, poniéndose a disposición de las partes, para que, en un plazo no mayor a siete días hábiles, manifestaran lo que a su derecho corresponda, a efecto de ofrecer pruebas, informe justificado y alegatos, lo anterior con fundamento en el artículo 185 fracciones I, II y IV de la Ley de Transparencia y Acceso a la Información Pública del Estado de México y Municipios. </w:t>
      </w:r>
    </w:p>
    <w:p w14:paraId="5D0C96EE" w14:textId="77777777" w:rsidR="00DF6FD1" w:rsidRDefault="002808E4">
      <w:pPr>
        <w:spacing w:before="240" w:after="240" w:line="360" w:lineRule="auto"/>
        <w:ind w:right="49"/>
        <w:jc w:val="both"/>
        <w:rPr>
          <w:rFonts w:ascii="Palatino Linotype" w:eastAsia="Palatino Linotype" w:hAnsi="Palatino Linotype" w:cs="Palatino Linotype"/>
        </w:rPr>
      </w:pPr>
      <w:bookmarkStart w:id="0" w:name="_gjdgxs" w:colFirst="0" w:colLast="0"/>
      <w:bookmarkEnd w:id="0"/>
      <w:r>
        <w:rPr>
          <w:rFonts w:ascii="Palatino Linotype" w:eastAsia="Palatino Linotype" w:hAnsi="Palatino Linotype" w:cs="Palatino Linotype"/>
          <w:b/>
        </w:rPr>
        <w:t>7. Manifestaciones.</w:t>
      </w:r>
      <w:r>
        <w:rPr>
          <w:rFonts w:ascii="Palatino Linotype" w:eastAsia="Palatino Linotype" w:hAnsi="Palatino Linotype" w:cs="Palatino Linotype"/>
        </w:rPr>
        <w:t xml:space="preserve"> De las constancias que obran en el </w:t>
      </w:r>
      <w:r>
        <w:rPr>
          <w:rFonts w:ascii="Palatino Linotype" w:eastAsia="Palatino Linotype" w:hAnsi="Palatino Linotype" w:cs="Palatino Linotype"/>
          <w:b/>
        </w:rPr>
        <w:t>SAIMEX</w:t>
      </w:r>
      <w:r>
        <w:rPr>
          <w:rFonts w:ascii="Palatino Linotype" w:eastAsia="Palatino Linotype" w:hAnsi="Palatino Linotype" w:cs="Palatino Linotype"/>
        </w:rPr>
        <w:t xml:space="preserve">, se advierte que, </w:t>
      </w:r>
      <w:r w:rsidR="001A783C">
        <w:rPr>
          <w:rFonts w:ascii="Palatino Linotype" w:eastAsia="Palatino Linotype" w:hAnsi="Palatino Linotype" w:cs="Palatino Linotype"/>
          <w:b/>
        </w:rPr>
        <w:t>el</w:t>
      </w:r>
      <w:r>
        <w:rPr>
          <w:rFonts w:ascii="Palatino Linotype" w:eastAsia="Palatino Linotype" w:hAnsi="Palatino Linotype" w:cs="Palatino Linotype"/>
          <w:b/>
        </w:rPr>
        <w:t xml:space="preserve"> RECURRENTE </w:t>
      </w:r>
      <w:r>
        <w:rPr>
          <w:rFonts w:ascii="Palatino Linotype" w:eastAsia="Palatino Linotype" w:hAnsi="Palatino Linotype" w:cs="Palatino Linotype"/>
        </w:rPr>
        <w:t>fue omis</w:t>
      </w:r>
      <w:r w:rsidR="001A783C">
        <w:rPr>
          <w:rFonts w:ascii="Palatino Linotype" w:eastAsia="Palatino Linotype" w:hAnsi="Palatino Linotype" w:cs="Palatino Linotype"/>
        </w:rPr>
        <w:t>o</w:t>
      </w:r>
      <w:r>
        <w:rPr>
          <w:rFonts w:ascii="Palatino Linotype" w:eastAsia="Palatino Linotype" w:hAnsi="Palatino Linotype" w:cs="Palatino Linotype"/>
        </w:rPr>
        <w:t xml:space="preserve"> en realizar manifestaciones, alegatos y ofrecer las pruebas que a su derecho conviniera. Por su parte, en fecha ocho de noviembre de dos mil veintiuno, </w:t>
      </w:r>
      <w:r>
        <w:rPr>
          <w:rFonts w:ascii="Palatino Linotype" w:eastAsia="Palatino Linotype" w:hAnsi="Palatino Linotype" w:cs="Palatino Linotype"/>
          <w:b/>
        </w:rPr>
        <w:t xml:space="preserve">EL SUJETO OBLIGADO </w:t>
      </w:r>
      <w:r>
        <w:rPr>
          <w:rFonts w:ascii="Palatino Linotype" w:eastAsia="Palatino Linotype" w:hAnsi="Palatino Linotype" w:cs="Palatino Linotype"/>
        </w:rPr>
        <w:t xml:space="preserve">rindió el Informe Justificado correspondiente, remitiendo un archivo electrónicos que se denomina </w:t>
      </w:r>
      <w:r>
        <w:rPr>
          <w:rFonts w:ascii="Palatino Linotype" w:eastAsia="Palatino Linotype" w:hAnsi="Palatino Linotype" w:cs="Palatino Linotype"/>
          <w:b/>
          <w:i/>
        </w:rPr>
        <w:t>“INFORME JUSTIFICADO SEGURIDAD 05379.pdf”,</w:t>
      </w:r>
      <w:r>
        <w:rPr>
          <w:rFonts w:ascii="Palatino Linotype" w:eastAsia="Palatino Linotype" w:hAnsi="Palatino Linotype" w:cs="Palatino Linotype"/>
        </w:rPr>
        <w:t xml:space="preserve"> el cual, este Institut</w:t>
      </w:r>
      <w:r w:rsidR="001A783C">
        <w:rPr>
          <w:rFonts w:ascii="Palatino Linotype" w:eastAsia="Palatino Linotype" w:hAnsi="Palatino Linotype" w:cs="Palatino Linotype"/>
        </w:rPr>
        <w:t>o determinó poner a la vista del</w:t>
      </w:r>
      <w:r>
        <w:rPr>
          <w:rFonts w:ascii="Palatino Linotype" w:eastAsia="Palatino Linotype" w:hAnsi="Palatino Linotype" w:cs="Palatino Linotype"/>
          <w:b/>
        </w:rPr>
        <w:t xml:space="preserve"> RECURRENTE </w:t>
      </w:r>
      <w:r>
        <w:rPr>
          <w:rFonts w:ascii="Palatino Linotype" w:eastAsia="Palatino Linotype" w:hAnsi="Palatino Linotype" w:cs="Palatino Linotype"/>
        </w:rPr>
        <w:t>para que, en un plazo de tres días hábiles siguientes al día de la vista, manifestare, lo que a su derecho conviniera</w:t>
      </w:r>
      <w:r>
        <w:rPr>
          <w:rFonts w:ascii="Palatino Linotype" w:eastAsia="Palatino Linotype" w:hAnsi="Palatino Linotype" w:cs="Palatino Linotype"/>
          <w:b/>
        </w:rPr>
        <w:t>,</w:t>
      </w:r>
      <w:r>
        <w:rPr>
          <w:rFonts w:ascii="Palatino Linotype" w:eastAsia="Palatino Linotype" w:hAnsi="Palatino Linotype" w:cs="Palatino Linotype"/>
        </w:rPr>
        <w:t xml:space="preserve"> en virtud de que </w:t>
      </w:r>
      <w:r>
        <w:rPr>
          <w:rFonts w:ascii="Palatino Linotype" w:eastAsia="Palatino Linotype" w:hAnsi="Palatino Linotype" w:cs="Palatino Linotype"/>
          <w:b/>
        </w:rPr>
        <w:t>EL SUJETO OBLIGADO</w:t>
      </w:r>
      <w:r>
        <w:rPr>
          <w:rFonts w:ascii="Palatino Linotype" w:eastAsia="Palatino Linotype" w:hAnsi="Palatino Linotype" w:cs="Palatino Linotype"/>
        </w:rPr>
        <w:t xml:space="preserve"> agregó elementos a la respuesta a la solicitud de información, en términos del artículo 185, fracción III de la Ley de Transparencia y Acceso a la Información Pública del Estado de México y Municipios, como se aprecia a continuación: </w:t>
      </w:r>
    </w:p>
    <w:p w14:paraId="47071B8D" w14:textId="77777777" w:rsidR="00DF6FD1" w:rsidRDefault="00DF6FD1">
      <w:pPr>
        <w:tabs>
          <w:tab w:val="left" w:pos="3521"/>
        </w:tabs>
        <w:jc w:val="center"/>
        <w:rPr>
          <w:rFonts w:ascii="Palatino Linotype" w:eastAsia="Palatino Linotype" w:hAnsi="Palatino Linotype" w:cs="Palatino Linotype"/>
          <w:b/>
          <w:i/>
        </w:rPr>
      </w:pPr>
    </w:p>
    <w:p w14:paraId="76B8CA0F" w14:textId="77777777" w:rsidR="00DF6FD1" w:rsidRDefault="00DF6FD1">
      <w:pPr>
        <w:tabs>
          <w:tab w:val="left" w:pos="3521"/>
        </w:tabs>
        <w:jc w:val="center"/>
        <w:rPr>
          <w:rFonts w:ascii="Palatino Linotype" w:eastAsia="Palatino Linotype" w:hAnsi="Palatino Linotype" w:cs="Palatino Linotype"/>
          <w:b/>
          <w:i/>
        </w:rPr>
      </w:pPr>
    </w:p>
    <w:p w14:paraId="2A2C997C" w14:textId="77777777" w:rsidR="00DF6FD1" w:rsidRDefault="00DF6FD1">
      <w:pPr>
        <w:tabs>
          <w:tab w:val="left" w:pos="3521"/>
        </w:tabs>
        <w:jc w:val="center"/>
        <w:rPr>
          <w:rFonts w:ascii="Palatino Linotype" w:eastAsia="Palatino Linotype" w:hAnsi="Palatino Linotype" w:cs="Palatino Linotype"/>
          <w:b/>
          <w:i/>
        </w:rPr>
      </w:pPr>
    </w:p>
    <w:p w14:paraId="0C090397" w14:textId="2F1598EB" w:rsidR="00DF6FD1" w:rsidRDefault="00851A58">
      <w:pPr>
        <w:tabs>
          <w:tab w:val="left" w:pos="3521"/>
        </w:tabs>
        <w:jc w:val="center"/>
        <w:rPr>
          <w:rFonts w:ascii="Palatino Linotype" w:eastAsia="Palatino Linotype" w:hAnsi="Palatino Linotype" w:cs="Palatino Linotype"/>
          <w:b/>
          <w:i/>
        </w:rPr>
      </w:pPr>
      <w:r>
        <w:rPr>
          <w:noProof/>
        </w:rPr>
        <w:drawing>
          <wp:inline distT="0" distB="0" distL="0" distR="0" wp14:anchorId="6A98410A" wp14:editId="1F332816">
            <wp:extent cx="5362575" cy="7038380"/>
            <wp:effectExtent l="76200" t="19050" r="66675" b="124460"/>
            <wp:docPr id="15" name="Imagen 15"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descr="Interfaz de usuario gráfica, Texto, Aplicación&#10;&#10;Descripción generada automáticamente"/>
                    <pic:cNvPicPr/>
                  </pic:nvPicPr>
                  <pic:blipFill rotWithShape="1">
                    <a:blip r:embed="rId8"/>
                    <a:srcRect l="2376" t="21726" r="67753" b="8569"/>
                    <a:stretch/>
                  </pic:blipFill>
                  <pic:spPr bwMode="auto">
                    <a:xfrm>
                      <a:off x="0" y="0"/>
                      <a:ext cx="5385089" cy="7067929"/>
                    </a:xfrm>
                    <a:prstGeom prst="rect">
                      <a:avLst/>
                    </a:prstGeom>
                    <a:ln>
                      <a:solidFill>
                        <a:schemeClr val="accent1"/>
                      </a:solidFill>
                    </a:ln>
                    <a:effectLst>
                      <a:outerShdw blurRad="50800" dist="50800" dir="5400000" algn="ctr" rotWithShape="0">
                        <a:schemeClr val="bg1">
                          <a:lumMod val="65000"/>
                        </a:schemeClr>
                      </a:outerShdw>
                    </a:effectLst>
                    <a:extLst>
                      <a:ext uri="{53640926-AAD7-44D8-BBD7-CCE9431645EC}">
                        <a14:shadowObscured xmlns:a14="http://schemas.microsoft.com/office/drawing/2010/main"/>
                      </a:ext>
                    </a:extLst>
                  </pic:spPr>
                </pic:pic>
              </a:graphicData>
            </a:graphic>
          </wp:inline>
        </w:drawing>
      </w:r>
    </w:p>
    <w:p w14:paraId="50DB6DA7" w14:textId="77777777" w:rsidR="00DF6FD1" w:rsidRDefault="00DF6FD1">
      <w:pPr>
        <w:tabs>
          <w:tab w:val="left" w:pos="3521"/>
        </w:tabs>
        <w:rPr>
          <w:rFonts w:ascii="Palatino Linotype" w:eastAsia="Palatino Linotype" w:hAnsi="Palatino Linotype" w:cs="Palatino Linotype"/>
        </w:rPr>
      </w:pPr>
    </w:p>
    <w:p w14:paraId="0D0A898C" w14:textId="77777777" w:rsidR="00DF6FD1" w:rsidRDefault="002808E4">
      <w:pPr>
        <w:spacing w:before="240" w:after="240" w:line="360" w:lineRule="auto"/>
        <w:ind w:right="49"/>
        <w:jc w:val="center"/>
        <w:rPr>
          <w:rFonts w:ascii="Palatino Linotype" w:eastAsia="Palatino Linotype" w:hAnsi="Palatino Linotype" w:cs="Palatino Linotype"/>
          <w:sz w:val="22"/>
          <w:szCs w:val="22"/>
        </w:rPr>
      </w:pPr>
      <w:r>
        <w:rPr>
          <w:noProof/>
          <w:lang w:val="es-MX"/>
        </w:rPr>
        <w:drawing>
          <wp:inline distT="0" distB="0" distL="0" distR="0" wp14:anchorId="02B3215F" wp14:editId="2D13FB73">
            <wp:extent cx="5551006" cy="6965444"/>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l="56687" t="15993" r="8010" b="5250"/>
                    <a:stretch>
                      <a:fillRect/>
                    </a:stretch>
                  </pic:blipFill>
                  <pic:spPr>
                    <a:xfrm>
                      <a:off x="0" y="0"/>
                      <a:ext cx="5551006" cy="6965444"/>
                    </a:xfrm>
                    <a:prstGeom prst="rect">
                      <a:avLst/>
                    </a:prstGeom>
                    <a:ln/>
                  </pic:spPr>
                </pic:pic>
              </a:graphicData>
            </a:graphic>
          </wp:inline>
        </w:drawing>
      </w:r>
    </w:p>
    <w:p w14:paraId="684B6638" w14:textId="77777777" w:rsidR="00DF6FD1" w:rsidRDefault="002808E4">
      <w:pPr>
        <w:spacing w:before="240" w:after="240" w:line="360" w:lineRule="auto"/>
        <w:ind w:right="49"/>
        <w:jc w:val="both"/>
        <w:rPr>
          <w:rFonts w:ascii="Palatino Linotype" w:eastAsia="Palatino Linotype" w:hAnsi="Palatino Linotype" w:cs="Palatino Linotype"/>
          <w:sz w:val="22"/>
          <w:szCs w:val="22"/>
        </w:rPr>
      </w:pPr>
      <w:r>
        <w:rPr>
          <w:noProof/>
          <w:lang w:val="es-MX"/>
        </w:rPr>
        <w:lastRenderedPageBreak/>
        <w:drawing>
          <wp:inline distT="0" distB="0" distL="0" distR="0" wp14:anchorId="72A23E9F" wp14:editId="5549546B">
            <wp:extent cx="5577727" cy="6992173"/>
            <wp:effectExtent l="0" t="0" r="0" b="0"/>
            <wp:docPr id="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0"/>
                    <a:srcRect l="56856" t="16294" r="7670" b="4647"/>
                    <a:stretch>
                      <a:fillRect/>
                    </a:stretch>
                  </pic:blipFill>
                  <pic:spPr>
                    <a:xfrm>
                      <a:off x="0" y="0"/>
                      <a:ext cx="5577727" cy="6992173"/>
                    </a:xfrm>
                    <a:prstGeom prst="rect">
                      <a:avLst/>
                    </a:prstGeom>
                    <a:ln/>
                  </pic:spPr>
                </pic:pic>
              </a:graphicData>
            </a:graphic>
          </wp:inline>
        </w:drawing>
      </w:r>
    </w:p>
    <w:p w14:paraId="2F9D728C" w14:textId="77777777" w:rsidR="00DF6FD1" w:rsidRDefault="00DF6FD1">
      <w:pPr>
        <w:spacing w:before="240" w:after="240" w:line="360" w:lineRule="auto"/>
        <w:ind w:right="49"/>
        <w:jc w:val="both"/>
        <w:rPr>
          <w:rFonts w:ascii="Palatino Linotype" w:eastAsia="Palatino Linotype" w:hAnsi="Palatino Linotype" w:cs="Palatino Linotype"/>
          <w:sz w:val="22"/>
          <w:szCs w:val="22"/>
        </w:rPr>
      </w:pPr>
    </w:p>
    <w:p w14:paraId="46403688" w14:textId="77777777" w:rsidR="00DF6FD1" w:rsidRDefault="002808E4">
      <w:pPr>
        <w:spacing w:before="240" w:after="240" w:line="360" w:lineRule="auto"/>
        <w:ind w:right="49"/>
        <w:jc w:val="both"/>
        <w:rPr>
          <w:rFonts w:ascii="Palatino Linotype" w:eastAsia="Palatino Linotype" w:hAnsi="Palatino Linotype" w:cs="Palatino Linotype"/>
          <w:sz w:val="22"/>
          <w:szCs w:val="22"/>
        </w:rPr>
      </w:pPr>
      <w:r>
        <w:rPr>
          <w:noProof/>
          <w:lang w:val="es-MX"/>
        </w:rPr>
        <w:lastRenderedPageBreak/>
        <w:drawing>
          <wp:inline distT="0" distB="0" distL="0" distR="0" wp14:anchorId="7938740B" wp14:editId="05C8CEC6">
            <wp:extent cx="5551006" cy="7265286"/>
            <wp:effectExtent l="0" t="0" r="0" b="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l="57196" t="15389" r="8180" b="4044"/>
                    <a:stretch>
                      <a:fillRect/>
                    </a:stretch>
                  </pic:blipFill>
                  <pic:spPr>
                    <a:xfrm>
                      <a:off x="0" y="0"/>
                      <a:ext cx="5551006" cy="7265286"/>
                    </a:xfrm>
                    <a:prstGeom prst="rect">
                      <a:avLst/>
                    </a:prstGeom>
                    <a:ln/>
                  </pic:spPr>
                </pic:pic>
              </a:graphicData>
            </a:graphic>
          </wp:inline>
        </w:drawing>
      </w:r>
    </w:p>
    <w:p w14:paraId="2878D8CC" w14:textId="77777777" w:rsidR="00DF6FD1" w:rsidRDefault="002808E4">
      <w:pPr>
        <w:spacing w:before="240" w:after="240" w:line="360" w:lineRule="auto"/>
        <w:ind w:right="49"/>
        <w:jc w:val="both"/>
        <w:rPr>
          <w:rFonts w:ascii="Palatino Linotype" w:eastAsia="Palatino Linotype" w:hAnsi="Palatino Linotype" w:cs="Palatino Linotype"/>
          <w:sz w:val="22"/>
          <w:szCs w:val="22"/>
        </w:rPr>
      </w:pPr>
      <w:r>
        <w:rPr>
          <w:noProof/>
          <w:lang w:val="es-MX"/>
        </w:rPr>
        <w:lastRenderedPageBreak/>
        <w:drawing>
          <wp:inline distT="0" distB="0" distL="0" distR="0" wp14:anchorId="03B13050" wp14:editId="3F97313F">
            <wp:extent cx="5558963" cy="7116546"/>
            <wp:effectExtent l="0" t="0" r="0" b="0"/>
            <wp:docPr id="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2"/>
                    <a:srcRect l="56856" t="15691" r="8010" b="4343"/>
                    <a:stretch>
                      <a:fillRect/>
                    </a:stretch>
                  </pic:blipFill>
                  <pic:spPr>
                    <a:xfrm>
                      <a:off x="0" y="0"/>
                      <a:ext cx="5558963" cy="7116546"/>
                    </a:xfrm>
                    <a:prstGeom prst="rect">
                      <a:avLst/>
                    </a:prstGeom>
                    <a:ln/>
                  </pic:spPr>
                </pic:pic>
              </a:graphicData>
            </a:graphic>
          </wp:inline>
        </w:drawing>
      </w:r>
    </w:p>
    <w:p w14:paraId="3F21D856" w14:textId="77777777" w:rsidR="00DF6FD1" w:rsidRDefault="00DF6FD1">
      <w:pPr>
        <w:widowControl w:val="0"/>
        <w:spacing w:before="240" w:after="240" w:line="360" w:lineRule="auto"/>
        <w:jc w:val="both"/>
        <w:rPr>
          <w:rFonts w:ascii="Palatino Linotype" w:eastAsia="Palatino Linotype" w:hAnsi="Palatino Linotype" w:cs="Palatino Linotype"/>
          <w:b/>
        </w:rPr>
      </w:pPr>
    </w:p>
    <w:p w14:paraId="107526FF" w14:textId="77777777" w:rsidR="00DF6FD1" w:rsidRDefault="002808E4">
      <w:pPr>
        <w:widowControl w:val="0"/>
        <w:spacing w:before="240" w:after="240" w:line="360" w:lineRule="auto"/>
        <w:jc w:val="both"/>
        <w:rPr>
          <w:rFonts w:ascii="Palatino Linotype" w:eastAsia="Palatino Linotype" w:hAnsi="Palatino Linotype" w:cs="Palatino Linotype"/>
          <w:b/>
        </w:rPr>
      </w:pPr>
      <w:r>
        <w:rPr>
          <w:noProof/>
          <w:lang w:val="es-MX"/>
        </w:rPr>
        <w:drawing>
          <wp:inline distT="0" distB="0" distL="0" distR="0" wp14:anchorId="264922F8" wp14:editId="5ECF38D7">
            <wp:extent cx="5580087" cy="7021831"/>
            <wp:effectExtent l="0" t="0" r="0" b="0"/>
            <wp:docPr id="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3"/>
                    <a:srcRect l="57196" t="15691" r="7331" b="4948"/>
                    <a:stretch>
                      <a:fillRect/>
                    </a:stretch>
                  </pic:blipFill>
                  <pic:spPr>
                    <a:xfrm>
                      <a:off x="0" y="0"/>
                      <a:ext cx="5580087" cy="7021831"/>
                    </a:xfrm>
                    <a:prstGeom prst="rect">
                      <a:avLst/>
                    </a:prstGeom>
                    <a:ln/>
                  </pic:spPr>
                </pic:pic>
              </a:graphicData>
            </a:graphic>
          </wp:inline>
        </w:drawing>
      </w:r>
    </w:p>
    <w:p w14:paraId="7965D09C" w14:textId="77777777" w:rsidR="00DF6FD1" w:rsidRDefault="002808E4">
      <w:pPr>
        <w:widowControl w:val="0"/>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lastRenderedPageBreak/>
        <w:t>9.</w:t>
      </w:r>
      <w:r>
        <w:rPr>
          <w:rFonts w:ascii="Palatino Linotype" w:eastAsia="Palatino Linotype" w:hAnsi="Palatino Linotype" w:cs="Palatino Linotype"/>
        </w:rPr>
        <w:t xml:space="preserve"> </w:t>
      </w:r>
      <w:r>
        <w:rPr>
          <w:rFonts w:ascii="Palatino Linotype" w:eastAsia="Palatino Linotype" w:hAnsi="Palatino Linotype" w:cs="Palatino Linotype"/>
          <w:b/>
        </w:rPr>
        <w:t>Alcance.</w:t>
      </w:r>
      <w:r>
        <w:rPr>
          <w:rFonts w:ascii="Palatino Linotype" w:eastAsia="Palatino Linotype" w:hAnsi="Palatino Linotype" w:cs="Palatino Linotype"/>
        </w:rPr>
        <w:t xml:space="preserve"> En fecha </w:t>
      </w:r>
      <w:r>
        <w:rPr>
          <w:rFonts w:ascii="Palatino Linotype" w:eastAsia="Palatino Linotype" w:hAnsi="Palatino Linotype" w:cs="Palatino Linotype"/>
          <w:b/>
        </w:rPr>
        <w:t>catorce de enero de dos mil veintidós</w:t>
      </w:r>
      <w:r>
        <w:rPr>
          <w:rFonts w:ascii="Palatino Linotype" w:eastAsia="Palatino Linotype" w:hAnsi="Palatino Linotype" w:cs="Palatino Linotype"/>
        </w:rPr>
        <w:t xml:space="preserve">, </w:t>
      </w:r>
      <w:r>
        <w:rPr>
          <w:rFonts w:ascii="Palatino Linotype" w:eastAsia="Palatino Linotype" w:hAnsi="Palatino Linotype" w:cs="Palatino Linotype"/>
          <w:b/>
        </w:rPr>
        <w:t>EL SUJETO OBLIGADO</w:t>
      </w:r>
      <w:r>
        <w:rPr>
          <w:rFonts w:ascii="Palatino Linotype" w:eastAsia="Palatino Linotype" w:hAnsi="Palatino Linotype" w:cs="Palatino Linotype"/>
        </w:rPr>
        <w:t xml:space="preserve"> a través del SAIMEX, remitió, en alcance a su informe justificado, tres documentos digitales, con los cuales amplió su respuesta, documentos que habrán de ser objeto de estudio en el apartado correspondiente, mismos que se puso a la vista en la misma fecha.</w:t>
      </w:r>
    </w:p>
    <w:p w14:paraId="5200F7EB" w14:textId="77777777" w:rsidR="00DF6FD1" w:rsidRDefault="002808E4">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 xml:space="preserve">10. Ampliación del plazo. </w:t>
      </w:r>
      <w:r>
        <w:rPr>
          <w:rFonts w:ascii="Palatino Linotype" w:eastAsia="Palatino Linotype" w:hAnsi="Palatino Linotype" w:cs="Palatino Linotype"/>
        </w:rPr>
        <w:t xml:space="preserve">En fecha </w:t>
      </w:r>
      <w:r>
        <w:rPr>
          <w:rFonts w:ascii="Palatino Linotype" w:eastAsia="Palatino Linotype" w:hAnsi="Palatino Linotype" w:cs="Palatino Linotype"/>
          <w:b/>
        </w:rPr>
        <w:t>catorce de enero de dos mil veintidós,</w:t>
      </w:r>
      <w:r>
        <w:rPr>
          <w:rFonts w:ascii="Palatino Linotype" w:eastAsia="Palatino Linotype" w:hAnsi="Palatino Linotype" w:cs="Palatino Linotype"/>
        </w:rPr>
        <w:t xml:space="preserve"> con fundamento en el artículo 181, párrafo tercero de la Ley de Transparencia y Acceso a la Información Pública del Estado de México y Municipios, se acordó la ampliación del plazo para la resolución de los presentes recursos de revisión.</w:t>
      </w:r>
    </w:p>
    <w:p w14:paraId="0A33C6F8" w14:textId="77777777" w:rsidR="00DF6FD1" w:rsidRDefault="002808E4">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 xml:space="preserve">11. Cierre de Instrucción. </w:t>
      </w:r>
      <w:r>
        <w:rPr>
          <w:rFonts w:ascii="Palatino Linotype" w:eastAsia="Palatino Linotype" w:hAnsi="Palatino Linotype" w:cs="Palatino Linotype"/>
        </w:rPr>
        <w:t xml:space="preserve">Una vez transcurrido el plazo otorgado para que las partes manifestaran lo que a su derecho conviniera, y siguiendo los trámites correspondientes con fundamento en el artículo 185 fracción VI de la Ley de Transparencia y Acceso a la Información Pública del Estado de México y Municipios, el </w:t>
      </w:r>
      <w:r w:rsidR="00B56CA9" w:rsidRPr="00B56CA9">
        <w:rPr>
          <w:rFonts w:ascii="Palatino Linotype" w:eastAsia="Palatino Linotype" w:hAnsi="Palatino Linotype" w:cs="Palatino Linotype"/>
        </w:rPr>
        <w:t>día</w:t>
      </w:r>
      <w:r w:rsidR="00B56CA9" w:rsidRPr="00B56CA9">
        <w:rPr>
          <w:rFonts w:ascii="Palatino Linotype" w:eastAsia="Palatino Linotype" w:hAnsi="Palatino Linotype" w:cs="Palatino Linotype"/>
          <w:b/>
        </w:rPr>
        <w:t xml:space="preserve"> veinte</w:t>
      </w:r>
      <w:r w:rsidRPr="001A783C">
        <w:rPr>
          <w:rFonts w:ascii="Palatino Linotype" w:eastAsia="Palatino Linotype" w:hAnsi="Palatino Linotype" w:cs="Palatino Linotype"/>
          <w:b/>
          <w:color w:val="FF0000"/>
        </w:rPr>
        <w:t xml:space="preserve"> </w:t>
      </w:r>
      <w:r>
        <w:rPr>
          <w:rFonts w:ascii="Palatino Linotype" w:eastAsia="Palatino Linotype" w:hAnsi="Palatino Linotype" w:cs="Palatino Linotype"/>
          <w:b/>
        </w:rPr>
        <w:t>de enero de dos mil veintidós</w:t>
      </w:r>
      <w:r>
        <w:rPr>
          <w:rFonts w:ascii="Palatino Linotype" w:eastAsia="Palatino Linotype" w:hAnsi="Palatino Linotype" w:cs="Palatino Linotype"/>
        </w:rPr>
        <w:t xml:space="preserve"> se procedió a decretar el cierre de instrucción respectivo. </w:t>
      </w:r>
      <w:r>
        <w:rPr>
          <w:rFonts w:ascii="Palatino Linotype" w:eastAsia="Palatino Linotype" w:hAnsi="Palatino Linotype" w:cs="Palatino Linotype"/>
          <w:b/>
        </w:rPr>
        <w:t xml:space="preserve"> </w:t>
      </w:r>
    </w:p>
    <w:p w14:paraId="7F64CE57" w14:textId="77777777" w:rsidR="00DF6FD1" w:rsidRDefault="002808E4">
      <w:pPr>
        <w:widowControl w:val="0"/>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razón de que fue debidamente sustanciado el expediente electrónico y no existe diligencia pendiente de desahogo, se emite la Resolución que conforme a Derecho proceda, de acuerdo con el siguiente: </w:t>
      </w:r>
    </w:p>
    <w:p w14:paraId="594CCCED" w14:textId="77777777" w:rsidR="00DF6FD1" w:rsidRDefault="002808E4">
      <w:pPr>
        <w:pStyle w:val="Ttulo2"/>
        <w:jc w:val="center"/>
        <w:rPr>
          <w:rFonts w:ascii="Palatino Linotype" w:eastAsia="Palatino Linotype" w:hAnsi="Palatino Linotype" w:cs="Palatino Linotype"/>
          <w:b/>
          <w:color w:val="000000"/>
          <w:sz w:val="24"/>
          <w:szCs w:val="24"/>
        </w:rPr>
      </w:pPr>
      <w:r>
        <w:rPr>
          <w:rFonts w:ascii="Palatino Linotype" w:eastAsia="Palatino Linotype" w:hAnsi="Palatino Linotype" w:cs="Palatino Linotype"/>
          <w:b/>
          <w:color w:val="000000"/>
          <w:sz w:val="24"/>
          <w:szCs w:val="24"/>
        </w:rPr>
        <w:t>II.</w:t>
      </w:r>
      <w:r>
        <w:rPr>
          <w:rFonts w:ascii="Palatino Linotype" w:eastAsia="Palatino Linotype" w:hAnsi="Palatino Linotype" w:cs="Palatino Linotype"/>
          <w:b/>
          <w:color w:val="000000"/>
          <w:sz w:val="24"/>
          <w:szCs w:val="24"/>
        </w:rPr>
        <w:tab/>
        <w:t>C O N S I D E R A N D O</w:t>
      </w:r>
    </w:p>
    <w:p w14:paraId="725E7A89" w14:textId="77777777" w:rsidR="00DF6FD1" w:rsidRDefault="00DF6FD1">
      <w:pPr>
        <w:rPr>
          <w:rFonts w:ascii="Palatino Linotype" w:eastAsia="Palatino Linotype" w:hAnsi="Palatino Linotype" w:cs="Palatino Linotype"/>
        </w:rPr>
      </w:pPr>
    </w:p>
    <w:p w14:paraId="2D8FBCD4" w14:textId="77777777" w:rsidR="00DF6FD1" w:rsidRDefault="002808E4">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 xml:space="preserve">PRIMERO. Competencia. </w:t>
      </w:r>
      <w:r>
        <w:rPr>
          <w:rFonts w:ascii="Palatino Linotype" w:eastAsia="Palatino Linotype" w:hAnsi="Palatino Linotype" w:cs="Palatino Linotype"/>
          <w:highlight w:val="white"/>
        </w:rPr>
        <w:t xml:space="preserve">El Instituto de Transparencia, Acceso a la Información Pública y Protección de Datos Personales del Estado de México y Municipios, es </w:t>
      </w:r>
      <w:r>
        <w:rPr>
          <w:rFonts w:ascii="Palatino Linotype" w:eastAsia="Palatino Linotype" w:hAnsi="Palatino Linotype" w:cs="Palatino Linotype"/>
          <w:highlight w:val="white"/>
        </w:rPr>
        <w:lastRenderedPageBreak/>
        <w:t xml:space="preserve">competente para conocer y resolver el presente recurso de revisión interpuesto por </w:t>
      </w:r>
      <w:r>
        <w:rPr>
          <w:rFonts w:ascii="Palatino Linotype" w:eastAsia="Palatino Linotype" w:hAnsi="Palatino Linotype" w:cs="Palatino Linotype"/>
          <w:b/>
          <w:highlight w:val="white"/>
        </w:rPr>
        <w:t>LA RECURRENTE</w:t>
      </w:r>
      <w:r>
        <w:rPr>
          <w:rFonts w:ascii="Palatino Linotype" w:eastAsia="Palatino Linotype" w:hAnsi="Palatino Linotype" w:cs="Palatino Linotype"/>
          <w:highlight w:val="white"/>
        </w:rPr>
        <w:t xml:space="preserve">, conforme a lo dispuesto en los artículos 6, apartado A de la Constitución Política de los Estados Unidos Mexicanos; 5, párrafos trigésimo, trigésimo primero y trigésimo segundo fracción IV y V de la Constitución Política del Estado Libre y Soberano de México; 1, 2, fracción II; 13,  29, 36, fracciones I y II; 176, 178, 179, 181 párrafo 3 y 185 de la Ley Transparencia y Acceso a la Información Pública del Estado de México y Municipios; </w:t>
      </w:r>
      <w:r>
        <w:rPr>
          <w:rFonts w:ascii="Palatino Linotype" w:eastAsia="Palatino Linotype" w:hAnsi="Palatino Linotype" w:cs="Palatino Linotype"/>
        </w:rPr>
        <w:t xml:space="preserve">9 fracciones I, XXIV y 11 </w:t>
      </w:r>
      <w:r>
        <w:rPr>
          <w:rFonts w:ascii="Palatino Linotype" w:eastAsia="Palatino Linotype" w:hAnsi="Palatino Linotype" w:cs="Palatino Linotype"/>
          <w:highlight w:val="white"/>
        </w:rPr>
        <w:t>del Reglamento Interior del Instituto de Transparencia, Acceso a la Información Pública y Protección de Datos Personales del Estado de México y Municipios.</w:t>
      </w:r>
    </w:p>
    <w:p w14:paraId="7E4BC995" w14:textId="77777777" w:rsidR="00DF6FD1" w:rsidRDefault="002808E4">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SEGUNDO. Oportunidad y </w:t>
      </w:r>
      <w:proofErr w:type="spellStart"/>
      <w:r>
        <w:rPr>
          <w:rFonts w:ascii="Palatino Linotype" w:eastAsia="Palatino Linotype" w:hAnsi="Palatino Linotype" w:cs="Palatino Linotype"/>
          <w:b/>
        </w:rPr>
        <w:t>Procediblidad</w:t>
      </w:r>
      <w:proofErr w:type="spellEnd"/>
      <w:r>
        <w:rPr>
          <w:rFonts w:ascii="Palatino Linotype" w:eastAsia="Palatino Linotype" w:hAnsi="Palatino Linotype" w:cs="Palatino Linotype"/>
          <w:b/>
        </w:rPr>
        <w:t xml:space="preserve"> del Recurso de Revisión. </w:t>
      </w:r>
      <w:r>
        <w:rPr>
          <w:rFonts w:ascii="Palatino Linotype" w:eastAsia="Palatino Linotype" w:hAnsi="Palatino Linotype" w:cs="Palatino Linotype"/>
        </w:rPr>
        <w:t>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3C815EA7" w14:textId="77777777" w:rsidR="00DF6FD1" w:rsidRDefault="002808E4">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El recurso de revisión fue interpuesto dentro del plazo de quince días hábiles previsto en el artículo 178 de la Ley de Transparencia y Acceso a la Información Pública del Estado de México y Municipios, contados a partir de la fecha en que </w:t>
      </w:r>
      <w:r>
        <w:rPr>
          <w:rFonts w:ascii="Palatino Linotype" w:eastAsia="Palatino Linotype" w:hAnsi="Palatino Linotype" w:cs="Palatino Linotype"/>
          <w:b/>
        </w:rPr>
        <w:t>EL SUJETO OBLIGADO</w:t>
      </w:r>
      <w:r>
        <w:rPr>
          <w:rFonts w:ascii="Palatino Linotype" w:eastAsia="Palatino Linotype" w:hAnsi="Palatino Linotype" w:cs="Palatino Linotype"/>
        </w:rPr>
        <w:t xml:space="preserve"> emitió la respuesta, toda vez que ésta fue pronunciada el día </w:t>
      </w:r>
      <w:r>
        <w:rPr>
          <w:rFonts w:ascii="Palatino Linotype" w:eastAsia="Palatino Linotype" w:hAnsi="Palatino Linotype" w:cs="Palatino Linotype"/>
          <w:b/>
        </w:rPr>
        <w:t>tres de noviembre de dos mil veintiuno,</w:t>
      </w:r>
      <w:r>
        <w:rPr>
          <w:rFonts w:ascii="Palatino Linotype" w:eastAsia="Palatino Linotype" w:hAnsi="Palatino Linotype" w:cs="Palatino Linotype"/>
        </w:rPr>
        <w:t xml:space="preserve"> mientras que </w:t>
      </w:r>
      <w:r>
        <w:rPr>
          <w:rFonts w:ascii="Palatino Linotype" w:eastAsia="Palatino Linotype" w:hAnsi="Palatino Linotype" w:cs="Palatino Linotype"/>
          <w:b/>
        </w:rPr>
        <w:t>EL RECURRENTE</w:t>
      </w:r>
      <w:r>
        <w:rPr>
          <w:rFonts w:ascii="Palatino Linotype" w:eastAsia="Palatino Linotype" w:hAnsi="Palatino Linotype" w:cs="Palatino Linotype"/>
        </w:rPr>
        <w:t xml:space="preserve"> interpuso el recurso de revisión el </w:t>
      </w:r>
      <w:r>
        <w:rPr>
          <w:rFonts w:ascii="Palatino Linotype" w:eastAsia="Palatino Linotype" w:hAnsi="Palatino Linotype" w:cs="Palatino Linotype"/>
          <w:b/>
        </w:rPr>
        <w:t>tres de noviembre del mismo año</w:t>
      </w:r>
      <w:r>
        <w:rPr>
          <w:rFonts w:ascii="Palatino Linotype" w:eastAsia="Palatino Linotype" w:hAnsi="Palatino Linotype" w:cs="Palatino Linotype"/>
        </w:rPr>
        <w:t>.</w:t>
      </w:r>
    </w:p>
    <w:p w14:paraId="4A18FA85" w14:textId="77777777" w:rsidR="00DF6FD1" w:rsidRDefault="002808E4">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ese sentido, al considerar la fecha en que se formuló la solicitud y la fecha en la que respondió a ésta </w:t>
      </w:r>
      <w:r>
        <w:rPr>
          <w:rFonts w:ascii="Palatino Linotype" w:eastAsia="Palatino Linotype" w:hAnsi="Palatino Linotype" w:cs="Palatino Linotype"/>
          <w:b/>
        </w:rPr>
        <w:t>EL SUJETO OBLIGADO</w:t>
      </w:r>
      <w:r>
        <w:rPr>
          <w:rFonts w:ascii="Palatino Linotype" w:eastAsia="Palatino Linotype" w:hAnsi="Palatino Linotype" w:cs="Palatino Linotype"/>
        </w:rPr>
        <w:t xml:space="preserve">; así como, en la que se interpuso el </w:t>
      </w:r>
      <w:r>
        <w:rPr>
          <w:rFonts w:ascii="Palatino Linotype" w:eastAsia="Palatino Linotype" w:hAnsi="Palatino Linotype" w:cs="Palatino Linotype"/>
        </w:rPr>
        <w:lastRenderedPageBreak/>
        <w:t>recurso de revisión, éste se encuentra dentro de los márgenes temporales previstos en el citado precepto legal.</w:t>
      </w:r>
    </w:p>
    <w:p w14:paraId="3B4F8F97" w14:textId="77777777" w:rsidR="00DF6FD1" w:rsidRDefault="002808E4">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Así también, por cuanto hace a la procedibilidad del recurso de revisión una vez realizado el análisis del formato de interposición del recurso, se advierte que el artículo 180 de la Ley de Transparencia y Acceso a la Información Pública del Estado de México y Municipios, establece los siguientes elementos formales para la presentación del recurso:</w:t>
      </w:r>
    </w:p>
    <w:p w14:paraId="7644746F" w14:textId="77777777" w:rsidR="00DF6FD1" w:rsidRDefault="002808E4">
      <w:pPr>
        <w:spacing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180.</w:t>
      </w:r>
      <w:r>
        <w:rPr>
          <w:rFonts w:ascii="Palatino Linotype" w:eastAsia="Palatino Linotype" w:hAnsi="Palatino Linotype" w:cs="Palatino Linotype"/>
          <w:i/>
          <w:sz w:val="22"/>
          <w:szCs w:val="22"/>
        </w:rPr>
        <w:t xml:space="preserve"> El recurso de revisión contendrá:</w:t>
      </w:r>
    </w:p>
    <w:p w14:paraId="3B33CBB2" w14:textId="77777777" w:rsidR="00DF6FD1" w:rsidRDefault="002808E4">
      <w:pPr>
        <w:numPr>
          <w:ilvl w:val="0"/>
          <w:numId w:val="4"/>
        </w:numPr>
        <w:pBdr>
          <w:top w:val="nil"/>
          <w:left w:val="nil"/>
          <w:bottom w:val="nil"/>
          <w:right w:val="nil"/>
          <w:between w:val="nil"/>
        </w:pBdr>
        <w:spacing w:after="120"/>
        <w:ind w:right="902" w:hanging="39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El sujeto obligado ante la cual se presentó la solicitud; </w:t>
      </w:r>
    </w:p>
    <w:p w14:paraId="4D1A51CA" w14:textId="77777777" w:rsidR="00DF6FD1" w:rsidRDefault="002808E4">
      <w:pPr>
        <w:numPr>
          <w:ilvl w:val="0"/>
          <w:numId w:val="4"/>
        </w:numPr>
        <w:pBdr>
          <w:top w:val="nil"/>
          <w:left w:val="nil"/>
          <w:bottom w:val="nil"/>
          <w:right w:val="nil"/>
          <w:between w:val="nil"/>
        </w:pBdr>
        <w:spacing w:after="120"/>
        <w:ind w:right="902" w:hanging="39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El nombre del solicitante que recurre o de su representante y, en su caso, del tercero interesado, así como la dirección o medio que señale para recibir notificaciones; </w:t>
      </w:r>
    </w:p>
    <w:p w14:paraId="05C0A254" w14:textId="77777777" w:rsidR="00DF6FD1" w:rsidRDefault="002808E4">
      <w:pPr>
        <w:numPr>
          <w:ilvl w:val="0"/>
          <w:numId w:val="4"/>
        </w:numPr>
        <w:pBdr>
          <w:top w:val="nil"/>
          <w:left w:val="nil"/>
          <w:bottom w:val="nil"/>
          <w:right w:val="nil"/>
          <w:between w:val="nil"/>
        </w:pBdr>
        <w:spacing w:after="120"/>
        <w:ind w:right="902" w:hanging="39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El número de folio de respuesta de la solicitud de acceso; </w:t>
      </w:r>
    </w:p>
    <w:p w14:paraId="4A20323A" w14:textId="77777777" w:rsidR="00DF6FD1" w:rsidRDefault="002808E4">
      <w:pPr>
        <w:numPr>
          <w:ilvl w:val="0"/>
          <w:numId w:val="4"/>
        </w:numPr>
        <w:pBdr>
          <w:top w:val="nil"/>
          <w:left w:val="nil"/>
          <w:bottom w:val="nil"/>
          <w:right w:val="nil"/>
          <w:between w:val="nil"/>
        </w:pBdr>
        <w:spacing w:after="120"/>
        <w:ind w:right="902" w:hanging="39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La fecha en que fue notificada la respuesta al solicitante o tuvo conocimiento del acto reclamado, o de presentación de la solicitud, en caso de falta de respuesta; </w:t>
      </w:r>
    </w:p>
    <w:p w14:paraId="5033C05F" w14:textId="77777777" w:rsidR="00DF6FD1" w:rsidRDefault="002808E4">
      <w:pPr>
        <w:numPr>
          <w:ilvl w:val="0"/>
          <w:numId w:val="4"/>
        </w:numPr>
        <w:pBdr>
          <w:top w:val="nil"/>
          <w:left w:val="nil"/>
          <w:bottom w:val="nil"/>
          <w:right w:val="nil"/>
          <w:between w:val="nil"/>
        </w:pBdr>
        <w:spacing w:after="120"/>
        <w:ind w:right="902" w:hanging="39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El acto que se recurre; </w:t>
      </w:r>
    </w:p>
    <w:p w14:paraId="6C67EC87" w14:textId="77777777" w:rsidR="00DF6FD1" w:rsidRDefault="002808E4">
      <w:pPr>
        <w:numPr>
          <w:ilvl w:val="0"/>
          <w:numId w:val="4"/>
        </w:numPr>
        <w:pBdr>
          <w:top w:val="nil"/>
          <w:left w:val="nil"/>
          <w:bottom w:val="nil"/>
          <w:right w:val="nil"/>
          <w:between w:val="nil"/>
        </w:pBdr>
        <w:spacing w:after="120"/>
        <w:ind w:right="902" w:hanging="39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Las razones o motivos de inconformidad; </w:t>
      </w:r>
    </w:p>
    <w:p w14:paraId="69E9E616" w14:textId="77777777" w:rsidR="00DF6FD1" w:rsidRDefault="002808E4">
      <w:pPr>
        <w:numPr>
          <w:ilvl w:val="0"/>
          <w:numId w:val="4"/>
        </w:numPr>
        <w:pBdr>
          <w:top w:val="nil"/>
          <w:left w:val="nil"/>
          <w:bottom w:val="nil"/>
          <w:right w:val="nil"/>
          <w:between w:val="nil"/>
        </w:pBdr>
        <w:spacing w:after="120"/>
        <w:ind w:right="902" w:hanging="39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La copia de la respuesta que se impugna y, en su caso, de la notificación correspondiente, en el caso de respuesta de la solicitud; y</w:t>
      </w:r>
    </w:p>
    <w:p w14:paraId="4D2CBB53" w14:textId="77777777" w:rsidR="00DF6FD1" w:rsidRDefault="002808E4">
      <w:pPr>
        <w:numPr>
          <w:ilvl w:val="0"/>
          <w:numId w:val="4"/>
        </w:numPr>
        <w:pBdr>
          <w:top w:val="nil"/>
          <w:left w:val="nil"/>
          <w:bottom w:val="nil"/>
          <w:right w:val="nil"/>
          <w:between w:val="nil"/>
        </w:pBdr>
        <w:spacing w:after="120"/>
        <w:ind w:right="902" w:hanging="39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Firma del recurrente, en su caso, cuando se presente por escrito, requisito sin el cual se dará trámite al recurso. Adicionalmente, se podrán anexar las pruebas y demás elementos que considere procedentes someter a juicio del Instituto. En ningún caso será necesario que el particular ratifique el recurso de revisión interpuesto.</w:t>
      </w:r>
    </w:p>
    <w:p w14:paraId="481B371E" w14:textId="77777777" w:rsidR="00DF6FD1" w:rsidRDefault="00DF6FD1">
      <w:pPr>
        <w:spacing w:after="120"/>
        <w:ind w:left="851" w:right="902"/>
        <w:jc w:val="both"/>
        <w:rPr>
          <w:rFonts w:ascii="Palatino Linotype" w:eastAsia="Palatino Linotype" w:hAnsi="Palatino Linotype" w:cs="Palatino Linotype"/>
          <w:sz w:val="22"/>
          <w:szCs w:val="22"/>
        </w:rPr>
      </w:pPr>
    </w:p>
    <w:p w14:paraId="571E5D2D" w14:textId="77777777" w:rsidR="00DF6FD1" w:rsidRDefault="002808E4">
      <w:pPr>
        <w:spacing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caso de que el recurso se interponga de manera electrónica no será indispensable que contengan los requisitos establecidos en las fracciones II, IV, VII y VIII.”</w:t>
      </w:r>
    </w:p>
    <w:p w14:paraId="42E97B09" w14:textId="77777777" w:rsidR="001A783C" w:rsidRDefault="002808E4" w:rsidP="001A783C">
      <w:pPr>
        <w:spacing w:before="240" w:after="240" w:line="360" w:lineRule="auto"/>
        <w:ind w:right="-91"/>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Sobre el particular, de la revisión al expediente electrónico del SAIMEX se desprende que la parte solicitante, en ejercicio de su derecho de acceso a la información pública, y </w:t>
      </w:r>
      <w:r w:rsidR="001A783C">
        <w:rPr>
          <w:rFonts w:ascii="Palatino Linotype" w:eastAsia="Palatino Linotype" w:hAnsi="Palatino Linotype" w:cs="Palatino Linotype"/>
          <w:b/>
        </w:rPr>
        <w:t>el</w:t>
      </w:r>
      <w:r>
        <w:rPr>
          <w:rFonts w:ascii="Palatino Linotype" w:eastAsia="Palatino Linotype" w:hAnsi="Palatino Linotype" w:cs="Palatino Linotype"/>
          <w:b/>
        </w:rPr>
        <w:t xml:space="preserve"> RECURRENTE</w:t>
      </w:r>
      <w:r>
        <w:rPr>
          <w:rFonts w:ascii="Palatino Linotype" w:eastAsia="Palatino Linotype" w:hAnsi="Palatino Linotype" w:cs="Palatino Linotype"/>
        </w:rPr>
        <w:t xml:space="preserve">, cumplió con todos y cada uno de los elementos formales exigidos por el artículo 180 de la Ley de Transparencia y Acceso a la Información Pública del Estado de México y Municipios, </w:t>
      </w:r>
    </w:p>
    <w:p w14:paraId="1221F37F" w14:textId="77777777" w:rsidR="001A783C" w:rsidRDefault="001A783C" w:rsidP="001A783C">
      <w:pPr>
        <w:spacing w:before="240" w:after="240" w:line="360" w:lineRule="auto"/>
        <w:ind w:right="-91"/>
        <w:jc w:val="both"/>
        <w:rPr>
          <w:rFonts w:ascii="Palatino Linotype" w:eastAsia="Palatino Linotype" w:hAnsi="Palatino Linotype" w:cs="Palatino Linotype"/>
        </w:rPr>
      </w:pPr>
      <w:r>
        <w:rPr>
          <w:rFonts w:ascii="Palatino Linotype" w:hAnsi="Palatino Linotype"/>
          <w:color w:val="000000"/>
        </w:rPr>
        <w:t>Asimismo, resulta procedente la interposición del recurso de revisión al rubro anotado, toda vez que de acuerdo a lo manifestado por el</w:t>
      </w:r>
      <w:r w:rsidRPr="001A783C">
        <w:rPr>
          <w:rFonts w:ascii="Palatino Linotype" w:hAnsi="Palatino Linotype"/>
          <w:b/>
          <w:color w:val="000000"/>
        </w:rPr>
        <w:t xml:space="preserve"> RECURRENTE </w:t>
      </w:r>
      <w:r>
        <w:rPr>
          <w:rFonts w:ascii="Palatino Linotype" w:hAnsi="Palatino Linotype"/>
          <w:color w:val="000000"/>
        </w:rPr>
        <w:t>se actualiza las hipótesis previstas en el artículo 179, fracción V de la ley de la materia, que a la letra dice:</w:t>
      </w:r>
    </w:p>
    <w:p w14:paraId="3B86FFD7" w14:textId="77777777" w:rsidR="00DF6FD1" w:rsidRDefault="002808E4">
      <w:pPr>
        <w:spacing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179</w:t>
      </w:r>
      <w:r>
        <w:rPr>
          <w:rFonts w:ascii="Palatino Linotype" w:eastAsia="Palatino Linotype" w:hAnsi="Palatino Linotype" w:cs="Palatino Linotype"/>
          <w:b/>
          <w:sz w:val="22"/>
          <w:szCs w:val="22"/>
        </w:rPr>
        <w:t>.-</w:t>
      </w:r>
      <w:r>
        <w:rPr>
          <w:rFonts w:ascii="Palatino Linotype" w:eastAsia="Palatino Linotype" w:hAnsi="Palatino Linotype" w:cs="Palatino Linotype"/>
          <w:sz w:val="22"/>
          <w:szCs w:val="22"/>
        </w:rPr>
        <w:t xml:space="preserve"> </w:t>
      </w:r>
      <w:r>
        <w:rPr>
          <w:rFonts w:ascii="Palatino Linotype" w:eastAsia="Palatino Linotype" w:hAnsi="Palatino Linotype" w:cs="Palatino Linotype"/>
          <w:i/>
          <w:sz w:val="22"/>
          <w:szCs w:val="22"/>
        </w:rPr>
        <w:t>El recurso de revisión es un medio de protección que la Ley otorga a los particulares, para hacer valer su derecho de acceso a la información pública, y procederá en contra de las siguientes causas:</w:t>
      </w:r>
    </w:p>
    <w:p w14:paraId="4511B77E" w14:textId="77777777" w:rsidR="00DF6FD1" w:rsidRDefault="002808E4">
      <w:pPr>
        <w:numPr>
          <w:ilvl w:val="0"/>
          <w:numId w:val="1"/>
        </w:numPr>
        <w:pBdr>
          <w:top w:val="nil"/>
          <w:left w:val="nil"/>
          <w:bottom w:val="nil"/>
          <w:right w:val="nil"/>
          <w:between w:val="nil"/>
        </w:pBdr>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La entrega de información incompleta;</w:t>
      </w:r>
    </w:p>
    <w:p w14:paraId="53B93530" w14:textId="77777777" w:rsidR="00DF6FD1" w:rsidRDefault="00DF6FD1" w:rsidP="001A783C">
      <w:pPr>
        <w:pBdr>
          <w:top w:val="nil"/>
          <w:left w:val="nil"/>
          <w:bottom w:val="nil"/>
          <w:right w:val="nil"/>
          <w:between w:val="nil"/>
        </w:pBdr>
        <w:ind w:left="1854"/>
        <w:jc w:val="both"/>
        <w:rPr>
          <w:rFonts w:ascii="Palatino Linotype" w:eastAsia="Palatino Linotype" w:hAnsi="Palatino Linotype" w:cs="Palatino Linotype"/>
          <w:i/>
          <w:color w:val="000000"/>
          <w:sz w:val="22"/>
          <w:szCs w:val="22"/>
        </w:rPr>
      </w:pPr>
    </w:p>
    <w:p w14:paraId="033A592B" w14:textId="77777777" w:rsidR="00DF6FD1" w:rsidRDefault="002808E4" w:rsidP="00AF1E10">
      <w:pPr>
        <w:shd w:val="clear" w:color="auto" w:fill="FFFFFF"/>
        <w:spacing w:before="240" w:after="240" w:line="360" w:lineRule="auto"/>
        <w:jc w:val="both"/>
        <w:rPr>
          <w:rFonts w:ascii="Palatino Linotype" w:eastAsia="Palatino Linotype" w:hAnsi="Palatino Linotype" w:cs="Palatino Linotype"/>
          <w:i/>
          <w:sz w:val="22"/>
          <w:szCs w:val="22"/>
        </w:rPr>
      </w:pPr>
      <w:r>
        <w:rPr>
          <w:rFonts w:ascii="Palatino Linotype" w:eastAsia="Palatino Linotype" w:hAnsi="Palatino Linotype" w:cs="Palatino Linotype"/>
          <w:b/>
        </w:rPr>
        <w:t>TERCERO. Análisis de las causales de Sobreseimiento del Recurso de Revisión.</w:t>
      </w:r>
      <w:r>
        <w:rPr>
          <w:rFonts w:ascii="Palatino Linotype" w:eastAsia="Palatino Linotype" w:hAnsi="Palatino Linotype" w:cs="Palatino Linotype"/>
        </w:rPr>
        <w:t xml:space="preserve"> En este contexto este Órgano Colegiado a</w:t>
      </w:r>
      <w:r w:rsidR="00AF1E10">
        <w:rPr>
          <w:rFonts w:ascii="Palatino Linotype" w:eastAsia="Palatino Linotype" w:hAnsi="Palatino Linotype" w:cs="Palatino Linotype"/>
        </w:rPr>
        <w:t>dvierte que, el</w:t>
      </w:r>
      <w:r>
        <w:rPr>
          <w:rFonts w:ascii="Palatino Linotype" w:eastAsia="Palatino Linotype" w:hAnsi="Palatino Linotype" w:cs="Palatino Linotype"/>
        </w:rPr>
        <w:t xml:space="preserve"> artículo 192 de la Ley de Transparencia y Acceso a la Información Pública del Estado de México y Municipios, </w:t>
      </w:r>
      <w:r w:rsidR="00AF1E10">
        <w:rPr>
          <w:rFonts w:ascii="Palatino Linotype" w:eastAsia="Palatino Linotype" w:hAnsi="Palatino Linotype" w:cs="Palatino Linotype"/>
        </w:rPr>
        <w:t xml:space="preserve">que dispone que </w:t>
      </w:r>
      <w:r w:rsidR="00AF1E10" w:rsidRPr="00AF1E10">
        <w:rPr>
          <w:rFonts w:ascii="Palatino Linotype" w:eastAsia="Palatino Linotype" w:hAnsi="Palatino Linotype" w:cs="Palatino Linotype"/>
        </w:rPr>
        <w:t xml:space="preserve"> el Recurso de Revisión será sobreseído </w:t>
      </w:r>
      <w:r w:rsidR="00AF1E10">
        <w:rPr>
          <w:rFonts w:ascii="Palatino Linotype" w:eastAsia="Palatino Linotype" w:hAnsi="Palatino Linotype" w:cs="Palatino Linotype"/>
        </w:rPr>
        <w:t xml:space="preserve">en todo o en partes, cuando, </w:t>
      </w:r>
      <w:r w:rsidR="00AF1E10" w:rsidRPr="00AF1E10">
        <w:rPr>
          <w:rFonts w:ascii="Palatino Linotype" w:eastAsia="Palatino Linotype" w:hAnsi="Palatino Linotype" w:cs="Palatino Linotype"/>
        </w:rPr>
        <w:t>una vez admitido, se actualice alguno de los siguientes</w:t>
      </w:r>
      <w:r w:rsidR="00AF1E10">
        <w:rPr>
          <w:rFonts w:ascii="Palatino Linotype" w:eastAsia="Palatino Linotype" w:hAnsi="Palatino Linotype" w:cs="Palatino Linotype"/>
        </w:rPr>
        <w:t xml:space="preserve"> </w:t>
      </w:r>
      <w:r w:rsidR="00AF1E10" w:rsidRPr="00AF1E10">
        <w:rPr>
          <w:rFonts w:ascii="Palatino Linotype" w:eastAsia="Palatino Linotype" w:hAnsi="Palatino Linotype" w:cs="Palatino Linotype"/>
        </w:rPr>
        <w:t>supuestos:</w:t>
      </w:r>
    </w:p>
    <w:p w14:paraId="707B7B38" w14:textId="77777777" w:rsidR="00DF6FD1" w:rsidRDefault="002808E4">
      <w:pPr>
        <w:spacing w:before="120" w:after="120" w:line="276" w:lineRule="auto"/>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192.</w:t>
      </w:r>
      <w:r>
        <w:rPr>
          <w:rFonts w:ascii="Palatino Linotype" w:eastAsia="Palatino Linotype" w:hAnsi="Palatino Linotype" w:cs="Palatino Linotype"/>
          <w:i/>
          <w:sz w:val="22"/>
          <w:szCs w:val="22"/>
        </w:rPr>
        <w:t xml:space="preserve"> El recurso será sobreseído, en todo o en parte, cuando una vez admitido, se actualicen alguno de los siguientes supuestos:</w:t>
      </w:r>
    </w:p>
    <w:p w14:paraId="4C3300D1" w14:textId="77777777" w:rsidR="00AF1E10" w:rsidRPr="00AF1E10" w:rsidRDefault="00AF1E10" w:rsidP="00AF1E10">
      <w:pPr>
        <w:pBdr>
          <w:top w:val="nil"/>
          <w:left w:val="nil"/>
          <w:bottom w:val="nil"/>
          <w:right w:val="nil"/>
          <w:between w:val="nil"/>
        </w:pBdr>
        <w:spacing w:before="120" w:after="120" w:line="276" w:lineRule="auto"/>
        <w:ind w:left="708"/>
        <w:jc w:val="both"/>
        <w:rPr>
          <w:rFonts w:ascii="Palatino Linotype" w:eastAsia="Palatino Linotype" w:hAnsi="Palatino Linotype" w:cs="Palatino Linotype"/>
          <w:i/>
          <w:color w:val="000000"/>
        </w:rPr>
      </w:pPr>
      <w:r w:rsidRPr="00AF1E10">
        <w:rPr>
          <w:rFonts w:ascii="Palatino Linotype" w:eastAsia="Palatino Linotype" w:hAnsi="Palatino Linotype" w:cs="Palatino Linotype"/>
          <w:i/>
          <w:color w:val="000000"/>
        </w:rPr>
        <w:t>I. El Recurrente se desista expresamente;</w:t>
      </w:r>
    </w:p>
    <w:p w14:paraId="5BB32ADD" w14:textId="77777777" w:rsidR="00AF1E10" w:rsidRPr="00AF1E10" w:rsidRDefault="00AF1E10" w:rsidP="00AF1E10">
      <w:pPr>
        <w:pBdr>
          <w:top w:val="nil"/>
          <w:left w:val="nil"/>
          <w:bottom w:val="nil"/>
          <w:right w:val="nil"/>
          <w:between w:val="nil"/>
        </w:pBdr>
        <w:spacing w:before="120" w:after="120" w:line="276" w:lineRule="auto"/>
        <w:ind w:left="708"/>
        <w:jc w:val="both"/>
        <w:rPr>
          <w:rFonts w:ascii="Palatino Linotype" w:eastAsia="Palatino Linotype" w:hAnsi="Palatino Linotype" w:cs="Palatino Linotype"/>
          <w:i/>
          <w:color w:val="000000"/>
        </w:rPr>
      </w:pPr>
      <w:r w:rsidRPr="00AF1E10">
        <w:rPr>
          <w:rFonts w:ascii="Palatino Linotype" w:eastAsia="Palatino Linotype" w:hAnsi="Palatino Linotype" w:cs="Palatino Linotype"/>
          <w:i/>
          <w:color w:val="000000"/>
        </w:rPr>
        <w:t>II. El Recurrente fallezca o, tratándose de personas morales se disuelva;</w:t>
      </w:r>
    </w:p>
    <w:p w14:paraId="0380516E" w14:textId="77777777" w:rsidR="00AF1E10" w:rsidRPr="00AF1E10" w:rsidRDefault="00AF1E10" w:rsidP="00AF1E10">
      <w:pPr>
        <w:pBdr>
          <w:top w:val="nil"/>
          <w:left w:val="nil"/>
          <w:bottom w:val="nil"/>
          <w:right w:val="nil"/>
          <w:between w:val="nil"/>
        </w:pBdr>
        <w:spacing w:before="120" w:after="120" w:line="276" w:lineRule="auto"/>
        <w:ind w:left="708"/>
        <w:jc w:val="both"/>
        <w:rPr>
          <w:rFonts w:ascii="Palatino Linotype" w:eastAsia="Palatino Linotype" w:hAnsi="Palatino Linotype" w:cs="Palatino Linotype"/>
          <w:b/>
          <w:i/>
          <w:color w:val="000000"/>
          <w:u w:val="single"/>
        </w:rPr>
      </w:pPr>
      <w:r w:rsidRPr="00AF1E10">
        <w:rPr>
          <w:rFonts w:ascii="Palatino Linotype" w:eastAsia="Palatino Linotype" w:hAnsi="Palatino Linotype" w:cs="Palatino Linotype"/>
          <w:b/>
          <w:i/>
          <w:color w:val="000000"/>
          <w:u w:val="single"/>
        </w:rPr>
        <w:t>III. El Sujeto Obligado modifique la respuesta o la revoque, de tal manera que el recurso de revisión quede sin materia;</w:t>
      </w:r>
    </w:p>
    <w:p w14:paraId="6CC0A713" w14:textId="77777777" w:rsidR="00AF1E10" w:rsidRPr="00AF1E10" w:rsidRDefault="00AF1E10" w:rsidP="00AF1E10">
      <w:pPr>
        <w:pBdr>
          <w:top w:val="nil"/>
          <w:left w:val="nil"/>
          <w:bottom w:val="nil"/>
          <w:right w:val="nil"/>
          <w:between w:val="nil"/>
        </w:pBdr>
        <w:spacing w:before="120" w:after="120" w:line="276" w:lineRule="auto"/>
        <w:ind w:left="708"/>
        <w:jc w:val="both"/>
        <w:rPr>
          <w:rFonts w:ascii="Palatino Linotype" w:eastAsia="Palatino Linotype" w:hAnsi="Palatino Linotype" w:cs="Palatino Linotype"/>
          <w:i/>
          <w:color w:val="000000"/>
        </w:rPr>
      </w:pPr>
      <w:r w:rsidRPr="00AF1E10">
        <w:rPr>
          <w:rFonts w:ascii="Palatino Linotype" w:eastAsia="Palatino Linotype" w:hAnsi="Palatino Linotype" w:cs="Palatino Linotype"/>
          <w:i/>
          <w:color w:val="000000"/>
        </w:rPr>
        <w:lastRenderedPageBreak/>
        <w:t>IV. Admitido el recurso de revisión, aparezca alguna causal de improcedencia; y,</w:t>
      </w:r>
    </w:p>
    <w:p w14:paraId="35D673FF" w14:textId="77777777" w:rsidR="00AF1E10" w:rsidRDefault="00AF1E10" w:rsidP="00AF1E10">
      <w:pPr>
        <w:pBdr>
          <w:top w:val="nil"/>
          <w:left w:val="nil"/>
          <w:bottom w:val="nil"/>
          <w:right w:val="nil"/>
          <w:between w:val="nil"/>
        </w:pBdr>
        <w:spacing w:before="120" w:after="120" w:line="276" w:lineRule="auto"/>
        <w:ind w:left="708"/>
        <w:jc w:val="both"/>
        <w:rPr>
          <w:rFonts w:ascii="Palatino Linotype" w:eastAsia="Palatino Linotype" w:hAnsi="Palatino Linotype" w:cs="Palatino Linotype"/>
          <w:i/>
          <w:color w:val="000000"/>
        </w:rPr>
      </w:pPr>
      <w:r w:rsidRPr="00AF1E10">
        <w:rPr>
          <w:rFonts w:ascii="Palatino Linotype" w:eastAsia="Palatino Linotype" w:hAnsi="Palatino Linotype" w:cs="Palatino Linotype"/>
          <w:i/>
          <w:color w:val="000000"/>
        </w:rPr>
        <w:t>V. Cuando por cualquier motivo quede sin materia el recurso de revisión.</w:t>
      </w:r>
    </w:p>
    <w:p w14:paraId="7F2CCD48" w14:textId="77777777" w:rsidR="00DF6FD1" w:rsidRDefault="00AF1E10">
      <w:pPr>
        <w:pBdr>
          <w:top w:val="nil"/>
          <w:left w:val="nil"/>
          <w:bottom w:val="nil"/>
          <w:right w:val="nil"/>
          <w:between w:val="nil"/>
        </w:pBdr>
        <w:spacing w:before="120" w:after="120" w:line="276" w:lineRule="auto"/>
        <w:ind w:left="708"/>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 xml:space="preserve"> </w:t>
      </w:r>
      <w:r w:rsidR="002808E4">
        <w:rPr>
          <w:rFonts w:ascii="Palatino Linotype" w:eastAsia="Palatino Linotype" w:hAnsi="Palatino Linotype" w:cs="Palatino Linotype"/>
          <w:i/>
          <w:color w:val="000000"/>
        </w:rPr>
        <w:t>(Énfasis añadido)</w:t>
      </w:r>
    </w:p>
    <w:p w14:paraId="74CC4694" w14:textId="77777777" w:rsidR="00AF1E10" w:rsidRDefault="00AF1E10" w:rsidP="00AF1E10">
      <w:pPr>
        <w:spacing w:before="240" w:after="240" w:line="360" w:lineRule="auto"/>
        <w:jc w:val="both"/>
        <w:rPr>
          <w:rFonts w:ascii="Palatino Linotype" w:eastAsia="Palatino Linotype" w:hAnsi="Palatino Linotype" w:cs="Palatino Linotype"/>
        </w:rPr>
      </w:pPr>
      <w:r w:rsidRPr="00AF1E10">
        <w:rPr>
          <w:rFonts w:ascii="Palatino Linotype" w:eastAsia="Palatino Linotype" w:hAnsi="Palatino Linotype" w:cs="Palatino Linotype"/>
        </w:rPr>
        <w:t>Sin embargo, de los autos que corren agregados al expediente en el que se actúa, no fue</w:t>
      </w:r>
      <w:r>
        <w:rPr>
          <w:rFonts w:ascii="Palatino Linotype" w:eastAsia="Palatino Linotype" w:hAnsi="Palatino Linotype" w:cs="Palatino Linotype"/>
        </w:rPr>
        <w:t xml:space="preserve"> </w:t>
      </w:r>
      <w:r w:rsidRPr="00AF1E10">
        <w:rPr>
          <w:rFonts w:ascii="Palatino Linotype" w:eastAsia="Palatino Linotype" w:hAnsi="Palatino Linotype" w:cs="Palatino Linotype"/>
        </w:rPr>
        <w:t xml:space="preserve">posible advertir que </w:t>
      </w:r>
      <w:r>
        <w:rPr>
          <w:rFonts w:ascii="Palatino Linotype" w:eastAsia="Palatino Linotype" w:hAnsi="Palatino Linotype" w:cs="Palatino Linotype"/>
        </w:rPr>
        <w:t>el</w:t>
      </w:r>
      <w:r w:rsidRPr="00AF1E10">
        <w:rPr>
          <w:rFonts w:ascii="Palatino Linotype" w:eastAsia="Palatino Linotype" w:hAnsi="Palatino Linotype" w:cs="Palatino Linotype"/>
          <w:b/>
        </w:rPr>
        <w:t xml:space="preserve"> RECURRENTE </w:t>
      </w:r>
      <w:r w:rsidRPr="00AF1E10">
        <w:rPr>
          <w:rFonts w:ascii="Palatino Linotype" w:eastAsia="Palatino Linotype" w:hAnsi="Palatino Linotype" w:cs="Palatino Linotype"/>
        </w:rPr>
        <w:t xml:space="preserve"> se hubiera desistido, fallecido o hubiera aparecido una</w:t>
      </w:r>
      <w:r>
        <w:rPr>
          <w:rFonts w:ascii="Palatino Linotype" w:eastAsia="Palatino Linotype" w:hAnsi="Palatino Linotype" w:cs="Palatino Linotype"/>
        </w:rPr>
        <w:t xml:space="preserve"> </w:t>
      </w:r>
      <w:r w:rsidRPr="00AF1E10">
        <w:rPr>
          <w:rFonts w:ascii="Palatino Linotype" w:eastAsia="Palatino Linotype" w:hAnsi="Palatino Linotype" w:cs="Palatino Linotype"/>
        </w:rPr>
        <w:t>causal de improcedencia durante el trámite del presente Recurso, por lo que no se</w:t>
      </w:r>
      <w:r>
        <w:rPr>
          <w:rFonts w:ascii="Palatino Linotype" w:eastAsia="Palatino Linotype" w:hAnsi="Palatino Linotype" w:cs="Palatino Linotype"/>
        </w:rPr>
        <w:t xml:space="preserve"> </w:t>
      </w:r>
      <w:r w:rsidRPr="00AF1E10">
        <w:rPr>
          <w:rFonts w:ascii="Palatino Linotype" w:eastAsia="Palatino Linotype" w:hAnsi="Palatino Linotype" w:cs="Palatino Linotype"/>
        </w:rPr>
        <w:t>actualizan dichas causales de sobreseimiento.</w:t>
      </w:r>
    </w:p>
    <w:p w14:paraId="5BBC8CAE" w14:textId="77777777" w:rsidR="00DF6FD1" w:rsidRDefault="00AF1E1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este sentido, resulta procedente realizar el análisis de la causal de sobreseimiento prevista en la fracción III, del artículo 92 de la citada Ley, toda vez que </w:t>
      </w:r>
      <w:r w:rsidR="002808E4">
        <w:rPr>
          <w:rFonts w:ascii="Palatino Linotype" w:eastAsia="Palatino Linotype" w:hAnsi="Palatino Linotype" w:cs="Palatino Linotype"/>
        </w:rPr>
        <w:t xml:space="preserve">conforme a la transcripción que antecede se advierte como causales de sobreseimiento una vez admitido el recurso de revisión </w:t>
      </w:r>
      <w:r w:rsidR="002808E4">
        <w:rPr>
          <w:rFonts w:ascii="Palatino Linotype" w:eastAsia="Palatino Linotype" w:hAnsi="Palatino Linotype" w:cs="Palatino Linotype"/>
          <w:b/>
        </w:rPr>
        <w:t>EL SUJETO OBLIGADO</w:t>
      </w:r>
      <w:r w:rsidR="002808E4">
        <w:rPr>
          <w:rFonts w:ascii="Palatino Linotype" w:eastAsia="Palatino Linotype" w:hAnsi="Palatino Linotype" w:cs="Palatino Linotype"/>
        </w:rPr>
        <w:t xml:space="preserve"> responsable del acto lo modifique o revoque de tal manera que el mismo quede sin materia. </w:t>
      </w:r>
      <w:r>
        <w:rPr>
          <w:rFonts w:ascii="Palatino Linotype" w:eastAsia="Palatino Linotype" w:hAnsi="Palatino Linotype" w:cs="Palatino Linotype"/>
        </w:rPr>
        <w:t xml:space="preserve">Lo anterior en virtud de que mediante informe justificado y alcance, el SUJETO OBLIGADO modifica su respuesta inicial. </w:t>
      </w:r>
    </w:p>
    <w:p w14:paraId="6B6DE538" w14:textId="77777777" w:rsidR="00DF6FD1" w:rsidRDefault="00AF1E10">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rPr>
        <w:t xml:space="preserve">Por lo que se procede al análisis de </w:t>
      </w:r>
      <w:r w:rsidR="002808E4">
        <w:rPr>
          <w:rFonts w:ascii="Palatino Linotype" w:eastAsia="Palatino Linotype" w:hAnsi="Palatino Linotype" w:cs="Palatino Linotype"/>
        </w:rPr>
        <w:t>la totalidad de las constancias que obran en el expediente electrónico,</w:t>
      </w:r>
      <w:r>
        <w:rPr>
          <w:rFonts w:ascii="Palatino Linotype" w:eastAsia="Palatino Linotype" w:hAnsi="Palatino Linotype" w:cs="Palatino Linotype"/>
        </w:rPr>
        <w:t xml:space="preserve"> a fin de verificar si se actualiza la causal de sobreseimiento, en este sentido</w:t>
      </w:r>
      <w:r w:rsidR="002808E4">
        <w:rPr>
          <w:rFonts w:ascii="Palatino Linotype" w:eastAsia="Palatino Linotype" w:hAnsi="Palatino Linotype" w:cs="Palatino Linotype"/>
        </w:rPr>
        <w:t xml:space="preserve"> </w:t>
      </w:r>
      <w:r>
        <w:rPr>
          <w:rFonts w:ascii="Palatino Linotype" w:eastAsia="Palatino Linotype" w:hAnsi="Palatino Linotype" w:cs="Palatino Linotype"/>
          <w:color w:val="000000"/>
        </w:rPr>
        <w:t xml:space="preserve">resulta necesario recordar </w:t>
      </w:r>
      <w:r w:rsidR="002808E4">
        <w:rPr>
          <w:rFonts w:ascii="Palatino Linotype" w:eastAsia="Palatino Linotype" w:hAnsi="Palatino Linotype" w:cs="Palatino Linotype"/>
          <w:color w:val="000000"/>
        </w:rPr>
        <w:t xml:space="preserve">que </w:t>
      </w:r>
      <w:r w:rsidR="002808E4">
        <w:rPr>
          <w:rFonts w:ascii="Palatino Linotype" w:eastAsia="Palatino Linotype" w:hAnsi="Palatino Linotype" w:cs="Palatino Linotype"/>
          <w:b/>
          <w:color w:val="000000"/>
        </w:rPr>
        <w:t>EL RECURRENTE</w:t>
      </w:r>
      <w:r w:rsidR="002808E4">
        <w:rPr>
          <w:rFonts w:ascii="Palatino Linotype" w:eastAsia="Palatino Linotype" w:hAnsi="Palatino Linotype" w:cs="Palatino Linotype"/>
          <w:color w:val="000000"/>
        </w:rPr>
        <w:t xml:space="preserve"> solicitó en el ejercicio de su derecho de acceso a la información:</w:t>
      </w:r>
    </w:p>
    <w:p w14:paraId="71FF98C4" w14:textId="77777777" w:rsidR="00DF6FD1" w:rsidRDefault="002808E4">
      <w:pPr>
        <w:spacing w:before="240" w:after="240" w:line="360" w:lineRule="auto"/>
        <w:ind w:left="851" w:right="900"/>
        <w:jc w:val="both"/>
        <w:rPr>
          <w:rFonts w:ascii="Palatino Linotype" w:eastAsia="Palatino Linotype" w:hAnsi="Palatino Linotype" w:cs="Palatino Linotype"/>
          <w:b/>
          <w:i/>
        </w:rPr>
      </w:pPr>
      <w:r>
        <w:rPr>
          <w:rFonts w:ascii="Palatino Linotype" w:eastAsia="Palatino Linotype" w:hAnsi="Palatino Linotype" w:cs="Palatino Linotype"/>
          <w:i/>
          <w:color w:val="000000"/>
        </w:rPr>
        <w:t xml:space="preserve">“Que multas se pueden aplicar a violaciones de tránsito en Huixquilucan, Edo. de México y que reglamento de tránsito es el vigente en el </w:t>
      </w:r>
      <w:proofErr w:type="spellStart"/>
      <w:r>
        <w:rPr>
          <w:rFonts w:ascii="Palatino Linotype" w:eastAsia="Palatino Linotype" w:hAnsi="Palatino Linotype" w:cs="Palatino Linotype"/>
          <w:i/>
          <w:color w:val="000000"/>
        </w:rPr>
        <w:t>msmo</w:t>
      </w:r>
      <w:proofErr w:type="spellEnd"/>
      <w:r>
        <w:rPr>
          <w:rFonts w:ascii="Palatino Linotype" w:eastAsia="Palatino Linotype" w:hAnsi="Palatino Linotype" w:cs="Palatino Linotype"/>
          <w:i/>
          <w:color w:val="000000"/>
        </w:rPr>
        <w:t xml:space="preserve"> municipio.”</w:t>
      </w:r>
      <w:r>
        <w:rPr>
          <w:rFonts w:ascii="Palatino Linotype" w:eastAsia="Palatino Linotype" w:hAnsi="Palatino Linotype" w:cs="Palatino Linotype"/>
          <w:i/>
        </w:rPr>
        <w:t xml:space="preserve"> (sic)</w:t>
      </w:r>
    </w:p>
    <w:p w14:paraId="7594881E" w14:textId="77777777" w:rsidR="00DF6FD1" w:rsidRDefault="002808E4">
      <w:pP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 xml:space="preserve">En respuesta, </w:t>
      </w:r>
      <w:r>
        <w:rPr>
          <w:rFonts w:ascii="Palatino Linotype" w:eastAsia="Palatino Linotype" w:hAnsi="Palatino Linotype" w:cs="Palatino Linotype"/>
          <w:b/>
          <w:color w:val="000000"/>
        </w:rPr>
        <w:t>EL SUJETO OBLIGADO</w:t>
      </w:r>
      <w:r>
        <w:rPr>
          <w:rFonts w:ascii="Palatino Linotype" w:eastAsia="Palatino Linotype" w:hAnsi="Palatino Linotype" w:cs="Palatino Linotype"/>
          <w:color w:val="000000"/>
        </w:rPr>
        <w:t xml:space="preserve"> adjuntó</w:t>
      </w:r>
      <w:r w:rsidR="00F61806">
        <w:rPr>
          <w:rFonts w:ascii="Palatino Linotype" w:eastAsia="Palatino Linotype" w:hAnsi="Palatino Linotype" w:cs="Palatino Linotype"/>
          <w:color w:val="000000"/>
        </w:rPr>
        <w:t xml:space="preserve"> el oficio sin número de fecha </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b/>
          <w:color w:val="000000"/>
        </w:rPr>
        <w:t xml:space="preserve">tres de noviembre de dos mil veintiuno, </w:t>
      </w:r>
      <w:r>
        <w:rPr>
          <w:rFonts w:ascii="Palatino Linotype" w:eastAsia="Palatino Linotype" w:hAnsi="Palatino Linotype" w:cs="Palatino Linotype"/>
          <w:color w:val="000000"/>
        </w:rPr>
        <w:t>signado por</w:t>
      </w:r>
      <w:r>
        <w:rPr>
          <w:rFonts w:ascii="Palatino Linotype" w:eastAsia="Palatino Linotype" w:hAnsi="Palatino Linotype" w:cs="Palatino Linotype"/>
          <w:b/>
          <w:color w:val="000000"/>
        </w:rPr>
        <w:t xml:space="preserve"> el C. Ulises Mauricio Salazar Franco, </w:t>
      </w:r>
      <w:r>
        <w:rPr>
          <w:rFonts w:ascii="Palatino Linotype" w:eastAsia="Palatino Linotype" w:hAnsi="Palatino Linotype" w:cs="Palatino Linotype"/>
          <w:color w:val="000000"/>
        </w:rPr>
        <w:t xml:space="preserve">Titular de la Unidad de Transparencia del Ayuntamiento de Huixquilucan, del que se advierte medularmente que, en ejercicio de las atribuciones que la Ley le confiere, turno su solicitud de información a la Dirección General de Seguridad Pública y Vialidad, quien a su vez, informó lo siguiente </w:t>
      </w:r>
    </w:p>
    <w:p w14:paraId="5E36DCE9" w14:textId="77777777" w:rsidR="00DF6FD1" w:rsidRDefault="002808E4">
      <w:pPr>
        <w:spacing w:before="240" w:after="240" w:line="360" w:lineRule="auto"/>
        <w:ind w:left="708"/>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 xml:space="preserve">“En atención a su solicitud registrada bajo el folio 01383/HUIXQUIL/IP/2021 le informo que el municipio suspendió las infracciones vehiculares desde el 07 de noviembre de 2016, mediante comunicado 242, incluidas las del programa Hoy no circula.” (sic) </w:t>
      </w:r>
    </w:p>
    <w:p w14:paraId="79C5B3C7" w14:textId="77777777" w:rsidR="00F61806" w:rsidRDefault="002808E4">
      <w:pP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Inconforme, </w:t>
      </w:r>
      <w:r>
        <w:rPr>
          <w:rFonts w:ascii="Palatino Linotype" w:eastAsia="Palatino Linotype" w:hAnsi="Palatino Linotype" w:cs="Palatino Linotype"/>
          <w:b/>
          <w:color w:val="000000"/>
        </w:rPr>
        <w:t>EL RECURRENTE</w:t>
      </w:r>
      <w:r>
        <w:rPr>
          <w:rFonts w:ascii="Palatino Linotype" w:eastAsia="Palatino Linotype" w:hAnsi="Palatino Linotype" w:cs="Palatino Linotype"/>
          <w:color w:val="000000"/>
        </w:rPr>
        <w:t xml:space="preserve"> presentó recurso de revisión señalando como</w:t>
      </w:r>
      <w:r w:rsidR="00F61806">
        <w:rPr>
          <w:rFonts w:ascii="Palatino Linotype" w:eastAsia="Palatino Linotype" w:hAnsi="Palatino Linotype" w:cs="Palatino Linotype"/>
          <w:color w:val="000000"/>
        </w:rPr>
        <w:t xml:space="preserve"> acto impugnado y razones o motivos de inconformidad lo siguiente: </w:t>
      </w:r>
    </w:p>
    <w:p w14:paraId="308ED108" w14:textId="77777777" w:rsidR="00F61806" w:rsidRDefault="00F61806" w:rsidP="00F61806">
      <w:pPr>
        <w:spacing w:before="240" w:after="240" w:line="360" w:lineRule="auto"/>
        <w:ind w:left="567"/>
        <w:rPr>
          <w:rFonts w:ascii="Palatino Linotype" w:eastAsia="Palatino Linotype" w:hAnsi="Palatino Linotype" w:cs="Palatino Linotype"/>
          <w:b/>
        </w:rPr>
      </w:pPr>
      <w:r>
        <w:rPr>
          <w:rFonts w:ascii="Palatino Linotype" w:eastAsia="Palatino Linotype" w:hAnsi="Palatino Linotype" w:cs="Palatino Linotype"/>
          <w:b/>
        </w:rPr>
        <w:t>a) Acto impugnado.</w:t>
      </w:r>
    </w:p>
    <w:p w14:paraId="71F5DD92" w14:textId="77777777" w:rsidR="00F61806" w:rsidRDefault="00F61806" w:rsidP="00F61806">
      <w:pPr>
        <w:spacing w:line="360" w:lineRule="auto"/>
        <w:ind w:left="992"/>
        <w:jc w:val="both"/>
        <w:rPr>
          <w:rFonts w:ascii="Palatino Linotype" w:eastAsia="Palatino Linotype" w:hAnsi="Palatino Linotype" w:cs="Palatino Linotype"/>
          <w:i/>
        </w:rPr>
      </w:pPr>
      <w:r>
        <w:rPr>
          <w:rFonts w:ascii="Palatino Linotype" w:eastAsia="Palatino Linotype" w:hAnsi="Palatino Linotype" w:cs="Palatino Linotype"/>
          <w:i/>
        </w:rPr>
        <w:t>“</w:t>
      </w:r>
      <w:r>
        <w:rPr>
          <w:rFonts w:ascii="Palatino Linotype" w:eastAsia="Palatino Linotype" w:hAnsi="Palatino Linotype" w:cs="Palatino Linotype"/>
          <w:i/>
          <w:color w:val="000000"/>
        </w:rPr>
        <w:t>Respuesta que no contempla todo lo solicitado.</w:t>
      </w:r>
      <w:r>
        <w:rPr>
          <w:rFonts w:ascii="Palatino Linotype" w:eastAsia="Palatino Linotype" w:hAnsi="Palatino Linotype" w:cs="Palatino Linotype"/>
          <w:b/>
          <w:i/>
        </w:rPr>
        <w:t xml:space="preserve">”  </w:t>
      </w:r>
      <w:r>
        <w:rPr>
          <w:rFonts w:ascii="Palatino Linotype" w:eastAsia="Palatino Linotype" w:hAnsi="Palatino Linotype" w:cs="Palatino Linotype"/>
          <w:i/>
        </w:rPr>
        <w:t>(sic)</w:t>
      </w:r>
    </w:p>
    <w:p w14:paraId="004216B0" w14:textId="77777777" w:rsidR="00F61806" w:rsidRDefault="00F61806" w:rsidP="00F61806">
      <w:pPr>
        <w:spacing w:before="240" w:after="240" w:line="360" w:lineRule="auto"/>
        <w:ind w:left="567"/>
        <w:jc w:val="both"/>
        <w:rPr>
          <w:rFonts w:ascii="Palatino Linotype" w:eastAsia="Palatino Linotype" w:hAnsi="Palatino Linotype" w:cs="Palatino Linotype"/>
          <w:b/>
        </w:rPr>
      </w:pPr>
      <w:r>
        <w:rPr>
          <w:rFonts w:ascii="Palatino Linotype" w:eastAsia="Palatino Linotype" w:hAnsi="Palatino Linotype" w:cs="Palatino Linotype"/>
          <w:b/>
        </w:rPr>
        <w:t>b) Motivos de inconformidad.</w:t>
      </w:r>
    </w:p>
    <w:p w14:paraId="026D201A" w14:textId="77777777" w:rsidR="00F61806" w:rsidRDefault="00F61806" w:rsidP="00F61806">
      <w:pPr>
        <w:spacing w:line="360" w:lineRule="auto"/>
        <w:ind w:left="851" w:right="51"/>
        <w:jc w:val="both"/>
        <w:rPr>
          <w:rFonts w:ascii="Palatino Linotype" w:eastAsia="Palatino Linotype" w:hAnsi="Palatino Linotype" w:cs="Palatino Linotype"/>
          <w:i/>
        </w:rPr>
      </w:pPr>
      <w:r>
        <w:rPr>
          <w:rFonts w:ascii="Palatino Linotype" w:eastAsia="Palatino Linotype" w:hAnsi="Palatino Linotype" w:cs="Palatino Linotype"/>
          <w:i/>
        </w:rPr>
        <w:t>“</w:t>
      </w:r>
      <w:r>
        <w:rPr>
          <w:rFonts w:ascii="Palatino Linotype" w:eastAsia="Palatino Linotype" w:hAnsi="Palatino Linotype" w:cs="Palatino Linotype"/>
          <w:i/>
          <w:color w:val="000000"/>
        </w:rPr>
        <w:t xml:space="preserve">Acuso recibo de su amable respuesta de fecha 3 de noviembre del 2021, sin embargo me permito informarles que </w:t>
      </w:r>
      <w:r w:rsidRPr="001A783C">
        <w:rPr>
          <w:rFonts w:ascii="Palatino Linotype" w:eastAsia="Palatino Linotype" w:hAnsi="Palatino Linotype" w:cs="Palatino Linotype"/>
          <w:b/>
          <w:i/>
          <w:color w:val="000000"/>
          <w:u w:val="single"/>
        </w:rPr>
        <w:t>su respuesta es incompleta,</w:t>
      </w:r>
      <w:r>
        <w:rPr>
          <w:rFonts w:ascii="Palatino Linotype" w:eastAsia="Palatino Linotype" w:hAnsi="Palatino Linotype" w:cs="Palatino Linotype"/>
          <w:i/>
          <w:color w:val="000000"/>
        </w:rPr>
        <w:t xml:space="preserve"> </w:t>
      </w:r>
      <w:r w:rsidRPr="001A783C">
        <w:rPr>
          <w:rFonts w:ascii="Palatino Linotype" w:eastAsia="Palatino Linotype" w:hAnsi="Palatino Linotype" w:cs="Palatino Linotype"/>
          <w:b/>
          <w:i/>
          <w:color w:val="000000"/>
          <w:u w:val="single"/>
        </w:rPr>
        <w:t>ya que no mencionan nada acerca de “que reglamento de tránsito es el vigente en el mismo municipio</w:t>
      </w:r>
      <w:r>
        <w:rPr>
          <w:rFonts w:ascii="Palatino Linotype" w:eastAsia="Palatino Linotype" w:hAnsi="Palatino Linotype" w:cs="Palatino Linotype"/>
          <w:i/>
          <w:color w:val="000000"/>
        </w:rPr>
        <w:t xml:space="preserve">” Por otra parte, de ser posible deseo me hagan llegar una copia del comunicado 242 que se expidió desde el 7 de noviembre de 2016. Adicionalmente, en el caso de que en dicho comunicado no mencione las bases en las que se ampara </w:t>
      </w:r>
      <w:r>
        <w:rPr>
          <w:rFonts w:ascii="Palatino Linotype" w:eastAsia="Palatino Linotype" w:hAnsi="Palatino Linotype" w:cs="Palatino Linotype"/>
          <w:i/>
          <w:color w:val="000000"/>
        </w:rPr>
        <w:lastRenderedPageBreak/>
        <w:t xml:space="preserve">la expedición de dicho documento, atentamente les solicito me las hagan saber. </w:t>
      </w:r>
      <w:proofErr w:type="spellStart"/>
      <w:r w:rsidRPr="001A783C">
        <w:rPr>
          <w:rFonts w:ascii="Palatino Linotype" w:eastAsia="Palatino Linotype" w:hAnsi="Palatino Linotype" w:cs="Palatino Linotype"/>
          <w:i/>
          <w:color w:val="000000"/>
          <w:sz w:val="22"/>
        </w:rPr>
        <w:t>Adicionalemente</w:t>
      </w:r>
      <w:proofErr w:type="spellEnd"/>
      <w:r>
        <w:rPr>
          <w:rFonts w:ascii="Palatino Linotype" w:eastAsia="Palatino Linotype" w:hAnsi="Palatino Linotype" w:cs="Palatino Linotype"/>
          <w:i/>
          <w:color w:val="000000"/>
        </w:rPr>
        <w:t>, es muy importante que se me informe si dicho comunicado 242 permite la suspensión de infracciones vehiculares del Reglamento de Tránsito que me imagino es estatal..”</w:t>
      </w:r>
      <w:r>
        <w:rPr>
          <w:rFonts w:ascii="Palatino Linotype" w:eastAsia="Palatino Linotype" w:hAnsi="Palatino Linotype" w:cs="Palatino Linotype"/>
          <w:i/>
        </w:rPr>
        <w:t xml:space="preserve"> (sic)</w:t>
      </w:r>
    </w:p>
    <w:p w14:paraId="2F7547D6" w14:textId="77777777" w:rsidR="00F61806" w:rsidRPr="00F61806" w:rsidRDefault="00F61806" w:rsidP="00F61806">
      <w:pPr>
        <w:spacing w:before="240" w:after="240" w:line="360" w:lineRule="auto"/>
        <w:jc w:val="both"/>
        <w:rPr>
          <w:rFonts w:ascii="Palatino Linotype" w:eastAsia="Palatino Linotype" w:hAnsi="Palatino Linotype" w:cs="Palatino Linotype"/>
          <w:color w:val="000000"/>
        </w:rPr>
      </w:pPr>
      <w:r w:rsidRPr="00F61806">
        <w:rPr>
          <w:rFonts w:ascii="Palatino Linotype" w:eastAsia="Palatino Linotype" w:hAnsi="Palatino Linotype" w:cs="Palatino Linotype"/>
          <w:color w:val="000000"/>
        </w:rPr>
        <w:t xml:space="preserve">En este sentido, no pasa inadvertido para este Órgano Garante que los motivos de inconformidad aducidos, no versan sobre la totalidad de la información proporcionada por el Sujeto Obligado, sino porque se le entregó incompleta, al señalar de manera expresa, que </w:t>
      </w:r>
      <w:r w:rsidRPr="001A783C">
        <w:rPr>
          <w:rFonts w:ascii="Palatino Linotype" w:eastAsia="Palatino Linotype" w:hAnsi="Palatino Linotype" w:cs="Palatino Linotype"/>
          <w:b/>
          <w:i/>
          <w:color w:val="000000"/>
          <w:u w:val="single"/>
        </w:rPr>
        <w:t>no mencionan nada acerca de “que reglamento de tránsito es el vigente en el mismo municipio</w:t>
      </w:r>
      <w:r w:rsidRPr="00F61806">
        <w:rPr>
          <w:rFonts w:ascii="Palatino Linotype" w:eastAsia="Palatino Linotype" w:hAnsi="Palatino Linotype" w:cs="Palatino Linotype"/>
          <w:color w:val="000000"/>
        </w:rPr>
        <w:t>.</w:t>
      </w:r>
    </w:p>
    <w:p w14:paraId="41519C0C" w14:textId="77777777" w:rsidR="00F61806" w:rsidRPr="00F61806" w:rsidRDefault="00F61806" w:rsidP="00F61806">
      <w:pPr>
        <w:spacing w:before="240" w:after="240" w:line="360" w:lineRule="auto"/>
        <w:jc w:val="both"/>
        <w:rPr>
          <w:rFonts w:ascii="Palatino Linotype" w:eastAsia="Palatino Linotype" w:hAnsi="Palatino Linotype" w:cs="Palatino Linotype"/>
          <w:color w:val="000000"/>
        </w:rPr>
      </w:pPr>
      <w:r w:rsidRPr="00F61806">
        <w:rPr>
          <w:rFonts w:ascii="Palatino Linotype" w:eastAsia="Palatino Linotype" w:hAnsi="Palatino Linotype" w:cs="Palatino Linotype"/>
          <w:color w:val="000000"/>
        </w:rPr>
        <w:t>Bajo este tenor, la información entregada en respuesta debe declararse consentida por la parte Recurrente, toda vez que no realizó manifestaciones de inconformidad al respecto; en consecuencia, no pueden producirse efectos jurídicos tendentes a revocar, confirmar o modificar el acto reclamado, ya que, en el caso concreto se infiere que la información proporcionada por el Sujeto Obligado señalada en el párrafo anterior, satisface la solicitud presentada.</w:t>
      </w:r>
    </w:p>
    <w:p w14:paraId="72DC3E9A" w14:textId="77777777" w:rsidR="00F61806" w:rsidRPr="00F61806" w:rsidRDefault="00F61806" w:rsidP="00F61806">
      <w:pPr>
        <w:spacing w:before="240" w:after="240" w:line="360" w:lineRule="auto"/>
        <w:jc w:val="both"/>
        <w:rPr>
          <w:rFonts w:ascii="Palatino Linotype" w:eastAsia="Palatino Linotype" w:hAnsi="Palatino Linotype" w:cs="Palatino Linotype"/>
          <w:color w:val="000000"/>
        </w:rPr>
      </w:pPr>
      <w:r w:rsidRPr="00F61806">
        <w:rPr>
          <w:rFonts w:ascii="Palatino Linotype" w:eastAsia="Palatino Linotype" w:hAnsi="Palatino Linotype" w:cs="Palatino Linotype"/>
          <w:color w:val="000000"/>
        </w:rPr>
        <w:t>Lo anterior es así, debido a que cuando el recurrente impugna la respuesta del Sujeto Obligado, y éste no expresa Razón o Motivo de Inconformidad en contra de todos los rubros solicitados, dichos rubros deben declararse atendidos, pues se entiende que el recurrente ésta conforme con la información entregada al no contravenir la misma. Sirve de Apoyo a lo anterior, por analogía la Tesis Jurisprudencial Número 3ª./J.7/91, Publicada en el Semanario Judicial de la Federación y su Gaceta bajo el número de registro 174,177, que establece lo siguiente:</w:t>
      </w:r>
    </w:p>
    <w:p w14:paraId="065A91FC" w14:textId="77777777" w:rsidR="00F61806" w:rsidRPr="005D233A" w:rsidRDefault="00F61806" w:rsidP="005D233A">
      <w:pPr>
        <w:spacing w:before="240" w:after="240" w:line="360" w:lineRule="auto"/>
        <w:ind w:left="567" w:right="616"/>
        <w:jc w:val="both"/>
        <w:rPr>
          <w:rFonts w:ascii="Palatino Linotype" w:eastAsia="Palatino Linotype" w:hAnsi="Palatino Linotype" w:cs="Palatino Linotype"/>
          <w:i/>
          <w:color w:val="000000"/>
          <w:sz w:val="22"/>
          <w:szCs w:val="22"/>
        </w:rPr>
      </w:pPr>
      <w:r w:rsidRPr="005D233A">
        <w:rPr>
          <w:rFonts w:ascii="Palatino Linotype" w:eastAsia="Palatino Linotype" w:hAnsi="Palatino Linotype" w:cs="Palatino Linotype"/>
          <w:i/>
          <w:color w:val="000000"/>
          <w:sz w:val="22"/>
          <w:szCs w:val="22"/>
        </w:rPr>
        <w:lastRenderedPageBreak/>
        <w:t>“REVISIÓN EN AMPARO. LOS RESOLUTIVOS NO COMBATIDOS DEBEN DECLARARSE FIRMES. 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5B9F23B9" w14:textId="77777777" w:rsidR="00F61806" w:rsidRPr="00F61806" w:rsidRDefault="00F61806" w:rsidP="00F61806">
      <w:pPr>
        <w:spacing w:before="240" w:after="240" w:line="360" w:lineRule="auto"/>
        <w:jc w:val="both"/>
        <w:rPr>
          <w:rFonts w:ascii="Palatino Linotype" w:eastAsia="Palatino Linotype" w:hAnsi="Palatino Linotype" w:cs="Palatino Linotype"/>
          <w:color w:val="000000"/>
        </w:rPr>
      </w:pPr>
      <w:r w:rsidRPr="00F61806">
        <w:rPr>
          <w:rFonts w:ascii="Palatino Linotype" w:eastAsia="Palatino Linotype" w:hAnsi="Palatino Linotype" w:cs="Palatino Linotype"/>
          <w:color w:val="000000"/>
        </w:rPr>
        <w:t xml:space="preserve">Consecuentemente, la información proporcionada en respuesta, al no ser impugnada debe declararse consentida por la parte recurrente, toda vez que no se realizaron manifestaciones de inconformidad, por lo que no pueden producirse efectos jurídicos tendentes a revocar, confirmar o modificar el acto reclamado ya que se infiere un consentimiento del recurrente ante la falta de impugnación eficaz. </w:t>
      </w:r>
    </w:p>
    <w:p w14:paraId="032A4C5F" w14:textId="77777777" w:rsidR="00F61806" w:rsidRPr="00F61806" w:rsidRDefault="00F61806" w:rsidP="00F61806">
      <w:pPr>
        <w:spacing w:before="240" w:after="240" w:line="360" w:lineRule="auto"/>
        <w:jc w:val="both"/>
        <w:rPr>
          <w:rFonts w:ascii="Palatino Linotype" w:eastAsia="Palatino Linotype" w:hAnsi="Palatino Linotype" w:cs="Palatino Linotype"/>
          <w:color w:val="000000"/>
        </w:rPr>
      </w:pPr>
      <w:r w:rsidRPr="00F61806">
        <w:rPr>
          <w:rFonts w:ascii="Palatino Linotype" w:eastAsia="Palatino Linotype" w:hAnsi="Palatino Linotype" w:cs="Palatino Linotype"/>
          <w:color w:val="000000"/>
        </w:rPr>
        <w:t>Sirve de sustento a lo anterior por analogía la tesis jurisprudencial número VI.3o.C. J/60, publicada en el Semanario Judicial de la Federación y su Gaceta bajo el número de registro 176,608 que a la letra dice:</w:t>
      </w:r>
    </w:p>
    <w:p w14:paraId="08C09C07" w14:textId="77777777" w:rsidR="00F61806" w:rsidRPr="005D233A" w:rsidRDefault="00F61806" w:rsidP="005D233A">
      <w:pPr>
        <w:spacing w:before="240" w:after="240" w:line="360" w:lineRule="auto"/>
        <w:ind w:left="567" w:right="616"/>
        <w:jc w:val="both"/>
        <w:rPr>
          <w:rFonts w:ascii="Palatino Linotype" w:eastAsia="Palatino Linotype" w:hAnsi="Palatino Linotype" w:cs="Palatino Linotype"/>
          <w:i/>
          <w:color w:val="000000"/>
          <w:sz w:val="22"/>
          <w:szCs w:val="22"/>
        </w:rPr>
      </w:pPr>
      <w:r w:rsidRPr="005D233A">
        <w:rPr>
          <w:rFonts w:ascii="Palatino Linotype" w:eastAsia="Palatino Linotype" w:hAnsi="Palatino Linotype" w:cs="Palatino Linotype"/>
          <w:i/>
          <w:color w:val="000000"/>
          <w:sz w:val="22"/>
          <w:szCs w:val="22"/>
        </w:rPr>
        <w:t>“ACTOS CONSENTIDOS. SON LOS QUE NO SE IMPUGNAN MEDIANTE EL RECURSO IDÓNEO. 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602E5EE8" w14:textId="77777777" w:rsidR="005D233A" w:rsidRDefault="005D233A">
      <w:pPr>
        <w:spacing w:before="240" w:after="240" w:line="360" w:lineRule="auto"/>
        <w:jc w:val="both"/>
        <w:rPr>
          <w:rFonts w:ascii="Palatino Linotype" w:eastAsia="Palatino Linotype" w:hAnsi="Palatino Linotype" w:cs="Palatino Linotype"/>
          <w:color w:val="000000"/>
        </w:rPr>
      </w:pPr>
    </w:p>
    <w:p w14:paraId="6DFBDB1D" w14:textId="77777777" w:rsidR="00CB65B3" w:rsidRDefault="005D233A" w:rsidP="00CB65B3">
      <w:pPr>
        <w:spacing w:line="360" w:lineRule="auto"/>
        <w:jc w:val="both"/>
        <w:rPr>
          <w:rFonts w:ascii="Palatino Linotype" w:eastAsia="Palatino Linotype" w:hAnsi="Palatino Linotype" w:cs="Palatino Linotype"/>
        </w:rPr>
      </w:pPr>
      <w:r>
        <w:rPr>
          <w:rFonts w:ascii="Palatino Linotype" w:hAnsi="Palatino Linotype"/>
          <w:color w:val="000000" w:themeColor="text1"/>
        </w:rPr>
        <w:lastRenderedPageBreak/>
        <w:t xml:space="preserve">Por otra parte, </w:t>
      </w:r>
      <w:r w:rsidRPr="00131A33">
        <w:rPr>
          <w:rFonts w:ascii="Palatino Linotype" w:hAnsi="Palatino Linotype"/>
          <w:color w:val="000000" w:themeColor="text1"/>
        </w:rPr>
        <w:t xml:space="preserve">no escapa de la óptica de este Órgano Garante que a través del recurso de revisión pretende ampliar su solicitud de información, toda vez que mediante el mismo requiere </w:t>
      </w:r>
      <w:r>
        <w:rPr>
          <w:rFonts w:ascii="Palatino Linotype" w:hAnsi="Palatino Linotype"/>
          <w:color w:val="000000" w:themeColor="text1"/>
        </w:rPr>
        <w:t xml:space="preserve"> “</w:t>
      </w:r>
      <w:r>
        <w:rPr>
          <w:rFonts w:ascii="Palatino Linotype" w:eastAsia="Palatino Linotype" w:hAnsi="Palatino Linotype" w:cs="Palatino Linotype"/>
          <w:i/>
          <w:color w:val="000000"/>
        </w:rPr>
        <w:t xml:space="preserve">copia del comunicado 242 que se expidió desde el 7 de noviembre de 2016. Adicionalmente, en el caso de que en dicho comunicado no mencione las bases en las que se ampara la expedición de dicho documento, atentamente les solicito me las hagan saber. </w:t>
      </w:r>
      <w:proofErr w:type="spellStart"/>
      <w:r w:rsidRPr="001A783C">
        <w:rPr>
          <w:rFonts w:ascii="Palatino Linotype" w:eastAsia="Palatino Linotype" w:hAnsi="Palatino Linotype" w:cs="Palatino Linotype"/>
          <w:i/>
          <w:color w:val="000000"/>
          <w:sz w:val="22"/>
        </w:rPr>
        <w:t>Adicionalemente</w:t>
      </w:r>
      <w:proofErr w:type="spellEnd"/>
      <w:r>
        <w:rPr>
          <w:rFonts w:ascii="Palatino Linotype" w:eastAsia="Palatino Linotype" w:hAnsi="Palatino Linotype" w:cs="Palatino Linotype"/>
          <w:i/>
          <w:color w:val="000000"/>
        </w:rPr>
        <w:t xml:space="preserve">, es muy importante que se me informe si dicho comunicado 242 permite la suspensión de infracciones vehiculares del Reglamento de Tránsito que me imagino es estatal..”, puntos que son respondidos mediante informe justificado por parte del Sujeto Obligado, </w:t>
      </w:r>
      <w:r>
        <w:rPr>
          <w:rFonts w:ascii="Palatino Linotype" w:hAnsi="Palatino Linotype"/>
          <w:color w:val="000000" w:themeColor="text1"/>
        </w:rPr>
        <w:t xml:space="preserve">pero que, sin embargo </w:t>
      </w:r>
      <w:r w:rsidRPr="00131A33">
        <w:rPr>
          <w:rFonts w:ascii="Palatino Linotype" w:hAnsi="Palatino Linotype"/>
          <w:color w:val="000000" w:themeColor="text1"/>
        </w:rPr>
        <w:t xml:space="preserve">se traducen como una plus </w:t>
      </w:r>
      <w:proofErr w:type="spellStart"/>
      <w:r w:rsidRPr="00131A33">
        <w:rPr>
          <w:rFonts w:ascii="Palatino Linotype" w:hAnsi="Palatino Linotype"/>
          <w:color w:val="000000" w:themeColor="text1"/>
        </w:rPr>
        <w:t>petitio</w:t>
      </w:r>
      <w:proofErr w:type="spellEnd"/>
      <w:r w:rsidRPr="00131A33">
        <w:rPr>
          <w:rFonts w:ascii="Palatino Linotype" w:hAnsi="Palatino Linotype"/>
          <w:color w:val="000000" w:themeColor="text1"/>
        </w:rPr>
        <w:t>, y por tanto inatendibles a</w:t>
      </w:r>
      <w:r w:rsidR="00CB65B3">
        <w:rPr>
          <w:rFonts w:ascii="Palatino Linotype" w:hAnsi="Palatino Linotype"/>
          <w:color w:val="000000" w:themeColor="text1"/>
        </w:rPr>
        <w:t xml:space="preserve"> través del recurso de revisión, en términos de </w:t>
      </w:r>
      <w:r w:rsidR="00CB65B3">
        <w:rPr>
          <w:rFonts w:ascii="Palatino Linotype" w:eastAsia="Palatino Linotype" w:hAnsi="Palatino Linotype" w:cs="Palatino Linotype"/>
        </w:rPr>
        <w:t>lo que refiere la Ley de Transparencia y Acceso a la Información Pública del Estado de México y Municipios en su artículo 190, fracción VII, el cual, a la letra establece:</w:t>
      </w:r>
    </w:p>
    <w:p w14:paraId="7211C737" w14:textId="77777777" w:rsidR="00CB65B3" w:rsidRDefault="00CB65B3" w:rsidP="00CB65B3">
      <w:pPr>
        <w:spacing w:line="360" w:lineRule="auto"/>
        <w:ind w:left="708"/>
        <w:jc w:val="both"/>
        <w:rPr>
          <w:rFonts w:ascii="Palatino Linotype" w:eastAsia="Palatino Linotype" w:hAnsi="Palatino Linotype" w:cs="Palatino Linotype"/>
          <w:b/>
          <w:i/>
          <w:sz w:val="22"/>
          <w:szCs w:val="22"/>
        </w:rPr>
      </w:pPr>
    </w:p>
    <w:p w14:paraId="2F148789" w14:textId="77777777" w:rsidR="00CB65B3" w:rsidRDefault="00CB65B3" w:rsidP="00CB65B3">
      <w:pPr>
        <w:spacing w:line="360" w:lineRule="auto"/>
        <w:ind w:left="708" w:right="900"/>
        <w:jc w:val="both"/>
        <w:rPr>
          <w:rFonts w:ascii="Palatino Linotype" w:eastAsia="Palatino Linotype" w:hAnsi="Palatino Linotype" w:cs="Palatino Linotype"/>
          <w:i/>
        </w:rPr>
      </w:pPr>
      <w:r>
        <w:rPr>
          <w:rFonts w:ascii="Palatino Linotype" w:eastAsia="Palatino Linotype" w:hAnsi="Palatino Linotype" w:cs="Palatino Linotype"/>
          <w:b/>
          <w:i/>
        </w:rPr>
        <w:t xml:space="preserve"> “</w:t>
      </w:r>
      <w:r>
        <w:rPr>
          <w:rFonts w:ascii="Palatino Linotype" w:eastAsia="Palatino Linotype" w:hAnsi="Palatino Linotype" w:cs="Palatino Linotype"/>
          <w:i/>
        </w:rPr>
        <w:t>Artículo 191. El recurso será desechado por improcedente cuando:</w:t>
      </w:r>
    </w:p>
    <w:p w14:paraId="41A064AB" w14:textId="77777777" w:rsidR="00CB65B3" w:rsidRDefault="00CB65B3" w:rsidP="00CB65B3">
      <w:pPr>
        <w:spacing w:line="360" w:lineRule="auto"/>
        <w:ind w:left="708" w:right="900"/>
        <w:jc w:val="both"/>
        <w:rPr>
          <w:rFonts w:ascii="Palatino Linotype" w:eastAsia="Palatino Linotype" w:hAnsi="Palatino Linotype" w:cs="Palatino Linotype"/>
          <w:b/>
          <w:i/>
        </w:rPr>
      </w:pPr>
      <w:r>
        <w:rPr>
          <w:rFonts w:ascii="Palatino Linotype" w:eastAsia="Palatino Linotype" w:hAnsi="Palatino Linotype" w:cs="Palatino Linotype"/>
          <w:b/>
          <w:i/>
        </w:rPr>
        <w:t>[...]</w:t>
      </w:r>
    </w:p>
    <w:p w14:paraId="4142BC0D" w14:textId="77777777" w:rsidR="00CB65B3" w:rsidRDefault="00CB65B3" w:rsidP="00CB65B3">
      <w:pPr>
        <w:spacing w:line="360" w:lineRule="auto"/>
        <w:ind w:left="708" w:right="900"/>
        <w:jc w:val="both"/>
        <w:rPr>
          <w:rFonts w:ascii="Palatino Linotype" w:eastAsia="Palatino Linotype" w:hAnsi="Palatino Linotype" w:cs="Palatino Linotype"/>
          <w:i/>
        </w:rPr>
      </w:pPr>
      <w:r>
        <w:rPr>
          <w:rFonts w:ascii="Palatino Linotype" w:eastAsia="Palatino Linotype" w:hAnsi="Palatino Linotype" w:cs="Palatino Linotype"/>
          <w:i/>
        </w:rPr>
        <w:t xml:space="preserve">VII. El recurrente amplíe su solicitud en el recurso de revisión, únicamente respecto de los nuevos contenidos. </w:t>
      </w:r>
      <w:r>
        <w:rPr>
          <w:rFonts w:ascii="Palatino Linotype" w:eastAsia="Palatino Linotype" w:hAnsi="Palatino Linotype" w:cs="Palatino Linotype"/>
          <w:b/>
          <w:i/>
        </w:rPr>
        <w:t xml:space="preserve"> </w:t>
      </w:r>
      <w:r>
        <w:rPr>
          <w:rFonts w:ascii="Palatino Linotype" w:eastAsia="Palatino Linotype" w:hAnsi="Palatino Linotype" w:cs="Palatino Linotype"/>
          <w:i/>
        </w:rPr>
        <w:t>“</w:t>
      </w:r>
    </w:p>
    <w:p w14:paraId="383526F3" w14:textId="77777777" w:rsidR="005D233A" w:rsidRPr="00131A33" w:rsidRDefault="005D233A" w:rsidP="005D233A">
      <w:pPr>
        <w:shd w:val="clear" w:color="auto" w:fill="FFFFFF"/>
        <w:spacing w:before="240" w:after="240" w:line="360" w:lineRule="auto"/>
        <w:jc w:val="both"/>
        <w:rPr>
          <w:color w:val="000000" w:themeColor="text1"/>
        </w:rPr>
      </w:pPr>
      <w:r>
        <w:rPr>
          <w:rFonts w:ascii="Palatino Linotype" w:hAnsi="Palatino Linotype"/>
          <w:color w:val="000000" w:themeColor="text1"/>
        </w:rPr>
        <w:t>Lo anterior es así, toda vez que,</w:t>
      </w:r>
      <w:r w:rsidRPr="00131A33">
        <w:rPr>
          <w:rFonts w:ascii="Palatino Linotype" w:hAnsi="Palatino Linotype"/>
          <w:color w:val="000000" w:themeColor="text1"/>
        </w:rPr>
        <w:t xml:space="preserve"> una vez formulada su solicitud inicial,</w:t>
      </w:r>
      <w:r w:rsidRPr="00131A33">
        <w:rPr>
          <w:rFonts w:ascii="Palatino Linotype" w:hAnsi="Palatino Linotype"/>
          <w:i/>
          <w:iCs/>
          <w:color w:val="000000" w:themeColor="text1"/>
        </w:rPr>
        <w:t> </w:t>
      </w:r>
      <w:r w:rsidRPr="00131A33">
        <w:rPr>
          <w:rFonts w:ascii="Palatino Linotype" w:hAnsi="Palatino Linotype"/>
          <w:color w:val="000000" w:themeColor="text1"/>
        </w:rPr>
        <w:t>los particulares no pueden modificarla o ampliarla y menos aún si les fue otorgada la oportunidad para su ampliación, a través de posteriores promociones o en el momento de ingresar su recurso de revisión; por tanto, la materia de las solicitudes de información se circunscribe a que se permita el acceso a los documentos inicialmente solicitados y en su caso a los aclarados o corregidos.</w:t>
      </w:r>
    </w:p>
    <w:p w14:paraId="6A240527" w14:textId="77777777" w:rsidR="005D233A" w:rsidRPr="00131A33" w:rsidRDefault="005D233A" w:rsidP="005D233A">
      <w:pPr>
        <w:shd w:val="clear" w:color="auto" w:fill="FFFFFF"/>
        <w:spacing w:before="100" w:beforeAutospacing="1" w:after="100" w:afterAutospacing="1" w:line="360" w:lineRule="auto"/>
        <w:jc w:val="both"/>
        <w:rPr>
          <w:color w:val="222222"/>
          <w:lang w:val="es-MX"/>
        </w:rPr>
      </w:pPr>
      <w:r w:rsidRPr="00131A33">
        <w:rPr>
          <w:rFonts w:ascii="Palatino Linotype" w:hAnsi="Palatino Linotype"/>
          <w:color w:val="222222"/>
          <w:lang w:val="es-MX"/>
        </w:rPr>
        <w:lastRenderedPageBreak/>
        <w:t>Robustece lo anterior lo plasmado en el criterio número 27/10 emitido por el entonces Instituto Federal de Acceso a la Información y Protección de Datos (IFAI) ahora Instituto Nacional de Transparencia, Acceso a la Información y Protección de Datos Personales (INAI), que lleva por rubro y texto lo que a continuación se transcribe:</w:t>
      </w:r>
    </w:p>
    <w:p w14:paraId="02E690F3" w14:textId="77777777" w:rsidR="005D233A" w:rsidRPr="00131A33" w:rsidRDefault="005D233A" w:rsidP="005D233A">
      <w:pPr>
        <w:shd w:val="clear" w:color="auto" w:fill="FFFFFF"/>
        <w:spacing w:before="240" w:after="240"/>
        <w:ind w:left="851" w:right="900"/>
        <w:jc w:val="both"/>
        <w:rPr>
          <w:color w:val="222222"/>
        </w:rPr>
      </w:pPr>
      <w:r w:rsidRPr="00131A33">
        <w:rPr>
          <w:rFonts w:ascii="Palatino Linotype" w:hAnsi="Palatino Linotype"/>
          <w:i/>
          <w:iCs/>
          <w:color w:val="222222"/>
          <w:sz w:val="22"/>
          <w:szCs w:val="22"/>
        </w:rPr>
        <w:t>“</w:t>
      </w:r>
      <w:r w:rsidRPr="00131A33">
        <w:rPr>
          <w:rFonts w:ascii="Palatino Linotype" w:hAnsi="Palatino Linotype"/>
          <w:b/>
          <w:bCs/>
          <w:i/>
          <w:iCs/>
          <w:color w:val="222222"/>
          <w:sz w:val="22"/>
          <w:szCs w:val="22"/>
        </w:rPr>
        <w:t>Es improcedente ampliar las solicitudes de acceso a información pública o datos personales</w:t>
      </w:r>
      <w:r w:rsidRPr="00131A33">
        <w:rPr>
          <w:rFonts w:ascii="Palatino Linotype" w:hAnsi="Palatino Linotype"/>
          <w:i/>
          <w:iCs/>
          <w:color w:val="222222"/>
          <w:sz w:val="22"/>
          <w:szCs w:val="22"/>
        </w:rPr>
        <w:t>, a través de la interposición del recurso de revisión. En aquellos casos en los que los recurrentes amplíen los alcances de su solicitud de información o acceso a datos personales a través de su recurso de revisión, esta ampliación no podrá constituir materia del procedimiento a sustanciarse por el Instituto Federal de Acceso a la Información y Protección de Datos. Lo anterior, sin perjuicio de que los recurrentes puedan ejercer su derecho a realizar una nueva solicitud en términos de la Ley de la materia.”</w:t>
      </w:r>
    </w:p>
    <w:p w14:paraId="62535D58" w14:textId="77777777" w:rsidR="00DF6FD1" w:rsidRDefault="005D233A">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Precisado lo anterior, se tiene que el análisis del presente asunto será determinar si se colma el derecho de acceso a la información del particular respecto a conocer el reglamento de tránsito vigente en el municipio de Huixquilucan. Como se desprende de las constancias analizadas anteriormente, el </w:t>
      </w:r>
      <w:r w:rsidRPr="005D233A">
        <w:rPr>
          <w:rFonts w:ascii="Palatino Linotype" w:eastAsia="Palatino Linotype" w:hAnsi="Palatino Linotype" w:cs="Palatino Linotype"/>
          <w:b/>
        </w:rPr>
        <w:t xml:space="preserve">SUJETO OBLIGADO </w:t>
      </w:r>
      <w:r w:rsidR="00A80864">
        <w:rPr>
          <w:rFonts w:ascii="Palatino Linotype" w:eastAsia="Palatino Linotype" w:hAnsi="Palatino Linotype" w:cs="Palatino Linotype"/>
        </w:rPr>
        <w:t xml:space="preserve">en un primer momento fue omiso en atender dicho punto de la solicitud, no obstante lo anterior, mediante informe justificado </w:t>
      </w:r>
      <w:r w:rsidR="002808E4">
        <w:rPr>
          <w:rFonts w:ascii="Palatino Linotype" w:eastAsia="Palatino Linotype" w:hAnsi="Palatino Linotype" w:cs="Palatino Linotype"/>
        </w:rPr>
        <w:t>señaló que el Reglamento de Tránsito vigente y aplicable en el municipio de Huixquilucan es el Reglamento de Tránsito del Estado de México, así mismo,</w:t>
      </w:r>
      <w:r w:rsidR="002808E4">
        <w:rPr>
          <w:rFonts w:ascii="Palatino Linotype" w:eastAsia="Palatino Linotype" w:hAnsi="Palatino Linotype" w:cs="Palatino Linotype"/>
          <w:b/>
        </w:rPr>
        <w:t xml:space="preserve"> </w:t>
      </w:r>
      <w:r w:rsidR="00A80864">
        <w:rPr>
          <w:rFonts w:ascii="Palatino Linotype" w:eastAsia="Palatino Linotype" w:hAnsi="Palatino Linotype" w:cs="Palatino Linotype"/>
        </w:rPr>
        <w:t xml:space="preserve">en alcance a dicho </w:t>
      </w:r>
      <w:r w:rsidR="002808E4">
        <w:rPr>
          <w:rFonts w:ascii="Palatino Linotype" w:eastAsia="Palatino Linotype" w:hAnsi="Palatino Linotype" w:cs="Palatino Linotype"/>
        </w:rPr>
        <w:t>Informe Justificado</w:t>
      </w:r>
      <w:r w:rsidR="002808E4">
        <w:rPr>
          <w:rFonts w:ascii="Palatino Linotype" w:eastAsia="Palatino Linotype" w:hAnsi="Palatino Linotype" w:cs="Palatino Linotype"/>
          <w:b/>
        </w:rPr>
        <w:t xml:space="preserve">, </w:t>
      </w:r>
      <w:r w:rsidR="002808E4">
        <w:rPr>
          <w:rFonts w:ascii="Palatino Linotype" w:eastAsia="Palatino Linotype" w:hAnsi="Palatino Linotype" w:cs="Palatino Linotype"/>
        </w:rPr>
        <w:t>remitió los siguientes documentos digitales:</w:t>
      </w:r>
    </w:p>
    <w:p w14:paraId="3330D31C" w14:textId="77777777" w:rsidR="00DF6FD1" w:rsidRDefault="002808E4">
      <w:pPr>
        <w:numPr>
          <w:ilvl w:val="0"/>
          <w:numId w:val="3"/>
        </w:numPr>
        <w:pBdr>
          <w:top w:val="nil"/>
          <w:left w:val="nil"/>
          <w:bottom w:val="nil"/>
          <w:right w:val="nil"/>
          <w:between w:val="nil"/>
        </w:pBdr>
        <w:spacing w:before="240" w:after="240" w:line="360" w:lineRule="auto"/>
        <w:ind w:hanging="360"/>
        <w:jc w:val="both"/>
        <w:rPr>
          <w:rFonts w:ascii="Palatino Linotype" w:eastAsia="Palatino Linotype" w:hAnsi="Palatino Linotype" w:cs="Palatino Linotype"/>
          <w:color w:val="000000"/>
        </w:rPr>
      </w:pPr>
      <w:r>
        <w:rPr>
          <w:rFonts w:ascii="Palatino Linotype" w:eastAsia="Palatino Linotype" w:hAnsi="Palatino Linotype" w:cs="Palatino Linotype"/>
          <w:b/>
          <w:color w:val="000000"/>
        </w:rPr>
        <w:t>“REGLAMENTO DE TRANSITO DEL ESTADO DE MÉXICO.pdf”</w:t>
      </w:r>
      <w:r>
        <w:rPr>
          <w:rFonts w:ascii="Palatino Linotype" w:eastAsia="Palatino Linotype" w:hAnsi="Palatino Linotype" w:cs="Palatino Linotype"/>
          <w:color w:val="000000"/>
        </w:rPr>
        <w:t>, consistente en el Reglamento de Tránsito del Estado de México vigente;</w:t>
      </w:r>
    </w:p>
    <w:p w14:paraId="731FB75B" w14:textId="77777777" w:rsidR="00DF6FD1" w:rsidRDefault="002808E4">
      <w:pPr>
        <w:numPr>
          <w:ilvl w:val="0"/>
          <w:numId w:val="3"/>
        </w:numPr>
        <w:pBdr>
          <w:top w:val="nil"/>
          <w:left w:val="nil"/>
          <w:bottom w:val="nil"/>
          <w:right w:val="nil"/>
          <w:between w:val="nil"/>
        </w:pBdr>
        <w:spacing w:before="240" w:after="240" w:line="360" w:lineRule="auto"/>
        <w:ind w:hanging="360"/>
        <w:jc w:val="both"/>
        <w:rPr>
          <w:rFonts w:ascii="Palatino Linotype" w:eastAsia="Palatino Linotype" w:hAnsi="Palatino Linotype" w:cs="Palatino Linotype"/>
          <w:color w:val="000000"/>
        </w:rPr>
      </w:pPr>
      <w:r>
        <w:rPr>
          <w:rFonts w:ascii="Palatino Linotype" w:eastAsia="Palatino Linotype" w:hAnsi="Palatino Linotype" w:cs="Palatino Linotype"/>
          <w:b/>
          <w:color w:val="000000"/>
        </w:rPr>
        <w:lastRenderedPageBreak/>
        <w:t>“BANDO MUNICIPAL 2021.pdf”</w:t>
      </w:r>
      <w:r>
        <w:rPr>
          <w:rFonts w:ascii="Palatino Linotype" w:eastAsia="Palatino Linotype" w:hAnsi="Palatino Linotype" w:cs="Palatino Linotype"/>
          <w:color w:val="000000"/>
        </w:rPr>
        <w:t xml:space="preserve">, consistente en el Bando Municipal de Huixquilucan 2021; y </w:t>
      </w:r>
    </w:p>
    <w:p w14:paraId="22CA0443" w14:textId="77777777" w:rsidR="00DF6FD1" w:rsidRDefault="00CB65B3">
      <w:pPr>
        <w:numPr>
          <w:ilvl w:val="0"/>
          <w:numId w:val="3"/>
        </w:numPr>
        <w:pBdr>
          <w:top w:val="nil"/>
          <w:left w:val="nil"/>
          <w:bottom w:val="nil"/>
          <w:right w:val="nil"/>
          <w:between w:val="nil"/>
        </w:pBdr>
        <w:spacing w:before="240" w:after="240" w:line="360" w:lineRule="auto"/>
        <w:ind w:hanging="360"/>
        <w:jc w:val="both"/>
        <w:rPr>
          <w:rFonts w:ascii="Palatino Linotype" w:eastAsia="Palatino Linotype" w:hAnsi="Palatino Linotype" w:cs="Palatino Linotype"/>
          <w:color w:val="000000"/>
        </w:rPr>
      </w:pPr>
      <w:r>
        <w:rPr>
          <w:rFonts w:ascii="Palatino Linotype" w:eastAsia="Palatino Linotype" w:hAnsi="Palatino Linotype" w:cs="Palatino Linotype"/>
          <w:b/>
          <w:noProof/>
          <w:color w:val="000000"/>
          <w:lang w:val="es-MX"/>
        </w:rPr>
        <mc:AlternateContent>
          <mc:Choice Requires="wps">
            <w:drawing>
              <wp:anchor distT="0" distB="0" distL="114300" distR="114300" simplePos="0" relativeHeight="251659264" behindDoc="0" locked="0" layoutInCell="1" allowOverlap="1" wp14:anchorId="4EC48B83" wp14:editId="652900A5">
                <wp:simplePos x="0" y="0"/>
                <wp:positionH relativeFrom="column">
                  <wp:posOffset>416155</wp:posOffset>
                </wp:positionH>
                <wp:positionV relativeFrom="paragraph">
                  <wp:posOffset>621235</wp:posOffset>
                </wp:positionV>
                <wp:extent cx="5213267" cy="5082639"/>
                <wp:effectExtent l="38100" t="19050" r="64135" b="80010"/>
                <wp:wrapNone/>
                <wp:docPr id="11" name="Conector recto 11"/>
                <wp:cNvGraphicFramePr/>
                <a:graphic xmlns:a="http://schemas.openxmlformats.org/drawingml/2006/main">
                  <a:graphicData uri="http://schemas.microsoft.com/office/word/2010/wordprocessingShape">
                    <wps:wsp>
                      <wps:cNvCnPr/>
                      <wps:spPr>
                        <a:xfrm>
                          <a:off x="0" y="0"/>
                          <a:ext cx="5213267" cy="5082639"/>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6C7A15CD" id="Conector recto 1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32.75pt,48.9pt" to="443.25pt,44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" strokecolor="#4f81bd [3204]" strokeweight="2pt">
                <v:shadow on="t" color="black" opacity="24903f" origin=",.5" offset="0,.55556mm"/>
              </v:line>
            </w:pict>
          </mc:Fallback>
        </mc:AlternateContent>
      </w:r>
      <w:r w:rsidR="002808E4">
        <w:rPr>
          <w:rFonts w:ascii="Palatino Linotype" w:eastAsia="Palatino Linotype" w:hAnsi="Palatino Linotype" w:cs="Palatino Linotype"/>
          <w:b/>
          <w:color w:val="000000"/>
        </w:rPr>
        <w:t xml:space="preserve">“nota informativa.pdf”, </w:t>
      </w:r>
      <w:r w:rsidR="002808E4">
        <w:rPr>
          <w:rFonts w:ascii="Palatino Linotype" w:eastAsia="Palatino Linotype" w:hAnsi="Palatino Linotype" w:cs="Palatino Linotype"/>
          <w:color w:val="000000"/>
        </w:rPr>
        <w:t>consistente en una Nota Informativa,</w:t>
      </w:r>
      <w:r w:rsidR="002808E4">
        <w:rPr>
          <w:rFonts w:ascii="Palatino Linotype" w:eastAsia="Palatino Linotype" w:hAnsi="Palatino Linotype" w:cs="Palatino Linotype"/>
          <w:b/>
          <w:color w:val="000000"/>
        </w:rPr>
        <w:t xml:space="preserve"> </w:t>
      </w:r>
      <w:r w:rsidR="002808E4">
        <w:rPr>
          <w:rFonts w:ascii="Palatino Linotype" w:eastAsia="Palatino Linotype" w:hAnsi="Palatino Linotype" w:cs="Palatino Linotype"/>
          <w:color w:val="000000"/>
        </w:rPr>
        <w:t xml:space="preserve">la cual, para mayor referencia se ilustra a continuación:   </w:t>
      </w:r>
    </w:p>
    <w:p w14:paraId="3B124EE3" w14:textId="77777777" w:rsidR="00DF6FD1" w:rsidRDefault="002808E4">
      <w:pPr>
        <w:spacing w:before="240" w:after="240" w:line="360" w:lineRule="auto"/>
        <w:jc w:val="center"/>
        <w:rPr>
          <w:rFonts w:ascii="Palatino Linotype" w:eastAsia="Palatino Linotype" w:hAnsi="Palatino Linotype" w:cs="Palatino Linotype"/>
          <w:b/>
        </w:rPr>
      </w:pPr>
      <w:r>
        <w:rPr>
          <w:noProof/>
          <w:lang w:val="es-MX"/>
        </w:rPr>
        <w:lastRenderedPageBreak/>
        <w:drawing>
          <wp:inline distT="0" distB="0" distL="0" distR="0" wp14:anchorId="710AB4E5" wp14:editId="42CAB82B">
            <wp:extent cx="5539727" cy="7218834"/>
            <wp:effectExtent l="0" t="0" r="4445" b="1270"/>
            <wp:docPr id="10" name="image9.png" descr="Interfaz de usuario gráfica, Texto, Aplicación, Word&#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9.png" descr="Interfaz de usuario gráfica, Texto, Aplicación, Word&#10;&#10;Descripción generada automáticamente"/>
                    <pic:cNvPicPr preferRelativeResize="0"/>
                  </pic:nvPicPr>
                  <pic:blipFill>
                    <a:blip r:embed="rId14"/>
                    <a:srcRect l="29509" t="20638" r="32564" b="5228"/>
                    <a:stretch>
                      <a:fillRect/>
                    </a:stretch>
                  </pic:blipFill>
                  <pic:spPr>
                    <a:xfrm>
                      <a:off x="0" y="0"/>
                      <a:ext cx="5539727" cy="7218834"/>
                    </a:xfrm>
                    <a:prstGeom prst="rect">
                      <a:avLst/>
                    </a:prstGeom>
                    <a:ln/>
                  </pic:spPr>
                </pic:pic>
              </a:graphicData>
            </a:graphic>
          </wp:inline>
        </w:drawing>
      </w:r>
    </w:p>
    <w:p w14:paraId="48693E6B" w14:textId="77777777" w:rsidR="00DF6FD1" w:rsidRDefault="002808E4">
      <w:pPr>
        <w:pBdr>
          <w:top w:val="nil"/>
          <w:left w:val="nil"/>
          <w:bottom w:val="nil"/>
          <w:right w:val="nil"/>
          <w:between w:val="nil"/>
        </w:pBdr>
        <w:tabs>
          <w:tab w:val="left" w:pos="426"/>
        </w:tabs>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 xml:space="preserve">Por lo anterior, bajo ese contexto, el Pleno de este Instituto considera necesario resaltar que </w:t>
      </w:r>
      <w:r>
        <w:rPr>
          <w:rFonts w:ascii="Palatino Linotype" w:eastAsia="Palatino Linotype" w:hAnsi="Palatino Linotype" w:cs="Palatino Linotype"/>
          <w:b/>
          <w:color w:val="000000"/>
        </w:rPr>
        <w:t>EL SUJETO OBLIGADO</w:t>
      </w:r>
      <w:r>
        <w:rPr>
          <w:rFonts w:ascii="Palatino Linotype" w:eastAsia="Palatino Linotype" w:hAnsi="Palatino Linotype" w:cs="Palatino Linotype"/>
          <w:color w:val="000000"/>
        </w:rPr>
        <w:t xml:space="preserve"> </w:t>
      </w:r>
      <w:r w:rsidR="00A80864">
        <w:rPr>
          <w:rFonts w:ascii="Palatino Linotype" w:eastAsia="Palatino Linotype" w:hAnsi="Palatino Linotype" w:cs="Palatino Linotype"/>
          <w:color w:val="000000"/>
        </w:rPr>
        <w:t xml:space="preserve">a través del Comisario de la Dirección General de Seguridad Pública y Vialidad, mediante informe justificado </w:t>
      </w:r>
      <w:r>
        <w:rPr>
          <w:rFonts w:ascii="Palatino Linotype" w:eastAsia="Palatino Linotype" w:hAnsi="Palatino Linotype" w:cs="Palatino Linotype"/>
          <w:color w:val="000000"/>
        </w:rPr>
        <w:t>informó que el Reglamento de Tránsito aplicable en el municipio de Huixquilucan es el Vigente para el Estado de México y por otra parte, a través de los documentos remitidos en alcance al Informe Justificado se puso a disposición del recurrente, la información solicitada.</w:t>
      </w:r>
    </w:p>
    <w:p w14:paraId="088C748D" w14:textId="77777777" w:rsidR="00A80864" w:rsidRDefault="00A80864">
      <w:pPr>
        <w:pBdr>
          <w:top w:val="nil"/>
          <w:left w:val="nil"/>
          <w:bottom w:val="nil"/>
          <w:right w:val="nil"/>
          <w:between w:val="nil"/>
        </w:pBdr>
        <w:tabs>
          <w:tab w:val="left" w:pos="426"/>
        </w:tabs>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Al respecto, el Bando Municipal 2021 del Sujeto Obligado señala: </w:t>
      </w:r>
    </w:p>
    <w:p w14:paraId="0F600B5C" w14:textId="77777777" w:rsidR="00A80864" w:rsidRDefault="00A80864" w:rsidP="00A80864">
      <w:pPr>
        <w:pBdr>
          <w:top w:val="nil"/>
          <w:left w:val="nil"/>
          <w:bottom w:val="nil"/>
          <w:right w:val="nil"/>
          <w:between w:val="nil"/>
        </w:pBdr>
        <w:tabs>
          <w:tab w:val="left" w:pos="426"/>
        </w:tabs>
        <w:spacing w:before="240" w:after="240" w:line="360" w:lineRule="auto"/>
        <w:ind w:left="426" w:right="474"/>
        <w:jc w:val="both"/>
        <w:rPr>
          <w:rFonts w:ascii="Palatino Linotype" w:eastAsia="Palatino Linotype" w:hAnsi="Palatino Linotype" w:cs="Palatino Linotype"/>
          <w:i/>
          <w:color w:val="000000"/>
          <w:sz w:val="22"/>
          <w:szCs w:val="22"/>
        </w:rPr>
      </w:pPr>
      <w:r w:rsidRPr="00A80864">
        <w:rPr>
          <w:rFonts w:ascii="Palatino Linotype" w:eastAsia="Palatino Linotype" w:hAnsi="Palatino Linotype" w:cs="Palatino Linotype"/>
          <w:i/>
          <w:color w:val="000000"/>
          <w:sz w:val="22"/>
          <w:szCs w:val="22"/>
        </w:rPr>
        <w:t>ARTÍCULO 153.- En materia de vi</w:t>
      </w:r>
      <w:r>
        <w:rPr>
          <w:rFonts w:ascii="Palatino Linotype" w:eastAsia="Palatino Linotype" w:hAnsi="Palatino Linotype" w:cs="Palatino Linotype"/>
          <w:i/>
          <w:color w:val="000000"/>
          <w:sz w:val="22"/>
          <w:szCs w:val="22"/>
        </w:rPr>
        <w:t xml:space="preserve">alidad corresponde al Honorable </w:t>
      </w:r>
      <w:r w:rsidRPr="00A80864">
        <w:rPr>
          <w:rFonts w:ascii="Palatino Linotype" w:eastAsia="Palatino Linotype" w:hAnsi="Palatino Linotype" w:cs="Palatino Linotype"/>
          <w:i/>
          <w:color w:val="000000"/>
          <w:sz w:val="22"/>
          <w:szCs w:val="22"/>
        </w:rPr>
        <w:t>Ayuntamiento, a través de la Dirección General de Seguridad Pública y Vialidad</w:t>
      </w:r>
      <w:r>
        <w:rPr>
          <w:rFonts w:ascii="Palatino Linotype" w:eastAsia="Palatino Linotype" w:hAnsi="Palatino Linotype" w:cs="Palatino Linotype"/>
          <w:i/>
          <w:color w:val="000000"/>
          <w:sz w:val="22"/>
          <w:szCs w:val="22"/>
        </w:rPr>
        <w:t xml:space="preserve"> </w:t>
      </w:r>
      <w:r w:rsidRPr="00A80864">
        <w:rPr>
          <w:rFonts w:ascii="Palatino Linotype" w:eastAsia="Palatino Linotype" w:hAnsi="Palatino Linotype" w:cs="Palatino Linotype"/>
          <w:i/>
          <w:color w:val="000000"/>
          <w:sz w:val="22"/>
          <w:szCs w:val="22"/>
        </w:rPr>
        <w:t>vigilar la circulación de vehículos, peatones, así como conductores de servicio</w:t>
      </w:r>
      <w:r>
        <w:rPr>
          <w:rFonts w:ascii="Palatino Linotype" w:eastAsia="Palatino Linotype" w:hAnsi="Palatino Linotype" w:cs="Palatino Linotype"/>
          <w:i/>
          <w:color w:val="000000"/>
          <w:sz w:val="22"/>
          <w:szCs w:val="22"/>
        </w:rPr>
        <w:t xml:space="preserve"> </w:t>
      </w:r>
      <w:r w:rsidRPr="00A80864">
        <w:rPr>
          <w:rFonts w:ascii="Palatino Linotype" w:eastAsia="Palatino Linotype" w:hAnsi="Palatino Linotype" w:cs="Palatino Linotype"/>
          <w:i/>
          <w:color w:val="000000"/>
          <w:sz w:val="22"/>
          <w:szCs w:val="22"/>
        </w:rPr>
        <w:t>público aborden y desciendan pasaje en lugares autorizados para tal fin y</w:t>
      </w:r>
      <w:r>
        <w:rPr>
          <w:rFonts w:ascii="Palatino Linotype" w:eastAsia="Palatino Linotype" w:hAnsi="Palatino Linotype" w:cs="Palatino Linotype"/>
          <w:i/>
          <w:color w:val="000000"/>
          <w:sz w:val="22"/>
          <w:szCs w:val="22"/>
        </w:rPr>
        <w:t xml:space="preserve"> </w:t>
      </w:r>
      <w:r w:rsidRPr="00A80864">
        <w:rPr>
          <w:rFonts w:ascii="Palatino Linotype" w:eastAsia="Palatino Linotype" w:hAnsi="Palatino Linotype" w:cs="Palatino Linotype"/>
          <w:i/>
          <w:color w:val="000000"/>
          <w:sz w:val="22"/>
          <w:szCs w:val="22"/>
        </w:rPr>
        <w:t>conductores; llevar el control vehicular; vigila</w:t>
      </w:r>
      <w:r>
        <w:rPr>
          <w:rFonts w:ascii="Palatino Linotype" w:eastAsia="Palatino Linotype" w:hAnsi="Palatino Linotype" w:cs="Palatino Linotype"/>
          <w:i/>
          <w:color w:val="000000"/>
          <w:sz w:val="22"/>
          <w:szCs w:val="22"/>
        </w:rPr>
        <w:t xml:space="preserve">r el ordenamiento del tránsito; </w:t>
      </w:r>
      <w:r w:rsidRPr="00A80864">
        <w:rPr>
          <w:rFonts w:ascii="Palatino Linotype" w:eastAsia="Palatino Linotype" w:hAnsi="Palatino Linotype" w:cs="Palatino Linotype"/>
          <w:i/>
          <w:color w:val="000000"/>
          <w:sz w:val="22"/>
          <w:szCs w:val="22"/>
        </w:rPr>
        <w:t>prestar el servicio de depósito a vehículos infractores; así como la facultad de</w:t>
      </w:r>
      <w:r>
        <w:rPr>
          <w:rFonts w:ascii="Palatino Linotype" w:eastAsia="Palatino Linotype" w:hAnsi="Palatino Linotype" w:cs="Palatino Linotype"/>
          <w:i/>
          <w:color w:val="000000"/>
          <w:sz w:val="22"/>
          <w:szCs w:val="22"/>
        </w:rPr>
        <w:t xml:space="preserve"> </w:t>
      </w:r>
      <w:r w:rsidRPr="00A80864">
        <w:rPr>
          <w:rFonts w:ascii="Palatino Linotype" w:eastAsia="Palatino Linotype" w:hAnsi="Palatino Linotype" w:cs="Palatino Linotype"/>
          <w:i/>
          <w:color w:val="000000"/>
          <w:sz w:val="22"/>
          <w:szCs w:val="22"/>
        </w:rPr>
        <w:t>imponer, multas por infracciones que se cometan dentro de la jurisdicción del</w:t>
      </w:r>
      <w:r>
        <w:rPr>
          <w:rFonts w:ascii="Palatino Linotype" w:eastAsia="Palatino Linotype" w:hAnsi="Palatino Linotype" w:cs="Palatino Linotype"/>
          <w:i/>
          <w:color w:val="000000"/>
          <w:sz w:val="22"/>
          <w:szCs w:val="22"/>
        </w:rPr>
        <w:t xml:space="preserve"> </w:t>
      </w:r>
      <w:r w:rsidRPr="00A80864">
        <w:rPr>
          <w:rFonts w:ascii="Palatino Linotype" w:eastAsia="Palatino Linotype" w:hAnsi="Palatino Linotype" w:cs="Palatino Linotype"/>
          <w:i/>
          <w:color w:val="000000"/>
          <w:sz w:val="22"/>
          <w:szCs w:val="22"/>
        </w:rPr>
        <w:t>Municipio, retirar de la vía pública a los vehículos, objetos, personas, animales u</w:t>
      </w:r>
      <w:r>
        <w:rPr>
          <w:rFonts w:ascii="Palatino Linotype" w:eastAsia="Palatino Linotype" w:hAnsi="Palatino Linotype" w:cs="Palatino Linotype"/>
          <w:i/>
          <w:color w:val="000000"/>
          <w:sz w:val="22"/>
          <w:szCs w:val="22"/>
        </w:rPr>
        <w:t xml:space="preserve"> </w:t>
      </w:r>
      <w:r w:rsidRPr="00A80864">
        <w:rPr>
          <w:rFonts w:ascii="Palatino Linotype" w:eastAsia="Palatino Linotype" w:hAnsi="Palatino Linotype" w:cs="Palatino Linotype"/>
          <w:i/>
          <w:color w:val="000000"/>
          <w:sz w:val="22"/>
          <w:szCs w:val="22"/>
        </w:rPr>
        <w:t xml:space="preserve">objetos diversos, a rejas, casetas de vigilancia, </w:t>
      </w:r>
      <w:r>
        <w:rPr>
          <w:rFonts w:ascii="Palatino Linotype" w:eastAsia="Palatino Linotype" w:hAnsi="Palatino Linotype" w:cs="Palatino Linotype"/>
          <w:i/>
          <w:color w:val="000000"/>
          <w:sz w:val="22"/>
          <w:szCs w:val="22"/>
        </w:rPr>
        <w:t xml:space="preserve">plumas de acceso, delimitadores </w:t>
      </w:r>
      <w:r w:rsidRPr="00A80864">
        <w:rPr>
          <w:rFonts w:ascii="Palatino Linotype" w:eastAsia="Palatino Linotype" w:hAnsi="Palatino Linotype" w:cs="Palatino Linotype"/>
          <w:i/>
          <w:color w:val="000000"/>
          <w:sz w:val="22"/>
          <w:szCs w:val="22"/>
        </w:rPr>
        <w:t>de altura o aquellos que se encuentren anclados al suelo, que obstaculicen o</w:t>
      </w:r>
      <w:r>
        <w:rPr>
          <w:rFonts w:ascii="Palatino Linotype" w:eastAsia="Palatino Linotype" w:hAnsi="Palatino Linotype" w:cs="Palatino Linotype"/>
          <w:i/>
          <w:color w:val="000000"/>
          <w:sz w:val="22"/>
          <w:szCs w:val="22"/>
        </w:rPr>
        <w:t xml:space="preserve"> </w:t>
      </w:r>
      <w:r w:rsidRPr="00A80864">
        <w:rPr>
          <w:rFonts w:ascii="Palatino Linotype" w:eastAsia="Palatino Linotype" w:hAnsi="Palatino Linotype" w:cs="Palatino Linotype"/>
          <w:i/>
          <w:color w:val="000000"/>
          <w:sz w:val="22"/>
          <w:szCs w:val="22"/>
        </w:rPr>
        <w:t>pongan en peligro el tránsito, remitiéndolos a los depósitos correspondientes y</w:t>
      </w:r>
      <w:r>
        <w:rPr>
          <w:rFonts w:ascii="Palatino Linotype" w:eastAsia="Palatino Linotype" w:hAnsi="Palatino Linotype" w:cs="Palatino Linotype"/>
          <w:i/>
          <w:color w:val="000000"/>
          <w:sz w:val="22"/>
          <w:szCs w:val="22"/>
        </w:rPr>
        <w:t xml:space="preserve"> </w:t>
      </w:r>
      <w:r w:rsidRPr="00A80864">
        <w:rPr>
          <w:rFonts w:ascii="Palatino Linotype" w:eastAsia="Palatino Linotype" w:hAnsi="Palatino Linotype" w:cs="Palatino Linotype"/>
          <w:i/>
          <w:color w:val="000000"/>
          <w:sz w:val="22"/>
          <w:szCs w:val="22"/>
        </w:rPr>
        <w:t>presentando a las personas ante las autoridades competentes en caso de delito</w:t>
      </w:r>
      <w:r>
        <w:rPr>
          <w:rFonts w:ascii="Palatino Linotype" w:eastAsia="Palatino Linotype" w:hAnsi="Palatino Linotype" w:cs="Palatino Linotype"/>
          <w:i/>
          <w:color w:val="000000"/>
          <w:sz w:val="22"/>
          <w:szCs w:val="22"/>
        </w:rPr>
        <w:t xml:space="preserve"> </w:t>
      </w:r>
      <w:r w:rsidRPr="00A80864">
        <w:rPr>
          <w:rFonts w:ascii="Palatino Linotype" w:eastAsia="Palatino Linotype" w:hAnsi="Palatino Linotype" w:cs="Palatino Linotype"/>
          <w:i/>
          <w:color w:val="000000"/>
          <w:sz w:val="22"/>
          <w:szCs w:val="22"/>
        </w:rPr>
        <w:t>o falta grave, aplicando el Reglamento de Tránsito del Estado de México y los</w:t>
      </w:r>
      <w:r>
        <w:rPr>
          <w:rFonts w:ascii="Palatino Linotype" w:eastAsia="Palatino Linotype" w:hAnsi="Palatino Linotype" w:cs="Palatino Linotype"/>
          <w:i/>
          <w:color w:val="000000"/>
          <w:sz w:val="22"/>
          <w:szCs w:val="22"/>
        </w:rPr>
        <w:t xml:space="preserve"> demás ordenamientos vigentes.</w:t>
      </w:r>
    </w:p>
    <w:p w14:paraId="72A07C7F" w14:textId="77777777" w:rsidR="00A80864" w:rsidRDefault="00A80864" w:rsidP="00A80864">
      <w:pPr>
        <w:pBdr>
          <w:top w:val="nil"/>
          <w:left w:val="nil"/>
          <w:bottom w:val="nil"/>
          <w:right w:val="nil"/>
          <w:between w:val="nil"/>
        </w:pBdr>
        <w:tabs>
          <w:tab w:val="left" w:pos="426"/>
        </w:tabs>
        <w:spacing w:before="240" w:after="240" w:line="360" w:lineRule="auto"/>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p>
    <w:p w14:paraId="11D4F732" w14:textId="77777777" w:rsidR="00A80864" w:rsidRDefault="00A80864">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 lo anterior se advierte que el área competente para conocer la información, fue quien proporcionó la respuesta a la solicitud formulada por el RECURRENTE, de </w:t>
      </w:r>
      <w:r>
        <w:rPr>
          <w:rFonts w:ascii="Palatino Linotype" w:eastAsia="Palatino Linotype" w:hAnsi="Palatino Linotype" w:cs="Palatino Linotype"/>
        </w:rPr>
        <w:lastRenderedPageBreak/>
        <w:t>tal suerte que se puede afirmar que el SUJETO OBLIGADO</w:t>
      </w:r>
      <w:r w:rsidRPr="00A80864">
        <w:rPr>
          <w:rFonts w:ascii="Palatino Linotype" w:eastAsia="Palatino Linotype" w:hAnsi="Palatino Linotype" w:cs="Palatino Linotype"/>
        </w:rPr>
        <w:t xml:space="preserve"> siguió el procedimiento establecido en los artículos 160 y 162 de la Ley de Transparencia y Acceso a la Información Pública del Estado de México y Municipios, los cuales disponen que los Sujetos Obligados deben otorgar acceso a los documentos que obren en sus archivos y que las unidades de transparencia deberán garantizar que las solicitudes se turnen a todas las áreas competentes.</w:t>
      </w:r>
    </w:p>
    <w:p w14:paraId="321BF1BC" w14:textId="77777777" w:rsidR="00DF6FD1" w:rsidRDefault="002808E4">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En virtud de lo anterior</w:t>
      </w:r>
      <w:r w:rsidR="00A80864">
        <w:rPr>
          <w:rFonts w:ascii="Palatino Linotype" w:eastAsia="Palatino Linotype" w:hAnsi="Palatino Linotype" w:cs="Palatino Linotype"/>
        </w:rPr>
        <w:t>, y al existir un pronunciamiento por el área competente del SUJETO OBLIGADO</w:t>
      </w:r>
      <w:r>
        <w:rPr>
          <w:rFonts w:ascii="Palatino Linotype" w:eastAsia="Palatino Linotype" w:hAnsi="Palatino Linotype" w:cs="Palatino Linotype"/>
        </w:rPr>
        <w:t xml:space="preserve"> y considerando que este Instituto no está facultado para pronunciarse sobre la veracidad de la respuesta emitida por </w:t>
      </w:r>
      <w:r w:rsidR="00CB65B3">
        <w:rPr>
          <w:rFonts w:ascii="Palatino Linotype" w:eastAsia="Palatino Linotype" w:hAnsi="Palatino Linotype" w:cs="Palatino Linotype"/>
          <w:b/>
        </w:rPr>
        <w:t xml:space="preserve">EL SUJETO OBLIGADO. </w:t>
      </w:r>
      <w:r>
        <w:rPr>
          <w:rFonts w:ascii="Palatino Linotype" w:eastAsia="Palatino Linotype" w:hAnsi="Palatino Linotype" w:cs="Palatino Linotype"/>
        </w:rPr>
        <w:t>Sirve de apoyo a lo anterior por analogía el criterio 31-10 emitido por el entonces Instituto Federal de Acceso a la Información y Protección de Datos, que a la letra dice:</w:t>
      </w:r>
    </w:p>
    <w:p w14:paraId="75159874" w14:textId="77777777" w:rsidR="00DF6FD1" w:rsidRDefault="002808E4">
      <w:pPr>
        <w:spacing w:before="240" w:after="240"/>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0"/>
          <w:szCs w:val="20"/>
        </w:rPr>
        <w:t xml:space="preserve"> </w:t>
      </w: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El Instituto Federal de Acceso a la Información y Protección de Datos no cuenta con facultades para pronunciarse respecto de la veracidad de los documentos proporcionados por los sujetos obligados</w:t>
      </w:r>
      <w:r>
        <w:rPr>
          <w:rFonts w:ascii="Palatino Linotype" w:eastAsia="Palatino Linotype" w:hAnsi="Palatino Linotype" w:cs="Palatino Linotype"/>
          <w:i/>
          <w:sz w:val="22"/>
          <w:szCs w:val="22"/>
        </w:rPr>
        <w:t>.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58868E34" w14:textId="77777777" w:rsidR="00DF6FD1" w:rsidRDefault="002808E4">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 tal </w:t>
      </w:r>
      <w:r w:rsidR="00CB65B3">
        <w:rPr>
          <w:rFonts w:ascii="Palatino Linotype" w:eastAsia="Palatino Linotype" w:hAnsi="Palatino Linotype" w:cs="Palatino Linotype"/>
        </w:rPr>
        <w:t>manera, es evidente que con lo manifestado en el informe justificado y el los documentos remitidos en alcance</w:t>
      </w:r>
      <w:r>
        <w:rPr>
          <w:rFonts w:ascii="Palatino Linotype" w:eastAsia="Palatino Linotype" w:hAnsi="Palatino Linotype" w:cs="Palatino Linotype"/>
        </w:rPr>
        <w:t xml:space="preserve"> queda sin materia el presente recurso de revisión, </w:t>
      </w:r>
      <w:r>
        <w:rPr>
          <w:rFonts w:ascii="Palatino Linotype" w:eastAsia="Palatino Linotype" w:hAnsi="Palatino Linotype" w:cs="Palatino Linotype"/>
        </w:rPr>
        <w:lastRenderedPageBreak/>
        <w:t>ya que la inconformidad, se subsanó con la información entregada en el apartado de manifestaciones del SAIMEX, que fue puesta a la vista del recurrente y el cual no formuló alegato alguno respecto de la misma, dentro del plazo concedido para tal efecto, por lo que es dable advertir que se encuentra satisfecho.</w:t>
      </w:r>
    </w:p>
    <w:p w14:paraId="3D0A48AB" w14:textId="77777777" w:rsidR="00DF6FD1" w:rsidRDefault="002808E4">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Por lo antes descrito, se puede señalar que </w:t>
      </w:r>
      <w:r>
        <w:rPr>
          <w:rFonts w:ascii="Palatino Linotype" w:eastAsia="Palatino Linotype" w:hAnsi="Palatino Linotype" w:cs="Palatino Linotype"/>
          <w:color w:val="000000"/>
        </w:rPr>
        <w:t xml:space="preserve">los rubros de la solicitud fueron solventados en su totalidad por </w:t>
      </w:r>
      <w:r>
        <w:rPr>
          <w:rFonts w:ascii="Palatino Linotype" w:eastAsia="Palatino Linotype" w:hAnsi="Palatino Linotype" w:cs="Palatino Linotype"/>
          <w:b/>
          <w:color w:val="000000"/>
        </w:rPr>
        <w:t>EL SUJETO OBLIGADO</w:t>
      </w:r>
      <w:r>
        <w:rPr>
          <w:rFonts w:ascii="Palatino Linotype" w:eastAsia="Palatino Linotype" w:hAnsi="Palatino Linotype" w:cs="Palatino Linotype"/>
        </w:rPr>
        <w:t xml:space="preserve">, los cuales fueron puestos a la vista de </w:t>
      </w:r>
      <w:r>
        <w:rPr>
          <w:rFonts w:ascii="Palatino Linotype" w:eastAsia="Palatino Linotype" w:hAnsi="Palatino Linotype" w:cs="Palatino Linotype"/>
          <w:b/>
        </w:rPr>
        <w:t>LA RECURRENTE</w:t>
      </w:r>
      <w:r>
        <w:rPr>
          <w:rFonts w:ascii="Palatino Linotype" w:eastAsia="Palatino Linotype" w:hAnsi="Palatino Linotype" w:cs="Palatino Linotype"/>
        </w:rPr>
        <w:t xml:space="preserve">, a efecto que presentara las manifestaciones que a sus intereses conviniera, circunstancia que no fue desahogada, como se acredita con las constancias que integran el expediente del recurso de revisión al rubro citado. </w:t>
      </w:r>
    </w:p>
    <w:p w14:paraId="4E92918D" w14:textId="77777777" w:rsidR="00DF6FD1" w:rsidRDefault="002808E4">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Por lo que, de conformidad con lo anterior, podemos apreciar que si bien </w:t>
      </w:r>
      <w:r>
        <w:rPr>
          <w:rFonts w:ascii="Palatino Linotype" w:eastAsia="Palatino Linotype" w:hAnsi="Palatino Linotype" w:cs="Palatino Linotype"/>
          <w:b/>
        </w:rPr>
        <w:t>EL SUJETO OBLIGADO</w:t>
      </w:r>
      <w:r>
        <w:rPr>
          <w:rFonts w:ascii="Palatino Linotype" w:eastAsia="Palatino Linotype" w:hAnsi="Palatino Linotype" w:cs="Palatino Linotype"/>
        </w:rPr>
        <w:t xml:space="preserve"> fue omiso en satisfacer en un primer momento </w:t>
      </w:r>
      <w:r w:rsidR="00CB65B3">
        <w:rPr>
          <w:rFonts w:ascii="Palatino Linotype" w:eastAsia="Palatino Linotype" w:hAnsi="Palatino Linotype" w:cs="Palatino Linotype"/>
        </w:rPr>
        <w:t>la totalidad d</w:t>
      </w:r>
      <w:r>
        <w:rPr>
          <w:rFonts w:ascii="Palatino Linotype" w:eastAsia="Palatino Linotype" w:hAnsi="Palatino Linotype" w:cs="Palatino Linotype"/>
        </w:rPr>
        <w:t xml:space="preserve">el derecho de acceso a la información de </w:t>
      </w:r>
      <w:r>
        <w:rPr>
          <w:rFonts w:ascii="Palatino Linotype" w:eastAsia="Palatino Linotype" w:hAnsi="Palatino Linotype" w:cs="Palatino Linotype"/>
          <w:b/>
        </w:rPr>
        <w:t>EL RECURRENTE</w:t>
      </w:r>
      <w:r>
        <w:rPr>
          <w:rFonts w:ascii="Palatino Linotype" w:eastAsia="Palatino Linotype" w:hAnsi="Palatino Linotype" w:cs="Palatino Linotype"/>
        </w:rPr>
        <w:t xml:space="preserve">, al hacer entrega parcial de la información, posteriormente en la etapa de manifestaciones, subsana su actuar, al hacer entrega de la información requerida por </w:t>
      </w:r>
      <w:r>
        <w:rPr>
          <w:rFonts w:ascii="Palatino Linotype" w:eastAsia="Palatino Linotype" w:hAnsi="Palatino Linotype" w:cs="Palatino Linotype"/>
          <w:b/>
        </w:rPr>
        <w:t>EL RECURRENTE</w:t>
      </w:r>
      <w:r>
        <w:rPr>
          <w:rFonts w:ascii="Palatino Linotype" w:eastAsia="Palatino Linotype" w:hAnsi="Palatino Linotype" w:cs="Palatino Linotype"/>
        </w:rPr>
        <w:t>, en consecuencia, resulta de observancia lo establecido en la fracción III del artículo 192 de la Ley de Transparencia y Acceso a la Información Pública del Estado de México y Municipios vigente, que a la letra señala:</w:t>
      </w:r>
    </w:p>
    <w:p w14:paraId="67E6A85C" w14:textId="77777777" w:rsidR="00DF6FD1" w:rsidRDefault="002808E4">
      <w:pPr>
        <w:ind w:left="709" w:right="900"/>
        <w:jc w:val="both"/>
        <w:rPr>
          <w:rFonts w:ascii="Palatino Linotype" w:eastAsia="Palatino Linotype" w:hAnsi="Palatino Linotype" w:cs="Palatino Linotype"/>
          <w:i/>
        </w:rPr>
      </w:pPr>
      <w:r>
        <w:rPr>
          <w:rFonts w:ascii="Palatino Linotype" w:eastAsia="Palatino Linotype" w:hAnsi="Palatino Linotype" w:cs="Palatino Linotype"/>
          <w:i/>
        </w:rPr>
        <w:t>“</w:t>
      </w:r>
      <w:r>
        <w:rPr>
          <w:rFonts w:ascii="Palatino Linotype" w:eastAsia="Palatino Linotype" w:hAnsi="Palatino Linotype" w:cs="Palatino Linotype"/>
          <w:b/>
          <w:i/>
        </w:rPr>
        <w:t>Artículo 192.</w:t>
      </w:r>
      <w:r>
        <w:rPr>
          <w:rFonts w:ascii="Palatino Linotype" w:eastAsia="Palatino Linotype" w:hAnsi="Palatino Linotype" w:cs="Palatino Linotype"/>
          <w:i/>
        </w:rPr>
        <w:t xml:space="preserve"> El </w:t>
      </w:r>
      <w:r>
        <w:rPr>
          <w:rFonts w:ascii="Palatino Linotype" w:eastAsia="Palatino Linotype" w:hAnsi="Palatino Linotype" w:cs="Palatino Linotype"/>
          <w:b/>
          <w:i/>
        </w:rPr>
        <w:t>recurso será sobreseído</w:t>
      </w:r>
      <w:r>
        <w:rPr>
          <w:rFonts w:ascii="Palatino Linotype" w:eastAsia="Palatino Linotype" w:hAnsi="Palatino Linotype" w:cs="Palatino Linotype"/>
          <w:i/>
        </w:rPr>
        <w:t>, en todo o en parte, cuando una vez admitido, se actualicen alguno de los siguientes supuestos:</w:t>
      </w:r>
    </w:p>
    <w:p w14:paraId="16D5BEF8" w14:textId="77777777" w:rsidR="00DF6FD1" w:rsidRDefault="002808E4">
      <w:pPr>
        <w:ind w:left="709" w:right="900"/>
        <w:jc w:val="both"/>
        <w:rPr>
          <w:rFonts w:ascii="Palatino Linotype" w:eastAsia="Palatino Linotype" w:hAnsi="Palatino Linotype" w:cs="Palatino Linotype"/>
          <w:i/>
        </w:rPr>
      </w:pPr>
      <w:r>
        <w:rPr>
          <w:rFonts w:ascii="Palatino Linotype" w:eastAsia="Palatino Linotype" w:hAnsi="Palatino Linotype" w:cs="Palatino Linotype"/>
          <w:i/>
        </w:rPr>
        <w:t>[…]</w:t>
      </w:r>
    </w:p>
    <w:p w14:paraId="210BF900" w14:textId="77777777" w:rsidR="00DF6FD1" w:rsidRDefault="002808E4">
      <w:pPr>
        <w:ind w:left="709" w:right="900"/>
        <w:jc w:val="both"/>
        <w:rPr>
          <w:rFonts w:ascii="Palatino Linotype" w:eastAsia="Palatino Linotype" w:hAnsi="Palatino Linotype" w:cs="Palatino Linotype"/>
          <w:i/>
        </w:rPr>
      </w:pPr>
      <w:r>
        <w:rPr>
          <w:rFonts w:ascii="Palatino Linotype" w:eastAsia="Palatino Linotype" w:hAnsi="Palatino Linotype" w:cs="Palatino Linotype"/>
          <w:i/>
        </w:rPr>
        <w:t xml:space="preserve">III. </w:t>
      </w:r>
      <w:r>
        <w:rPr>
          <w:rFonts w:ascii="Palatino Linotype" w:eastAsia="Palatino Linotype" w:hAnsi="Palatino Linotype" w:cs="Palatino Linotype"/>
          <w:b/>
          <w:i/>
        </w:rPr>
        <w:t>El sujeto obligado responsable del acto lo modifique o revoque de tal manera que el recurso de revisión quede sin materia</w:t>
      </w:r>
      <w:r>
        <w:rPr>
          <w:rFonts w:ascii="Palatino Linotype" w:eastAsia="Palatino Linotype" w:hAnsi="Palatino Linotype" w:cs="Palatino Linotype"/>
          <w:i/>
        </w:rPr>
        <w:t>;</w:t>
      </w:r>
    </w:p>
    <w:p w14:paraId="635C44B9" w14:textId="77777777" w:rsidR="00DF6FD1" w:rsidRDefault="00DF6FD1">
      <w:pPr>
        <w:ind w:left="709" w:right="900"/>
        <w:jc w:val="both"/>
        <w:rPr>
          <w:rFonts w:ascii="Palatino Linotype" w:eastAsia="Palatino Linotype" w:hAnsi="Palatino Linotype" w:cs="Palatino Linotype"/>
          <w:i/>
        </w:rPr>
      </w:pPr>
    </w:p>
    <w:p w14:paraId="65C5513C" w14:textId="77777777" w:rsidR="00DF6FD1" w:rsidRDefault="002808E4">
      <w:pPr>
        <w:ind w:left="709" w:right="900"/>
        <w:jc w:val="both"/>
        <w:rPr>
          <w:rFonts w:ascii="Palatino Linotype" w:eastAsia="Palatino Linotype" w:hAnsi="Palatino Linotype" w:cs="Palatino Linotype"/>
          <w:i/>
        </w:rPr>
      </w:pPr>
      <w:r>
        <w:rPr>
          <w:rFonts w:ascii="Palatino Linotype" w:eastAsia="Palatino Linotype" w:hAnsi="Palatino Linotype" w:cs="Palatino Linotype"/>
          <w:i/>
        </w:rPr>
        <w:t>(Énfasis añadido)</w:t>
      </w:r>
    </w:p>
    <w:p w14:paraId="5DCA5771" w14:textId="77777777" w:rsidR="00DF6FD1" w:rsidRDefault="00DF6FD1">
      <w:pPr>
        <w:spacing w:line="360" w:lineRule="auto"/>
        <w:ind w:left="709" w:right="900"/>
        <w:jc w:val="both"/>
        <w:rPr>
          <w:rFonts w:ascii="Palatino Linotype" w:eastAsia="Palatino Linotype" w:hAnsi="Palatino Linotype" w:cs="Palatino Linotype"/>
          <w:i/>
        </w:rPr>
      </w:pPr>
    </w:p>
    <w:p w14:paraId="3689726D" w14:textId="77777777" w:rsidR="00DF6FD1" w:rsidRDefault="002808E4">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Precepto normativo, que consagra la procedencia para sobreseer el recurso de revisión cuando una vez admitido, </w:t>
      </w:r>
      <w:r>
        <w:rPr>
          <w:rFonts w:ascii="Palatino Linotype" w:eastAsia="Palatino Linotype" w:hAnsi="Palatino Linotype" w:cs="Palatino Linotype"/>
          <w:b/>
        </w:rPr>
        <w:t>EL SUJETO OBLIGADO</w:t>
      </w:r>
      <w:r>
        <w:rPr>
          <w:rFonts w:ascii="Palatino Linotype" w:eastAsia="Palatino Linotype" w:hAnsi="Palatino Linotype" w:cs="Palatino Linotype"/>
        </w:rPr>
        <w:t xml:space="preserve"> modifique o revoque su acto, de tal manera que el recurso de revisión quede sin materia y/o que </w:t>
      </w:r>
      <w:r>
        <w:rPr>
          <w:rFonts w:ascii="Palatino Linotype" w:eastAsia="Palatino Linotype" w:hAnsi="Palatino Linotype" w:cs="Palatino Linotype"/>
          <w:b/>
        </w:rPr>
        <w:t xml:space="preserve">EL RECURRENTE </w:t>
      </w:r>
      <w:r>
        <w:rPr>
          <w:rFonts w:ascii="Palatino Linotype" w:eastAsia="Palatino Linotype" w:hAnsi="Palatino Linotype" w:cs="Palatino Linotype"/>
        </w:rPr>
        <w:t>realice una ampliación de su solicitud en el recurso de revisión, respecto de nuevos contenidos, circunstancias que acontecieron y quedaron claramente demostradas.</w:t>
      </w:r>
    </w:p>
    <w:p w14:paraId="51F79A69" w14:textId="77777777" w:rsidR="00DF6FD1" w:rsidRDefault="002808E4">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resumen, el Sujeto Obligado dio respuesta completa a la solicitud de acceso a la información pública de </w:t>
      </w:r>
      <w:r>
        <w:rPr>
          <w:rFonts w:ascii="Palatino Linotype" w:eastAsia="Palatino Linotype" w:hAnsi="Palatino Linotype" w:cs="Palatino Linotype"/>
          <w:b/>
        </w:rPr>
        <w:t>LA RECURRENTE</w:t>
      </w:r>
      <w:r>
        <w:rPr>
          <w:rFonts w:ascii="Palatino Linotype" w:eastAsia="Palatino Linotype" w:hAnsi="Palatino Linotype" w:cs="Palatino Linotype"/>
        </w:rPr>
        <w:t>; aunque ello haya sido de manera po</w:t>
      </w:r>
      <w:r w:rsidR="00CB65B3">
        <w:rPr>
          <w:rFonts w:ascii="Palatino Linotype" w:eastAsia="Palatino Linotype" w:hAnsi="Palatino Linotype" w:cs="Palatino Linotype"/>
        </w:rPr>
        <w:t xml:space="preserve">sterior a su respuesta inicial. </w:t>
      </w:r>
      <w:r>
        <w:rPr>
          <w:rFonts w:ascii="Palatino Linotype" w:eastAsia="Palatino Linotype" w:hAnsi="Palatino Linotype" w:cs="Palatino Linotype"/>
        </w:rPr>
        <w:t xml:space="preserve">Siendo el </w:t>
      </w:r>
      <w:r>
        <w:rPr>
          <w:rFonts w:ascii="Palatino Linotype" w:eastAsia="Palatino Linotype" w:hAnsi="Palatino Linotype" w:cs="Palatino Linotype"/>
          <w:i/>
        </w:rPr>
        <w:t>sobreseimiento</w:t>
      </w:r>
      <w:r>
        <w:rPr>
          <w:rFonts w:ascii="Palatino Linotype" w:eastAsia="Palatino Linotype" w:hAnsi="Palatino Linotype" w:cs="Palatino Linotype"/>
        </w:rPr>
        <w:t xml:space="preserve"> un acto que da por terminado el procedimiento administrativo de impugnación sin resolver el fondo de la cuestión planteada, por presentarse causas que impiden a la autoridad referirse a lo sustancial de lo planteado por el recurrente, los efectos del sobreseimiento son los dar por concluido el recurso administrativo sin entrar al estudio de fondo del asunto de que se trate; lo anterior con apoyo en el criterio del Poder Judicial de la Federación con rubro:</w:t>
      </w:r>
    </w:p>
    <w:p w14:paraId="22EB8DAE" w14:textId="77777777" w:rsidR="00DF6FD1" w:rsidRDefault="002808E4">
      <w:pPr>
        <w:ind w:left="851" w:right="851"/>
        <w:jc w:val="both"/>
        <w:rPr>
          <w:rFonts w:ascii="Palatino Linotype" w:eastAsia="Palatino Linotype" w:hAnsi="Palatino Linotype" w:cs="Palatino Linotype"/>
          <w:b/>
        </w:rPr>
      </w:pPr>
      <w:r>
        <w:rPr>
          <w:rFonts w:ascii="Palatino Linotype" w:eastAsia="Palatino Linotype" w:hAnsi="Palatino Linotype" w:cs="Palatino Linotype"/>
          <w:sz w:val="22"/>
          <w:szCs w:val="22"/>
        </w:rPr>
        <w:t>“</w:t>
      </w:r>
      <w:r>
        <w:rPr>
          <w:rFonts w:ascii="Palatino Linotype" w:eastAsia="Palatino Linotype" w:hAnsi="Palatino Linotype" w:cs="Palatino Linotype"/>
          <w:b/>
          <w:sz w:val="22"/>
          <w:szCs w:val="22"/>
        </w:rPr>
        <w:t>SOBRESEIMIENTO, NO PERMITE ENTRAR AL ESTUDIO DE LAS CUESTIONES DE FONDO</w:t>
      </w:r>
    </w:p>
    <w:p w14:paraId="41A71664" w14:textId="77777777" w:rsidR="00DF6FD1" w:rsidRDefault="00DF6FD1">
      <w:pPr>
        <w:ind w:left="851" w:right="851"/>
        <w:jc w:val="both"/>
        <w:rPr>
          <w:rFonts w:ascii="Palatino Linotype" w:eastAsia="Palatino Linotype" w:hAnsi="Palatino Linotype" w:cs="Palatino Linotype"/>
          <w:i/>
          <w:sz w:val="22"/>
          <w:szCs w:val="22"/>
        </w:rPr>
      </w:pPr>
    </w:p>
    <w:p w14:paraId="4212CD6C" w14:textId="77777777" w:rsidR="00DF6FD1" w:rsidRDefault="002808E4">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Localización: 213609. II.2o.183 K. Tribunales Colegiados de Circuito. Octava Época. Semanario Judicial de la Federación. Tomo XIII, Febrero de 1994, Pág. 420</w:t>
      </w:r>
    </w:p>
    <w:p w14:paraId="665F92EE" w14:textId="77777777" w:rsidR="00DF6FD1" w:rsidRDefault="002808E4">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Cuerpo de tesis: No causa agravio la sentencia que no se ocupa de los razonamientos tendientes a demostrar la inconstitucionalidad de los actos reclamados de las autoridades responsables, que constituyen el problema de fondo, si se decreta el sobreseimiento del juicio.” (Sic)</w:t>
      </w:r>
    </w:p>
    <w:p w14:paraId="7B94A779" w14:textId="77777777" w:rsidR="00DF6FD1" w:rsidRDefault="00DF6FD1">
      <w:pPr>
        <w:ind w:left="851" w:right="851"/>
        <w:jc w:val="both"/>
        <w:rPr>
          <w:rFonts w:ascii="Palatino Linotype" w:eastAsia="Palatino Linotype" w:hAnsi="Palatino Linotype" w:cs="Palatino Linotype"/>
          <w:i/>
          <w:sz w:val="22"/>
          <w:szCs w:val="22"/>
        </w:rPr>
      </w:pPr>
    </w:p>
    <w:p w14:paraId="10E9C632" w14:textId="77777777" w:rsidR="00DF6FD1" w:rsidRDefault="00DF6FD1">
      <w:pPr>
        <w:ind w:left="567" w:right="567"/>
        <w:jc w:val="both"/>
        <w:rPr>
          <w:rFonts w:ascii="Palatino Linotype" w:eastAsia="Palatino Linotype" w:hAnsi="Palatino Linotype" w:cs="Palatino Linotype"/>
          <w:i/>
          <w:sz w:val="22"/>
          <w:szCs w:val="22"/>
        </w:rPr>
      </w:pPr>
    </w:p>
    <w:p w14:paraId="73651BBE" w14:textId="77777777" w:rsidR="00DF6FD1" w:rsidRDefault="002808E4">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Cabe destacar que la decisión de este órgano colegiado de sobreseer el recurso de revisión no implica una limitación o negación a la justicia, según lo ha establecido el Poder Judicial Federal, en el criterio que es aplicable por analogía, con rubro:</w:t>
      </w:r>
    </w:p>
    <w:p w14:paraId="08E62EFB" w14:textId="77777777" w:rsidR="00DF6FD1" w:rsidRDefault="002808E4">
      <w:pPr>
        <w:ind w:left="851" w:right="851"/>
        <w:jc w:val="both"/>
        <w:rPr>
          <w:rFonts w:ascii="Palatino Linotype" w:eastAsia="Palatino Linotype" w:hAnsi="Palatino Linotype" w:cs="Palatino Linotype"/>
          <w:b/>
          <w:i/>
          <w:sz w:val="22"/>
          <w:szCs w:val="22"/>
        </w:rPr>
      </w:pPr>
      <w:r>
        <w:rPr>
          <w:rFonts w:ascii="Palatino Linotype" w:eastAsia="Palatino Linotype" w:hAnsi="Palatino Linotype" w:cs="Palatino Linotype"/>
        </w:rPr>
        <w:t xml:space="preserve"> </w:t>
      </w: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DESECHAMIENTO O SOBRESEIMIENTO EN EL JUICIO DE AMPARO. NO IMPLICA DENEGACIÓN DE JUSTICIA NI GENERA INSEGURIDAD JURÍDICA”</w:t>
      </w:r>
    </w:p>
    <w:p w14:paraId="01A4F67B" w14:textId="77777777" w:rsidR="00DF6FD1" w:rsidRDefault="00DF6FD1">
      <w:pPr>
        <w:ind w:left="851" w:right="851"/>
        <w:jc w:val="both"/>
        <w:rPr>
          <w:rFonts w:ascii="Palatino Linotype" w:eastAsia="Palatino Linotype" w:hAnsi="Palatino Linotype" w:cs="Palatino Linotype"/>
          <w:i/>
          <w:sz w:val="22"/>
          <w:szCs w:val="22"/>
        </w:rPr>
      </w:pPr>
    </w:p>
    <w:p w14:paraId="30906F01" w14:textId="77777777" w:rsidR="00DF6FD1" w:rsidRDefault="002808E4">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Cuerpo de la tesis: Cuando se desecha una demanda de amparo o se sobresee en el juicio, ello no implica denegar justicia ni genera inseguridad jurídica, ya que la obligación de los tribunales no es tramitar y resolver en el fondo todos los asuntos sometidos a su consideración en forma favorable a los intereses del solicitante, sino que se circunscribe a la posibilidad que tiene cualquier individuo de acudir ante los órganos jurisdiccionales, con su promoción (demanda), a la cual debe darse el trámite acorde a las formalidades rectoras del procedimiento respectivo, dentro de las cuales el legislador previó las causales de improcedencia y sobreseimiento. Así, cuando el juzgador o tribunal de amparo se funda en una de ellas para desechar o sobreseer en un juicio, imparte justicia, puesto que el acceso a ella no se ve menoscabado, sino que es efectivo, ni se deja en estado de indefensión al promovente, no obstante sea desfavorable, al no poder negar que se da respuesta a la petición de amparo, con independencia de que no comparta el sentido de la resolución, dado que de esa forma quien imparte justicia se pronuncia sobre la acción, diciendo así el derecho y permitiendo que impere el orden jurídico.” (Sic)</w:t>
      </w:r>
    </w:p>
    <w:p w14:paraId="2FFF342F" w14:textId="77777777" w:rsidR="00DF6FD1" w:rsidRDefault="002808E4">
      <w:pPr>
        <w:shd w:val="clear" w:color="auto" w:fill="FFFFFF"/>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Así, con fundamento en lo prescrito en los artículos 5 párrafos </w:t>
      </w:r>
      <w:r>
        <w:rPr>
          <w:rFonts w:ascii="Palatino Linotype" w:eastAsia="Palatino Linotype" w:hAnsi="Palatino Linotype" w:cs="Palatino Linotype"/>
          <w:highlight w:val="white"/>
        </w:rPr>
        <w:t>trigésimo, trigésimo primero y trigésimo segundo</w:t>
      </w:r>
      <w:r>
        <w:rPr>
          <w:rFonts w:ascii="Palatino Linotype" w:eastAsia="Palatino Linotype" w:hAnsi="Palatino Linotype" w:cs="Palatino Linotype"/>
        </w:rPr>
        <w:t xml:space="preserve"> de la Constitución Política del Estado Libre y Soberano de México; 2, fracción II; 29, 36 fracciones I y II; 176,</w:t>
      </w:r>
      <w:r w:rsidR="00CB65B3">
        <w:rPr>
          <w:rFonts w:ascii="Palatino Linotype" w:eastAsia="Palatino Linotype" w:hAnsi="Palatino Linotype" w:cs="Palatino Linotype"/>
        </w:rPr>
        <w:t xml:space="preserve"> 178, 179, fracción I, 181, 185, </w:t>
      </w:r>
      <w:r w:rsidR="00CB65B3" w:rsidRPr="00CD3CA5">
        <w:rPr>
          <w:rFonts w:eastAsia="Calibri" w:cs="Tahoma"/>
          <w:bCs/>
          <w:color w:val="000000"/>
          <w:lang w:eastAsia="es-ES_tradnl"/>
        </w:rPr>
        <w:t>186, fracción I y 192</w:t>
      </w:r>
      <w:r w:rsidR="00CB65B3">
        <w:rPr>
          <w:rFonts w:eastAsia="Calibri" w:cs="Tahoma"/>
          <w:bCs/>
          <w:color w:val="000000"/>
          <w:lang w:eastAsia="es-ES_tradnl"/>
        </w:rPr>
        <w:t>,</w:t>
      </w:r>
      <w:r w:rsidR="00CB65B3" w:rsidRPr="00CD3CA5">
        <w:rPr>
          <w:rFonts w:eastAsia="Calibri" w:cs="Tahoma"/>
          <w:bCs/>
          <w:color w:val="000000"/>
          <w:lang w:eastAsia="es-ES_tradnl"/>
        </w:rPr>
        <w:t xml:space="preserve"> fracción III,</w:t>
      </w:r>
      <w:r w:rsidR="00CB65B3">
        <w:rPr>
          <w:rFonts w:eastAsia="Calibri" w:cs="Tahoma"/>
          <w:bCs/>
          <w:color w:val="000000"/>
          <w:lang w:eastAsia="es-ES_tradnl"/>
        </w:rPr>
        <w:t xml:space="preserve"> </w:t>
      </w:r>
      <w:r>
        <w:rPr>
          <w:rFonts w:ascii="Palatino Linotype" w:eastAsia="Palatino Linotype" w:hAnsi="Palatino Linotype" w:cs="Palatino Linotype"/>
        </w:rPr>
        <w:t>de la Ley de Transparencia y Acceso a la Información Pública del Estado de México y Municipios, este Pleno:</w:t>
      </w:r>
    </w:p>
    <w:p w14:paraId="6C81C49A" w14:textId="77777777" w:rsidR="00DF6FD1" w:rsidRDefault="002808E4">
      <w:pPr>
        <w:pBdr>
          <w:top w:val="nil"/>
          <w:left w:val="nil"/>
          <w:bottom w:val="nil"/>
          <w:right w:val="nil"/>
          <w:between w:val="nil"/>
        </w:pBdr>
        <w:spacing w:before="240" w:after="240" w:line="360" w:lineRule="auto"/>
        <w:jc w:val="center"/>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R E S U E L V E</w:t>
      </w:r>
    </w:p>
    <w:p w14:paraId="4960421E" w14:textId="77777777" w:rsidR="00DF6FD1" w:rsidRDefault="002808E4">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PRIMERO</w:t>
      </w:r>
      <w:r>
        <w:rPr>
          <w:rFonts w:ascii="Palatino Linotype" w:eastAsia="Palatino Linotype" w:hAnsi="Palatino Linotype" w:cs="Palatino Linotype"/>
        </w:rPr>
        <w:t xml:space="preserve">. Se </w:t>
      </w:r>
      <w:r>
        <w:rPr>
          <w:rFonts w:ascii="Palatino Linotype" w:eastAsia="Palatino Linotype" w:hAnsi="Palatino Linotype" w:cs="Palatino Linotype"/>
          <w:b/>
        </w:rPr>
        <w:t>SOBRESEE</w:t>
      </w:r>
      <w:r>
        <w:rPr>
          <w:rFonts w:ascii="Palatino Linotype" w:eastAsia="Palatino Linotype" w:hAnsi="Palatino Linotype" w:cs="Palatino Linotype"/>
        </w:rPr>
        <w:t xml:space="preserve"> el recurso de revisión </w:t>
      </w:r>
      <w:r w:rsidR="00CB65B3">
        <w:rPr>
          <w:rFonts w:ascii="Palatino Linotype" w:eastAsia="Palatino Linotype" w:hAnsi="Palatino Linotype" w:cs="Palatino Linotype"/>
          <w:b/>
        </w:rPr>
        <w:t>05379</w:t>
      </w:r>
      <w:r>
        <w:rPr>
          <w:rFonts w:ascii="Palatino Linotype" w:eastAsia="Palatino Linotype" w:hAnsi="Palatino Linotype" w:cs="Palatino Linotype"/>
          <w:b/>
        </w:rPr>
        <w:t>/INFOEM/IP/RR/2021</w:t>
      </w:r>
      <w:r>
        <w:rPr>
          <w:rFonts w:ascii="Palatino Linotype" w:eastAsia="Palatino Linotype" w:hAnsi="Palatino Linotype" w:cs="Palatino Linotype"/>
        </w:rPr>
        <w:t>, porque</w:t>
      </w:r>
      <w:r w:rsidR="00CB65B3">
        <w:rPr>
          <w:rFonts w:ascii="Palatino Linotype" w:eastAsia="Palatino Linotype" w:hAnsi="Palatino Linotype" w:cs="Palatino Linotype"/>
        </w:rPr>
        <w:t xml:space="preserve"> </w:t>
      </w:r>
      <w:r>
        <w:rPr>
          <w:rFonts w:ascii="Palatino Linotype" w:eastAsia="Palatino Linotype" w:hAnsi="Palatino Linotype" w:cs="Palatino Linotype"/>
        </w:rPr>
        <w:t>al modificar la respuesta</w:t>
      </w:r>
      <w:r w:rsidR="00CB65B3">
        <w:rPr>
          <w:rFonts w:ascii="Palatino Linotype" w:eastAsia="Palatino Linotype" w:hAnsi="Palatino Linotype" w:cs="Palatino Linotype"/>
        </w:rPr>
        <w:t xml:space="preserve"> el SUJETO OBLIGADO</w:t>
      </w:r>
      <w:r>
        <w:rPr>
          <w:rFonts w:ascii="Palatino Linotype" w:eastAsia="Palatino Linotype" w:hAnsi="Palatino Linotype" w:cs="Palatino Linotype"/>
        </w:rPr>
        <w:t xml:space="preserve">, el recurso de revisión </w:t>
      </w:r>
      <w:r>
        <w:rPr>
          <w:rFonts w:ascii="Palatino Linotype" w:eastAsia="Palatino Linotype" w:hAnsi="Palatino Linotype" w:cs="Palatino Linotype"/>
        </w:rPr>
        <w:lastRenderedPageBreak/>
        <w:t xml:space="preserve">quedó sin materia, en términos de lo expuesto en el Considerando </w:t>
      </w:r>
      <w:r>
        <w:rPr>
          <w:rFonts w:ascii="Palatino Linotype" w:eastAsia="Palatino Linotype" w:hAnsi="Palatino Linotype" w:cs="Palatino Linotype"/>
          <w:b/>
        </w:rPr>
        <w:t>Tercero</w:t>
      </w:r>
      <w:r>
        <w:rPr>
          <w:rFonts w:ascii="Palatino Linotype" w:eastAsia="Palatino Linotype" w:hAnsi="Palatino Linotype" w:cs="Palatino Linotype"/>
        </w:rPr>
        <w:t xml:space="preserve"> de la presente resolución.</w:t>
      </w:r>
    </w:p>
    <w:p w14:paraId="0CD54601" w14:textId="77777777" w:rsidR="00DF6FD1" w:rsidRDefault="002808E4">
      <w:pPr>
        <w:tabs>
          <w:tab w:val="left" w:pos="8647"/>
        </w:tabs>
        <w:spacing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b/>
          <w:sz w:val="28"/>
          <w:szCs w:val="28"/>
        </w:rPr>
        <w:t>SEGUNDO</w:t>
      </w:r>
      <w:r>
        <w:rPr>
          <w:rFonts w:ascii="Palatino Linotype" w:eastAsia="Palatino Linotype" w:hAnsi="Palatino Linotype" w:cs="Palatino Linotype"/>
          <w:b/>
        </w:rPr>
        <w:t>.</w:t>
      </w:r>
      <w:r>
        <w:rPr>
          <w:rFonts w:ascii="Palatino Linotype" w:eastAsia="Palatino Linotype" w:hAnsi="Palatino Linotype" w:cs="Palatino Linotype"/>
        </w:rPr>
        <w:t xml:space="preserve"> </w:t>
      </w:r>
      <w:r>
        <w:rPr>
          <w:rFonts w:ascii="Palatino Linotype" w:eastAsia="Palatino Linotype" w:hAnsi="Palatino Linotype" w:cs="Palatino Linotype"/>
          <w:b/>
        </w:rPr>
        <w:t>Notifíquese</w:t>
      </w:r>
      <w:r>
        <w:rPr>
          <w:rFonts w:ascii="Palatino Linotype" w:eastAsia="Palatino Linotype" w:hAnsi="Palatino Linotype" w:cs="Palatino Linotype"/>
        </w:rPr>
        <w:t xml:space="preserve"> vía </w:t>
      </w:r>
      <w:r>
        <w:rPr>
          <w:rFonts w:ascii="Palatino Linotype" w:eastAsia="Palatino Linotype" w:hAnsi="Palatino Linotype" w:cs="Palatino Linotype"/>
          <w:b/>
        </w:rPr>
        <w:t xml:space="preserve">SAIMEX </w:t>
      </w:r>
      <w:r>
        <w:rPr>
          <w:rFonts w:ascii="Palatino Linotype" w:eastAsia="Palatino Linotype" w:hAnsi="Palatino Linotype" w:cs="Palatino Linotype"/>
        </w:rPr>
        <w:t xml:space="preserve">la presente resolución a la Titular de la Unidad de Transparencia del </w:t>
      </w:r>
      <w:r>
        <w:rPr>
          <w:rFonts w:ascii="Palatino Linotype" w:eastAsia="Palatino Linotype" w:hAnsi="Palatino Linotype" w:cs="Palatino Linotype"/>
          <w:b/>
        </w:rPr>
        <w:t>SUJETO OBLIGADO</w:t>
      </w:r>
      <w:r>
        <w:rPr>
          <w:rFonts w:ascii="Palatino Linotype" w:eastAsia="Palatino Linotype" w:hAnsi="Palatino Linotype" w:cs="Palatino Linotype"/>
        </w:rPr>
        <w:t>, para su conocimiento, lo anterior en términos del artículo 189 de la Ley de Transparencia y Acceso a la Información Pública del Estado de México y Municipios.</w:t>
      </w:r>
    </w:p>
    <w:p w14:paraId="6CEB4451" w14:textId="77777777" w:rsidR="00DF6FD1" w:rsidRDefault="00DF6FD1">
      <w:pPr>
        <w:tabs>
          <w:tab w:val="left" w:pos="8647"/>
        </w:tabs>
        <w:spacing w:line="360" w:lineRule="auto"/>
        <w:ind w:right="51"/>
        <w:jc w:val="both"/>
        <w:rPr>
          <w:rFonts w:ascii="Palatino Linotype" w:eastAsia="Palatino Linotype" w:hAnsi="Palatino Linotype" w:cs="Palatino Linotype"/>
        </w:rPr>
      </w:pPr>
    </w:p>
    <w:p w14:paraId="18A8BADC" w14:textId="77777777" w:rsidR="00DF6FD1" w:rsidRDefault="002808E4">
      <w:pPr>
        <w:tabs>
          <w:tab w:val="left" w:pos="8647"/>
        </w:tabs>
        <w:spacing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b/>
        </w:rPr>
        <w:t>TERCERO. Notifíquese, vía SAIMEX a EL RECURRENTE</w:t>
      </w:r>
      <w:r>
        <w:rPr>
          <w:rFonts w:ascii="Palatino Linotype" w:eastAsia="Palatino Linotype" w:hAnsi="Palatino Linotype" w:cs="Palatino Linotype"/>
        </w:rPr>
        <w:t xml:space="preserve"> la presente resolución y hágase del conocimiento que en caso de que considere que la presente resolución le causa algún perjuicio, podrá promover el Juicio de Amparo en los términos de las leyes aplicables, de acuerdo a lo estipulado por el artículo 196 de la Ley de Transparencia y Acceso a la Información Pública del Estado de México y Municipios.</w:t>
      </w:r>
    </w:p>
    <w:p w14:paraId="1C153EE6" w14:textId="77777777" w:rsidR="00CB65B3" w:rsidRDefault="00CB65B3">
      <w:pPr>
        <w:tabs>
          <w:tab w:val="left" w:pos="8647"/>
        </w:tabs>
        <w:spacing w:line="360" w:lineRule="auto"/>
        <w:ind w:right="51"/>
        <w:jc w:val="both"/>
        <w:rPr>
          <w:rFonts w:ascii="Palatino Linotype" w:eastAsia="Palatino Linotype" w:hAnsi="Palatino Linotype" w:cs="Palatino Linotype"/>
        </w:rPr>
      </w:pPr>
    </w:p>
    <w:p w14:paraId="761AC123" w14:textId="77777777" w:rsidR="00CB65B3" w:rsidRPr="00CD3CA5" w:rsidRDefault="00CB65B3" w:rsidP="00CB65B3">
      <w:pPr>
        <w:spacing w:line="360" w:lineRule="auto"/>
        <w:contextualSpacing/>
        <w:jc w:val="both"/>
        <w:rPr>
          <w:rFonts w:cs="Tahoma"/>
          <w:bCs/>
          <w:iCs/>
        </w:rPr>
      </w:pPr>
      <w:r w:rsidRPr="00CD3CA5">
        <w:rPr>
          <w:rFonts w:cs="Tahoma"/>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(AUSENCIA JUSTIFICADA), LUIS GUSTAVO PARRA NORIEGA Y</w:t>
      </w:r>
      <w:r>
        <w:rPr>
          <w:rFonts w:cs="Tahoma"/>
        </w:rPr>
        <w:t xml:space="preserve"> GUADALUPE RAMÍREZ PEÑA; EN LA TERCERA</w:t>
      </w:r>
      <w:r w:rsidRPr="00CD3CA5">
        <w:rPr>
          <w:rFonts w:cs="Tahoma"/>
        </w:rPr>
        <w:t xml:space="preserve"> SESIÓN ORDINARIA, CELEBRADA EL </w:t>
      </w:r>
      <w:r>
        <w:rPr>
          <w:rFonts w:cs="Tahoma"/>
        </w:rPr>
        <w:t xml:space="preserve">VEINTISIETE </w:t>
      </w:r>
      <w:r w:rsidRPr="00CD3CA5">
        <w:rPr>
          <w:rFonts w:cs="Tahoma"/>
        </w:rPr>
        <w:t>DE ENERO DE DOS MIL VEINTIDOS ANTE EL SECRETARIO TÉCNICO DEL PLENO ALEXIS TAPIA RAMÍREZ.</w:t>
      </w:r>
    </w:p>
    <w:p w14:paraId="7B7055C5" w14:textId="77777777" w:rsidR="003218B2" w:rsidRDefault="003218B2" w:rsidP="00CB65B3">
      <w:pPr>
        <w:spacing w:line="360" w:lineRule="auto"/>
        <w:contextualSpacing/>
        <w:sectPr w:rsidR="003218B2">
          <w:headerReference w:type="default" r:id="rId15"/>
          <w:footerReference w:type="default" r:id="rId16"/>
          <w:headerReference w:type="first" r:id="rId17"/>
          <w:footerReference w:type="first" r:id="rId18"/>
          <w:pgSz w:w="12240" w:h="15840"/>
          <w:pgMar w:top="1418" w:right="1701" w:bottom="1418" w:left="1701" w:header="709" w:footer="709" w:gutter="0"/>
          <w:pgNumType w:start="1"/>
          <w:cols w:space="720"/>
          <w:titlePg/>
        </w:sectPr>
      </w:pPr>
    </w:p>
    <w:p w14:paraId="1F9762BA" w14:textId="77777777" w:rsidR="00CB65B3" w:rsidRPr="00CD3CA5" w:rsidRDefault="00CB65B3" w:rsidP="00CB65B3">
      <w:pPr>
        <w:spacing w:line="360" w:lineRule="auto"/>
        <w:contextualSpacing/>
      </w:pPr>
    </w:p>
    <w:p w14:paraId="0DB32C4D" w14:textId="77777777" w:rsidR="00DF6FD1" w:rsidRDefault="00DF6FD1">
      <w:pPr>
        <w:spacing w:before="240" w:after="240" w:line="360" w:lineRule="auto"/>
        <w:jc w:val="both"/>
        <w:rPr>
          <w:rFonts w:ascii="Palatino Linotype" w:eastAsia="Palatino Linotype" w:hAnsi="Palatino Linotype" w:cs="Palatino Linotype"/>
        </w:rPr>
      </w:pPr>
    </w:p>
    <w:p w14:paraId="2DB73853" w14:textId="77777777" w:rsidR="00DF6FD1" w:rsidRDefault="00DF6FD1">
      <w:pPr>
        <w:spacing w:before="240" w:after="240" w:line="360" w:lineRule="auto"/>
        <w:jc w:val="both"/>
        <w:rPr>
          <w:rFonts w:ascii="Palatino Linotype" w:eastAsia="Palatino Linotype" w:hAnsi="Palatino Linotype" w:cs="Palatino Linotype"/>
        </w:rPr>
      </w:pPr>
    </w:p>
    <w:p w14:paraId="68F8A463" w14:textId="77777777" w:rsidR="00DF6FD1" w:rsidRDefault="00DF6FD1">
      <w:pPr>
        <w:spacing w:before="240" w:after="240" w:line="360" w:lineRule="auto"/>
        <w:jc w:val="both"/>
        <w:rPr>
          <w:rFonts w:ascii="Palatino Linotype" w:eastAsia="Palatino Linotype" w:hAnsi="Palatino Linotype" w:cs="Palatino Linotype"/>
        </w:rPr>
      </w:pPr>
    </w:p>
    <w:p w14:paraId="25C75ACF" w14:textId="77777777" w:rsidR="00DF6FD1" w:rsidRDefault="00DF6FD1">
      <w:pPr>
        <w:spacing w:before="240" w:after="240" w:line="360" w:lineRule="auto"/>
        <w:jc w:val="both"/>
        <w:rPr>
          <w:rFonts w:ascii="Palatino Linotype" w:eastAsia="Palatino Linotype" w:hAnsi="Palatino Linotype" w:cs="Palatino Linotype"/>
        </w:rPr>
      </w:pPr>
    </w:p>
    <w:p w14:paraId="6BF37FCD" w14:textId="77777777" w:rsidR="00DF6FD1" w:rsidRDefault="002808E4">
      <w:pPr>
        <w:tabs>
          <w:tab w:val="left" w:pos="5565"/>
        </w:tabs>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b/>
      </w:r>
    </w:p>
    <w:sectPr w:rsidR="00DF6FD1">
      <w:headerReference w:type="first" r:id="rId19"/>
      <w:footerReference w:type="first" r:id="rId20"/>
      <w:pgSz w:w="12240" w:h="15840"/>
      <w:pgMar w:top="1418" w:right="1701" w:bottom="1418"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4EF5CC" w14:textId="77777777" w:rsidR="00DF4D9E" w:rsidRDefault="00DF4D9E">
      <w:r>
        <w:separator/>
      </w:r>
    </w:p>
  </w:endnote>
  <w:endnote w:type="continuationSeparator" w:id="0">
    <w:p w14:paraId="376E1255" w14:textId="77777777" w:rsidR="00DF4D9E" w:rsidRDefault="00DF4D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E30299" w14:textId="77777777" w:rsidR="00DF6FD1" w:rsidRDefault="002808E4">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FC58DA">
      <w:rPr>
        <w:rFonts w:ascii="Arial" w:eastAsia="Arial" w:hAnsi="Arial" w:cs="Arial"/>
        <w:b/>
        <w:noProof/>
        <w:color w:val="000000"/>
        <w:sz w:val="20"/>
        <w:szCs w:val="20"/>
      </w:rPr>
      <w:t>13</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FC58DA">
      <w:rPr>
        <w:rFonts w:ascii="Arial" w:eastAsia="Arial" w:hAnsi="Arial" w:cs="Arial"/>
        <w:b/>
        <w:noProof/>
        <w:color w:val="000000"/>
        <w:sz w:val="20"/>
        <w:szCs w:val="20"/>
      </w:rPr>
      <w:t>29</w:t>
    </w:r>
    <w:r>
      <w:rPr>
        <w:rFonts w:ascii="Arial" w:eastAsia="Arial" w:hAnsi="Arial" w:cs="Arial"/>
        <w:b/>
        <w:color w:val="000000"/>
        <w:sz w:val="20"/>
        <w:szCs w:val="20"/>
      </w:rPr>
      <w:fldChar w:fldCharType="end"/>
    </w:r>
  </w:p>
  <w:p w14:paraId="2EE790EF" w14:textId="77777777" w:rsidR="00DF6FD1" w:rsidRDefault="00DF6FD1">
    <w:pPr>
      <w:pBdr>
        <w:top w:val="nil"/>
        <w:left w:val="nil"/>
        <w:bottom w:val="nil"/>
        <w:right w:val="nil"/>
        <w:between w:val="nil"/>
      </w:pBdr>
      <w:tabs>
        <w:tab w:val="center" w:pos="4252"/>
        <w:tab w:val="right" w:pos="8504"/>
      </w:tabs>
      <w:rPr>
        <w:color w:val="000000"/>
      </w:rPr>
    </w:pPr>
  </w:p>
  <w:p w14:paraId="04AFE324" w14:textId="77777777" w:rsidR="00DF6FD1" w:rsidRDefault="00DF6FD1">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214E51" w14:textId="77777777" w:rsidR="00DF6FD1" w:rsidRDefault="002808E4">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FC58DA">
      <w:rPr>
        <w:rFonts w:ascii="Arial" w:eastAsia="Arial" w:hAnsi="Arial" w:cs="Arial"/>
        <w:b/>
        <w:noProof/>
        <w:color w:val="000000"/>
        <w:sz w:val="20"/>
        <w:szCs w:val="20"/>
      </w:rPr>
      <w:t>1</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FC58DA">
      <w:rPr>
        <w:rFonts w:ascii="Arial" w:eastAsia="Arial" w:hAnsi="Arial" w:cs="Arial"/>
        <w:b/>
        <w:noProof/>
        <w:color w:val="000000"/>
        <w:sz w:val="20"/>
        <w:szCs w:val="20"/>
      </w:rPr>
      <w:t>29</w:t>
    </w:r>
    <w:r>
      <w:rPr>
        <w:rFonts w:ascii="Arial" w:eastAsia="Arial" w:hAnsi="Arial" w:cs="Arial"/>
        <w:b/>
        <w:color w:val="000000"/>
        <w:sz w:val="20"/>
        <w:szCs w:val="20"/>
      </w:rPr>
      <w:fldChar w:fldCharType="end"/>
    </w:r>
  </w:p>
  <w:p w14:paraId="78C653C9" w14:textId="77777777" w:rsidR="00DF6FD1" w:rsidRDefault="00DF6FD1">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38966" w14:textId="77777777" w:rsidR="003218B2" w:rsidRDefault="003218B2">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0CC6DF" w14:textId="77777777" w:rsidR="00DF4D9E" w:rsidRDefault="00DF4D9E">
      <w:r>
        <w:separator/>
      </w:r>
    </w:p>
  </w:footnote>
  <w:footnote w:type="continuationSeparator" w:id="0">
    <w:p w14:paraId="377F13EA" w14:textId="77777777" w:rsidR="00DF4D9E" w:rsidRDefault="00DF4D9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48A911" w14:textId="77777777" w:rsidR="00DF6FD1" w:rsidRDefault="00DF6FD1">
    <w:pPr>
      <w:widowControl w:val="0"/>
      <w:pBdr>
        <w:top w:val="nil"/>
        <w:left w:val="nil"/>
        <w:bottom w:val="nil"/>
        <w:right w:val="nil"/>
        <w:between w:val="nil"/>
      </w:pBdr>
      <w:spacing w:line="276" w:lineRule="auto"/>
      <w:rPr>
        <w:rFonts w:ascii="Cambria" w:eastAsia="Cambria" w:hAnsi="Cambria" w:cs="Cambria"/>
        <w:color w:val="000000"/>
      </w:rPr>
    </w:pPr>
  </w:p>
  <w:tbl>
    <w:tblPr>
      <w:tblStyle w:val="a0"/>
      <w:tblW w:w="6240" w:type="dxa"/>
      <w:tblInd w:w="3746" w:type="dxa"/>
      <w:tblLayout w:type="fixed"/>
      <w:tblLook w:val="0400" w:firstRow="0" w:lastRow="0" w:firstColumn="0" w:lastColumn="0" w:noHBand="0" w:noVBand="1"/>
    </w:tblPr>
    <w:tblGrid>
      <w:gridCol w:w="2553"/>
      <w:gridCol w:w="3687"/>
    </w:tblGrid>
    <w:tr w:rsidR="00DF6FD1" w14:paraId="109ECD6C" w14:textId="77777777">
      <w:tc>
        <w:tcPr>
          <w:tcW w:w="2553" w:type="dxa"/>
          <w:vAlign w:val="center"/>
        </w:tcPr>
        <w:p w14:paraId="248AC95E" w14:textId="77777777" w:rsidR="00DF6FD1" w:rsidRDefault="002808E4">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687" w:type="dxa"/>
          <w:vAlign w:val="center"/>
        </w:tcPr>
        <w:p w14:paraId="7B5BECF8" w14:textId="77777777" w:rsidR="00DF6FD1" w:rsidRDefault="002808E4">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05379/INFOEM/IP/RR/2021</w:t>
          </w:r>
        </w:p>
      </w:tc>
    </w:tr>
    <w:tr w:rsidR="00DF6FD1" w14:paraId="552581A8" w14:textId="77777777">
      <w:trPr>
        <w:trHeight w:val="228"/>
      </w:trPr>
      <w:tc>
        <w:tcPr>
          <w:tcW w:w="2553" w:type="dxa"/>
          <w:vAlign w:val="center"/>
        </w:tcPr>
        <w:p w14:paraId="373B6E4B" w14:textId="77777777" w:rsidR="00DF6FD1" w:rsidRDefault="002808E4">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687" w:type="dxa"/>
          <w:vAlign w:val="center"/>
        </w:tcPr>
        <w:p w14:paraId="7E0306B6" w14:textId="77777777" w:rsidR="00DF6FD1" w:rsidRDefault="002808E4">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Huixquilucan</w:t>
          </w:r>
        </w:p>
      </w:tc>
    </w:tr>
    <w:tr w:rsidR="00DF6FD1" w14:paraId="33B4BF30" w14:textId="77777777">
      <w:tc>
        <w:tcPr>
          <w:tcW w:w="2553" w:type="dxa"/>
          <w:vAlign w:val="center"/>
        </w:tcPr>
        <w:p w14:paraId="1AEBE885" w14:textId="77777777" w:rsidR="00DF6FD1" w:rsidRDefault="002808E4">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687" w:type="dxa"/>
          <w:vAlign w:val="center"/>
        </w:tcPr>
        <w:p w14:paraId="6743EBAA" w14:textId="77777777" w:rsidR="00DF6FD1" w:rsidRDefault="002808E4">
          <w:pPr>
            <w:ind w:right="-533"/>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38175387" w14:textId="77777777" w:rsidR="00DF6FD1" w:rsidRDefault="002808E4">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rFonts w:ascii="Cambria" w:eastAsia="Cambria" w:hAnsi="Cambria" w:cs="Cambria"/>
        <w:color w:val="000000"/>
      </w:rPr>
      <w:tab/>
    </w:r>
    <w:r>
      <w:rPr>
        <w:noProof/>
        <w:lang w:val="es-MX"/>
      </w:rPr>
      <w:drawing>
        <wp:anchor distT="0" distB="0" distL="0" distR="0" simplePos="0" relativeHeight="251658240" behindDoc="1" locked="0" layoutInCell="1" hidden="0" allowOverlap="1" wp14:anchorId="55AFCDE9" wp14:editId="547B4127">
          <wp:simplePos x="0" y="0"/>
          <wp:positionH relativeFrom="column">
            <wp:posOffset>-1028699</wp:posOffset>
          </wp:positionH>
          <wp:positionV relativeFrom="paragraph">
            <wp:posOffset>-1027429</wp:posOffset>
          </wp:positionV>
          <wp:extent cx="7635875" cy="9943465"/>
          <wp:effectExtent l="0" t="0" r="0" b="0"/>
          <wp:wrapNone/>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635875" cy="9943465"/>
                  </a:xfrm>
                  <a:prstGeom prst="rect">
                    <a:avLst/>
                  </a:prstGeom>
                  <a:ln/>
                </pic:spPr>
              </pic:pic>
            </a:graphicData>
          </a:graphic>
        </wp:anchor>
      </w:drawing>
    </w:r>
  </w:p>
  <w:p w14:paraId="71EC39A2" w14:textId="77777777" w:rsidR="00DF6FD1" w:rsidRDefault="00DF6FD1">
    <w:pPr>
      <w:pBdr>
        <w:top w:val="nil"/>
        <w:left w:val="nil"/>
        <w:bottom w:val="nil"/>
        <w:right w:val="nil"/>
        <w:between w:val="nil"/>
      </w:pBdr>
      <w:tabs>
        <w:tab w:val="center" w:pos="4252"/>
        <w:tab w:val="right" w:pos="8504"/>
        <w:tab w:val="left" w:pos="2326"/>
      </w:tabs>
      <w:rPr>
        <w:rFonts w:ascii="Cambria" w:eastAsia="Cambria" w:hAnsi="Cambria" w:cs="Cambria"/>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87FCB0" w14:textId="77777777" w:rsidR="00DF6FD1" w:rsidRDefault="002808E4">
    <w:pPr>
      <w:pBdr>
        <w:top w:val="nil"/>
        <w:left w:val="nil"/>
        <w:bottom w:val="nil"/>
        <w:right w:val="nil"/>
        <w:between w:val="nil"/>
      </w:pBdr>
      <w:tabs>
        <w:tab w:val="center" w:pos="4252"/>
        <w:tab w:val="right" w:pos="8504"/>
      </w:tabs>
      <w:jc w:val="both"/>
      <w:rPr>
        <w:rFonts w:ascii="Cambria" w:eastAsia="Cambria" w:hAnsi="Cambria" w:cs="Cambria"/>
        <w:color w:val="000000"/>
      </w:rPr>
    </w:pPr>
    <w:r>
      <w:rPr>
        <w:rFonts w:ascii="Cambria" w:eastAsia="Cambria" w:hAnsi="Cambria" w:cs="Cambria"/>
        <w:color w:val="000000"/>
      </w:rPr>
      <w:t xml:space="preserve">                                  </w:t>
    </w:r>
    <w:r>
      <w:rPr>
        <w:noProof/>
        <w:lang w:val="es-MX"/>
      </w:rPr>
      <w:drawing>
        <wp:anchor distT="0" distB="0" distL="0" distR="0" simplePos="0" relativeHeight="251659264" behindDoc="1" locked="0" layoutInCell="1" hidden="0" allowOverlap="1" wp14:anchorId="177F6962" wp14:editId="0DFAA3E1">
          <wp:simplePos x="0" y="0"/>
          <wp:positionH relativeFrom="column">
            <wp:posOffset>-1080134</wp:posOffset>
          </wp:positionH>
          <wp:positionV relativeFrom="paragraph">
            <wp:posOffset>-393699</wp:posOffset>
          </wp:positionV>
          <wp:extent cx="7635875" cy="9943465"/>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635875" cy="9943465"/>
                  </a:xfrm>
                  <a:prstGeom prst="rect">
                    <a:avLst/>
                  </a:prstGeom>
                  <a:ln/>
                </pic:spPr>
              </pic:pic>
            </a:graphicData>
          </a:graphic>
        </wp:anchor>
      </w:drawing>
    </w:r>
  </w:p>
  <w:tbl>
    <w:tblPr>
      <w:tblStyle w:val="a"/>
      <w:tblW w:w="6240" w:type="dxa"/>
      <w:tblInd w:w="3685" w:type="dxa"/>
      <w:tblLayout w:type="fixed"/>
      <w:tblLook w:val="0400" w:firstRow="0" w:lastRow="0" w:firstColumn="0" w:lastColumn="0" w:noHBand="0" w:noVBand="1"/>
    </w:tblPr>
    <w:tblGrid>
      <w:gridCol w:w="2553"/>
      <w:gridCol w:w="3687"/>
    </w:tblGrid>
    <w:tr w:rsidR="00DF6FD1" w14:paraId="2C79CBD7" w14:textId="77777777">
      <w:tc>
        <w:tcPr>
          <w:tcW w:w="2553" w:type="dxa"/>
          <w:vAlign w:val="center"/>
        </w:tcPr>
        <w:p w14:paraId="6FF59140" w14:textId="77777777" w:rsidR="00DF6FD1" w:rsidRDefault="002808E4">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687" w:type="dxa"/>
          <w:vAlign w:val="center"/>
        </w:tcPr>
        <w:p w14:paraId="3AD22F9F" w14:textId="77777777" w:rsidR="00DF6FD1" w:rsidRDefault="002808E4">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05379/INFOEM/IP/RR/2021</w:t>
          </w:r>
        </w:p>
      </w:tc>
    </w:tr>
    <w:tr w:rsidR="00DF6FD1" w14:paraId="38AB4D06" w14:textId="77777777">
      <w:tc>
        <w:tcPr>
          <w:tcW w:w="2553" w:type="dxa"/>
          <w:vAlign w:val="center"/>
        </w:tcPr>
        <w:p w14:paraId="578DD238" w14:textId="77777777" w:rsidR="00DF6FD1" w:rsidRDefault="002808E4">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687" w:type="dxa"/>
          <w:vAlign w:val="center"/>
        </w:tcPr>
        <w:p w14:paraId="76C68362" w14:textId="77777777" w:rsidR="00DF6FD1" w:rsidRDefault="004A5E58">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X</w:t>
          </w:r>
          <w:r w:rsidR="0081020A">
            <w:rPr>
              <w:rFonts w:ascii="Palatino Linotype" w:eastAsia="Palatino Linotype" w:hAnsi="Palatino Linotype" w:cs="Palatino Linotype"/>
              <w:b/>
              <w:sz w:val="22"/>
              <w:szCs w:val="22"/>
            </w:rPr>
            <w:t>XXXXXXXXXXXXXXXXXX</w:t>
          </w:r>
        </w:p>
      </w:tc>
    </w:tr>
    <w:tr w:rsidR="00DF6FD1" w14:paraId="32EB623C" w14:textId="77777777">
      <w:trPr>
        <w:trHeight w:val="228"/>
      </w:trPr>
      <w:tc>
        <w:tcPr>
          <w:tcW w:w="2553" w:type="dxa"/>
          <w:vAlign w:val="center"/>
        </w:tcPr>
        <w:p w14:paraId="1EB6B3ED" w14:textId="77777777" w:rsidR="00DF6FD1" w:rsidRDefault="002808E4">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687" w:type="dxa"/>
          <w:vAlign w:val="center"/>
        </w:tcPr>
        <w:p w14:paraId="62214F48" w14:textId="77777777" w:rsidR="00DF6FD1" w:rsidRDefault="002808E4">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Huixquilucan</w:t>
          </w:r>
        </w:p>
      </w:tc>
    </w:tr>
    <w:tr w:rsidR="00DF6FD1" w14:paraId="47A124FF" w14:textId="77777777">
      <w:tc>
        <w:tcPr>
          <w:tcW w:w="2553" w:type="dxa"/>
          <w:vAlign w:val="center"/>
        </w:tcPr>
        <w:p w14:paraId="0B2472EA" w14:textId="77777777" w:rsidR="00DF6FD1" w:rsidRDefault="002808E4">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687" w:type="dxa"/>
          <w:vAlign w:val="center"/>
        </w:tcPr>
        <w:p w14:paraId="105929B1" w14:textId="77777777" w:rsidR="00DF6FD1" w:rsidRDefault="002808E4">
          <w:pPr>
            <w:ind w:right="-533"/>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0C151F3C" w14:textId="77777777" w:rsidR="00DF6FD1" w:rsidRDefault="00DF6FD1">
    <w:pPr>
      <w:pBdr>
        <w:top w:val="nil"/>
        <w:left w:val="nil"/>
        <w:bottom w:val="nil"/>
        <w:right w:val="nil"/>
        <w:between w:val="nil"/>
      </w:pBdr>
      <w:tabs>
        <w:tab w:val="center" w:pos="4252"/>
        <w:tab w:val="right" w:pos="8504"/>
      </w:tabs>
      <w:rPr>
        <w:rFonts w:ascii="Cambria" w:eastAsia="Cambria" w:hAnsi="Cambria" w:cs="Cambria"/>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AE0694" w14:textId="77777777" w:rsidR="003218B2" w:rsidRDefault="003218B2">
    <w:pPr>
      <w:pBdr>
        <w:top w:val="nil"/>
        <w:left w:val="nil"/>
        <w:bottom w:val="nil"/>
        <w:right w:val="nil"/>
        <w:between w:val="nil"/>
      </w:pBdr>
      <w:tabs>
        <w:tab w:val="center" w:pos="4252"/>
        <w:tab w:val="right" w:pos="8504"/>
      </w:tabs>
      <w:jc w:val="both"/>
      <w:rPr>
        <w:rFonts w:ascii="Cambria" w:eastAsia="Cambria" w:hAnsi="Cambria" w:cs="Cambria"/>
        <w:color w:val="000000"/>
      </w:rPr>
    </w:pPr>
    <w:r>
      <w:rPr>
        <w:rFonts w:ascii="Cambria" w:eastAsia="Cambria" w:hAnsi="Cambria" w:cs="Cambria"/>
        <w:color w:val="000000"/>
      </w:rPr>
      <w:t xml:space="preserve">                                  </w:t>
    </w:r>
  </w:p>
  <w:p w14:paraId="0B3F0D4C" w14:textId="77777777" w:rsidR="003218B2" w:rsidRDefault="003218B2">
    <w:pPr>
      <w:pBdr>
        <w:top w:val="nil"/>
        <w:left w:val="nil"/>
        <w:bottom w:val="nil"/>
        <w:right w:val="nil"/>
        <w:between w:val="nil"/>
      </w:pBdr>
      <w:tabs>
        <w:tab w:val="center" w:pos="4252"/>
        <w:tab w:val="right" w:pos="8504"/>
      </w:tabs>
      <w:rPr>
        <w:rFonts w:ascii="Cambria" w:eastAsia="Cambria" w:hAnsi="Cambria" w:cs="Cambria"/>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DA3E05"/>
    <w:multiLevelType w:val="multilevel"/>
    <w:tmpl w:val="F4E46FCA"/>
    <w:lvl w:ilvl="0">
      <w:start w:val="5"/>
      <w:numFmt w:val="upperRoman"/>
      <w:lvlText w:val="%1."/>
      <w:lvlJc w:val="left"/>
      <w:pPr>
        <w:ind w:left="1854"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21D468B7"/>
    <w:multiLevelType w:val="multilevel"/>
    <w:tmpl w:val="E766B276"/>
    <w:lvl w:ilvl="0">
      <w:start w:val="1"/>
      <w:numFmt w:val="upperLetter"/>
      <w:lvlText w:val="%1."/>
      <w:lvlJc w:val="left"/>
      <w:pPr>
        <w:ind w:left="784" w:hanging="359"/>
      </w:pPr>
    </w:lvl>
    <w:lvl w:ilvl="1">
      <w:start w:val="1"/>
      <w:numFmt w:val="lowerLetter"/>
      <w:lvlText w:val="%2."/>
      <w:lvlJc w:val="left"/>
      <w:pPr>
        <w:ind w:left="1504" w:hanging="360"/>
      </w:pPr>
    </w:lvl>
    <w:lvl w:ilvl="2">
      <w:start w:val="1"/>
      <w:numFmt w:val="lowerRoman"/>
      <w:lvlText w:val="%3."/>
      <w:lvlJc w:val="right"/>
      <w:pPr>
        <w:ind w:left="2224" w:hanging="180"/>
      </w:pPr>
    </w:lvl>
    <w:lvl w:ilvl="3">
      <w:start w:val="1"/>
      <w:numFmt w:val="decimal"/>
      <w:lvlText w:val="%4."/>
      <w:lvlJc w:val="left"/>
      <w:pPr>
        <w:ind w:left="2944" w:hanging="360"/>
      </w:pPr>
    </w:lvl>
    <w:lvl w:ilvl="4">
      <w:start w:val="1"/>
      <w:numFmt w:val="lowerLetter"/>
      <w:lvlText w:val="%5."/>
      <w:lvlJc w:val="left"/>
      <w:pPr>
        <w:ind w:left="3664" w:hanging="360"/>
      </w:pPr>
    </w:lvl>
    <w:lvl w:ilvl="5">
      <w:start w:val="1"/>
      <w:numFmt w:val="lowerRoman"/>
      <w:lvlText w:val="%6."/>
      <w:lvlJc w:val="right"/>
      <w:pPr>
        <w:ind w:left="4384" w:hanging="180"/>
      </w:pPr>
    </w:lvl>
    <w:lvl w:ilvl="6">
      <w:start w:val="1"/>
      <w:numFmt w:val="decimal"/>
      <w:lvlText w:val="%7."/>
      <w:lvlJc w:val="left"/>
      <w:pPr>
        <w:ind w:left="5104" w:hanging="360"/>
      </w:pPr>
    </w:lvl>
    <w:lvl w:ilvl="7">
      <w:start w:val="1"/>
      <w:numFmt w:val="lowerLetter"/>
      <w:lvlText w:val="%8."/>
      <w:lvlJc w:val="left"/>
      <w:pPr>
        <w:ind w:left="5824" w:hanging="360"/>
      </w:pPr>
    </w:lvl>
    <w:lvl w:ilvl="8">
      <w:start w:val="1"/>
      <w:numFmt w:val="lowerRoman"/>
      <w:lvlText w:val="%9."/>
      <w:lvlJc w:val="right"/>
      <w:pPr>
        <w:ind w:left="6544" w:hanging="180"/>
      </w:pPr>
    </w:lvl>
  </w:abstractNum>
  <w:abstractNum w:abstractNumId="2" w15:restartNumberingAfterBreak="0">
    <w:nsid w:val="6DAC3186"/>
    <w:multiLevelType w:val="multilevel"/>
    <w:tmpl w:val="5DDADBB2"/>
    <w:lvl w:ilvl="0">
      <w:start w:val="1"/>
      <w:numFmt w:val="upperRoman"/>
      <w:lvlText w:val="%1."/>
      <w:lvlJc w:val="left"/>
      <w:pPr>
        <w:ind w:left="1668" w:hanging="719"/>
      </w:pPr>
    </w:lvl>
    <w:lvl w:ilvl="1">
      <w:start w:val="1"/>
      <w:numFmt w:val="lowerLetter"/>
      <w:lvlText w:val="%2."/>
      <w:lvlJc w:val="left"/>
      <w:pPr>
        <w:ind w:left="2028" w:hanging="360"/>
      </w:pPr>
    </w:lvl>
    <w:lvl w:ilvl="2">
      <w:start w:val="1"/>
      <w:numFmt w:val="lowerRoman"/>
      <w:lvlText w:val="%3."/>
      <w:lvlJc w:val="right"/>
      <w:pPr>
        <w:ind w:left="2748" w:hanging="180"/>
      </w:pPr>
    </w:lvl>
    <w:lvl w:ilvl="3">
      <w:start w:val="1"/>
      <w:numFmt w:val="decimal"/>
      <w:lvlText w:val="%4."/>
      <w:lvlJc w:val="left"/>
      <w:pPr>
        <w:ind w:left="3468" w:hanging="360"/>
      </w:pPr>
    </w:lvl>
    <w:lvl w:ilvl="4">
      <w:start w:val="1"/>
      <w:numFmt w:val="lowerLetter"/>
      <w:lvlText w:val="%5."/>
      <w:lvlJc w:val="left"/>
      <w:pPr>
        <w:ind w:left="4188" w:hanging="360"/>
      </w:pPr>
    </w:lvl>
    <w:lvl w:ilvl="5">
      <w:start w:val="1"/>
      <w:numFmt w:val="lowerRoman"/>
      <w:lvlText w:val="%6."/>
      <w:lvlJc w:val="right"/>
      <w:pPr>
        <w:ind w:left="4908" w:hanging="180"/>
      </w:pPr>
    </w:lvl>
    <w:lvl w:ilvl="6">
      <w:start w:val="1"/>
      <w:numFmt w:val="decimal"/>
      <w:lvlText w:val="%7."/>
      <w:lvlJc w:val="left"/>
      <w:pPr>
        <w:ind w:left="5628" w:hanging="360"/>
      </w:pPr>
    </w:lvl>
    <w:lvl w:ilvl="7">
      <w:start w:val="1"/>
      <w:numFmt w:val="lowerLetter"/>
      <w:lvlText w:val="%8."/>
      <w:lvlJc w:val="left"/>
      <w:pPr>
        <w:ind w:left="6348" w:hanging="360"/>
      </w:pPr>
    </w:lvl>
    <w:lvl w:ilvl="8">
      <w:start w:val="1"/>
      <w:numFmt w:val="lowerRoman"/>
      <w:lvlText w:val="%9."/>
      <w:lvlJc w:val="right"/>
      <w:pPr>
        <w:ind w:left="7068" w:hanging="180"/>
      </w:pPr>
    </w:lvl>
  </w:abstractNum>
  <w:abstractNum w:abstractNumId="3" w15:restartNumberingAfterBreak="0">
    <w:nsid w:val="70F36528"/>
    <w:multiLevelType w:val="multilevel"/>
    <w:tmpl w:val="E1EA54A8"/>
    <w:lvl w:ilvl="0">
      <w:start w:val="1"/>
      <w:numFmt w:val="upperRoman"/>
      <w:lvlText w:val="%1."/>
      <w:lvlJc w:val="left"/>
      <w:pPr>
        <w:ind w:left="1854" w:hanging="720"/>
      </w:p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4" w15:restartNumberingAfterBreak="0">
    <w:nsid w:val="7B0E287A"/>
    <w:multiLevelType w:val="multilevel"/>
    <w:tmpl w:val="2310A974"/>
    <w:lvl w:ilvl="0">
      <w:start w:val="8"/>
      <w:numFmt w:val="upperRoman"/>
      <w:lvlText w:val="%1."/>
      <w:lvlJc w:val="left"/>
      <w:pPr>
        <w:ind w:left="1854"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 w:numId="2">
    <w:abstractNumId w:val="4"/>
  </w:num>
  <w:num w:numId="3">
    <w:abstractNumId w:val="1"/>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6FD1"/>
    <w:rsid w:val="001A783C"/>
    <w:rsid w:val="002808E4"/>
    <w:rsid w:val="003038CD"/>
    <w:rsid w:val="003218B2"/>
    <w:rsid w:val="003C4AE7"/>
    <w:rsid w:val="004A5E58"/>
    <w:rsid w:val="005D233A"/>
    <w:rsid w:val="007932FF"/>
    <w:rsid w:val="007A446A"/>
    <w:rsid w:val="00801927"/>
    <w:rsid w:val="0081020A"/>
    <w:rsid w:val="00851A58"/>
    <w:rsid w:val="00A80864"/>
    <w:rsid w:val="00AF1E10"/>
    <w:rsid w:val="00B56CA9"/>
    <w:rsid w:val="00C0295B"/>
    <w:rsid w:val="00CB65B3"/>
    <w:rsid w:val="00DF4D9E"/>
    <w:rsid w:val="00DF6FD1"/>
    <w:rsid w:val="00F61806"/>
    <w:rsid w:val="00F84383"/>
    <w:rsid w:val="00FC58D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F79E04"/>
  <w15:docId w15:val="{A0553592-13B7-4345-B32E-B29CE0B93F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Ttulo1">
    <w:name w:val="heading 1"/>
    <w:basedOn w:val="Normal"/>
    <w:next w:val="Normal"/>
    <w:pPr>
      <w:keepNext/>
      <w:keepLines/>
      <w:spacing w:before="240"/>
      <w:outlineLvl w:val="0"/>
    </w:pPr>
    <w:rPr>
      <w:rFonts w:ascii="Calibri" w:eastAsia="Calibri" w:hAnsi="Calibri" w:cs="Calibri"/>
      <w:color w:val="366091"/>
      <w:sz w:val="32"/>
      <w:szCs w:val="32"/>
    </w:rPr>
  </w:style>
  <w:style w:type="paragraph" w:styleId="Ttulo2">
    <w:name w:val="heading 2"/>
    <w:basedOn w:val="Normal"/>
    <w:next w:val="Normal"/>
    <w:pPr>
      <w:keepNext/>
      <w:keepLines/>
      <w:spacing w:before="40"/>
      <w:outlineLvl w:val="1"/>
    </w:pPr>
    <w:rPr>
      <w:rFonts w:ascii="Calibri" w:eastAsia="Calibri" w:hAnsi="Calibri" w:cs="Calibri"/>
      <w:color w:val="366091"/>
      <w:sz w:val="26"/>
      <w:szCs w:val="2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paragraph" w:styleId="Encabezado">
    <w:name w:val="header"/>
    <w:basedOn w:val="Normal"/>
    <w:link w:val="EncabezadoCar"/>
    <w:uiPriority w:val="99"/>
    <w:unhideWhenUsed/>
    <w:rsid w:val="003218B2"/>
    <w:pPr>
      <w:tabs>
        <w:tab w:val="center" w:pos="4252"/>
        <w:tab w:val="right" w:pos="8504"/>
      </w:tabs>
    </w:pPr>
  </w:style>
  <w:style w:type="character" w:customStyle="1" w:styleId="EncabezadoCar">
    <w:name w:val="Encabezado Car"/>
    <w:basedOn w:val="Fuentedeprrafopredeter"/>
    <w:link w:val="Encabezado"/>
    <w:uiPriority w:val="99"/>
    <w:rsid w:val="003218B2"/>
  </w:style>
  <w:style w:type="paragraph" w:styleId="Piedepgina">
    <w:name w:val="footer"/>
    <w:basedOn w:val="Normal"/>
    <w:link w:val="PiedepginaCar"/>
    <w:uiPriority w:val="99"/>
    <w:unhideWhenUsed/>
    <w:rsid w:val="003218B2"/>
    <w:pPr>
      <w:tabs>
        <w:tab w:val="center" w:pos="4252"/>
        <w:tab w:val="right" w:pos="8504"/>
      </w:tabs>
    </w:pPr>
  </w:style>
  <w:style w:type="character" w:customStyle="1" w:styleId="PiedepginaCar">
    <w:name w:val="Pie de página Car"/>
    <w:basedOn w:val="Fuentedeprrafopredeter"/>
    <w:link w:val="Piedepgina"/>
    <w:uiPriority w:val="99"/>
    <w:rsid w:val="003218B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29</Pages>
  <Words>4813</Words>
  <Characters>26473</Characters>
  <Application>Microsoft Office Word</Application>
  <DocSecurity>0</DocSecurity>
  <Lines>220</Lines>
  <Paragraphs>62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31224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USUARIO</dc:creator>
  <cp:lastModifiedBy>jorge Velazquez</cp:lastModifiedBy>
  <cp:revision>2</cp:revision>
  <dcterms:created xsi:type="dcterms:W3CDTF">2022-03-24T00:53:00Z</dcterms:created>
  <dcterms:modified xsi:type="dcterms:W3CDTF">2022-03-24T00:53:00Z</dcterms:modified>
</cp:coreProperties>
</file>