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julio de dos mil veintidós. </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03884/INFOEM/IP/RR/2022</w:t>
      </w:r>
      <w:r>
        <w:rPr>
          <w:rFonts w:ascii="Palatino Linotype" w:eastAsia="Palatino Linotype" w:hAnsi="Palatino Linotype" w:cs="Palatino Linotype"/>
        </w:rPr>
        <w:t xml:space="preserve">, interpuesto por </w:t>
      </w:r>
      <w:r w:rsidR="00992F38">
        <w:rPr>
          <w:rFonts w:ascii="Palatino Linotype" w:eastAsia="Palatino Linotype" w:hAnsi="Palatino Linotype" w:cs="Palatino Linotype"/>
          <w:b/>
        </w:rPr>
        <w:t>XXXX XXXX XXXX</w:t>
      </w:r>
      <w:bookmarkStart w:id="0" w:name="_GoBack"/>
      <w:bookmarkEnd w:id="0"/>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Organismo Público Descentralizado para la Prestación de Los Servicios de Agua Potable Alcantarillado y Saneamiento de Nicolás Romero,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FC52F1" w:rsidRDefault="00C80637">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catorce de febrero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00006/OASNICOROM/IP/2022, </w:t>
      </w:r>
      <w:r>
        <w:rPr>
          <w:rFonts w:ascii="Palatino Linotype" w:eastAsia="Palatino Linotype" w:hAnsi="Palatino Linotype" w:cs="Palatino Linotype"/>
        </w:rPr>
        <w:t xml:space="preserve">mediante la cual requirió la información siguiente: </w:t>
      </w:r>
    </w:p>
    <w:p w:rsidR="00FC52F1" w:rsidRDefault="00C80637">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lastRenderedPageBreak/>
        <w:t>“Normas legal (reglamentos, ley orgánica y/o ley de transparencia) que establece los requisitos de contratacion y/o nombramiento de los titulares de las dependencias y unidades administrativas con las que cuenta conforme a su estructura organica. A si mismo anexar documentos de los titulares que deben cubrir algún requisito especial o especifico como experiencia , certificación, y/o titulo Quien es el responsable de su nombramiento y/o contratacion en cuanto a que cubran dichos requisitos???” (Sic)</w:t>
      </w:r>
    </w:p>
    <w:p w:rsidR="00FC52F1" w:rsidRDefault="00FC52F1">
      <w:pPr>
        <w:spacing w:line="360" w:lineRule="auto"/>
        <w:jc w:val="both"/>
        <w:rPr>
          <w:rFonts w:ascii="Palatino Linotype" w:eastAsia="Palatino Linotype" w:hAnsi="Palatino Linotype" w:cs="Palatino Linotype"/>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rsidR="00FC52F1" w:rsidRDefault="00FC52F1">
      <w:pPr>
        <w:spacing w:line="360" w:lineRule="auto"/>
        <w:jc w:val="both"/>
        <w:rPr>
          <w:rFonts w:ascii="Palatino Linotype" w:eastAsia="Palatino Linotype" w:hAnsi="Palatino Linotype" w:cs="Palatino Linotype"/>
        </w:rPr>
      </w:pPr>
    </w:p>
    <w:p w:rsidR="00FC52F1" w:rsidRDefault="00C80637">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ocho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FC52F1" w:rsidRDefault="00C80637">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que suscribe, C. Gustavo Medina Jiménez, en mi carácter de Jefe de la Unidad de Transparencia del Organismo Público Descentralizado para la Prestación de los servicios de Agua Potable, Alcantarillado y Saneamiento del Municipio de Nicolás Romero (OPD SAPASNIR); Ahora bien con fundamento en los artículos 53 fracciones II, V VI y 163 de la Ley de Transparencia y Acceso a la Información Pública del Estado de México y Municipios (la Ley de Transparencia en adelante), me permito hacer llegar la respuesta otorgada por el Servidor Público Habilitado, quien dio contestación a su petición bajo el número 00006/OASNICOROM/IP/2022 ingresada el día 14 de febrero del 2022....” (Sic)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los siguientes archivos:</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w:t>
      </w:r>
      <w:hyperlink r:id="rId8">
        <w:r>
          <w:rPr>
            <w:rFonts w:ascii="Palatino Linotype" w:eastAsia="Palatino Linotype" w:hAnsi="Palatino Linotype" w:cs="Palatino Linotype"/>
          </w:rPr>
          <w:t>saiex.pdf</w:t>
        </w:r>
      </w:hyperlink>
      <w:r>
        <w:rPr>
          <w:rFonts w:ascii="Palatino Linotype" w:eastAsia="Palatino Linotype" w:hAnsi="Palatino Linotype" w:cs="Palatino Linotype"/>
        </w:rPr>
        <w:t>”, por duplicado, el cual contiene el oficio número SAP/ADFIN/60/2022, por medio del cual la Subdirectora de Administración y finanzas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informó al Encargado del Despacho de la Unidad de Transparencia, Mejora Regulatoria y </w:t>
      </w:r>
      <w:r>
        <w:rPr>
          <w:rFonts w:ascii="Palatino Linotype" w:eastAsia="Palatino Linotype" w:hAnsi="Palatino Linotype" w:cs="Palatino Linotype"/>
        </w:rPr>
        <w:lastRenderedPageBreak/>
        <w:t xml:space="preserve">Planeación, ambos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respecto de las Normas legal (reglamentos, ley orgánica y/o ley de transparencia) que establece los requisitos de contratación y/o nombramiento de los titulares de las dependencias y unidades administrativas con las que cuenta conforme a su estructura orgánica, son:</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*Ley del agua del Estado de México </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*Ley Orgánica Municipal del Estado de México. </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También señaló anexar el documento de los titulares que deben cubrir requisito especial o específico como experiencia:</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lo es un curriculum vitae del Director General y una certificación de competencia laboral a favor del Contralor Interno, ambos del SUJETO OBLIGADO. </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Finalmente señaló, que respecto del responsable de su nombramiento es:</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Director es aprobado por el Cabildo a propuesta del Presidente Municipal </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Contralor Interno es nombrado por el Director del Organismo. </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Como se observa a continuación:</w:t>
      </w:r>
    </w:p>
    <w:p w:rsidR="00FC52F1" w:rsidRDefault="00C80637">
      <w:pPr>
        <w:spacing w:before="240" w:after="240" w:line="360" w:lineRule="auto"/>
        <w:ind w:right="49"/>
        <w:jc w:val="both"/>
        <w:rPr>
          <w:rFonts w:ascii="Palatino Linotype" w:eastAsia="Palatino Linotype" w:hAnsi="Palatino Linotype" w:cs="Palatino Linotype"/>
        </w:rPr>
      </w:pPr>
      <w:r>
        <w:rPr>
          <w:noProof/>
          <w:lang w:val="es-MX"/>
        </w:rPr>
        <w:lastRenderedPageBreak/>
        <w:drawing>
          <wp:inline distT="0" distB="0" distL="0" distR="0">
            <wp:extent cx="5627508" cy="6355040"/>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42961" t="20880" r="27314" b="7423"/>
                    <a:stretch>
                      <a:fillRect/>
                    </a:stretch>
                  </pic:blipFill>
                  <pic:spPr>
                    <a:xfrm>
                      <a:off x="0" y="0"/>
                      <a:ext cx="5627508" cy="6355040"/>
                    </a:xfrm>
                    <a:prstGeom prst="rect">
                      <a:avLst/>
                    </a:prstGeom>
                    <a:ln/>
                  </pic:spPr>
                </pic:pic>
              </a:graphicData>
            </a:graphic>
          </wp:inline>
        </w:drawing>
      </w:r>
    </w:p>
    <w:p w:rsidR="00FC52F1" w:rsidRDefault="00C80637">
      <w:pPr>
        <w:spacing w:before="240" w:after="240" w:line="360" w:lineRule="auto"/>
        <w:ind w:right="49"/>
        <w:jc w:val="both"/>
        <w:rPr>
          <w:rFonts w:ascii="Palatino Linotype" w:eastAsia="Palatino Linotype" w:hAnsi="Palatino Linotype" w:cs="Palatino Linotype"/>
        </w:rPr>
      </w:pPr>
      <w:r>
        <w:rPr>
          <w:noProof/>
          <w:lang w:val="es-MX"/>
        </w:rPr>
        <w:lastRenderedPageBreak/>
        <w:drawing>
          <wp:inline distT="0" distB="0" distL="0" distR="0">
            <wp:extent cx="5438493" cy="6611601"/>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43919" t="18998" r="30055" b="12121"/>
                    <a:stretch>
                      <a:fillRect/>
                    </a:stretch>
                  </pic:blipFill>
                  <pic:spPr>
                    <a:xfrm>
                      <a:off x="0" y="0"/>
                      <a:ext cx="5438493" cy="6611601"/>
                    </a:xfrm>
                    <a:prstGeom prst="rect">
                      <a:avLst/>
                    </a:prstGeom>
                    <a:ln/>
                  </pic:spPr>
                </pic:pic>
              </a:graphicData>
            </a:graphic>
          </wp:inline>
        </w:drawing>
      </w:r>
    </w:p>
    <w:p w:rsidR="00FC52F1" w:rsidRDefault="00C80637">
      <w:pPr>
        <w:spacing w:before="240" w:after="240" w:line="360" w:lineRule="auto"/>
        <w:ind w:right="49"/>
        <w:jc w:val="both"/>
        <w:rPr>
          <w:rFonts w:ascii="Palatino Linotype" w:eastAsia="Palatino Linotype" w:hAnsi="Palatino Linotype" w:cs="Palatino Linotype"/>
        </w:rPr>
      </w:pPr>
      <w:r>
        <w:rPr>
          <w:noProof/>
          <w:lang w:val="es-MX"/>
        </w:rPr>
        <w:lastRenderedPageBreak/>
        <w:drawing>
          <wp:inline distT="0" distB="0" distL="0" distR="0">
            <wp:extent cx="5665031" cy="6484263"/>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41270" t="17870" r="25715" b="14761"/>
                    <a:stretch>
                      <a:fillRect/>
                    </a:stretch>
                  </pic:blipFill>
                  <pic:spPr>
                    <a:xfrm>
                      <a:off x="0" y="0"/>
                      <a:ext cx="5665031" cy="6484263"/>
                    </a:xfrm>
                    <a:prstGeom prst="rect">
                      <a:avLst/>
                    </a:prstGeom>
                    <a:ln/>
                  </pic:spPr>
                </pic:pic>
              </a:graphicData>
            </a:graphic>
          </wp:inline>
        </w:drawing>
      </w:r>
    </w:p>
    <w:p w:rsidR="00FC52F1" w:rsidRDefault="00C80637">
      <w:pPr>
        <w:spacing w:before="240" w:after="240" w:line="360" w:lineRule="auto"/>
        <w:ind w:right="49"/>
        <w:jc w:val="both"/>
        <w:rPr>
          <w:rFonts w:ascii="Palatino Linotype" w:eastAsia="Palatino Linotype" w:hAnsi="Palatino Linotype" w:cs="Palatino Linotype"/>
        </w:rPr>
      </w:pPr>
      <w:r>
        <w:rPr>
          <w:noProof/>
          <w:lang w:val="es-MX"/>
        </w:rPr>
        <w:lastRenderedPageBreak/>
        <w:drawing>
          <wp:inline distT="0" distB="0" distL="0" distR="0">
            <wp:extent cx="5661857" cy="6418556"/>
            <wp:effectExtent l="0" t="0" r="0"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40113" t="14671" r="24542" b="6844"/>
                    <a:stretch>
                      <a:fillRect/>
                    </a:stretch>
                  </pic:blipFill>
                  <pic:spPr>
                    <a:xfrm>
                      <a:off x="0" y="0"/>
                      <a:ext cx="5661857" cy="6418556"/>
                    </a:xfrm>
                    <a:prstGeom prst="rect">
                      <a:avLst/>
                    </a:prstGeom>
                    <a:ln/>
                  </pic:spPr>
                </pic:pic>
              </a:graphicData>
            </a:graphic>
          </wp:inline>
        </w:drawing>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13">
        <w:r>
          <w:rPr>
            <w:rFonts w:ascii="Palatino Linotype" w:eastAsia="Palatino Linotype" w:hAnsi="Palatino Linotype" w:cs="Palatino Linotype"/>
          </w:rPr>
          <w:t>doc03719520220308174213.pdf</w:t>
        </w:r>
      </w:hyperlink>
      <w:r>
        <w:rPr>
          <w:rFonts w:ascii="Palatino Linotype" w:eastAsia="Palatino Linotype" w:hAnsi="Palatino Linotype" w:cs="Palatino Linotype"/>
        </w:rPr>
        <w:t>”, el cual contiene la respuesta otorgada por la Jefa de la Unidad de Transparencia al solicitante, en donde le informó la respuesta otorgada por la Subdirección de Administración y Finanzas, ambos del Organismo Público Descentralizado para la Prestación de Los Servicios de Agua Potable Alcantarillado y Saneamiento de Nicolás Romero.</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catorce de marzo de dos mil veintidós,</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FC52F1" w:rsidRDefault="00C80637">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FC52F1" w:rsidRDefault="00C80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“Respuesta a mi solicitud de informacion 00006/OASNICOROM/IP/2022. Proporcionada mediante oficio SAPASNIR/UTMRyP/027/2022, fechado el 8 de marzo de 2022, en la cual, sin mencionarlo, anexa oficio SAP/ADFIN/60/2022, de fecha 7 de marzo de 2022.” (Sic)</w:t>
      </w:r>
    </w:p>
    <w:p w:rsidR="00FC52F1" w:rsidRDefault="00FC52F1">
      <w:pPr>
        <w:ind w:left="851" w:right="902"/>
        <w:jc w:val="both"/>
        <w:rPr>
          <w:rFonts w:ascii="Palatino Linotype" w:eastAsia="Palatino Linotype" w:hAnsi="Palatino Linotype" w:cs="Palatino Linotype"/>
          <w:i/>
          <w:sz w:val="22"/>
          <w:szCs w:val="22"/>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FC52F1" w:rsidRDefault="00C80637">
      <w:pPr>
        <w:ind w:left="851" w:right="902"/>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“Procedencia del Recurso de Revisión: Articulo 179 fracción V de la ley de transparencia y acceso a la información pública del Estado de México y Municipios, por que la i</w:t>
      </w:r>
      <w:r>
        <w:rPr>
          <w:rFonts w:ascii="Palatino Linotype" w:eastAsia="Palatino Linotype" w:hAnsi="Palatino Linotype" w:cs="Palatino Linotype"/>
          <w:b/>
          <w:i/>
          <w:sz w:val="22"/>
          <w:szCs w:val="22"/>
        </w:rPr>
        <w:t>nformación entregada es incompleta.</w:t>
      </w:r>
      <w:r>
        <w:rPr>
          <w:rFonts w:ascii="Palatino Linotype" w:eastAsia="Palatino Linotype" w:hAnsi="Palatino Linotype" w:cs="Palatino Linotype"/>
          <w:i/>
          <w:sz w:val="22"/>
          <w:szCs w:val="22"/>
        </w:rPr>
        <w:t xml:space="preserve"> El sujeto obligado informa que la norma especifica que establece los requisitos de contratación y nombramiento de los titulares de las dependencias y unidades administrativas con las que cuenta conforme a su estructura organica, son la Ley del Agua del Estado de México y la Ley Organica Municipal del Estado de México. El sujeto obligado no entrega la información completa porque no menciona la norma legal correspondiente a la ley de transparencia y acceso a la </w:t>
      </w:r>
      <w:r>
        <w:rPr>
          <w:rFonts w:ascii="Palatino Linotype" w:eastAsia="Palatino Linotype" w:hAnsi="Palatino Linotype" w:cs="Palatino Linotype"/>
          <w:i/>
          <w:sz w:val="22"/>
          <w:szCs w:val="22"/>
        </w:rPr>
        <w:lastRenderedPageBreak/>
        <w:t xml:space="preserve">información pública del Estado de México y Municipios, que en el articulo 57 fracción I que indica que el titular de transparencia debe cumplir con conocimiento o tratándose de entidades gubernamentales y los municipios certificación en materia de acceso a la información, transparencia y protección de datos personales, y </w:t>
      </w:r>
      <w:r w:rsidRPr="00AD0753">
        <w:rPr>
          <w:rFonts w:ascii="Palatino Linotype" w:eastAsia="Palatino Linotype" w:hAnsi="Palatino Linotype" w:cs="Palatino Linotype"/>
          <w:i/>
          <w:sz w:val="22"/>
          <w:szCs w:val="22"/>
        </w:rPr>
        <w:t>experiencia en esta misma materia. Por lo cual al no mencionar la norma anterior, no proporciona los documentos que acrediten que el titular de esa unidad de transparencia de ese sujeto obligado cubra con esos requisitos.</w:t>
      </w:r>
      <w:r w:rsidRPr="00AD0753">
        <w:rPr>
          <w:rFonts w:ascii="Palatino Linotype" w:eastAsia="Palatino Linotype" w:hAnsi="Palatino Linotype" w:cs="Palatino Linotype"/>
          <w:sz w:val="22"/>
          <w:szCs w:val="22"/>
        </w:rPr>
        <w:t xml:space="preserve"> </w:t>
      </w:r>
      <w:r w:rsidRPr="00AD0753">
        <w:rPr>
          <w:rFonts w:ascii="Palatino Linotype" w:eastAsia="Palatino Linotype" w:hAnsi="Palatino Linotype" w:cs="Palatino Linotype"/>
          <w:i/>
          <w:sz w:val="22"/>
          <w:szCs w:val="22"/>
        </w:rPr>
        <w:t xml:space="preserve">El sujeto obligado menciona la ley de agua </w:t>
      </w:r>
      <w:r>
        <w:rPr>
          <w:rFonts w:ascii="Palatino Linotype" w:eastAsia="Palatino Linotype" w:hAnsi="Palatino Linotype" w:cs="Palatino Linotype"/>
          <w:i/>
          <w:sz w:val="22"/>
          <w:szCs w:val="22"/>
        </w:rPr>
        <w:t>en la cual es en el articulo 38 en su ultimo parrafo donde se indica que el director general requerirá experiencia minima de 3 años en servicios de agua o infraestructura hidráulica o bien, contar con experiencia comprobada técnica, administrativa, de gestión, dictaminación, de investigación, en la prestación de los servicios públicos o cualquier otra, relacionada con la materia. Es por lo cual, el sujeto obligado no hizo entrega del documento que acredite lo señalada en el párrafo anterior por que el curriculum vitae no lo establece ni lo demuestra en los términos que lo solicite. De la ley organica municipal del Estado de México, no se entrego la documentación señalada en el articulo 32 fracciones IV y V, 96, 113 para los cargos de secretario, tesorero y contralor (este ultimo si se entrego la fracción V) o sus equivalentes en el organismo auxiliar. De esta manera, la información contenido en el oficio de la subdireccion de administración y finanzas con la cual la unidad de transparencia da respuesta a la solicitud que realice al sujeto obligado, es incompleta y tendenciosa al omitir con toda intención la respuesta completa.” (Sic)</w:t>
      </w:r>
    </w:p>
    <w:p w:rsidR="00FC52F1" w:rsidRDefault="00FC52F1">
      <w:pPr>
        <w:ind w:left="851" w:right="902"/>
        <w:jc w:val="both"/>
        <w:rPr>
          <w:rFonts w:ascii="Palatino Linotype" w:eastAsia="Palatino Linotype" w:hAnsi="Palatino Linotype" w:cs="Palatino Linotype"/>
          <w:i/>
          <w:sz w:val="22"/>
          <w:szCs w:val="22"/>
        </w:rPr>
      </w:pPr>
    </w:p>
    <w:p w:rsidR="00FC52F1" w:rsidRDefault="00C8063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FC52F1" w:rsidRDefault="00FC52F1">
      <w:pPr>
        <w:spacing w:line="360" w:lineRule="auto"/>
        <w:ind w:right="51"/>
        <w:jc w:val="both"/>
        <w:rPr>
          <w:rFonts w:ascii="Palatino Linotype" w:eastAsia="Palatino Linotype" w:hAnsi="Palatino Linotype" w:cs="Palatino Linotype"/>
        </w:rPr>
      </w:pPr>
    </w:p>
    <w:p w:rsidR="00FC52F1" w:rsidRDefault="00C8063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diecisiete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FC52F1" w:rsidRDefault="00C80637">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veintiocho de marzo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a través del SAIMEX, su informe justificado, mediante los siguientes archivos electrónicos:</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14">
        <w:r>
          <w:rPr>
            <w:rFonts w:ascii="Palatino Linotype" w:eastAsia="Palatino Linotype" w:hAnsi="Palatino Linotype" w:cs="Palatino Linotype"/>
          </w:rPr>
          <w:t>MANIFESTACIONES.pdf</w:t>
        </w:r>
      </w:hyperlink>
      <w:r>
        <w:rPr>
          <w:rFonts w:ascii="Palatino Linotype" w:eastAsia="Palatino Linotype" w:hAnsi="Palatino Linotype" w:cs="Palatino Linotype"/>
        </w:rPr>
        <w:t xml:space="preserve">”, el cual contiene el oficio número SAPASNIR/UTMRyP/045/2022, por medio del cual el la Jefa de la Unidad de Transparencia, Mejora Regulatoria y Planeación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presentó su informe justificado, en el que informó respecto de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relación al punto uno, como lo desgloso el </w:t>
      </w:r>
      <w:r>
        <w:rPr>
          <w:rFonts w:ascii="Palatino Linotype" w:eastAsia="Palatino Linotype" w:hAnsi="Palatino Linotype" w:cs="Palatino Linotype"/>
          <w:b/>
        </w:rPr>
        <w:t>SUJETO OBLIGADO</w:t>
      </w:r>
      <w:r>
        <w:rPr>
          <w:rFonts w:ascii="Palatino Linotype" w:eastAsia="Palatino Linotype" w:hAnsi="Palatino Linotype" w:cs="Palatino Linotype"/>
        </w:rPr>
        <w:t>, en donde se señaló:</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 xml:space="preserve">“…El sujeto obligado informa que la norma especifica que establece los requisitos de contratación y nombramiento de los titulares de las dependencias y unidades administrativas con las que cuenta conforme a su estructura organica, son la Ley del Agua del Estado de México y la Ley Organica Municipal del Estado de México. El sujeto obligado no entrega la </w:t>
      </w:r>
      <w:r>
        <w:rPr>
          <w:rFonts w:ascii="Palatino Linotype" w:eastAsia="Palatino Linotype" w:hAnsi="Palatino Linotype" w:cs="Palatino Linotype"/>
          <w:i/>
        </w:rPr>
        <w:lastRenderedPageBreak/>
        <w:t>información completa porque no menciona la norma legal correspondiente a la ley de transparencia y acceso a la información pública del Estado de México y Municipios, que en el articulo 57 fracción I que indica que el titular de transparencia debe cumplir con conocimiento o tratándose de entidades gubernamentales y los municipios certificación en materia de acceso a la información, transparencia y protección de datos personales, y experiencia en esta misma materia…” (Sic)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Que la Jefa de la Unidad de Transparencia del Organismo, se encuentra certificada, con el estándar de competencia EC-1057 “Garantizar el derecho de acceso a la información pública”, pero señaló que el documento que acredita dicha certificación se encuentra en proceso, motivo por el cual anexó un correo en donde se indica lo siguiente:</w:t>
      </w:r>
    </w:p>
    <w:p w:rsidR="00FC52F1" w:rsidRDefault="00C80637">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501123" cy="2890971"/>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43804" t="13920" r="28690" b="11747"/>
                    <a:stretch>
                      <a:fillRect/>
                    </a:stretch>
                  </pic:blipFill>
                  <pic:spPr>
                    <a:xfrm>
                      <a:off x="0" y="0"/>
                      <a:ext cx="5501123" cy="2890971"/>
                    </a:xfrm>
                    <a:prstGeom prst="rect">
                      <a:avLst/>
                    </a:prstGeom>
                    <a:ln/>
                  </pic:spPr>
                </pic:pic>
              </a:graphicData>
            </a:graphic>
          </wp:inline>
        </w:drawing>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También anexó su curriculum vitae de la Jefa de la Unidad de Transparencia del Organismo, como se advierte a continuación:</w:t>
      </w:r>
    </w:p>
    <w:p w:rsidR="00FC52F1" w:rsidRDefault="00C80637">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509637" cy="5051901"/>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39158" t="12044" r="25819" b="7265"/>
                    <a:stretch>
                      <a:fillRect/>
                    </a:stretch>
                  </pic:blipFill>
                  <pic:spPr>
                    <a:xfrm>
                      <a:off x="0" y="0"/>
                      <a:ext cx="5509637" cy="5051901"/>
                    </a:xfrm>
                    <a:prstGeom prst="rect">
                      <a:avLst/>
                    </a:prstGeom>
                    <a:ln/>
                  </pic:spPr>
                </pic:pic>
              </a:graphicData>
            </a:graphic>
          </wp:inline>
        </w:drawing>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punto dos, en donde señaló 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…Por lo cual al no mencionar la norma anterior, no proporciona los documentos que acrediten que el titular de esa unidad de transparencia de ese sujeto obligado cubra con esos requisitos…” (Sic)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anexó el curriculum vitae en donde se muestra la experiencia del Titular de la Unidad de Transparencia. </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punto tres, en donde señaló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“…El sujeto obligado menciona la ley de agua en la cual es en el articulo 38 en su ultimo parrafo donde se indica que el director general requerirá experiencia minima de 3 años en servicios de agua o infraestructura hidráulica o bien, contar con experiencia comprobada técnica, administrativa, de gestión, dictaminación, de investigación, en la prestación de los servicios públicos o cualquier otra, relacionada con la materia. Es por lo cual, el sujeto obligado no hizo entrega del documento que acredite lo señalada en el párrafo anterior por que el curriculum vitae no lo establece ni lo demuestra en los términos que lo solicite…”(Sic)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que se le proporcionó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el curriculum vitae del Director General en donde se observa que posee una experiencia de 15 años en el sector público, de acuerdo al fundamento legal que indicó.</w:t>
      </w:r>
    </w:p>
    <w:p w:rsidR="00FC52F1" w:rsidRDefault="0030693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Finalmente,</w:t>
      </w:r>
      <w:r w:rsidR="00C80637">
        <w:rPr>
          <w:rFonts w:ascii="Palatino Linotype" w:eastAsia="Palatino Linotype" w:hAnsi="Palatino Linotype" w:cs="Palatino Linotype"/>
        </w:rPr>
        <w:t xml:space="preserve"> respecto del punto cuatro, en donde señaló el </w:t>
      </w:r>
      <w:r w:rsidR="00C80637">
        <w:rPr>
          <w:rFonts w:ascii="Palatino Linotype" w:eastAsia="Palatino Linotype" w:hAnsi="Palatino Linotype" w:cs="Palatino Linotype"/>
          <w:b/>
        </w:rPr>
        <w:t>RECURRENTE</w:t>
      </w:r>
      <w:r w:rsidR="00C80637">
        <w:rPr>
          <w:rFonts w:ascii="Palatino Linotype" w:eastAsia="Palatino Linotype" w:hAnsi="Palatino Linotype" w:cs="Palatino Linotype"/>
        </w:rPr>
        <w:t>:</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“…De la ley organica municipal del Estado de México, no se entrego la documentación señalada en el articulo 32 fracciones IV y V, 96, 113 para los cargos de secretario, tesorero y contralor (este ultimo si se entrego la fracción V) o sus equivalentes en el organismo auxiliar…” (Sic)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manifestó que no cuenta con las áreas de Secretaría, Dirección de Obras Públicas, Desarrollo Económico, de Turismo, de Ecología, de Desarrollo Urbano, de Desarrollo Social, de la Mujeres, de la Coordinación General Municipal de Mejora Regulatoria, de la Coordinación de Protección Civil y por lo tanto no pueden entregar la información.</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También señaló, que cuentan con una Subdirección de Administración y Finanzas, la cual es la equivalente a la Tesorería en el Organismo, el cual se encuentra en proceso de certificación de acuerdo al fundamento legal que señaló.</w:t>
      </w:r>
    </w:p>
    <w:p w:rsidR="00FC52F1" w:rsidRDefault="00C8063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que, una vez analizado,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rsidR="00FC52F1" w:rsidRDefault="00C80637">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diez de junio 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w:t>
      </w:r>
      <w:r>
        <w:rPr>
          <w:rFonts w:ascii="Palatino Linotype" w:eastAsia="Palatino Linotype" w:hAnsi="Palatino Linotype" w:cs="Palatino Linotype"/>
        </w:rPr>
        <w:lastRenderedPageBreak/>
        <w:t>181, párrafo tercero de la Ley de Transparencia y Acceso a la Información Pública del Estado de México y Municipios; lo anterior a fin de aminorar los efectos que conlleva.</w:t>
      </w:r>
    </w:p>
    <w:p w:rsidR="00306931" w:rsidRPr="00445709" w:rsidRDefault="00306931" w:rsidP="00306931">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06931" w:rsidRPr="00445709" w:rsidRDefault="00306931" w:rsidP="00306931">
      <w:pPr>
        <w:spacing w:line="360" w:lineRule="auto"/>
        <w:jc w:val="both"/>
        <w:rPr>
          <w:rFonts w:ascii="Palatino Linotype" w:eastAsia="Palatino Linotype" w:hAnsi="Palatino Linotype" w:cs="Palatino Linotype"/>
        </w:rPr>
      </w:pPr>
    </w:p>
    <w:p w:rsidR="00306931" w:rsidRPr="00445709" w:rsidRDefault="00306931" w:rsidP="00306931">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06931" w:rsidRPr="00445709" w:rsidRDefault="00306931" w:rsidP="00306931">
      <w:pPr>
        <w:spacing w:line="360" w:lineRule="auto"/>
        <w:jc w:val="both"/>
        <w:rPr>
          <w:rFonts w:ascii="Palatino Linotype" w:eastAsia="Palatino Linotype" w:hAnsi="Palatino Linotype" w:cs="Palatino Linotype"/>
        </w:rPr>
      </w:pPr>
    </w:p>
    <w:p w:rsidR="00306931" w:rsidRPr="00445709" w:rsidRDefault="00306931" w:rsidP="00306931">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445709">
        <w:rPr>
          <w:rFonts w:ascii="Palatino Linotype" w:eastAsia="Palatino Linotype" w:hAnsi="Palatino Linotype" w:cs="Palatino Linotype"/>
        </w:rPr>
        <w:lastRenderedPageBreak/>
        <w:t>en el menor tiempo posible, tomando en consideración la dilación total del procedimiento; esto es, en un plazo razonable.</w:t>
      </w:r>
    </w:p>
    <w:p w:rsidR="00306931" w:rsidRPr="00445709" w:rsidRDefault="00306931" w:rsidP="00306931">
      <w:pPr>
        <w:spacing w:line="360" w:lineRule="auto"/>
        <w:jc w:val="both"/>
        <w:rPr>
          <w:rFonts w:ascii="Palatino Linotype" w:eastAsia="Palatino Linotype" w:hAnsi="Palatino Linotype" w:cs="Palatino Linotype"/>
        </w:rPr>
      </w:pPr>
    </w:p>
    <w:p w:rsidR="00306931" w:rsidRPr="00445709" w:rsidRDefault="00306931" w:rsidP="00306931">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06931" w:rsidRPr="00445709" w:rsidRDefault="00306931" w:rsidP="00306931">
      <w:pPr>
        <w:spacing w:line="360" w:lineRule="auto"/>
        <w:jc w:val="both"/>
        <w:rPr>
          <w:rFonts w:ascii="Palatino Linotype" w:eastAsia="Palatino Linotype" w:hAnsi="Palatino Linotype" w:cs="Palatino Linotype"/>
        </w:rPr>
      </w:pPr>
    </w:p>
    <w:p w:rsidR="00306931" w:rsidRPr="00445709" w:rsidRDefault="00306931" w:rsidP="00306931">
      <w:pPr>
        <w:spacing w:line="360" w:lineRule="auto"/>
        <w:jc w:val="both"/>
        <w:rPr>
          <w:rFonts w:ascii="Palatino Linotype" w:eastAsia="Palatino Linotype" w:hAnsi="Palatino Linotype" w:cs="Palatino Linotype"/>
          <w:strike/>
          <w:color w:val="FF0000"/>
        </w:rPr>
      </w:pPr>
      <w:r w:rsidRPr="0044570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306931" w:rsidRPr="00445709" w:rsidRDefault="00306931" w:rsidP="00306931">
      <w:pPr>
        <w:spacing w:line="360" w:lineRule="auto"/>
        <w:jc w:val="both"/>
        <w:rPr>
          <w:rFonts w:ascii="Palatino Linotype" w:eastAsia="Palatino Linotype" w:hAnsi="Palatino Linotype" w:cs="Palatino Linotype"/>
        </w:rPr>
      </w:pPr>
    </w:p>
    <w:p w:rsidR="00306931" w:rsidRPr="00445709" w:rsidRDefault="00306931" w:rsidP="00306931">
      <w:pPr>
        <w:numPr>
          <w:ilvl w:val="0"/>
          <w:numId w:val="7"/>
        </w:num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306931" w:rsidRPr="00445709" w:rsidRDefault="00306931" w:rsidP="00306931">
      <w:pPr>
        <w:numPr>
          <w:ilvl w:val="0"/>
          <w:numId w:val="7"/>
        </w:num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Actividad Procesal del interesado. Acciones u omisiones del interesado.</w:t>
      </w:r>
    </w:p>
    <w:p w:rsidR="00306931" w:rsidRPr="00445709" w:rsidRDefault="00306931" w:rsidP="00306931">
      <w:pPr>
        <w:numPr>
          <w:ilvl w:val="0"/>
          <w:numId w:val="7"/>
        </w:num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Conducta de la Autoridad: Las Acciones u omisiones realizadas en el procedimiento. Así como si la autoridad actuó con la debida diligencia.</w:t>
      </w:r>
    </w:p>
    <w:p w:rsidR="00306931" w:rsidRPr="00445709" w:rsidRDefault="00306931" w:rsidP="00306931">
      <w:pPr>
        <w:spacing w:line="360" w:lineRule="auto"/>
        <w:ind w:left="567"/>
        <w:jc w:val="both"/>
        <w:rPr>
          <w:rFonts w:ascii="Palatino Linotype" w:eastAsia="Palatino Linotype" w:hAnsi="Palatino Linotype" w:cs="Palatino Linotype"/>
        </w:rPr>
      </w:pPr>
      <w:r w:rsidRPr="00445709">
        <w:rPr>
          <w:rFonts w:ascii="Palatino Linotype" w:eastAsia="Palatino Linotype" w:hAnsi="Palatino Linotype" w:cs="Palatino Linotype"/>
        </w:rPr>
        <w:t>d) La afectación generada en la situación jurídica de la persona involucrada en el proceso: Violación a sus derechos humanos.</w:t>
      </w:r>
    </w:p>
    <w:p w:rsidR="00306931" w:rsidRPr="00445709" w:rsidRDefault="00306931" w:rsidP="00306931">
      <w:pPr>
        <w:spacing w:line="360" w:lineRule="auto"/>
        <w:jc w:val="both"/>
        <w:rPr>
          <w:rFonts w:ascii="Palatino Linotype" w:eastAsia="Palatino Linotype" w:hAnsi="Palatino Linotype" w:cs="Palatino Linotype"/>
        </w:rPr>
      </w:pPr>
    </w:p>
    <w:p w:rsidR="00306931" w:rsidRPr="00445709" w:rsidRDefault="00306931" w:rsidP="00306931">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06931" w:rsidRPr="00445709" w:rsidRDefault="00306931" w:rsidP="00306931">
      <w:pPr>
        <w:spacing w:line="360" w:lineRule="auto"/>
        <w:jc w:val="both"/>
        <w:rPr>
          <w:rFonts w:ascii="Palatino Linotype" w:eastAsia="Palatino Linotype" w:hAnsi="Palatino Linotype" w:cs="Palatino Linotype"/>
        </w:rPr>
      </w:pPr>
    </w:p>
    <w:p w:rsidR="00306931" w:rsidRPr="00445709" w:rsidRDefault="00306931" w:rsidP="00306931">
      <w:pPr>
        <w:spacing w:line="360" w:lineRule="auto"/>
        <w:jc w:val="both"/>
        <w:rPr>
          <w:rFonts w:ascii="Palatino Linotype" w:eastAsia="Palatino Linotype" w:hAnsi="Palatino Linotype" w:cs="Palatino Linotype"/>
          <w:b/>
        </w:rPr>
      </w:pPr>
      <w:r w:rsidRPr="0044570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4570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45709">
        <w:rPr>
          <w:rFonts w:ascii="Palatino Linotype" w:eastAsia="Palatino Linotype" w:hAnsi="Palatino Linotype" w:cs="Palatino Linotype"/>
        </w:rPr>
        <w:t>, visible en la Gaceta del Seminario Judicial de la Federación con el registro digital 205635.</w:t>
      </w:r>
    </w:p>
    <w:p w:rsidR="00306931" w:rsidRPr="00445709" w:rsidRDefault="00306931" w:rsidP="00306931">
      <w:pPr>
        <w:spacing w:line="360" w:lineRule="auto"/>
        <w:jc w:val="both"/>
        <w:rPr>
          <w:rFonts w:ascii="Palatino Linotype" w:eastAsia="Palatino Linotype" w:hAnsi="Palatino Linotype" w:cs="Palatino Linotype"/>
        </w:rPr>
      </w:pPr>
    </w:p>
    <w:p w:rsidR="00306931" w:rsidRPr="00445709" w:rsidRDefault="00306931" w:rsidP="00306931">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445709">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rsidR="00306931" w:rsidRPr="00445709" w:rsidRDefault="00306931" w:rsidP="00306931">
      <w:pPr>
        <w:spacing w:line="360" w:lineRule="auto"/>
        <w:jc w:val="both"/>
        <w:rPr>
          <w:rFonts w:ascii="Palatino Linotype" w:eastAsia="Palatino Linotype" w:hAnsi="Palatino Linotype" w:cs="Palatino Linotype"/>
        </w:rPr>
      </w:pPr>
    </w:p>
    <w:p w:rsidR="00306931" w:rsidRPr="00445709" w:rsidRDefault="00306931" w:rsidP="00306931">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06931" w:rsidRPr="00445709" w:rsidRDefault="00306931" w:rsidP="00306931">
      <w:pPr>
        <w:spacing w:line="360" w:lineRule="auto"/>
        <w:jc w:val="both"/>
        <w:rPr>
          <w:rFonts w:ascii="Palatino Linotype" w:eastAsia="Palatino Linotype" w:hAnsi="Palatino Linotype" w:cs="Palatino Linotype"/>
        </w:rPr>
      </w:pPr>
    </w:p>
    <w:p w:rsidR="00306931" w:rsidRPr="00445709" w:rsidRDefault="00306931" w:rsidP="00306931">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 </w:t>
      </w:r>
      <w:r w:rsidRPr="00445709">
        <w:rPr>
          <w:rFonts w:ascii="Palatino Linotype" w:eastAsia="Palatino Linotype" w:hAnsi="Palatino Linotype" w:cs="Palatino Linotype"/>
          <w:i/>
        </w:rPr>
        <w:t>“PLAZO RAZONABLE PARA RESOLVER. DIMENSIÓN Y EFECTOS DE ESTE CONCEPTO CUANDO SE ADUCE EXCESIVA CARGA DE TRABAJO.”</w:t>
      </w:r>
      <w:r w:rsidRPr="00445709">
        <w:rPr>
          <w:rFonts w:ascii="Palatino Linotype" w:eastAsia="Palatino Linotype" w:hAnsi="Palatino Linotype" w:cs="Palatino Linotype"/>
        </w:rPr>
        <w:t xml:space="preserve"> consultable en el Seminario Judicial de la Federación y su gaceta, con el registro digital 2002351.</w:t>
      </w:r>
    </w:p>
    <w:p w:rsidR="00306931" w:rsidRPr="00445709" w:rsidRDefault="00306931" w:rsidP="00306931">
      <w:pPr>
        <w:spacing w:line="360" w:lineRule="auto"/>
        <w:jc w:val="both"/>
        <w:rPr>
          <w:rFonts w:ascii="Palatino Linotype" w:eastAsia="Palatino Linotype" w:hAnsi="Palatino Linotype" w:cs="Palatino Linotype"/>
          <w:b/>
        </w:rPr>
      </w:pPr>
    </w:p>
    <w:p w:rsidR="00306931" w:rsidRPr="00445709" w:rsidRDefault="00306931" w:rsidP="00306931">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i/>
        </w:rPr>
        <w:t>“PLAZO RAZONABLE PARA RESOLVER. CONCEPTO Y ELEMENTOS QUE LO INTEGRAN A LA LUZ DEL DERECHO INTERNACIONAL DE LOS DERECHOS HUMANOS.”</w:t>
      </w:r>
      <w:r w:rsidRPr="00445709">
        <w:rPr>
          <w:rFonts w:ascii="Palatino Linotype" w:eastAsia="Palatino Linotype" w:hAnsi="Palatino Linotype" w:cs="Palatino Linotype"/>
        </w:rPr>
        <w:t>, visible en el Seminario Judicial de la Federación y su gaceta, con el registro digital 2002350.</w:t>
      </w:r>
    </w:p>
    <w:p w:rsidR="00306931" w:rsidRPr="00445709" w:rsidRDefault="00306931" w:rsidP="00306931">
      <w:pPr>
        <w:spacing w:line="360" w:lineRule="auto"/>
        <w:jc w:val="both"/>
        <w:rPr>
          <w:rFonts w:ascii="Palatino Linotype" w:eastAsia="Palatino Linotype" w:hAnsi="Palatino Linotype" w:cs="Palatino Linotype"/>
        </w:rPr>
      </w:pPr>
    </w:p>
    <w:p w:rsidR="00306931" w:rsidRPr="00445709" w:rsidRDefault="00306931" w:rsidP="00306931">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FC52F1" w:rsidRDefault="00C80637" w:rsidP="00AD075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w:t>
      </w:r>
      <w:r w:rsidRPr="00AD0753">
        <w:rPr>
          <w:rFonts w:ascii="Palatino Linotype" w:eastAsia="Palatino Linotype" w:hAnsi="Palatino Linotype" w:cs="Palatino Linotype"/>
        </w:rPr>
        <w:t xml:space="preserve">fecha </w:t>
      </w:r>
      <w:r w:rsidRPr="00AD0753">
        <w:rPr>
          <w:rFonts w:ascii="Palatino Linotype" w:eastAsia="Palatino Linotype" w:hAnsi="Palatino Linotype" w:cs="Palatino Linotype"/>
          <w:b/>
        </w:rPr>
        <w:t>veintinueve de junio de dos mil veintidós</w:t>
      </w:r>
      <w:r w:rsidRPr="00AD0753">
        <w:rPr>
          <w:rFonts w:ascii="Palatino Linotype" w:eastAsia="Palatino Linotype" w:hAnsi="Palatino Linotype" w:cs="Palatino Linotype"/>
        </w:rPr>
        <w:t>,</w:t>
      </w:r>
      <w:r w:rsidR="00E655C2" w:rsidRPr="00AD0753">
        <w:rPr>
          <w:rFonts w:ascii="Palatino Linotype" w:eastAsia="Palatino Linotype" w:hAnsi="Palatino Linotype" w:cs="Palatino Linotype"/>
        </w:rPr>
        <w:t xml:space="preserve"> </w:t>
      </w:r>
      <w:r w:rsidRPr="00AD0753">
        <w:rPr>
          <w:rFonts w:ascii="Palatino Linotype" w:eastAsia="Palatino Linotype" w:hAnsi="Palatino Linotype" w:cs="Palatino Linotype"/>
        </w:rPr>
        <w:t>la</w:t>
      </w:r>
      <w:r>
        <w:rPr>
          <w:rFonts w:ascii="Palatino Linotype" w:eastAsia="Palatino Linotype" w:hAnsi="Palatino Linotype" w:cs="Palatino Linotype"/>
        </w:rPr>
        <w:t xml:space="preserve"> Comisionada Ponente determinó el cierre de instrucción en términos de la fracción VI del artículo 185 de la Ley de Transparencia y Acceso a la Información Pública del Estado de México y Municipios.</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FC52F1" w:rsidRDefault="00C80637">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FC52F1" w:rsidRDefault="00FC52F1">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rsidR="00FC52F1" w:rsidRDefault="00C80637">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FC52F1" w:rsidRDefault="00C80637">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ocho de marzo de dos mil veintidós, </w:t>
      </w:r>
      <w:r>
        <w:rPr>
          <w:rFonts w:ascii="Palatino Linotype" w:eastAsia="Palatino Linotype" w:hAnsi="Palatino Linotype" w:cs="Palatino Linotype"/>
        </w:rPr>
        <w:t xml:space="preserve">mientras que el recurso de revisión </w:t>
      </w:r>
      <w:r>
        <w:rPr>
          <w:rFonts w:ascii="Palatino Linotype" w:eastAsia="Palatino Linotype" w:hAnsi="Palatino Linotype" w:cs="Palatino Linotype"/>
        </w:rPr>
        <w:lastRenderedPageBreak/>
        <w:t xml:space="preserve">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catorce de marzo de dos mil veintidós</w:t>
      </w:r>
      <w:r>
        <w:rPr>
          <w:rFonts w:ascii="Palatino Linotype" w:eastAsia="Palatino Linotype" w:hAnsi="Palatino Linotype" w:cs="Palatino Linotype"/>
        </w:rPr>
        <w:t>; esto es, al cuarto día hábil en que tuvo conocimiento de la respuesta impugnada.</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C52F1" w:rsidRDefault="00C80637">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la recurrente en sus razones o motivos de inconformidad, de acuerdo al artículo 179, fracción V de la Ley de Transparencia y Acceso a la Información Pública del Estado de México y Municipios; que a la letra dice:</w:t>
      </w:r>
    </w:p>
    <w:p w:rsidR="00FC52F1" w:rsidRDefault="00C8063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FC52F1" w:rsidRDefault="00C8063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p>
    <w:p w:rsidR="00FC52F1" w:rsidRDefault="00C8063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La entrega de información incompleta…” (Sic)</w:t>
      </w:r>
    </w:p>
    <w:p w:rsidR="00FC52F1" w:rsidRDefault="00C80637">
      <w:pPr>
        <w:spacing w:before="280" w:after="280" w:line="360" w:lineRule="auto"/>
        <w:jc w:val="both"/>
        <w:rPr>
          <w:rFonts w:ascii="Palatino Linotype" w:eastAsia="Palatino Linotype" w:hAnsi="Palatino Linotype" w:cs="Palatino Linotype"/>
        </w:rPr>
      </w:pPr>
      <w:r w:rsidRPr="00AD0753">
        <w:rPr>
          <w:rFonts w:ascii="Palatino Linotype" w:eastAsia="Palatino Linotype" w:hAnsi="Palatino Linotype" w:cs="Palatino Linotype"/>
          <w:b/>
        </w:rPr>
        <w:t>Tercero. Materia de Revisión</w:t>
      </w:r>
      <w:r w:rsidRPr="00AD0753">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AD0753">
        <w:rPr>
          <w:rFonts w:ascii="Palatino Linotype" w:eastAsia="Palatino Linotype" w:hAnsi="Palatino Linotype" w:cs="Palatino Linotype"/>
          <w:b/>
        </w:rPr>
        <w:lastRenderedPageBreak/>
        <w:t xml:space="preserve">verificar si la respuesta otorgada por el SUJETO OBLIGADO es adecuada y suficiente para satisfacer el derecho de acceso a la información pública </w:t>
      </w:r>
      <w:r w:rsidRPr="00AD0753">
        <w:rPr>
          <w:rFonts w:ascii="Palatino Linotype" w:eastAsia="Palatino Linotype" w:hAnsi="Palatino Linotype" w:cs="Palatino Linotype"/>
        </w:rPr>
        <w:t xml:space="preserve">del </w:t>
      </w:r>
      <w:r w:rsidRPr="00AD0753">
        <w:rPr>
          <w:rFonts w:ascii="Palatino Linotype" w:eastAsia="Palatino Linotype" w:hAnsi="Palatino Linotype" w:cs="Palatino Linotype"/>
          <w:b/>
        </w:rPr>
        <w:t>RECURRENTE</w:t>
      </w:r>
      <w:r w:rsidRPr="00AD0753">
        <w:rPr>
          <w:rFonts w:ascii="Palatino Linotype" w:eastAsia="Palatino Linotype" w:hAnsi="Palatino Linotype" w:cs="Palatino Linotype"/>
        </w:rPr>
        <w:t>, o en su defecto, en caso de ser procedente, ordenar la entrega de información.</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Del análisis de la solicitud de información motivo del recurso de revisión que ahora se resuelve, se advierte que el particular requirió al Organismo Público Descentralizado para la Prestación de Los Servicios de Agua Potable Alcantarillado y Saneamiento de Nicolás Romero, de sus titulares de las dependencias y unidades administrativas con las que cuenta conforme a su estructura orgánica, lo siguiente:</w:t>
      </w:r>
    </w:p>
    <w:p w:rsidR="00FC52F1" w:rsidRDefault="00C80637">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Normas legales (reglamentos, ley orgánica y/o ley de transparencia) que establece los requisitos de contratación y/o nombramiento.</w:t>
      </w:r>
    </w:p>
    <w:p w:rsidR="00FC52F1" w:rsidRDefault="00C8063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Documentos de los titulares que deben cubrir algún requisito especial o específico como experiencia, certificación y/o título.</w:t>
      </w:r>
    </w:p>
    <w:p w:rsidR="00FC52F1" w:rsidRDefault="00C80637">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Quien es el responsable de su nombramiento y/o contratación en cuanto a que cubran dichos requisitos.</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los siguientes archivos electrónicos:</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w:t>
      </w:r>
      <w:hyperlink r:id="rId17">
        <w:r>
          <w:rPr>
            <w:rFonts w:ascii="Palatino Linotype" w:eastAsia="Palatino Linotype" w:hAnsi="Palatino Linotype" w:cs="Palatino Linotype"/>
          </w:rPr>
          <w:t>saiex.pdf</w:t>
        </w:r>
      </w:hyperlink>
      <w:r>
        <w:rPr>
          <w:rFonts w:ascii="Palatino Linotype" w:eastAsia="Palatino Linotype" w:hAnsi="Palatino Linotype" w:cs="Palatino Linotype"/>
        </w:rPr>
        <w:t>”, por duplicado, el cual contiene el oficio número SAP/ADFIN/60/2022, por medio del cual la Subdirectora de Administración y finanzas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informó al Encargado del Despacho de la Unidad de Transparencia, Mejora Regulatoria y Planeación, ambos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respecto de las Normas legal (reglamentos, ley orgánica y/o ley de transparencia) que establece los requisitos de contratación y/o nombramiento de los titulares de las dependencias y unidades administrativas con las que cuenta conforme a su estructura orgánica, son:</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*Ley del agua del Estado de México </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*Ley Orgánica Municipal del Estado de México. </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También señaló anexar el documento de los titulares que deben cubrir requisito especial o especifico como experiencia:</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lo es un curriculum vitae del Director General y una certificación de competencia laboral a favor del Contralor Interno, ambos del SUJETO OBLIGADO. </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Finalmente señaló, que respecto del responsable de su nombramiento es:</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Director es aprobado por el Cabildo a propuesta del Presiente Municipal </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Contralor Interno es nombrado por el Director del Organismo. </w:t>
      </w:r>
    </w:p>
    <w:p w:rsidR="00FC52F1" w:rsidRDefault="00C80637">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No conforme el particular con la respuesta, interpone el recurso de revisión en lo medular porque la respuesta es incompleta. </w:t>
      </w: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a través del archivo electrónico denominado:</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18">
        <w:r>
          <w:rPr>
            <w:rFonts w:ascii="Palatino Linotype" w:eastAsia="Palatino Linotype" w:hAnsi="Palatino Linotype" w:cs="Palatino Linotype"/>
          </w:rPr>
          <w:t>MANIFESTACIONES.pdf</w:t>
        </w:r>
      </w:hyperlink>
      <w:r>
        <w:rPr>
          <w:rFonts w:ascii="Palatino Linotype" w:eastAsia="Palatino Linotype" w:hAnsi="Palatino Linotype" w:cs="Palatino Linotype"/>
        </w:rPr>
        <w:t xml:space="preserve">”, el cual contiene el oficio número SAPASNIR/UTMRyP/045/2022, por medio del cual el la Jefa de la Unidad de Transparencia, Mejora Regulatoria y Planeación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presentó su informe justificado, en el que informó respecto de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relación al punto uno, como lo desgloso el </w:t>
      </w:r>
      <w:r>
        <w:rPr>
          <w:rFonts w:ascii="Palatino Linotype" w:eastAsia="Palatino Linotype" w:hAnsi="Palatino Linotype" w:cs="Palatino Linotype"/>
          <w:b/>
        </w:rPr>
        <w:t>SUJETO OBLIGADO</w:t>
      </w:r>
      <w:r>
        <w:rPr>
          <w:rFonts w:ascii="Palatino Linotype" w:eastAsia="Palatino Linotype" w:hAnsi="Palatino Linotype" w:cs="Palatino Linotype"/>
        </w:rPr>
        <w:t>, en donde se señaló:</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“…El sujeto obligado informa que la norma especifica que establece los requisitos de contratación y nombramiento de los titulares de las dependencias y unidades administrativas con las que cuenta conforme a su estructura organica, son la Ley del Agua del Estado de México y la Ley Organica Municipal del Estado de México. El sujeto obligado no entrega la información completa porque no menciona la norma legal correspondiente a la ley de transparencia y acceso a la información pública del Estado de México y Municipios, que en el articulo 57 fracción I que indica que el titular de transparencia debe cumplir con conocimiento o tratándose de entidades gubernamentales y los municipios certificación en materia de acceso a la información, transparencia y protección de datos personales, y experiencia en esta misma materia…” (Sic)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Que la Jefa de la Unidad de Transparencia del Organismo, se encuentra certificada, con el estándar de competencia EC-1057 “Garantizar el derecho de acceso a la información pública”, pero señaló que el documento que acredita dicha certificación se encuentra en proceso, motivo por el cual anexó un correo en donde se indica lo siguiente:</w:t>
      </w:r>
    </w:p>
    <w:p w:rsidR="00FC52F1" w:rsidRDefault="00C80637">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14:anchorId="377A9E3E" wp14:editId="76158EA1">
            <wp:extent cx="5501123" cy="2890971"/>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43804" t="13920" r="28690" b="11747"/>
                    <a:stretch>
                      <a:fillRect/>
                    </a:stretch>
                  </pic:blipFill>
                  <pic:spPr>
                    <a:xfrm>
                      <a:off x="0" y="0"/>
                      <a:ext cx="5501123" cy="2890971"/>
                    </a:xfrm>
                    <a:prstGeom prst="rect">
                      <a:avLst/>
                    </a:prstGeom>
                    <a:ln/>
                  </pic:spPr>
                </pic:pic>
              </a:graphicData>
            </a:graphic>
          </wp:inline>
        </w:drawing>
      </w:r>
    </w:p>
    <w:p w:rsidR="00FC52F1" w:rsidRDefault="0030693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1B5952D9" wp14:editId="4CCC0D8C">
                <wp:simplePos x="0" y="0"/>
                <wp:positionH relativeFrom="margin">
                  <wp:align>left</wp:align>
                </wp:positionH>
                <wp:positionV relativeFrom="paragraph">
                  <wp:posOffset>682625</wp:posOffset>
                </wp:positionV>
                <wp:extent cx="5365750" cy="1371600"/>
                <wp:effectExtent l="38100" t="38100" r="63500" b="95250"/>
                <wp:wrapNone/>
                <wp:docPr id="2" name="Conector recto 2"/>
                <wp:cNvGraphicFramePr/>
                <a:graphic xmlns:a="http://schemas.openxmlformats.org/drawingml/2006/main">
                  <a:graphicData uri="http://schemas.microsoft.com/office/word/2010/wordprocessingShape">
                    <wps:wsp>
                      <wps:cNvCnPr/>
                      <wps:spPr>
                        <a:xfrm>
                          <a:off x="0" y="0"/>
                          <a:ext cx="5365750" cy="1371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AF46F1A" id="Conector recto 2"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3.75pt" to="422.5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" strokecolor="black [3200]" strokeweight="2pt">
                <v:shadow on="t" color="black" opacity="24903f" origin=",.5" offset="0,.55556mm"/>
                <w10:wrap anchorx="margin"/>
              </v:line>
            </w:pict>
          </mc:Fallback>
        </mc:AlternateContent>
      </w:r>
      <w:r w:rsidR="00C80637">
        <w:rPr>
          <w:rFonts w:ascii="Palatino Linotype" w:eastAsia="Palatino Linotype" w:hAnsi="Palatino Linotype" w:cs="Palatino Linotype"/>
        </w:rPr>
        <w:t>También anexó su curriculum vitae de la Jefa de la Unidad de Transparencia del Organismo, como se advierte a continuación:</w:t>
      </w:r>
    </w:p>
    <w:p w:rsidR="00FC52F1" w:rsidRDefault="00C80637">
      <w:pPr>
        <w:spacing w:before="240" w:after="240" w:line="360" w:lineRule="auto"/>
        <w:ind w:right="49"/>
        <w:jc w:val="both"/>
        <w:rPr>
          <w:rFonts w:ascii="Palatino Linotype" w:eastAsia="Palatino Linotype" w:hAnsi="Palatino Linotype" w:cs="Palatino Linotype"/>
        </w:rPr>
      </w:pPr>
      <w:r>
        <w:rPr>
          <w:noProof/>
          <w:lang w:val="es-MX"/>
        </w:rPr>
        <w:lastRenderedPageBreak/>
        <w:drawing>
          <wp:inline distT="0" distB="0" distL="0" distR="0">
            <wp:extent cx="5509637" cy="5051901"/>
            <wp:effectExtent l="0" t="0" r="0" b="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39158" t="12044" r="25819" b="7265"/>
                    <a:stretch>
                      <a:fillRect/>
                    </a:stretch>
                  </pic:blipFill>
                  <pic:spPr>
                    <a:xfrm>
                      <a:off x="0" y="0"/>
                      <a:ext cx="5509637" cy="5051901"/>
                    </a:xfrm>
                    <a:prstGeom prst="rect">
                      <a:avLst/>
                    </a:prstGeom>
                    <a:ln/>
                  </pic:spPr>
                </pic:pic>
              </a:graphicData>
            </a:graphic>
          </wp:inline>
        </w:drawing>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punto dos, en donde señaló 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 …Por lo cual al no mencionar la norma anterior, no proporciona los documentos que acrediten que el titular de esa unidad de transparencia de ese sujeto obligado cubra con esos requisitos…” (Sic)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anexo el curriculum vitae en donde se muestra la experiencia del Titular de la Unidad de Transparencia. </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punto tres, en donde señaló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“…El sujeto obligado menciona la ley de agua en la cual es en el articulo 38 en su ultimo parrafo donde se indica que el director general requerirá experiencia minima de 3 años en servicios de agua o infraestructura hidráulica o bien, contar con experiencia comprobada técnica, administrativa, de gestión, dictaminación, de investigación, en la prestación de los servicios públicos o cualquier otra, relacionada con la materia. Es por lo cual, el sujeto obligado no hizo entrega del documento que acredite lo señalada en el párrafo anterior por que el curriculum vitae no lo establece ni lo demuestra en los términos que lo solicite…”(Sic)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SUEJETO OBLIGADO</w:t>
      </w:r>
      <w:r>
        <w:rPr>
          <w:rFonts w:ascii="Palatino Linotype" w:eastAsia="Palatino Linotype" w:hAnsi="Palatino Linotype" w:cs="Palatino Linotype"/>
        </w:rPr>
        <w:t xml:space="preserve">, señaló que se le proporcionó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el curriculum vitae del Director General en donde se observa que posee una experiencia de 15 años en el sector público, de acuerdo al fundamento legal que indicó.</w:t>
      </w:r>
    </w:p>
    <w:p w:rsidR="00FC52F1" w:rsidRDefault="00D273A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Finalmente,</w:t>
      </w:r>
      <w:r w:rsidR="00C80637">
        <w:rPr>
          <w:rFonts w:ascii="Palatino Linotype" w:eastAsia="Palatino Linotype" w:hAnsi="Palatino Linotype" w:cs="Palatino Linotype"/>
        </w:rPr>
        <w:t xml:space="preserve"> respecto del punto cuatro, en donde señaló el </w:t>
      </w:r>
      <w:r w:rsidR="00C80637">
        <w:rPr>
          <w:rFonts w:ascii="Palatino Linotype" w:eastAsia="Palatino Linotype" w:hAnsi="Palatino Linotype" w:cs="Palatino Linotype"/>
          <w:b/>
        </w:rPr>
        <w:t>RECURRENTE</w:t>
      </w:r>
      <w:r w:rsidR="00C80637">
        <w:rPr>
          <w:rFonts w:ascii="Palatino Linotype" w:eastAsia="Palatino Linotype" w:hAnsi="Palatino Linotype" w:cs="Palatino Linotype"/>
        </w:rPr>
        <w:t>:</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“…De la ley organica municipal del Estado de México, no se entrego la documentación señalada en el articulo 32 fracciones IV y V, 96, 113 para los cargos de secretario, tesorero y contralor (este ultimo si se entrego la fracción V) o sus equivalentes en el organismo auxiliar…” (Sic)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manifestó que no cuenta con las áreas de Secretaría, Dirección de Obras Públicas, Desarrollo Económico, de Turismo, de Ecología, de Desarrollo Urbano, de Desarrollo Social, de la Mujeres, de la Coordinación General Municipal de Mejora Regulatoria, de la Coordinación de Protección Civil y por lo tanto no pueden entregar la información.</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También señaló, que cuentan con una Subdirección de Administración y Finanzas, la cual es la equivalente a la Tesorería en el Organismo, el cual se encuentra en proceso de certificación de acuerdo al fundamento legal que señaló.</w:t>
      </w:r>
    </w:p>
    <w:p w:rsidR="00FC52F1" w:rsidRDefault="00C8063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parcialmente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w:t>
      </w:r>
      <w:r>
        <w:rPr>
          <w:rFonts w:ascii="Palatino Linotype" w:eastAsia="Palatino Linotype" w:hAnsi="Palatino Linotype" w:cs="Palatino Linotype"/>
        </w:rPr>
        <w:lastRenderedPageBreak/>
        <w:t>establece dicha determinación, que a continuación se transcribe para un mejor entendimiento:</w:t>
      </w:r>
    </w:p>
    <w:p w:rsidR="00FC52F1" w:rsidRDefault="00C80637">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C52F1" w:rsidRDefault="00C80637">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C52F1" w:rsidRDefault="00C80637">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FC52F1" w:rsidRDefault="00FC52F1">
      <w:pPr>
        <w:spacing w:line="360" w:lineRule="auto"/>
        <w:jc w:val="both"/>
        <w:rPr>
          <w:rFonts w:ascii="Palatino Linotype" w:eastAsia="Palatino Linotype" w:hAnsi="Palatino Linotype" w:cs="Palatino Linotype"/>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FC52F1" w:rsidRDefault="00FC52F1">
      <w:pPr>
        <w:spacing w:line="360" w:lineRule="auto"/>
        <w:jc w:val="both"/>
        <w:rPr>
          <w:rFonts w:ascii="Palatino Linotype" w:eastAsia="Palatino Linotype" w:hAnsi="Palatino Linotype" w:cs="Palatino Linotype"/>
        </w:rPr>
      </w:pPr>
    </w:p>
    <w:p w:rsidR="00FC52F1" w:rsidRDefault="00C80637">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FC52F1" w:rsidRDefault="00FC52F1">
      <w:pPr>
        <w:ind w:left="567" w:right="758"/>
        <w:jc w:val="both"/>
        <w:rPr>
          <w:rFonts w:ascii="Palatino Linotype" w:eastAsia="Palatino Linotype" w:hAnsi="Palatino Linotype" w:cs="Palatino Linotype"/>
          <w:i/>
          <w:sz w:val="22"/>
          <w:szCs w:val="22"/>
        </w:rPr>
      </w:pPr>
    </w:p>
    <w:p w:rsidR="00FC52F1" w:rsidRDefault="00C80637">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FC52F1" w:rsidRDefault="00FC52F1">
      <w:pPr>
        <w:spacing w:line="360" w:lineRule="auto"/>
        <w:ind w:right="-93"/>
        <w:jc w:val="both"/>
        <w:rPr>
          <w:rFonts w:ascii="Palatino Linotype" w:eastAsia="Palatino Linotype" w:hAnsi="Palatino Linotype" w:cs="Palatino Linotype"/>
          <w:color w:val="000000"/>
        </w:rPr>
      </w:pPr>
    </w:p>
    <w:p w:rsidR="00FC52F1" w:rsidRDefault="00C80637">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rsidR="00FC52F1" w:rsidRDefault="00FC52F1">
      <w:pPr>
        <w:spacing w:line="360" w:lineRule="auto"/>
        <w:ind w:right="-93"/>
        <w:jc w:val="both"/>
        <w:rPr>
          <w:rFonts w:ascii="Palatino Linotype" w:eastAsia="Palatino Linotype" w:hAnsi="Palatino Linotype" w:cs="Palatino Linotype"/>
          <w:color w:val="000000"/>
        </w:rPr>
      </w:pPr>
    </w:p>
    <w:p w:rsidR="00FC52F1" w:rsidRDefault="00C80637">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FC52F1" w:rsidRDefault="00FC52F1">
      <w:pPr>
        <w:ind w:left="851" w:right="850"/>
        <w:jc w:val="both"/>
        <w:rPr>
          <w:rFonts w:ascii="Palatino Linotype" w:eastAsia="Palatino Linotype" w:hAnsi="Palatino Linotype" w:cs="Palatino Linotype"/>
          <w:color w:val="000000"/>
        </w:rPr>
      </w:pPr>
    </w:p>
    <w:p w:rsidR="00FC52F1" w:rsidRDefault="00C80637">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Pr>
          <w:rFonts w:ascii="Palatino Linotype" w:eastAsia="Palatino Linotype" w:hAnsi="Palatino Linotype" w:cs="Palatino Linotype"/>
          <w:i/>
          <w:color w:val="000000"/>
          <w:sz w:val="22"/>
          <w:szCs w:val="22"/>
        </w:rPr>
        <w:lastRenderedPageBreak/>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C52F1" w:rsidRDefault="00C80637">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FC52F1" w:rsidRDefault="00C80637">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FC52F1" w:rsidRDefault="00C80637">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FC52F1" w:rsidRDefault="00C80637">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FC52F1" w:rsidRDefault="00FC52F1">
      <w:pPr>
        <w:spacing w:line="360" w:lineRule="auto"/>
        <w:ind w:right="-93"/>
        <w:jc w:val="both"/>
        <w:rPr>
          <w:rFonts w:ascii="Palatino Linotype" w:eastAsia="Palatino Linotype" w:hAnsi="Palatino Linotype" w:cs="Palatino Linotype"/>
          <w:color w:val="000000"/>
        </w:rPr>
      </w:pPr>
    </w:p>
    <w:p w:rsidR="00FC52F1" w:rsidRDefault="00C8063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C52F1" w:rsidRDefault="00FC52F1">
      <w:pPr>
        <w:spacing w:line="360" w:lineRule="auto"/>
        <w:jc w:val="both"/>
        <w:rPr>
          <w:rFonts w:ascii="Palatino Linotype" w:eastAsia="Palatino Linotype" w:hAnsi="Palatino Linotype" w:cs="Palatino Linotype"/>
          <w:color w:val="000000"/>
        </w:rPr>
      </w:pPr>
    </w:p>
    <w:p w:rsidR="00FC52F1" w:rsidRDefault="00C80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Pr>
          <w:rFonts w:ascii="Palatino Linotype" w:eastAsia="Palatino Linotype" w:hAnsi="Palatino Linotype" w:cs="Palatino Linotype"/>
        </w:rPr>
        <w:lastRenderedPageBreak/>
        <w:t>Ley de Transparencia y Acceso a la Información Pública del Estado de México y Municipios.</w:t>
      </w:r>
    </w:p>
    <w:p w:rsidR="00FC52F1" w:rsidRDefault="00FC52F1">
      <w:pPr>
        <w:spacing w:line="360" w:lineRule="auto"/>
        <w:ind w:right="49"/>
        <w:jc w:val="both"/>
        <w:rPr>
          <w:rFonts w:ascii="Palatino Linotype" w:eastAsia="Palatino Linotype" w:hAnsi="Palatino Linotype" w:cs="Palatino Linotype"/>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C52F1" w:rsidRDefault="00FC52F1">
      <w:pPr>
        <w:ind w:left="851" w:right="899"/>
        <w:jc w:val="both"/>
        <w:rPr>
          <w:rFonts w:ascii="Palatino Linotype" w:eastAsia="Palatino Linotype" w:hAnsi="Palatino Linotype" w:cs="Palatino Linotype"/>
          <w:i/>
          <w:sz w:val="22"/>
          <w:szCs w:val="22"/>
        </w:rPr>
      </w:pPr>
    </w:p>
    <w:p w:rsidR="00FC52F1" w:rsidRDefault="00C8063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FC52F1" w:rsidRDefault="00C8063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52F1" w:rsidRDefault="00C80637">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FC52F1" w:rsidRDefault="00FC52F1">
      <w:pPr>
        <w:ind w:left="851" w:right="899"/>
        <w:jc w:val="both"/>
        <w:rPr>
          <w:rFonts w:ascii="Palatino Linotype" w:eastAsia="Palatino Linotype" w:hAnsi="Palatino Linotype" w:cs="Palatino Linotype"/>
          <w:sz w:val="22"/>
          <w:szCs w:val="22"/>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rsidR="00FC52F1" w:rsidRDefault="00FC52F1">
      <w:pPr>
        <w:ind w:left="851" w:right="899"/>
        <w:jc w:val="both"/>
        <w:rPr>
          <w:rFonts w:ascii="Palatino Linotype" w:eastAsia="Palatino Linotype" w:hAnsi="Palatino Linotype" w:cs="Palatino Linotype"/>
        </w:rPr>
      </w:pPr>
    </w:p>
    <w:p w:rsidR="00FC52F1" w:rsidRDefault="00C8063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FC52F1" w:rsidRDefault="00C8063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C52F1" w:rsidRDefault="00C8063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C52F1" w:rsidRDefault="00C8063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FC52F1" w:rsidRDefault="00C8063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FC52F1" w:rsidRDefault="00C8063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FC52F1" w:rsidRDefault="00FC52F1">
      <w:pPr>
        <w:ind w:left="851" w:right="899"/>
        <w:jc w:val="both"/>
        <w:rPr>
          <w:rFonts w:ascii="Palatino Linotype" w:eastAsia="Palatino Linotype" w:hAnsi="Palatino Linotype" w:cs="Palatino Linotype"/>
          <w:b/>
          <w:i/>
          <w:sz w:val="22"/>
          <w:szCs w:val="22"/>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reitera que la información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de conformidad con los puntos siguientes:</w:t>
      </w:r>
    </w:p>
    <w:p w:rsidR="00FC52F1" w:rsidRDefault="00FC52F1">
      <w:pPr>
        <w:spacing w:before="240" w:after="240" w:line="360" w:lineRule="auto"/>
        <w:ind w:right="-93"/>
        <w:jc w:val="both"/>
        <w:rPr>
          <w:rFonts w:ascii="Palatino Linotype" w:eastAsia="Palatino Linotype" w:hAnsi="Palatino Linotype" w:cs="Palatino Linotype"/>
        </w:rPr>
      </w:pPr>
    </w:p>
    <w:p w:rsidR="00FC52F1" w:rsidRDefault="00C80637">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primer lugar, de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se observa que el solicitante se queja de:</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“…El sujeto obligado no entrega la información completa porque no menciona la norma legal correspondiente a la ley de transparencia y acceso a la información pública del Estado de México y Municipios, que en el articulo 57 fracción I que indica que el titular de transparencia debe cumplir con conocimiento o tratándose de entidades gubernamentales y los municipios certificación en materia de acceso a la información, transparencia y protección de datos personales, y experiencia en esta misma materia…” (Sic)</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 …Por lo cual al no mencionar la norma anterior, no proporciona los documentos que acrediten que el titular de esa unidad de transparencia de ese sujeto obligado cubra con esos requisitos…” (Sic)</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 xml:space="preserve"> “…El sujeto obligado menciona la ley de agua en la cual es en el articulo 38 en su ultimo parrafo donde se indica que el director general requerirá experiencia minima de 3 años en servicios de agua o infraestructura hidráulica o bien, contar con experiencia comprobada técnica, administrativa, de gestión, dictaminación, de investigación, en la prestación de los servicios públicos o cualquier otra, relacionada con la materia. Es por lo cual, el sujeto obligado no hizo entrega del documento que acredite lo señalada en el párrafo anterior por que el curriculum vitae no lo establece ni lo demuestra en los términos que lo solicite…”(Sic)</w:t>
      </w:r>
    </w:p>
    <w:p w:rsidR="00FC52F1" w:rsidRDefault="00C80637">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 “…De la ley organica municipal del Estado de México, no se entrego la documentación señalada en el articulo 32 fracciones IV y V, 96, 113 para los cargos de secretario, tesorero y contralor o sus equivalentes en el organismo auxiliar…” (Sic)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La cuales corresponden al punto dos descrito en la página 18 del presente considerando, que corresponde a:</w:t>
      </w:r>
    </w:p>
    <w:p w:rsidR="00FC52F1" w:rsidRDefault="00C8063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Documentos de los titulares que deben cubrir algún requisito especial o específico como experiencia, certificación y/o título.</w:t>
      </w:r>
    </w:p>
    <w:p w:rsidR="00FC52F1" w:rsidRDefault="00C80637">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así de la información correspondiente a:</w:t>
      </w:r>
    </w:p>
    <w:p w:rsidR="00FC52F1" w:rsidRDefault="00C80637">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Normas legales (reglamentos, ley orgánica y/o ley de transparencia) que establece los requisitos de contratación y/o nombramiento.</w:t>
      </w:r>
    </w:p>
    <w:p w:rsidR="00FC52F1" w:rsidRDefault="00C8063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Quien es el responsable de su nombramiento y/o contratación en cuanto a que cubran dichos requisitos.</w:t>
      </w:r>
    </w:p>
    <w:p w:rsidR="00FC52F1" w:rsidRDefault="00C80637">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Certificación del Contralor Interno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FC52F1" w:rsidRDefault="00FC52F1">
      <w:pPr>
        <w:ind w:left="567" w:right="567"/>
        <w:jc w:val="both"/>
        <w:rPr>
          <w:rFonts w:ascii="Palatino Linotype" w:eastAsia="Palatino Linotype" w:hAnsi="Palatino Linotype" w:cs="Palatino Linotype"/>
        </w:rPr>
      </w:pPr>
    </w:p>
    <w:p w:rsidR="00FC52F1" w:rsidRDefault="00C8063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rsidR="00FC52F1" w:rsidRDefault="00FC52F1">
      <w:pPr>
        <w:pBdr>
          <w:top w:val="nil"/>
          <w:left w:val="nil"/>
          <w:bottom w:val="nil"/>
          <w:right w:val="nil"/>
          <w:between w:val="nil"/>
        </w:pBdr>
        <w:rPr>
          <w:color w:val="000000"/>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la parte de la solicitud sobre la que no se expresó inconformidad, debe declararse consentida por el hoy </w:t>
      </w:r>
      <w:r>
        <w:rPr>
          <w:rFonts w:ascii="Palatino Linotype" w:eastAsia="Palatino Linotype" w:hAnsi="Palatino Linotype" w:cs="Palatino Linotype"/>
          <w:b/>
        </w:rPr>
        <w:t>RECURRENTE</w:t>
      </w:r>
      <w:r>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del recurrente ante la falta de impugnación eficaz.</w:t>
      </w:r>
    </w:p>
    <w:p w:rsidR="00FC52F1" w:rsidRDefault="00FC52F1">
      <w:pPr>
        <w:spacing w:line="360" w:lineRule="auto"/>
        <w:jc w:val="both"/>
        <w:rPr>
          <w:rFonts w:ascii="Palatino Linotype" w:eastAsia="Palatino Linotype" w:hAnsi="Palatino Linotype" w:cs="Palatino Linotype"/>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FC52F1" w:rsidRDefault="00FC52F1">
      <w:pPr>
        <w:pBdr>
          <w:top w:val="nil"/>
          <w:left w:val="nil"/>
          <w:bottom w:val="nil"/>
          <w:right w:val="nil"/>
          <w:between w:val="nil"/>
        </w:pBdr>
        <w:rPr>
          <w:color w:val="000000"/>
        </w:rPr>
      </w:pPr>
    </w:p>
    <w:p w:rsidR="00FC52F1" w:rsidRDefault="00C8063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00D273AE">
        <w:rPr>
          <w:rFonts w:ascii="Palatino Linotype" w:eastAsia="Palatino Linotype" w:hAnsi="Palatino Linotype" w:cs="Palatino Linotype"/>
          <w:i/>
          <w:sz w:val="22"/>
          <w:szCs w:val="22"/>
        </w:rPr>
        <w:t>(Sic)</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debe mencionarse que, al haber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Órgano Garante estima conveniente señalar que no está </w:t>
      </w:r>
      <w:r>
        <w:rPr>
          <w:rFonts w:ascii="Palatino Linotype" w:eastAsia="Palatino Linotype" w:hAnsi="Palatino Linotype" w:cs="Palatino Linotype"/>
        </w:rPr>
        <w:lastRenderedPageBreak/>
        <w:t>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FC52F1" w:rsidRDefault="00C8063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FC52F1" w:rsidRDefault="00FC52F1">
      <w:pPr>
        <w:spacing w:before="120" w:after="120"/>
        <w:ind w:left="851" w:right="851"/>
        <w:jc w:val="both"/>
        <w:rPr>
          <w:rFonts w:ascii="Palatino Linotype" w:eastAsia="Palatino Linotype" w:hAnsi="Palatino Linotype" w:cs="Palatino Linotype"/>
          <w:i/>
          <w:sz w:val="22"/>
          <w:szCs w:val="22"/>
        </w:rPr>
      </w:pPr>
    </w:p>
    <w:p w:rsidR="00FC52F1" w:rsidRDefault="00C8063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segundo lugar, respecto del motivo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donde señala: “</w:t>
      </w:r>
      <w:r>
        <w:rPr>
          <w:rFonts w:ascii="Palatino Linotype" w:eastAsia="Palatino Linotype" w:hAnsi="Palatino Linotype" w:cs="Palatino Linotype"/>
          <w:i/>
        </w:rPr>
        <w:t xml:space="preserve">El sujeto obligado no entrega la información completa porque no menciona la norma legal correspondiente a la ley de transparencia y acceso a la información pública del Estado de México y Municipios, que en el articulo 57 fracción I que indica que el titular de transparencia debe cumplir con conocimiento o tratándose de entidades gubernamentales y los municipios certificación en materia de acceso a la información, transparencia y protección de datos personales, y experiencia en esta misma materia”, </w:t>
      </w:r>
      <w:r>
        <w:rPr>
          <w:rFonts w:ascii="Palatino Linotype" w:eastAsia="Palatino Linotype" w:hAnsi="Palatino Linotype" w:cs="Palatino Linotype"/>
        </w:rPr>
        <w:t xml:space="preserve">si bien es cierto que el </w:t>
      </w:r>
      <w:r>
        <w:rPr>
          <w:rFonts w:ascii="Palatino Linotype" w:eastAsia="Palatino Linotype" w:hAnsi="Palatino Linotype" w:cs="Palatino Linotype"/>
          <w:b/>
        </w:rPr>
        <w:t>SUJETO OBLIGADO</w:t>
      </w:r>
      <w:r>
        <w:rPr>
          <w:rFonts w:ascii="Palatino Linotype" w:eastAsia="Palatino Linotype" w:hAnsi="Palatino Linotype" w:cs="Palatino Linotype"/>
        </w:rPr>
        <w:t>, fue omiso en pronunciarse al respecto, lo cierto es que a través de su informe justificado señaló que la Jefa de la Unidad de Transparencia del Organismo, se encuentra certificada, con el estándar de competencia EC-1057 “Garantizar el derecho de acceso a la información pública”, sin embargo, señaló que el documento que acredita dicha certificación se encuentra en proceso, motivo por el cual anexó un correo en donde se indica lo siguiente:</w:t>
      </w:r>
    </w:p>
    <w:p w:rsidR="00FC52F1" w:rsidRDefault="00C80637">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501129" cy="2477068"/>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43804" t="13920" r="28690" b="11747"/>
                    <a:stretch>
                      <a:fillRect/>
                    </a:stretch>
                  </pic:blipFill>
                  <pic:spPr>
                    <a:xfrm>
                      <a:off x="0" y="0"/>
                      <a:ext cx="5501129" cy="2477068"/>
                    </a:xfrm>
                    <a:prstGeom prst="rect">
                      <a:avLst/>
                    </a:prstGeom>
                    <a:ln/>
                  </pic:spPr>
                </pic:pic>
              </a:graphicData>
            </a:graphic>
          </wp:inline>
        </w:drawing>
      </w:r>
    </w:p>
    <w:p w:rsidR="00FC52F1" w:rsidRDefault="00C80637">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conviene a traer lo que señala el artículo 32 fracción IV de la Ley Orgánica Municipal del Estado de México, señala lo conducente:</w:t>
      </w:r>
    </w:p>
    <w:p w:rsidR="00FC52F1" w:rsidRDefault="00C80637">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Pr="00C80637">
        <w:rPr>
          <w:rFonts w:ascii="Palatino Linotype" w:eastAsia="Palatino Linotype" w:hAnsi="Palatino Linotype" w:cs="Palatino Linotype"/>
          <w:b/>
          <w:i/>
          <w:sz w:val="22"/>
          <w:szCs w:val="22"/>
        </w:rPr>
        <w:t>de las unidades administrativas y de los organismos auxiliares</w:t>
      </w:r>
      <w:r>
        <w:rPr>
          <w:rFonts w:ascii="Palatino Linotype" w:eastAsia="Palatino Linotype" w:hAnsi="Palatino Linotype" w:cs="Palatino Linotype"/>
          <w:i/>
          <w:sz w:val="22"/>
          <w:szCs w:val="22"/>
        </w:rPr>
        <w:t>, se deberán satisfacer los siguientes requisitos:</w:t>
      </w:r>
    </w:p>
    <w:p w:rsidR="00FC52F1" w:rsidRDefault="00C80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52F1" w:rsidRDefault="00C8063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Contar con título profesional o acreditar experiencia mínima de un año en la materia, ante la o el Presidente o el Ayuntamiento, cuando sea el caso, para el desempeño de los cargos que así lo requieran;</w:t>
      </w:r>
    </w:p>
    <w:p w:rsidR="00FC52F1" w:rsidRDefault="00C8063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IV. Contar con certificación de competencia laboral en la materia del cargo que se desempeñará, expedida por institución con reconocimiento de validez oficial. </w:t>
      </w:r>
      <w:r>
        <w:rPr>
          <w:rFonts w:ascii="Palatino Linotype" w:eastAsia="Palatino Linotype" w:hAnsi="Palatino Linotype" w:cs="Palatino Linotype"/>
          <w:b/>
          <w:i/>
          <w:sz w:val="22"/>
          <w:szCs w:val="22"/>
          <w:u w:val="single"/>
        </w:rPr>
        <w:t>Este requisito deberá acreditarse dentro de los seis meses siguientes a la fecha en que inicien sus funciones</w:t>
      </w:r>
      <w:r>
        <w:rPr>
          <w:rFonts w:ascii="Palatino Linotype" w:eastAsia="Palatino Linotype" w:hAnsi="Palatino Linotype" w:cs="Palatino Linotype"/>
          <w:b/>
          <w:i/>
          <w:sz w:val="22"/>
          <w:szCs w:val="22"/>
        </w:rPr>
        <w:t>;</w:t>
      </w:r>
    </w:p>
    <w:p w:rsidR="00FC52F1" w:rsidRDefault="00C80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52F1" w:rsidRDefault="00C80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 (Sic)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 que se robustece con lo señalado por el artículo 57 fracción I Ley de Transparencia y Acceso a la Información Pública del Estado de México y Municipios, que señala:</w:t>
      </w:r>
    </w:p>
    <w:p w:rsidR="00FC52F1" w:rsidRDefault="00C80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rsidR="00FC52F1" w:rsidRDefault="00C8063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I. Contar con</w:t>
      </w:r>
      <w:r>
        <w:rPr>
          <w:rFonts w:ascii="Palatino Linotype" w:eastAsia="Palatino Linotype" w:hAnsi="Palatino Linotype" w:cs="Palatino Linotype"/>
          <w:i/>
          <w:sz w:val="22"/>
          <w:szCs w:val="22"/>
        </w:rPr>
        <w:t xml:space="preserve"> conocimiento o, tratándose de las entidades gubernamentales estatales y los municipios </w:t>
      </w:r>
      <w:r>
        <w:rPr>
          <w:rFonts w:ascii="Palatino Linotype" w:eastAsia="Palatino Linotype" w:hAnsi="Palatino Linotype" w:cs="Palatino Linotype"/>
          <w:b/>
          <w:i/>
          <w:sz w:val="22"/>
          <w:szCs w:val="22"/>
        </w:rPr>
        <w:t>certificación en materia de acceso a la información, transparencia y protección de datos personales, que para tal efecto emita el Instituto</w:t>
      </w:r>
    </w:p>
    <w:p w:rsidR="00FC52F1" w:rsidRDefault="00C8063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Experiencia en materia de acceso a la información y protección de datos personales…” (Sic)</w:t>
      </w:r>
    </w:p>
    <w:p w:rsidR="00D273AE" w:rsidRDefault="00D273AE" w:rsidP="00D273AE">
      <w:pPr>
        <w:spacing w:before="240" w:after="240" w:line="360" w:lineRule="auto"/>
        <w:ind w:right="51"/>
        <w:contextualSpacing/>
        <w:jc w:val="both"/>
        <w:rPr>
          <w:rFonts w:ascii="Palatino Linotype" w:eastAsia="Palatino Linotype" w:hAnsi="Palatino Linotype" w:cs="Palatino Linotype"/>
          <w:color w:val="FF0000"/>
        </w:rPr>
      </w:pPr>
    </w:p>
    <w:p w:rsidR="00FC52F1" w:rsidRDefault="00C80637" w:rsidP="00D273AE">
      <w:pPr>
        <w:spacing w:before="240" w:after="24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Con lo que se confirma que el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seis meses para acreditar su certificación de competencia laboral, lo que acreditó el </w:t>
      </w:r>
      <w:r>
        <w:rPr>
          <w:rFonts w:ascii="Palatino Linotype" w:eastAsia="Palatino Linotype" w:hAnsi="Palatino Linotype" w:cs="Palatino Linotype"/>
          <w:b/>
        </w:rPr>
        <w:t>SUJETO OBLIGADO</w:t>
      </w:r>
      <w:r>
        <w:rPr>
          <w:rFonts w:ascii="Palatino Linotype" w:eastAsia="Palatino Linotype" w:hAnsi="Palatino Linotype" w:cs="Palatino Linotype"/>
        </w:rPr>
        <w:t>, al señalar que dicha certificación está en proceso; luego entonces, el pronunciamiento del Organismo Público Descentralizado para la Prestación de los Servicios de Agua Potable Alcantarillado y Saneamiento de Nicolás Romero, se traduce como un hecho negativo, colmando con ello el derecho de acceso a la información pública del particular y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FC52F1" w:rsidRDefault="00FC52F1">
      <w:pPr>
        <w:spacing w:line="360" w:lineRule="auto"/>
        <w:jc w:val="both"/>
        <w:rPr>
          <w:rFonts w:ascii="Palatino Linotype" w:eastAsia="Palatino Linotype" w:hAnsi="Palatino Linotype" w:cs="Palatino Linotype"/>
        </w:rPr>
      </w:pPr>
    </w:p>
    <w:p w:rsidR="00FC52F1" w:rsidRDefault="00C80637">
      <w:pPr>
        <w:spacing w:before="120" w:after="120"/>
        <w:ind w:left="709" w:right="851"/>
        <w:jc w:val="center"/>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HECHOS NEGATIVOS, NO SON SUSCEPTIBLES DE DEMOSTRACIÓN</w:t>
      </w:r>
      <w:r>
        <w:rPr>
          <w:rFonts w:ascii="Palatino Linotype" w:eastAsia="Palatino Linotype" w:hAnsi="Palatino Linotype" w:cs="Palatino Linotype"/>
          <w:i/>
          <w:sz w:val="22"/>
          <w:szCs w:val="22"/>
        </w:rPr>
        <w:t>.</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FC52F1" w:rsidRDefault="00FC52F1">
      <w:pPr>
        <w:ind w:left="851" w:right="851"/>
        <w:jc w:val="both"/>
        <w:rPr>
          <w:rFonts w:ascii="Palatino Linotype" w:eastAsia="Palatino Linotype" w:hAnsi="Palatino Linotype" w:cs="Palatino Linotype"/>
          <w:i/>
          <w:sz w:val="22"/>
          <w:szCs w:val="22"/>
        </w:rPr>
      </w:pPr>
    </w:p>
    <w:p w:rsidR="00FC52F1" w:rsidRDefault="00C8063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Amparo en revisión 2022/61. José García Florín (Menor). 9 de octubre de 1961. Cinco votos. Ponente: José Rivera Pérez Campos.” (Sic)</w:t>
      </w:r>
    </w:p>
    <w:p w:rsidR="00D273AE" w:rsidRDefault="00D273AE">
      <w:pPr>
        <w:spacing w:before="120" w:line="360" w:lineRule="auto"/>
        <w:ind w:right="51"/>
        <w:contextualSpacing/>
        <w:jc w:val="both"/>
        <w:rPr>
          <w:rFonts w:ascii="Palatino Linotype" w:eastAsia="Palatino Linotype" w:hAnsi="Palatino Linotype" w:cs="Palatino Linotype"/>
        </w:rPr>
      </w:pPr>
    </w:p>
    <w:p w:rsidR="00D273AE" w:rsidRDefault="00D273AE">
      <w:pPr>
        <w:spacing w:before="12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Además, no se debe perder de vista que la actual administración del Ayuntamiento de Nicolás Romero 2022-2024, remplazó en sus funciones a la administración 2019-2021, el pasado nueve de enero del año 2022, por lo que a la fecha de la solicitud (</w:t>
      </w:r>
      <w:r w:rsidR="00135D2E">
        <w:rPr>
          <w:rFonts w:ascii="Palatino Linotype" w:eastAsia="Palatino Linotype" w:hAnsi="Palatino Linotype" w:cs="Palatino Linotype"/>
        </w:rPr>
        <w:t xml:space="preserve">catorce de febrero del año 2022), apenas habían transcurrido un mes y cinco días para cumplir con lo señalado por la fracción IV de la Ley Orgánica Municipal del Estado de México; lo anterior </w:t>
      </w:r>
      <w:r>
        <w:rPr>
          <w:rFonts w:ascii="Palatino Linotype" w:eastAsia="Palatino Linotype" w:hAnsi="Palatino Linotype" w:cs="Palatino Linotype"/>
        </w:rPr>
        <w:t xml:space="preserve">en términos de lo señalado por el artículo 19 de la Ley Orgánica </w:t>
      </w:r>
      <w:r w:rsidR="00135D2E">
        <w:rPr>
          <w:rFonts w:ascii="Palatino Linotype" w:eastAsia="Palatino Linotype" w:hAnsi="Palatino Linotype" w:cs="Palatino Linotype"/>
        </w:rPr>
        <w:t>alusiva</w:t>
      </w:r>
      <w:r>
        <w:rPr>
          <w:rFonts w:ascii="Palatino Linotype" w:eastAsia="Palatino Linotype" w:hAnsi="Palatino Linotype" w:cs="Palatino Linotype"/>
        </w:rPr>
        <w:t xml:space="preserve">, que señala: </w:t>
      </w:r>
    </w:p>
    <w:p w:rsidR="00FC52F1" w:rsidRDefault="00D273AE">
      <w:pPr>
        <w:spacing w:before="12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D273AE" w:rsidRDefault="00D273AE">
      <w:pPr>
        <w:spacing w:after="240" w:line="360" w:lineRule="auto"/>
        <w:ind w:right="49"/>
        <w:jc w:val="both"/>
        <w:rPr>
          <w:rFonts w:ascii="Palatino Linotype" w:eastAsia="Palatino Linotype" w:hAnsi="Palatino Linotype" w:cs="Palatino Linotype"/>
        </w:rPr>
      </w:pPr>
    </w:p>
    <w:p w:rsidR="00FC52F1" w:rsidRDefault="00C80637">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sobre la experiencia del Titular de la Unidad de Transparencia de igual forma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respuesta fue omiso en pronunciarse al respecto; sin embargo, a través de su informe justificado proporcionó el curriculum vitae de la Jefa de dicha unidad administrativa, colmando con ello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Máxime, que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se pronunció sobre la certificación y proporcionó el curriculum vitae, señalados, fue la Jefa de la Unidad de Transparencia, Mejora Regulatoria y Planeación, que de acuerdo al artículo 55 del Reglamento Orgánico del Organismo Público Descentralizado para la </w:t>
      </w:r>
      <w:r>
        <w:rPr>
          <w:rFonts w:ascii="Palatino Linotype" w:eastAsia="Palatino Linotype" w:hAnsi="Palatino Linotype" w:cs="Palatino Linotype"/>
        </w:rPr>
        <w:lastRenderedPageBreak/>
        <w:t>Prestación de los Servicios de Agua Potable, Alcantarillado y Saneamiento del Municipio de Nicolás Romero, tiene las siguientes atribuciones:</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55.- </w:t>
      </w:r>
      <w:r>
        <w:rPr>
          <w:rFonts w:ascii="Palatino Linotype" w:eastAsia="Palatino Linotype" w:hAnsi="Palatino Linotype" w:cs="Palatino Linotype"/>
          <w:b/>
          <w:i/>
          <w:sz w:val="22"/>
          <w:szCs w:val="22"/>
        </w:rPr>
        <w:t xml:space="preserve">La Unidad de Transparencia, Mejora Regulatoria y Planeación </w:t>
      </w:r>
      <w:r>
        <w:rPr>
          <w:rFonts w:ascii="Palatino Linotype" w:eastAsia="Palatino Linotype" w:hAnsi="Palatino Linotype" w:cs="Palatino Linotype"/>
          <w:i/>
          <w:sz w:val="22"/>
          <w:szCs w:val="22"/>
        </w:rPr>
        <w:t xml:space="preserve">es el enlace entre los solicitantes y los sujetos obligados del Organismo; estará a cargo de un Titular, cuyo cargo se denominará Titular de la Unidad de Transparencia, Mejora Regulatoria y Planeación, </w:t>
      </w:r>
      <w:r>
        <w:rPr>
          <w:rFonts w:ascii="Palatino Linotype" w:eastAsia="Palatino Linotype" w:hAnsi="Palatino Linotype" w:cs="Palatino Linotype"/>
          <w:b/>
          <w:i/>
          <w:sz w:val="22"/>
          <w:szCs w:val="22"/>
        </w:rPr>
        <w:t>quien tendrá las siguientes atribuciones y obligaciones:</w:t>
      </w:r>
      <w:r>
        <w:rPr>
          <w:rFonts w:ascii="Palatino Linotype" w:eastAsia="Palatino Linotype" w:hAnsi="Palatino Linotype" w:cs="Palatino Linotype"/>
          <w:i/>
          <w:sz w:val="22"/>
          <w:szCs w:val="22"/>
        </w:rPr>
        <w:t xml:space="preserve">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Recabar, difundir y actualizar la información relativa a las obligaciones de transparencia comunes y específicas a la que se refiere la normatividad de la materia y la que determine el Instituto de Transparencia, Acceso a la Información Pública y Protección de Datos Personales del Estado de México y Municipios (INFOEM); así como propiciar que las áreas la actualicen periódicamente conforme a la normatividad aplicable y reportarle directamente al Director del Organismo;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Recibir, tramitar y dar respuesta a las solicitudes de acceso a la información requeridas al Organismo;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Auxiliar a los particulares en la elaboración de solicitudes de acceso a la información y, en su caso, orientarlos sobre los sujetos obligados competentes conforme a la normatividad aplicable;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Realizar, con efectividad, los trámites internos necesarios para la atención de las solicitudes de acceso a la información;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Entregar, en su caso, a los particulares la información solicitada;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Efectuar las notificaciones a los solicitantes;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Proponer al Comité de Transparencia, los procedimientos internos que aseguren la mayor eficiencia en la gestión de las solicitudes de acceso a la información, conforme a la normatividad aplicable;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Proponer a quien preside el Comité de Transparencia, personal habilitado que sea necesario para recibir y dar trámite a las solicitudes de acceso a la información;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X. Presentar ante el Comité de Transparencia, el proyecto de clasificación de información;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Promover e implementar políticas de transparencia proactiva procurando su accesibilidad;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Fomentar la transparencia y accesibilidad al interior del sujeto obligado;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Hacer del conocimiento de la instancia competente la probable responsabilidad por el incumplimiento de las obligaciones previstas en la normatividad de la materia;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Observar y acatar lo dispuesto por la Ley de Transparencia y Acceso a la Información Pública del Estado de México y Municipios y demás disposiciones aplicables;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Realizar los estudios y proyectos necesarios para el proceso de integración del Plan de Desarrollo Municipal en términos de la Ley de Planeación del Estado de México y Municipios y su reglamento;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 Coordinar con las Dependencias Administrativas y Unidades Administrativas del Organismo la integración y, en su caso, actualización de los programas anuales;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 Integrar los informes sobre los resultados de la gestión pública, previstos por la Ley, en coordinación con las Dependencias Administrativas y Unidades Administrativas que integran el Organismo;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XVIII. Verificar periódicamente que con la asignación y ejercicio de los recursos, se dé el alcance de los objetivos, metas y prioridades del plan y los programas implementados por el Organismo;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XIX. Participar, en coordinación con la Subdirección de Administración y Finanzas, en las tareas relativas a efectuar la integración del presupuesto anual con base a resultados;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 Realizar los estudios y proyectos que le sean encomendados por el Secretario Técnico de la Dirección;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 Verificar que los planes y programas tengan indicadores de desempeño acordes a los objetivos planteados y evaluables;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XXII. Realizar los estudios necesarios para la dirección y orientación de las políticas públicas;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XXIII. Integra, actualizar y operar un sistema de información, planeación, programación y evaluación eficiente;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XXIV. Administrar y organizar el sistema de indicadores del Organismo;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XXV. Vigilar el Presupuesto de las áreas y su correcta aplicación conforme al presupuesto basado en resultados; y </w:t>
      </w:r>
    </w:p>
    <w:p w:rsidR="00FC52F1" w:rsidRDefault="00C80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XXVI. Las que le confieran otros ordenamientos jurídicos y el Reglamento Orgánico; así como aquellas que le instruya el Consejo, el Director del Organismo, dentro del marco normativo aplicable. Para el cumplimiento de sus atribuciones y obligaciones, el Titular de la Unidad de Transparencia, Mejora Regulatoria y Planeación se auxiliará de los servidores públicos habilitados conforme a la normatividad vigente.”(Sic)</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al haber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Órgano Garante estima conveniente señalar que no está facultado para manifestarse sobre la veracidad de la información proporcionada, ya que no existe precepto legal alguno en la Ley de la Materia que permita, vía recurso de revisión, se pronuncie al respecto, sirve de apoyo a lo anterior el Criterio 31-10 previamente señalado. </w:t>
      </w:r>
    </w:p>
    <w:p w:rsidR="00FC52F1" w:rsidRDefault="00C80637" w:rsidP="00AD075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tercer lugar, sobre el motivos de inconformidad del </w:t>
      </w:r>
      <w:r w:rsidRPr="00AD0753">
        <w:rPr>
          <w:rFonts w:ascii="Palatino Linotype" w:eastAsia="Palatino Linotype" w:hAnsi="Palatino Linotype" w:cs="Palatino Linotype"/>
          <w:b/>
        </w:rPr>
        <w:t>RECURRENTE</w:t>
      </w:r>
      <w:r>
        <w:rPr>
          <w:rFonts w:ascii="Palatino Linotype" w:eastAsia="Palatino Linotype" w:hAnsi="Palatino Linotype" w:cs="Palatino Linotype"/>
        </w:rPr>
        <w:t xml:space="preserve"> en donde señalo: </w:t>
      </w:r>
      <w:r>
        <w:rPr>
          <w:rFonts w:ascii="Palatino Linotype" w:eastAsia="Palatino Linotype" w:hAnsi="Palatino Linotype" w:cs="Palatino Linotype"/>
          <w:i/>
        </w:rPr>
        <w:t xml:space="preserve">“El sujeto obligado menciona la ley de agua en la cual es en el articulo 38 en su ultimo parrafo donde se indica que el director general requerirá experiencia minima de 3 años en servicios de agua o infraestructura hidráulica o bien, contar con experiencia comprobada técnica, administrativa, de gestión, dictaminación, de investigación, en la prestación de los servicios públicos o cualquier otra, relacionada con la materia. Es por lo cual, el sujeto obligado no hizo entrega del documento que acredite lo señalada en el párrafo anterior por que el curriculum vitae no lo establece ni lo demuestra en los términos que lo solicite.” (Sic), </w:t>
      </w:r>
      <w:r w:rsidR="00AD0753">
        <w:rPr>
          <w:rFonts w:ascii="Palatino Linotype" w:eastAsia="Palatino Linotype" w:hAnsi="Palatino Linotype" w:cs="Palatino Linotype"/>
        </w:rPr>
        <w:t xml:space="preserve">por lo anterior de una revisión al curriculum vitae del Director </w:t>
      </w:r>
      <w:r w:rsidR="00AD0753">
        <w:rPr>
          <w:rFonts w:ascii="Palatino Linotype" w:eastAsia="Palatino Linotype" w:hAnsi="Palatino Linotype" w:cs="Palatino Linotype"/>
        </w:rPr>
        <w:lastRenderedPageBreak/>
        <w:t xml:space="preserve">General, remitido por el </w:t>
      </w:r>
      <w:r w:rsidR="00AD0753" w:rsidRPr="00AD0753">
        <w:rPr>
          <w:rFonts w:ascii="Palatino Linotype" w:eastAsia="Palatino Linotype" w:hAnsi="Palatino Linotype" w:cs="Palatino Linotype"/>
          <w:b/>
        </w:rPr>
        <w:t>SUJETO OBLIGADO</w:t>
      </w:r>
      <w:r w:rsidR="00AD0753">
        <w:rPr>
          <w:rFonts w:ascii="Palatino Linotype" w:eastAsia="Palatino Linotype" w:hAnsi="Palatino Linotype" w:cs="Palatino Linotype"/>
        </w:rPr>
        <w:t xml:space="preserve"> en respuesta, como se advierte a continuación:</w:t>
      </w:r>
    </w:p>
    <w:p w:rsidR="00FC52F1" w:rsidRDefault="00FC52F1">
      <w:pPr>
        <w:spacing w:before="240" w:after="240" w:line="360" w:lineRule="auto"/>
        <w:ind w:right="-93"/>
        <w:jc w:val="both"/>
      </w:pPr>
    </w:p>
    <w:p w:rsidR="00FC52F1" w:rsidRDefault="00C80637">
      <w:pPr>
        <w:spacing w:before="240" w:after="240" w:line="360" w:lineRule="auto"/>
        <w:ind w:right="-93"/>
        <w:jc w:val="both"/>
        <w:rPr>
          <w:rFonts w:ascii="Palatino Linotype" w:eastAsia="Palatino Linotype" w:hAnsi="Palatino Linotype" w:cs="Palatino Linotype"/>
        </w:rPr>
      </w:pPr>
      <w:r>
        <w:rPr>
          <w:noProof/>
          <w:lang w:val="es-MX"/>
        </w:rPr>
        <w:drawing>
          <wp:inline distT="0" distB="0" distL="0" distR="0">
            <wp:extent cx="5549900" cy="5232400"/>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42770" t="17502" r="28264" b="8066"/>
                    <a:stretch>
                      <a:fillRect/>
                    </a:stretch>
                  </pic:blipFill>
                  <pic:spPr>
                    <a:xfrm>
                      <a:off x="0" y="0"/>
                      <a:ext cx="5549900" cy="5232400"/>
                    </a:xfrm>
                    <a:prstGeom prst="rect">
                      <a:avLst/>
                    </a:prstGeom>
                    <a:ln/>
                  </pic:spPr>
                </pic:pic>
              </a:graphicData>
            </a:graphic>
          </wp:inline>
        </w:drawing>
      </w:r>
    </w:p>
    <w:p w:rsidR="00AD0753" w:rsidRDefault="00E27E2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Efectivamente no cumple con el requisito señalo por el último párrafo del artículo 38 de la Ley del Agua del Estado de México, que señala:</w:t>
      </w:r>
    </w:p>
    <w:p w:rsidR="00E27E29" w:rsidRDefault="00E27E29">
      <w:pPr>
        <w:spacing w:line="360" w:lineRule="auto"/>
        <w:jc w:val="both"/>
        <w:rPr>
          <w:rFonts w:ascii="Palatino Linotype" w:eastAsia="Palatino Linotype" w:hAnsi="Palatino Linotype" w:cs="Palatino Linotype"/>
        </w:rPr>
      </w:pPr>
    </w:p>
    <w:p w:rsidR="00E27E29" w:rsidRDefault="00E27E29" w:rsidP="00E27E29">
      <w:pPr>
        <w:ind w:left="851" w:right="851"/>
        <w:jc w:val="both"/>
        <w:rPr>
          <w:rFonts w:ascii="Palatino Linotype" w:eastAsia="Palatino Linotype" w:hAnsi="Palatino Linotype" w:cs="Palatino Linotype"/>
          <w:i/>
          <w:sz w:val="22"/>
          <w:szCs w:val="22"/>
        </w:rPr>
      </w:pPr>
      <w:r w:rsidRPr="00E27E29">
        <w:rPr>
          <w:rFonts w:ascii="Palatino Linotype" w:eastAsia="Palatino Linotype" w:hAnsi="Palatino Linotype" w:cs="Palatino Linotype"/>
          <w:b/>
          <w:i/>
          <w:sz w:val="22"/>
          <w:szCs w:val="22"/>
        </w:rPr>
        <w:t>Artículo 38.- La administración de los organismos operadores municipales estará a cargo de un</w:t>
      </w:r>
      <w:r w:rsidRPr="00E27E29">
        <w:rPr>
          <w:rFonts w:ascii="Palatino Linotype" w:eastAsia="Palatino Linotype" w:hAnsi="Palatino Linotype" w:cs="Palatino Linotype"/>
          <w:i/>
          <w:sz w:val="22"/>
          <w:szCs w:val="22"/>
        </w:rPr>
        <w:t xml:space="preserve"> consejo directivo y un </w:t>
      </w:r>
      <w:r w:rsidRPr="00E27E29">
        <w:rPr>
          <w:rFonts w:ascii="Palatino Linotype" w:eastAsia="Palatino Linotype" w:hAnsi="Palatino Linotype" w:cs="Palatino Linotype"/>
          <w:b/>
          <w:i/>
          <w:sz w:val="22"/>
          <w:szCs w:val="22"/>
        </w:rPr>
        <w:t>director general.</w:t>
      </w:r>
      <w:r w:rsidRPr="00E27E29">
        <w:rPr>
          <w:rFonts w:ascii="Palatino Linotype" w:eastAsia="Palatino Linotype" w:hAnsi="Palatino Linotype" w:cs="Palatino Linotype"/>
          <w:i/>
          <w:sz w:val="22"/>
          <w:szCs w:val="22"/>
        </w:rPr>
        <w:t xml:space="preserve"> </w:t>
      </w:r>
    </w:p>
    <w:p w:rsidR="00E27E29" w:rsidRDefault="00E27E29" w:rsidP="00E27E2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27E29" w:rsidRPr="00E27E29" w:rsidRDefault="00E27E29" w:rsidP="00E27E29">
      <w:pPr>
        <w:ind w:left="851" w:right="851"/>
        <w:jc w:val="both"/>
        <w:rPr>
          <w:rFonts w:ascii="Palatino Linotype" w:eastAsia="Palatino Linotype" w:hAnsi="Palatino Linotype" w:cs="Palatino Linotype"/>
          <w:i/>
          <w:sz w:val="22"/>
          <w:szCs w:val="22"/>
        </w:rPr>
      </w:pPr>
      <w:r w:rsidRPr="00E27E29">
        <w:rPr>
          <w:rFonts w:ascii="Palatino Linotype" w:eastAsia="Palatino Linotype" w:hAnsi="Palatino Linotype" w:cs="Palatino Linotype"/>
          <w:b/>
          <w:i/>
          <w:sz w:val="22"/>
          <w:szCs w:val="22"/>
        </w:rPr>
        <w:t>Para ocupar el cargo de Director General, se requerirá experiencia mínima de tres años en servicios de agua o infraestructura hidráulica; o bien, contar con experiencia comprobada técnica, administrativa, de gestión, dictaminación, de investigación, en la prestación de los servicios públicos o cualquier otra, relacionada con la materia</w:t>
      </w:r>
      <w:r w:rsidRPr="00E27E29">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(Sic)</w:t>
      </w:r>
    </w:p>
    <w:p w:rsidR="00E27E29" w:rsidRDefault="00E27E29">
      <w:pPr>
        <w:spacing w:line="360" w:lineRule="auto"/>
        <w:jc w:val="both"/>
        <w:rPr>
          <w:rFonts w:ascii="Palatino Linotype" w:eastAsia="Palatino Linotype" w:hAnsi="Palatino Linotype" w:cs="Palatino Linotype"/>
        </w:rPr>
      </w:pPr>
    </w:p>
    <w:p w:rsidR="00135D2E"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se colige que curriculum vitae, </w:t>
      </w:r>
      <w:r w:rsidR="00E27E29">
        <w:rPr>
          <w:rFonts w:ascii="Palatino Linotype" w:eastAsia="Palatino Linotype" w:hAnsi="Palatino Linotype" w:cs="Palatino Linotype"/>
        </w:rPr>
        <w:t xml:space="preserve">no </w:t>
      </w:r>
      <w:r>
        <w:rPr>
          <w:rFonts w:ascii="Palatino Linotype" w:eastAsia="Palatino Linotype" w:hAnsi="Palatino Linotype" w:cs="Palatino Linotype"/>
        </w:rPr>
        <w:t xml:space="preserve">reúne las características de información requerida, es decir, </w:t>
      </w:r>
      <w:r w:rsidR="00E27E29">
        <w:rPr>
          <w:rFonts w:ascii="Palatino Linotype" w:eastAsia="Palatino Linotype" w:hAnsi="Palatino Linotype" w:cs="Palatino Linotype"/>
        </w:rPr>
        <w:t xml:space="preserve">que dicho documento no acredita que el Director General del </w:t>
      </w:r>
      <w:r w:rsidR="00E27E29" w:rsidRPr="00E27E29">
        <w:rPr>
          <w:rFonts w:ascii="Palatino Linotype" w:eastAsia="Palatino Linotype" w:hAnsi="Palatino Linotype" w:cs="Palatino Linotype"/>
          <w:b/>
        </w:rPr>
        <w:t>SUJETO OBLIGADO</w:t>
      </w:r>
      <w:r w:rsidR="00E27E29">
        <w:rPr>
          <w:rFonts w:ascii="Palatino Linotype" w:eastAsia="Palatino Linotype" w:hAnsi="Palatino Linotype" w:cs="Palatino Linotype"/>
        </w:rPr>
        <w:t xml:space="preserve">, tenga una experiencia </w:t>
      </w:r>
      <w:r w:rsidR="00E27E29" w:rsidRPr="00E27E29">
        <w:rPr>
          <w:rFonts w:ascii="Palatino Linotype" w:eastAsia="Palatino Linotype" w:hAnsi="Palatino Linotype" w:cs="Palatino Linotype"/>
        </w:rPr>
        <w:t>en servicios de agua o infraestructura hidráulica</w:t>
      </w:r>
      <w:r w:rsidR="00135D2E">
        <w:rPr>
          <w:rFonts w:ascii="Palatino Linotype" w:eastAsia="Palatino Linotype" w:hAnsi="Palatino Linotype" w:cs="Palatino Linotype"/>
        </w:rPr>
        <w:t>.</w:t>
      </w:r>
    </w:p>
    <w:p w:rsidR="00135D2E" w:rsidRDefault="00135D2E">
      <w:pPr>
        <w:spacing w:line="360" w:lineRule="auto"/>
        <w:jc w:val="both"/>
        <w:rPr>
          <w:rFonts w:ascii="Palatino Linotype" w:eastAsia="Palatino Linotype" w:hAnsi="Palatino Linotype" w:cs="Palatino Linotype"/>
        </w:rPr>
      </w:pPr>
    </w:p>
    <w:p w:rsidR="00135D2E" w:rsidRDefault="00135D2E" w:rsidP="00135D2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respecta al curriculum vitae, es el documento que las personas elaboran con los datos principalmente de preparación académica y </w:t>
      </w:r>
      <w:r>
        <w:rPr>
          <w:rFonts w:ascii="Palatino Linotype" w:eastAsia="Palatino Linotype" w:hAnsi="Palatino Linotype" w:cs="Palatino Linotype"/>
          <w:b/>
          <w:u w:val="single"/>
        </w:rPr>
        <w:t>experiencia profesional</w:t>
      </w:r>
      <w:r>
        <w:rPr>
          <w:rFonts w:ascii="Palatino Linotype" w:eastAsia="Palatino Linotype" w:hAnsi="Palatino Linotype" w:cs="Palatino Linotype"/>
        </w:rPr>
        <w:t xml:space="preserve"> con la finalidad de presentarlo ante un posible empleador, por lo que, dicho documento permite identificar el nivel de conocimiento de su titular, su perfil profesional y/o laboral. </w:t>
      </w:r>
    </w:p>
    <w:p w:rsidR="00135D2E" w:rsidRDefault="00135D2E" w:rsidP="00135D2E">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si bien, el documento referido es elaborado por cada persona sin ninguna validez oficial, el cual tiene como objetivo que las personas conozcan la </w:t>
      </w:r>
      <w:r>
        <w:rPr>
          <w:rFonts w:ascii="Palatino Linotype" w:eastAsia="Palatino Linotype" w:hAnsi="Palatino Linotype" w:cs="Palatino Linotype"/>
        </w:rPr>
        <w:lastRenderedPageBreak/>
        <w:t xml:space="preserve">trayectoria de quien lo presenta, situación que toma mayor relevancia al tratarse de aquel que ostenta un cargo en la administración; por lo que, existe un interés público para dar a conocer su contenido, pues transparenta que el personal que labora para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cuenta con las capacidades, conocimientos y experiencia necesaria para el cabal cumplimiento de sus funciones. </w:t>
      </w:r>
    </w:p>
    <w:p w:rsidR="00135D2E" w:rsidRDefault="00135D2E" w:rsidP="00135D2E">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debe apuntarse que esta información constituye una obligación de transparencia, pues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135D2E" w:rsidRDefault="00135D2E" w:rsidP="00135D2E">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35D2E" w:rsidRDefault="00135D2E" w:rsidP="00135D2E">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135D2E" w:rsidRDefault="00135D2E" w:rsidP="00135D2E">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Pr>
          <w:rFonts w:ascii="Palatino Linotype" w:eastAsia="Palatino Linotype" w:hAnsi="Palatino Linotype" w:cs="Palatino Linotype"/>
          <w:i/>
          <w:color w:val="000000"/>
          <w:sz w:val="22"/>
          <w:szCs w:val="22"/>
        </w:rPr>
        <w:t>, así como, en su caso, las sanciones administrativas de que haya sido objeto;” (Sic)</w:t>
      </w:r>
    </w:p>
    <w:p w:rsidR="00135D2E" w:rsidRDefault="00135D2E" w:rsidP="00135D2E">
      <w:pPr>
        <w:ind w:left="567" w:right="902"/>
        <w:jc w:val="both"/>
        <w:rPr>
          <w:rFonts w:ascii="Palatino Linotype" w:eastAsia="Palatino Linotype" w:hAnsi="Palatino Linotype" w:cs="Palatino Linotype"/>
          <w:i/>
          <w:color w:val="000000"/>
          <w:sz w:val="22"/>
          <w:szCs w:val="22"/>
        </w:rPr>
      </w:pPr>
    </w:p>
    <w:p w:rsidR="00135D2E" w:rsidRDefault="00135D2E" w:rsidP="00135D2E">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w:t>
      </w:r>
      <w:r>
        <w:rPr>
          <w:rFonts w:ascii="Palatino Linotype" w:eastAsia="Palatino Linotype" w:hAnsi="Palatino Linotype" w:cs="Palatino Linotype"/>
          <w:color w:val="000000"/>
        </w:rPr>
        <w:lastRenderedPageBreak/>
        <w:t xml:space="preserve">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135D2E" w:rsidRDefault="00135D2E" w:rsidP="00135D2E">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rsidR="00135D2E" w:rsidRDefault="00135D2E" w:rsidP="00135D2E">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Pr>
          <w:rFonts w:ascii="Palatino Linotype" w:eastAsia="Palatino Linotype" w:hAnsi="Palatino Linotype" w:cs="Palatino Linotype"/>
          <w:i/>
          <w:color w:val="000000"/>
          <w:sz w:val="22"/>
          <w:szCs w:val="22"/>
        </w:rPr>
        <w:t xml:space="preserve">. </w:t>
      </w:r>
    </w:p>
    <w:p w:rsidR="00135D2E" w:rsidRDefault="00135D2E" w:rsidP="00135D2E">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rsidR="00135D2E" w:rsidRDefault="00135D2E" w:rsidP="00135D2E">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Periodo de actualización: trimestral </w:t>
      </w:r>
    </w:p>
    <w:p w:rsidR="00135D2E" w:rsidRDefault="00135D2E" w:rsidP="00135D2E">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rsidR="00135D2E" w:rsidRDefault="00135D2E" w:rsidP="00135D2E">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en el sitio de Internet: información vigente </w:t>
      </w:r>
    </w:p>
    <w:p w:rsidR="00135D2E" w:rsidRDefault="00135D2E" w:rsidP="00135D2E">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Aplica a: todos los sujetos obligados</w:t>
      </w:r>
      <w:r>
        <w:rPr>
          <w:rFonts w:ascii="Palatino Linotype" w:eastAsia="Palatino Linotype" w:hAnsi="Palatino Linotype" w:cs="Palatino Linotype"/>
          <w:i/>
          <w:color w:val="000000"/>
          <w:sz w:val="22"/>
          <w:szCs w:val="22"/>
        </w:rPr>
        <w:t>”(Sic)</w:t>
      </w:r>
    </w:p>
    <w:p w:rsidR="00135D2E" w:rsidRDefault="00306931" w:rsidP="00135D2E">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noProof/>
          <w:color w:val="000000"/>
          <w:sz w:val="22"/>
          <w:szCs w:val="22"/>
          <w:lang w:val="es-MX"/>
        </w:rPr>
        <mc:AlternateContent>
          <mc:Choice Requires="wps">
            <w:drawing>
              <wp:anchor distT="0" distB="0" distL="114300" distR="114300" simplePos="0" relativeHeight="251666432" behindDoc="0" locked="0" layoutInCell="1" allowOverlap="1">
                <wp:simplePos x="0" y="0"/>
                <wp:positionH relativeFrom="column">
                  <wp:posOffset>75565</wp:posOffset>
                </wp:positionH>
                <wp:positionV relativeFrom="paragraph">
                  <wp:posOffset>99060</wp:posOffset>
                </wp:positionV>
                <wp:extent cx="5403850" cy="1555750"/>
                <wp:effectExtent l="38100" t="38100" r="63500" b="82550"/>
                <wp:wrapNone/>
                <wp:docPr id="1" name="Conector recto 1"/>
                <wp:cNvGraphicFramePr/>
                <a:graphic xmlns:a="http://schemas.openxmlformats.org/drawingml/2006/main">
                  <a:graphicData uri="http://schemas.microsoft.com/office/word/2010/wordprocessingShape">
                    <wps:wsp>
                      <wps:cNvCnPr/>
                      <wps:spPr>
                        <a:xfrm>
                          <a:off x="0" y="0"/>
                          <a:ext cx="5403850" cy="155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7FB8D98" id="Conector recto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95pt,7.8pt" to="431.45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" strokecolor="black [3200]" strokeweight="2pt">
                <v:shadow on="t" color="black" opacity="24903f" origin=",.5" offset="0,.55556mm"/>
              </v:line>
            </w:pict>
          </mc:Fallback>
        </mc:AlternateContent>
      </w:r>
    </w:p>
    <w:p w:rsidR="00135D2E" w:rsidRDefault="00135D2E" w:rsidP="00135D2E">
      <w:pPr>
        <w:spacing w:after="240" w:line="360" w:lineRule="auto"/>
        <w:ind w:right="51"/>
        <w:jc w:val="both"/>
        <w:rPr>
          <w:rFonts w:ascii="Palatino Linotype" w:eastAsia="Palatino Linotype" w:hAnsi="Palatino Linotype" w:cs="Palatino Linotype"/>
          <w:color w:val="000000"/>
        </w:rPr>
      </w:pPr>
      <w:r>
        <w:rPr>
          <w:noProof/>
          <w:lang w:val="es-MX"/>
        </w:rPr>
        <w:lastRenderedPageBreak/>
        <mc:AlternateContent>
          <mc:Choice Requires="wps">
            <w:drawing>
              <wp:anchor distT="0" distB="0" distL="114300" distR="114300" simplePos="0" relativeHeight="251665408" behindDoc="0" locked="0" layoutInCell="1" hidden="0" allowOverlap="1" wp14:anchorId="19BBAD63" wp14:editId="4FF768CF">
                <wp:simplePos x="0" y="0"/>
                <wp:positionH relativeFrom="column">
                  <wp:posOffset>-13335</wp:posOffset>
                </wp:positionH>
                <wp:positionV relativeFrom="paragraph">
                  <wp:posOffset>891540</wp:posOffset>
                </wp:positionV>
                <wp:extent cx="5238750" cy="1041400"/>
                <wp:effectExtent l="19050" t="19050" r="19050" b="25400"/>
                <wp:wrapNone/>
                <wp:docPr id="125" name="Rectángulo 125"/>
                <wp:cNvGraphicFramePr/>
                <a:graphic xmlns:a="http://schemas.openxmlformats.org/drawingml/2006/main">
                  <a:graphicData uri="http://schemas.microsoft.com/office/word/2010/wordprocessingShape">
                    <wps:wsp>
                      <wps:cNvSpPr/>
                      <wps:spPr>
                        <a:xfrm>
                          <a:off x="0" y="0"/>
                          <a:ext cx="5238750" cy="1041400"/>
                        </a:xfrm>
                        <a:prstGeom prst="rect">
                          <a:avLst/>
                        </a:prstGeom>
                        <a:noFill/>
                        <a:ln w="28575" cap="flat" cmpd="sng">
                          <a:solidFill>
                            <a:srgbClr val="002060"/>
                          </a:solidFill>
                          <a:prstDash val="solid"/>
                          <a:miter lim="800000"/>
                          <a:headEnd type="none" w="sm" len="sm"/>
                          <a:tailEnd type="none" w="sm" len="sm"/>
                        </a:ln>
                      </wps:spPr>
                      <wps:txbx>
                        <w:txbxContent>
                          <w:p w:rsidR="00135D2E" w:rsidRDefault="00135D2E" w:rsidP="00135D2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9BBAD63" id="Rectángulo 125" o:spid="_x0000_s1026" style="position:absolute;left:0;text-align:left;margin-left:-1.05pt;margin-top:70.2pt;width:412.5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" filled="f" strokecolor="#002060" strokeweight="2.25pt">
                <v:stroke startarrowwidth="narrow" startarrowlength="short" endarrowwidth="narrow" endarrowlength="short"/>
                <v:textbox inset="2.53958mm,2.53958mm,2.53958mm,2.53958mm">
                  <w:txbxContent>
                    <w:p w:rsidR="00135D2E" w:rsidRDefault="00135D2E" w:rsidP="00135D2E">
                      <w:pPr>
                        <w:textDirection w:val="btLr"/>
                      </w:pPr>
                    </w:p>
                  </w:txbxContent>
                </v:textbox>
              </v:rect>
            </w:pict>
          </mc:Fallback>
        </mc:AlternateContent>
      </w:r>
      <w:r>
        <w:rPr>
          <w:rFonts w:ascii="Palatino Linotype" w:eastAsia="Palatino Linotype" w:hAnsi="Palatino Linotype" w:cs="Palatino Linotype"/>
          <w:noProof/>
          <w:color w:val="000000"/>
          <w:lang w:val="es-MX"/>
        </w:rPr>
        <w:drawing>
          <wp:inline distT="0" distB="0" distL="0" distR="0" wp14:anchorId="098602EB" wp14:editId="752AB195">
            <wp:extent cx="5671856" cy="3623017"/>
            <wp:effectExtent l="0" t="0" r="0" b="0"/>
            <wp:docPr id="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671856" cy="3623017"/>
                    </a:xfrm>
                    <a:prstGeom prst="rect">
                      <a:avLst/>
                    </a:prstGeom>
                    <a:ln/>
                  </pic:spPr>
                </pic:pic>
              </a:graphicData>
            </a:graphic>
          </wp:inline>
        </w:drawing>
      </w:r>
    </w:p>
    <w:p w:rsidR="00135D2E" w:rsidRDefault="00135D2E" w:rsidP="00135D2E">
      <w:pPr>
        <w:spacing w:before="240" w:after="240" w:line="360" w:lineRule="auto"/>
        <w:ind w:right="51"/>
        <w:jc w:val="both"/>
        <w:rPr>
          <w:rFonts w:ascii="Palatino Linotype" w:eastAsia="Palatino Linotype" w:hAnsi="Palatino Linotype" w:cs="Palatino Linotype"/>
          <w:color w:val="FF0000"/>
          <w:highlight w:val="green"/>
        </w:rPr>
      </w:pPr>
      <w:r>
        <w:rPr>
          <w:rFonts w:ascii="Palatino Linotype" w:eastAsia="Palatino Linotype" w:hAnsi="Palatino Linotype" w:cs="Palatino Linotype"/>
          <w:noProof/>
          <w:color w:val="FF0000"/>
          <w:highlight w:val="green"/>
          <w:lang w:val="es-MX"/>
        </w:rPr>
        <w:drawing>
          <wp:inline distT="0" distB="0" distL="0" distR="0" wp14:anchorId="489294E5" wp14:editId="3A66FD6B">
            <wp:extent cx="5610225" cy="2679700"/>
            <wp:effectExtent l="0" t="0" r="9525" b="6350"/>
            <wp:docPr id="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610225" cy="2679700"/>
                    </a:xfrm>
                    <a:prstGeom prst="rect">
                      <a:avLst/>
                    </a:prstGeom>
                    <a:ln/>
                  </pic:spPr>
                </pic:pic>
              </a:graphicData>
            </a:graphic>
          </wp:inline>
        </w:drawing>
      </w:r>
    </w:p>
    <w:p w:rsidR="00135D2E" w:rsidRDefault="00135D2E" w:rsidP="00135D2E">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Como se aprecia en el dispositivo legal citado, lo sujetos obligados deben publicar la información curricular desde el nivel del jefe de departamento o equivalente, hasta el titular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como se apreció en la cita, 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 debe precisarse que dicha circunstancia no es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óbice para que se encuentre impedido a contar con dicha información respecto de todos los servidores públicos con los que tenga una relación laboral.</w:t>
      </w:r>
    </w:p>
    <w:p w:rsidR="00135D2E" w:rsidRDefault="00135D2E" w:rsidP="00135D2E">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una de las formas en que los ciudadanos pueden evaluar las aptitudes para desempeñar un cargo público determinado, es mediante la publicidad de ciertos datos contenidos en el currículum vitae,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rsidR="00135D2E" w:rsidRDefault="00135D2E" w:rsidP="00135D2E">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A mayor abundamiento conviene mencionar, el Criterio 03/09 emitido por el Pleno del entonces Instituto Federal de Acceso a la Información y Protección de Datos establece que: </w:t>
      </w:r>
    </w:p>
    <w:p w:rsidR="00135D2E" w:rsidRDefault="00135D2E" w:rsidP="00135D2E">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lastRenderedPageBreak/>
        <w:t xml:space="preserve">“Curriculum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r w:rsidR="00907E4F">
        <w:rPr>
          <w:rFonts w:ascii="Palatino Linotype" w:eastAsia="Palatino Linotype" w:hAnsi="Palatino Linotype" w:cs="Palatino Linotype"/>
          <w:i/>
          <w:sz w:val="22"/>
          <w:szCs w:val="22"/>
        </w:rPr>
        <w:t>(Sic)</w:t>
      </w:r>
    </w:p>
    <w:p w:rsidR="00135D2E" w:rsidRDefault="00135D2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w:t>
      </w:r>
      <w:r w:rsidR="00E27E29">
        <w:rPr>
          <w:rFonts w:ascii="Palatino Linotype" w:eastAsia="Palatino Linotype" w:hAnsi="Palatino Linotype" w:cs="Palatino Linotype"/>
        </w:rPr>
        <w:t xml:space="preserve">or consiguiente, el existir una fuente obligacional en el que señala que se debe acreditar dicha experiencia para ser Director General, el </w:t>
      </w:r>
      <w:r w:rsidR="00E27E29" w:rsidRPr="00E27E29">
        <w:rPr>
          <w:rFonts w:ascii="Palatino Linotype" w:eastAsia="Palatino Linotype" w:hAnsi="Palatino Linotype" w:cs="Palatino Linotype"/>
          <w:b/>
        </w:rPr>
        <w:t>SUJETO OBLIGADO</w:t>
      </w:r>
      <w:r w:rsidR="00E27E29">
        <w:rPr>
          <w:rFonts w:ascii="Palatino Linotype" w:eastAsia="Palatino Linotype" w:hAnsi="Palatino Linotype" w:cs="Palatino Linotype"/>
        </w:rPr>
        <w:t xml:space="preserve">, deberá hacer entrega previa búsqueda exhaustiva del documento la experiencia del Director General en </w:t>
      </w:r>
      <w:r w:rsidR="00E27E29" w:rsidRPr="00E27E29">
        <w:rPr>
          <w:rFonts w:ascii="Palatino Linotype" w:eastAsia="Palatino Linotype" w:hAnsi="Palatino Linotype" w:cs="Palatino Linotype"/>
        </w:rPr>
        <w:t>ser</w:t>
      </w:r>
      <w:r w:rsidR="00E27E29">
        <w:rPr>
          <w:rFonts w:ascii="Palatino Linotype" w:eastAsia="Palatino Linotype" w:hAnsi="Palatino Linotype" w:cs="Palatino Linotype"/>
        </w:rPr>
        <w:t xml:space="preserve">vicios de agua, </w:t>
      </w:r>
      <w:r w:rsidR="00E27E29" w:rsidRPr="00E27E29">
        <w:rPr>
          <w:rFonts w:ascii="Palatino Linotype" w:eastAsia="Palatino Linotype" w:hAnsi="Palatino Linotype" w:cs="Palatino Linotype"/>
        </w:rPr>
        <w:t>infraestructura hidráulica</w:t>
      </w:r>
      <w:r w:rsidR="00E27E29">
        <w:rPr>
          <w:rFonts w:ascii="Palatino Linotype" w:eastAsia="Palatino Linotype" w:hAnsi="Palatino Linotype" w:cs="Palatino Linotype"/>
        </w:rPr>
        <w:t xml:space="preserve">, </w:t>
      </w:r>
      <w:r w:rsidR="00E27E29" w:rsidRPr="00E27E29">
        <w:rPr>
          <w:rFonts w:ascii="Palatino Linotype" w:eastAsia="Palatino Linotype" w:hAnsi="Palatino Linotype" w:cs="Palatino Linotype"/>
        </w:rPr>
        <w:t>técnica, administra</w:t>
      </w:r>
      <w:r w:rsidR="00E27E29">
        <w:rPr>
          <w:rFonts w:ascii="Palatino Linotype" w:eastAsia="Palatino Linotype" w:hAnsi="Palatino Linotype" w:cs="Palatino Linotype"/>
        </w:rPr>
        <w:t>tiva, de gestión, dictaminación o</w:t>
      </w:r>
      <w:r w:rsidR="00E27E29" w:rsidRPr="00E27E29">
        <w:rPr>
          <w:rFonts w:ascii="Palatino Linotype" w:eastAsia="Palatino Linotype" w:hAnsi="Palatino Linotype" w:cs="Palatino Linotype"/>
        </w:rPr>
        <w:t xml:space="preserve"> de investigación</w:t>
      </w:r>
      <w:r w:rsidR="00E27E29">
        <w:rPr>
          <w:rFonts w:ascii="Palatino Linotype" w:eastAsia="Palatino Linotype" w:hAnsi="Palatino Linotype" w:cs="Palatino Linotype"/>
        </w:rPr>
        <w:t xml:space="preserve"> y de ser procedente en </w:t>
      </w:r>
      <w:r w:rsidR="00E27E29">
        <w:rPr>
          <w:rFonts w:ascii="Palatino Linotype" w:eastAsia="Palatino Linotype" w:hAnsi="Palatino Linotype" w:cs="Palatino Linotype"/>
        </w:rPr>
        <w:lastRenderedPageBreak/>
        <w:t xml:space="preserve">versión pública conforme a lo señalado por el considerando quinto del presente fallo. </w:t>
      </w:r>
    </w:p>
    <w:p w:rsidR="00E27E29" w:rsidRDefault="00E27E29">
      <w:pPr>
        <w:spacing w:line="360" w:lineRule="auto"/>
        <w:jc w:val="both"/>
        <w:rPr>
          <w:rFonts w:ascii="Palatino Linotype" w:eastAsia="Palatino Linotype" w:hAnsi="Palatino Linotype" w:cs="Palatino Linotype"/>
        </w:rPr>
      </w:pPr>
    </w:p>
    <w:p w:rsidR="00E27E29" w:rsidRDefault="00E27E29" w:rsidP="00E27E2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supuesto, de actualizarse la circunstancia fáctica de que derivado de una búsqueda exhaustiva y razonable</w:t>
      </w:r>
      <w:r w:rsidR="00AD5873">
        <w:rPr>
          <w:rFonts w:ascii="Palatino Linotype" w:eastAsia="Palatino Linotype" w:hAnsi="Palatino Linotype" w:cs="Palatino Linotype"/>
        </w:rPr>
        <w:t xml:space="preserve"> que se ordena</w:t>
      </w:r>
      <w:r>
        <w:rPr>
          <w:rFonts w:ascii="Palatino Linotype" w:eastAsia="Palatino Linotype" w:hAnsi="Palatino Linotype" w:cs="Palatino Linotype"/>
        </w:rPr>
        <w:t xml:space="preserve">, por alguna razón, la información solicitada no obre en sus archivos, tendrá que realizar un Acuerdo de Inexistencia de la Información y notificárselo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rsidR="00E27E29" w:rsidRDefault="00E27E29" w:rsidP="00E27E29">
      <w:pPr>
        <w:spacing w:line="360" w:lineRule="auto"/>
        <w:jc w:val="both"/>
        <w:rPr>
          <w:rFonts w:ascii="Palatino Linotype" w:eastAsia="Palatino Linotype" w:hAnsi="Palatino Linotype" w:cs="Palatino Linotype"/>
        </w:rPr>
      </w:pPr>
    </w:p>
    <w:p w:rsidR="00E27E29" w:rsidRDefault="00E27E29" w:rsidP="00E27E2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correspondiente, de acuerdo a los artículos 47 y 49, fracciones II y III, de </w:t>
      </w:r>
      <w:r>
        <w:rPr>
          <w:rFonts w:ascii="Palatino Linotype" w:eastAsia="Palatino Linotype" w:hAnsi="Palatino Linotype" w:cs="Palatino Linotype"/>
        </w:rPr>
        <w:lastRenderedPageBreak/>
        <w:t>la Ley de Transparencia y Acceso a la Información Pública del Estado de México y Municipios:</w:t>
      </w:r>
    </w:p>
    <w:p w:rsidR="00E27E29" w:rsidRDefault="00E27E29" w:rsidP="00E27E29">
      <w:pPr>
        <w:spacing w:line="360" w:lineRule="auto"/>
        <w:jc w:val="both"/>
        <w:rPr>
          <w:rFonts w:ascii="Palatino Linotype" w:eastAsia="Palatino Linotype" w:hAnsi="Palatino Linotype" w:cs="Palatino Linotype"/>
        </w:rPr>
      </w:pPr>
    </w:p>
    <w:p w:rsidR="00E27E29" w:rsidRDefault="00907E4F"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sidR="00E27E29">
        <w:rPr>
          <w:rFonts w:ascii="Palatino Linotype" w:eastAsia="Palatino Linotype" w:hAnsi="Palatino Linotype" w:cs="Palatino Linotype"/>
          <w:b/>
          <w:i/>
          <w:sz w:val="22"/>
          <w:szCs w:val="22"/>
        </w:rPr>
        <w:t>Artículo 47.</w:t>
      </w:r>
      <w:r w:rsidR="00E27E29">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27E29" w:rsidRDefault="00E27E29" w:rsidP="00E27E29">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lastRenderedPageBreak/>
        <w:t>XIII. Dictaminar las declaratorias de inexistencia de la información que les remitan las unidades administrat</w:t>
      </w:r>
      <w:r w:rsidR="00907E4F">
        <w:rPr>
          <w:rFonts w:ascii="Palatino Linotype" w:eastAsia="Palatino Linotype" w:hAnsi="Palatino Linotype" w:cs="Palatino Linotype"/>
          <w:i/>
          <w:sz w:val="22"/>
          <w:szCs w:val="22"/>
        </w:rPr>
        <w:t>ivas y resolver en consecuencia…”(Sic)</w:t>
      </w:r>
    </w:p>
    <w:p w:rsidR="00E27E29" w:rsidRDefault="00E27E29" w:rsidP="00E27E29">
      <w:pPr>
        <w:spacing w:line="360" w:lineRule="auto"/>
        <w:jc w:val="both"/>
        <w:rPr>
          <w:rFonts w:ascii="Palatino Linotype" w:eastAsia="Palatino Linotype" w:hAnsi="Palatino Linotype" w:cs="Palatino Linotype"/>
          <w:i/>
        </w:rPr>
      </w:pPr>
    </w:p>
    <w:p w:rsidR="00E27E29" w:rsidRDefault="00E27E29" w:rsidP="00E27E2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E27E29" w:rsidRDefault="00E27E29" w:rsidP="00E27E29">
      <w:pPr>
        <w:spacing w:line="360" w:lineRule="auto"/>
        <w:jc w:val="both"/>
        <w:rPr>
          <w:rFonts w:ascii="Palatino Linotype" w:eastAsia="Palatino Linotype" w:hAnsi="Palatino Linotype" w:cs="Palatino Linotype"/>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E27E29" w:rsidRDefault="00E27E29" w:rsidP="00E27E29">
      <w:pPr>
        <w:ind w:left="567" w:right="567"/>
        <w:jc w:val="both"/>
        <w:rPr>
          <w:rFonts w:ascii="Palatino Linotype" w:eastAsia="Palatino Linotype" w:hAnsi="Palatino Linotype" w:cs="Palatino Linotype"/>
          <w:i/>
          <w:sz w:val="22"/>
          <w:szCs w:val="22"/>
        </w:rPr>
      </w:pPr>
    </w:p>
    <w:p w:rsidR="00E27E29" w:rsidRDefault="00E27E29" w:rsidP="00E27E2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E27E29" w:rsidRDefault="00E27E29" w:rsidP="00E27E29">
      <w:pPr>
        <w:ind w:left="567" w:right="567"/>
        <w:jc w:val="both"/>
        <w:rPr>
          <w:rFonts w:ascii="Palatino Linotype" w:eastAsia="Palatino Linotype" w:hAnsi="Palatino Linotype" w:cs="Palatino Linotype"/>
        </w:rPr>
      </w:pPr>
    </w:p>
    <w:p w:rsidR="00E27E29" w:rsidRDefault="00E27E29" w:rsidP="00E27E2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E27E29" w:rsidRDefault="00E27E29" w:rsidP="00E27E29">
      <w:pPr>
        <w:spacing w:line="360" w:lineRule="auto"/>
        <w:jc w:val="both"/>
        <w:rPr>
          <w:rFonts w:ascii="Palatino Linotype" w:eastAsia="Palatino Linotype" w:hAnsi="Palatino Linotype" w:cs="Palatino Linotype"/>
        </w:rPr>
      </w:pPr>
    </w:p>
    <w:p w:rsidR="00E27E29" w:rsidRDefault="00E27E29" w:rsidP="00E27E2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E27E29" w:rsidRDefault="00E27E29" w:rsidP="00E27E29">
      <w:pPr>
        <w:numPr>
          <w:ilvl w:val="0"/>
          <w:numId w:val="6"/>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rsidR="00E27E29" w:rsidRDefault="00E27E29" w:rsidP="00E27E29">
      <w:pPr>
        <w:numPr>
          <w:ilvl w:val="0"/>
          <w:numId w:val="6"/>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rsidR="00E27E29" w:rsidRDefault="00E27E29" w:rsidP="00E27E29">
      <w:pPr>
        <w:numPr>
          <w:ilvl w:val="0"/>
          <w:numId w:val="6"/>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E27E29" w:rsidRDefault="00E27E29" w:rsidP="00E27E29">
      <w:pPr>
        <w:pBdr>
          <w:top w:val="nil"/>
          <w:left w:val="nil"/>
          <w:bottom w:val="nil"/>
          <w:right w:val="nil"/>
          <w:between w:val="nil"/>
        </w:pBdr>
        <w:rPr>
          <w:color w:val="000000"/>
        </w:rPr>
      </w:pPr>
    </w:p>
    <w:p w:rsidR="00E27E29" w:rsidRDefault="00E27E29" w:rsidP="00E27E29">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tales circunstancias, se considera que para que los Sujetos Obligados justifiquen que realizaron una búsqueda exhaustiva y razonable, deben indicar de manera clara, lo siguiente:</w:t>
      </w:r>
    </w:p>
    <w:p w:rsidR="00E27E29" w:rsidRDefault="00E27E29" w:rsidP="00E27E29">
      <w:pPr>
        <w:numPr>
          <w:ilvl w:val="0"/>
          <w:numId w:val="5"/>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rsidR="00E27E29" w:rsidRDefault="00E27E29" w:rsidP="00E27E29">
      <w:pPr>
        <w:numPr>
          <w:ilvl w:val="0"/>
          <w:numId w:val="5"/>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rsidR="00E27E29" w:rsidRDefault="00E27E29" w:rsidP="00E27E29">
      <w:pPr>
        <w:numPr>
          <w:ilvl w:val="0"/>
          <w:numId w:val="5"/>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criterios de búsqueda utilizados, y </w:t>
      </w:r>
    </w:p>
    <w:p w:rsidR="00E27E29" w:rsidRDefault="00E27E29" w:rsidP="00E27E29">
      <w:pPr>
        <w:numPr>
          <w:ilvl w:val="0"/>
          <w:numId w:val="5"/>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E27E29" w:rsidRDefault="00E27E29">
      <w:pPr>
        <w:spacing w:line="360" w:lineRule="auto"/>
        <w:jc w:val="both"/>
        <w:rPr>
          <w:rFonts w:ascii="Palatino Linotype" w:eastAsia="Palatino Linotype" w:hAnsi="Palatino Linotype" w:cs="Palatino Linotype"/>
        </w:rPr>
      </w:pPr>
    </w:p>
    <w:p w:rsidR="00AD5873" w:rsidRPr="00AD5873" w:rsidRDefault="00AD5873" w:rsidP="00AD5873">
      <w:pPr>
        <w:spacing w:line="360" w:lineRule="auto"/>
        <w:ind w:right="49"/>
        <w:jc w:val="both"/>
        <w:rPr>
          <w:rFonts w:ascii="Palatino Linotype" w:eastAsia="Palatino Linotype" w:hAnsi="Palatino Linotype" w:cs="Palatino Linotype"/>
        </w:rPr>
      </w:pPr>
      <w:r w:rsidRPr="00AD5873">
        <w:rPr>
          <w:rFonts w:ascii="Palatino Linotype" w:eastAsia="Palatino Linotype" w:hAnsi="Palatino Linotype" w:cs="Palatino Linotype"/>
        </w:rPr>
        <w:t xml:space="preserve">En pertinente señalar en este punto, que sobre el tituló del Director General del </w:t>
      </w:r>
      <w:r w:rsidRPr="00AD5873">
        <w:rPr>
          <w:rFonts w:ascii="Palatino Linotype" w:eastAsia="Palatino Linotype" w:hAnsi="Palatino Linotype" w:cs="Palatino Linotype"/>
          <w:b/>
        </w:rPr>
        <w:t>SUJETO OBLIGADO</w:t>
      </w:r>
      <w:r w:rsidRPr="00AD5873">
        <w:rPr>
          <w:rFonts w:ascii="Palatino Linotype" w:eastAsia="Palatino Linotype" w:hAnsi="Palatino Linotype" w:cs="Palatino Linotype"/>
        </w:rPr>
        <w:t xml:space="preserve">, si bien es cierto que el particular solicito el título de esté; sin embargo, de la información remitida en respuesta en específico del curriculum vitae del Director General </w:t>
      </w:r>
      <w:r w:rsidRPr="00AD5873">
        <w:rPr>
          <w:rFonts w:ascii="Palatino Linotype" w:eastAsia="Palatino Linotype" w:hAnsi="Palatino Linotype" w:cs="Palatino Linotype"/>
          <w:b/>
          <w:sz w:val="22"/>
          <w:szCs w:val="22"/>
        </w:rPr>
        <w:t>Organismo Público Descentralizado para la Prestación de Los Servicios de Agua Potable Alcantarillado y Saneamiento de Nicolás Romero</w:t>
      </w:r>
      <w:r w:rsidRPr="00AD5873">
        <w:rPr>
          <w:rFonts w:ascii="Palatino Linotype" w:eastAsia="Palatino Linotype" w:hAnsi="Palatino Linotype" w:cs="Palatino Linotype"/>
        </w:rPr>
        <w:t xml:space="preserve">, se advierte que su último grados de estudios es de bachillerato; por consiguiente, resulta procedente suplir la deficiencia de la queja en términos de la </w:t>
      </w:r>
      <w:r w:rsidRPr="00AD5873">
        <w:rPr>
          <w:rFonts w:ascii="Palatino Linotype" w:eastAsia="Palatino Linotype" w:hAnsi="Palatino Linotype" w:cs="Palatino Linotype"/>
          <w:b/>
        </w:rPr>
        <w:t>Ley de Transparencia y Acceso a la Información Pública del Estado de México y Municipios</w:t>
      </w:r>
      <w:r w:rsidRPr="00AD5873">
        <w:rPr>
          <w:rFonts w:ascii="Palatino Linotype" w:eastAsia="Palatino Linotype" w:hAnsi="Palatino Linotype" w:cs="Palatino Linotype"/>
        </w:rPr>
        <w:t>, concretamente en sus artículos 13 y 181, tercer párrafo, donde se señala el deber de este Instituto de suplir cualquier deficiencia para garantizar el derecho de acceso a la información a favor de los recurrentes sin cambiar los hechos expuestos; tal y como se lee a continuación:</w:t>
      </w:r>
    </w:p>
    <w:p w:rsidR="00AD5873" w:rsidRPr="00AD5873" w:rsidRDefault="00AD5873" w:rsidP="00AD5873">
      <w:pPr>
        <w:spacing w:line="360" w:lineRule="auto"/>
        <w:ind w:right="49"/>
        <w:jc w:val="both"/>
      </w:pPr>
    </w:p>
    <w:p w:rsidR="00AD5873" w:rsidRPr="00AD5873" w:rsidRDefault="00AD5873" w:rsidP="00AD5873">
      <w:pPr>
        <w:shd w:val="clear" w:color="auto" w:fill="FFFFFF"/>
        <w:spacing w:line="360" w:lineRule="auto"/>
        <w:ind w:left="567" w:right="567"/>
        <w:jc w:val="both"/>
        <w:rPr>
          <w:sz w:val="22"/>
          <w:szCs w:val="22"/>
        </w:rPr>
      </w:pPr>
      <w:r w:rsidRPr="00AD5873">
        <w:rPr>
          <w:rFonts w:ascii="Palatino Linotype" w:eastAsia="Palatino Linotype" w:hAnsi="Palatino Linotype" w:cs="Palatino Linotype"/>
          <w:b/>
          <w:i/>
          <w:sz w:val="22"/>
          <w:szCs w:val="22"/>
        </w:rPr>
        <w:t>“Artículo 13</w:t>
      </w:r>
      <w:r w:rsidRPr="00AD5873">
        <w:rPr>
          <w:rFonts w:ascii="Palatino Linotype" w:eastAsia="Palatino Linotype" w:hAnsi="Palatino Linotype" w:cs="Palatino Linotype"/>
          <w:i/>
          <w:sz w:val="22"/>
          <w:szCs w:val="22"/>
        </w:rPr>
        <w:t>. El Instituto, en el ámbito de sus atribuciones, deberá suplir cualquier deficiencia para garantizar el ejercicio del derecho de acceso a la información.</w:t>
      </w:r>
    </w:p>
    <w:p w:rsidR="00AD5873" w:rsidRPr="00AD5873" w:rsidRDefault="00AD5873" w:rsidP="00AD5873">
      <w:pPr>
        <w:shd w:val="clear" w:color="auto" w:fill="FFFFFF"/>
        <w:ind w:left="567" w:right="567"/>
        <w:jc w:val="both"/>
        <w:rPr>
          <w:sz w:val="22"/>
          <w:szCs w:val="22"/>
        </w:rPr>
      </w:pPr>
      <w:r w:rsidRPr="00AD5873">
        <w:rPr>
          <w:rFonts w:ascii="Palatino Linotype" w:eastAsia="Palatino Linotype" w:hAnsi="Palatino Linotype" w:cs="Palatino Linotype"/>
          <w:b/>
          <w:i/>
          <w:sz w:val="22"/>
          <w:szCs w:val="22"/>
        </w:rPr>
        <w:t>Artículo 181.</w:t>
      </w:r>
      <w:r w:rsidRPr="00AD5873">
        <w:rPr>
          <w:rFonts w:ascii="Palatino Linotype" w:eastAsia="Palatino Linotype" w:hAnsi="Palatino Linotype" w:cs="Palatino Linotype"/>
          <w:i/>
          <w:sz w:val="22"/>
          <w:szCs w:val="22"/>
        </w:rPr>
        <w:t> </w:t>
      </w:r>
    </w:p>
    <w:p w:rsidR="00AD5873" w:rsidRPr="00AD5873" w:rsidRDefault="00AD5873" w:rsidP="00AD5873">
      <w:pPr>
        <w:shd w:val="clear" w:color="auto" w:fill="FFFFFF"/>
        <w:ind w:left="567" w:right="567"/>
        <w:jc w:val="both"/>
        <w:rPr>
          <w:sz w:val="22"/>
          <w:szCs w:val="22"/>
        </w:rPr>
      </w:pPr>
      <w:r w:rsidRPr="00AD5873">
        <w:rPr>
          <w:rFonts w:ascii="Palatino Linotype" w:eastAsia="Palatino Linotype" w:hAnsi="Palatino Linotype" w:cs="Palatino Linotype"/>
          <w:i/>
          <w:sz w:val="22"/>
          <w:szCs w:val="22"/>
        </w:rPr>
        <w:t>(…)</w:t>
      </w:r>
    </w:p>
    <w:p w:rsidR="00AD5873" w:rsidRPr="00AD5873" w:rsidRDefault="00AD5873" w:rsidP="00AD5873">
      <w:pPr>
        <w:shd w:val="clear" w:color="auto" w:fill="FFFFFF"/>
        <w:spacing w:line="360" w:lineRule="auto"/>
        <w:ind w:left="567" w:right="567"/>
        <w:jc w:val="both"/>
        <w:rPr>
          <w:sz w:val="22"/>
          <w:szCs w:val="22"/>
        </w:rPr>
      </w:pPr>
      <w:r w:rsidRPr="00AD5873">
        <w:rPr>
          <w:rFonts w:ascii="Palatino Linotype" w:eastAsia="Palatino Linotype" w:hAnsi="Palatino Linotype" w:cs="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 (Sic)</w:t>
      </w:r>
    </w:p>
    <w:p w:rsidR="00AD5873" w:rsidRPr="00AD5873" w:rsidRDefault="00AD5873" w:rsidP="00AD5873">
      <w:pPr>
        <w:shd w:val="clear" w:color="auto" w:fill="FFFFFF"/>
        <w:spacing w:line="360" w:lineRule="auto"/>
        <w:ind w:right="567"/>
        <w:jc w:val="both"/>
      </w:pPr>
      <w:r w:rsidRPr="00AD5873">
        <w:t> </w:t>
      </w:r>
    </w:p>
    <w:p w:rsidR="00AD5873" w:rsidRPr="00AD5873" w:rsidRDefault="00AD5873" w:rsidP="00AD5873">
      <w:pPr>
        <w:shd w:val="clear" w:color="auto" w:fill="FFFFFF"/>
        <w:spacing w:line="360" w:lineRule="auto"/>
        <w:jc w:val="both"/>
        <w:rPr>
          <w:rFonts w:ascii="Palatino Linotype" w:eastAsia="Palatino Linotype" w:hAnsi="Palatino Linotype" w:cs="Palatino Linotype"/>
        </w:rPr>
      </w:pPr>
      <w:r w:rsidRPr="00AD5873">
        <w:rPr>
          <w:rFonts w:ascii="Palatino Linotype" w:eastAsia="Palatino Linotype" w:hAnsi="Palatino Linotype" w:cs="Palatino Linotype"/>
        </w:rPr>
        <w:t>Así también en armonía con lo señalado en la jurisprudencia y en la tesis aislada, emitida por la Suprema Corte de Justicia de la Nación, que llevan por rubro respectivamente; “</w:t>
      </w:r>
      <w:r w:rsidRPr="00AD5873">
        <w:rPr>
          <w:rFonts w:ascii="Palatino Linotype" w:eastAsia="Palatino Linotype" w:hAnsi="Palatino Linotype" w:cs="Palatino Linotype"/>
          <w:i/>
        </w:rPr>
        <w:t>SUPLENCIA DE LA QUEJA DEFICIENTE SU PROCEDENCIA EN OTRAS MATERIAS, AUN A FALTA DE CONCEPTO DE VIOLACIÓN O AGRAVIO, CUANDO SE ADVIERTA VIOLACIÓN GRAVE Y MANIFIESTA DE LA LEY”</w:t>
      </w:r>
      <w:r w:rsidRPr="00AD5873">
        <w:rPr>
          <w:rFonts w:ascii="Palatino Linotype" w:eastAsia="Palatino Linotype" w:hAnsi="Palatino Linotype" w:cs="Palatino Linotype"/>
        </w:rPr>
        <w:t xml:space="preserve"> y </w:t>
      </w:r>
      <w:r w:rsidRPr="00AD5873">
        <w:rPr>
          <w:rFonts w:ascii="Palatino Linotype" w:eastAsia="Palatino Linotype" w:hAnsi="Palatino Linotype" w:cs="Palatino Linotype"/>
          <w:i/>
        </w:rPr>
        <w:t>“SUPLENCIA DE LA QUEJA DEFICIENTE EN MATERIAS CIVIL Y ADMINISTRATIVA (INTERPRETACIÓN DEL ARTÍCULO 79, FRACCIÓN VI, DE LA LEY DE AMPARO).”</w:t>
      </w:r>
      <w:r w:rsidRPr="00AD5873">
        <w:rPr>
          <w:rFonts w:ascii="Palatino Linotype" w:eastAsia="Palatino Linotype" w:hAnsi="Palatino Linotype" w:cs="Palatino Linotype"/>
        </w:rPr>
        <w:t>, que indican esencialmente que es obligación del juzgador suplir la queja deficiente ante una violación evidente de la ley que haya dejado sin defensa al particular, aún ante la ausencia de concepto de violación con el fin de evitar el beneficio de una de las partes a costa de la indefensión de la otra.</w:t>
      </w:r>
    </w:p>
    <w:p w:rsidR="00AD5873" w:rsidRPr="00AD5873" w:rsidRDefault="00AD5873" w:rsidP="00AD5873">
      <w:pPr>
        <w:shd w:val="clear" w:color="auto" w:fill="FFFFFF"/>
        <w:spacing w:line="360" w:lineRule="auto"/>
        <w:jc w:val="both"/>
      </w:pPr>
    </w:p>
    <w:p w:rsidR="00AD5873" w:rsidRPr="00AD5873" w:rsidRDefault="00AD5873" w:rsidP="00AD5873">
      <w:pPr>
        <w:spacing w:line="360" w:lineRule="auto"/>
        <w:jc w:val="both"/>
        <w:rPr>
          <w:rFonts w:ascii="Palatino Linotype" w:eastAsia="Palatino Linotype" w:hAnsi="Palatino Linotype" w:cs="Palatino Linotype"/>
        </w:rPr>
      </w:pPr>
      <w:r w:rsidRPr="00AD5873">
        <w:rPr>
          <w:rFonts w:ascii="Palatino Linotype" w:eastAsia="Palatino Linotype" w:hAnsi="Palatino Linotype" w:cs="Palatino Linotype"/>
          <w:highlight w:val="white"/>
        </w:rPr>
        <w:t xml:space="preserve">Lo anterior, se estima resulta aplicable en el caso concreto, derivado de que si bien es cierto la petición del particular consistió en acceder al título profesional, </w:t>
      </w:r>
      <w:r w:rsidRPr="00AD5873">
        <w:rPr>
          <w:rFonts w:ascii="Palatino Linotype" w:eastAsia="Palatino Linotype" w:hAnsi="Palatino Linotype" w:cs="Palatino Linotype"/>
        </w:rPr>
        <w:t xml:space="preserve">bajo la </w:t>
      </w:r>
      <w:r w:rsidRPr="00AD5873">
        <w:rPr>
          <w:rFonts w:ascii="Palatino Linotype" w:eastAsia="Palatino Linotype" w:hAnsi="Palatino Linotype" w:cs="Palatino Linotype"/>
        </w:rPr>
        <w:lastRenderedPageBreak/>
        <w:t xml:space="preserve">óptica de esta autoridad se precisa que el particular requiere es el documento que acredite el grado máximo de estudios del citado servidor público, lo anterior es así toda vez que de la consulta al currículo vitae se puede apreciar que aún no cuenta con un título profesional, tal como se advierte a continuación: </w:t>
      </w:r>
    </w:p>
    <w:p w:rsidR="00AD5873" w:rsidRDefault="00AD5873" w:rsidP="00AD5873">
      <w:pPr>
        <w:spacing w:line="360" w:lineRule="auto"/>
        <w:jc w:val="both"/>
        <w:rPr>
          <w:rFonts w:ascii="Palatino Linotype" w:eastAsia="Palatino Linotype" w:hAnsi="Palatino Linotype" w:cs="Palatino Linotype"/>
          <w:color w:val="000000"/>
        </w:rPr>
      </w:pPr>
    </w:p>
    <w:p w:rsidR="00AD5873" w:rsidRDefault="00AD5873" w:rsidP="00AD5873">
      <w:pPr>
        <w:jc w:val="both"/>
        <w:rPr>
          <w:noProof/>
          <w:lang w:val="es-MX"/>
        </w:rPr>
      </w:pPr>
    </w:p>
    <w:p w:rsidR="00AD5873" w:rsidRDefault="00AD5873" w:rsidP="00AD5873">
      <w:pPr>
        <w:jc w:val="both"/>
        <w:rPr>
          <w:rFonts w:ascii="Palatino Linotype" w:eastAsia="Palatino Linotype" w:hAnsi="Palatino Linotype" w:cs="Palatino Linotype"/>
          <w:color w:val="000000"/>
        </w:rPr>
      </w:pPr>
      <w:r>
        <w:rPr>
          <w:noProof/>
          <w:lang w:val="es-MX"/>
        </w:rPr>
        <mc:AlternateContent>
          <mc:Choice Requires="wps">
            <w:drawing>
              <wp:anchor distT="0" distB="0" distL="114300" distR="114300" simplePos="0" relativeHeight="251661312" behindDoc="0" locked="0" layoutInCell="1" allowOverlap="1" wp14:anchorId="2BD241B1" wp14:editId="3C2EF9FE">
                <wp:simplePos x="0" y="0"/>
                <wp:positionH relativeFrom="column">
                  <wp:posOffset>518663</wp:posOffset>
                </wp:positionH>
                <wp:positionV relativeFrom="paragraph">
                  <wp:posOffset>349453</wp:posOffset>
                </wp:positionV>
                <wp:extent cx="2445879" cy="538542"/>
                <wp:effectExtent l="57150" t="38100" r="69215" b="90170"/>
                <wp:wrapNone/>
                <wp:docPr id="5" name="Rectángulo 5"/>
                <wp:cNvGraphicFramePr/>
                <a:graphic xmlns:a="http://schemas.openxmlformats.org/drawingml/2006/main">
                  <a:graphicData uri="http://schemas.microsoft.com/office/word/2010/wordprocessingShape">
                    <wps:wsp>
                      <wps:cNvSpPr/>
                      <wps:spPr>
                        <a:xfrm>
                          <a:off x="0" y="0"/>
                          <a:ext cx="2445879" cy="538542"/>
                        </a:xfrm>
                        <a:prstGeom prst="rect">
                          <a:avLst/>
                        </a:prstGeom>
                        <a:noFill/>
                        <a:ln w="28575"/>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CF6B66F" id="Rectángulo 5" o:spid="_x0000_s1026" style="position:absolute;margin-left:40.85pt;margin-top:27.5pt;width:192.6pt;height:4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" filled="f" strokecolor="black [3040]" strokeweight="2.25pt">
                <v:shadow on="t" color="black" opacity="22937f" origin=",.5" offset="0,.63889mm"/>
              </v:rect>
            </w:pict>
          </mc:Fallback>
        </mc:AlternateContent>
      </w:r>
      <w:r>
        <w:rPr>
          <w:noProof/>
          <w:lang w:val="es-MX"/>
        </w:rPr>
        <w:drawing>
          <wp:inline distT="0" distB="0" distL="0" distR="0" wp14:anchorId="7139652E" wp14:editId="41EB82BB">
            <wp:extent cx="5221388" cy="28217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581" t="14039" r="8436" b="11300"/>
                    <a:stretch/>
                  </pic:blipFill>
                  <pic:spPr bwMode="auto">
                    <a:xfrm>
                      <a:off x="0" y="0"/>
                      <a:ext cx="5243087" cy="2833464"/>
                    </a:xfrm>
                    <a:prstGeom prst="rect">
                      <a:avLst/>
                    </a:prstGeom>
                    <a:ln>
                      <a:noFill/>
                    </a:ln>
                    <a:extLst>
                      <a:ext uri="{53640926-AAD7-44D8-BBD7-CCE9431645EC}">
                        <a14:shadowObscured xmlns:a14="http://schemas.microsoft.com/office/drawing/2010/main"/>
                      </a:ext>
                    </a:extLst>
                  </pic:spPr>
                </pic:pic>
              </a:graphicData>
            </a:graphic>
          </wp:inline>
        </w:drawing>
      </w:r>
    </w:p>
    <w:p w:rsidR="00AD5873" w:rsidRDefault="00AD5873" w:rsidP="00AD5873">
      <w:pPr>
        <w:jc w:val="both"/>
        <w:rPr>
          <w:rFonts w:ascii="Palatino Linotype" w:eastAsia="Palatino Linotype" w:hAnsi="Palatino Linotype" w:cs="Palatino Linotype"/>
          <w:color w:val="000000"/>
        </w:rPr>
      </w:pPr>
    </w:p>
    <w:p w:rsidR="00AD5873" w:rsidRDefault="00AD5873" w:rsidP="00AD5873">
      <w:pPr>
        <w:spacing w:line="360" w:lineRule="auto"/>
        <w:jc w:val="both"/>
        <w:rPr>
          <w:rFonts w:ascii="Palatino Linotype" w:eastAsia="Palatino Linotype" w:hAnsi="Palatino Linotype" w:cs="Palatino Linotype"/>
        </w:rPr>
      </w:pPr>
      <w:r w:rsidRPr="00AD5873">
        <w:rPr>
          <w:rFonts w:ascii="Palatino Linotype" w:eastAsia="Palatino Linotype" w:hAnsi="Palatino Linotype" w:cs="Palatino Linotype"/>
        </w:rPr>
        <w:t xml:space="preserve">En este sentido los documentos que pueden dar cuenta de ello, de conformidad con el artículo 171 de la Ley de Educación del Estado de México, pudiera ser en efecto el certificado, constancias, diplomas, en términos de lo dispuesto por los artículos 172 y 173 de la citada Ley, el certificado de estudios es el documento oficial mediante el cual la Autoridad Educativa Estatal reconoce que los educandos han concluido un nivel educativo determinado, en los tipos de educación básica, media superior y </w:t>
      </w:r>
      <w:r w:rsidRPr="00AD5873">
        <w:rPr>
          <w:rFonts w:ascii="Palatino Linotype" w:eastAsia="Palatino Linotype" w:hAnsi="Palatino Linotype" w:cs="Palatino Linotype"/>
        </w:rPr>
        <w:lastRenderedPageBreak/>
        <w:t>superior. Para expedir el certificado de estudios, la instancia correspondiente revisará y, en su caso, cotejará con sus archivos, que el educando haya cumplido con todos y cada uno de los requisitos de los planes y programas de estudio del nivel que corresponda.</w:t>
      </w:r>
    </w:p>
    <w:p w:rsidR="00AD5873" w:rsidRDefault="00AD5873" w:rsidP="00AD5873">
      <w:pPr>
        <w:spacing w:line="360" w:lineRule="auto"/>
        <w:jc w:val="both"/>
        <w:rPr>
          <w:rFonts w:ascii="Palatino Linotype" w:eastAsia="Palatino Linotype" w:hAnsi="Palatino Linotype" w:cs="Palatino Linotype"/>
        </w:rPr>
      </w:pPr>
    </w:p>
    <w:p w:rsidR="00AD5873" w:rsidRPr="00AD5873" w:rsidRDefault="00AD5873" w:rsidP="00AD58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colmaría, en su caso la experiencia del Director General por el cual fue asignado a su cargo. </w:t>
      </w:r>
    </w:p>
    <w:p w:rsidR="00AD5873" w:rsidRPr="00F47BD2" w:rsidRDefault="00AD5873" w:rsidP="00AD5873">
      <w:pPr>
        <w:spacing w:line="360" w:lineRule="auto"/>
        <w:jc w:val="both"/>
        <w:rPr>
          <w:rFonts w:ascii="Palatino Linotype" w:eastAsia="Palatino Linotype" w:hAnsi="Palatino Linotype" w:cs="Palatino Linotype"/>
          <w:color w:val="FF0000"/>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cuarto lugar, sobre el motivo de inconformidad del RECURRENTE, en donde señaló: “</w:t>
      </w:r>
      <w:r>
        <w:rPr>
          <w:rFonts w:ascii="Palatino Linotype" w:eastAsia="Palatino Linotype" w:hAnsi="Palatino Linotype" w:cs="Palatino Linotype"/>
          <w:i/>
        </w:rPr>
        <w:t>De la ley organica municipal del Estado de México, no se entrego la documentación señalada en el articulo 32 fracciones IV y V, 96, 113 para los cargos de secretario, tesorero y contralor</w:t>
      </w:r>
      <w:r w:rsidR="006B57F0">
        <w:rPr>
          <w:rFonts w:ascii="Palatino Linotype" w:eastAsia="Palatino Linotype" w:hAnsi="Palatino Linotype" w:cs="Palatino Linotype"/>
          <w:i/>
        </w:rPr>
        <w:t xml:space="preserve"> </w:t>
      </w:r>
      <w:r w:rsidR="006B57F0">
        <w:rPr>
          <w:rFonts w:ascii="Palatino Linotype" w:eastAsia="Palatino Linotype" w:hAnsi="Palatino Linotype" w:cs="Palatino Linotype"/>
          <w:i/>
          <w:sz w:val="22"/>
          <w:szCs w:val="22"/>
        </w:rPr>
        <w:t xml:space="preserve">(este ultimo si se entrego la fracción V) </w:t>
      </w:r>
      <w:r>
        <w:rPr>
          <w:rFonts w:ascii="Palatino Linotype" w:eastAsia="Palatino Linotype" w:hAnsi="Palatino Linotype" w:cs="Palatino Linotype"/>
          <w:i/>
        </w:rPr>
        <w:t xml:space="preserve">o sus equivalentes en el organismo auxiliar.” (Sic), </w:t>
      </w:r>
      <w:r>
        <w:rPr>
          <w:rFonts w:ascii="Palatino Linotype" w:eastAsia="Palatino Linotype" w:hAnsi="Palatino Linotype" w:cs="Palatino Linotype"/>
        </w:rPr>
        <w:t>debemos partir que es lo que señalan dichos artículos:</w:t>
      </w:r>
    </w:p>
    <w:p w:rsidR="00FC52F1" w:rsidRDefault="00FC52F1">
      <w:pPr>
        <w:spacing w:line="360" w:lineRule="auto"/>
        <w:jc w:val="both"/>
        <w:rPr>
          <w:rFonts w:ascii="Palatino Linotype" w:eastAsia="Palatino Linotype" w:hAnsi="Palatino Linotype" w:cs="Palatino Linotype"/>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Ley Orgánica Municipal del Estado de México, vigente:</w:t>
      </w:r>
    </w:p>
    <w:p w:rsidR="00FC52F1" w:rsidRDefault="00FC52F1">
      <w:pPr>
        <w:spacing w:line="360" w:lineRule="auto"/>
        <w:jc w:val="both"/>
        <w:rPr>
          <w:rFonts w:ascii="Palatino Linotype" w:eastAsia="Palatino Linotype" w:hAnsi="Palatino Linotype" w:cs="Palatino Linotype"/>
        </w:rPr>
      </w:pP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No estar condenada o condenado por sentencia ejecutoriada por el delito de violencia política contra las mujeres en razón de género</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96.- Para ser tesorero municipal se requiere, además de los requisitos del artículos 32 de esta Ley: </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Tener los conocimientos suficientes para poder desempeñar el cargo, a juicio del Ayuntamiento; contar </w:t>
      </w:r>
      <w:r w:rsidRPr="00685331">
        <w:rPr>
          <w:rFonts w:ascii="Palatino Linotype" w:eastAsia="Palatino Linotype" w:hAnsi="Palatino Linotype" w:cs="Palatino Linotype"/>
          <w:b/>
          <w:i/>
          <w:sz w:val="22"/>
          <w:szCs w:val="22"/>
          <w:u w:val="single"/>
        </w:rPr>
        <w:t>con título profesional en las áreas jurídicas</w:t>
      </w:r>
      <w:r w:rsidRPr="00907E4F">
        <w:rPr>
          <w:rFonts w:ascii="Palatino Linotype" w:eastAsia="Palatino Linotype" w:hAnsi="Palatino Linotype" w:cs="Palatino Linotype"/>
          <w:b/>
          <w:i/>
          <w:sz w:val="22"/>
          <w:szCs w:val="22"/>
        </w:rPr>
        <w:t>, económicas o contables administrativas,</w:t>
      </w:r>
      <w:r>
        <w:rPr>
          <w:rFonts w:ascii="Palatino Linotype" w:eastAsia="Palatino Linotype" w:hAnsi="Palatino Linotype" w:cs="Palatino Linotype"/>
          <w:i/>
          <w:sz w:val="22"/>
          <w:szCs w:val="22"/>
        </w:rPr>
        <w:t xml:space="preserve">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El requisito de la certificación de competencia laboral, deberá acreditarse dentro de los seis meses siguientes a la fecha en que inicie funciones. </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Derogada </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Cumplir con otros requisitos que señalen las leyes, o acuerde el ayuntamiento.</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113.- Para ser contralor se requiere cumplir con los requisitos que se exigen para ser tesorero municipal, a excepción de la caución correspondiente</w:t>
      </w:r>
      <w:r w:rsidR="00907E4F">
        <w:rPr>
          <w:rFonts w:ascii="Palatino Linotype" w:eastAsia="Palatino Linotype" w:hAnsi="Palatino Linotype" w:cs="Palatino Linotype"/>
          <w:i/>
          <w:sz w:val="22"/>
          <w:szCs w:val="22"/>
        </w:rPr>
        <w:t>.” (</w:t>
      </w:r>
      <w:r>
        <w:rPr>
          <w:rFonts w:ascii="Palatino Linotype" w:eastAsia="Palatino Linotype" w:hAnsi="Palatino Linotype" w:cs="Palatino Linotype"/>
          <w:i/>
          <w:sz w:val="22"/>
          <w:szCs w:val="22"/>
        </w:rPr>
        <w:t>Sic)</w:t>
      </w:r>
    </w:p>
    <w:p w:rsidR="00AD5873" w:rsidRDefault="00AD5873">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No </w:t>
      </w:r>
      <w:r w:rsidR="00907E4F">
        <w:rPr>
          <w:rFonts w:ascii="Palatino Linotype" w:eastAsia="Palatino Linotype" w:hAnsi="Palatino Linotype" w:cs="Palatino Linotype"/>
        </w:rPr>
        <w:t>obstante,</w:t>
      </w:r>
      <w:r>
        <w:rPr>
          <w:rFonts w:ascii="Palatino Linotype" w:eastAsia="Palatino Linotype" w:hAnsi="Palatino Linotype" w:cs="Palatino Linotype"/>
        </w:rPr>
        <w:t xml:space="preserve"> se aprecia que el </w:t>
      </w:r>
      <w:r w:rsidRPr="00B93FAF">
        <w:rPr>
          <w:rFonts w:ascii="Palatino Linotype" w:eastAsia="Palatino Linotype" w:hAnsi="Palatino Linotype" w:cs="Palatino Linotype"/>
          <w:b/>
        </w:rPr>
        <w:t>RECURRENT</w:t>
      </w:r>
      <w:r>
        <w:rPr>
          <w:rFonts w:ascii="Palatino Linotype" w:eastAsia="Palatino Linotype" w:hAnsi="Palatino Linotype" w:cs="Palatino Linotype"/>
        </w:rPr>
        <w:t xml:space="preserve">E, se refirió a la </w:t>
      </w:r>
      <w:r w:rsidR="00B93FAF">
        <w:rPr>
          <w:rFonts w:ascii="Palatino Linotype" w:eastAsia="Palatino Linotype" w:hAnsi="Palatino Linotype" w:cs="Palatino Linotype"/>
        </w:rPr>
        <w:t xml:space="preserve">Ley Orgánica Municipal del Estado de México, que se reformó </w:t>
      </w:r>
      <w:r w:rsidR="00907E4F">
        <w:rPr>
          <w:rFonts w:ascii="Palatino Linotype" w:eastAsia="Palatino Linotype" w:hAnsi="Palatino Linotype" w:cs="Palatino Linotype"/>
        </w:rPr>
        <w:t xml:space="preserve">el pasado 21 de agosto del 2020, </w:t>
      </w:r>
      <w:r w:rsidR="00B93FAF">
        <w:rPr>
          <w:rFonts w:ascii="Palatino Linotype" w:eastAsia="Palatino Linotype" w:hAnsi="Palatino Linotype" w:cs="Palatino Linotype"/>
        </w:rPr>
        <w:t>que señalaba:</w:t>
      </w:r>
    </w:p>
    <w:p w:rsidR="006B57F0" w:rsidRPr="006B57F0" w:rsidRDefault="006B57F0" w:rsidP="006B57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sidRPr="006B57F0">
        <w:rPr>
          <w:rFonts w:ascii="Palatino Linotype" w:eastAsia="Palatino Linotype" w:hAnsi="Palatino Linotype" w:cs="Palatino Linotype"/>
          <w:i/>
          <w:sz w:val="22"/>
          <w:szCs w:val="22"/>
        </w:rPr>
        <w:t>Artículo 32.- 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w:t>
      </w:r>
      <w:r w:rsidRPr="006B57F0">
        <w:rPr>
          <w:rFonts w:ascii="Palatino Linotype" w:eastAsia="Palatino Linotype" w:hAnsi="Palatino Linotype" w:cs="Palatino Linotype"/>
          <w:i/>
          <w:sz w:val="22"/>
          <w:szCs w:val="22"/>
        </w:rPr>
        <w:br/>
      </w:r>
      <w:r w:rsidRPr="006B57F0">
        <w:rPr>
          <w:rFonts w:ascii="Palatino Linotype" w:eastAsia="Palatino Linotype" w:hAnsi="Palatino Linotype" w:cs="Palatino Linotype"/>
          <w:i/>
          <w:sz w:val="22"/>
          <w:szCs w:val="22"/>
        </w:rPr>
        <w:br/>
        <w:t>I. Ser ciudadano del Estado en pleno uso de sus derechos;</w:t>
      </w:r>
      <w:r w:rsidRPr="006B57F0">
        <w:rPr>
          <w:rFonts w:ascii="Palatino Linotype" w:eastAsia="Palatino Linotype" w:hAnsi="Palatino Linotype" w:cs="Palatino Linotype"/>
          <w:i/>
          <w:sz w:val="22"/>
          <w:szCs w:val="22"/>
        </w:rPr>
        <w:br/>
      </w:r>
      <w:r w:rsidRPr="006B57F0">
        <w:rPr>
          <w:rFonts w:ascii="Palatino Linotype" w:eastAsia="Palatino Linotype" w:hAnsi="Palatino Linotype" w:cs="Palatino Linotype"/>
          <w:i/>
          <w:sz w:val="22"/>
          <w:szCs w:val="22"/>
        </w:rPr>
        <w:br/>
        <w:t>II. No estar inhabilitado para desempeñar cargo, empleo, o comisión pública;</w:t>
      </w:r>
      <w:r w:rsidRPr="006B57F0">
        <w:rPr>
          <w:rFonts w:ascii="Palatino Linotype" w:eastAsia="Palatino Linotype" w:hAnsi="Palatino Linotype" w:cs="Palatino Linotype"/>
          <w:i/>
          <w:sz w:val="22"/>
          <w:szCs w:val="22"/>
        </w:rPr>
        <w:br/>
      </w:r>
      <w:r w:rsidRPr="006B57F0">
        <w:rPr>
          <w:rFonts w:ascii="Palatino Linotype" w:eastAsia="Palatino Linotype" w:hAnsi="Palatino Linotype" w:cs="Palatino Linotype"/>
          <w:i/>
          <w:sz w:val="22"/>
          <w:szCs w:val="22"/>
        </w:rPr>
        <w:br/>
        <w:t>III. No haber sido condenado en proceso penal, por delito intencional que amerite pena privativa de libertad;</w:t>
      </w:r>
      <w:r w:rsidRPr="006B57F0">
        <w:rPr>
          <w:rFonts w:ascii="Palatino Linotype" w:eastAsia="Palatino Linotype" w:hAnsi="Palatino Linotype" w:cs="Palatino Linotype"/>
          <w:i/>
          <w:sz w:val="22"/>
          <w:szCs w:val="22"/>
        </w:rPr>
        <w:br/>
      </w:r>
      <w:r w:rsidRPr="006B57F0">
        <w:rPr>
          <w:rFonts w:ascii="Palatino Linotype" w:eastAsia="Palatino Linotype" w:hAnsi="Palatino Linotype" w:cs="Palatino Linotype"/>
          <w:i/>
          <w:sz w:val="22"/>
          <w:szCs w:val="22"/>
        </w:rPr>
        <w:br/>
      </w:r>
      <w:r w:rsidRPr="006B57F0">
        <w:rPr>
          <w:rFonts w:ascii="Palatino Linotype" w:eastAsia="Palatino Linotype" w:hAnsi="Palatino Linotype" w:cs="Palatino Linotype"/>
          <w:b/>
          <w:i/>
          <w:sz w:val="22"/>
          <w:szCs w:val="22"/>
        </w:rPr>
        <w:t>IV. Contar con título profesional o acreditar experiencia mínima de un año en la materia, ante el Presidente o el Ayuntamiento, cuando sea el caso, para el desempeño de los cargos que así lo requieran; y</w:t>
      </w:r>
      <w:r w:rsidRPr="006B57F0">
        <w:rPr>
          <w:rFonts w:ascii="Palatino Linotype" w:eastAsia="Palatino Linotype" w:hAnsi="Palatino Linotype" w:cs="Palatino Linotype"/>
          <w:b/>
          <w:i/>
          <w:sz w:val="22"/>
          <w:szCs w:val="22"/>
        </w:rPr>
        <w:br/>
      </w:r>
      <w:r w:rsidRPr="006B57F0">
        <w:rPr>
          <w:rFonts w:ascii="Palatino Linotype" w:eastAsia="Palatino Linotype" w:hAnsi="Palatino Linotype" w:cs="Palatino Linotype"/>
          <w:b/>
          <w:i/>
          <w:sz w:val="22"/>
          <w:szCs w:val="22"/>
        </w:rPr>
        <w:br/>
        <w:t>V. En su caso, contar con certificación de competencia laboral en la materia del cargo que se desempeñará, expedida por institución con reconocimiento de validez oficial. Este requisito podrá acreditarse dentro de los seis meses siguientes a la fecha en que inicien sus</w:t>
      </w:r>
      <w:r w:rsidRPr="006B57F0">
        <w:rPr>
          <w:rFonts w:ascii="Palatino Linotype" w:eastAsia="Palatino Linotype" w:hAnsi="Palatino Linotype" w:cs="Palatino Linotype"/>
          <w:i/>
          <w:sz w:val="22"/>
          <w:szCs w:val="22"/>
        </w:rPr>
        <w:t xml:space="preserve"> funciones.</w:t>
      </w:r>
      <w:r w:rsidRPr="006B57F0">
        <w:rPr>
          <w:rFonts w:ascii="Palatino Linotype" w:eastAsia="Palatino Linotype" w:hAnsi="Palatino Linotype" w:cs="Palatino Linotype"/>
          <w:i/>
          <w:sz w:val="22"/>
          <w:szCs w:val="22"/>
        </w:rPr>
        <w:br/>
      </w:r>
      <w:r w:rsidRPr="006B57F0">
        <w:rPr>
          <w:rFonts w:ascii="Palatino Linotype" w:eastAsia="Palatino Linotype" w:hAnsi="Palatino Linotype" w:cs="Palatino Linotype"/>
          <w:i/>
          <w:sz w:val="22"/>
          <w:szCs w:val="22"/>
        </w:rPr>
        <w:b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r>
        <w:rPr>
          <w:rFonts w:ascii="Palatino Linotype" w:eastAsia="Palatino Linotype" w:hAnsi="Palatino Linotype" w:cs="Palatino Linotype"/>
          <w:i/>
          <w:sz w:val="22"/>
          <w:szCs w:val="22"/>
        </w:rPr>
        <w:t>” (Sic)</w:t>
      </w:r>
    </w:p>
    <w:p w:rsidR="006B57F0" w:rsidRDefault="006B57F0">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Al señalar el </w:t>
      </w:r>
      <w:r w:rsidRPr="006B57F0">
        <w:rPr>
          <w:rFonts w:ascii="Palatino Linotype" w:eastAsia="Palatino Linotype" w:hAnsi="Palatino Linotype" w:cs="Palatino Linotype"/>
          <w:b/>
        </w:rPr>
        <w:t>RECURRENTE</w:t>
      </w:r>
      <w:r>
        <w:rPr>
          <w:rFonts w:ascii="Palatino Linotype" w:eastAsia="Palatino Linotype" w:hAnsi="Palatino Linotype" w:cs="Palatino Linotype"/>
        </w:rPr>
        <w:t xml:space="preserve">, que sí se le entregó la fracción V del Contralor que corresponde a la certificación de competencia laboral de la Ley Orgánica Municipal </w:t>
      </w:r>
      <w:r>
        <w:rPr>
          <w:rFonts w:ascii="Palatino Linotype" w:eastAsia="Palatino Linotype" w:hAnsi="Palatino Linotype" w:cs="Palatino Linotype"/>
        </w:rPr>
        <w:lastRenderedPageBreak/>
        <w:t>del Estado de México</w:t>
      </w:r>
      <w:r w:rsidR="00907E4F">
        <w:rPr>
          <w:rFonts w:ascii="Palatino Linotype" w:eastAsia="Palatino Linotype" w:hAnsi="Palatino Linotype" w:cs="Palatino Linotype"/>
        </w:rPr>
        <w:t>;</w:t>
      </w:r>
      <w:r>
        <w:rPr>
          <w:rFonts w:ascii="Palatino Linotype" w:eastAsia="Palatino Linotype" w:hAnsi="Palatino Linotype" w:cs="Palatino Linotype"/>
        </w:rPr>
        <w:t xml:space="preserve"> por </w:t>
      </w:r>
      <w:r w:rsidR="00907E4F">
        <w:rPr>
          <w:rFonts w:ascii="Palatino Linotype" w:eastAsia="Palatino Linotype" w:hAnsi="Palatino Linotype" w:cs="Palatino Linotype"/>
        </w:rPr>
        <w:t>ende,</w:t>
      </w:r>
      <w:r>
        <w:rPr>
          <w:rFonts w:ascii="Palatino Linotype" w:eastAsia="Palatino Linotype" w:hAnsi="Palatino Linotype" w:cs="Palatino Linotype"/>
        </w:rPr>
        <w:t xml:space="preserve"> el presente estudio versar sobre las certificaciones de competencia laboral y título profesional y/o experiencia. </w:t>
      </w:r>
    </w:p>
    <w:p w:rsidR="00FC52F1" w:rsidRDefault="00C80637">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Sobre la información del Secretario se debe aclarar que la Ley Orgánica Municipal del Estado de México, se refiere al Secretario del Ayuntamiento, y no al Secretario del </w:t>
      </w:r>
      <w:r>
        <w:rPr>
          <w:rFonts w:ascii="Palatino Linotype" w:eastAsia="Palatino Linotype" w:hAnsi="Palatino Linotype" w:cs="Palatino Linotype"/>
          <w:b/>
        </w:rPr>
        <w:t>SUJETO OBLIGADO</w:t>
      </w:r>
      <w:r>
        <w:rPr>
          <w:rFonts w:ascii="Palatino Linotype" w:eastAsia="Palatino Linotype" w:hAnsi="Palatino Linotype" w:cs="Palatino Linotype"/>
        </w:rPr>
        <w:t>, en su caso sería el Secretario Técnico en términos de lo señalado por el artículo 7 fracción II del Reglamento Orgánico del Organismo Público Descentralizado para la Prestación de los Servicios de Agua Potable, Alcantarillado y Saneamiento del Municipio de Nicolás Romero, que señala:</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 El Consejo estará conformado de la siguiente forma: </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Un presidente, quien será el Presidente Municipal o quien él designe; </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Un Secretario Técnico, quien será el Director del Organismo</w:t>
      </w:r>
      <w:r>
        <w:rPr>
          <w:rFonts w:ascii="Palatino Linotype" w:eastAsia="Palatino Linotype" w:hAnsi="Palatino Linotype" w:cs="Palatino Linotype"/>
          <w:i/>
          <w:sz w:val="22"/>
          <w:szCs w:val="22"/>
        </w:rPr>
        <w:t xml:space="preserve">; </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Un representante del Ayuntamiento; </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Un representante de la Comisión Técnica; </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Un comisario designado por el Cabildo a propuesta del Consejo Directivo; y </w:t>
      </w:r>
    </w:p>
    <w:p w:rsidR="00FC52F1" w:rsidRDefault="00C8063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Tres vocales ajenos a la administración municipal, propuestos por las organizaciones vecinales, comerciales, industriales o de cualquier otro tipo, que sean usuarios de los servicios con mayor representatividad entre ellos.” (Sic)</w:t>
      </w:r>
    </w:p>
    <w:p w:rsidR="00FC52F1" w:rsidRDefault="00C80637">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Sin embargo, dicho Secretario Técnico se refiere al Director General del Organismo Público Descentralizado para la Prestación de Los Servicios de Agua Potable Alcantarillado y Saneamiento de Nicolás Romero, luego entonces se deberá estar a lo señalado en tercer lugar del presente considerando, por lo que hace a su experiencia.</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Sobre la certificación del Director General, tanto en respuesta como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pronunciarse al respecto, luego entonces su respuesta careció de congruencia y exhaustividad, sirve como refuerzo de lo anterior, traer a colación el Criterio 02/17, emitido por el Pleno del Instituto Nacional de Transparencia y Acceso a la Información y Protección de Datos Personales, de título y texto siguientes:</w:t>
      </w:r>
    </w:p>
    <w:p w:rsidR="00FC52F1" w:rsidRDefault="00C80637">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Congruencia y exhaustividad</w:t>
      </w:r>
      <w:r>
        <w:rPr>
          <w:rFonts w:ascii="Palatino Linotype" w:eastAsia="Palatino Linotype" w:hAnsi="Palatino Linotype" w:cs="Palatino Linotype"/>
          <w:i/>
          <w:sz w:val="22"/>
          <w:szCs w:val="22"/>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rsidR="00FC52F1" w:rsidRDefault="00C80637">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el documento en donde conste la certificación de competencia laboral del Director General y de ser procedente en versión pública conforme a lo señalado por el considerando quinto del presente fallo. </w:t>
      </w: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el Tesorero, puntualmente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a través de su informe justificado, que cuentan con una Subdirección de Administración y </w:t>
      </w:r>
      <w:r>
        <w:rPr>
          <w:rFonts w:ascii="Palatino Linotype" w:eastAsia="Palatino Linotype" w:hAnsi="Palatino Linotype" w:cs="Palatino Linotype"/>
        </w:rPr>
        <w:lastRenderedPageBreak/>
        <w:t xml:space="preserve">Finanzas, la cual es la equivalente a la Tesorería en el Organismo, el cual se encuentra en proceso de certificación; sin embargo, dicho pronunciamiento lo hizo de manera unilateral el Titular de la Unidad de Transparencia, incumpliendo con ello lo señalado por el artículo 162 de la Ley de Transparencia y Acceso a la Información Pública del Estado de México y Municipios, ya que, no se puede perder de vista que para otorgar respuesta a la solicitud inicial,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turnó dicho ocurso a las áreas en las que podría obrar la información, tal como se puede apreciar en el expediente electrónico, sin embargo, de conformidad con la fracción XXXIX del artículo tercero de la legislación local vigente en materia de transparencia, el Servidor Público Habilitado es el competente para apoyar, gestionar y entregar la información: </w:t>
      </w:r>
    </w:p>
    <w:p w:rsidR="00FC52F1" w:rsidRDefault="00C80637">
      <w:pPr>
        <w:spacing w:before="240" w:after="240"/>
        <w:ind w:left="709"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FC52F1" w:rsidRDefault="00C80637">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Pr>
          <w:rFonts w:ascii="Palatino Linotype" w:eastAsia="Palatino Linotype" w:hAnsi="Palatino Linotype" w:cs="Palatino Linotype"/>
          <w:color w:val="000000"/>
        </w:rPr>
        <w:t>de Transparencia y Acceso a la Información Pública del Estado de México y Municipios, el cual menciona lo siguiente:</w:t>
      </w:r>
    </w:p>
    <w:p w:rsidR="00FC52F1" w:rsidRDefault="00C80637">
      <w:pPr>
        <w:shd w:val="clear" w:color="auto" w:fill="FFFFFF"/>
        <w:spacing w:after="240"/>
        <w:ind w:left="993" w:right="1041"/>
        <w:jc w:val="both"/>
        <w:rPr>
          <w:color w:val="222222"/>
        </w:rPr>
      </w:pPr>
      <w:r>
        <w:rPr>
          <w:rFonts w:ascii="Palatino Linotype" w:eastAsia="Palatino Linotype" w:hAnsi="Palatino Linotype" w:cs="Palatino Linotype"/>
          <w:b/>
          <w:i/>
          <w:color w:val="222222"/>
          <w:sz w:val="22"/>
          <w:szCs w:val="22"/>
        </w:rPr>
        <w:t>“Artículo 162.</w:t>
      </w:r>
      <w:r>
        <w:rPr>
          <w:rFonts w:ascii="Palatino Linotype" w:eastAsia="Palatino Linotype" w:hAnsi="Palatino Linotype" w:cs="Palatino Linotype"/>
          <w:i/>
          <w:color w:val="222222"/>
          <w:sz w:val="22"/>
          <w:szCs w:val="22"/>
        </w:rPr>
        <w:t xml:space="preserve"> Las unidades de transparencia deberán garantizar que las solicitudes se turnen a todas las Áreas competentes que cuenten con la información o deban tenerla de acuerdo a sus facultades, competencias y </w:t>
      </w:r>
      <w:r>
        <w:rPr>
          <w:rFonts w:ascii="Palatino Linotype" w:eastAsia="Palatino Linotype" w:hAnsi="Palatino Linotype" w:cs="Palatino Linotype"/>
          <w:i/>
          <w:color w:val="222222"/>
          <w:sz w:val="22"/>
          <w:szCs w:val="22"/>
        </w:rPr>
        <w:lastRenderedPageBreak/>
        <w:t>funciones, con el objeto de que realicen una búsqueda exhaustiva y razonable de la información solicitada.”(Sic)</w:t>
      </w:r>
    </w:p>
    <w:p w:rsidR="00FC52F1" w:rsidRDefault="00C80637">
      <w:pPr>
        <w:shd w:val="clear" w:color="auto" w:fill="FFFFFF"/>
        <w:spacing w:line="360" w:lineRule="auto"/>
        <w:jc w:val="both"/>
        <w:rPr>
          <w:color w:val="222222"/>
        </w:rPr>
      </w:pPr>
      <w:r>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Pr>
          <w:rFonts w:ascii="Palatino Linotype" w:eastAsia="Palatino Linotype" w:hAnsi="Palatino Linotype" w:cs="Palatino Linotype"/>
          <w:color w:val="222222"/>
          <w:vertAlign w:val="superscript"/>
        </w:rPr>
        <w:footnoteReference w:id="1"/>
      </w:r>
      <w:r>
        <w:rPr>
          <w:rFonts w:ascii="Palatino Linotype" w:eastAsia="Palatino Linotype" w:hAnsi="Palatino Linotype" w:cs="Palatino Linotype"/>
          <w:color w:val="222222"/>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FC52F1" w:rsidRDefault="00FC52F1">
      <w:pPr>
        <w:shd w:val="clear" w:color="auto" w:fill="FFFFFF"/>
        <w:ind w:left="993" w:right="1041"/>
        <w:jc w:val="both"/>
        <w:rPr>
          <w:rFonts w:ascii="Palatino Linotype" w:eastAsia="Palatino Linotype" w:hAnsi="Palatino Linotype" w:cs="Palatino Linotype"/>
          <w:b/>
          <w:i/>
          <w:color w:val="222222"/>
          <w:sz w:val="22"/>
          <w:szCs w:val="22"/>
        </w:rPr>
      </w:pPr>
    </w:p>
    <w:p w:rsidR="00FC52F1" w:rsidRDefault="00C80637">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160. </w:t>
      </w:r>
      <w:r>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FC52F1" w:rsidRDefault="00C80637">
      <w:pPr>
        <w:shd w:val="clear" w:color="auto" w:fill="FFFFFF"/>
        <w:ind w:left="993" w:right="1041"/>
        <w:jc w:val="both"/>
        <w:rPr>
          <w:color w:val="222222"/>
        </w:rPr>
      </w:pPr>
      <w:r>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rsidR="00FC52F1" w:rsidRDefault="00C80637">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lastRenderedPageBreak/>
        <w:t>Artículo 163.</w:t>
      </w:r>
      <w:r>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FC52F1" w:rsidRDefault="00C80637">
      <w:pPr>
        <w:shd w:val="clear" w:color="auto" w:fill="FFFFFF"/>
        <w:ind w:left="993" w:right="1041"/>
        <w:jc w:val="both"/>
        <w:rPr>
          <w:color w:val="222222"/>
        </w:rPr>
      </w:pPr>
      <w:r>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FC52F1" w:rsidRDefault="00C80637">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165.</w:t>
      </w:r>
      <w:r>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rsidR="00FC52F1" w:rsidRDefault="00C80637">
      <w:pPr>
        <w:shd w:val="clear" w:color="auto" w:fill="FFFFFF"/>
        <w:ind w:left="993" w:right="1041"/>
        <w:jc w:val="both"/>
        <w:rPr>
          <w:color w:val="222222"/>
        </w:rPr>
      </w:pPr>
      <w:r>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FC52F1" w:rsidRDefault="00C80637">
      <w:pPr>
        <w:shd w:val="clear" w:color="auto" w:fill="FFFFFF"/>
        <w:spacing w:after="240"/>
        <w:ind w:left="993" w:right="1041"/>
        <w:jc w:val="both"/>
        <w:rPr>
          <w:color w:val="222222"/>
        </w:rPr>
      </w:pPr>
      <w:r>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obligado.”(Sic)</w:t>
      </w:r>
    </w:p>
    <w:p w:rsidR="00FC52F1" w:rsidRDefault="00C80637">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Pr>
          <w:rFonts w:ascii="Palatino Linotype" w:eastAsia="Palatino Linotype" w:hAnsi="Palatino Linotype" w:cs="Palatino Linotype"/>
          <w:color w:val="222222"/>
          <w:vertAlign w:val="superscript"/>
        </w:rPr>
        <w:footnoteReference w:id="2"/>
      </w:r>
      <w:r>
        <w:rPr>
          <w:rFonts w:ascii="Palatino Linotype" w:eastAsia="Palatino Linotype" w:hAnsi="Palatino Linotype" w:cs="Palatino Linotype"/>
          <w:color w:val="222222"/>
        </w:rPr>
        <w:t xml:space="preserve">, situación que no se advierte en el presente caso, toda vez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a través de la Unidad de Transparencia no ha brindado el acceso a la información solicitada por el particular, por ende para tener por satisfecho el derecho humano en mérito, será necesario que la Unidad de </w:t>
      </w:r>
      <w:r>
        <w:rPr>
          <w:rFonts w:ascii="Palatino Linotype" w:eastAsia="Palatino Linotype" w:hAnsi="Palatino Linotype" w:cs="Palatino Linotype"/>
          <w:color w:val="222222"/>
        </w:rPr>
        <w:lastRenderedPageBreak/>
        <w:t>Transparencia en estricto apego al procedimiento descrito realice una búsqueda exhaustiva y razonable de la información, turnando a las áreas competentes la solicitud con el objetivo de brindar contestación al requerimiento.</w:t>
      </w:r>
    </w:p>
    <w:p w:rsidR="00FC52F1" w:rsidRDefault="00C80637">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En mérito de lo anterior, se colige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podría ser de manera enunciativa más no limitada la Subdirección de Administración y Finanzas a través de su Departamento de Recursos Humanos, que de acuerdo al artículo 28 fracciones VII y XVIII, 29 punto 1.1 y 31 </w:t>
      </w:r>
      <w:r>
        <w:rPr>
          <w:rFonts w:ascii="Palatino Linotype" w:eastAsia="Palatino Linotype" w:hAnsi="Palatino Linotype" w:cs="Palatino Linotype"/>
        </w:rPr>
        <w:t>Reglamento Orgánico del Organismo Público Descentralizado para la Prestación de los Servicios de Agua Potable, Alcantarillado y Saneamiento del Municipio de Nicolás Romero, tiene las siguientes atribuciones:</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“Artículo 28.- La Subdirección de Administración y Finanzas, es el Área responsable de dirigir la recaudación y administración del Organismo, y estará a cargo de una persona denominada Subdirector de Administración y Finanzas, quien tendrá las siguientes obligaciones y atribuciones: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VII. Proveer a las Dependencias Administrativas, a través del Departamento de Recursos Humanos de personal capacitado y con el perfil requerido</w:t>
      </w:r>
      <w:r>
        <w:rPr>
          <w:rFonts w:ascii="Palatino Linotype" w:eastAsia="Palatino Linotype" w:hAnsi="Palatino Linotype" w:cs="Palatino Linotype"/>
          <w:i/>
          <w:color w:val="222222"/>
          <w:sz w:val="22"/>
          <w:szCs w:val="22"/>
        </w:rPr>
        <w:t xml:space="preserve">; </w:t>
      </w:r>
    </w:p>
    <w:p w:rsidR="00FC52F1" w:rsidRDefault="00C80637">
      <w:pPr>
        <w:shd w:val="clear" w:color="auto" w:fill="FFFFFF"/>
        <w:ind w:left="992" w:right="1043"/>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XVIII. Elaborar políticas, normas y procedimientos que, en materia de recursos humanos, materiales, financieros y servicios generales se requieran para la operación del Organismo, a efecto de acordarlas con el Director del Organismo y éste las someta a aprobación del Consejo;</w:t>
      </w:r>
      <w:r>
        <w:rPr>
          <w:rFonts w:ascii="Palatino Linotype" w:eastAsia="Palatino Linotype" w:hAnsi="Palatino Linotype" w:cs="Palatino Linotype"/>
          <w:i/>
          <w:color w:val="222222"/>
          <w:sz w:val="22"/>
          <w:szCs w:val="22"/>
        </w:rPr>
        <w:t xml:space="preserve">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lastRenderedPageBreak/>
        <w:t xml:space="preserve">Artículo 29.- Para el desempeño de sus atribuciones y obligaciones, la Subdirección de Administración y Finanzas, contará con las siguientes unidades administrativas: </w:t>
      </w:r>
    </w:p>
    <w:p w:rsidR="00FC52F1" w:rsidRDefault="00C80637">
      <w:pPr>
        <w:shd w:val="clear" w:color="auto" w:fill="FFFFFF"/>
        <w:ind w:left="992" w:right="1043"/>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1.1. Departamento de Recursos Humanos;</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Artículo 31.- El Departamento de Recursos Humanos</w:t>
      </w:r>
      <w:r>
        <w:rPr>
          <w:rFonts w:ascii="Palatino Linotype" w:eastAsia="Palatino Linotype" w:hAnsi="Palatino Linotype" w:cs="Palatino Linotype"/>
          <w:i/>
          <w:color w:val="222222"/>
          <w:sz w:val="22"/>
          <w:szCs w:val="22"/>
        </w:rPr>
        <w:t xml:space="preserve"> estará a cargo de un Titular, quien tendrá a su cargo las siguientes atribuciones y obligaciones: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 Instrumentar con la participación de todas las Dependencias Administrativas del Organismo los programas de selección, capacitación, adiestramiento y desarrollo del personal, coordinar estudios necesarios sobre análisis y evaluación de puestos, políticas de sueldos, salarios e incentivos;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II. Integrar el registro y actualización de los expedientes de las y los servidores públicos del Organismo</w:t>
      </w:r>
      <w:r>
        <w:rPr>
          <w:rFonts w:ascii="Palatino Linotype" w:eastAsia="Palatino Linotype" w:hAnsi="Palatino Linotype" w:cs="Palatino Linotype"/>
          <w:i/>
          <w:color w:val="222222"/>
          <w:sz w:val="22"/>
          <w:szCs w:val="22"/>
        </w:rPr>
        <w:t xml:space="preserve">;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III. Realizar los movimientos del personal previa autorización del Director del Organismo;</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IV. Administrar, vigilar y controlar los Recursos Humanos;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V. Operar el sistema de remuneraciones y determinar el pago del salario de las y los servidores públicos del Organismo;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VI. Llevar el control y registro de las y los servidores públicos del Organismo; VII. Elaborar y entregar de manera conjunta con la Subdirección Jurídica los cálculos finiquitos cuando estos sean requeridos, tomando en consideraciones todas y cada una de las prestaciones ordinarias y extraordinarias;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VIII. Aplicar, actualizar y revisar las tablas de retenciones por remuneración al trabajo, de acuerdo a los ordenamientos legales aplicables a la materia, tanto federal como local;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IX. Verificar y aplicar los descuentos a los trabajadores que incurran en los supuestos que la ley determine para el caso de que así procedan;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 Atender las relaciones Laborales del Organismo;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XI. Emitir circulares a efecto de que se aplique un mejor control en cuanto a los derechos y obligaciones de los servidores públicos del Organismo;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XII.- Hacer que se cumpla lo dispuesto en la normatividad aplicable en materia de transparencia y protección de datos personales, por cuanto a los expedientes de las y los servidores públicos del Organismo; y </w:t>
      </w:r>
    </w:p>
    <w:p w:rsidR="00FC52F1" w:rsidRDefault="00C80637">
      <w:pPr>
        <w:shd w:val="clear" w:color="auto" w:fill="FFFFFF"/>
        <w:ind w:left="992" w:right="1043"/>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XIII. Las demás que le confieran otros Ordenamientos jurídicos y el Reglamento Orgánico; así como aquellas que le instruya el Director del </w:t>
      </w:r>
      <w:r>
        <w:rPr>
          <w:rFonts w:ascii="Palatino Linotype" w:eastAsia="Palatino Linotype" w:hAnsi="Palatino Linotype" w:cs="Palatino Linotype"/>
          <w:i/>
          <w:color w:val="222222"/>
          <w:sz w:val="22"/>
          <w:szCs w:val="22"/>
        </w:rPr>
        <w:lastRenderedPageBreak/>
        <w:t>Organismo y su superior inmediato dentro del marco normativo aplicable.” (Sic)</w:t>
      </w:r>
    </w:p>
    <w:p w:rsidR="009314D4" w:rsidRDefault="00907E4F">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Sobre su experiencia y/o título, el </w:t>
      </w:r>
      <w:r w:rsidRPr="00907E4F">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pronunciarse al respecto, careciendo su respuesta de congruencia y exhaustividad, </w:t>
      </w:r>
      <w:r w:rsidR="009314D4">
        <w:rPr>
          <w:rFonts w:ascii="Palatino Linotype" w:eastAsia="Palatino Linotype" w:hAnsi="Palatino Linotype" w:cs="Palatino Linotype"/>
        </w:rPr>
        <w:t xml:space="preserve">sirve como refuerzo de lo anterior, traer a colación el Criterio 02/17, ya señalado; siendo que el documento que colmaría la experiencia sería de manera enunciativa mas no limitada, el curriculum vitae o ficha curricular, como ya se indicó en el presente considerando. </w:t>
      </w:r>
    </w:p>
    <w:p w:rsidR="00FC52F1" w:rsidRDefault="00C80637">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el documento en donde conste la certificación de competencia laboral, experiencia y/o título del Titular de la Subdirección de Administración y Finanzas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de ser procedente en versión pública conforme a lo señalado por el considerando quinto del presente fallo. </w:t>
      </w:r>
    </w:p>
    <w:p w:rsidR="009314D4" w:rsidRDefault="00C80637" w:rsidP="009314D4">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respecta, al contralor interno del Organismo, si bien es cierto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remitió la certificación de competencia laboral de este, de lo cual no se quejó el particular, lo cierto es que no se pronunció sobre la experiencia y/o tituló, careciendo su respuesta de congruencia y exhaustividad, sirve como refuerzo de lo anterior, traer a colación el Criterio 02/17, emitido por el Pleno del Instituto Nacional de Transparencia y Acceso a la Información y Protección de Datos </w:t>
      </w:r>
      <w:r w:rsidR="009314D4">
        <w:rPr>
          <w:rFonts w:ascii="Palatino Linotype" w:eastAsia="Palatino Linotype" w:hAnsi="Palatino Linotype" w:cs="Palatino Linotype"/>
        </w:rPr>
        <w:t xml:space="preserve">Personales, previamente citado, siendo que el documento que colmaría la experiencia sería de manera enunciativa mas no limitada, el curriculum vitae o ficha curricular, como ya se indicó en el presente considerando. </w:t>
      </w:r>
    </w:p>
    <w:p w:rsidR="00FC52F1" w:rsidRDefault="00C80637">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Razones por las cuales lo procedente es ordenar el documento en donde conste la experiencia y/o título del Contralor Interno del Organismo y de ser procedente en versión pública conforme a lo señalado en el considerando quinto del presente fallo. </w:t>
      </w:r>
    </w:p>
    <w:p w:rsidR="00FC52F1" w:rsidRDefault="00C80637">
      <w:pPr>
        <w:spacing w:line="360" w:lineRule="auto"/>
        <w:jc w:val="both"/>
        <w:rPr>
          <w:rFonts w:ascii="Palatino Linotype" w:eastAsia="Palatino Linotype" w:hAnsi="Palatino Linotype" w:cs="Palatino Linotype"/>
        </w:rPr>
      </w:pPr>
      <w:bookmarkStart w:id="5" w:name="_heading=h.3rdcrjn" w:colFirst="0" w:colLast="0"/>
      <w:bookmarkEnd w:id="5"/>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FC52F1" w:rsidRDefault="00C80637">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FC52F1" w:rsidRDefault="00C80637">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FC52F1" w:rsidRDefault="00C8063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FC52F1" w:rsidRDefault="00C8063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FC52F1" w:rsidRDefault="00C8063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FC52F1" w:rsidRDefault="00C8063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FC52F1" w:rsidRDefault="00FC52F1">
      <w:pPr>
        <w:ind w:left="993" w:right="1041"/>
        <w:jc w:val="both"/>
        <w:rPr>
          <w:rFonts w:ascii="Palatino Linotype" w:eastAsia="Palatino Linotype" w:hAnsi="Palatino Linotype" w:cs="Palatino Linotype"/>
          <w:i/>
          <w:sz w:val="22"/>
          <w:szCs w:val="22"/>
        </w:rPr>
      </w:pPr>
    </w:p>
    <w:p w:rsidR="00FC52F1" w:rsidRDefault="00C8063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C52F1" w:rsidRDefault="00FC52F1">
      <w:pPr>
        <w:ind w:left="993" w:right="1041"/>
        <w:jc w:val="both"/>
        <w:rPr>
          <w:rFonts w:ascii="Palatino Linotype" w:eastAsia="Palatino Linotype" w:hAnsi="Palatino Linotype" w:cs="Palatino Linotype"/>
          <w:i/>
          <w:sz w:val="22"/>
          <w:szCs w:val="22"/>
        </w:rPr>
      </w:pPr>
    </w:p>
    <w:p w:rsidR="00FC52F1" w:rsidRDefault="00C80637">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C52F1" w:rsidRDefault="00FC52F1">
      <w:pPr>
        <w:ind w:left="993" w:right="1041"/>
        <w:jc w:val="both"/>
        <w:rPr>
          <w:rFonts w:ascii="Palatino Linotype" w:eastAsia="Palatino Linotype" w:hAnsi="Palatino Linotype" w:cs="Palatino Linotype"/>
          <w:b/>
          <w:i/>
          <w:sz w:val="22"/>
          <w:szCs w:val="22"/>
        </w:rPr>
      </w:pPr>
    </w:p>
    <w:p w:rsidR="00FC52F1" w:rsidRDefault="00C8063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C52F1" w:rsidRDefault="00C8063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FC52F1" w:rsidRDefault="00C8063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FC52F1" w:rsidRDefault="00C8063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FC52F1" w:rsidRDefault="00FC52F1">
      <w:pPr>
        <w:ind w:left="993" w:right="1041"/>
        <w:jc w:val="both"/>
        <w:rPr>
          <w:rFonts w:ascii="Palatino Linotype" w:eastAsia="Palatino Linotype" w:hAnsi="Palatino Linotype" w:cs="Palatino Linotype"/>
          <w:i/>
          <w:sz w:val="22"/>
          <w:szCs w:val="22"/>
        </w:rPr>
      </w:pPr>
    </w:p>
    <w:p w:rsidR="00FC52F1" w:rsidRDefault="00C8063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FC52F1" w:rsidRDefault="00FC52F1">
      <w:pPr>
        <w:spacing w:line="360" w:lineRule="auto"/>
        <w:ind w:right="51"/>
        <w:jc w:val="both"/>
        <w:rPr>
          <w:rFonts w:ascii="Palatino Linotype" w:eastAsia="Palatino Linotype" w:hAnsi="Palatino Linotype" w:cs="Palatino Linotype"/>
        </w:rPr>
      </w:pPr>
    </w:p>
    <w:p w:rsidR="00FC52F1" w:rsidRDefault="00C80637">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FC52F1" w:rsidRDefault="00FC52F1">
      <w:pPr>
        <w:spacing w:line="360" w:lineRule="auto"/>
        <w:ind w:right="50"/>
        <w:jc w:val="both"/>
        <w:rPr>
          <w:rFonts w:ascii="Palatino Linotype" w:eastAsia="Palatino Linotype" w:hAnsi="Palatino Linotype" w:cs="Palatino Linotype"/>
        </w:rPr>
      </w:pPr>
    </w:p>
    <w:p w:rsidR="00FC52F1" w:rsidRDefault="00C8063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w:t>
      </w:r>
      <w:r>
        <w:rPr>
          <w:rFonts w:ascii="Palatino Linotype" w:eastAsia="Palatino Linotype" w:hAnsi="Palatino Linotype" w:cs="Palatino Linotype"/>
        </w:rPr>
        <w:lastRenderedPageBreak/>
        <w:t>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C52F1" w:rsidRDefault="00FC52F1">
      <w:pPr>
        <w:spacing w:line="360" w:lineRule="auto"/>
        <w:ind w:right="51"/>
        <w:jc w:val="both"/>
        <w:rPr>
          <w:rFonts w:ascii="Palatino Linotype" w:eastAsia="Palatino Linotype" w:hAnsi="Palatino Linotype" w:cs="Palatino Linotype"/>
        </w:rPr>
      </w:pPr>
    </w:p>
    <w:p w:rsidR="00FC52F1" w:rsidRDefault="00C80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FC52F1" w:rsidRDefault="00C80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FC52F1" w:rsidRDefault="00C80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FC52F1" w:rsidRDefault="00C80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FC52F1" w:rsidRDefault="00C80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FC52F1" w:rsidRDefault="00C80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FC52F1" w:rsidRDefault="00FC52F1">
      <w:pPr>
        <w:ind w:left="992" w:right="1043"/>
        <w:jc w:val="both"/>
        <w:rPr>
          <w:rFonts w:ascii="Palatino Linotype" w:eastAsia="Palatino Linotype" w:hAnsi="Palatino Linotype" w:cs="Palatino Linotype"/>
          <w:i/>
          <w:sz w:val="22"/>
          <w:szCs w:val="22"/>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C52F1" w:rsidRDefault="00FC52F1">
      <w:pPr>
        <w:spacing w:line="360" w:lineRule="auto"/>
        <w:jc w:val="both"/>
        <w:rPr>
          <w:rFonts w:ascii="Palatino Linotype" w:eastAsia="Palatino Linotype" w:hAnsi="Palatino Linotype" w:cs="Palatino Linotype"/>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FC52F1" w:rsidRDefault="00FC52F1">
      <w:pPr>
        <w:spacing w:line="360" w:lineRule="auto"/>
        <w:jc w:val="both"/>
        <w:rPr>
          <w:rFonts w:ascii="Palatino Linotype" w:eastAsia="Palatino Linotype" w:hAnsi="Palatino Linotype" w:cs="Palatino Linotype"/>
        </w:rPr>
      </w:pPr>
    </w:p>
    <w:p w:rsidR="00FC52F1" w:rsidRDefault="00C80637">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FC52F1" w:rsidRDefault="00FC52F1">
      <w:pPr>
        <w:spacing w:before="240" w:line="360" w:lineRule="auto"/>
        <w:ind w:right="51"/>
        <w:jc w:val="both"/>
        <w:rPr>
          <w:rFonts w:ascii="Palatino Linotype" w:eastAsia="Palatino Linotype" w:hAnsi="Palatino Linotype" w:cs="Palatino Linotype"/>
          <w:i/>
          <w:sz w:val="22"/>
          <w:szCs w:val="22"/>
        </w:rPr>
      </w:pPr>
    </w:p>
    <w:p w:rsidR="00FC52F1" w:rsidRDefault="00C8063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FC52F1" w:rsidRDefault="00FC52F1">
      <w:pPr>
        <w:spacing w:line="360" w:lineRule="auto"/>
        <w:ind w:right="51"/>
        <w:jc w:val="both"/>
        <w:rPr>
          <w:rFonts w:ascii="Palatino Linotype" w:eastAsia="Palatino Linotype" w:hAnsi="Palatino Linotype" w:cs="Palatino Linotype"/>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w:t>
      </w:r>
      <w:r>
        <w:rPr>
          <w:rFonts w:ascii="Palatino Linotype" w:eastAsia="Palatino Linotype" w:hAnsi="Palatino Linotype" w:cs="Palatino Linotype"/>
        </w:rPr>
        <w:lastRenderedPageBreak/>
        <w:t xml:space="preserve">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FC52F1" w:rsidRDefault="00FC52F1">
      <w:pPr>
        <w:ind w:left="709" w:right="709"/>
        <w:jc w:val="both"/>
        <w:rPr>
          <w:rFonts w:ascii="Palatino Linotype" w:eastAsia="Palatino Linotype" w:hAnsi="Palatino Linotype" w:cs="Palatino Linotype"/>
          <w:b/>
          <w:i/>
          <w:sz w:val="22"/>
          <w:szCs w:val="22"/>
        </w:rPr>
      </w:pPr>
    </w:p>
    <w:p w:rsidR="00FC52F1" w:rsidRDefault="00C80637">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52F1" w:rsidRDefault="00C80637">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FC52F1" w:rsidRDefault="00C80637">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FC52F1" w:rsidRDefault="00C8063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C52F1" w:rsidRDefault="00C80637">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FC52F1">
        <w:trPr>
          <w:jc w:val="center"/>
        </w:trPr>
        <w:tc>
          <w:tcPr>
            <w:tcW w:w="1159" w:type="dxa"/>
            <w:tcBorders>
              <w:top w:val="nil"/>
              <w:left w:val="nil"/>
              <w:bottom w:val="single" w:sz="4" w:space="0" w:color="000000"/>
              <w:right w:val="single" w:sz="4" w:space="0" w:color="000000"/>
            </w:tcBorders>
          </w:tcPr>
          <w:p w:rsidR="00FC52F1" w:rsidRDefault="00FC52F1">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FC52F1">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FC52F1" w:rsidRDefault="00C80637">
            <w:pPr>
              <w:jc w:val="center"/>
              <w:rPr>
                <w:rFonts w:ascii="Palatino Linotype" w:eastAsia="Palatino Linotype" w:hAnsi="Palatino Linotype" w:cs="Palatino Linotype"/>
                <w:b/>
                <w:i/>
              </w:rPr>
            </w:pPr>
            <w:r>
              <w:rPr>
                <w:rFonts w:ascii="Palatino Linotype" w:eastAsia="Palatino Linotype" w:hAnsi="Palatino Linotype" w:cs="Palatino Linotype"/>
                <w:b/>
                <w:i/>
              </w:rPr>
              <w:t xml:space="preserve">Sello oficial o logotipo </w:t>
            </w:r>
            <w:r>
              <w:rPr>
                <w:rFonts w:ascii="Palatino Linotype" w:eastAsia="Palatino Linotype" w:hAnsi="Palatino Linotype" w:cs="Palatino Linotype"/>
                <w:b/>
                <w:i/>
              </w:rPr>
              <w:lastRenderedPageBreak/>
              <w:t>del sujeto obligado</w:t>
            </w: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i/>
              </w:rPr>
            </w:pPr>
            <w:r>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FC52F1" w:rsidRDefault="00C80637">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FC52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52F1" w:rsidRDefault="00FC52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FC52F1" w:rsidRDefault="00C8063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FC52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52F1" w:rsidRDefault="00FC52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FC52F1" w:rsidRDefault="00C80637">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C52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52F1" w:rsidRDefault="00FC52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FC52F1" w:rsidRDefault="00C80637">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FC52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52F1" w:rsidRDefault="00FC52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C52F1" w:rsidRDefault="00C8063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FC52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52F1" w:rsidRDefault="00FC52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FC52F1" w:rsidRDefault="00C80637">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FC52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52F1" w:rsidRDefault="00FC52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FC52F1" w:rsidRDefault="00C80637">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C52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52F1" w:rsidRDefault="00FC52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C52F1" w:rsidRDefault="00C8063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FC52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52F1" w:rsidRDefault="00FC52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FC52F1" w:rsidRDefault="00C80637">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FC52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52F1" w:rsidRDefault="00FC52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FC52F1" w:rsidRDefault="00C80637">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FC52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FC52F1" w:rsidRDefault="00FC52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FC52F1" w:rsidRDefault="00C80637">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FC52F1" w:rsidRDefault="00C80637">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FC52F1" w:rsidRDefault="00FC52F1">
      <w:pPr>
        <w:spacing w:before="240" w:line="360" w:lineRule="auto"/>
        <w:ind w:right="51"/>
        <w:jc w:val="both"/>
        <w:rPr>
          <w:rFonts w:ascii="Palatino Linotype" w:eastAsia="Palatino Linotype" w:hAnsi="Palatino Linotype" w:cs="Palatino Linotype"/>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FC52F1" w:rsidRDefault="00FC52F1">
      <w:pPr>
        <w:spacing w:line="360" w:lineRule="auto"/>
        <w:jc w:val="both"/>
        <w:rPr>
          <w:rFonts w:ascii="Palatino Linotype" w:eastAsia="Palatino Linotype" w:hAnsi="Palatino Linotype" w:cs="Palatino Linotype"/>
        </w:rPr>
      </w:pPr>
    </w:p>
    <w:p w:rsidR="00FC52F1" w:rsidRDefault="00C80637">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FC52F1" w:rsidRDefault="00FC52F1">
      <w:pPr>
        <w:spacing w:line="360" w:lineRule="auto"/>
        <w:jc w:val="both"/>
        <w:rPr>
          <w:rFonts w:ascii="Palatino Linotype" w:eastAsia="Palatino Linotype" w:hAnsi="Palatino Linotype" w:cs="Palatino Linotype"/>
        </w:rPr>
      </w:pPr>
    </w:p>
    <w:p w:rsidR="00FC52F1" w:rsidRDefault="00C80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FC52F1" w:rsidRDefault="00C80637">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el recurrente en el Recurso de Revisión </w:t>
      </w:r>
      <w:r>
        <w:rPr>
          <w:rFonts w:ascii="Palatino Linotype" w:eastAsia="Palatino Linotype" w:hAnsi="Palatino Linotype" w:cs="Palatino Linotype"/>
          <w:b/>
        </w:rPr>
        <w:t xml:space="preserve">03884/INFOEM/IP/RR/2022,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de esta resolución, haga entrega vía SAIMEX, </w:t>
      </w:r>
      <w:r>
        <w:rPr>
          <w:rFonts w:ascii="Palatino Linotype" w:eastAsia="Palatino Linotype" w:hAnsi="Palatino Linotype" w:cs="Palatino Linotype"/>
          <w:highlight w:val="white"/>
        </w:rPr>
        <w:t>previa búsqueda exhaustiva y razonable</w:t>
      </w:r>
      <w:r>
        <w:rPr>
          <w:rFonts w:ascii="Palatino Linotype" w:eastAsia="Palatino Linotype" w:hAnsi="Palatino Linotype" w:cs="Palatino Linotype"/>
        </w:rPr>
        <w:t>, en versión pública de ser procedente del documento o documentos en donde conste lo siguiente:</w:t>
      </w:r>
    </w:p>
    <w:p w:rsidR="00FC52F1" w:rsidRDefault="00C80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Vigente al catorce de febrero del año dos mil veintidós:</w:t>
      </w:r>
    </w:p>
    <w:p w:rsidR="00FC52F1" w:rsidRDefault="00C80637">
      <w:pPr>
        <w:numPr>
          <w:ilvl w:val="0"/>
          <w:numId w:val="4"/>
        </w:numPr>
        <w:pBdr>
          <w:top w:val="nil"/>
          <w:left w:val="nil"/>
          <w:bottom w:val="nil"/>
          <w:right w:val="nil"/>
          <w:between w:val="nil"/>
        </w:pBdr>
        <w:spacing w:before="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certificación de competencia laboral de su Director General.</w:t>
      </w:r>
    </w:p>
    <w:p w:rsidR="00AD5873" w:rsidRDefault="00AD5873">
      <w:pPr>
        <w:numPr>
          <w:ilvl w:val="0"/>
          <w:numId w:val="4"/>
        </w:numPr>
        <w:pBdr>
          <w:top w:val="nil"/>
          <w:left w:val="nil"/>
          <w:bottom w:val="nil"/>
          <w:right w:val="nil"/>
          <w:between w:val="nil"/>
        </w:pBdr>
        <w:spacing w:before="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experiencia y</w:t>
      </w:r>
      <w:r w:rsidR="003D1FCF">
        <w:rPr>
          <w:rFonts w:ascii="Palatino Linotype" w:eastAsia="Palatino Linotype" w:hAnsi="Palatino Linotype" w:cs="Palatino Linotype"/>
          <w:color w:val="000000"/>
        </w:rPr>
        <w:t>/o</w:t>
      </w:r>
      <w:r>
        <w:rPr>
          <w:rFonts w:ascii="Palatino Linotype" w:eastAsia="Palatino Linotype" w:hAnsi="Palatino Linotype" w:cs="Palatino Linotype"/>
          <w:color w:val="000000"/>
        </w:rPr>
        <w:t xml:space="preserve"> ultimó grado de estudios de su Director General. </w:t>
      </w:r>
    </w:p>
    <w:p w:rsidR="00FC52F1" w:rsidRDefault="00C80637">
      <w:pPr>
        <w:numPr>
          <w:ilvl w:val="0"/>
          <w:numId w:val="4"/>
        </w:num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r w:rsidRPr="006B57F0">
        <w:rPr>
          <w:rFonts w:ascii="Palatino Linotype" w:eastAsia="Palatino Linotype" w:hAnsi="Palatino Linotype" w:cs="Palatino Linotype"/>
          <w:color w:val="000000"/>
        </w:rPr>
        <w:t>La certificación de competencia laboral, experiencia</w:t>
      </w:r>
      <w:r>
        <w:rPr>
          <w:rFonts w:ascii="Palatino Linotype" w:eastAsia="Palatino Linotype" w:hAnsi="Palatino Linotype" w:cs="Palatino Linotype"/>
          <w:color w:val="000000"/>
        </w:rPr>
        <w:t xml:space="preserve"> y/o título de su Titular de la Subdirección de Administración y Finanzas.</w:t>
      </w:r>
    </w:p>
    <w:p w:rsidR="00FC52F1" w:rsidRDefault="00C80637">
      <w:pPr>
        <w:numPr>
          <w:ilvl w:val="0"/>
          <w:numId w:val="4"/>
        </w:numPr>
        <w:pBdr>
          <w:top w:val="nil"/>
          <w:left w:val="nil"/>
          <w:bottom w:val="nil"/>
          <w:right w:val="nil"/>
          <w:between w:val="nil"/>
        </w:pBdr>
        <w:spacing w:line="276" w:lineRule="auto"/>
        <w:ind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rPr>
        <w:t>La experiencia y/o título de su Contralor Interno del Organismo.</w:t>
      </w:r>
    </w:p>
    <w:p w:rsidR="00FC52F1" w:rsidRDefault="00FC52F1">
      <w:pPr>
        <w:pBdr>
          <w:top w:val="nil"/>
          <w:left w:val="nil"/>
          <w:bottom w:val="nil"/>
          <w:right w:val="nil"/>
          <w:between w:val="nil"/>
        </w:pBdr>
        <w:spacing w:line="276" w:lineRule="auto"/>
        <w:ind w:left="720" w:right="709"/>
        <w:jc w:val="both"/>
        <w:rPr>
          <w:rFonts w:ascii="Palatino Linotype" w:eastAsia="Palatino Linotype" w:hAnsi="Palatino Linotype" w:cs="Palatino Linotype"/>
          <w:i/>
          <w:color w:val="000000"/>
          <w:sz w:val="22"/>
          <w:szCs w:val="22"/>
        </w:rPr>
      </w:pPr>
    </w:p>
    <w:p w:rsidR="00FC52F1" w:rsidRDefault="009314D4">
      <w:pPr>
        <w:pBdr>
          <w:top w:val="nil"/>
          <w:left w:val="nil"/>
          <w:bottom w:val="nil"/>
          <w:right w:val="nil"/>
          <w:between w:val="nil"/>
        </w:pBdr>
        <w:spacing w:after="240" w:line="276" w:lineRule="auto"/>
        <w:ind w:left="720"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ser procedente, l</w:t>
      </w:r>
      <w:r w:rsidR="00C80637">
        <w:rPr>
          <w:rFonts w:ascii="Palatino Linotype" w:eastAsia="Palatino Linotype" w:hAnsi="Palatino Linotype" w:cs="Palatino Linotype"/>
          <w:i/>
          <w:color w:val="000000"/>
          <w:sz w:val="22"/>
          <w:szCs w:val="22"/>
        </w:rPr>
        <w:t>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FC52F1" w:rsidRDefault="00FC52F1">
      <w:pPr>
        <w:pBdr>
          <w:top w:val="nil"/>
          <w:left w:val="nil"/>
          <w:bottom w:val="nil"/>
          <w:right w:val="nil"/>
          <w:between w:val="nil"/>
        </w:pBdr>
        <w:spacing w:line="276" w:lineRule="auto"/>
        <w:ind w:left="720" w:right="709"/>
        <w:jc w:val="both"/>
        <w:rPr>
          <w:rFonts w:ascii="Palatino Linotype" w:eastAsia="Palatino Linotype" w:hAnsi="Palatino Linotype" w:cs="Palatino Linotype"/>
          <w:i/>
          <w:color w:val="000000"/>
          <w:sz w:val="22"/>
          <w:szCs w:val="22"/>
        </w:rPr>
      </w:pPr>
    </w:p>
    <w:p w:rsidR="00FC52F1" w:rsidRDefault="00C80637">
      <w:pPr>
        <w:pBdr>
          <w:top w:val="nil"/>
          <w:left w:val="nil"/>
          <w:bottom w:val="nil"/>
          <w:right w:val="nil"/>
          <w:between w:val="nil"/>
        </w:pBdr>
        <w:spacing w:line="276" w:lineRule="auto"/>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el caso de que no se haya generado la información de las certificaciones de competencia laboral, que se ordenan, bastará que así se lo haga saber al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de manera fundada y motivada, en términos del segundo párrafo del artículo 19 de la Ley en la materia, para tener por colmado el requerimiento de información.</w:t>
      </w:r>
    </w:p>
    <w:p w:rsidR="006B57F0" w:rsidRDefault="006B57F0">
      <w:pPr>
        <w:pBdr>
          <w:top w:val="nil"/>
          <w:left w:val="nil"/>
          <w:bottom w:val="nil"/>
          <w:right w:val="nil"/>
          <w:between w:val="nil"/>
        </w:pBdr>
        <w:spacing w:line="276" w:lineRule="auto"/>
        <w:ind w:left="720" w:right="709"/>
        <w:jc w:val="both"/>
        <w:rPr>
          <w:rFonts w:ascii="Palatino Linotype" w:eastAsia="Palatino Linotype" w:hAnsi="Palatino Linotype" w:cs="Palatino Linotype"/>
          <w:i/>
          <w:sz w:val="22"/>
          <w:szCs w:val="22"/>
        </w:rPr>
      </w:pPr>
    </w:p>
    <w:p w:rsidR="006B57F0" w:rsidRPr="00BC5599" w:rsidRDefault="006B57F0" w:rsidP="006B57F0">
      <w:pPr>
        <w:ind w:left="709" w:right="760"/>
        <w:contextualSpacing/>
        <w:jc w:val="both"/>
        <w:rPr>
          <w:rFonts w:ascii="Palatino Linotype" w:eastAsia="Palatino Linotype" w:hAnsi="Palatino Linotype" w:cs="Palatino Linotype"/>
          <w:i/>
          <w:sz w:val="22"/>
          <w:szCs w:val="22"/>
        </w:rPr>
      </w:pPr>
      <w:r w:rsidRPr="00BC5599">
        <w:rPr>
          <w:rFonts w:ascii="Palatino Linotype" w:eastAsia="Palatino Linotype" w:hAnsi="Palatino Linotype" w:cs="Palatino Linotype"/>
          <w:i/>
          <w:sz w:val="22"/>
          <w:szCs w:val="22"/>
        </w:rPr>
        <w:t xml:space="preserve">En el caso que derivado de la búsqueda exhaustiva y razonable, </w:t>
      </w:r>
      <w:r w:rsidR="00BC5599">
        <w:rPr>
          <w:rFonts w:ascii="Palatino Linotype" w:eastAsia="Palatino Linotype" w:hAnsi="Palatino Linotype" w:cs="Palatino Linotype"/>
          <w:i/>
          <w:sz w:val="22"/>
          <w:szCs w:val="22"/>
        </w:rPr>
        <w:t xml:space="preserve">que se ordena, </w:t>
      </w:r>
      <w:r w:rsidRPr="00BC5599">
        <w:rPr>
          <w:rFonts w:ascii="Palatino Linotype" w:eastAsia="Palatino Linotype" w:hAnsi="Palatino Linotype" w:cs="Palatino Linotype"/>
          <w:i/>
          <w:sz w:val="22"/>
          <w:szCs w:val="22"/>
        </w:rPr>
        <w:t xml:space="preserve">por alguna razón no se localice en los archivos del </w:t>
      </w:r>
      <w:r w:rsidRPr="00BC5599">
        <w:rPr>
          <w:rFonts w:ascii="Palatino Linotype" w:eastAsia="Palatino Linotype" w:hAnsi="Palatino Linotype" w:cs="Palatino Linotype"/>
          <w:b/>
          <w:i/>
          <w:sz w:val="22"/>
          <w:szCs w:val="22"/>
        </w:rPr>
        <w:t>SUJETO OBLIGADO</w:t>
      </w:r>
      <w:r w:rsidRPr="00BC5599">
        <w:rPr>
          <w:rFonts w:ascii="Palatino Linotype" w:eastAsia="Palatino Linotype" w:hAnsi="Palatino Linotype" w:cs="Palatino Linotype"/>
          <w:i/>
          <w:sz w:val="22"/>
          <w:szCs w:val="22"/>
        </w:rPr>
        <w:t xml:space="preserve">, </w:t>
      </w:r>
      <w:r w:rsidR="00BC5599" w:rsidRPr="00BC5599">
        <w:rPr>
          <w:rFonts w:ascii="Palatino Linotype" w:eastAsia="Palatino Linotype" w:hAnsi="Palatino Linotype" w:cs="Palatino Linotype"/>
          <w:i/>
          <w:sz w:val="22"/>
          <w:szCs w:val="22"/>
        </w:rPr>
        <w:t>el documento en donde conste la experiencia del Director General</w:t>
      </w:r>
      <w:r w:rsidRPr="00BC5599">
        <w:rPr>
          <w:rFonts w:ascii="Palatino Linotype" w:eastAsia="Palatino Linotype" w:hAnsi="Palatino Linotype" w:cs="Palatino Linotype"/>
          <w:i/>
          <w:sz w:val="22"/>
          <w:szCs w:val="22"/>
        </w:rPr>
        <w:t xml:space="preserve"> que se ordena, el </w:t>
      </w:r>
      <w:r w:rsidRPr="00BC5599">
        <w:rPr>
          <w:rFonts w:ascii="Palatino Linotype" w:eastAsia="Palatino Linotype" w:hAnsi="Palatino Linotype" w:cs="Palatino Linotype"/>
          <w:b/>
          <w:i/>
          <w:sz w:val="22"/>
          <w:szCs w:val="22"/>
        </w:rPr>
        <w:t>SUJETO OBLIGADO</w:t>
      </w:r>
      <w:r w:rsidRPr="00BC5599">
        <w:rPr>
          <w:rFonts w:ascii="Palatino Linotype" w:eastAsia="Palatino Linotype" w:hAnsi="Palatino Linotype" w:cs="Palatino Linotype"/>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al </w:t>
      </w:r>
      <w:r w:rsidRPr="00BC5599">
        <w:rPr>
          <w:rFonts w:ascii="Palatino Linotype" w:eastAsia="Palatino Linotype" w:hAnsi="Palatino Linotype" w:cs="Palatino Linotype"/>
          <w:b/>
          <w:i/>
          <w:sz w:val="22"/>
          <w:szCs w:val="22"/>
        </w:rPr>
        <w:t>RECURRENTE</w:t>
      </w:r>
      <w:r w:rsidRPr="00BC5599">
        <w:rPr>
          <w:rFonts w:ascii="Palatino Linotype" w:eastAsia="Palatino Linotype" w:hAnsi="Palatino Linotype" w:cs="Palatino Linotype"/>
          <w:i/>
          <w:sz w:val="22"/>
          <w:szCs w:val="22"/>
        </w:rPr>
        <w:t xml:space="preserve"> al momento de dar cumplimiento a la presente resolución.</w:t>
      </w:r>
    </w:p>
    <w:p w:rsidR="006B57F0" w:rsidRDefault="006B57F0" w:rsidP="00BC5599">
      <w:pPr>
        <w:pBdr>
          <w:top w:val="nil"/>
          <w:left w:val="nil"/>
          <w:bottom w:val="nil"/>
          <w:right w:val="nil"/>
          <w:between w:val="nil"/>
        </w:pBdr>
        <w:spacing w:line="276" w:lineRule="auto"/>
        <w:ind w:left="720" w:right="709"/>
        <w:jc w:val="both"/>
        <w:rPr>
          <w:rFonts w:ascii="Palatino Linotype" w:eastAsia="Palatino Linotype" w:hAnsi="Palatino Linotype" w:cs="Palatino Linotype"/>
          <w:i/>
          <w:sz w:val="22"/>
          <w:szCs w:val="22"/>
        </w:rPr>
      </w:pPr>
    </w:p>
    <w:p w:rsidR="00FC52F1" w:rsidRDefault="00C80637">
      <w:pPr>
        <w:spacing w:line="360" w:lineRule="auto"/>
        <w:jc w:val="both"/>
        <w:rPr>
          <w:rFonts w:ascii="Palatino Linotype" w:eastAsia="Palatino Linotype" w:hAnsi="Palatino Linotype" w:cs="Palatino Linotype"/>
          <w:highlight w:val="white"/>
        </w:rPr>
      </w:pPr>
      <w:bookmarkStart w:id="6" w:name="_heading=h.1fob9te" w:colFirst="0" w:colLast="0"/>
      <w:bookmarkEnd w:id="6"/>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FC52F1" w:rsidRDefault="00FC52F1">
      <w:pPr>
        <w:spacing w:line="360" w:lineRule="auto"/>
        <w:jc w:val="both"/>
        <w:rPr>
          <w:rFonts w:ascii="Palatino Linotype" w:eastAsia="Palatino Linotype" w:hAnsi="Palatino Linotype" w:cs="Palatino Linotype"/>
          <w:b/>
        </w:rPr>
      </w:pPr>
    </w:p>
    <w:p w:rsidR="00FC52F1" w:rsidRDefault="00C80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FC52F1" w:rsidRDefault="00FC52F1">
      <w:pPr>
        <w:spacing w:line="360" w:lineRule="auto"/>
        <w:ind w:right="49"/>
        <w:jc w:val="both"/>
        <w:rPr>
          <w:rFonts w:ascii="Palatino Linotype" w:eastAsia="Palatino Linotype" w:hAnsi="Palatino Linotype" w:cs="Palatino Linotype"/>
        </w:rPr>
      </w:pPr>
    </w:p>
    <w:p w:rsidR="00FC52F1" w:rsidRDefault="00C80637">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FC52F1" w:rsidRDefault="00C80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rPr>
        <w:lastRenderedPageBreak/>
        <w:t>MUNICIPIOS, CONFORMADO POR LOS COMISIONADOS JOSÉ MARTÍNEZ VILCHIS, MARÍA DEL ROSARIO MEJÍA AYALA, SHARON CRISTINA MORALES MARTÍNEZ</w:t>
      </w:r>
      <w:r w:rsidR="00306931">
        <w:rPr>
          <w:rFonts w:ascii="Palatino Linotype" w:eastAsia="Palatino Linotype" w:hAnsi="Palatino Linotype" w:cs="Palatino Linotype"/>
        </w:rPr>
        <w:t xml:space="preserve"> CON AUSENCIA JUSTIFICADA</w:t>
      </w:r>
      <w:r>
        <w:rPr>
          <w:rFonts w:ascii="Palatino Linotype" w:eastAsia="Palatino Linotype" w:hAnsi="Palatino Linotype" w:cs="Palatino Linotype"/>
        </w:rPr>
        <w:t>, LUIS GUSTAVO PARRA NORIEGA Y GUADALUPE RAMÍREZ PEÑA; EN LA VIGÉSIMA QUINTA SESIÓN ORDINARIA CELEBRADA EL SEIS DE JULIO DE DOS MIL VEINTIDÓS, ANTE EL SECRETARIO TÉCNICO DEL PLENO ALEXIS TAPIA RAMÍREZ.</w:t>
      </w:r>
    </w:p>
    <w:sectPr w:rsidR="00FC52F1">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3AE" w:rsidRDefault="00D273AE">
      <w:r>
        <w:separator/>
      </w:r>
    </w:p>
  </w:endnote>
  <w:endnote w:type="continuationSeparator" w:id="0">
    <w:p w:rsidR="00D273AE" w:rsidRDefault="00D27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3AE" w:rsidRDefault="00D273A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2F38">
      <w:rPr>
        <w:rFonts w:ascii="Palatino Linotype" w:eastAsia="Palatino Linotype" w:hAnsi="Palatino Linotype" w:cs="Palatino Linotype"/>
        <w:b/>
        <w:noProof/>
        <w:color w:val="000000"/>
        <w:sz w:val="20"/>
        <w:szCs w:val="20"/>
      </w:rPr>
      <w:t>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2F38">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p>
  <w:p w:rsidR="00D273AE" w:rsidRDefault="00D273A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3AE" w:rsidRDefault="00D273A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2F3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2F38">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p>
  <w:p w:rsidR="00D273AE" w:rsidRDefault="00D273A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3AE" w:rsidRDefault="00D273AE">
      <w:r>
        <w:separator/>
      </w:r>
    </w:p>
  </w:footnote>
  <w:footnote w:type="continuationSeparator" w:id="0">
    <w:p w:rsidR="00D273AE" w:rsidRDefault="00D273AE">
      <w:r>
        <w:continuationSeparator/>
      </w:r>
    </w:p>
  </w:footnote>
  <w:footnote w:id="1">
    <w:p w:rsidR="00D273AE" w:rsidRDefault="00D273A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rsidR="00D273AE" w:rsidRDefault="00D273A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3AE" w:rsidRDefault="00D273AE">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-488312</wp:posOffset>
          </wp:positionV>
          <wp:extent cx="7809865" cy="1016571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D273AE">
      <w:tc>
        <w:tcPr>
          <w:tcW w:w="2489" w:type="dxa"/>
          <w:shd w:val="clear" w:color="auto" w:fill="auto"/>
        </w:tcPr>
        <w:p w:rsidR="00D273AE" w:rsidRDefault="00D273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D273AE" w:rsidRDefault="00D273A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03884/INFOEM/IP/RR/2022</w:t>
          </w:r>
        </w:p>
      </w:tc>
    </w:tr>
    <w:tr w:rsidR="00D273AE">
      <w:trPr>
        <w:trHeight w:val="228"/>
      </w:trPr>
      <w:tc>
        <w:tcPr>
          <w:tcW w:w="2489" w:type="dxa"/>
          <w:shd w:val="clear" w:color="auto" w:fill="auto"/>
          <w:vAlign w:val="center"/>
        </w:tcPr>
        <w:p w:rsidR="00D273AE" w:rsidRDefault="00D273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D273AE" w:rsidRDefault="00D273A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 Nicolás Romero.</w:t>
          </w:r>
        </w:p>
      </w:tc>
    </w:tr>
    <w:tr w:rsidR="00D273AE">
      <w:tc>
        <w:tcPr>
          <w:tcW w:w="2489" w:type="dxa"/>
          <w:shd w:val="clear" w:color="auto" w:fill="auto"/>
          <w:vAlign w:val="center"/>
        </w:tcPr>
        <w:p w:rsidR="00D273AE" w:rsidRDefault="00D273A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D273AE" w:rsidRDefault="00D273A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273AE" w:rsidRDefault="00D273A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3AE" w:rsidRDefault="0030693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128ADA06" wp14:editId="73DAE222">
          <wp:simplePos x="0" y="0"/>
          <wp:positionH relativeFrom="column">
            <wp:posOffset>-695325</wp:posOffset>
          </wp:positionH>
          <wp:positionV relativeFrom="paragraph">
            <wp:posOffset>269875</wp:posOffset>
          </wp:positionV>
          <wp:extent cx="7809865" cy="10165715"/>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70" w:type="dxa"/>
      <w:tblInd w:w="3261" w:type="dxa"/>
      <w:tblLayout w:type="fixed"/>
      <w:tblLook w:val="0400" w:firstRow="0" w:lastRow="0" w:firstColumn="0" w:lastColumn="0" w:noHBand="0" w:noVBand="1"/>
    </w:tblPr>
    <w:tblGrid>
      <w:gridCol w:w="2551"/>
      <w:gridCol w:w="3119"/>
    </w:tblGrid>
    <w:tr w:rsidR="00D273AE">
      <w:tc>
        <w:tcPr>
          <w:tcW w:w="2551" w:type="dxa"/>
          <w:shd w:val="clear" w:color="auto" w:fill="auto"/>
          <w:vAlign w:val="center"/>
        </w:tcPr>
        <w:p w:rsidR="00D273AE" w:rsidRDefault="00D273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D273AE" w:rsidRDefault="00D273A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03884/INFOEM/IP/RR/2022</w:t>
          </w:r>
        </w:p>
      </w:tc>
    </w:tr>
    <w:tr w:rsidR="00D273AE">
      <w:trPr>
        <w:trHeight w:val="130"/>
      </w:trPr>
      <w:tc>
        <w:tcPr>
          <w:tcW w:w="2551" w:type="dxa"/>
          <w:shd w:val="clear" w:color="auto" w:fill="auto"/>
          <w:vAlign w:val="center"/>
        </w:tcPr>
        <w:p w:rsidR="00D273AE" w:rsidRDefault="00D273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D273AE" w:rsidRDefault="00992F3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 XXXX</w:t>
          </w:r>
          <w:r w:rsidR="00D273AE">
            <w:rPr>
              <w:rFonts w:ascii="Palatino Linotype" w:eastAsia="Palatino Linotype" w:hAnsi="Palatino Linotype" w:cs="Palatino Linotype"/>
              <w:b/>
              <w:sz w:val="22"/>
              <w:szCs w:val="22"/>
            </w:rPr>
            <w:t>.</w:t>
          </w:r>
        </w:p>
      </w:tc>
    </w:tr>
    <w:tr w:rsidR="00D273AE">
      <w:trPr>
        <w:trHeight w:val="228"/>
      </w:trPr>
      <w:tc>
        <w:tcPr>
          <w:tcW w:w="2551" w:type="dxa"/>
          <w:shd w:val="clear" w:color="auto" w:fill="auto"/>
          <w:vAlign w:val="center"/>
        </w:tcPr>
        <w:p w:rsidR="00D273AE" w:rsidRDefault="00D273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D273AE" w:rsidRDefault="00D273A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 Nicolás Romero.</w:t>
          </w:r>
        </w:p>
      </w:tc>
    </w:tr>
    <w:tr w:rsidR="00D273AE">
      <w:tc>
        <w:tcPr>
          <w:tcW w:w="2551" w:type="dxa"/>
          <w:shd w:val="clear" w:color="auto" w:fill="auto"/>
          <w:vAlign w:val="center"/>
        </w:tcPr>
        <w:p w:rsidR="00D273AE" w:rsidRDefault="00D273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D273AE" w:rsidRDefault="00D273A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273AE" w:rsidRDefault="00D273A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F36A5"/>
    <w:multiLevelType w:val="multilevel"/>
    <w:tmpl w:val="31DAE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3A34E3"/>
    <w:multiLevelType w:val="multilevel"/>
    <w:tmpl w:val="2BF80E1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E84B4A"/>
    <w:multiLevelType w:val="multilevel"/>
    <w:tmpl w:val="2DD838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6B4657A"/>
    <w:multiLevelType w:val="multilevel"/>
    <w:tmpl w:val="90B62DA8"/>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EA1D17"/>
    <w:multiLevelType w:val="multilevel"/>
    <w:tmpl w:val="87F43D8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CFF47E1"/>
    <w:multiLevelType w:val="multilevel"/>
    <w:tmpl w:val="92F066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1"/>
  </w:num>
  <w:num w:numId="4">
    <w:abstractNumId w:val="6"/>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2F1"/>
    <w:rsid w:val="00135D2E"/>
    <w:rsid w:val="001A3016"/>
    <w:rsid w:val="00306931"/>
    <w:rsid w:val="003D1FCF"/>
    <w:rsid w:val="004A56E4"/>
    <w:rsid w:val="005D2BC8"/>
    <w:rsid w:val="00685331"/>
    <w:rsid w:val="006B57F0"/>
    <w:rsid w:val="00907E4F"/>
    <w:rsid w:val="009314D4"/>
    <w:rsid w:val="00992F38"/>
    <w:rsid w:val="00AD0753"/>
    <w:rsid w:val="00AD5873"/>
    <w:rsid w:val="00B93FAF"/>
    <w:rsid w:val="00BC5599"/>
    <w:rsid w:val="00C80637"/>
    <w:rsid w:val="00D273AE"/>
    <w:rsid w:val="00E27E29"/>
    <w:rsid w:val="00E655C2"/>
    <w:rsid w:val="00FC52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E96D6-5C55-499C-BB50-AF4C5270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58065.page" TargetMode="External"/><Relationship Id="rId13" Type="http://schemas.openxmlformats.org/officeDocument/2006/relationships/hyperlink" Target="https://saimex.org.mx/saimex/solicitud/downloadAttach/1358171.page" TargetMode="External"/><Relationship Id="rId18" Type="http://schemas.openxmlformats.org/officeDocument/2006/relationships/hyperlink" Target="https://saimex.org.mx/saimex/solicitud/downloadAttach/1381786.pag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aimex.org.mx/saimex/solicitud/downloadAttach/1358065.pag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381786.page" TargetMode="Externa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u34y8/53imxvOh1qmuIFRJl5LA==">AMUW2mXREx6Fb0nTV34xwByvDCjfG8WJDZTChToButqkKhO2TSlz1ID6VbQ+dbdTjdx32wtMwa/+3K46N2bvCHigU6EnmrddZmqnXkXgW7YkmNb53fHgCozgQR5rygYOr6S6qN8eGSCGPktBd222pKHbURNyWTfduZnuOV4M4ha70qO4p1OF15szLAkGEnMGll1y0ZfJ33eq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83</Pages>
  <Words>17638</Words>
  <Characters>97015</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Jhancarlo</cp:lastModifiedBy>
  <cp:revision>8</cp:revision>
  <dcterms:created xsi:type="dcterms:W3CDTF">2022-06-27T14:47:00Z</dcterms:created>
  <dcterms:modified xsi:type="dcterms:W3CDTF">2022-08-03T22:20:00Z</dcterms:modified>
</cp:coreProperties>
</file>