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treinta de marzo de dos mil veintidós. </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 </w:t>
      </w:r>
      <w:hyperlink r:id="rId8">
        <w:r>
          <w:rPr>
            <w:rFonts w:ascii="Palatino Linotype" w:eastAsia="Palatino Linotype" w:hAnsi="Palatino Linotype" w:cs="Palatino Linotype"/>
            <w:b/>
          </w:rPr>
          <w:t>00589/INFOEM/IP/RR/202</w:t>
        </w:r>
      </w:hyperlink>
      <w:r>
        <w:rPr>
          <w:rFonts w:ascii="Palatino Linotype" w:eastAsia="Palatino Linotype" w:hAnsi="Palatino Linotype" w:cs="Palatino Linotype"/>
          <w:b/>
        </w:rPr>
        <w:t xml:space="preserve">2, </w:t>
      </w:r>
      <w:hyperlink r:id="rId9">
        <w:r>
          <w:rPr>
            <w:rFonts w:ascii="Palatino Linotype" w:eastAsia="Palatino Linotype" w:hAnsi="Palatino Linotype" w:cs="Palatino Linotype"/>
            <w:b/>
          </w:rPr>
          <w:t>0591/INFOEM/IP/RR/202</w:t>
        </w:r>
      </w:hyperlink>
      <w:r>
        <w:rPr>
          <w:rFonts w:ascii="Palatino Linotype" w:eastAsia="Palatino Linotype" w:hAnsi="Palatino Linotype" w:cs="Palatino Linotype"/>
          <w:b/>
        </w:rPr>
        <w:t xml:space="preserve">2 y </w:t>
      </w:r>
      <w:hyperlink r:id="rId10">
        <w:r>
          <w:rPr>
            <w:rFonts w:ascii="Palatino Linotype" w:eastAsia="Palatino Linotype" w:hAnsi="Palatino Linotype" w:cs="Palatino Linotype"/>
            <w:b/>
          </w:rPr>
          <w:t>00592/INFOEM/IP/RR/202</w:t>
        </w:r>
      </w:hyperlink>
      <w:r>
        <w:rPr>
          <w:rFonts w:ascii="Palatino Linotype" w:eastAsia="Palatino Linotype" w:hAnsi="Palatino Linotype" w:cs="Palatino Linotype"/>
          <w:b/>
        </w:rPr>
        <w:t xml:space="preserve">2, </w:t>
      </w:r>
      <w:r>
        <w:rPr>
          <w:rFonts w:ascii="Palatino Linotype" w:eastAsia="Palatino Linotype" w:hAnsi="Palatino Linotype" w:cs="Palatino Linotype"/>
        </w:rPr>
        <w:t xml:space="preserve">interpuestos por </w:t>
      </w:r>
      <w:r w:rsidR="002163A9">
        <w:rPr>
          <w:rFonts w:ascii="Palatino Linotype" w:eastAsia="Palatino Linotype" w:hAnsi="Palatino Linotype" w:cs="Palatino Linotype"/>
          <w:b/>
        </w:rPr>
        <w:t>XXXXX XXXXX XXXXXX</w:t>
      </w:r>
      <w:r>
        <w:rPr>
          <w:rFonts w:ascii="Palatino Linotype" w:eastAsia="Palatino Linotype" w:hAnsi="Palatino Linotype" w:cs="Palatino Linotype"/>
        </w:rPr>
        <w:t xml:space="preserve">, a quien se le denominada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sus solicitudes de información con número de folio </w:t>
      </w:r>
      <w:r>
        <w:rPr>
          <w:rFonts w:ascii="Palatino Linotype" w:eastAsia="Palatino Linotype" w:hAnsi="Palatino Linotype" w:cs="Palatino Linotype"/>
          <w:b/>
        </w:rPr>
        <w:t xml:space="preserve">00017/VABRAVO/IP/2022, 00016/VABRAVO/IP/2022 y  00015/VABRAVO/IP/2022, </w:t>
      </w:r>
      <w:r>
        <w:rPr>
          <w:rFonts w:ascii="Palatino Linotype" w:eastAsia="Palatino Linotype" w:hAnsi="Palatino Linotype" w:cs="Palatino Linotype"/>
        </w:rPr>
        <w:t>por parte del</w:t>
      </w:r>
      <w:r>
        <w:rPr>
          <w:rFonts w:ascii="Palatino Linotype" w:eastAsia="Palatino Linotype" w:hAnsi="Palatino Linotype" w:cs="Palatino Linotype"/>
          <w:b/>
        </w:rPr>
        <w:t xml:space="preserve"> Ayuntamiento de Valle de Bravo, </w:t>
      </w:r>
      <w:r>
        <w:rPr>
          <w:rFonts w:ascii="Palatino Linotype" w:eastAsia="Palatino Linotype" w:hAnsi="Palatino Linotype" w:cs="Palatino Linotype"/>
        </w:rPr>
        <w:t>en lo</w:t>
      </w:r>
      <w:bookmarkStart w:id="0" w:name="_GoBack"/>
      <w:bookmarkEnd w:id="0"/>
      <w:r>
        <w:rPr>
          <w:rFonts w:ascii="Palatino Linotype" w:eastAsia="Palatino Linotype" w:hAnsi="Palatino Linotype" w:cs="Palatino Linotype"/>
        </w:rPr>
        <w:t xml:space="preserve"> sucesivo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se procede a dictar la presente resolución, con base en los siguientes:</w:t>
      </w:r>
    </w:p>
    <w:p w:rsidR="00F467A3" w:rsidRDefault="00066DA3">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Con fecha diez de enero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F467A3" w:rsidRDefault="00066DA3">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00017/VABRAVO/IP/2022:</w:t>
      </w:r>
    </w:p>
    <w:p w:rsidR="00F467A3" w:rsidRDefault="00066DA3">
      <w:pPr>
        <w:spacing w:before="240" w:after="240"/>
        <w:ind w:left="56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“Documentos probatorios de los requisitos solicitados por la Ley Orgánica Municipal del Estado de México para desempeñarse como Contralor Municipal, Tesorero, Director o titular de Medio Ambiente u equivalencia (ecología), Director o titular de Desarrollo Urbano, Director o titular de Servicios Públicos, Juez Conciliador, Juez Calificador, Director o titular de Seguridad Pública, Director o </w:t>
      </w:r>
      <w:r>
        <w:rPr>
          <w:rFonts w:ascii="Palatino Linotype" w:eastAsia="Palatino Linotype" w:hAnsi="Palatino Linotype" w:cs="Palatino Linotype"/>
          <w:i/>
          <w:color w:val="000000"/>
          <w:sz w:val="22"/>
          <w:szCs w:val="22"/>
        </w:rPr>
        <w:lastRenderedPageBreak/>
        <w:t>titular de Gobierno, Director o titular de Desarrollo Económico, Director o titular de Desarrollo Rural, Director o titular de Bienestar. Así como documentos probatorios de los tres criterios que estipula la ley para entrar en funciones el servidor público (nombramiento, toma de protesta y acta de entrega recepción). Todo lo antes citado del Ayuntamiento de Valle de Bravo o la actual administración de dicho municipio quienes entraron en función el 01 de enero de 2022” (Sic)</w:t>
      </w:r>
    </w:p>
    <w:p w:rsidR="00F467A3" w:rsidRDefault="00066DA3">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00016/VABRAVO/IP/2022:</w:t>
      </w:r>
    </w:p>
    <w:p w:rsidR="00F467A3" w:rsidRDefault="00066DA3">
      <w:pPr>
        <w:spacing w:before="240" w:after="240"/>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“Documentación probatoria de la toma de protesta de los titulares de las diferentes áreas que integran el Ayuntamiento de Valle de Bravo en funciones desde el '1 de enero de 2022” (Sic)</w:t>
      </w:r>
    </w:p>
    <w:p w:rsidR="00F467A3" w:rsidRDefault="00066DA3">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00015/VABRAVO/IP/2022:</w:t>
      </w:r>
    </w:p>
    <w:p w:rsidR="00F467A3" w:rsidRDefault="00066DA3">
      <w:pPr>
        <w:spacing w:before="240" w:after="240"/>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“Documentos probatorios de los requisitos solicitados por la Ley Orgánica Municipal del Estado de México para desempeñarse como Contralor Municipal, Tesorero, Director o titular de Medio Ambiente u equivalencia (ecología), Director o titular de Desarrollo Urbano, Director o titular de Servicios Públicos, Juez Conciliador, Juez Calificador, Director o titular de Seguridad Pública, Director o titular de Gobierno, Director o titular de Desarrollo Económico, Director o titular de Desarrollo Rural, Director o titular de Bienestar. Así como documentos probatorios de los tres criterios que estipula la ley para entrar en funciones el servidor público (nombramiento, toma de protesta y acta de entrega recepción).” (Sic)</w:t>
      </w:r>
    </w:p>
    <w:p w:rsidR="00F467A3" w:rsidRDefault="00066DA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cada una de las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F467A3" w:rsidRDefault="00F467A3">
      <w:pPr>
        <w:spacing w:line="360" w:lineRule="auto"/>
        <w:jc w:val="both"/>
        <w:rPr>
          <w:rFonts w:ascii="Palatino Linotype" w:eastAsia="Palatino Linotype" w:hAnsi="Palatino Linotype" w:cs="Palatino Linotype"/>
          <w:b/>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Con fecha primero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sus respuestas a las solicitudes de acceso a la información a través del SAIMEX, la cual versa como sigue:</w:t>
      </w:r>
    </w:p>
    <w:p w:rsidR="00F467A3" w:rsidRDefault="00F467A3">
      <w:pPr>
        <w:spacing w:line="360" w:lineRule="auto"/>
        <w:jc w:val="both"/>
        <w:rPr>
          <w:rFonts w:ascii="Palatino Linotype" w:eastAsia="Palatino Linotype" w:hAnsi="Palatino Linotype" w:cs="Palatino Linotype"/>
        </w:rPr>
      </w:pPr>
    </w:p>
    <w:p w:rsidR="00F467A3" w:rsidRDefault="00066DA3">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00017/VABRAVO/IP/2022</w:t>
      </w:r>
      <w:r>
        <w:rPr>
          <w:rFonts w:ascii="Palatino Linotype" w:eastAsia="Palatino Linotype" w:hAnsi="Palatino Linotype" w:cs="Palatino Linotype"/>
        </w:rPr>
        <w:t xml:space="preserve">: </w:t>
      </w:r>
    </w:p>
    <w:p w:rsidR="00F467A3" w:rsidRDefault="00066DA3">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envía respuesta a su solicitud, así mismo con respecto de las actas de entrega recepción con fundamento en el articulo 48 de de los Lineamientos que norman la misma de los ayuntamientos, de sus dependencias y organismos descentralizados municipales del estado de México se tiene como norma 60 días para constituirlas.</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M.A. KARLA MARYSOL GARCIA DELGADO” (Sic)</w:t>
      </w:r>
    </w:p>
    <w:p w:rsidR="00F467A3" w:rsidRDefault="00F467A3">
      <w:pPr>
        <w:ind w:left="851" w:right="902"/>
        <w:jc w:val="both"/>
        <w:rPr>
          <w:rFonts w:ascii="Palatino Linotype" w:eastAsia="Palatino Linotype" w:hAnsi="Palatino Linotype" w:cs="Palatino Linotype"/>
          <w:i/>
          <w:sz w:val="22"/>
          <w:szCs w:val="22"/>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adjuntó a su respuesta los archivos electrónicos denominados:</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w:t>
      </w:r>
      <w:hyperlink r:id="rId11">
        <w:r>
          <w:rPr>
            <w:rFonts w:ascii="Palatino Linotype" w:eastAsia="Palatino Linotype" w:hAnsi="Palatino Linotype" w:cs="Palatino Linotype"/>
            <w:b/>
          </w:rPr>
          <w:t>Nom 15 17.pdf</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cual contiene los nombramientos de la Directora de Bienestar Social, Director de Servicios Públicos, Titular de la Oficialía Mediadora-Conciliadora 01, Titular de la oficialía Calificadora 01, Director de Desarrollo Económico, Tesorero Municipal y Contralor Municipal, todos del Ayuntamiento de Valle de Bravo. </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2">
        <w:r>
          <w:rPr>
            <w:rFonts w:ascii="Palatino Linotype" w:eastAsia="Palatino Linotype" w:hAnsi="Palatino Linotype" w:cs="Palatino Linotype"/>
            <w:b/>
          </w:rPr>
          <w:t>CV Des, urb.pdf</w:t>
        </w:r>
      </w:hyperlink>
      <w:r>
        <w:rPr>
          <w:rFonts w:ascii="Palatino Linotype" w:eastAsia="Palatino Linotype" w:hAnsi="Palatino Linotype" w:cs="Palatino Linotype"/>
          <w:b/>
        </w:rPr>
        <w:t>”,</w:t>
      </w:r>
      <w:r>
        <w:rPr>
          <w:rFonts w:ascii="Palatino Linotype" w:eastAsia="Palatino Linotype" w:hAnsi="Palatino Linotype" w:cs="Palatino Linotype"/>
        </w:rPr>
        <w:t xml:space="preserve"> el cual contiene un Curriculum Vitae del Director de Desarrollo Urbano y Ecología de Valle de Bravo. </w:t>
      </w:r>
    </w:p>
    <w:p w:rsidR="00F467A3" w:rsidRDefault="00F467A3">
      <w:pPr>
        <w:spacing w:line="360" w:lineRule="auto"/>
        <w:jc w:val="both"/>
        <w:rPr>
          <w:rFonts w:ascii="Palatino Linotype" w:eastAsia="Palatino Linotype" w:hAnsi="Palatino Linotype" w:cs="Palatino Linotype"/>
          <w:b/>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w:t>
      </w:r>
      <w:hyperlink r:id="rId13">
        <w:r>
          <w:rPr>
            <w:rFonts w:ascii="Palatino Linotype" w:eastAsia="Palatino Linotype" w:hAnsi="Palatino Linotype" w:cs="Palatino Linotype"/>
            <w:b/>
          </w:rPr>
          <w:t>sol25(D.urbano.nom).pdf</w:t>
        </w:r>
      </w:hyperlink>
      <w:r>
        <w:rPr>
          <w:rFonts w:ascii="Palatino Linotype" w:eastAsia="Palatino Linotype" w:hAnsi="Palatino Linotype" w:cs="Palatino Linotype"/>
          <w:b/>
        </w:rPr>
        <w:t>”,</w:t>
      </w:r>
      <w:r>
        <w:rPr>
          <w:rFonts w:ascii="Palatino Linotype" w:eastAsia="Palatino Linotype" w:hAnsi="Palatino Linotype" w:cs="Palatino Linotype"/>
        </w:rPr>
        <w:t xml:space="preserve"> el cual contiene el nombramiento del Director de Desarrollo Urbano y Ecología de Valle de Bravo. </w:t>
      </w:r>
    </w:p>
    <w:p w:rsidR="00F467A3" w:rsidRDefault="00F467A3">
      <w:pPr>
        <w:spacing w:line="360" w:lineRule="auto"/>
        <w:jc w:val="both"/>
        <w:rPr>
          <w:rFonts w:ascii="Palatino Linotype" w:eastAsia="Palatino Linotype" w:hAnsi="Palatino Linotype" w:cs="Palatino Linotype"/>
          <w:b/>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w:t>
      </w:r>
      <w:hyperlink r:id="rId14">
        <w:r>
          <w:rPr>
            <w:rFonts w:ascii="Palatino Linotype" w:eastAsia="Palatino Linotype" w:hAnsi="Palatino Linotype" w:cs="Palatino Linotype"/>
            <w:b/>
          </w:rPr>
          <w:t>sol25(D.urbano).pdf</w:t>
        </w:r>
      </w:hyperlink>
      <w:r>
        <w:rPr>
          <w:rFonts w:ascii="Palatino Linotype" w:eastAsia="Palatino Linotype" w:hAnsi="Palatino Linotype" w:cs="Palatino Linotype"/>
          <w:b/>
        </w:rPr>
        <w:t>”,</w:t>
      </w:r>
      <w:r>
        <w:rPr>
          <w:rFonts w:ascii="Palatino Linotype" w:eastAsia="Palatino Linotype" w:hAnsi="Palatino Linotype" w:cs="Palatino Linotype"/>
        </w:rPr>
        <w:t xml:space="preserve"> el cual contiene la certificación de que el Director de Desarrollo Urbano y Ecología de Valle de Bravo, no tiene registros de sanciones y ni </w:t>
      </w:r>
      <w:r>
        <w:rPr>
          <w:rFonts w:ascii="Palatino Linotype" w:eastAsia="Palatino Linotype" w:hAnsi="Palatino Linotype" w:cs="Palatino Linotype"/>
        </w:rPr>
        <w:lastRenderedPageBreak/>
        <w:t xml:space="preserve">procedimientos administrativos, expedido por la Dirección General de Responsabilidades Administrativas de la Secretaría de la Contraloría, en donde se advierte que dejaron a la vista el RFC de dicho Director. </w:t>
      </w:r>
    </w:p>
    <w:p w:rsidR="00F467A3" w:rsidRDefault="00F467A3">
      <w:pPr>
        <w:spacing w:line="360" w:lineRule="auto"/>
        <w:jc w:val="both"/>
        <w:rPr>
          <w:rFonts w:ascii="Palatino Linotype" w:eastAsia="Palatino Linotype" w:hAnsi="Palatino Linotype" w:cs="Palatino Linotype"/>
        </w:rPr>
      </w:pPr>
    </w:p>
    <w:p w:rsidR="00F467A3" w:rsidRDefault="00066DA3">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00016/VABRAVO/IP/2022:</w:t>
      </w:r>
    </w:p>
    <w:p w:rsidR="00F467A3" w:rsidRDefault="00066DA3">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 anexa respuesta a su solcitud. </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M.A. KARLA MARYSOL GARCIA DELGADO” (Sic)</w:t>
      </w:r>
    </w:p>
    <w:p w:rsidR="00F467A3" w:rsidRDefault="00F467A3">
      <w:pPr>
        <w:ind w:left="851" w:right="902"/>
        <w:jc w:val="both"/>
        <w:rPr>
          <w:rFonts w:ascii="Palatino Linotype" w:eastAsia="Palatino Linotype" w:hAnsi="Palatino Linotype" w:cs="Palatino Linotype"/>
          <w:i/>
          <w:sz w:val="22"/>
          <w:szCs w:val="22"/>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el archivo electrónico denominado:</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w:t>
      </w:r>
      <w:hyperlink r:id="rId15">
        <w:r>
          <w:rPr>
            <w:rFonts w:ascii="Palatino Linotype" w:eastAsia="Palatino Linotype" w:hAnsi="Palatino Linotype" w:cs="Palatino Linotype"/>
            <w:b/>
          </w:rPr>
          <w:t>Sria 16.pdf</w:t>
        </w:r>
      </w:hyperlink>
      <w:r>
        <w:rPr>
          <w:rFonts w:ascii="Palatino Linotype" w:eastAsia="Palatino Linotype" w:hAnsi="Palatino Linotype" w:cs="Palatino Linotype"/>
          <w:b/>
        </w:rPr>
        <w:t>”,</w:t>
      </w:r>
      <w:r>
        <w:rPr>
          <w:rFonts w:ascii="Palatino Linotype" w:eastAsia="Palatino Linotype" w:hAnsi="Palatino Linotype" w:cs="Palatino Linotype"/>
        </w:rPr>
        <w:t xml:space="preserve"> el cual contiene el acta de instalación del Ayuntamiento de Valle de Bravo 2022-2024, celebrada el primero de enero del año 2022, en donde se aprobaron los nombramientos de los titulares de las áreas de la administración pública municipal y toma de protesta de ley a cargo de la C. Presidenta Municipal, constante de tres fojas, en donde se advierte que tomaron protesta de los siguientes titulares:</w:t>
      </w:r>
    </w:p>
    <w:p w:rsidR="00F467A3" w:rsidRDefault="00066DA3">
      <w:pPr>
        <w:spacing w:after="240" w:line="360" w:lineRule="auto"/>
        <w:jc w:val="both"/>
        <w:rPr>
          <w:rFonts w:ascii="Palatino Linotype" w:eastAsia="Palatino Linotype" w:hAnsi="Palatino Linotype" w:cs="Palatino Linotype"/>
          <w:b/>
        </w:rPr>
      </w:pPr>
      <w:r>
        <w:rPr>
          <w:noProof/>
          <w:lang w:val="es-MX" w:eastAsia="es-MX"/>
        </w:rPr>
        <w:drawing>
          <wp:inline distT="0" distB="0" distL="0" distR="0">
            <wp:extent cx="5551444" cy="1790994"/>
            <wp:effectExtent l="0" t="0" r="0" b="0"/>
            <wp:docPr id="1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41059" t="15800" r="25930" b="17198"/>
                    <a:stretch>
                      <a:fillRect/>
                    </a:stretch>
                  </pic:blipFill>
                  <pic:spPr>
                    <a:xfrm>
                      <a:off x="0" y="0"/>
                      <a:ext cx="5551444" cy="1790994"/>
                    </a:xfrm>
                    <a:prstGeom prst="rect">
                      <a:avLst/>
                    </a:prstGeom>
                    <a:ln/>
                  </pic:spPr>
                </pic:pic>
              </a:graphicData>
            </a:graphic>
          </wp:inline>
        </w:drawing>
      </w:r>
    </w:p>
    <w:p w:rsidR="00F467A3" w:rsidRDefault="00066DA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Solicitud 00015/VABRAVO/IP/2022:</w:t>
      </w:r>
    </w:p>
    <w:p w:rsidR="00F467A3" w:rsidRDefault="00066DA3">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envía respuesta a su solicitud, así mismo con respecto de las actas de entrega recepción con fundamento en el articulo 48 de de los Lineamientos que norman la misma de los ayuntamientos, de sus dependencias y organismos descentralizados municipales del estado de México se tiene como norma 60 días para constituirlas.</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M.A. KARLA MARYSOL GARCIA DELGADO” (Sic)</w:t>
      </w:r>
    </w:p>
    <w:p w:rsidR="00F467A3" w:rsidRDefault="00F467A3">
      <w:pPr>
        <w:ind w:left="851" w:right="902"/>
        <w:jc w:val="both"/>
        <w:rPr>
          <w:rFonts w:ascii="Palatino Linotype" w:eastAsia="Palatino Linotype" w:hAnsi="Palatino Linotype" w:cs="Palatino Linotype"/>
          <w:i/>
          <w:sz w:val="22"/>
          <w:szCs w:val="22"/>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el archivo electrónico denominado:</w:t>
      </w:r>
    </w:p>
    <w:p w:rsidR="00F467A3" w:rsidRDefault="00F467A3">
      <w:pPr>
        <w:ind w:left="851" w:right="902"/>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w:t>
      </w:r>
      <w:hyperlink r:id="rId17">
        <w:r>
          <w:rPr>
            <w:rFonts w:ascii="Palatino Linotype" w:eastAsia="Palatino Linotype" w:hAnsi="Palatino Linotype" w:cs="Palatino Linotype"/>
            <w:b/>
          </w:rPr>
          <w:t>Nom 15 17.pdf</w:t>
        </w:r>
      </w:hyperlink>
      <w:r>
        <w:rPr>
          <w:rFonts w:ascii="Palatino Linotype" w:eastAsia="Palatino Linotype" w:hAnsi="Palatino Linotype" w:cs="Palatino Linotype"/>
          <w:b/>
        </w:rPr>
        <w:t>”,</w:t>
      </w:r>
      <w:r>
        <w:rPr>
          <w:rFonts w:ascii="Palatino Linotype" w:eastAsia="Palatino Linotype" w:hAnsi="Palatino Linotype" w:cs="Palatino Linotype"/>
        </w:rPr>
        <w:t xml:space="preserve"> el cual contiene los nombramientos de la Directora de Bienestar Social, Director de Servicios Públicos, Titular de la Oficialía Mediadora-Calificadora 01, Director de Desarrollo Económico, Tesorero Municipal y Contralor Municipal, todos del Ayuntamiento de Valle de Bravo.</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 los recursos de revisión. </w:t>
      </w:r>
      <w:r>
        <w:rPr>
          <w:rFonts w:ascii="Palatino Linotype" w:eastAsia="Palatino Linotype" w:hAnsi="Palatino Linotype" w:cs="Palatino Linotype"/>
        </w:rPr>
        <w:t xml:space="preserve">Inconforme la solicitante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los recursos de revisión a través del SAIMEX en fecha tres de febrero del dos mil veintidós, a través de los cuales expresó lo siguiente:</w:t>
      </w:r>
    </w:p>
    <w:p w:rsidR="00F467A3" w:rsidRDefault="00F467A3">
      <w:pPr>
        <w:spacing w:line="360" w:lineRule="auto"/>
        <w:jc w:val="both"/>
        <w:rPr>
          <w:rFonts w:ascii="Palatino Linotype" w:eastAsia="Palatino Linotype" w:hAnsi="Palatino Linotype" w:cs="Palatino Linotype"/>
        </w:rPr>
      </w:pPr>
    </w:p>
    <w:p w:rsidR="00F467A3" w:rsidRDefault="00066DA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00589/INFOEM/IP/RR/2022:</w:t>
      </w:r>
      <w:r>
        <w:rPr>
          <w:rFonts w:ascii="Palatino Linotype" w:eastAsia="Palatino Linotype" w:hAnsi="Palatino Linotype" w:cs="Palatino Linotype"/>
        </w:rPr>
        <w:t xml:space="preserve"> </w:t>
      </w:r>
    </w:p>
    <w:p w:rsidR="00F467A3" w:rsidRDefault="00066DA3">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“Información incompleta a lo solicitado: solo vienen los nombramientos de algunas áreas y con respecto a lo demás, solo corresponde a lo referente al director de desarrollo urbano, por lo que no cumple en la totalidad con la información solicitada: Documentos probatorios de los requisitos solicitados por la Ley Orgánica Municipal del Estado de México para desempeñarse como Contralor Municipal, Tesorero, Director o titular de Medio Ambiente u equivalencia (ecología), Director o titular de Desarrollo Urbano, Director o titular de Servicios Públicos, Juez Conciliador, Juez Calificador, Director o titular de Seguridad Pública, Director o titular de Gobierno, Director o titular de Desarrollo Económico, Director o titular de Desarrollo Rural, Director o titular de Bienestar. Así como documentos probatorios de los tres criterios que estipula la ley para entrar en funciones el servidor público (nombramiento, toma de protesta y acta de entrega recepción). Todo lo antes citado del Ayuntamiento de Valle de Bravo o la actual administración de dicho municipio quienes entraron en función el 01 de enero de 2022” (Sic)</w:t>
      </w:r>
    </w:p>
    <w:p w:rsidR="00F467A3" w:rsidRDefault="00F467A3">
      <w:pPr>
        <w:ind w:left="851" w:right="902"/>
        <w:jc w:val="both"/>
        <w:rPr>
          <w:rFonts w:ascii="Palatino Linotype" w:eastAsia="Palatino Linotype" w:hAnsi="Palatino Linotype" w:cs="Palatino Linotype"/>
          <w:i/>
          <w:color w:val="000000"/>
          <w:sz w:val="22"/>
          <w:szCs w:val="22"/>
        </w:rPr>
      </w:pPr>
    </w:p>
    <w:p w:rsidR="00F467A3" w:rsidRDefault="00066DA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“Información incompleta a lo solicitado: solo vienen los nombramientos de algunas áreas y con respecto a lo demás, solo corresponde a lo referente al director de desarrollo urbano, por lo que no cumple en la totalidad con la información solicitada: Documentos probatorios de los requisitos solicitados por la Ley Orgánica Municipal del Estado de México para desempeñarse como Contralor Municipal, Tesorero, Director o titular de Medio Ambiente u equivalencia (ecología), Director o titular de Desarrollo Urbano, Director o titular de Servicios Públicos, Juez Conciliador, Juez Calificador, Director o titular de Seguridad Pública, Director o titular de Gobierno, Director o titular de Desarrollo Económico, Director o titular de Desarrollo Rural, Director o titular de Bienestar. Así como documentos probatorios de los tres criterios que estipula la ley para entrar en funciones el servidor público (nombramiento, toma de protesta y acta de entrega recepción). Todo lo antes citado del Ayuntamiento de Valle de Bravo o la actual administración de dicho municipio quienes entraron en función el 01 de enero de 2022” (Sic)</w:t>
      </w:r>
    </w:p>
    <w:p w:rsidR="00F467A3" w:rsidRDefault="00F467A3">
      <w:pPr>
        <w:spacing w:line="360" w:lineRule="auto"/>
        <w:jc w:val="both"/>
        <w:rPr>
          <w:rFonts w:ascii="Palatino Linotype" w:eastAsia="Palatino Linotype" w:hAnsi="Palatino Linotype" w:cs="Palatino Linotype"/>
          <w:b/>
        </w:rPr>
      </w:pPr>
    </w:p>
    <w:p w:rsidR="00F467A3" w:rsidRDefault="00066DA3">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Recurso de revisión</w:t>
      </w:r>
      <w:r>
        <w:rPr>
          <w:rFonts w:ascii="Palatino Linotype" w:eastAsia="Palatino Linotype" w:hAnsi="Palatino Linotype" w:cs="Palatino Linotype"/>
          <w:b/>
        </w:rPr>
        <w:t xml:space="preserve"> 00591/INFOEM/IP/RR/2022:</w:t>
      </w:r>
    </w:p>
    <w:p w:rsidR="00F467A3" w:rsidRDefault="00066DA3">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“no son los unicos titulares que integran el ayuntamiento de valle de bravo por lo que la información es incompleta al día de la solicitud” (Sic)</w:t>
      </w:r>
    </w:p>
    <w:p w:rsidR="00F467A3" w:rsidRDefault="00F467A3">
      <w:pPr>
        <w:ind w:left="851" w:right="902"/>
        <w:jc w:val="both"/>
        <w:rPr>
          <w:rFonts w:ascii="Palatino Linotype" w:eastAsia="Palatino Linotype" w:hAnsi="Palatino Linotype" w:cs="Palatino Linotype"/>
          <w:i/>
          <w:color w:val="000000"/>
          <w:sz w:val="22"/>
          <w:szCs w:val="22"/>
        </w:rPr>
      </w:pPr>
    </w:p>
    <w:p w:rsidR="00F467A3" w:rsidRDefault="00066DA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son los unicos titulares que integran el ayuntamiento de valle de bravo por lo que la información es incompleta al día de la solicitud” (Sic)</w:t>
      </w:r>
    </w:p>
    <w:p w:rsidR="00F467A3" w:rsidRDefault="00F467A3">
      <w:pPr>
        <w:ind w:left="851" w:right="902"/>
        <w:jc w:val="both"/>
        <w:rPr>
          <w:rFonts w:ascii="Palatino Linotype" w:eastAsia="Palatino Linotype" w:hAnsi="Palatino Linotype" w:cs="Palatino Linotype"/>
          <w:i/>
          <w:color w:val="000000"/>
          <w:sz w:val="22"/>
          <w:szCs w:val="22"/>
        </w:rPr>
      </w:pPr>
    </w:p>
    <w:p w:rsidR="00F467A3" w:rsidRDefault="00066DA3">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Recurso de revisión</w:t>
      </w:r>
      <w:r>
        <w:rPr>
          <w:rFonts w:ascii="Palatino Linotype" w:eastAsia="Palatino Linotype" w:hAnsi="Palatino Linotype" w:cs="Palatino Linotype"/>
          <w:b/>
        </w:rPr>
        <w:t xml:space="preserve"> 00592/INFOEM/IP/RR/2022: </w:t>
      </w:r>
    </w:p>
    <w:p w:rsidR="00F467A3" w:rsidRDefault="00066DA3">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467A3" w:rsidRDefault="00F467A3">
      <w:pPr>
        <w:ind w:left="851" w:right="902"/>
        <w:jc w:val="both"/>
        <w:rPr>
          <w:rFonts w:ascii="Palatino Linotype" w:eastAsia="Palatino Linotype" w:hAnsi="Palatino Linotype" w:cs="Palatino Linotype"/>
          <w:i/>
          <w:color w:val="000000"/>
          <w:sz w:val="22"/>
          <w:szCs w:val="22"/>
        </w:rPr>
      </w:pP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“Información incompleta solo están los nombramientos, sin embargo, la ley orgánica no solo señala el nombramiento como requisito para ocupar los cargos enlistados” (Sic)</w:t>
      </w:r>
    </w:p>
    <w:p w:rsidR="00F467A3" w:rsidRDefault="00F467A3">
      <w:pPr>
        <w:ind w:left="851" w:right="902"/>
        <w:jc w:val="both"/>
        <w:rPr>
          <w:rFonts w:ascii="Palatino Linotype" w:eastAsia="Palatino Linotype" w:hAnsi="Palatino Linotype" w:cs="Palatino Linotype"/>
          <w:i/>
          <w:color w:val="000000"/>
          <w:sz w:val="22"/>
          <w:szCs w:val="22"/>
        </w:rPr>
      </w:pPr>
    </w:p>
    <w:p w:rsidR="00F467A3" w:rsidRDefault="00066DA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467A3" w:rsidRDefault="00066DA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“Información incompleta solo están los nombramientos, sin embargo, la ley orgánica no solo señala el nombramiento como requisito para ocupar los cargos enlistados,” (Sic)</w:t>
      </w:r>
    </w:p>
    <w:p w:rsidR="00F467A3" w:rsidRDefault="00F467A3">
      <w:pPr>
        <w:ind w:left="851" w:right="902"/>
        <w:jc w:val="both"/>
        <w:rPr>
          <w:rFonts w:ascii="Palatino Linotype" w:eastAsia="Palatino Linotype" w:hAnsi="Palatino Linotype" w:cs="Palatino Linotype"/>
          <w:i/>
          <w:color w:val="000000"/>
          <w:sz w:val="22"/>
          <w:szCs w:val="22"/>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00589/INFOEM/IP/RR/2022,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t xml:space="preserve">00591/INFOEM/IP/RR/2022,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 xml:space="preserve">Luis Gustavo Parra Noriega y </w:t>
      </w:r>
      <w:r>
        <w:rPr>
          <w:rFonts w:ascii="Palatino Linotype" w:eastAsia="Palatino Linotype" w:hAnsi="Palatino Linotype" w:cs="Palatino Linotype"/>
        </w:rPr>
        <w:t xml:space="preserve">el recurso de revisión número </w:t>
      </w:r>
      <w:r>
        <w:rPr>
          <w:rFonts w:ascii="Palatino Linotype" w:eastAsia="Palatino Linotype" w:hAnsi="Palatino Linotype" w:cs="Palatino Linotype"/>
          <w:b/>
        </w:rPr>
        <w:lastRenderedPageBreak/>
        <w:t xml:space="preserve">00592/INFOEM/IP/RR/2022,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Sharon Cristina Morales Martínez</w:t>
      </w:r>
      <w:r>
        <w:rPr>
          <w:rFonts w:ascii="Palatino Linotype" w:eastAsia="Palatino Linotype" w:hAnsi="Palatino Linotype" w:cs="Palatino Linotype"/>
        </w:rPr>
        <w:t>, para su análisis, estudio, elaboración del proyecto y presentación ante el Pleno de este Instituto.</w:t>
      </w:r>
    </w:p>
    <w:p w:rsidR="00F467A3" w:rsidRDefault="00F467A3">
      <w:pPr>
        <w:spacing w:after="40" w:line="360" w:lineRule="auto"/>
        <w:jc w:val="both"/>
        <w:rPr>
          <w:rFonts w:ascii="Palatino Linotype" w:eastAsia="Palatino Linotype" w:hAnsi="Palatino Linotype" w:cs="Palatino Linotype"/>
        </w:rPr>
      </w:pPr>
    </w:p>
    <w:p w:rsidR="00F467A3" w:rsidRDefault="00066DA3">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Acumulación, </w:t>
      </w:r>
      <w:r>
        <w:rPr>
          <w:rFonts w:ascii="Palatino Linotype" w:eastAsia="Palatino Linotype" w:hAnsi="Palatino Linotype" w:cs="Palatino Linotype"/>
        </w:rPr>
        <w:t xml:space="preserve">en la Séptima Sesión Ordinaria del Pleno de este Instituto de Transparencia, Acceso a la Información Pública y Protección de Datos Personales del Estado de México y Municipios, celebrada en fecha veintitrés de febrero de dos mil veintidós, al advertir la conexidad de causa y con la finalidad de evitar que se dicten resoluciones contradictorias, se acordó la acumulación de los recursos señalados en este fallo;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F467A3" w:rsidRDefault="00066DA3">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F467A3" w:rsidRDefault="00F467A3">
      <w:pPr>
        <w:ind w:right="1325"/>
        <w:jc w:val="both"/>
        <w:rPr>
          <w:rFonts w:ascii="Palatino Linotype" w:eastAsia="Palatino Linotype" w:hAnsi="Palatino Linotype" w:cs="Palatino Linotype"/>
          <w:i/>
          <w:sz w:val="22"/>
          <w:szCs w:val="22"/>
        </w:rPr>
      </w:pPr>
    </w:p>
    <w:p w:rsidR="00F467A3" w:rsidRDefault="00066DA3">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w:t>
      </w:r>
      <w:r>
        <w:rPr>
          <w:rFonts w:ascii="Palatino Linotype" w:eastAsia="Palatino Linotype" w:hAnsi="Palatino Linotype" w:cs="Palatino Linotype"/>
          <w:i/>
          <w:sz w:val="22"/>
          <w:szCs w:val="22"/>
        </w:rPr>
        <w:lastRenderedPageBreak/>
        <w:t>para evitar la emisión de resoluciones contradictorias. La misma regla se aplicará, en lo conducente, para la separación de los expedientes. (Sic)</w:t>
      </w:r>
    </w:p>
    <w:p w:rsidR="00F467A3" w:rsidRDefault="00F467A3">
      <w:pPr>
        <w:spacing w:after="240" w:line="360" w:lineRule="auto"/>
        <w:jc w:val="both"/>
        <w:rPr>
          <w:rFonts w:ascii="Palatino Linotype" w:eastAsia="Palatino Linotype" w:hAnsi="Palatino Linotype" w:cs="Palatino Linotype"/>
          <w:b/>
        </w:rPr>
      </w:pP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de los recursos de revisión: </w:t>
      </w:r>
      <w:r>
        <w:rPr>
          <w:rFonts w:ascii="Palatino Linotype" w:eastAsia="Palatino Linotype" w:hAnsi="Palatino Linotype" w:cs="Palatino Linotype"/>
        </w:rPr>
        <w:t xml:space="preserve">En fechas ocho y nueve de febrero de dos mil veintidós, la Comisionada ponente, admitió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color w:val="000000"/>
        </w:rPr>
        <w:t xml:space="preserve">: De las constancias que integran los expedientes en que se actúa se advierte que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remitió en cada recurso de revisión que nos ocupa, en fecha dieciocho de febrero del año en el siguiente archivo electrónico:</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8">
        <w:r>
          <w:rPr>
            <w:rFonts w:ascii="Palatino Linotype" w:eastAsia="Palatino Linotype" w:hAnsi="Palatino Linotype" w:cs="Palatino Linotype"/>
            <w:color w:val="000000"/>
          </w:rPr>
          <w:t>alegato.docx</w:t>
        </w:r>
      </w:hyperlink>
      <w:r>
        <w:rPr>
          <w:rFonts w:ascii="Palatino Linotype" w:eastAsia="Palatino Linotype" w:hAnsi="Palatino Linotype" w:cs="Palatino Linotype"/>
          <w:color w:val="000000"/>
        </w:rPr>
        <w:t xml:space="preserve">”, en donde señaló en lo medular “Respuesta no concreta o falta de respuesta a mi petición de información”. </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 fecha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diez de febrero remitió los siguientes archivos electrónicos:</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Recurso de revisión </w:t>
      </w:r>
      <w:hyperlink r:id="rId19">
        <w:r>
          <w:rPr>
            <w:rFonts w:ascii="Palatino Linotype" w:eastAsia="Palatino Linotype" w:hAnsi="Palatino Linotype" w:cs="Palatino Linotype"/>
            <w:b/>
            <w:color w:val="000000"/>
          </w:rPr>
          <w:t>00589/INFOEM/IP/RR/202</w:t>
        </w:r>
      </w:hyperlink>
      <w:r>
        <w:rPr>
          <w:rFonts w:ascii="Palatino Linotype" w:eastAsia="Palatino Linotype" w:hAnsi="Palatino Linotype" w:cs="Palatino Linotype"/>
          <w:b/>
          <w:color w:val="000000"/>
        </w:rPr>
        <w:t>2:</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w:t>
      </w:r>
      <w:hyperlink r:id="rId20">
        <w:r>
          <w:rPr>
            <w:rFonts w:ascii="Palatino Linotype" w:eastAsia="Palatino Linotype" w:hAnsi="Palatino Linotype" w:cs="Palatino Linotype"/>
            <w:b/>
            <w:color w:val="000000"/>
          </w:rPr>
          <w:t>6 - 15 -17 Contraloria Oficio resp.pdf</w:t>
        </w:r>
      </w:hyperlink>
      <w:r>
        <w:rPr>
          <w:rFonts w:ascii="Palatino Linotype" w:eastAsia="Palatino Linotype" w:hAnsi="Palatino Linotype" w:cs="Palatino Linotype"/>
          <w:color w:val="000000"/>
        </w:rPr>
        <w:t xml:space="preserve">”, el cual contiene el oficio número CM/019/ENERO/2022, por medio del cual la Contraloría Municipal manifestó al Titular de la Unida de Transparencia y Acceso a la Información Pública, anexar el nombramiento de la Contraloría Municipal y copia de su curriculum vitae,  sin embargo fue omiso en adjuntar documento alguno. </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También indicó con respecto de las actas de entrega recepción con fundamento en el artículo 48 de los Lineamientos que norman la misma de los ayuntamientos, de sus dependencias y organismos descentralizados municipales del estado de México se tiene como norma 60 días para constituirlas.</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w:t>
      </w:r>
      <w:hyperlink r:id="rId21">
        <w:r>
          <w:rPr>
            <w:rFonts w:ascii="Palatino Linotype" w:eastAsia="Palatino Linotype" w:hAnsi="Palatino Linotype" w:cs="Palatino Linotype"/>
            <w:b/>
            <w:color w:val="000000"/>
          </w:rPr>
          <w:t>6 - 15 - 17 nombramiento contraloria.pdf</w:t>
        </w:r>
      </w:hyperlink>
      <w:r>
        <w:rPr>
          <w:rFonts w:ascii="Palatino Linotype" w:eastAsia="Palatino Linotype" w:hAnsi="Palatino Linotype" w:cs="Palatino Linotype"/>
          <w:color w:val="000000"/>
        </w:rPr>
        <w:t xml:space="preserve">”, el cual contiene el nombramiento del contralor municipal. </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w:t>
      </w:r>
      <w:hyperlink r:id="rId22">
        <w:r>
          <w:rPr>
            <w:rFonts w:ascii="Palatino Linotype" w:eastAsia="Palatino Linotype" w:hAnsi="Palatino Linotype" w:cs="Palatino Linotype"/>
            <w:b/>
            <w:color w:val="000000"/>
          </w:rPr>
          <w:t>17 - Seg Pub.pdf</w:t>
        </w:r>
      </w:hyperlink>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el cual contiene el oficio número SP/078/2022, por medio del cual el Director de Seguridad Pública, Protección Civil, Bomberos y Movilidad, entregó al Titular de la Unida de Transparencia y Acceso a la Información Pública, fotocopia simple del nombramiento del Director de Seguridad Pública, Protección Civil, Bomberos y Movilidad. </w:t>
      </w:r>
    </w:p>
    <w:p w:rsidR="00F467A3" w:rsidRDefault="00066DA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w:t>
      </w:r>
      <w:hyperlink r:id="rId23">
        <w:r>
          <w:rPr>
            <w:rFonts w:ascii="Palatino Linotype" w:eastAsia="Palatino Linotype" w:hAnsi="Palatino Linotype" w:cs="Palatino Linotype"/>
            <w:b/>
          </w:rPr>
          <w:t>16 - Sria - protesta - cabildo.pdf</w:t>
        </w:r>
      </w:hyperlink>
      <w:r>
        <w:rPr>
          <w:rFonts w:ascii="Palatino Linotype" w:eastAsia="Palatino Linotype" w:hAnsi="Palatino Linotype" w:cs="Palatino Linotype"/>
        </w:rPr>
        <w:t>”, el cual contiene el oficio número SA/041/enero/2022, por medio del cual el Secretario de Ayuntamiento, remitió al Titular de la Unidad de Transparencia y Acceso a la Información Pública, en copia certificada el punto número 8 del acta de instalación del Ayuntamiento de Valle de Bravo 2022-2024, celebrada el primero de enero del año 2022, en donde se aprobaron los nombramientos de los titulares de las áreas de la administración pública municipal y toma de protesta de ley a cargo de la C. Presidenta Municipal, constante de tres fojas, en el que se advierte que tomaron protesta las siguientes áreas:</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532238" cy="2287829"/>
            <wp:effectExtent l="0" t="0" r="0" b="0"/>
            <wp:docPr id="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41059" t="15800" r="25930" b="17198"/>
                    <a:stretch>
                      <a:fillRect/>
                    </a:stretch>
                  </pic:blipFill>
                  <pic:spPr>
                    <a:xfrm>
                      <a:off x="0" y="0"/>
                      <a:ext cx="5532238" cy="2287829"/>
                    </a:xfrm>
                    <a:prstGeom prst="rect">
                      <a:avLst/>
                    </a:prstGeom>
                    <a:ln/>
                  </pic:spPr>
                </pic:pic>
              </a:graphicData>
            </a:graphic>
          </wp:inline>
        </w:drawing>
      </w:r>
    </w:p>
    <w:p w:rsidR="00F467A3" w:rsidRDefault="00066DA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w:t>
      </w:r>
      <w:hyperlink r:id="rId24">
        <w:r>
          <w:rPr>
            <w:rFonts w:ascii="Palatino Linotype" w:eastAsia="Palatino Linotype" w:hAnsi="Palatino Linotype" w:cs="Palatino Linotype"/>
            <w:b/>
          </w:rPr>
          <w:t>6 15 y 17 Contraloría CV.pdf</w:t>
        </w:r>
      </w:hyperlink>
      <w:r>
        <w:rPr>
          <w:rFonts w:ascii="Palatino Linotype" w:eastAsia="Palatino Linotype" w:hAnsi="Palatino Linotype" w:cs="Palatino Linotype"/>
          <w:b/>
        </w:rPr>
        <w:t>”,</w:t>
      </w:r>
      <w:r>
        <w:rPr>
          <w:rFonts w:ascii="Palatino Linotype" w:eastAsia="Palatino Linotype" w:hAnsi="Palatino Linotype" w:cs="Palatino Linotype"/>
        </w:rPr>
        <w:t xml:space="preserve"> el cual contiene el curriculum de la Contralora Municipal del Ayuntamiento de Valle de Bravo en dos fojas. </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Recurso de revisión </w:t>
      </w:r>
      <w:hyperlink r:id="rId25">
        <w:r>
          <w:rPr>
            <w:rFonts w:ascii="Palatino Linotype" w:eastAsia="Palatino Linotype" w:hAnsi="Palatino Linotype" w:cs="Palatino Linotype"/>
            <w:b/>
            <w:color w:val="000000"/>
            <w:sz w:val="22"/>
            <w:szCs w:val="22"/>
          </w:rPr>
          <w:t>0591/INFOEM/IP/RR/202</w:t>
        </w:r>
      </w:hyperlink>
      <w:r>
        <w:rPr>
          <w:rFonts w:ascii="Palatino Linotype" w:eastAsia="Palatino Linotype" w:hAnsi="Palatino Linotype" w:cs="Palatino Linotype"/>
          <w:b/>
          <w:color w:val="000000"/>
          <w:sz w:val="22"/>
          <w:szCs w:val="22"/>
        </w:rPr>
        <w:t>2:</w:t>
      </w:r>
    </w:p>
    <w:p w:rsidR="00F467A3" w:rsidRDefault="00066DA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w:t>
      </w:r>
      <w:hyperlink r:id="rId26">
        <w:r>
          <w:rPr>
            <w:rFonts w:ascii="Palatino Linotype" w:eastAsia="Palatino Linotype" w:hAnsi="Palatino Linotype" w:cs="Palatino Linotype"/>
            <w:b/>
          </w:rPr>
          <w:t>16 - Sria.pdf</w:t>
        </w:r>
      </w:hyperlink>
      <w:r>
        <w:rPr>
          <w:rFonts w:ascii="Palatino Linotype" w:eastAsia="Palatino Linotype" w:hAnsi="Palatino Linotype" w:cs="Palatino Linotype"/>
          <w:b/>
        </w:rPr>
        <w:t>”,</w:t>
      </w:r>
      <w:r>
        <w:rPr>
          <w:rFonts w:ascii="Palatino Linotype" w:eastAsia="Palatino Linotype" w:hAnsi="Palatino Linotype" w:cs="Palatino Linotype"/>
        </w:rPr>
        <w:t xml:space="preserve"> el cual contiene el oficio número SA/041/enero/2022, por medio del cual el Secretario de Ayuntamiento, remitió al Titular de la Unida de Transparencia y Acceso a la Información Pública, en copia certificada el punto número 8 del acta de instalación del Ayuntamiento de Valle de Bravo 2022-2024, celebrada el primero de enero del año 2022, en donde se aprobaron los nombramientos de los titulares de las áreas de la administración pública municipal y toma de protesta de ley a cargo de la C. Presidenta Municipal, constante de tres fojas, en el que se advierte que tomaron protesta las siguiente áreas:</w:t>
      </w:r>
    </w:p>
    <w:p w:rsidR="00F467A3" w:rsidRDefault="00F467A3">
      <w:pPr>
        <w:spacing w:line="360" w:lineRule="auto"/>
        <w:jc w:val="both"/>
        <w:rPr>
          <w:rFonts w:ascii="Palatino Linotype" w:eastAsia="Palatino Linotype" w:hAnsi="Palatino Linotype" w:cs="Palatino Linotype"/>
        </w:rPr>
      </w:pPr>
    </w:p>
    <w:p w:rsidR="00F467A3" w:rsidRDefault="00066DA3">
      <w:pPr>
        <w:spacing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532238" cy="2287829"/>
            <wp:effectExtent l="0" t="0" r="0" b="0"/>
            <wp:docPr id="1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41059" t="15800" r="25930" b="17198"/>
                    <a:stretch>
                      <a:fillRect/>
                    </a:stretch>
                  </pic:blipFill>
                  <pic:spPr>
                    <a:xfrm>
                      <a:off x="0" y="0"/>
                      <a:ext cx="5532238" cy="2287829"/>
                    </a:xfrm>
                    <a:prstGeom prst="rect">
                      <a:avLst/>
                    </a:prstGeom>
                    <a:ln/>
                  </pic:spPr>
                </pic:pic>
              </a:graphicData>
            </a:graphic>
          </wp:inline>
        </w:drawing>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Recurso de Revisión </w:t>
      </w:r>
      <w:hyperlink r:id="rId27">
        <w:r>
          <w:rPr>
            <w:rFonts w:ascii="Palatino Linotype" w:eastAsia="Palatino Linotype" w:hAnsi="Palatino Linotype" w:cs="Palatino Linotype"/>
            <w:b/>
            <w:color w:val="000000"/>
            <w:sz w:val="22"/>
            <w:szCs w:val="22"/>
          </w:rPr>
          <w:t>00592/INFOEM/IP/RR/202</w:t>
        </w:r>
      </w:hyperlink>
      <w:r>
        <w:rPr>
          <w:rFonts w:ascii="Palatino Linotype" w:eastAsia="Palatino Linotype" w:hAnsi="Palatino Linotype" w:cs="Palatino Linotype"/>
          <w:b/>
          <w:color w:val="000000"/>
          <w:sz w:val="22"/>
          <w:szCs w:val="22"/>
        </w:rPr>
        <w:t>2:</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w:t>
      </w:r>
      <w:hyperlink r:id="rId28">
        <w:r>
          <w:rPr>
            <w:rFonts w:ascii="Palatino Linotype" w:eastAsia="Palatino Linotype" w:hAnsi="Palatino Linotype" w:cs="Palatino Linotype"/>
            <w:color w:val="000000"/>
          </w:rPr>
          <w:t>15 Seg Pub.pdf</w:t>
        </w:r>
      </w:hyperlink>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rPr>
        <w:t>el cual contiene el oficio número SP/077/2022, por medio del cual el Director de Seguridad Pública, Protección Civil, Bomberos y Movilidad, entregó al Titular de la Unidad de Transparencia y Acceso a la Información Pública, fotocopia simple del nombramiento del Director de Seguridad Pública, Protección Civil, Bomberos y Movilidad.</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29">
        <w:r>
          <w:rPr>
            <w:rFonts w:ascii="Palatino Linotype" w:eastAsia="Palatino Linotype" w:hAnsi="Palatino Linotype" w:cs="Palatino Linotype"/>
            <w:b/>
            <w:color w:val="000000"/>
          </w:rPr>
          <w:t>15 y 17 - Calificador.pdf</w:t>
        </w:r>
      </w:hyperlink>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el cual contiene el oficio número MVB/OFC/011/2022, por medio del cual la Titular de la Oficialía Mediadora-Calificadora 01, remitió a la Titular de la Unidad de Transparencia y Acceso a la Información Pública, su nombramiento.</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w:t>
      </w:r>
      <w:hyperlink r:id="rId30">
        <w:r>
          <w:rPr>
            <w:rFonts w:ascii="Palatino Linotype" w:eastAsia="Palatino Linotype" w:hAnsi="Palatino Linotype" w:cs="Palatino Linotype"/>
            <w:b/>
            <w:color w:val="000000"/>
          </w:rPr>
          <w:t>15 Y 17 - tesorería.pdf</w:t>
        </w:r>
      </w:hyperlink>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el cual contiene el nombramiento del Tesorero Municipal y curriculum vitae del mismo, constante de dos fojas.</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w:t>
      </w:r>
      <w:hyperlink r:id="rId31">
        <w:r>
          <w:rPr>
            <w:rFonts w:ascii="Palatino Linotype" w:eastAsia="Palatino Linotype" w:hAnsi="Palatino Linotype" w:cs="Palatino Linotype"/>
            <w:b/>
            <w:color w:val="000000"/>
          </w:rPr>
          <w:t>6 - 15 - 17 nombramiento contraloria.pdf</w:t>
        </w:r>
      </w:hyperlink>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el cual contiene el nombramiento del </w:t>
      </w:r>
      <w:r>
        <w:rPr>
          <w:rFonts w:ascii="Palatino Linotype" w:eastAsia="Palatino Linotype" w:hAnsi="Palatino Linotype" w:cs="Palatino Linotype"/>
          <w:color w:val="000000"/>
        </w:rPr>
        <w:lastRenderedPageBreak/>
        <w:t>contralor municipal de valle de bravo.</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w:t>
      </w:r>
      <w:hyperlink r:id="rId32">
        <w:r>
          <w:rPr>
            <w:rFonts w:ascii="Palatino Linotype" w:eastAsia="Palatino Linotype" w:hAnsi="Palatino Linotype" w:cs="Palatino Linotype"/>
            <w:b/>
            <w:color w:val="000000"/>
          </w:rPr>
          <w:t>6 15 y 17 Contraloría CV.pdf</w:t>
        </w:r>
      </w:hyperlink>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el cual contiene el curriculum vitae del contralor municipal de Valle de Bravo, en dos fojas. </w:t>
      </w:r>
    </w:p>
    <w:p w:rsidR="00F467A3" w:rsidRDefault="00066DA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w:t>
      </w:r>
      <w:hyperlink r:id="rId33">
        <w:r>
          <w:rPr>
            <w:rFonts w:ascii="Palatino Linotype" w:eastAsia="Palatino Linotype" w:hAnsi="Palatino Linotype" w:cs="Palatino Linotype"/>
            <w:b/>
            <w:color w:val="000000"/>
          </w:rPr>
          <w:t>15 - 17 nombramiento oficialia.pdf</w:t>
        </w:r>
      </w:hyperlink>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el cual contiene el oficio número MVB/OFC/011/2022, por medio del cual la Titular de la Oficialía Mediadora-Calificadora 01, remitió a la Titular de la Unidad de Transparencia y Acceso a la Información Pública, su nombramiento.</w:t>
      </w:r>
    </w:p>
    <w:p w:rsidR="00F467A3" w:rsidRDefault="00066DA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Archivos electrónicos que se determinó poner a la vista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fecha catorce de marzo del año en curso, en términos de la fracción III del artículo 185 de la Ley de Transparencia y Acceso a la Información Pública del Estado de México y Municipios; para que en el término de tres días manifestara lo que a su derecho convenga.</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 excepción de los archivos electrónicos denominados “</w:t>
      </w:r>
      <w:hyperlink r:id="rId34">
        <w:r>
          <w:rPr>
            <w:rFonts w:ascii="Palatino Linotype" w:eastAsia="Palatino Linotype" w:hAnsi="Palatino Linotype" w:cs="Palatino Linotype"/>
            <w:b/>
          </w:rPr>
          <w:t>6 15 y 17 Contraloría CV.pdf</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y “</w:t>
      </w:r>
      <w:hyperlink r:id="rId35">
        <w:r>
          <w:rPr>
            <w:rFonts w:ascii="Palatino Linotype" w:eastAsia="Palatino Linotype" w:hAnsi="Palatino Linotype" w:cs="Palatino Linotype"/>
          </w:rPr>
          <w:t>1</w:t>
        </w:r>
      </w:hyperlink>
      <w:hyperlink r:id="rId36">
        <w:r>
          <w:rPr>
            <w:rFonts w:ascii="Palatino Linotype" w:eastAsia="Palatino Linotype" w:hAnsi="Palatino Linotype" w:cs="Palatino Linotype"/>
            <w:b/>
          </w:rPr>
          <w:t>5 Y 17 - tesorería.pdf</w:t>
        </w:r>
      </w:hyperlink>
      <w:r>
        <w:rPr>
          <w:rFonts w:ascii="Palatino Linotype" w:eastAsia="Palatino Linotype" w:hAnsi="Palatino Linotype" w:cs="Palatino Linotype"/>
        </w:rPr>
        <w:t xml:space="preserve">”, por contener datos personales como de una empresa particular, dirección, teléfono y correo electrónico personales. </w:t>
      </w:r>
    </w:p>
    <w:p w:rsidR="00F467A3" w:rsidRDefault="00F467A3">
      <w:pPr>
        <w:spacing w:line="360" w:lineRule="auto"/>
        <w:jc w:val="both"/>
        <w:rPr>
          <w:rFonts w:ascii="Palatino Linotype" w:eastAsia="Palatino Linotype" w:hAnsi="Palatino Linotype" w:cs="Palatino Linotype"/>
        </w:rPr>
      </w:pPr>
    </w:p>
    <w:p w:rsidR="00F467A3" w:rsidRDefault="00066DA3">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En fecha veintitrés de marzo del dos mil veintidós la Comisionada ponente determinó los cierres de instrucción en términos de la fracción VI del artículo 185 de la Ley de Transparencia y Acceso a la Información Pública del Estado de México y Municipios.</w:t>
      </w:r>
    </w:p>
    <w:p w:rsidR="00F467A3" w:rsidRDefault="00066DA3">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9.- Ampliación del plazo.</w:t>
      </w:r>
      <w:r>
        <w:rPr>
          <w:rFonts w:ascii="Palatino Linotype" w:eastAsia="Palatino Linotype" w:hAnsi="Palatino Linotype" w:cs="Palatino Linotype"/>
        </w:rPr>
        <w:t xml:space="preserve"> En fecha veinticuatro de marzo del año dos mil veintidós</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con fundamento en el artículo 181, párrafo tercero de la Ley de Transparencia y Acceso a la Información Pública del Estado de México y Municipios, se acordó la ampliación del plazo para su resolución.</w:t>
      </w:r>
    </w:p>
    <w:p w:rsidR="00F467A3" w:rsidRDefault="00F467A3">
      <w:pPr>
        <w:widowControl w:val="0"/>
        <w:spacing w:line="360" w:lineRule="auto"/>
        <w:jc w:val="both"/>
        <w:rPr>
          <w:rFonts w:ascii="Palatino Linotype" w:eastAsia="Palatino Linotype" w:hAnsi="Palatino Linotype" w:cs="Palatino Linotype"/>
        </w:rPr>
      </w:pPr>
    </w:p>
    <w:p w:rsidR="00F467A3" w:rsidRDefault="00066DA3">
      <w:pPr>
        <w:numPr>
          <w:ilvl w:val="0"/>
          <w:numId w:val="3"/>
        </w:numPr>
        <w:pBdr>
          <w:top w:val="nil"/>
          <w:left w:val="nil"/>
          <w:bottom w:val="nil"/>
          <w:right w:val="nil"/>
          <w:between w:val="nil"/>
        </w:pBdr>
        <w:spacing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F467A3" w:rsidRDefault="00066DA3">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xml:space="preserve">. </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w:t>
      </w:r>
      <w:r>
        <w:rPr>
          <w:rFonts w:ascii="Palatino Linotype" w:eastAsia="Palatino Linotype" w:hAnsi="Palatino Linotype" w:cs="Palatino Linotype"/>
        </w:rPr>
        <w:lastRenderedPageBreak/>
        <w:t xml:space="preserve">fueron interpuestos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solicitudes planteadas por la solicitante el primero de febrero del año dos mil veintidós y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recursos de revisión tres del mismo mes y año, esto es al segundo día hábil siguiente de aquel en que tuvo conocimiento de las respuestas</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 los recursos se encuentra dentro de los márgenes temporales previstos en el citado precepto legal.</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por cuanto hace a la procedibilidad de los recursos de revisión, una vez realizado el análisis del formato de interposición de los mismos, se concluye la acreditación plena de los elementos formales precisados por el artículo 180 de la Ley de Transparencia y Acceso a la Información Pública del Estado de México y Municipios, en atención a que fueron presentados mediante formato visible en el SAIMEX. </w:t>
      </w:r>
    </w:p>
    <w:p w:rsidR="00F467A3" w:rsidRDefault="00066DA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 los recursos, según lo ad</w:t>
      </w:r>
      <w:r>
        <w:rPr>
          <w:rFonts w:ascii="Palatino Linotype" w:eastAsia="Palatino Linotype" w:hAnsi="Palatino Linotype" w:cs="Palatino Linotype"/>
        </w:rPr>
        <w:t xml:space="preserve">ucido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razones o motivos de inconformidad, de acuerdo al artículo 179, fracción V de </w:t>
      </w:r>
      <w:r>
        <w:rPr>
          <w:rFonts w:ascii="Palatino Linotype" w:eastAsia="Palatino Linotype" w:hAnsi="Palatino Linotype" w:cs="Palatino Linotype"/>
          <w:color w:val="000000"/>
        </w:rPr>
        <w:t>la Ley de Transparencia y Acceso a la Información Pública del Estado de México y Municipios; que a la letra dice:</w:t>
      </w:r>
    </w:p>
    <w:p w:rsidR="00F467A3" w:rsidRDefault="00066DA3">
      <w:pPr>
        <w:pBdr>
          <w:top w:val="nil"/>
          <w:left w:val="nil"/>
          <w:bottom w:val="nil"/>
          <w:right w:val="nil"/>
          <w:between w:val="nil"/>
        </w:pBdr>
        <w:spacing w:before="240"/>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F467A3" w:rsidRDefault="00066DA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F467A3" w:rsidRDefault="00066DA3">
      <w:pPr>
        <w:pBdr>
          <w:top w:val="nil"/>
          <w:left w:val="nil"/>
          <w:bottom w:val="nil"/>
          <w:right w:val="nil"/>
          <w:between w:val="nil"/>
        </w:pBdr>
        <w:spacing w:after="240"/>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información incompleta;”…(Sic)</w:t>
      </w:r>
    </w:p>
    <w:p w:rsidR="00F467A3" w:rsidRDefault="00066DA3">
      <w:pPr>
        <w:pBdr>
          <w:top w:val="nil"/>
          <w:left w:val="nil"/>
          <w:bottom w:val="nil"/>
          <w:right w:val="nil"/>
          <w:between w:val="nil"/>
        </w:pBdr>
        <w:spacing w:after="240" w:line="360" w:lineRule="auto"/>
        <w:ind w:right="-150"/>
        <w:jc w:val="both"/>
        <w:rPr>
          <w:color w:val="000000"/>
        </w:rPr>
      </w:pPr>
      <w:r>
        <w:rPr>
          <w:rFonts w:ascii="Palatino Linotype" w:eastAsia="Palatino Linotype" w:hAnsi="Palatino Linotype" w:cs="Palatino Linotype"/>
          <w:b/>
          <w:color w:val="000000"/>
        </w:rPr>
        <w:lastRenderedPageBreak/>
        <w:t>Tercero. Materia de Revisión</w:t>
      </w:r>
      <w:r>
        <w:rPr>
          <w:rFonts w:ascii="Palatino Linotype" w:eastAsia="Palatino Linotype" w:hAnsi="Palatino Linotype" w:cs="Palatino Linotype"/>
          <w:color w:val="000000"/>
        </w:rPr>
        <w:t xml:space="preserve">: Con base en las constancias que obran en los expedientes en los que se actúa, este Instituto tiene la convicción de que la presente resolución tiene como objetivo central determinar si las respuestas como informes justificados proporcionados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son correctas y suficientes para tener por atendidas las solicitudes de acceso a la información.</w:t>
      </w:r>
    </w:p>
    <w:p w:rsidR="00F467A3" w:rsidRDefault="00066DA3">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las constancias que integran los expedientes en que se actúa, así como de la materia sobre las que versan las solicitudes de acceso a la información pública, se advierten que los motivos de inconformidad acontecen fundados para modificar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F467A3" w:rsidRDefault="00066DA3">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467A3" w:rsidRDefault="00066DA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467A3" w:rsidRDefault="00066DA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F467A3" w:rsidRDefault="00F467A3">
      <w:pPr>
        <w:spacing w:line="360" w:lineRule="auto"/>
        <w:jc w:val="both"/>
        <w:rPr>
          <w:rFonts w:ascii="Palatino Linotype" w:eastAsia="Palatino Linotype" w:hAnsi="Palatino Linotype" w:cs="Palatino Linotype"/>
        </w:rPr>
      </w:pPr>
    </w:p>
    <w:p w:rsidR="00F467A3" w:rsidRDefault="00066DA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467A3" w:rsidRDefault="00F467A3">
      <w:pPr>
        <w:ind w:left="567" w:right="758"/>
        <w:jc w:val="both"/>
        <w:rPr>
          <w:rFonts w:ascii="Palatino Linotype" w:eastAsia="Palatino Linotype" w:hAnsi="Palatino Linotype" w:cs="Palatino Linotype"/>
          <w:i/>
          <w:sz w:val="22"/>
          <w:szCs w:val="22"/>
        </w:rPr>
      </w:pPr>
    </w:p>
    <w:p w:rsidR="00F467A3" w:rsidRDefault="00066DA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w:t>
      </w:r>
      <w:r>
        <w:rPr>
          <w:rFonts w:ascii="Palatino Linotype" w:eastAsia="Palatino Linotype" w:hAnsi="Palatino Linotype" w:cs="Palatino Linotype"/>
          <w:b/>
          <w:i/>
          <w:sz w:val="22"/>
          <w:szCs w:val="22"/>
        </w:rPr>
        <w:lastRenderedPageBreak/>
        <w:t>misma, ni el presentarla conforme al interés del solicitante; no estarán obligados a generarla, resumirla, efectuar cálculos o practicar investigaciones.” (Sic)</w:t>
      </w:r>
    </w:p>
    <w:p w:rsidR="00F467A3" w:rsidRDefault="00F467A3">
      <w:pPr>
        <w:spacing w:line="360" w:lineRule="auto"/>
        <w:ind w:right="-93"/>
        <w:jc w:val="both"/>
        <w:rPr>
          <w:rFonts w:ascii="Palatino Linotype" w:eastAsia="Palatino Linotype" w:hAnsi="Palatino Linotype" w:cs="Palatino Linotype"/>
          <w:color w:val="000000"/>
        </w:rPr>
      </w:pPr>
    </w:p>
    <w:p w:rsidR="00F467A3" w:rsidRDefault="00066DA3">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F467A3" w:rsidRDefault="00F467A3">
      <w:pPr>
        <w:spacing w:line="360" w:lineRule="auto"/>
        <w:ind w:right="-93"/>
        <w:jc w:val="both"/>
        <w:rPr>
          <w:rFonts w:ascii="Palatino Linotype" w:eastAsia="Palatino Linotype" w:hAnsi="Palatino Linotype" w:cs="Palatino Linotype"/>
          <w:color w:val="000000"/>
        </w:rPr>
      </w:pPr>
    </w:p>
    <w:p w:rsidR="00F467A3" w:rsidRDefault="00066DA3">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F467A3" w:rsidRDefault="00F467A3">
      <w:pPr>
        <w:ind w:left="851" w:right="850"/>
        <w:jc w:val="both"/>
        <w:rPr>
          <w:rFonts w:ascii="Palatino Linotype" w:eastAsia="Palatino Linotype" w:hAnsi="Palatino Linotype" w:cs="Palatino Linotype"/>
          <w:color w:val="000000"/>
        </w:rPr>
      </w:pPr>
    </w:p>
    <w:p w:rsidR="00F467A3" w:rsidRDefault="00066DA3">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467A3" w:rsidRDefault="00066DA3">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F467A3" w:rsidRDefault="00066DA3">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F467A3" w:rsidRDefault="00066DA3">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lastRenderedPageBreak/>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F467A3" w:rsidRDefault="00066DA3">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F467A3" w:rsidRDefault="00F467A3">
      <w:pPr>
        <w:spacing w:line="360" w:lineRule="auto"/>
        <w:ind w:right="-93"/>
        <w:jc w:val="both"/>
        <w:rPr>
          <w:rFonts w:ascii="Palatino Linotype" w:eastAsia="Palatino Linotype" w:hAnsi="Palatino Linotype" w:cs="Palatino Linotype"/>
          <w:color w:val="000000"/>
        </w:rPr>
      </w:pPr>
    </w:p>
    <w:p w:rsidR="00F467A3" w:rsidRDefault="00066DA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467A3" w:rsidRDefault="00F467A3">
      <w:pPr>
        <w:spacing w:line="360" w:lineRule="auto"/>
        <w:jc w:val="both"/>
        <w:rPr>
          <w:rFonts w:ascii="Palatino Linotype" w:eastAsia="Palatino Linotype" w:hAnsi="Palatino Linotype" w:cs="Palatino Linotype"/>
          <w:color w:val="000000"/>
        </w:rPr>
      </w:pPr>
    </w:p>
    <w:p w:rsidR="00F467A3" w:rsidRDefault="00066DA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467A3" w:rsidRDefault="00F467A3">
      <w:pPr>
        <w:spacing w:line="360" w:lineRule="auto"/>
        <w:ind w:right="49"/>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Pr>
          <w:rFonts w:ascii="Palatino Linotype" w:eastAsia="Palatino Linotype" w:hAnsi="Palatino Linotype" w:cs="Palatino Linotype"/>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467A3" w:rsidRDefault="00F467A3">
      <w:pPr>
        <w:ind w:left="851" w:right="899"/>
        <w:jc w:val="both"/>
        <w:rPr>
          <w:rFonts w:ascii="Palatino Linotype" w:eastAsia="Palatino Linotype" w:hAnsi="Palatino Linotype" w:cs="Palatino Linotype"/>
          <w:i/>
          <w:sz w:val="22"/>
          <w:szCs w:val="22"/>
        </w:rPr>
      </w:pPr>
    </w:p>
    <w:p w:rsidR="00F467A3" w:rsidRDefault="00066DA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F467A3" w:rsidRDefault="00066DA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467A3" w:rsidRDefault="00066DA3">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F467A3" w:rsidRDefault="00F467A3">
      <w:pPr>
        <w:ind w:left="851" w:right="899"/>
        <w:jc w:val="both"/>
        <w:rPr>
          <w:rFonts w:ascii="Palatino Linotype" w:eastAsia="Palatino Linotype" w:hAnsi="Palatino Linotype" w:cs="Palatino Linotype"/>
          <w:sz w:val="22"/>
          <w:szCs w:val="22"/>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467A3" w:rsidRDefault="00F467A3">
      <w:pPr>
        <w:ind w:left="851" w:right="899"/>
        <w:jc w:val="both"/>
        <w:rPr>
          <w:rFonts w:ascii="Palatino Linotype" w:eastAsia="Palatino Linotype" w:hAnsi="Palatino Linotype" w:cs="Palatino Linotype"/>
        </w:rPr>
      </w:pPr>
    </w:p>
    <w:p w:rsidR="00F467A3" w:rsidRDefault="00066DA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F467A3" w:rsidRDefault="00066DA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467A3" w:rsidRDefault="00066DA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F467A3" w:rsidRDefault="00066DA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F467A3" w:rsidRDefault="00066DA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F467A3" w:rsidRDefault="00066DA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F467A3" w:rsidRDefault="00F467A3">
      <w:pPr>
        <w:spacing w:line="360" w:lineRule="auto"/>
        <w:ind w:right="-93"/>
        <w:jc w:val="both"/>
        <w:rPr>
          <w:rFonts w:ascii="Palatino Linotype" w:eastAsia="Palatino Linotype" w:hAnsi="Palatino Linotype" w:cs="Palatino Linotype"/>
          <w:color w:val="000000"/>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 reitera que la información proporcionada por el Sujeto Obligado en su respuesta, cumple parcialmente con lo establecido por los artículos 4, 12 y 24 último párrafo Ley de Transparencia y Acceso a la Información Pública del Estado de México y Municipios.</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para esclarecer el presente asunto se unifican las solicitudes y se procede hacer un cuadro comparativo de la información entregada en respuesta como informe justificado, para determinar si colma o no el derecho de acceso a la información de la solicitante.</w:t>
      </w:r>
    </w:p>
    <w:p w:rsidR="00F467A3" w:rsidRDefault="00F467A3">
      <w:pPr>
        <w:spacing w:after="240" w:line="360" w:lineRule="auto"/>
        <w:jc w:val="both"/>
        <w:rPr>
          <w:rFonts w:ascii="Palatino Linotype" w:eastAsia="Palatino Linotype" w:hAnsi="Palatino Linotype" w:cs="Palatino Linotype"/>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F467A3">
        <w:tc>
          <w:tcPr>
            <w:tcW w:w="2207" w:type="dxa"/>
          </w:tcPr>
          <w:p w:rsidR="00F467A3" w:rsidRDefault="00066DA3">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Solicitud</w:t>
            </w:r>
          </w:p>
        </w:tc>
        <w:tc>
          <w:tcPr>
            <w:tcW w:w="2207" w:type="dxa"/>
          </w:tcPr>
          <w:p w:rsidR="00F467A3" w:rsidRDefault="00066DA3">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Respuesta</w:t>
            </w:r>
          </w:p>
        </w:tc>
        <w:tc>
          <w:tcPr>
            <w:tcW w:w="2207" w:type="dxa"/>
          </w:tcPr>
          <w:p w:rsidR="00F467A3" w:rsidRDefault="00066DA3">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Informe justificado</w:t>
            </w:r>
          </w:p>
        </w:tc>
        <w:tc>
          <w:tcPr>
            <w:tcW w:w="2207" w:type="dxa"/>
          </w:tcPr>
          <w:p w:rsidR="00F467A3" w:rsidRDefault="00066DA3">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Colma</w:t>
            </w:r>
          </w:p>
        </w:tc>
      </w:tr>
      <w:tr w:rsidR="00F467A3">
        <w:tc>
          <w:tcPr>
            <w:tcW w:w="2207" w:type="dxa"/>
          </w:tcPr>
          <w:p w:rsidR="00F467A3" w:rsidRDefault="00066DA3">
            <w:pPr>
              <w:pBdr>
                <w:top w:val="nil"/>
                <w:left w:val="nil"/>
                <w:bottom w:val="nil"/>
                <w:right w:val="nil"/>
                <w:between w:val="nil"/>
              </w:pBdr>
              <w:spacing w:before="240"/>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Documentos probatorios de los requisitos solicitados por la Ley Orgánica Municipal del Estado </w:t>
            </w:r>
            <w:r>
              <w:rPr>
                <w:rFonts w:ascii="Palatino Linotype" w:eastAsia="Palatino Linotype" w:hAnsi="Palatino Linotype" w:cs="Palatino Linotype"/>
                <w:color w:val="000000"/>
                <w:sz w:val="20"/>
                <w:szCs w:val="20"/>
              </w:rPr>
              <w:lastRenderedPageBreak/>
              <w:t xml:space="preserve">de México para desempeñarse como </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Contralor Municipal, </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Tesorero</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Director o titular de Medio Ambiente u equivalencia (ecología),</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Director o titular de Desarrollo Urbano, </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Director o titular de Servicios Públicos, </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Juez Conciliador, </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Juez Calificador, </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Director o titular de Seguridad Pública, </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Director o titular de Gobierno, </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Director o titular de Desarrollo Económico, </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Director o titular de Desarrollo Rural y </w:t>
            </w:r>
          </w:p>
          <w:p w:rsidR="00F467A3" w:rsidRDefault="00066DA3">
            <w:pPr>
              <w:numPr>
                <w:ilvl w:val="0"/>
                <w:numId w:val="5"/>
              </w:numPr>
              <w:pBdr>
                <w:top w:val="nil"/>
                <w:left w:val="nil"/>
                <w:bottom w:val="nil"/>
                <w:right w:val="nil"/>
                <w:between w:val="nil"/>
              </w:pBd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Director o titular de Bienestar; </w:t>
            </w:r>
          </w:p>
          <w:p w:rsidR="00F467A3" w:rsidRDefault="00066DA3">
            <w:pPr>
              <w:pBdr>
                <w:top w:val="nil"/>
                <w:left w:val="nil"/>
                <w:bottom w:val="nil"/>
                <w:right w:val="nil"/>
                <w:between w:val="nil"/>
              </w:pBdr>
              <w:spacing w:before="240"/>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Documentos probatorios de los tres criterios </w:t>
            </w:r>
            <w:r>
              <w:rPr>
                <w:rFonts w:ascii="Palatino Linotype" w:eastAsia="Palatino Linotype" w:hAnsi="Palatino Linotype" w:cs="Palatino Linotype"/>
                <w:b/>
                <w:color w:val="000000"/>
                <w:sz w:val="20"/>
                <w:szCs w:val="20"/>
              </w:rPr>
              <w:t xml:space="preserve">que estipula la ley </w:t>
            </w:r>
            <w:r>
              <w:rPr>
                <w:rFonts w:ascii="Palatino Linotype" w:eastAsia="Palatino Linotype" w:hAnsi="Palatino Linotype" w:cs="Palatino Linotype"/>
                <w:color w:val="000000"/>
                <w:sz w:val="20"/>
                <w:szCs w:val="20"/>
              </w:rPr>
              <w:t xml:space="preserve">para entrar en funciones el servidor público (nombramiento, toma de protesta y acta de entrega recepción). </w:t>
            </w:r>
          </w:p>
          <w:p w:rsidR="00F467A3" w:rsidRDefault="00066DA3">
            <w:pPr>
              <w:pBdr>
                <w:top w:val="nil"/>
                <w:left w:val="nil"/>
                <w:bottom w:val="nil"/>
                <w:right w:val="nil"/>
                <w:between w:val="nil"/>
              </w:pBdr>
              <w:spacing w:before="240"/>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Todo lo antes citado del Ayuntamiento de Valle de Bravo o la actual administración de dicho municipio quienes entraron en función el 01 de enero de 2022</w:t>
            </w:r>
          </w:p>
          <w:p w:rsidR="00F467A3" w:rsidRDefault="00F467A3">
            <w:pPr>
              <w:pBdr>
                <w:top w:val="nil"/>
                <w:left w:val="nil"/>
                <w:bottom w:val="nil"/>
                <w:right w:val="nil"/>
                <w:between w:val="nil"/>
              </w:pBdr>
              <w:spacing w:after="240"/>
              <w:ind w:left="720"/>
              <w:jc w:val="both"/>
              <w:rPr>
                <w:rFonts w:ascii="Palatino Linotype" w:eastAsia="Palatino Linotype" w:hAnsi="Palatino Linotype" w:cs="Palatino Linotype"/>
                <w:color w:val="000000"/>
                <w:sz w:val="20"/>
                <w:szCs w:val="20"/>
              </w:rPr>
            </w:pPr>
          </w:p>
        </w:tc>
        <w:tc>
          <w:tcPr>
            <w:tcW w:w="2207" w:type="dxa"/>
          </w:tcPr>
          <w:p w:rsidR="00F467A3" w:rsidRDefault="00066DA3">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sólo se concretó a entregar nombramientos del Contralor Municipal, </w:t>
            </w:r>
            <w:r>
              <w:rPr>
                <w:rFonts w:ascii="Palatino Linotype" w:eastAsia="Palatino Linotype" w:hAnsi="Palatino Linotype" w:cs="Palatino Linotype"/>
                <w:sz w:val="20"/>
                <w:szCs w:val="20"/>
              </w:rPr>
              <w:lastRenderedPageBreak/>
              <w:t>Director de Desarrollo Urbano y Ecología, Directora de Bienestar Social, Director de Servicios Públicos, Titular de la Oficialía Mediadora-Conciliadora 01, Titular de la Oficialía Calificadora 01, Director de Desarrollo Económico y Tesorero Municipal, todos del Ayuntamiento de Valle de Bravo.</w:t>
            </w: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w:t>
            </w: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Curriculum vitae y certificación de que el Director de Desarrollo Urbano y Ecología de Valle de Bravo, no tiene registros de sanciones y ni procedimientos administrativos. (Dejo a la vista su RFC)</w:t>
            </w:r>
          </w:p>
          <w:p w:rsidR="00F467A3" w:rsidRDefault="00F467A3">
            <w:pPr>
              <w:jc w:val="both"/>
              <w:rPr>
                <w:rFonts w:ascii="Palatino Linotype" w:eastAsia="Palatino Linotype" w:hAnsi="Palatino Linotype" w:cs="Palatino Linotype"/>
                <w:sz w:val="20"/>
                <w:szCs w:val="20"/>
              </w:rPr>
            </w:pP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Remitió el acta de la sesión de instalación del Ayuntamiento de Valle de Bravo 2022-2024, celebrada el primero de enero del año 2022, en donde se aprobaron los nombramientos de los titulares de las áreas de la administración pública municipal y toma de protesta de ley a cargo de la C. </w:t>
            </w:r>
            <w:r>
              <w:rPr>
                <w:rFonts w:ascii="Palatino Linotype" w:eastAsia="Palatino Linotype" w:hAnsi="Palatino Linotype" w:cs="Palatino Linotype"/>
                <w:sz w:val="20"/>
                <w:szCs w:val="20"/>
              </w:rPr>
              <w:lastRenderedPageBreak/>
              <w:t>Presidenta Municipal, constante de tres fojas, en donde se advierte que tomaron protesta de los siguientes titulares:</w:t>
            </w:r>
          </w:p>
          <w:p w:rsidR="00F467A3" w:rsidRDefault="00F467A3">
            <w:pPr>
              <w:jc w:val="both"/>
              <w:rPr>
                <w:rFonts w:ascii="Palatino Linotype" w:eastAsia="Palatino Linotype" w:hAnsi="Palatino Linotype" w:cs="Palatino Linotype"/>
                <w:sz w:val="20"/>
                <w:szCs w:val="20"/>
              </w:rPr>
            </w:pPr>
          </w:p>
          <w:p w:rsidR="00F467A3" w:rsidRDefault="00066DA3">
            <w:pPr>
              <w:jc w:val="both"/>
              <w:rPr>
                <w:rFonts w:ascii="Palatino Linotype" w:eastAsia="Palatino Linotype" w:hAnsi="Palatino Linotype" w:cs="Palatino Linotype"/>
                <w:sz w:val="20"/>
                <w:szCs w:val="20"/>
              </w:rPr>
            </w:pPr>
            <w:r>
              <w:rPr>
                <w:noProof/>
                <w:lang w:val="es-MX" w:eastAsia="es-MX"/>
              </w:rPr>
              <w:drawing>
                <wp:inline distT="0" distB="0" distL="0" distR="0">
                  <wp:extent cx="1253502" cy="2296243"/>
                  <wp:effectExtent l="0" t="0" r="0" b="0"/>
                  <wp:docPr id="1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41059" t="15800" r="25930" b="17198"/>
                          <a:stretch>
                            <a:fillRect/>
                          </a:stretch>
                        </pic:blipFill>
                        <pic:spPr>
                          <a:xfrm>
                            <a:off x="0" y="0"/>
                            <a:ext cx="1253502" cy="2296243"/>
                          </a:xfrm>
                          <a:prstGeom prst="rect">
                            <a:avLst/>
                          </a:prstGeom>
                          <a:ln/>
                        </pic:spPr>
                      </pic:pic>
                    </a:graphicData>
                  </a:graphic>
                </wp:inline>
              </w:drawing>
            </w:r>
          </w:p>
          <w:p w:rsidR="00F467A3" w:rsidRDefault="00F467A3">
            <w:pPr>
              <w:jc w:val="both"/>
              <w:rPr>
                <w:rFonts w:ascii="Palatino Linotype" w:eastAsia="Palatino Linotype" w:hAnsi="Palatino Linotype" w:cs="Palatino Linotype"/>
                <w:sz w:val="20"/>
                <w:szCs w:val="20"/>
              </w:rPr>
            </w:pP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También indicó con respecto de las actas de entrega recepción con fundamento en el artículo 48 de los Lineamientos que norman la misma de los ayuntamientos, de sus dependencias y organismos descentralizados municipales del estado de México se tiene como norma 60 días para constituirlas.</w:t>
            </w:r>
          </w:p>
        </w:tc>
        <w:tc>
          <w:tcPr>
            <w:tcW w:w="2207" w:type="dxa"/>
          </w:tcPr>
          <w:p w:rsidR="00F467A3" w:rsidRDefault="00066DA3">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Entregó el nombramiento del Director de Seguridad Pública, Protección </w:t>
            </w:r>
            <w:r>
              <w:rPr>
                <w:rFonts w:ascii="Palatino Linotype" w:eastAsia="Palatino Linotype" w:hAnsi="Palatino Linotype" w:cs="Palatino Linotype"/>
                <w:sz w:val="20"/>
                <w:szCs w:val="20"/>
              </w:rPr>
              <w:lastRenderedPageBreak/>
              <w:t>Civil, Bomberos y Movilidad.</w:t>
            </w:r>
          </w:p>
          <w:p w:rsidR="00F467A3" w:rsidRDefault="00F467A3">
            <w:pPr>
              <w:jc w:val="both"/>
              <w:rPr>
                <w:rFonts w:ascii="Palatino Linotype" w:eastAsia="Palatino Linotype" w:hAnsi="Palatino Linotype" w:cs="Palatino Linotype"/>
                <w:sz w:val="20"/>
                <w:szCs w:val="20"/>
              </w:rPr>
            </w:pP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Nombramiento del Tesorero Municipal y curriculum vitae (dejo a la vista datos personales)</w:t>
            </w:r>
          </w:p>
          <w:p w:rsidR="00F467A3" w:rsidRDefault="00F467A3">
            <w:pPr>
              <w:jc w:val="both"/>
              <w:rPr>
                <w:rFonts w:ascii="Palatino Linotype" w:eastAsia="Palatino Linotype" w:hAnsi="Palatino Linotype" w:cs="Palatino Linotype"/>
                <w:sz w:val="20"/>
                <w:szCs w:val="20"/>
              </w:rPr>
            </w:pP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Nombramiento del Contralor Municipal y curriculum vitae (dejo a la vista datos personales)</w:t>
            </w:r>
          </w:p>
          <w:p w:rsidR="00F467A3" w:rsidRDefault="00F467A3">
            <w:pPr>
              <w:jc w:val="both"/>
              <w:rPr>
                <w:rFonts w:ascii="Palatino Linotype" w:eastAsia="Palatino Linotype" w:hAnsi="Palatino Linotype" w:cs="Palatino Linotype"/>
                <w:sz w:val="20"/>
                <w:szCs w:val="20"/>
              </w:rPr>
            </w:pP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Remitió el acta de la sesión de instalación del Ayuntamiento de Valle de Bravo 2022-2024, celebrada el primero de enero del año 2022, en donde se aprobaron los nombramientos de los titulares de las áreas de la administración pública municipal y toma de protesta de ley a cargo de la C. Presidenta Municipal, constante de tres fojas, en donde se advierte que tomaron protesta de los siguientes titulares:</w:t>
            </w:r>
          </w:p>
          <w:p w:rsidR="00F467A3" w:rsidRDefault="00F467A3">
            <w:pPr>
              <w:jc w:val="both"/>
              <w:rPr>
                <w:rFonts w:ascii="Palatino Linotype" w:eastAsia="Palatino Linotype" w:hAnsi="Palatino Linotype" w:cs="Palatino Linotype"/>
                <w:sz w:val="20"/>
                <w:szCs w:val="20"/>
              </w:rPr>
            </w:pPr>
          </w:p>
          <w:p w:rsidR="00F467A3" w:rsidRDefault="00066DA3">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1253502" cy="2296243"/>
                  <wp:effectExtent l="0" t="0" r="0" b="0"/>
                  <wp:docPr id="1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41059" t="15800" r="25930" b="17198"/>
                          <a:stretch>
                            <a:fillRect/>
                          </a:stretch>
                        </pic:blipFill>
                        <pic:spPr>
                          <a:xfrm>
                            <a:off x="0" y="0"/>
                            <a:ext cx="1253502" cy="2296243"/>
                          </a:xfrm>
                          <a:prstGeom prst="rect">
                            <a:avLst/>
                          </a:prstGeom>
                          <a:ln/>
                        </pic:spPr>
                      </pic:pic>
                    </a:graphicData>
                  </a:graphic>
                </wp:inline>
              </w:drawing>
            </w:r>
          </w:p>
          <w:p w:rsidR="00F467A3" w:rsidRDefault="00F467A3">
            <w:pPr>
              <w:spacing w:after="240"/>
              <w:jc w:val="both"/>
              <w:rPr>
                <w:rFonts w:ascii="Palatino Linotype" w:eastAsia="Palatino Linotype" w:hAnsi="Palatino Linotype" w:cs="Palatino Linotype"/>
                <w:sz w:val="20"/>
                <w:szCs w:val="20"/>
              </w:rPr>
            </w:pPr>
          </w:p>
        </w:tc>
        <w:tc>
          <w:tcPr>
            <w:tcW w:w="2207" w:type="dxa"/>
          </w:tcPr>
          <w:p w:rsidR="00F467A3" w:rsidRDefault="00066DA3">
            <w:pPr>
              <w:spacing w:before="24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Parcialmente</w:t>
            </w: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Faltaron:</w:t>
            </w: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-Requisitos de la Ley Orgánica Municipal del Estado de México.</w:t>
            </w: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-La toma de protesta de la  Titular de la Oficialía Mediadora-Conciliadora 01 y  Titular de la Oficialía Calificadora 01.</w:t>
            </w: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-El nombramiento y toma de protesta del Director o titular de Gobierno.</w:t>
            </w: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El nombramiento y toma de protesta del Director o titular de Desarrollo Rural. </w:t>
            </w:r>
          </w:p>
          <w:p w:rsidR="00F467A3" w:rsidRDefault="00F467A3">
            <w:pPr>
              <w:jc w:val="both"/>
              <w:rPr>
                <w:rFonts w:ascii="Palatino Linotype" w:eastAsia="Palatino Linotype" w:hAnsi="Palatino Linotype" w:cs="Palatino Linotype"/>
                <w:sz w:val="20"/>
                <w:szCs w:val="20"/>
              </w:rPr>
            </w:pPr>
          </w:p>
          <w:p w:rsidR="00F467A3" w:rsidRDefault="00066DA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-Faltaron las actas de entrega recepción. </w:t>
            </w:r>
          </w:p>
          <w:p w:rsidR="00F467A3" w:rsidRDefault="00F467A3">
            <w:pPr>
              <w:jc w:val="both"/>
              <w:rPr>
                <w:rFonts w:ascii="Palatino Linotype" w:eastAsia="Palatino Linotype" w:hAnsi="Palatino Linotype" w:cs="Palatino Linotype"/>
                <w:sz w:val="20"/>
                <w:szCs w:val="20"/>
              </w:rPr>
            </w:pPr>
          </w:p>
          <w:p w:rsidR="00F467A3" w:rsidRDefault="00F467A3">
            <w:pPr>
              <w:spacing w:after="240"/>
              <w:jc w:val="both"/>
              <w:rPr>
                <w:rFonts w:ascii="Palatino Linotype" w:eastAsia="Palatino Linotype" w:hAnsi="Palatino Linotype" w:cs="Palatino Linotype"/>
                <w:sz w:val="20"/>
                <w:szCs w:val="20"/>
              </w:rPr>
            </w:pPr>
          </w:p>
        </w:tc>
      </w:tr>
    </w:tbl>
    <w:p w:rsidR="00F467A3" w:rsidRDefault="00066DA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p>
    <w:p w:rsidR="00F467A3" w:rsidRDefault="00066DA3">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Una vez precisado lo anterior, debemos comenzar precisando cuales son los requisitos que señala el artículo </w:t>
      </w:r>
      <w:r>
        <w:rPr>
          <w:rFonts w:ascii="Palatino Linotype" w:eastAsia="Palatino Linotype" w:hAnsi="Palatino Linotype" w:cs="Palatino Linotype"/>
          <w:color w:val="000000"/>
        </w:rPr>
        <w:t>32 de la Ley Orgánica Municipal, los cuales son:</w:t>
      </w:r>
    </w:p>
    <w:p w:rsidR="00F467A3" w:rsidRDefault="00066DA3">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32. </w:t>
      </w:r>
      <w:r>
        <w:rPr>
          <w:rFonts w:ascii="Palatino Linotype" w:eastAsia="Palatino Linotype" w:hAnsi="Palatino Linotype" w:cs="Palatino Linotype"/>
          <w:b/>
          <w:i/>
          <w:color w:val="000000"/>
          <w:sz w:val="22"/>
          <w:szCs w:val="22"/>
        </w:rPr>
        <w:t xml:space="preserve">Para ocupar los cargos de Secretario; Tesorero; Director de Obras Públicas, de Desarrollo Económico, Director de Turismo, Coordinador General Municipal de Mejora Regulatoria, Ecología, Desarrollo Urbano, de Desarrollo Social, o equivalentes, titulares de las unidades administrativas, </w:t>
      </w:r>
      <w:r>
        <w:rPr>
          <w:rFonts w:ascii="Palatino Linotype" w:eastAsia="Palatino Linotype" w:hAnsi="Palatino Linotype" w:cs="Palatino Linotype"/>
          <w:i/>
          <w:color w:val="000000"/>
          <w:sz w:val="22"/>
          <w:szCs w:val="22"/>
        </w:rPr>
        <w:t xml:space="preserve">de Protección Civil y de los organismos auxiliares se deberán satisfacer los siguientes requisitos: </w:t>
      </w:r>
    </w:p>
    <w:p w:rsidR="00F467A3" w:rsidRDefault="00066DA3">
      <w:pPr>
        <w:numPr>
          <w:ilvl w:val="0"/>
          <w:numId w:val="7"/>
        </w:numPr>
        <w:pBdr>
          <w:top w:val="nil"/>
          <w:left w:val="nil"/>
          <w:bottom w:val="nil"/>
          <w:right w:val="nil"/>
          <w:between w:val="nil"/>
        </w:pBdr>
        <w:spacing w:before="240" w:after="240" w:line="276" w:lineRule="auto"/>
        <w:ind w:left="567"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Ser ciudadano del Estado en pleno uso de sus derechos; </w:t>
      </w:r>
    </w:p>
    <w:p w:rsidR="00F467A3" w:rsidRDefault="00066DA3">
      <w:pPr>
        <w:numPr>
          <w:ilvl w:val="0"/>
          <w:numId w:val="7"/>
        </w:numPr>
        <w:pBdr>
          <w:top w:val="nil"/>
          <w:left w:val="nil"/>
          <w:bottom w:val="nil"/>
          <w:right w:val="nil"/>
          <w:between w:val="nil"/>
        </w:pBdr>
        <w:spacing w:before="240" w:after="240" w:line="276" w:lineRule="auto"/>
        <w:ind w:left="567"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estar inhabilitado para desempeñar cargo, empleo, o comisión pública. </w:t>
      </w:r>
    </w:p>
    <w:p w:rsidR="00F467A3" w:rsidRDefault="00066DA3">
      <w:pPr>
        <w:numPr>
          <w:ilvl w:val="0"/>
          <w:numId w:val="7"/>
        </w:numPr>
        <w:pBdr>
          <w:top w:val="nil"/>
          <w:left w:val="nil"/>
          <w:bottom w:val="nil"/>
          <w:right w:val="nil"/>
          <w:between w:val="nil"/>
        </w:pBdr>
        <w:spacing w:before="240" w:after="240" w:line="276" w:lineRule="auto"/>
        <w:ind w:left="567"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haber sido condenado en proceso penal, por delito intencional que amerite pena privativa de libertad; </w:t>
      </w:r>
    </w:p>
    <w:p w:rsidR="00F467A3" w:rsidRDefault="00066DA3">
      <w:pPr>
        <w:numPr>
          <w:ilvl w:val="0"/>
          <w:numId w:val="7"/>
        </w:numPr>
        <w:pBdr>
          <w:top w:val="nil"/>
          <w:left w:val="nil"/>
          <w:bottom w:val="nil"/>
          <w:right w:val="nil"/>
          <w:between w:val="nil"/>
        </w:pBdr>
        <w:spacing w:before="240" w:after="240" w:line="276" w:lineRule="auto"/>
        <w:ind w:left="567"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Contar con título profesional o acreditar experiencia mínima de un año en la materia, ante el Presidente o el Ayuntamiento, cuando sea el caso, para el desempeño de los cargos que así lo requieran; y </w:t>
      </w:r>
    </w:p>
    <w:p w:rsidR="00F467A3" w:rsidRDefault="00066DA3">
      <w:pPr>
        <w:numPr>
          <w:ilvl w:val="0"/>
          <w:numId w:val="7"/>
        </w:numPr>
        <w:pBdr>
          <w:top w:val="nil"/>
          <w:left w:val="nil"/>
          <w:bottom w:val="nil"/>
          <w:right w:val="nil"/>
          <w:between w:val="nil"/>
        </w:pBdr>
        <w:spacing w:before="240" w:after="240" w:line="276" w:lineRule="auto"/>
        <w:ind w:left="567"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su caso, contar con certificación de competencia laboral en la materia del cargo que se desempeñará, expedida por institución con reconocimiento de validez oficial. </w:t>
      </w:r>
    </w:p>
    <w:p w:rsidR="00F467A3" w:rsidRDefault="00066DA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Este requisito podrá acreditarse dentro de los seis meses siguientes a la fecha en que inicien sus funciones. </w:t>
      </w:r>
    </w:p>
    <w:p w:rsidR="00F467A3" w:rsidRDefault="00066DA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cumplido.”(Sic)</w: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Del anterior precepto legal, se observan los requisitos con los que deben de contar el Tesorero, Director de Ecología, Desarrollo Económico, Desarrollo Urbano o equivalentes y titulares de las unidades administrativas (entre las que se localizan  Director de Servicios Públicos, Titular de la Oficialía Mediadora-Conciliadora, Titular de la Oficialía Calificadora, Director de Seguridad Pública, Protección Civil, Bomberos y Movilidad, Contralor Municipal, Directora de Bienestar Social, Director de Gobierno y  Director de Desarrollo Social), todos del Ayuntamiento de Valle Bravo.</w: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Cabe aclarar, que de la respuesta, como del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se pronunció respecto Director de Gobierno y  Director de Desarrollo Social, no obstante esté Órgano Garante procedió a la búsqueda a efecto de determinar si el Ayuntamiento de Valle de Bravo 2022-2024 cuenta con dichas direcciones, localizando en la página oficial del Ayuntamiento de Valle de Bravo particularmente en la Información Pública de Oficio Mexiquense (IPOMEX), en específico en su directorio 2022, que sí cuenta con la Dirección de Gobierno y Dirección de Desarrollo Social, lo cual se acredita con las  imágenes que se insertan a continuación de manera ilustrativa: </w:t>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2794000</wp:posOffset>
                </wp:positionV>
                <wp:extent cx="5419725" cy="1768475"/>
                <wp:effectExtent l="0" t="0" r="0" b="0"/>
                <wp:wrapNone/>
                <wp:docPr id="102" name="Conector recto de flecha 102"/>
                <wp:cNvGraphicFramePr/>
                <a:graphic xmlns:a="http://schemas.openxmlformats.org/drawingml/2006/main">
                  <a:graphicData uri="http://schemas.microsoft.com/office/word/2010/wordprocessingShape">
                    <wps:wsp>
                      <wps:cNvCnPr/>
                      <wps:spPr>
                        <a:xfrm>
                          <a:off x="2640900" y="2900525"/>
                          <a:ext cx="5410200" cy="17589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2794000</wp:posOffset>
                </wp:positionV>
                <wp:extent cx="5419725" cy="1768475"/>
                <wp:effectExtent b="0" l="0" r="0" t="0"/>
                <wp:wrapNone/>
                <wp:docPr id="102" name="image23.png"/>
                <a:graphic>
                  <a:graphicData uri="http://schemas.openxmlformats.org/drawingml/2006/picture">
                    <pic:pic>
                      <pic:nvPicPr>
                        <pic:cNvPr id="0" name="image23.png"/>
                        <pic:cNvPicPr preferRelativeResize="0"/>
                      </pic:nvPicPr>
                      <pic:blipFill>
                        <a:blip r:embed="rId37"/>
                        <a:srcRect/>
                        <a:stretch>
                          <a:fillRect/>
                        </a:stretch>
                      </pic:blipFill>
                      <pic:spPr>
                        <a:xfrm>
                          <a:off x="0" y="0"/>
                          <a:ext cx="5419725" cy="1768475"/>
                        </a:xfrm>
                        <a:prstGeom prst="rect"/>
                        <a:ln/>
                      </pic:spPr>
                    </pic:pic>
                  </a:graphicData>
                </a:graphic>
              </wp:anchor>
            </w:drawing>
          </mc:Fallback>
        </mc:AlternateConten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FF0000"/>
        </w:rPr>
      </w:pPr>
      <w:r>
        <w:rPr>
          <w:noProof/>
          <w:lang w:val="es-MX" w:eastAsia="es-MX"/>
        </w:rPr>
        <w:lastRenderedPageBreak/>
        <w:drawing>
          <wp:inline distT="0" distB="0" distL="0" distR="0">
            <wp:extent cx="5477816" cy="2240671"/>
            <wp:effectExtent l="0" t="0" r="0" b="0"/>
            <wp:docPr id="1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l="29419" t="6582" r="28679" b="48819"/>
                    <a:stretch>
                      <a:fillRect/>
                    </a:stretch>
                  </pic:blipFill>
                  <pic:spPr>
                    <a:xfrm>
                      <a:off x="0" y="0"/>
                      <a:ext cx="5477816" cy="2240671"/>
                    </a:xfrm>
                    <a:prstGeom prst="rect">
                      <a:avLst/>
                    </a:prstGeom>
                    <a:ln/>
                  </pic:spPr>
                </pic:pic>
              </a:graphicData>
            </a:graphic>
          </wp:inline>
        </w:drawing>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Al darle clic en el ejercicio 2022, nos</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arroja lo siguiente: </w: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noProof/>
          <w:lang w:val="es-MX" w:eastAsia="es-MX"/>
        </w:rPr>
        <w:drawing>
          <wp:inline distT="0" distB="0" distL="0" distR="0">
            <wp:extent cx="5627300" cy="3968172"/>
            <wp:effectExtent l="0" t="0" r="0" b="0"/>
            <wp:docPr id="1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l="35036" t="7148" r="38199" b="13835"/>
                    <a:stretch>
                      <a:fillRect/>
                    </a:stretch>
                  </pic:blipFill>
                  <pic:spPr>
                    <a:xfrm>
                      <a:off x="0" y="0"/>
                      <a:ext cx="5627300" cy="3968172"/>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2451100</wp:posOffset>
                </wp:positionH>
                <wp:positionV relativeFrom="paragraph">
                  <wp:posOffset>1905000</wp:posOffset>
                </wp:positionV>
                <wp:extent cx="1082304" cy="577602"/>
                <wp:effectExtent l="0" t="0" r="0" b="0"/>
                <wp:wrapNone/>
                <wp:docPr id="98" name="Flecha izquierda 98"/>
                <wp:cNvGraphicFramePr/>
                <a:graphic xmlns:a="http://schemas.openxmlformats.org/drawingml/2006/main">
                  <a:graphicData uri="http://schemas.microsoft.com/office/word/2010/wordprocessingShape">
                    <wps:wsp>
                      <wps:cNvSpPr/>
                      <wps:spPr>
                        <a:xfrm>
                          <a:off x="4811198" y="3497549"/>
                          <a:ext cx="1069604" cy="564902"/>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F467A3" w:rsidRDefault="00F467A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2451100</wp:posOffset>
                </wp:positionH>
                <wp:positionV relativeFrom="paragraph">
                  <wp:posOffset>1905000</wp:posOffset>
                </wp:positionV>
                <wp:extent cx="1082304" cy="577602"/>
                <wp:effectExtent b="0" l="0" r="0" t="0"/>
                <wp:wrapNone/>
                <wp:docPr id="98" name="image19.png"/>
                <a:graphic>
                  <a:graphicData uri="http://schemas.openxmlformats.org/drawingml/2006/picture">
                    <pic:pic>
                      <pic:nvPicPr>
                        <pic:cNvPr id="0" name="image19.png"/>
                        <pic:cNvPicPr preferRelativeResize="0"/>
                      </pic:nvPicPr>
                      <pic:blipFill>
                        <a:blip r:embed="rId40"/>
                        <a:srcRect/>
                        <a:stretch>
                          <a:fillRect/>
                        </a:stretch>
                      </pic:blipFill>
                      <pic:spPr>
                        <a:xfrm>
                          <a:off x="0" y="0"/>
                          <a:ext cx="1082304" cy="577602"/>
                        </a:xfrm>
                        <a:prstGeom prst="rect"/>
                        <a:ln/>
                      </pic:spPr>
                    </pic:pic>
                  </a:graphicData>
                </a:graphic>
              </wp:anchor>
            </w:drawing>
          </mc:Fallback>
        </mc:AlternateConten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noProof/>
          <w:lang w:val="es-MX" w:eastAsia="es-MX"/>
        </w:rPr>
        <w:lastRenderedPageBreak/>
        <w:drawing>
          <wp:inline distT="0" distB="0" distL="0" distR="0">
            <wp:extent cx="5527577" cy="3417547"/>
            <wp:effectExtent l="0" t="0" r="0" b="0"/>
            <wp:docPr id="1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l="33975" t="18436" r="36823" b="11353"/>
                    <a:stretch>
                      <a:fillRect/>
                    </a:stretch>
                  </pic:blipFill>
                  <pic:spPr>
                    <a:xfrm>
                      <a:off x="0" y="0"/>
                      <a:ext cx="5527577" cy="3417547"/>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0288" behindDoc="0" locked="0" layoutInCell="1" hidden="0" allowOverlap="1">
                <wp:simplePos x="0" y="0"/>
                <wp:positionH relativeFrom="column">
                  <wp:posOffset>3276600</wp:posOffset>
                </wp:positionH>
                <wp:positionV relativeFrom="paragraph">
                  <wp:posOffset>1282700</wp:posOffset>
                </wp:positionV>
                <wp:extent cx="1082304" cy="577602"/>
                <wp:effectExtent l="0" t="0" r="0" b="0"/>
                <wp:wrapNone/>
                <wp:docPr id="105" name="Flecha izquierda 105"/>
                <wp:cNvGraphicFramePr/>
                <a:graphic xmlns:a="http://schemas.openxmlformats.org/drawingml/2006/main">
                  <a:graphicData uri="http://schemas.microsoft.com/office/word/2010/wordprocessingShape">
                    <wps:wsp>
                      <wps:cNvSpPr/>
                      <wps:spPr>
                        <a:xfrm>
                          <a:off x="4817548" y="3503899"/>
                          <a:ext cx="1056904" cy="552202"/>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F467A3" w:rsidRDefault="00F467A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3276600</wp:posOffset>
                </wp:positionH>
                <wp:positionV relativeFrom="paragraph">
                  <wp:posOffset>1282700</wp:posOffset>
                </wp:positionV>
                <wp:extent cx="1082304" cy="577602"/>
                <wp:effectExtent b="0" l="0" r="0" t="0"/>
                <wp:wrapNone/>
                <wp:docPr id="105" name="image26.png"/>
                <a:graphic>
                  <a:graphicData uri="http://schemas.openxmlformats.org/drawingml/2006/picture">
                    <pic:pic>
                      <pic:nvPicPr>
                        <pic:cNvPr id="0" name="image26.png"/>
                        <pic:cNvPicPr preferRelativeResize="0"/>
                      </pic:nvPicPr>
                      <pic:blipFill>
                        <a:blip r:embed="rId42"/>
                        <a:srcRect/>
                        <a:stretch>
                          <a:fillRect/>
                        </a:stretch>
                      </pic:blipFill>
                      <pic:spPr>
                        <a:xfrm>
                          <a:off x="0" y="0"/>
                          <a:ext cx="1082304" cy="577602"/>
                        </a:xfrm>
                        <a:prstGeom prst="rect"/>
                        <a:ln/>
                      </pic:spPr>
                    </pic:pic>
                  </a:graphicData>
                </a:graphic>
              </wp:anchor>
            </w:drawing>
          </mc:Fallback>
        </mc:AlternateConten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Aclarado lo anterior, regresando a los requisitos señalados por el artículo 32 de la Ley Orgánica Municipal del Estado de México, referido, y en atención a que el particular requirió los documentos comprobatorios de cada uno de ellos, es necesario entrar a analizar cada una de las fracciones establecidas por el precepto legal antes señalado, conforme a lo que sigue:</w: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Respecto de la fracción I, relacionado con “</w:t>
      </w:r>
      <w:r>
        <w:rPr>
          <w:rFonts w:ascii="Palatino Linotype" w:eastAsia="Palatino Linotype" w:hAnsi="Palatino Linotype" w:cs="Palatino Linotype"/>
          <w:i/>
        </w:rPr>
        <w:t>Ser ciudadano del Estado en pleno uso de sus derechos</w:t>
      </w:r>
      <w:r>
        <w:rPr>
          <w:rFonts w:ascii="Palatino Linotype" w:eastAsia="Palatino Linotype" w:hAnsi="Palatino Linotype" w:cs="Palatino Linotype"/>
        </w:rPr>
        <w:t xml:space="preserve">”, el documento que acreditaría dicha circunstancia de manera enunciativa más no limitada, de conformidad con el artículo 3 de la Ley de Nacionalidad, son: el acta de nacimiento, el certificado de nacionalidad mexicana, el pasaporte, la carta de naturalización, la cédula de identidad ciudadana, la matrícula consular que cuente con los siguientes elementos de seguridad (fotografía digitalizada, banda </w:t>
      </w:r>
      <w:r>
        <w:rPr>
          <w:rFonts w:ascii="Palatino Linotype" w:eastAsia="Palatino Linotype" w:hAnsi="Palatino Linotype" w:cs="Palatino Linotype"/>
        </w:rPr>
        <w:lastRenderedPageBreak/>
        <w:t>magnética e identificación holográfica), identificaciones oficiales con fotografía y comprobantes domiciliarios.</w:t>
      </w:r>
    </w:p>
    <w:p w:rsidR="00F467A3" w:rsidRDefault="00066DA3">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dicha documentación debe ser protegida mediante su clasificación como </w:t>
      </w:r>
      <w:r>
        <w:rPr>
          <w:rFonts w:ascii="Palatino Linotype" w:eastAsia="Palatino Linotype" w:hAnsi="Palatino Linotype" w:cs="Palatino Linotype"/>
        </w:rPr>
        <w:t xml:space="preserve">confidencial en su totalidad, ya </w:t>
      </w:r>
      <w:r>
        <w:rPr>
          <w:rFonts w:ascii="Palatino Linotype" w:eastAsia="Palatino Linotype" w:hAnsi="Palatino Linotype" w:cs="Palatino Linotype"/>
          <w:color w:val="000000"/>
        </w:rPr>
        <w:t>que por su naturaleza jurídica contienen datos deben ser clasificados como confidenciales, lo anterior, como a continuación se precisa:</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se refiere a 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rsidR="00F467A3" w:rsidRDefault="00066DA3">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156</w:t>
      </w:r>
      <w:r>
        <w:rPr>
          <w:rFonts w:ascii="Palatino Linotype" w:eastAsia="Palatino Linotype" w:hAnsi="Palatino Linotype" w:cs="Palatino Linotype"/>
          <w:i/>
          <w:sz w:val="22"/>
          <w:szCs w:val="22"/>
        </w:rPr>
        <w:t>.</w:t>
      </w:r>
    </w:p>
    <w:p w:rsidR="00F467A3" w:rsidRDefault="00066DA3">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credencial para votar deberá contener, cuando menos, los siguientes datos del elector</w:t>
      </w:r>
      <w:r>
        <w:rPr>
          <w:rFonts w:ascii="Palatino Linotype" w:eastAsia="Palatino Linotype" w:hAnsi="Palatino Linotype" w:cs="Palatino Linotype"/>
          <w:i/>
          <w:sz w:val="22"/>
          <w:szCs w:val="22"/>
        </w:rPr>
        <w:t>:</w:t>
      </w:r>
    </w:p>
    <w:p w:rsidR="00F467A3" w:rsidRDefault="00066DA3">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467A3" w:rsidRDefault="00066DA3">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w:t>
      </w:r>
      <w:r>
        <w:rPr>
          <w:rFonts w:ascii="Palatino Linotype" w:eastAsia="Palatino Linotype" w:hAnsi="Palatino Linotype" w:cs="Palatino Linotype"/>
          <w:b/>
          <w:i/>
          <w:sz w:val="22"/>
          <w:szCs w:val="22"/>
          <w:u w:val="single"/>
        </w:rPr>
        <w:t>Domicilio</w:t>
      </w:r>
      <w:r>
        <w:rPr>
          <w:rFonts w:ascii="Palatino Linotype" w:eastAsia="Palatino Linotype" w:hAnsi="Palatino Linotype" w:cs="Palatino Linotype"/>
          <w:i/>
          <w:sz w:val="22"/>
          <w:szCs w:val="22"/>
        </w:rPr>
        <w:t>;</w:t>
      </w:r>
    </w:p>
    <w:p w:rsidR="00F467A3" w:rsidRDefault="00066DA3">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467A3" w:rsidRDefault="00066DA3">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 </w:t>
      </w:r>
      <w:r>
        <w:rPr>
          <w:rFonts w:ascii="Palatino Linotype" w:eastAsia="Palatino Linotype" w:hAnsi="Palatino Linotype" w:cs="Palatino Linotype"/>
          <w:b/>
          <w:i/>
          <w:sz w:val="22"/>
          <w:szCs w:val="22"/>
        </w:rPr>
        <w:t>Firma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huella digital</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b/>
          <w:i/>
          <w:sz w:val="22"/>
          <w:szCs w:val="22"/>
          <w:u w:val="single"/>
        </w:rPr>
        <w:t>fotografía del elector</w:t>
      </w:r>
      <w:r>
        <w:rPr>
          <w:rFonts w:ascii="Palatino Linotype" w:eastAsia="Palatino Linotype" w:hAnsi="Palatino Linotype" w:cs="Palatino Linotype"/>
          <w:i/>
          <w:sz w:val="22"/>
          <w:szCs w:val="22"/>
        </w:rPr>
        <w:t>;</w:t>
      </w:r>
    </w:p>
    <w:p w:rsidR="00F467A3" w:rsidRDefault="00066DA3">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467A3" w:rsidRDefault="00066DA3">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Clave Única del Registro de Población</w:t>
      </w:r>
      <w:r>
        <w:rPr>
          <w:rFonts w:ascii="Palatino Linotype" w:eastAsia="Palatino Linotype" w:hAnsi="Palatino Linotype" w:cs="Palatino Linotype"/>
          <w:i/>
          <w:sz w:val="22"/>
          <w:szCs w:val="22"/>
        </w:rPr>
        <w:t>. ” (Sic)</w:t>
      </w:r>
    </w:p>
    <w:p w:rsidR="00F467A3" w:rsidRDefault="00F467A3">
      <w:pPr>
        <w:tabs>
          <w:tab w:val="left" w:pos="8222"/>
        </w:tabs>
        <w:ind w:left="851" w:right="851"/>
        <w:jc w:val="both"/>
        <w:rPr>
          <w:rFonts w:ascii="Palatino Linotype" w:eastAsia="Palatino Linotype" w:hAnsi="Palatino Linotype" w:cs="Palatino Linotype"/>
          <w:i/>
          <w:sz w:val="22"/>
          <w:szCs w:val="22"/>
        </w:rPr>
      </w:pP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el conocimiento de dichos datos afecta la esfera más íntima de su Titular, en razón de que su utilización indebida pueda dar origen a un riesgo grave para éste.</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r>
        <w:rPr>
          <w:noProof/>
          <w:lang w:val="es-MX" w:eastAsia="es-MX"/>
        </w:rPr>
        <w:drawing>
          <wp:anchor distT="0" distB="0" distL="0" distR="0" simplePos="0" relativeHeight="251661312" behindDoc="1" locked="0" layoutInCell="1" hidden="0" allowOverlap="1">
            <wp:simplePos x="0" y="0"/>
            <wp:positionH relativeFrom="column">
              <wp:posOffset>0</wp:posOffset>
            </wp:positionH>
            <wp:positionV relativeFrom="paragraph">
              <wp:posOffset>2095626</wp:posOffset>
            </wp:positionV>
            <wp:extent cx="5766428" cy="2617756"/>
            <wp:effectExtent l="0" t="0" r="0" b="0"/>
            <wp:wrapNone/>
            <wp:docPr id="1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b="2758"/>
                    <a:stretch>
                      <a:fillRect/>
                    </a:stretch>
                  </pic:blipFill>
                  <pic:spPr>
                    <a:xfrm>
                      <a:off x="0" y="0"/>
                      <a:ext cx="5766428" cy="2617756"/>
                    </a:xfrm>
                    <a:prstGeom prst="rect">
                      <a:avLst/>
                    </a:prstGeom>
                    <a:ln/>
                  </pic:spPr>
                </pic:pic>
              </a:graphicData>
            </a:graphic>
          </wp:anchor>
        </w:drawing>
      </w:r>
    </w:p>
    <w:p w:rsidR="00F467A3" w:rsidRDefault="00066DA3">
      <w:pPr>
        <w:spacing w:before="240" w:after="240" w:line="360" w:lineRule="auto"/>
        <w:jc w:val="both"/>
        <w:rPr>
          <w:rFonts w:ascii="Palatino Linotype" w:eastAsia="Palatino Linotype" w:hAnsi="Palatino Linotype" w:cs="Palatino Linotype"/>
        </w:rPr>
      </w:pPr>
      <w:r>
        <w:rPr>
          <w:noProof/>
          <w:lang w:val="es-MX" w:eastAsia="es-MX"/>
        </w:rPr>
        <w:drawing>
          <wp:anchor distT="0" distB="0" distL="0" distR="0" simplePos="0" relativeHeight="251662336" behindDoc="1" locked="0" layoutInCell="1" hidden="0" allowOverlap="1">
            <wp:simplePos x="0" y="0"/>
            <wp:positionH relativeFrom="column">
              <wp:posOffset>520</wp:posOffset>
            </wp:positionH>
            <wp:positionV relativeFrom="paragraph">
              <wp:posOffset>16675</wp:posOffset>
            </wp:positionV>
            <wp:extent cx="5769348" cy="2842549"/>
            <wp:effectExtent l="0" t="0" r="0" b="0"/>
            <wp:wrapNone/>
            <wp:docPr id="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b="2758"/>
                    <a:stretch>
                      <a:fillRect/>
                    </a:stretch>
                  </pic:blipFill>
                  <pic:spPr>
                    <a:xfrm>
                      <a:off x="0" y="0"/>
                      <a:ext cx="5769348" cy="2842549"/>
                    </a:xfrm>
                    <a:prstGeom prst="rect">
                      <a:avLst/>
                    </a:prstGeom>
                    <a:ln/>
                  </pic:spPr>
                </pic:pic>
              </a:graphicData>
            </a:graphic>
          </wp:anchor>
        </w:drawing>
      </w:r>
    </w:p>
    <w:p w:rsidR="00F467A3" w:rsidRDefault="00F467A3">
      <w:pPr>
        <w:spacing w:before="240" w:after="240" w:line="360" w:lineRule="auto"/>
        <w:jc w:val="both"/>
        <w:rPr>
          <w:rFonts w:ascii="Palatino Linotype" w:eastAsia="Palatino Linotype" w:hAnsi="Palatino Linotype" w:cs="Palatino Linotype"/>
        </w:rPr>
      </w:pPr>
    </w:p>
    <w:p w:rsidR="00F467A3" w:rsidRDefault="00F467A3">
      <w:pPr>
        <w:spacing w:before="240" w:after="240" w:line="360" w:lineRule="auto"/>
        <w:jc w:val="both"/>
        <w:rPr>
          <w:rFonts w:ascii="Palatino Linotype" w:eastAsia="Palatino Linotype" w:hAnsi="Palatino Linotype" w:cs="Palatino Linotype"/>
        </w:rPr>
      </w:pPr>
    </w:p>
    <w:p w:rsidR="00F467A3" w:rsidRDefault="00F467A3">
      <w:pPr>
        <w:spacing w:before="240" w:after="240" w:line="360" w:lineRule="auto"/>
        <w:jc w:val="both"/>
        <w:rPr>
          <w:rFonts w:ascii="Palatino Linotype" w:eastAsia="Palatino Linotype" w:hAnsi="Palatino Linotype" w:cs="Palatino Linotype"/>
        </w:rPr>
      </w:pPr>
    </w:p>
    <w:p w:rsidR="00F467A3" w:rsidRDefault="00F467A3">
      <w:pPr>
        <w:spacing w:before="240" w:after="240" w:line="360" w:lineRule="auto"/>
        <w:ind w:right="49"/>
        <w:jc w:val="center"/>
        <w:rPr>
          <w:rFonts w:ascii="Palatino Linotype" w:eastAsia="Palatino Linotype" w:hAnsi="Palatino Linotype" w:cs="Palatino Linotype"/>
        </w:rPr>
      </w:pPr>
    </w:p>
    <w:p w:rsidR="00F467A3" w:rsidRDefault="00F467A3">
      <w:pPr>
        <w:spacing w:before="240" w:after="240" w:line="360" w:lineRule="auto"/>
        <w:jc w:val="both"/>
        <w:rPr>
          <w:rFonts w:ascii="Palatino Linotype" w:eastAsia="Palatino Linotype" w:hAnsi="Palatino Linotype" w:cs="Palatino Linotype"/>
        </w:rPr>
      </w:pPr>
    </w:p>
    <w:p w:rsidR="00F467A3" w:rsidRDefault="00F467A3">
      <w:pPr>
        <w:spacing w:before="240" w:after="240" w:line="360" w:lineRule="auto"/>
        <w:jc w:val="both"/>
        <w:rPr>
          <w:rFonts w:ascii="Palatino Linotype" w:eastAsia="Palatino Linotype" w:hAnsi="Palatino Linotype" w:cs="Palatino Linotype"/>
        </w:rPr>
      </w:pP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w:t>
      </w:r>
      <w:r>
        <w:rPr>
          <w:rFonts w:ascii="Palatino Linotype" w:eastAsia="Palatino Linotype" w:hAnsi="Palatino Linotype" w:cs="Palatino Linotype"/>
        </w:rPr>
        <w:lastRenderedPageBreak/>
        <w:t xml:space="preserve">credencial/ABC_credenciales_ INE_2015.pdf, como se muestra a continuación, en su parte medular: </w:t>
      </w:r>
    </w:p>
    <w:p w:rsidR="00F467A3" w:rsidRDefault="00066DA3">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934360" cy="1963320"/>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5934360" cy="196332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3360" behindDoc="0" locked="0" layoutInCell="1" hidden="0" allowOverlap="1">
                <wp:simplePos x="0" y="0"/>
                <wp:positionH relativeFrom="column">
                  <wp:posOffset>1270000</wp:posOffset>
                </wp:positionH>
                <wp:positionV relativeFrom="paragraph">
                  <wp:posOffset>279400</wp:posOffset>
                </wp:positionV>
                <wp:extent cx="2726709" cy="336550"/>
                <wp:effectExtent l="0" t="0" r="0" b="0"/>
                <wp:wrapNone/>
                <wp:docPr id="97" name="Rectángulo 97"/>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rsidR="00F467A3" w:rsidRDefault="00F467A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1270000</wp:posOffset>
                </wp:positionH>
                <wp:positionV relativeFrom="paragraph">
                  <wp:posOffset>279400</wp:posOffset>
                </wp:positionV>
                <wp:extent cx="2726709" cy="336550"/>
                <wp:effectExtent b="0" l="0" r="0" t="0"/>
                <wp:wrapNone/>
                <wp:docPr id="97" name="image12.png"/>
                <a:graphic>
                  <a:graphicData uri="http://schemas.openxmlformats.org/drawingml/2006/picture">
                    <pic:pic>
                      <pic:nvPicPr>
                        <pic:cNvPr id="0" name="image12.png"/>
                        <pic:cNvPicPr preferRelativeResize="0"/>
                      </pic:nvPicPr>
                      <pic:blipFill>
                        <a:blip r:embed="rId45"/>
                        <a:srcRect/>
                        <a:stretch>
                          <a:fillRect/>
                        </a:stretch>
                      </pic:blipFill>
                      <pic:spPr>
                        <a:xfrm>
                          <a:off x="0" y="0"/>
                          <a:ext cx="2726709" cy="336550"/>
                        </a:xfrm>
                        <a:prstGeom prst="rect"/>
                        <a:ln/>
                      </pic:spPr>
                    </pic:pic>
                  </a:graphicData>
                </a:graphic>
              </wp:anchor>
            </w:drawing>
          </mc:Fallback>
        </mc:AlternateContent>
      </w:r>
      <w:r>
        <w:rPr>
          <w:noProof/>
          <w:lang w:val="es-MX" w:eastAsia="es-MX"/>
        </w:rPr>
        <mc:AlternateContent>
          <mc:Choice Requires="wpg">
            <w:drawing>
              <wp:anchor distT="0" distB="0" distL="114300" distR="114300" simplePos="0" relativeHeight="251664384" behindDoc="0" locked="0" layoutInCell="1" hidden="0" allowOverlap="1">
                <wp:simplePos x="0" y="0"/>
                <wp:positionH relativeFrom="column">
                  <wp:posOffset>190500</wp:posOffset>
                </wp:positionH>
                <wp:positionV relativeFrom="paragraph">
                  <wp:posOffset>787400</wp:posOffset>
                </wp:positionV>
                <wp:extent cx="802374" cy="563539"/>
                <wp:effectExtent l="0" t="0" r="0" b="0"/>
                <wp:wrapNone/>
                <wp:docPr id="101" name="Rectángulo 101"/>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rsidR="00F467A3" w:rsidRDefault="00F467A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wp:posOffset>
                </wp:positionH>
                <wp:positionV relativeFrom="paragraph">
                  <wp:posOffset>787400</wp:posOffset>
                </wp:positionV>
                <wp:extent cx="802374" cy="563539"/>
                <wp:effectExtent b="0" l="0" r="0" t="0"/>
                <wp:wrapNone/>
                <wp:docPr id="101" name="image22.png"/>
                <a:graphic>
                  <a:graphicData uri="http://schemas.openxmlformats.org/drawingml/2006/picture">
                    <pic:pic>
                      <pic:nvPicPr>
                        <pic:cNvPr id="0" name="image22.png"/>
                        <pic:cNvPicPr preferRelativeResize="0"/>
                      </pic:nvPicPr>
                      <pic:blipFill>
                        <a:blip r:embed="rId46"/>
                        <a:srcRect/>
                        <a:stretch>
                          <a:fillRect/>
                        </a:stretch>
                      </pic:blipFill>
                      <pic:spPr>
                        <a:xfrm>
                          <a:off x="0" y="0"/>
                          <a:ext cx="802374" cy="563539"/>
                        </a:xfrm>
                        <a:prstGeom prst="rect"/>
                        <a:ln/>
                      </pic:spPr>
                    </pic:pic>
                  </a:graphicData>
                </a:graphic>
              </wp:anchor>
            </w:drawing>
          </mc:Fallback>
        </mc:AlternateContent>
      </w:r>
    </w:p>
    <w:p w:rsidR="00F467A3" w:rsidRDefault="00066DA3">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844648" cy="2591513"/>
            <wp:effectExtent l="0" t="0" r="0" b="0"/>
            <wp:docPr id="1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5844648" cy="2591513"/>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5408" behindDoc="0" locked="0" layoutInCell="1" hidden="0" allowOverlap="1">
                <wp:simplePos x="0" y="0"/>
                <wp:positionH relativeFrom="column">
                  <wp:posOffset>1117600</wp:posOffset>
                </wp:positionH>
                <wp:positionV relativeFrom="paragraph">
                  <wp:posOffset>177800</wp:posOffset>
                </wp:positionV>
                <wp:extent cx="2542464" cy="488476"/>
                <wp:effectExtent l="0" t="0" r="0" b="0"/>
                <wp:wrapNone/>
                <wp:docPr id="104" name="Rectángulo 104"/>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rsidR="00F467A3" w:rsidRDefault="00F467A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1117600</wp:posOffset>
                </wp:positionH>
                <wp:positionV relativeFrom="paragraph">
                  <wp:posOffset>177800</wp:posOffset>
                </wp:positionV>
                <wp:extent cx="2542464" cy="488476"/>
                <wp:effectExtent b="0" l="0" r="0" t="0"/>
                <wp:wrapNone/>
                <wp:docPr id="104" name="image25.png"/>
                <a:graphic>
                  <a:graphicData uri="http://schemas.openxmlformats.org/drawingml/2006/picture">
                    <pic:pic>
                      <pic:nvPicPr>
                        <pic:cNvPr id="0" name="image25.png"/>
                        <pic:cNvPicPr preferRelativeResize="0"/>
                      </pic:nvPicPr>
                      <pic:blipFill>
                        <a:blip r:embed="rId48"/>
                        <a:srcRect/>
                        <a:stretch>
                          <a:fillRect/>
                        </a:stretch>
                      </pic:blipFill>
                      <pic:spPr>
                        <a:xfrm>
                          <a:off x="0" y="0"/>
                          <a:ext cx="2542464" cy="488476"/>
                        </a:xfrm>
                        <a:prstGeom prst="rect"/>
                        <a:ln/>
                      </pic:spPr>
                    </pic:pic>
                  </a:graphicData>
                </a:graphic>
              </wp:anchor>
            </w:drawing>
          </mc:Fallback>
        </mc:AlternateContent>
      </w:r>
      <w:r>
        <w:rPr>
          <w:noProof/>
          <w:lang w:val="es-MX" w:eastAsia="es-MX"/>
        </w:rPr>
        <mc:AlternateContent>
          <mc:Choice Requires="wpg">
            <w:drawing>
              <wp:anchor distT="0" distB="0" distL="114300" distR="114300" simplePos="0" relativeHeight="251666432" behindDoc="0" locked="0" layoutInCell="1" hidden="0" allowOverlap="1">
                <wp:simplePos x="0" y="0"/>
                <wp:positionH relativeFrom="column">
                  <wp:posOffset>1117600</wp:posOffset>
                </wp:positionH>
                <wp:positionV relativeFrom="paragraph">
                  <wp:posOffset>1219200</wp:posOffset>
                </wp:positionV>
                <wp:extent cx="2542464" cy="374650"/>
                <wp:effectExtent l="0" t="0" r="0" b="0"/>
                <wp:wrapNone/>
                <wp:docPr id="99" name="Rectángulo 99"/>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rsidR="00F467A3" w:rsidRDefault="00F467A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1117600</wp:posOffset>
                </wp:positionH>
                <wp:positionV relativeFrom="paragraph">
                  <wp:posOffset>1219200</wp:posOffset>
                </wp:positionV>
                <wp:extent cx="2542464" cy="374650"/>
                <wp:effectExtent b="0" l="0" r="0" t="0"/>
                <wp:wrapNone/>
                <wp:docPr id="99" name="image20.png"/>
                <a:graphic>
                  <a:graphicData uri="http://schemas.openxmlformats.org/drawingml/2006/picture">
                    <pic:pic>
                      <pic:nvPicPr>
                        <pic:cNvPr id="0" name="image20.png"/>
                        <pic:cNvPicPr preferRelativeResize="0"/>
                      </pic:nvPicPr>
                      <pic:blipFill>
                        <a:blip r:embed="rId49"/>
                        <a:srcRect/>
                        <a:stretch>
                          <a:fillRect/>
                        </a:stretch>
                      </pic:blipFill>
                      <pic:spPr>
                        <a:xfrm>
                          <a:off x="0" y="0"/>
                          <a:ext cx="2542464" cy="374650"/>
                        </a:xfrm>
                        <a:prstGeom prst="rect"/>
                        <a:ln/>
                      </pic:spPr>
                    </pic:pic>
                  </a:graphicData>
                </a:graphic>
              </wp:anchor>
            </w:drawing>
          </mc:Fallback>
        </mc:AlternateContent>
      </w:r>
      <w:r>
        <w:rPr>
          <w:noProof/>
          <w:lang w:val="es-MX" w:eastAsia="es-MX"/>
        </w:rPr>
        <mc:AlternateContent>
          <mc:Choice Requires="wpg">
            <w:drawing>
              <wp:anchor distT="0" distB="0" distL="114300" distR="114300" simplePos="0" relativeHeight="251667456" behindDoc="0" locked="0" layoutInCell="1" hidden="0" allowOverlap="1">
                <wp:simplePos x="0" y="0"/>
                <wp:positionH relativeFrom="column">
                  <wp:posOffset>355600</wp:posOffset>
                </wp:positionH>
                <wp:positionV relativeFrom="paragraph">
                  <wp:posOffset>355600</wp:posOffset>
                </wp:positionV>
                <wp:extent cx="413414" cy="1894195"/>
                <wp:effectExtent l="0" t="0" r="0" b="0"/>
                <wp:wrapNone/>
                <wp:docPr id="96" name="Rectángulo 96"/>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rsidR="00F467A3" w:rsidRDefault="00F467A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355600</wp:posOffset>
                </wp:positionH>
                <wp:positionV relativeFrom="paragraph">
                  <wp:posOffset>355600</wp:posOffset>
                </wp:positionV>
                <wp:extent cx="413414" cy="1894195"/>
                <wp:effectExtent b="0" l="0" r="0" t="0"/>
                <wp:wrapNone/>
                <wp:docPr id="96" name="image10.png"/>
                <a:graphic>
                  <a:graphicData uri="http://schemas.openxmlformats.org/drawingml/2006/picture">
                    <pic:pic>
                      <pic:nvPicPr>
                        <pic:cNvPr id="0" name="image10.png"/>
                        <pic:cNvPicPr preferRelativeResize="0"/>
                      </pic:nvPicPr>
                      <pic:blipFill>
                        <a:blip r:embed="rId50"/>
                        <a:srcRect/>
                        <a:stretch>
                          <a:fillRect/>
                        </a:stretch>
                      </pic:blipFill>
                      <pic:spPr>
                        <a:xfrm>
                          <a:off x="0" y="0"/>
                          <a:ext cx="413414" cy="1894195"/>
                        </a:xfrm>
                        <a:prstGeom prst="rect"/>
                        <a:ln/>
                      </pic:spPr>
                    </pic:pic>
                  </a:graphicData>
                </a:graphic>
              </wp:anchor>
            </w:drawing>
          </mc:Fallback>
        </mc:AlternateContent>
      </w:r>
    </w:p>
    <w:p w:rsidR="00F467A3" w:rsidRDefault="00066DA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F467A3" w:rsidRDefault="00066DA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el caso de la edad, se trata de un dato personal sensible que concierne únicamente a su titular, al corresponder a su esfera más íntima. </w:t>
      </w:r>
    </w:p>
    <w:p w:rsidR="00F467A3" w:rsidRDefault="00066DA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F467A3" w:rsidRDefault="00066DA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se refiere a la CURP</w:t>
      </w:r>
      <w:r>
        <w:rPr>
          <w:rFonts w:ascii="Palatino Linotype" w:eastAsia="Palatino Linotype" w:hAnsi="Palatino Linotype" w:cs="Palatino Linotype"/>
          <w:b/>
        </w:rPr>
        <w:t xml:space="preserve">, </w:t>
      </w:r>
      <w:r>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F467A3" w:rsidRDefault="00066DA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tiene sustento en los artículos 86 y 91 de la Ley General de Población, la cual señala lo siguiente:</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86.</w:t>
      </w:r>
      <w:r>
        <w:rPr>
          <w:rFonts w:ascii="Palatino Linotype" w:eastAsia="Palatino Linotype" w:hAnsi="Palatino Linotype" w:cs="Palatino Linotype"/>
          <w:b/>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Registro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Nacional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Población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tiene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finalidad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registrar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cada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integran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población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país,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datos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permitan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certificar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acreditar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fehacientemente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identidad.</w:t>
      </w:r>
    </w:p>
    <w:p w:rsidR="00F467A3" w:rsidRDefault="00F467A3">
      <w:pPr>
        <w:ind w:left="851" w:right="851"/>
        <w:jc w:val="both"/>
        <w:rPr>
          <w:rFonts w:ascii="Palatino Linotype" w:eastAsia="Palatino Linotype" w:hAnsi="Palatino Linotype" w:cs="Palatino Linotype"/>
          <w:b/>
          <w:i/>
          <w:sz w:val="22"/>
          <w:szCs w:val="22"/>
        </w:rPr>
      </w:pP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91.</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incorporar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una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persona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Registro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Nacional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Población</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asignará</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clave</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que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denominará</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Clave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Única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Registro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Población</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Esta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servirá</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para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registrarla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identificarla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forma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individual</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(Sic)</w:t>
      </w:r>
    </w:p>
    <w:p w:rsidR="00F467A3" w:rsidRDefault="00F467A3">
      <w:pPr>
        <w:ind w:left="851" w:right="851"/>
        <w:jc w:val="both"/>
        <w:rPr>
          <w:rFonts w:ascii="Palatino Linotype" w:eastAsia="Palatino Linotype" w:hAnsi="Palatino Linotype" w:cs="Palatino Linotype"/>
          <w:i/>
          <w:sz w:val="22"/>
          <w:szCs w:val="22"/>
        </w:rPr>
      </w:pPr>
    </w:p>
    <w:p w:rsidR="00F467A3" w:rsidRDefault="00066DA3">
      <w:pPr>
        <w:spacing w:before="280" w:after="28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w:t>
      </w:r>
      <w:r>
        <w:rPr>
          <w:rFonts w:ascii="Palatino Linotype" w:eastAsia="Palatino Linotype" w:hAnsi="Palatino Linotype" w:cs="Palatino Linotype"/>
        </w:rPr>
        <w:lastRenderedPageBreak/>
        <w:t xml:space="preserve">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F467A3" w:rsidRDefault="00066DA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INAI, a través del Criterio 18/17 de la Segunda Época, señala literalmente lo siguiente:</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Clave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Única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Registro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Población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(CURP).</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Clave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Única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Registro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Población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integra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datos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personales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que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sólo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conciernen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particular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titular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misma,</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como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son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nombre,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apellidos,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fecha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nacimiento,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lugar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nacimiento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sexo</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Dichos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datos,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constituyen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información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distingue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plenamente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física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resto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habitantes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país,</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por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que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CURP</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está</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considerada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como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confidencial</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3995/16.</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Secretaría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Defensa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Nacional.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1</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febrero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2017.</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unanimidad.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Comisionado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Ponente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Rosendoevgueni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Monterrey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Chepov.</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0937/17.</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Senado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República.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15</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marzo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2017.</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unanimidad.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Comisionada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Ponente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Ximena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Puente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Mora.</w:t>
      </w:r>
      <w:r>
        <w:rPr>
          <w:rFonts w:ascii="Palatino Linotype" w:eastAsia="Palatino Linotype" w:hAnsi="Palatino Linotype" w:cs="Palatino Linotype"/>
          <w:i/>
        </w:rPr>
        <w:t xml:space="preserve"> </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0478/17.</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Secretaría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Relaciones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Exteriores.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26</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abril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2017.</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unanimidad.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Comisionada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Ponente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Areli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Cano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Guadiana.”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(Sic)</w:t>
      </w:r>
    </w:p>
    <w:p w:rsidR="00F467A3" w:rsidRDefault="00F467A3">
      <w:pPr>
        <w:ind w:left="851" w:right="851"/>
        <w:jc w:val="both"/>
        <w:rPr>
          <w:rFonts w:ascii="Palatino Linotype" w:eastAsia="Palatino Linotype" w:hAnsi="Palatino Linotype" w:cs="Palatino Linotype"/>
          <w:i/>
          <w:sz w:val="22"/>
          <w:szCs w:val="22"/>
        </w:rPr>
      </w:pPr>
    </w:p>
    <w:p w:rsidR="00F467A3" w:rsidRDefault="00066DA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la CURP se encuentra vinculada al nombre y apellidos de la persona, permitiendo identificar fecha y lugar de nacimiento, así como el sexo; datos que únicamente le atañen a su titular, por lo que, ésta constituye </w:t>
      </w:r>
      <w:r>
        <w:rPr>
          <w:rFonts w:ascii="Palatino Linotype" w:eastAsia="Palatino Linotype" w:hAnsi="Palatino Linotype" w:cs="Palatino Linotype"/>
        </w:rPr>
        <w:lastRenderedPageBreak/>
        <w:t>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F467A3" w:rsidRDefault="00066DA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domicilio particular,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rsidR="00F467A3" w:rsidRDefault="00066DA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la clasificación del domicilio particular, por tratarse de un dato personal confidencial, en términos del artículo 143, fracción I de la Ley de Transparencia y Acceso a la Información Pública del Estado de México y Municipios. </w:t>
      </w: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w:t>
      </w:r>
      <w:r>
        <w:rPr>
          <w:rFonts w:ascii="Palatino Linotype" w:eastAsia="Palatino Linotype" w:hAnsi="Palatino Linotype" w:cs="Palatino Linotype"/>
        </w:rPr>
        <w:lastRenderedPageBreak/>
        <w:t xml:space="preserve">parte, en el documento electrónico intitulado “Nuevas Tecnologías Biométricas”, publicado por el Instituto Nacional de Ciencias Penales y la Procuraduría General de la República, disponible en </w:t>
      </w:r>
      <w:hyperlink r:id="rId51">
        <w:r>
          <w:rPr>
            <w:rFonts w:ascii="Palatino Linotype" w:eastAsia="Palatino Linotype" w:hAnsi="Palatino Linotype" w:cs="Palatino Linotype"/>
            <w:color w:val="0563C1"/>
            <w:u w:val="single"/>
          </w:rPr>
          <w:t>https://docplayer.es/5455342-Nuevas-tecnologias-biometricas-instituto-nacional-de-ciencias-penales-procuraduria-general-de-la-republica-version-1-0.html</w:t>
        </w:r>
      </w:hyperlink>
      <w:r>
        <w:rPr>
          <w:rFonts w:ascii="Palatino Linotype" w:eastAsia="Palatino Linotype" w:hAnsi="Palatino Linotype" w:cs="Palatino Linotype"/>
        </w:rPr>
        <w:t xml:space="preserve">, se indica que existen tres principios fundamentales para la identificación de las huellas dactilares, a saber: </w:t>
      </w:r>
    </w:p>
    <w:p w:rsidR="00F467A3" w:rsidRDefault="00F467A3">
      <w:pPr>
        <w:spacing w:line="360" w:lineRule="auto"/>
        <w:jc w:val="both"/>
        <w:rPr>
          <w:rFonts w:ascii="Palatino Linotype" w:eastAsia="Palatino Linotype" w:hAnsi="Palatino Linotype" w:cs="Palatino Linotype"/>
        </w:rPr>
      </w:pPr>
    </w:p>
    <w:p w:rsidR="00F467A3" w:rsidRDefault="00066DA3">
      <w:pPr>
        <w:numPr>
          <w:ilvl w:val="0"/>
          <w:numId w:val="6"/>
        </w:numPr>
        <w:spacing w:line="360" w:lineRule="auto"/>
        <w:ind w:right="474"/>
        <w:jc w:val="both"/>
        <w:rPr>
          <w:rFonts w:ascii="Palatino Linotype" w:eastAsia="Palatino Linotype" w:hAnsi="Palatino Linotype" w:cs="Palatino Linotype"/>
        </w:rPr>
      </w:pPr>
      <w:r>
        <w:rPr>
          <w:rFonts w:ascii="Palatino Linotype" w:eastAsia="Palatino Linotype" w:hAnsi="Palatino Linotype" w:cs="Palatino Linotype"/>
        </w:rPr>
        <w:t xml:space="preserve">Primer principio. La huella es una característica individual. No hay dos huellas con características en las crestas que sean idénticas. </w:t>
      </w:r>
    </w:p>
    <w:p w:rsidR="00F467A3" w:rsidRDefault="00F467A3">
      <w:pPr>
        <w:spacing w:line="360" w:lineRule="auto"/>
        <w:ind w:right="474"/>
        <w:jc w:val="both"/>
        <w:rPr>
          <w:rFonts w:ascii="Palatino Linotype" w:eastAsia="Palatino Linotype" w:hAnsi="Palatino Linotype" w:cs="Palatino Linotype"/>
        </w:rPr>
      </w:pPr>
    </w:p>
    <w:p w:rsidR="00F467A3" w:rsidRDefault="00066DA3">
      <w:pPr>
        <w:numPr>
          <w:ilvl w:val="0"/>
          <w:numId w:val="6"/>
        </w:numPr>
        <w:spacing w:line="360" w:lineRule="auto"/>
        <w:ind w:right="474"/>
        <w:jc w:val="both"/>
        <w:rPr>
          <w:rFonts w:ascii="Palatino Linotype" w:eastAsia="Palatino Linotype" w:hAnsi="Palatino Linotype" w:cs="Palatino Linotype"/>
        </w:rPr>
      </w:pPr>
      <w:r>
        <w:rPr>
          <w:rFonts w:ascii="Palatino Linotype" w:eastAsia="Palatino Linotype" w:hAnsi="Palatino Linotype" w:cs="Palatino Linotype"/>
        </w:rPr>
        <w:t xml:space="preserve">Segundo principio. Una huella permanece sin cambios durante toda la vida de un individuo (sin embargo, puede adquirir cicatrices o cualquier otra deformación que impida su identificación clara). </w:t>
      </w:r>
    </w:p>
    <w:p w:rsidR="00F467A3" w:rsidRDefault="00F467A3">
      <w:pPr>
        <w:spacing w:line="360" w:lineRule="auto"/>
        <w:ind w:right="474"/>
        <w:jc w:val="both"/>
        <w:rPr>
          <w:rFonts w:ascii="Palatino Linotype" w:eastAsia="Palatino Linotype" w:hAnsi="Palatino Linotype" w:cs="Palatino Linotype"/>
        </w:rPr>
      </w:pPr>
    </w:p>
    <w:p w:rsidR="00F467A3" w:rsidRDefault="00066DA3">
      <w:pPr>
        <w:numPr>
          <w:ilvl w:val="0"/>
          <w:numId w:val="6"/>
        </w:numPr>
        <w:spacing w:line="360" w:lineRule="auto"/>
        <w:ind w:right="474"/>
        <w:jc w:val="both"/>
        <w:rPr>
          <w:rFonts w:ascii="Palatino Linotype" w:eastAsia="Palatino Linotype" w:hAnsi="Palatino Linotype" w:cs="Palatino Linotype"/>
        </w:rPr>
      </w:pPr>
      <w:r>
        <w:rPr>
          <w:rFonts w:ascii="Palatino Linotype" w:eastAsia="Palatino Linotype" w:hAnsi="Palatino Linotype" w:cs="Palatino Linotype"/>
        </w:rPr>
        <w:t xml:space="preserve">Tercer principio. Las huellas tienen patrones que se forman con sus crestas, lo que hace posible clasificarlas sistemáticamente para agilizar las búsquedas. </w:t>
      </w:r>
    </w:p>
    <w:p w:rsidR="00F467A3" w:rsidRDefault="00F467A3">
      <w:pPr>
        <w:pBdr>
          <w:top w:val="nil"/>
          <w:left w:val="nil"/>
          <w:bottom w:val="nil"/>
          <w:right w:val="nil"/>
          <w:between w:val="nil"/>
        </w:pBdr>
        <w:ind w:left="708"/>
        <w:rPr>
          <w:rFonts w:ascii="Palatino Linotype" w:eastAsia="Palatino Linotype" w:hAnsi="Palatino Linotype" w:cs="Palatino Linotype"/>
          <w:color w:val="000000"/>
          <w:sz w:val="22"/>
          <w:szCs w:val="22"/>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rsidR="00F467A3" w:rsidRDefault="00F467A3">
      <w:pPr>
        <w:spacing w:line="360" w:lineRule="auto"/>
        <w:jc w:val="both"/>
        <w:rPr>
          <w:rFonts w:ascii="Palatino Linotype" w:eastAsia="Palatino Linotype" w:hAnsi="Palatino Linotype" w:cs="Palatino Linotype"/>
        </w:rPr>
      </w:pPr>
    </w:p>
    <w:p w:rsidR="00F467A3" w:rsidRDefault="00066DA3">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Pr>
          <w:rFonts w:ascii="Palatino Linotype" w:eastAsia="Palatino Linotype" w:hAnsi="Palatino Linotype" w:cs="Palatino Linotype"/>
          <w:i/>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w:t>
      </w:r>
      <w:r>
        <w:rPr>
          <w:rFonts w:ascii="Palatino Linotype" w:eastAsia="Palatino Linotype" w:hAnsi="Palatino Linotype" w:cs="Palatino Linotype"/>
          <w:i/>
        </w:rPr>
        <w:lastRenderedPageBreak/>
        <w:t>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contrato.(Sic)</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En la actualidad existen sistemas denominados AFIS por sus siglas en inglés </w:t>
      </w:r>
      <w:r>
        <w:rPr>
          <w:rFonts w:ascii="Palatino Linotype" w:eastAsia="Palatino Linotype" w:hAnsi="Palatino Linotype" w:cs="Palatino Linotype"/>
          <w:i/>
        </w:rPr>
        <w:t>Automated Fingerprint Identification System</w:t>
      </w:r>
      <w:r>
        <w:rPr>
          <w:rFonts w:ascii="Palatino Linotype" w:eastAsia="Palatino Linotype" w:hAnsi="Palatino Linotype" w:cs="Palatino Linotype"/>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relación a la fracción II, correspondiente con “</w:t>
      </w:r>
      <w:r>
        <w:rPr>
          <w:rFonts w:ascii="Palatino Linotype" w:eastAsia="Palatino Linotype" w:hAnsi="Palatino Linotype" w:cs="Palatino Linotype"/>
          <w:b/>
          <w:i/>
          <w:u w:val="single"/>
        </w:rPr>
        <w:t>No estar inhabilitado para desempeñar cargo, empleo, o comisión pública</w:t>
      </w:r>
      <w:r>
        <w:rPr>
          <w:rFonts w:ascii="Palatino Linotype" w:eastAsia="Palatino Linotype" w:hAnsi="Palatino Linotype" w:cs="Palatino Linotype"/>
          <w:i/>
        </w:rPr>
        <w:t>”</w:t>
      </w:r>
      <w:r>
        <w:rPr>
          <w:rFonts w:ascii="Palatino Linotype" w:eastAsia="Palatino Linotype" w:hAnsi="Palatino Linotype" w:cs="Palatino Linotype"/>
        </w:rPr>
        <w:t>, debe constar en los expedientes laborales, las respectivas Constancias de No Inhabilitación, emitidas con base en la consulta en el sistema electrónico de la Secretaría de la Contraloría del Gobierno del Estado de México, de conformidad con el artículo 28, último párrafo, de la Ley de Responsabilidades Administrativas del Estado de México y Municipios, el cual se inserta a continuación:</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28</w:t>
      </w:r>
      <w:r>
        <w:rPr>
          <w:rFonts w:ascii="Palatino Linotype" w:eastAsia="Palatino Linotype" w:hAnsi="Palatino Linotype" w:cs="Palatino Linotype"/>
          <w:i/>
          <w:sz w:val="22"/>
          <w:szCs w:val="22"/>
        </w:rPr>
        <w:t xml:space="preserve">. </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Los entes públicos, previo al nombramiento, designación o contratación de quienes pretendan ingresar al servicio público, consultarán los sistemas nacional, estatal y municipal de servidores públicos</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i/>
          <w:sz w:val="22"/>
          <w:szCs w:val="22"/>
        </w:rPr>
        <w:lastRenderedPageBreak/>
        <w:t xml:space="preserve">particulares sancionados de la plataforma digital nacional y estatal, </w:t>
      </w:r>
      <w:r>
        <w:rPr>
          <w:rFonts w:ascii="Palatino Linotype" w:eastAsia="Palatino Linotype" w:hAnsi="Palatino Linotype" w:cs="Palatino Linotype"/>
          <w:b/>
          <w:i/>
          <w:sz w:val="22"/>
          <w:szCs w:val="22"/>
          <w:u w:val="single"/>
        </w:rPr>
        <w:t>con el fin de verificar si existen inhabilitaciones de dichas personas</w:t>
      </w:r>
      <w:r>
        <w:rPr>
          <w:rFonts w:ascii="Palatino Linotype" w:eastAsia="Palatino Linotype" w:hAnsi="Palatino Linotype" w:cs="Palatino Linotype"/>
          <w:i/>
          <w:sz w:val="22"/>
          <w:szCs w:val="22"/>
        </w:rPr>
        <w:t>, de no existir se expedirá la constancia correspondiente.” (Sic)</w: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Además, que 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en su respuesta la constancia de no habilitación del Director de Desarrollo Urbano y Ecología, con la cual asumió contar con la información de dicha fracción, colmando parcialmente la solicitud de acceso a la información del particular.</w: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la constancias de no </w:t>
      </w:r>
      <w:r w:rsidR="00D04BEB">
        <w:rPr>
          <w:rFonts w:ascii="Palatino Linotype" w:eastAsia="Palatino Linotype" w:hAnsi="Palatino Linotype" w:cs="Palatino Linotype"/>
        </w:rPr>
        <w:t>in</w:t>
      </w:r>
      <w:r>
        <w:rPr>
          <w:rFonts w:ascii="Palatino Linotype" w:eastAsia="Palatino Linotype" w:hAnsi="Palatino Linotype" w:cs="Palatino Linotype"/>
        </w:rPr>
        <w:t xml:space="preserve">habilitación del Tesorero, Director de Desarrollo Económico, Director de Servicios Públicos, Titular de la Oficialía Mediadora-Conciliadora, Titular de la Oficialía Calificadora, Director de Seguridad Pública, Protección Civil, Bomberos y Movilidad, Contralor Municipal, Directora de Bienestar Social, Director de Gobierno y  Director de Desarrollo Social y en versión pública de acuerdo a lo señalado por el considerando quinto del presente fallo. </w:t>
      </w:r>
    </w:p>
    <w:p w:rsidR="00F467A3" w:rsidRDefault="00066DA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que en la constancia señalada,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dejó a la vista el RFC el cual debió haber sido protegido por esté; </w:t>
      </w:r>
      <w:r>
        <w:rPr>
          <w:rFonts w:ascii="Palatino Linotype" w:eastAsia="Palatino Linotype" w:hAnsi="Palatino Linotype" w:cs="Palatino Linotype"/>
          <w:color w:val="000000"/>
        </w:rPr>
        <w:t>razón por la cual</w:t>
      </w:r>
      <w:r>
        <w:rPr>
          <w:rFonts w:ascii="Palatino Linotype" w:eastAsia="Palatino Linotype" w:hAnsi="Palatino Linotype" w:cs="Palatino Linotype"/>
        </w:rPr>
        <w:t xml:space="preserve"> en observancia de los que señala el artículo 222, fracción III, de la Ley de la Materia, el Pleno de este Órgano Garante y de conformidad con el artículo 190 de la Ley en cita, ordena se de vista al Titular de la Contraloría Interna y Órgano de Control y Vigilancia de este Instituto a fin de que en ejercicio de sus funciones determine lo conducente.</w:t>
      </w:r>
    </w:p>
    <w:p w:rsidR="00F467A3" w:rsidRDefault="00066DA3">
      <w:pPr>
        <w:pBdr>
          <w:top w:val="nil"/>
          <w:left w:val="nil"/>
          <w:bottom w:val="nil"/>
          <w:right w:val="nil"/>
          <w:between w:val="nil"/>
        </w:pBd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cuanto a la fracción III, afín con “</w:t>
      </w:r>
      <w:r>
        <w:rPr>
          <w:rFonts w:ascii="Palatino Linotype" w:eastAsia="Palatino Linotype" w:hAnsi="Palatino Linotype" w:cs="Palatino Linotype"/>
          <w:b/>
          <w:u w:val="single"/>
        </w:rPr>
        <w:t>No haber sido condenado en proceso penal, por delito intencional que amerite pena privativa de libertad</w:t>
      </w:r>
      <w:r>
        <w:rPr>
          <w:rFonts w:ascii="Palatino Linotype" w:eastAsia="Palatino Linotype" w:hAnsi="Palatino Linotype" w:cs="Palatino Linotype"/>
        </w:rPr>
        <w:t xml:space="preserve">”, el documento que </w:t>
      </w:r>
      <w:r>
        <w:rPr>
          <w:rFonts w:ascii="Palatino Linotype" w:eastAsia="Palatino Linotype" w:hAnsi="Palatino Linotype" w:cs="Palatino Linotype"/>
        </w:rPr>
        <w:lastRenderedPageBreak/>
        <w:t>colmaría dicha circunstancia sería el Certificado de antecedentes no penales u informe de antecedentes penales, dichos documentos deben ser entregados en versión pública a considerarse que en el presente caso se tratan de medios y mando superiores del Ayuntamiento de Valle de Bravo, por lo que deberán clasificarse como confidencial en atención a los siguientes argumentos:</w:t>
      </w:r>
    </w:p>
    <w:p w:rsidR="00F467A3" w:rsidRDefault="00F467A3">
      <w:pPr>
        <w:spacing w:after="240" w:line="360" w:lineRule="auto"/>
        <w:jc w:val="both"/>
        <w:rPr>
          <w:rFonts w:ascii="Palatino Linotype" w:eastAsia="Palatino Linotype" w:hAnsi="Palatino Linotype" w:cs="Palatino Linotype"/>
        </w:rPr>
      </w:pPr>
    </w:p>
    <w:p w:rsidR="00F467A3" w:rsidRDefault="00066DA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concreto, es pertinente conocer cómo se integran los expedientes de ingreso de los servidores públicos para conocer cuáles son los documentos que los conforman, y si entre ellos el certificado de antecedentes no penales u informe de antecedentes no penales, es considerado un requisito que debe presentarse para que de este modo se encuentre bajo resguardo de una autoridad.</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el Manual de Normas y Procedimientos de Desarrollo y Administración de Personal en el Procedimiento 021 “ALTA DE SERVIDORES PÚBLICOS GENERALES Y DE CONFIANZA” establece en las normas 20301/021-01 y 20301/021-11, lo siguiente:</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“20301/021-01 Es política del Gobierno del Estado de México no hacer discriminación alguna para el ingreso de servidores públicos, por motivo de sexo, credo religioso, edad, raza o filiación política,…”</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“20301/021-11 Las coordinaciones administrativas o equivalentes, para dar de alta a un candidato en el sector central del Poder Ejecutivo del Gobierno del Estado de México, deberán solicitarle que presente el Informe de No Antecedentes Penales (Informe para solicitud como trámite laboral) emitido por la Procuraduría General de Justicia del Estado de México, por conducto del Instituto de Servicios Periciales, así como copia del comprobante en línea. El Informe de No Antecedentes Penales, no exime al candidato a ocupar algún puesto, de la obtención del Certificado de No Antecedentes Penales, el cual deberá presentar </w:t>
      </w:r>
      <w:r>
        <w:rPr>
          <w:rFonts w:ascii="Palatino Linotype" w:eastAsia="Palatino Linotype" w:hAnsi="Palatino Linotype" w:cs="Palatino Linotype"/>
          <w:i/>
          <w:sz w:val="22"/>
          <w:szCs w:val="22"/>
        </w:rPr>
        <w:lastRenderedPageBreak/>
        <w:t>ante la coordinación administrativa o equivalente una vez que lo obtenga (solicitud como certificado para desempeñar un empleo, cargo o comisión en el servicio público o para ingreso o permanencia en Instituciones de Seguridad Pública)…”</w:t>
      </w:r>
    </w:p>
    <w:p w:rsidR="00F467A3" w:rsidRDefault="00F467A3">
      <w:pPr>
        <w:ind w:left="851" w:right="851"/>
        <w:jc w:val="both"/>
        <w:rPr>
          <w:rFonts w:ascii="Palatino Linotype" w:eastAsia="Palatino Linotype" w:hAnsi="Palatino Linotype" w:cs="Palatino Linotype"/>
          <w:i/>
          <w:sz w:val="22"/>
          <w:szCs w:val="22"/>
        </w:rPr>
      </w:pP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norma en comento, se colige que para ingresar al servicio público en el Estado de México, entre otros documentos, se requiere la presentación del Certificado de No Antecedentes Penales.</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la obtención del citado documento el interesado deberá seguir el procedimiento establecido en el ACUERDO NUMERO 14/2011, DEL PROCURADOR GENERAL DE JUSTICIA DEL ESTADO DE MÉXICO, POR EL QUE SE ESTABLECEN LOS SUPUESTOS Y LINEAMIENTOS PARA LA EXPEDICIÓN DE INFORMES Y CERTIFICADOS DE NO ANTECEDENTES PENALES, publicado en la Gaceta del Gobierno del Estado de México, el día treinta de noviembre de dos mil once, que señala: </w:t>
      </w:r>
    </w:p>
    <w:p w:rsidR="00F467A3" w:rsidRDefault="00066DA3">
      <w:pPr>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Para efectos de este Acuerdo, son antecedentes penales aquellos registros de, identificación personal sobre sujetos que hubieren sido condenados por autoridad judicial competente a una pena o medida de seguridad, mediante resolución que haya causado ejecutoria, en los términos a que hace referencia el Libro Primero. Titulo Tercero del Código Penal del Estado de México</w:t>
      </w:r>
      <w:r>
        <w:rPr>
          <w:rFonts w:ascii="Palatino Linotype" w:eastAsia="Palatino Linotype" w:hAnsi="Palatino Linotype" w:cs="Palatino Linotype"/>
          <w:sz w:val="22"/>
          <w:szCs w:val="22"/>
        </w:rPr>
        <w:t>.”</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Para la expedición del Certificado de No Antecedentes Penales, el Instituto de Servicios Periciales deberá recabar constancia del pago de derechos respectivo, copia de identificación oficial, fotografías y huellas dactilares del interesado, conforme a la normatividad aplicable. Para el trámite respectivo, el interesado deberá: </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Realizar el pago de derechos por la expedición del Certificado de No Antecedentes Penales de la forma que a continuación se indica:</w:t>
      </w:r>
    </w:p>
    <w:p w:rsidR="00F467A3" w:rsidRDefault="00066DA3">
      <w:pPr>
        <w:numPr>
          <w:ilvl w:val="0"/>
          <w:numId w:val="1"/>
        </w:num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 xml:space="preserve">Ingresar a la página electrónica www.edomex.gob.mx: Hacer "click en el botón "Portal de Servicios al Contribuyente, Pagos Electrónicos"; </w:t>
      </w:r>
    </w:p>
    <w:p w:rsidR="00F467A3" w:rsidRDefault="00066DA3">
      <w:pPr>
        <w:numPr>
          <w:ilvl w:val="0"/>
          <w:numId w:val="1"/>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Hacer "click" en el botón "Derechos" y a continuación en "No Antecedentes Penales"; Llenar el "Formulario de Pago Estatal Procuraduría", e. imprimir el formulario y acudir a realizar el pago en cualquiera de las instituciones bancarias señaladas en el mismo.</w:t>
      </w:r>
    </w:p>
    <w:p w:rsidR="00F467A3" w:rsidRDefault="00066DA3">
      <w:pPr>
        <w:numPr>
          <w:ilvl w:val="0"/>
          <w:numId w:val="1"/>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Hecho el pago de derechos, ingresar a la página www.eciornex.dob.mx/pgiern y proceder como sigue: Hacer "click" en el botón "Expedición de Certificado de No Antecedentes Penales" y llenar el Formato correspondiente; dar "click" en el botón "Siguiente" y aparecerá un comprobante de registro en línea, generando una clave del trámite un número de folio, el cual deberá imprimirse., el interesado se podrá presentar en las oficinas del Instituto de Servicios Periciales de su elección, en días hábiles, en un horario de 09:00 a 18:00 horas, exhibiendo el comprobante de registro en línea. “</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El Instituto de Servicios Periciales expedirá </w:t>
      </w:r>
      <w:r>
        <w:rPr>
          <w:rFonts w:ascii="Palatino Linotype" w:eastAsia="Palatino Linotype" w:hAnsi="Palatino Linotype" w:cs="Palatino Linotype"/>
          <w:b/>
          <w:i/>
          <w:sz w:val="22"/>
          <w:szCs w:val="22"/>
        </w:rPr>
        <w:t>un Informe</w:t>
      </w:r>
      <w:r>
        <w:rPr>
          <w:rFonts w:ascii="Palatino Linotype" w:eastAsia="Palatino Linotype" w:hAnsi="Palatino Linotype" w:cs="Palatino Linotype"/>
          <w:i/>
          <w:sz w:val="22"/>
          <w:szCs w:val="22"/>
        </w:rPr>
        <w:t xml:space="preserve">, a través de medios electrónicos, cuyo trámite será gratuito. Para tal efecto, el interesado deberá ingresar a la página electrónica www.edomex.gob.mx/pcliem y realizar lo siguiente: </w:t>
      </w:r>
    </w:p>
    <w:p w:rsidR="00F467A3" w:rsidRDefault="00066DA3">
      <w:pPr>
        <w:numPr>
          <w:ilvl w:val="0"/>
          <w:numId w:val="8"/>
        </w:numPr>
        <w:ind w:left="851" w:right="851" w:hanging="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Llenar el Formato con los siguientes datos: </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Nombre; </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Apellido Paterno; </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Apellido Materno; </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Nacimiento (dd/mm/aaaa):</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Registro Federal de Contribuyentes (RFC); </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Clave Única de Registro de Población (CURP); </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Número de folio de la identificación: </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Teléfono fijo y móvil;</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Correo Electrónico, </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Domicilio, que contendrá: Calle, número exterior, número interior, Colonia, Código Postal y Municipio dentro del Estado de México. </w:t>
      </w:r>
    </w:p>
    <w:p w:rsidR="00F467A3" w:rsidRDefault="00066DA3">
      <w:pPr>
        <w:numPr>
          <w:ilvl w:val="1"/>
          <w:numId w:val="9"/>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Adjuntar archivo que contenga la imagen de alguno de los documentos de identificación solicitados por el Sistema, y que serán: Credencial de elector expedida por el Instituto Federal Electoral, Licencia de conducir, Cartilla del Servicio Militar y Pasaporte expedido por la Secretaria de Relaciones Exteriores de la Federación. </w:t>
      </w:r>
    </w:p>
    <w:p w:rsidR="00F467A3" w:rsidRDefault="00066DA3">
      <w:pPr>
        <w:numPr>
          <w:ilvl w:val="0"/>
          <w:numId w:val="8"/>
        </w:numPr>
        <w:ind w:left="851" w:right="851" w:hanging="3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Dar "click" en el rubro "enviar". El Sistema generará un folio y número de trámite, el cual podrá ser consultado en la página de Internet de la Procuraduría General de Justicia del Estado de México por el plazo de treinta días naturales, a partir de la generación de la respuesta.”</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NOVENO</w:t>
      </w:r>
      <w:r>
        <w:rPr>
          <w:rFonts w:ascii="Palatino Linotype" w:eastAsia="Palatino Linotype" w:hAnsi="Palatino Linotype" w:cs="Palatino Linotype"/>
          <w:i/>
          <w:sz w:val="22"/>
          <w:szCs w:val="22"/>
        </w:rPr>
        <w:t xml:space="preserve">. El Informe será emitido únicamente en relación con los </w:t>
      </w:r>
      <w:r>
        <w:rPr>
          <w:rFonts w:ascii="Palatino Linotype" w:eastAsia="Palatino Linotype" w:hAnsi="Palatino Linotype" w:cs="Palatino Linotype"/>
          <w:i/>
          <w:sz w:val="22"/>
          <w:szCs w:val="22"/>
          <w:u w:val="single"/>
        </w:rPr>
        <w:t>datos proporcionados por el interesado</w:t>
      </w:r>
      <w:r>
        <w:rPr>
          <w:rFonts w:ascii="Palatino Linotype" w:eastAsia="Palatino Linotype" w:hAnsi="Palatino Linotype" w:cs="Palatino Linotype"/>
          <w:i/>
          <w:sz w:val="22"/>
          <w:szCs w:val="22"/>
        </w:rPr>
        <w:t xml:space="preserve"> en el Formato a que se refiere la fracción I del artículo anterior, y su utilización será estricta responsabilidad del usuario. El Informe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aplicables.”(Sic)</w:t>
      </w:r>
    </w:p>
    <w:p w:rsidR="00F467A3" w:rsidRDefault="00F467A3">
      <w:pPr>
        <w:ind w:left="851" w:right="851"/>
        <w:jc w:val="both"/>
        <w:rPr>
          <w:rFonts w:ascii="Palatino Linotype" w:eastAsia="Palatino Linotype" w:hAnsi="Palatino Linotype" w:cs="Palatino Linotype"/>
          <w:i/>
          <w:sz w:val="22"/>
          <w:szCs w:val="22"/>
        </w:rPr>
      </w:pP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para expedir el certificado de antecedentes no penales o el informe respectivo, el Instituto de Servicios Periciales recabará los datos personales del interesado, de lo que resulta evidente que el certificado multirreferido contiene datos que resultan de carácter confidencial, como lo es la fecha de Nacimiento, Registro Federal de Contribuyentes (RFC), Clave Única de Registro de Población (CURP), Número de folio de la identificación, Teléfono fijo y móvil, Correo Electrónico, Domicilio, que contendrá: Calle, número exterior, número interior, Colonia, Código Postal y Municipio dentro del Estado de México,  Credencial de elector expedida por el Instituto Federal Electoral, Licencia de conducir, Cartilla del Servicio Militar o Pasaporte.</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se puede argumentar que, si bien el certificado de antecedentes no penales es un documento público al ser emitido por un servidor público dotado de atribuciones para tal efecto, no se debe perder de vista que de conformidad con lo establecido en la obra propuesta por el Doctor José Ramón Cossío Díaz, Ministro de la Suprema Corte de Justicia de la Nación, intitulada “La Transparencia y el Acceso a la Información en los Expedientes Judiciales”, cuyo principal objetivo consiste en </w:t>
      </w:r>
      <w:r>
        <w:rPr>
          <w:rFonts w:ascii="Palatino Linotype" w:eastAsia="Palatino Linotype" w:hAnsi="Palatino Linotype" w:cs="Palatino Linotype"/>
        </w:rPr>
        <w:lastRenderedPageBreak/>
        <w:t xml:space="preserve">unificar y complementar los criterios emitidos por el Alto Tribunal y el entonces Instituto Federal de Acceso a la Información y Protección de Datos, organismo autónomo, en materia de transparencia, bajo la incertidumbre para proporcionar la información contenida en los expedientes judiciales ante la solicitud de los particulares, es decir, es una herramienta práctica que coadyuva en la tarea de atender el ejercicio de los derechos de acceso a la información y protección de datos, en la referida obra concretamente en el tema identificado con el numeral 138, “Constancia de antecedentes penales”, página 107, la cual establece que: </w:t>
      </w:r>
    </w:p>
    <w:p w:rsidR="00F467A3" w:rsidRDefault="00066DA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constancia de antecedentes penales es el documento expedido por la autoridad competente para acreditar la existencia o inexistencia de delitos cometidos por los individuos y la condena correspondiente</w:t>
      </w:r>
      <w:r>
        <w:rPr>
          <w:rFonts w:ascii="Palatino Linotype" w:eastAsia="Palatino Linotype" w:hAnsi="Palatino Linotype" w:cs="Palatino Linotype"/>
          <w:i/>
          <w:sz w:val="22"/>
          <w:szCs w:val="22"/>
        </w:rPr>
        <w:t xml:space="preserve">, en su caso. </w:t>
      </w:r>
      <w:r>
        <w:rPr>
          <w:rFonts w:ascii="Palatino Linotype" w:eastAsia="Palatino Linotype" w:hAnsi="Palatino Linotype" w:cs="Palatino Linotype"/>
          <w:b/>
          <w:i/>
          <w:sz w:val="22"/>
          <w:szCs w:val="22"/>
        </w:rPr>
        <w:t>La certificación corresponde a la policía y tiene importancia para determinar la reincidencia</w:t>
      </w:r>
      <w:r>
        <w:rPr>
          <w:rFonts w:ascii="Palatino Linotype" w:eastAsia="Palatino Linotype" w:hAnsi="Palatino Linotype" w:cs="Palatino Linotype"/>
          <w:i/>
          <w:sz w:val="22"/>
          <w:szCs w:val="22"/>
        </w:rPr>
        <w:t xml:space="preserve"> (artículo 20 del Código Penal Federal), la habitualidad (artículo 21 del Código Penal Federal) </w:t>
      </w:r>
      <w:r>
        <w:rPr>
          <w:rFonts w:ascii="Palatino Linotype" w:eastAsia="Palatino Linotype" w:hAnsi="Palatino Linotype" w:cs="Palatino Linotype"/>
          <w:b/>
          <w:i/>
          <w:sz w:val="22"/>
          <w:szCs w:val="22"/>
        </w:rPr>
        <w:t>y la posibilidad de caución</w:t>
      </w:r>
      <w:r>
        <w:rPr>
          <w:rFonts w:ascii="Palatino Linotype" w:eastAsia="Palatino Linotype" w:hAnsi="Palatino Linotype" w:cs="Palatino Linotype"/>
          <w:i/>
          <w:sz w:val="22"/>
          <w:szCs w:val="22"/>
        </w:rPr>
        <w:t xml:space="preserve"> (artículo 402 del Código Federal de Procedimientos Penales), al respecto se precisa que materia de transparencia y acceso a la información, </w:t>
      </w:r>
      <w:r>
        <w:rPr>
          <w:rFonts w:ascii="Palatino Linotype" w:eastAsia="Palatino Linotype" w:hAnsi="Palatino Linotype" w:cs="Palatino Linotype"/>
          <w:i/>
          <w:sz w:val="22"/>
          <w:szCs w:val="22"/>
          <w:u w:val="single"/>
        </w:rPr>
        <w:t>este acto jurídico contiene información confidencial pues se refiere a datos personales de particulares</w:t>
      </w:r>
      <w:r>
        <w:rPr>
          <w:rFonts w:ascii="Palatino Linotype" w:eastAsia="Palatino Linotype" w:hAnsi="Palatino Linotype" w:cs="Palatino Linotype"/>
          <w:i/>
          <w:sz w:val="22"/>
          <w:szCs w:val="22"/>
        </w:rPr>
        <w:t>.” (Sic)</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expuesto, se concluye que un Certificado de No Antecedentes Penales constituye un documento que puede ser entregado en versión pública, al contener información confidencial en términos de los artículos 143, fracción I de la Ley de Transparencia del Estado de México y Municipios y 4, fracciones VII y VIII de la Ley de Protección de Datos Personales del Estado de México.</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como se ha precisado en líneas anteriores el Certificado de no antecedentes penales es un documento que debe ser considerado como confidencial </w:t>
      </w:r>
      <w:r>
        <w:rPr>
          <w:rFonts w:ascii="Palatino Linotype" w:eastAsia="Palatino Linotype" w:hAnsi="Palatino Linotype" w:cs="Palatino Linotype"/>
        </w:rPr>
        <w:lastRenderedPageBreak/>
        <w:t>por regla general; sin embargo, cuando el interés público de conocer dicha información esté por encima del interés particular de protegerla, en dicha ponderación se deberá acreditar que el beneficio que reporta dar a conocer la información confidencial pedida o solicitada es mayor a la invasión que su divulgación genera en los derechos de las personas, considerando la legitimidad del derecho adoptado como preferente que sea el adecuado para el logro de un fin constitucionalmente válido o apto para conseguir el fin pretendido (idoneidad), la falta de un medio alternativo menos lesivo a la apertura de la información para satisfacer el interés público (necesidad) y el equilibrio entre perjuicio y beneficio a favor del interés público, a fin de que la decisión tomada represente un beneficio mayor al perjuicio que podría causar a la población (proporcionalidad), al tratarse de medios y mandos superiores del Ayuntamiento de Valle de Bravo.</w:t>
      </w:r>
    </w:p>
    <w:p w:rsidR="00F467A3" w:rsidRDefault="00F467A3">
      <w:pPr>
        <w:spacing w:line="360" w:lineRule="auto"/>
        <w:ind w:right="49"/>
        <w:jc w:val="both"/>
        <w:rPr>
          <w:rFonts w:ascii="Palatino Linotype" w:eastAsia="Palatino Linotype" w:hAnsi="Palatino Linotype" w:cs="Palatino Linotype"/>
        </w:rPr>
      </w:pPr>
    </w:p>
    <w:p w:rsidR="00F467A3" w:rsidRDefault="00066DA3">
      <w:pPr>
        <w:tabs>
          <w:tab w:val="left" w:pos="709"/>
        </w:tabs>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lo anterior,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emitir el acuerdo que la clasifique como confidencial, debidamente fundado y motivado en términos de lo establecido en los artículos 3, fracciones IX, XX y XXI; 49 fracción VIII; 91, 143 y 149 de la Ley de Transparencia y Acceso a la Información Pública del Estado de México y Municipios,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w:t>
      </w:r>
      <w:r>
        <w:rPr>
          <w:rFonts w:ascii="Palatino Linotype" w:eastAsia="Palatino Linotype" w:hAnsi="Palatino Linotype" w:cs="Palatino Linotype"/>
        </w:rPr>
        <w:lastRenderedPageBreak/>
        <w:t xml:space="preserve">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del Estado de México. </w: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posibilidad de otorgar satisfacción al presente requerimiento, por lo que resulta procedente ordenar la entrega del certificado de antecedentes no penales del Tesorero, Director de Desarrollo Urbano y Ecología, Director de Desarrollo Económico, Director de Servicios Públicos, Titular de la Oficialía Mediadora-Conciliadora, Titular de la Oficialía Calificadora, Director de Seguridad Pública, Protección Civil, Bomberos y Movilidad, Contralor Municipal, Directora de Bienestar Social, Director de Gobierno y  Director de Desarrollo Social y en versión pública de acuerdo a lo señalado por el considerando quinto del presente fallo. </w:t>
      </w:r>
    </w:p>
    <w:p w:rsidR="00F467A3" w:rsidRDefault="00066DA3">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Por lo que concierne a la fracción IV, tocante a </w:t>
      </w:r>
      <w:r>
        <w:rPr>
          <w:rFonts w:ascii="Palatino Linotype" w:eastAsia="Palatino Linotype" w:hAnsi="Palatino Linotype" w:cs="Palatino Linotype"/>
          <w:i/>
        </w:rPr>
        <w:t xml:space="preserve">“Contar con título profesional o acreditar experiencia mínima de un año en la materia, ante el Presidente o el Ayuntamiento, cuando sea el caso, para el desempeño de los cargos que así lo requieran”, </w:t>
      </w:r>
      <w:r>
        <w:rPr>
          <w:rFonts w:ascii="Palatino Linotype" w:eastAsia="Palatino Linotype" w:hAnsi="Palatino Linotype" w:cs="Palatino Linotype"/>
        </w:rPr>
        <w:t>el documento que acreditaría dicha información de manera enunciativa más no limitada serían los certificados, diplomas, constancias, títulos o grados académicos que amparen estudios realizados; de acuerdo a lo establecido por el artículo 171 de la Ley de Educación del Estado de México.</w:t>
      </w:r>
    </w:p>
    <w:p w:rsidR="00F467A3" w:rsidRDefault="00F467A3">
      <w:pPr>
        <w:spacing w:line="360" w:lineRule="auto"/>
        <w:ind w:right="51"/>
        <w:jc w:val="both"/>
        <w:rPr>
          <w:rFonts w:ascii="Palatino Linotype" w:eastAsia="Palatino Linotype" w:hAnsi="Palatino Linotype" w:cs="Palatino Linotype"/>
        </w:rPr>
      </w:pPr>
    </w:p>
    <w:p w:rsidR="00F467A3" w:rsidRDefault="00066DA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También, no pasa desapercibido que un documento que puede contener la experiencia de toda la carrera profesional de quien va ocupar cargo público, pudiera ser el Curriculum Vitae, 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F467A3" w:rsidRDefault="00F467A3">
      <w:pPr>
        <w:spacing w:line="360" w:lineRule="auto"/>
        <w:ind w:right="49"/>
        <w:jc w:val="both"/>
      </w:pPr>
    </w:p>
    <w:p w:rsidR="00F467A3" w:rsidRDefault="00066DA3">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debe apuntarse que esta información constituye una obligación de transparencia, pues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F467A3" w:rsidRDefault="00066DA3">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objeto;”(Sic)</w:t>
      </w:r>
    </w:p>
    <w:p w:rsidR="00F467A3" w:rsidRDefault="00F467A3">
      <w:pPr>
        <w:ind w:left="567" w:right="902"/>
        <w:jc w:val="both"/>
        <w:rPr>
          <w:rFonts w:ascii="Palatino Linotype" w:eastAsia="Palatino Linotype" w:hAnsi="Palatino Linotype" w:cs="Palatino Linotype"/>
          <w:i/>
          <w:color w:val="000000"/>
          <w:sz w:val="22"/>
          <w:szCs w:val="22"/>
        </w:rPr>
      </w:pPr>
    </w:p>
    <w:p w:rsidR="00F467A3" w:rsidRDefault="00066DA3">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F467A3" w:rsidRDefault="00066DA3">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rsidR="00F467A3" w:rsidRDefault="00066DA3">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rsidR="00F467A3" w:rsidRDefault="00066DA3">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rsidR="00F467A3" w:rsidRDefault="00066DA3">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Aplica a: todos los sujetos obligados</w:t>
      </w:r>
      <w:r>
        <w:rPr>
          <w:rFonts w:ascii="Palatino Linotype" w:eastAsia="Palatino Linotype" w:hAnsi="Palatino Linotype" w:cs="Palatino Linotype"/>
          <w:i/>
          <w:color w:val="000000"/>
          <w:sz w:val="22"/>
          <w:szCs w:val="22"/>
        </w:rPr>
        <w:t>”(Sic)</w:t>
      </w:r>
    </w:p>
    <w:p w:rsidR="00F467A3" w:rsidRDefault="00F467A3">
      <w:pPr>
        <w:ind w:left="567" w:right="902"/>
        <w:jc w:val="both"/>
        <w:rPr>
          <w:rFonts w:ascii="Palatino Linotype" w:eastAsia="Palatino Linotype" w:hAnsi="Palatino Linotype" w:cs="Palatino Linotype"/>
          <w:i/>
          <w:color w:val="000000"/>
          <w:sz w:val="22"/>
          <w:szCs w:val="22"/>
        </w:rPr>
      </w:pPr>
    </w:p>
    <w:p w:rsidR="00F467A3" w:rsidRDefault="00066DA3">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extent cx="5662521" cy="6065743"/>
            <wp:effectExtent l="0" t="0" r="0" b="0"/>
            <wp:docPr id="1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5662521" cy="6065743"/>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8480" behindDoc="0" locked="0" layoutInCell="1" hidden="0" allowOverlap="1">
                <wp:simplePos x="0" y="0"/>
                <wp:positionH relativeFrom="column">
                  <wp:posOffset>165100</wp:posOffset>
                </wp:positionH>
                <wp:positionV relativeFrom="paragraph">
                  <wp:posOffset>1473200</wp:posOffset>
                </wp:positionV>
                <wp:extent cx="5238750" cy="1743446"/>
                <wp:effectExtent l="0" t="0" r="0" b="0"/>
                <wp:wrapNone/>
                <wp:docPr id="103" name="Rectángulo 103"/>
                <wp:cNvGraphicFramePr/>
                <a:graphic xmlns:a="http://schemas.openxmlformats.org/drawingml/2006/main">
                  <a:graphicData uri="http://schemas.microsoft.com/office/word/2010/wordprocessingShape">
                    <wps:wsp>
                      <wps:cNvSpPr/>
                      <wps:spPr>
                        <a:xfrm>
                          <a:off x="2755200" y="2936852"/>
                          <a:ext cx="5181600" cy="1686296"/>
                        </a:xfrm>
                        <a:prstGeom prst="rect">
                          <a:avLst/>
                        </a:prstGeom>
                        <a:noFill/>
                        <a:ln w="28575" cap="flat" cmpd="sng">
                          <a:solidFill>
                            <a:srgbClr val="002060"/>
                          </a:solidFill>
                          <a:prstDash val="solid"/>
                          <a:miter lim="800000"/>
                          <a:headEnd type="none" w="sm" len="sm"/>
                          <a:tailEnd type="none" w="sm" len="sm"/>
                        </a:ln>
                      </wps:spPr>
                      <wps:txbx>
                        <w:txbxContent>
                          <w:p w:rsidR="00F467A3" w:rsidRDefault="00F467A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165100</wp:posOffset>
                </wp:positionH>
                <wp:positionV relativeFrom="paragraph">
                  <wp:posOffset>1473200</wp:posOffset>
                </wp:positionV>
                <wp:extent cx="5238750" cy="1743446"/>
                <wp:effectExtent b="0" l="0" r="0" t="0"/>
                <wp:wrapNone/>
                <wp:docPr id="103" name="image24.png"/>
                <a:graphic>
                  <a:graphicData uri="http://schemas.openxmlformats.org/drawingml/2006/picture">
                    <pic:pic>
                      <pic:nvPicPr>
                        <pic:cNvPr id="0" name="image24.png"/>
                        <pic:cNvPicPr preferRelativeResize="0"/>
                      </pic:nvPicPr>
                      <pic:blipFill>
                        <a:blip r:embed="rId53"/>
                        <a:srcRect/>
                        <a:stretch>
                          <a:fillRect/>
                        </a:stretch>
                      </pic:blipFill>
                      <pic:spPr>
                        <a:xfrm>
                          <a:off x="0" y="0"/>
                          <a:ext cx="5238750" cy="1743446"/>
                        </a:xfrm>
                        <a:prstGeom prst="rect"/>
                        <a:ln/>
                      </pic:spPr>
                    </pic:pic>
                  </a:graphicData>
                </a:graphic>
              </wp:anchor>
            </w:drawing>
          </mc:Fallback>
        </mc:AlternateContent>
      </w:r>
    </w:p>
    <w:p w:rsidR="00F467A3" w:rsidRDefault="00066DA3">
      <w:pPr>
        <w:spacing w:before="240" w:after="240" w:line="360" w:lineRule="auto"/>
        <w:ind w:right="51"/>
        <w:jc w:val="both"/>
        <w:rPr>
          <w:rFonts w:ascii="Palatino Linotype" w:eastAsia="Palatino Linotype" w:hAnsi="Palatino Linotype" w:cs="Palatino Linotype"/>
          <w:color w:val="FF0000"/>
          <w:highlight w:val="green"/>
        </w:rPr>
      </w:pPr>
      <w:r>
        <w:rPr>
          <w:rFonts w:ascii="Palatino Linotype" w:eastAsia="Palatino Linotype" w:hAnsi="Palatino Linotype" w:cs="Palatino Linotype"/>
          <w:noProof/>
          <w:color w:val="FF0000"/>
          <w:highlight w:val="green"/>
          <w:lang w:val="es-MX" w:eastAsia="es-MX"/>
        </w:rPr>
        <w:lastRenderedPageBreak/>
        <w:drawing>
          <wp:inline distT="0" distB="0" distL="0" distR="0">
            <wp:extent cx="5610225" cy="4105275"/>
            <wp:effectExtent l="0" t="0" r="0" b="0"/>
            <wp:docPr id="1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4"/>
                    <a:srcRect/>
                    <a:stretch>
                      <a:fillRect/>
                    </a:stretch>
                  </pic:blipFill>
                  <pic:spPr>
                    <a:xfrm>
                      <a:off x="0" y="0"/>
                      <a:ext cx="5610225" cy="4105275"/>
                    </a:xfrm>
                    <a:prstGeom prst="rect">
                      <a:avLst/>
                    </a:prstGeom>
                    <a:ln/>
                  </pic:spPr>
                </pic:pic>
              </a:graphicData>
            </a:graphic>
          </wp:inline>
        </w:drawing>
      </w:r>
    </w:p>
    <w:p w:rsidR="00F467A3" w:rsidRDefault="00066DA3">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aprecia en el dispositivo legal citado, lo sujetos obligados deben publicar la información curricular desde el nivel del jefe de departamento o equivalente, hasta el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debe precisarse que dicha circunstancia no 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lastRenderedPageBreak/>
        <w:t>óbice para que se encuentre impedido a contar con dicha información respecto de todos los servidores públicos con los que tenga una relación laboral.</w:t>
      </w:r>
    </w:p>
    <w:p w:rsidR="00F467A3" w:rsidRDefault="00066DA3">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al curriculum vitae, debe precisarse en primer lugar, que el concepto “curriculum” corresponde a una locución latina cuyo significado es “carrera de vida”, por su lado, la Real Academia Española, lo define como a continuación se cita: </w:t>
      </w:r>
    </w:p>
    <w:p w:rsidR="00F467A3" w:rsidRDefault="00066DA3">
      <w:pPr>
        <w:spacing w:before="240" w:after="240" w:line="276" w:lineRule="auto"/>
        <w:ind w:left="567" w:right="75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Relación de los títulos, honores, cargos, trabajos realizados, datos biográficos, etc, que califican a una persona</w:t>
      </w:r>
      <w:r>
        <w:rPr>
          <w:rFonts w:ascii="Palatino Linotype" w:eastAsia="Palatino Linotype" w:hAnsi="Palatino Linotype" w:cs="Palatino Linotype"/>
          <w:color w:val="000000"/>
        </w:rPr>
        <w:t>” (Sic)</w:t>
      </w:r>
    </w:p>
    <w:p w:rsidR="00F467A3" w:rsidRDefault="00066DA3">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Desde esta perspectiva, a través del currículum vite el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F467A3" w:rsidRDefault="00066DA3">
      <w:pP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Curriculum Vitae de servidores públicos. Es obligación de los sujetos obligados otorgar acceso a versiones públicas de los mismos ante una solicitud de acceso</w:t>
      </w:r>
      <w:r>
        <w:rPr>
          <w:rFonts w:ascii="Palatino Linotype" w:eastAsia="Palatino Linotype" w:hAnsi="Palatino Linotype" w:cs="Palatino Linotype"/>
          <w:i/>
          <w:color w:val="000000"/>
          <w:sz w:val="22"/>
          <w:szCs w:val="22"/>
        </w:rPr>
        <w:t xml:space="preserve">. Uno de los objetivos de la Ley Federal de Transparencia y Acceso a la Información Pública Gubernamental, de acuerdo con su artículo 4, </w:t>
      </w:r>
      <w:r>
        <w:rPr>
          <w:rFonts w:ascii="Palatino Linotype" w:eastAsia="Palatino Linotype" w:hAnsi="Palatino Linotype" w:cs="Palatino Linotype"/>
          <w:i/>
          <w:color w:val="000000"/>
          <w:sz w:val="22"/>
          <w:szCs w:val="22"/>
        </w:rPr>
        <w:lastRenderedPageBreak/>
        <w:t>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Pr>
          <w:rFonts w:ascii="Palatino Linotype" w:eastAsia="Palatino Linotype" w:hAnsi="Palatino Linotype" w:cs="Palatino Linotype"/>
          <w:color w:val="000000"/>
          <w:sz w:val="22"/>
          <w:szCs w:val="22"/>
        </w:rPr>
        <w:t xml:space="preserve"> (Sic)</w:t>
      </w:r>
    </w:p>
    <w:p w:rsidR="00F467A3" w:rsidRDefault="00066DA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servició público sí es requisito, entre otros, presentar una solicitud </w:t>
      </w:r>
      <w:r>
        <w:rPr>
          <w:rFonts w:ascii="Palatino Linotype" w:eastAsia="Palatino Linotype" w:hAnsi="Palatino Linotype" w:cs="Palatino Linotype"/>
          <w:color w:val="000000"/>
        </w:rPr>
        <w:lastRenderedPageBreak/>
        <w:t>del empleo, como se desprende del artículo 47 fracción I de la Ley del Trabajo para los Servidores Públicos del Estado y Municipios.</w:t>
      </w:r>
    </w:p>
    <w:p w:rsidR="00F467A3" w:rsidRDefault="00066DA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 solicitud de empleo es el documento en el que se localiza información relativa a los datos personales, formación académica, formación extra académica, experiencia profesional, y hábitos personales; información que resulta coincidente con la que es asentada en un currículum vitae. De manera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podría atender el requerimiento a través de la entrega del currículum vitae de los servidores que refiere el recurrente, o en su defecto a través de la solicitud de empleo, en razón de que se trata de documentos que se encuentran en su posesión derivado de su facultad para establecer relaciones de trabajo, y que resulta ser el documento idóneo para satisfacer la solicitud planteada, d</w:t>
      </w:r>
      <w:r w:rsidR="0056316C">
        <w:rPr>
          <w:rFonts w:ascii="Palatino Linotype" w:eastAsia="Palatino Linotype" w:hAnsi="Palatino Linotype" w:cs="Palatino Linotype"/>
          <w:color w:val="000000"/>
        </w:rPr>
        <w:t xml:space="preserve">e acuerdo a sus características y </w:t>
      </w:r>
      <w:r w:rsidR="0056316C" w:rsidRPr="0056316C">
        <w:rPr>
          <w:rFonts w:ascii="Palatino Linotype" w:eastAsia="Palatino Linotype" w:hAnsi="Palatino Linotype" w:cs="Palatino Linotype"/>
          <w:color w:val="000000"/>
        </w:rPr>
        <w:t>así como los documentos que sustenten la experiencia laboral.</w:t>
      </w:r>
    </w:p>
    <w:p w:rsidR="00F467A3" w:rsidRDefault="00066DA3">
      <w:pP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Precisado lo anterior, si bien es cierto, que de la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asumió contar con currículos vitaes, al remitir el curriculum vitae del Director de Desarrollo Urbano y Ecología, colmando con ello dicho requerimiento; no obstante, a través del su informe justificado remitió el curriculum vitae de la Contralora Municipal y Tesorero Municipal; sin embargo, no se pusieron a la vista por contener datos personales como el nombre de una empresa particular, dirección, teléfono y correo electrónico particulares, los cuales son considerados datos personales y que debieron ser clasificados como confidenciales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términos de lo señalado por el considerando quinto de la presente resolución, por lo que se estima que en el presente asunto es procedente la entrega del curriculum </w:t>
      </w:r>
      <w:r>
        <w:rPr>
          <w:rFonts w:ascii="Palatino Linotype" w:eastAsia="Palatino Linotype" w:hAnsi="Palatino Linotype" w:cs="Palatino Linotype"/>
          <w:color w:val="000000"/>
        </w:rPr>
        <w:lastRenderedPageBreak/>
        <w:t xml:space="preserve">vitae o documento análogo que dé cuenta de la experiencia mínima que requieren los servidores públicos, así como el documento donde conste su grado de estudios. </w:t>
      </w:r>
    </w:p>
    <w:p w:rsidR="00F467A3" w:rsidRDefault="00066DA3">
      <w:pPr>
        <w:spacing w:before="240" w:after="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En cuanto a la fracción V, conexa a “</w:t>
      </w:r>
      <w:r>
        <w:rPr>
          <w:rFonts w:ascii="Palatino Linotype" w:eastAsia="Palatino Linotype" w:hAnsi="Palatino Linotype" w:cs="Palatino Linotype"/>
          <w:i/>
          <w:color w:val="000000"/>
        </w:rPr>
        <w:t xml:space="preserve">En su caso, contar con certificación de competencia laboral en la materia del cargo que se desempeñará, expedida por institución con reconocimiento de validez oficial. Este requisito podrá acreditarse dentro de los seis meses siguientes a la fecha en que inicien sus funciones. </w:t>
      </w:r>
    </w:p>
    <w:p w:rsidR="00F467A3" w:rsidRDefault="00066DA3">
      <w:pPr>
        <w:spacing w:before="240" w:after="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 (Sic)</w: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color w:val="000000"/>
        </w:rPr>
        <w:t>De lo anterior se advierte que en su caso, contar con certificación de competencia laboral en la materia para ocupar los cargos de Secretario,</w:t>
      </w:r>
      <w:r>
        <w:rPr>
          <w:rFonts w:ascii="Palatino Linotype" w:eastAsia="Palatino Linotype" w:hAnsi="Palatino Linotype" w:cs="Palatino Linotype"/>
        </w:rPr>
        <w:t xml:space="preserve"> </w:t>
      </w:r>
      <w:r>
        <w:rPr>
          <w:rFonts w:ascii="Palatino Linotype" w:eastAsia="Palatino Linotype" w:hAnsi="Palatino Linotype" w:cs="Palatino Linotype"/>
          <w:b/>
        </w:rPr>
        <w:t>Tesorero</w:t>
      </w:r>
      <w:r>
        <w:rPr>
          <w:rFonts w:ascii="Palatino Linotype" w:eastAsia="Palatino Linotype" w:hAnsi="Palatino Linotype" w:cs="Palatino Linotype"/>
        </w:rPr>
        <w:t xml:space="preserve">, Director de Obras Públicas, </w:t>
      </w:r>
      <w:r>
        <w:rPr>
          <w:rFonts w:ascii="Palatino Linotype" w:eastAsia="Palatino Linotype" w:hAnsi="Palatino Linotype" w:cs="Palatino Linotype"/>
          <w:b/>
        </w:rPr>
        <w:t>Director de Desarrollo Económico</w:t>
      </w:r>
      <w:r>
        <w:rPr>
          <w:rFonts w:ascii="Palatino Linotype" w:eastAsia="Palatino Linotype" w:hAnsi="Palatino Linotype" w:cs="Palatino Linotype"/>
        </w:rPr>
        <w:t xml:space="preserve">, Director de Turismo, Coordinador General Municipal de Mejora Regulatoria, </w:t>
      </w:r>
      <w:r>
        <w:rPr>
          <w:rFonts w:ascii="Palatino Linotype" w:eastAsia="Palatino Linotype" w:hAnsi="Palatino Linotype" w:cs="Palatino Linotype"/>
          <w:b/>
        </w:rPr>
        <w:t>Ecología, Desarrollo Urbano</w:t>
      </w:r>
      <w:r>
        <w:rPr>
          <w:rFonts w:ascii="Palatino Linotype" w:eastAsia="Palatino Linotype" w:hAnsi="Palatino Linotype" w:cs="Palatino Linotype"/>
        </w:rPr>
        <w:t xml:space="preserve"> y de Desarrollo Social, y titulares de unidades administrativas entre ellos en el caso que nos ocupa Director de Servicios Públicos, Titular de la Oficialía Mediadora-Conciliadora, Titular de la Oficialía Calificadora, Director de Seguridad Pública, Protección Civil, Bomberos y Movilidad, Contralor Municipal, Directora de Bienestar Social, Director de Gobierno y  Director de Desarrollo Social, dichas certificaciones también se establecen en los artículos 81 Bis, 85 Sexies, 92, 96, 96 Ter, Quintus, Septies, Nonies y Undecies de la Ley Orgánica Municipal, mismos que a manera de resumen establecen lo siguiente: </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F467A3">
        <w:tc>
          <w:tcPr>
            <w:tcW w:w="4414" w:type="dxa"/>
            <w:shd w:val="clear" w:color="auto" w:fill="538135"/>
          </w:tcPr>
          <w:p w:rsidR="00F467A3" w:rsidRDefault="00066DA3">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lastRenderedPageBreak/>
              <w:t>Denominación del cargo conforme a la Ley Orgánica Municipal</w:t>
            </w:r>
          </w:p>
        </w:tc>
        <w:tc>
          <w:tcPr>
            <w:tcW w:w="4414" w:type="dxa"/>
            <w:shd w:val="clear" w:color="auto" w:fill="538135"/>
          </w:tcPr>
          <w:p w:rsidR="00F467A3" w:rsidRDefault="00066DA3">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Requisito conforme a la Ley Orgánica Municipal</w:t>
            </w:r>
          </w:p>
        </w:tc>
      </w:tr>
      <w:tr w:rsidR="00F467A3">
        <w:tc>
          <w:tcPr>
            <w:tcW w:w="4414" w:type="dxa"/>
          </w:tcPr>
          <w:p w:rsidR="00F467A3" w:rsidRDefault="00066DA3">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Secretario</w:t>
            </w:r>
          </w:p>
        </w:tc>
        <w:tc>
          <w:tcPr>
            <w:tcW w:w="4414" w:type="dxa"/>
          </w:tcPr>
          <w:p w:rsidR="00F467A3" w:rsidRDefault="00066DA3">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sz w:val="20"/>
                <w:szCs w:val="20"/>
              </w:rPr>
              <w:t xml:space="preserve">Contar con la certificación de competencia laboral </w:t>
            </w:r>
            <w:r>
              <w:rPr>
                <w:rFonts w:ascii="Palatino Linotype" w:eastAsia="Palatino Linotype" w:hAnsi="Palatino Linotype" w:cs="Palatino Linotype"/>
                <w:i/>
                <w:color w:val="000000"/>
                <w:sz w:val="20"/>
                <w:szCs w:val="20"/>
              </w:rPr>
              <w:t xml:space="preserve">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0"/>
                <w:szCs w:val="20"/>
              </w:rPr>
              <w:t>dentro de los seis meses siguientes a la fecha en que inicie funciones</w:t>
            </w:r>
            <w:r>
              <w:rPr>
                <w:rFonts w:ascii="Palatino Linotype" w:eastAsia="Palatino Linotype" w:hAnsi="Palatino Linotype" w:cs="Palatino Linotype"/>
                <w:i/>
                <w:color w:val="000000"/>
                <w:sz w:val="20"/>
                <w:szCs w:val="20"/>
              </w:rPr>
              <w:t>.</w:t>
            </w:r>
          </w:p>
        </w:tc>
      </w:tr>
      <w:tr w:rsidR="00F467A3">
        <w:tc>
          <w:tcPr>
            <w:tcW w:w="4414" w:type="dxa"/>
          </w:tcPr>
          <w:p w:rsidR="00F467A3" w:rsidRDefault="00066DA3">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Tesorero</w:t>
            </w:r>
          </w:p>
        </w:tc>
        <w:tc>
          <w:tcPr>
            <w:tcW w:w="4414" w:type="dxa"/>
          </w:tcPr>
          <w:p w:rsidR="00F467A3" w:rsidRDefault="00066DA3">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0"/>
                <w:szCs w:val="20"/>
              </w:rPr>
              <w:t xml:space="preserve">Tener los conocimientos suficientes para poder desempeñar el cargo, a juicio del Ayuntamiento; </w:t>
            </w:r>
            <w:r>
              <w:rPr>
                <w:rFonts w:ascii="Palatino Linotype" w:eastAsia="Palatino Linotype" w:hAnsi="Palatino Linotype" w:cs="Palatino Linotype"/>
                <w:b/>
                <w:i/>
                <w:color w:val="000000"/>
                <w:sz w:val="20"/>
                <w:szCs w:val="20"/>
              </w:rPr>
              <w:t>contar con título profesional en las áreas jurídicas, económicas o contables</w:t>
            </w:r>
            <w:r>
              <w:rPr>
                <w:rFonts w:ascii="Palatino Linotype" w:eastAsia="Palatino Linotype" w:hAnsi="Palatino Linotype" w:cs="Palatino Linotype"/>
                <w:i/>
                <w:color w:val="000000"/>
                <w:sz w:val="20"/>
                <w:szCs w:val="20"/>
              </w:rPr>
              <w:t xml:space="preserve"> administrativas, </w:t>
            </w:r>
            <w:r>
              <w:rPr>
                <w:rFonts w:ascii="Palatino Linotype" w:eastAsia="Palatino Linotype" w:hAnsi="Palatino Linotype" w:cs="Palatino Linotype"/>
                <w:b/>
                <w:i/>
                <w:color w:val="000000"/>
                <w:sz w:val="20"/>
                <w:szCs w:val="20"/>
              </w:rPr>
              <w:t>con experiencia mínima de un año</w:t>
            </w:r>
            <w:r>
              <w:rPr>
                <w:rFonts w:ascii="Palatino Linotype" w:eastAsia="Palatino Linotype" w:hAnsi="Palatino Linotype" w:cs="Palatino Linotype"/>
                <w:i/>
                <w:color w:val="000000"/>
                <w:sz w:val="20"/>
                <w:szCs w:val="20"/>
              </w:rPr>
              <w:t xml:space="preserve">, con anterioridad a la fecha de su designación, </w:t>
            </w:r>
            <w:r>
              <w:rPr>
                <w:rFonts w:ascii="Palatino Linotype" w:eastAsia="Palatino Linotype" w:hAnsi="Palatino Linotype" w:cs="Palatino Linotype"/>
                <w:b/>
                <w:i/>
                <w:color w:val="000000"/>
                <w:sz w:val="20"/>
                <w:szCs w:val="20"/>
              </w:rPr>
              <w:t xml:space="preserve">y con certificación de competencia laboral </w:t>
            </w:r>
            <w:r>
              <w:rPr>
                <w:rFonts w:ascii="Palatino Linotype" w:eastAsia="Palatino Linotype" w:hAnsi="Palatino Linotype" w:cs="Palatino Linotype"/>
                <w:i/>
                <w:color w:val="000000"/>
                <w:sz w:val="20"/>
                <w:szCs w:val="20"/>
              </w:rPr>
              <w:t xml:space="preserve">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0"/>
                <w:szCs w:val="20"/>
              </w:rPr>
              <w:t>El requisito de la certificación de competencia laboral, deberá acreditarse dentro de los seis meses siguientes a la fecha en que inicie funciones.</w:t>
            </w:r>
          </w:p>
        </w:tc>
      </w:tr>
      <w:tr w:rsidR="00F467A3">
        <w:tc>
          <w:tcPr>
            <w:tcW w:w="4414" w:type="dxa"/>
          </w:tcPr>
          <w:p w:rsidR="00F467A3" w:rsidRDefault="00066DA3">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Director de Obras Públicas</w:t>
            </w:r>
          </w:p>
        </w:tc>
        <w:tc>
          <w:tcPr>
            <w:tcW w:w="4414" w:type="dxa"/>
          </w:tcPr>
          <w:p w:rsidR="00F467A3" w:rsidRDefault="00066DA3">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Obras Públicas o Titular de la Unidad Administrativa equivalente, además de los requisitos del artículo 32 de esta Ley, </w:t>
            </w:r>
            <w:r>
              <w:rPr>
                <w:rFonts w:ascii="Palatino Linotype" w:eastAsia="Palatino Linotype" w:hAnsi="Palatino Linotype" w:cs="Palatino Linotype"/>
                <w:b/>
                <w:i/>
                <w:color w:val="000000"/>
                <w:sz w:val="20"/>
                <w:szCs w:val="20"/>
              </w:rPr>
              <w:t xml:space="preserve">requiere contar con título profesional en ingeniería, arquitectura o alguna área afín, o contar con una experiencia </w:t>
            </w:r>
            <w:r>
              <w:rPr>
                <w:rFonts w:ascii="Palatino Linotype" w:eastAsia="Palatino Linotype" w:hAnsi="Palatino Linotype" w:cs="Palatino Linotype"/>
                <w:b/>
                <w:i/>
                <w:color w:val="000000"/>
                <w:sz w:val="20"/>
                <w:szCs w:val="20"/>
              </w:rPr>
              <w:lastRenderedPageBreak/>
              <w:t>mínima de un año, con anterioridad a la fecha de su designación.</w:t>
            </w:r>
          </w:p>
          <w:p w:rsidR="00F467A3" w:rsidRDefault="00066DA3">
            <w:pPr>
              <w:spacing w:before="240" w:after="24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0"/>
                <w:szCs w:val="20"/>
              </w:rPr>
              <w:t xml:space="preserve">Además, deberá acreditar, dentro de los seis meses siguientes a la fecha en que inicie funciones, la certificación de competencia laboral </w:t>
            </w:r>
            <w:r>
              <w:rPr>
                <w:rFonts w:ascii="Palatino Linotype" w:eastAsia="Palatino Linotype" w:hAnsi="Palatino Linotype" w:cs="Palatino Linotype"/>
                <w:i/>
                <w:color w:val="000000"/>
                <w:sz w:val="20"/>
                <w:szCs w:val="20"/>
              </w:rPr>
              <w:t>expedida por el Instituto Hacendario delEstado de México o por alguna otra institución con reconocimiento de validez oficial, que asegure los conocimientos y habilidades para desempeñar el cargo, de conformidad con los aspectos técnicos y operativos aplicables al Estado de México.</w:t>
            </w:r>
          </w:p>
        </w:tc>
      </w:tr>
      <w:tr w:rsidR="00F467A3">
        <w:tc>
          <w:tcPr>
            <w:tcW w:w="4414" w:type="dxa"/>
          </w:tcPr>
          <w:p w:rsidR="00F467A3" w:rsidRDefault="00066DA3">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Director de Desarrollo Económico</w:t>
            </w:r>
          </w:p>
        </w:tc>
        <w:tc>
          <w:tcPr>
            <w:tcW w:w="4414" w:type="dxa"/>
          </w:tcPr>
          <w:p w:rsidR="00F467A3" w:rsidRDefault="00066DA3">
            <w:pPr>
              <w:spacing w:before="240" w:after="240"/>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i/>
                <w:color w:val="000000"/>
                <w:sz w:val="20"/>
                <w:szCs w:val="20"/>
              </w:rPr>
              <w:t xml:space="preserve">El Director de Desarrollo Económico o Titular de la Unidad Administrativa equivalente, además de los requisitos del artículo 32 de esta Ley, </w:t>
            </w:r>
            <w:r>
              <w:rPr>
                <w:rFonts w:ascii="Palatino Linotype" w:eastAsia="Palatino Linotype" w:hAnsi="Palatino Linotype" w:cs="Palatino Linotype"/>
                <w:b/>
                <w:i/>
                <w:color w:val="000000"/>
                <w:sz w:val="20"/>
                <w:szCs w:val="20"/>
              </w:rPr>
              <w:t>requiere contar con título profesional en el área económico-administrativa o contar con experiencia mínima de un año, con anterioridad a la fecha de su designación.</w:t>
            </w:r>
          </w:p>
          <w:p w:rsidR="00F467A3" w:rsidRDefault="00066DA3">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 xml:space="preserve">Además, deberá acreditar, dentro de los seis meses siguientes a la fecha en que inicie funciones, la certificación de competencia laboral </w:t>
            </w:r>
            <w:r>
              <w:rPr>
                <w:rFonts w:ascii="Palatino Linotype" w:eastAsia="Palatino Linotype" w:hAnsi="Palatino Linotype" w:cs="Palatino Linotype"/>
                <w:i/>
                <w:color w:val="000000"/>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F467A3">
        <w:tc>
          <w:tcPr>
            <w:tcW w:w="4414" w:type="dxa"/>
          </w:tcPr>
          <w:p w:rsidR="00F467A3" w:rsidRDefault="00066DA3">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Director de Turismo</w:t>
            </w:r>
          </w:p>
        </w:tc>
        <w:tc>
          <w:tcPr>
            <w:tcW w:w="4414" w:type="dxa"/>
          </w:tcPr>
          <w:p w:rsidR="00F467A3" w:rsidRDefault="00066DA3">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Turismo,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 en el área de turismo o afín</w:t>
            </w:r>
            <w:r>
              <w:rPr>
                <w:rFonts w:ascii="Palatino Linotype" w:eastAsia="Palatino Linotype" w:hAnsi="Palatino Linotype" w:cs="Palatino Linotype"/>
                <w:i/>
                <w:color w:val="000000"/>
                <w:sz w:val="20"/>
                <w:szCs w:val="20"/>
              </w:rPr>
              <w:t>.</w:t>
            </w:r>
          </w:p>
        </w:tc>
      </w:tr>
      <w:tr w:rsidR="00F467A3">
        <w:tc>
          <w:tcPr>
            <w:tcW w:w="4414" w:type="dxa"/>
          </w:tcPr>
          <w:p w:rsidR="00F467A3" w:rsidRDefault="00066DA3">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Coordinador General Municipal de Mejora Regulatoria</w:t>
            </w:r>
          </w:p>
        </w:tc>
        <w:tc>
          <w:tcPr>
            <w:tcW w:w="4414" w:type="dxa"/>
          </w:tcPr>
          <w:p w:rsidR="00F467A3" w:rsidRDefault="00066DA3">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El Coordinador General Municipal de Mejora Regulatoria,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 xml:space="preserve">además deberá acreditar, dentro de los seis meses siguientes a la fecha en que inicie sus funciones, el diplomado en materia de mejora regulatoria </w:t>
            </w:r>
            <w:r>
              <w:rPr>
                <w:rFonts w:ascii="Palatino Linotype" w:eastAsia="Palatino Linotype" w:hAnsi="Palatino Linotype" w:cs="Palatino Linotype"/>
                <w:i/>
                <w:color w:val="000000"/>
                <w:sz w:val="20"/>
                <w:szCs w:val="20"/>
              </w:rPr>
              <w:t xml:space="preserve">expedido por el Instituto de Profesionalización de los Servidores Públicos del Estado de México </w:t>
            </w:r>
            <w:r>
              <w:rPr>
                <w:rFonts w:ascii="Palatino Linotype" w:eastAsia="Palatino Linotype" w:hAnsi="Palatino Linotype" w:cs="Palatino Linotype"/>
                <w:b/>
                <w:i/>
                <w:color w:val="000000"/>
                <w:sz w:val="20"/>
                <w:szCs w:val="20"/>
              </w:rPr>
              <w:t xml:space="preserve">o la certificación de competencia laboral </w:t>
            </w:r>
            <w:r>
              <w:rPr>
                <w:rFonts w:ascii="Palatino Linotype" w:eastAsia="Palatino Linotype" w:hAnsi="Palatino Linotype" w:cs="Palatino Linotype"/>
                <w:i/>
                <w:color w:val="000000"/>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F467A3">
        <w:tc>
          <w:tcPr>
            <w:tcW w:w="4414" w:type="dxa"/>
          </w:tcPr>
          <w:p w:rsidR="00F467A3" w:rsidRDefault="00066DA3">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Director de Ecología</w:t>
            </w:r>
          </w:p>
        </w:tc>
        <w:tc>
          <w:tcPr>
            <w:tcW w:w="4414" w:type="dxa"/>
          </w:tcPr>
          <w:p w:rsidR="00F467A3" w:rsidRDefault="00066DA3">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El Director de Ecología o el Titular de la Unidad Administrativa equivalente, además de los requisitos establecidos en el artículo 32 de esta Ley, </w:t>
            </w:r>
            <w:r>
              <w:rPr>
                <w:rFonts w:ascii="Palatino Linotype" w:eastAsia="Palatino Linotype" w:hAnsi="Palatino Linotype" w:cs="Palatino Linotype"/>
                <w:b/>
                <w:i/>
                <w:color w:val="000000"/>
                <w:sz w:val="20"/>
                <w:szCs w:val="20"/>
              </w:rPr>
              <w:t xml:space="preserve">requiere contar con título profesional en el área de biología-agronomía-administración pública o afín, </w:t>
            </w:r>
            <w:r>
              <w:rPr>
                <w:rFonts w:ascii="Palatino Linotype" w:eastAsia="Palatino Linotype" w:hAnsi="Palatino Linotype" w:cs="Palatino Linotype"/>
                <w:b/>
                <w:i/>
                <w:sz w:val="20"/>
                <w:szCs w:val="20"/>
              </w:rPr>
              <w:t xml:space="preserve">o contar con una experiencia mínima de un año, con anterioridad a la fecha de su designación; además deberá </w:t>
            </w:r>
            <w:r>
              <w:rPr>
                <w:rFonts w:ascii="Palatino Linotype" w:eastAsia="Palatino Linotype" w:hAnsi="Palatino Linotype" w:cs="Palatino Linotype"/>
                <w:b/>
                <w:i/>
                <w:color w:val="000000"/>
                <w:sz w:val="20"/>
                <w:szCs w:val="20"/>
              </w:rPr>
              <w:t xml:space="preserve">acreditar, dentro de los seis meses siguientes a la fecha en que inicie sus funciones, la certificación de competencia laboral </w:t>
            </w:r>
            <w:r>
              <w:rPr>
                <w:rFonts w:ascii="Palatino Linotype" w:eastAsia="Palatino Linotype" w:hAnsi="Palatino Linotype" w:cs="Palatino Linotype"/>
                <w:i/>
                <w:color w:val="000000"/>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F467A3">
        <w:tc>
          <w:tcPr>
            <w:tcW w:w="4414" w:type="dxa"/>
          </w:tcPr>
          <w:p w:rsidR="00F467A3" w:rsidRDefault="00066DA3">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Director de Desarrollo Urbano</w:t>
            </w:r>
          </w:p>
        </w:tc>
        <w:tc>
          <w:tcPr>
            <w:tcW w:w="4414" w:type="dxa"/>
          </w:tcPr>
          <w:p w:rsidR="00F467A3" w:rsidRDefault="00066DA3">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El Director de Desarrollo Urbano o el Titular de la Unidad Administrativa equivalente, además de los requisitos establecidos en el artículo 32 de esta Ley, </w:t>
            </w:r>
            <w:r>
              <w:rPr>
                <w:rFonts w:ascii="Palatino Linotype" w:eastAsia="Palatino Linotype" w:hAnsi="Palatino Linotype" w:cs="Palatino Linotype"/>
                <w:b/>
                <w:i/>
                <w:color w:val="000000"/>
                <w:sz w:val="20"/>
                <w:szCs w:val="20"/>
              </w:rPr>
              <w:t xml:space="preserve">requiere contar con título profesional en el área de ingeniería civil-arquitectura o afín, o contar con una experiencia mínima de un año, con </w:t>
            </w:r>
            <w:r>
              <w:rPr>
                <w:rFonts w:ascii="Palatino Linotype" w:eastAsia="Palatino Linotype" w:hAnsi="Palatino Linotype" w:cs="Palatino Linotype"/>
                <w:b/>
                <w:i/>
                <w:color w:val="000000"/>
                <w:sz w:val="20"/>
                <w:szCs w:val="20"/>
              </w:rPr>
              <w:lastRenderedPageBreak/>
              <w:t>anterioridad a la fecha de su designación; además deberá acreditar,</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 xml:space="preserve">dentro de los seis meses siguientes a la fecha en que inicie sus funciones, la certificación de competencia laboral </w:t>
            </w:r>
            <w:r>
              <w:rPr>
                <w:rFonts w:ascii="Palatino Linotype" w:eastAsia="Palatino Linotype" w:hAnsi="Palatino Linotype" w:cs="Palatino Linotype"/>
                <w:i/>
                <w:color w:val="000000"/>
                <w:sz w:val="20"/>
                <w:szCs w:val="20"/>
              </w:rPr>
              <w:t>expedida por el Instituto Hacendario del Estado de México</w:t>
            </w:r>
            <w:r>
              <w:rPr>
                <w:rFonts w:ascii="Palatino Linotype" w:eastAsia="Palatino Linotype" w:hAnsi="Palatino Linotype" w:cs="Palatino Linotype"/>
                <w:b/>
                <w:i/>
                <w:color w:val="000000"/>
                <w:sz w:val="20"/>
                <w:szCs w:val="20"/>
              </w:rPr>
              <w:t xml:space="preserve"> </w:t>
            </w:r>
            <w:r>
              <w:rPr>
                <w:rFonts w:ascii="Palatino Linotype" w:eastAsia="Palatino Linotype" w:hAnsi="Palatino Linotype" w:cs="Palatino Linotype"/>
                <w:i/>
                <w:color w:val="000000"/>
                <w:sz w:val="20"/>
                <w:szCs w:val="20"/>
              </w:rPr>
              <w:t>o por alguna otra institución con reconocimiento de validez oficial, que asegure los conocimientos y habilidades para desempeñar el cargo, de conformidad con los aspectos técnicos y operativos aplicables al Estado de México.</w:t>
            </w:r>
          </w:p>
        </w:tc>
      </w:tr>
      <w:tr w:rsidR="00F467A3">
        <w:tc>
          <w:tcPr>
            <w:tcW w:w="4414" w:type="dxa"/>
          </w:tcPr>
          <w:p w:rsidR="00F467A3" w:rsidRDefault="00066DA3">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Director de Desarrollo Social</w:t>
            </w:r>
          </w:p>
        </w:tc>
        <w:tc>
          <w:tcPr>
            <w:tcW w:w="4414" w:type="dxa"/>
          </w:tcPr>
          <w:p w:rsidR="00F467A3" w:rsidRDefault="00066DA3">
            <w:pPr>
              <w:spacing w:before="240" w:after="240" w:line="276"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Desarrollo Social o el Titular de la Unidad Administrativa equivalente,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 en el área de Ciencias Sociales o a fin, o contar</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con una experiencia mínima de un año en la materia, con anterioridad a la fecha de su designación.</w:t>
            </w:r>
          </w:p>
        </w:tc>
      </w:tr>
    </w:tbl>
    <w:p w:rsidR="00F467A3" w:rsidRDefault="00066DA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bien se desprende del cuadro anterior, la Ley determina los cargos que necesitan acreditar una certificación por parte del Instituto Hacendario del Estado de México (IHAEM), misma que deberá expedirse dentro del periodo de seis meses posterior al inicio de sus funciones, es decir que los nuevos servidores públicos cuentan con seis meses para certificarse. </w:t>
      </w:r>
    </w:p>
    <w:p w:rsidR="00F467A3" w:rsidRDefault="00066DA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es de recordar que a través de la Comisión Certificadora de Competencia Laboral de los Servidores Públicos del Estado de México (COCERTEM) que el IHAEM certifica a los servidores públicos mencionados con anterioridad, para ello es importante mencionar que la certificación de competencia laboral requerida es el proceso mediante el cual un organismo acreditado, reconoce que una persona ha demostrado su competencia, para desempeñar una función </w:t>
      </w:r>
      <w:r>
        <w:rPr>
          <w:rFonts w:ascii="Palatino Linotype" w:eastAsia="Palatino Linotype" w:hAnsi="Palatino Linotype" w:cs="Palatino Linotype"/>
          <w:color w:val="000000"/>
        </w:rPr>
        <w:lastRenderedPageBreak/>
        <w:t>productiva determinada, con base en la Norma Institucional de Competencia Laboral (NICL) aprobada, dicha norma describe lo que una persona es competente de saber y hacer en su función laboral</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xml:space="preserve">. </w:t>
      </w:r>
    </w:p>
    <w:p w:rsidR="00F467A3" w:rsidRDefault="00066DA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al fin, la COCERTEM desarrolla planes de evaluación con los candidatos para establecer la fecha y hora en que se llevará a cabo el proceso de evaluación, indicándole los derechos y obligaciones correspondientes; además la evaluación se 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Norma Institucional de Competencia Laboral, con la finalidad de obtener un certificado o documento emitido por la Comisión en el cual se manifiesta la competencia de una persona para desempeñar una función productiva, por cumplir los requisitos de una o algunas Normas de Competencia Laboral.</w:t>
      </w:r>
    </w:p>
    <w:p w:rsidR="00F467A3" w:rsidRDefault="00066DA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tales efectos, la COCERTEM ha desarrollado un calendario de evaluaciones aplicable para el meses de enero de dos mil veintidós, para que los nuevos servidores públicos obtengan la certificación correspondiente, por ello a manera de referencia se toma el siguiente extracto del calendario.</w:t>
      </w:r>
    </w:p>
    <w:p w:rsidR="00F467A3" w:rsidRDefault="00066DA3">
      <w:pPr>
        <w:spacing w:before="240" w:after="240" w:line="360" w:lineRule="auto"/>
        <w:jc w:val="both"/>
        <w:rPr>
          <w:rFonts w:ascii="Palatino Linotype" w:eastAsia="Palatino Linotype" w:hAnsi="Palatino Linotype" w:cs="Palatino Linotype"/>
          <w:color w:val="000000"/>
        </w:rPr>
      </w:pPr>
      <w:r>
        <w:rPr>
          <w:noProof/>
          <w:lang w:val="es-MX" w:eastAsia="es-MX"/>
        </w:rPr>
        <w:lastRenderedPageBreak/>
        <w:drawing>
          <wp:inline distT="0" distB="0" distL="0" distR="0">
            <wp:extent cx="5555330" cy="4924799"/>
            <wp:effectExtent l="0" t="0" r="0" b="0"/>
            <wp:docPr id="1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l="42220" t="6959" r="30065" b="9880"/>
                    <a:stretch>
                      <a:fillRect/>
                    </a:stretch>
                  </pic:blipFill>
                  <pic:spPr>
                    <a:xfrm>
                      <a:off x="0" y="0"/>
                      <a:ext cx="5555330" cy="4924799"/>
                    </a:xfrm>
                    <a:prstGeom prst="rect">
                      <a:avLst/>
                    </a:prstGeom>
                    <a:ln/>
                  </pic:spPr>
                </pic:pic>
              </a:graphicData>
            </a:graphic>
          </wp:inline>
        </w:drawing>
      </w:r>
    </w:p>
    <w:p w:rsidR="00F467A3" w:rsidRDefault="00066DA3">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rPr>
        <w:t xml:space="preserve">Como se puede observar de la imagen anterior, para el proceso de certificación de la COCERTEM se estableció una convocatoria para el mes de enero del año en curso, en donde se dan distintitas fechas para la certificación de los servidores públicos que vayan a desempeñarse en las funciones establecidas por la Ley Orgánica Municipal, por lo que al momento de emitir la presente resolución ya fue concluido el primer periodo y por ello solamente siguen abiertas las demás convocatorias emitidas con </w:t>
      </w:r>
      <w:r>
        <w:rPr>
          <w:rFonts w:ascii="Palatino Linotype" w:eastAsia="Palatino Linotype" w:hAnsi="Palatino Linotype" w:cs="Palatino Linotype"/>
          <w:color w:val="000000"/>
        </w:rPr>
        <w:lastRenderedPageBreak/>
        <w:t xml:space="preserve">posterioridad al mes de enero del 2022, de ahí que, los servidores públicos referidos en la solicitud, adscritos al Ayuntamiento de Valle de Bravo, aún se encuentran en tiempo de poder certificarse, toda vez que su nombramiento y toma de protesta se contabiliza desde el 1 de enero de 2022, ello encuentra sustento en el punto número 8 del acta de instalación del Ayuntamiento de Valle de Bravo 2022-2024, celebrada el primero de enero del año 2022, en donde se aprobaron los nombramientos de los titulares de las áreas de la administración pública municipal y toma de protesta de ley a cargo de la C. Presidenta Municipal, remitida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su respuesta, en donde se advierte que tomaron protesta de los siguientes titulares:</w:t>
      </w:r>
    </w:p>
    <w:p w:rsidR="00F467A3" w:rsidRDefault="00066DA3">
      <w:pPr>
        <w:spacing w:before="240" w:line="360" w:lineRule="auto"/>
        <w:jc w:val="both"/>
        <w:rPr>
          <w:rFonts w:ascii="Palatino Linotype" w:eastAsia="Palatino Linotype" w:hAnsi="Palatino Linotype" w:cs="Palatino Linotype"/>
        </w:rPr>
      </w:pPr>
      <w:r>
        <w:rPr>
          <w:noProof/>
          <w:lang w:val="es-MX" w:eastAsia="es-MX"/>
        </w:rPr>
        <w:drawing>
          <wp:inline distT="0" distB="0" distL="0" distR="0">
            <wp:extent cx="5394636" cy="2604150"/>
            <wp:effectExtent l="0" t="0" r="0" b="0"/>
            <wp:docPr id="1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41059" t="15800" r="25930" b="17198"/>
                    <a:stretch>
                      <a:fillRect/>
                    </a:stretch>
                  </pic:blipFill>
                  <pic:spPr>
                    <a:xfrm>
                      <a:off x="0" y="0"/>
                      <a:ext cx="5394636" cy="2604150"/>
                    </a:xfrm>
                    <a:prstGeom prst="rect">
                      <a:avLst/>
                    </a:prstGeom>
                    <a:ln/>
                  </pic:spPr>
                </pic:pic>
              </a:graphicData>
            </a:graphic>
          </wp:inline>
        </w:drawing>
      </w:r>
    </w:p>
    <w:p w:rsidR="00F467A3" w:rsidRDefault="00066DA3">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como de las Titulares de las Oficialías Mediadora-Conciliadora 01 y  Calificadora 01, ya que de acuerdo a sus nombramientos remitidos en su respuesta fueron asignadas a su cargo el diecisiete de enero del año en curso. </w:t>
      </w:r>
    </w:p>
    <w:p w:rsidR="00F467A3" w:rsidRDefault="00066DA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Del Director de Gobierno y Director de Desarrollo Rural,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omitió pronunciarse al respecto.</w:t>
      </w:r>
    </w:p>
    <w:p w:rsidR="00F467A3" w:rsidRDefault="00066DA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artículo 19 de la Ley Orgánica Municipal regula lo siguiente sobre la fecha de entrada en funciones de los titulares de las unidades que conformarán la administración pública municipal: </w:t>
      </w:r>
    </w:p>
    <w:p w:rsidR="00F467A3" w:rsidRDefault="00066DA3">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19.- </w:t>
      </w:r>
      <w:r>
        <w:rPr>
          <w:rFonts w:ascii="Palatino Linotype" w:eastAsia="Palatino Linotype" w:hAnsi="Palatino Linotype" w:cs="Palatino Linotype"/>
          <w:b/>
          <w:i/>
          <w:color w:val="000000"/>
          <w:sz w:val="22"/>
          <w:szCs w:val="22"/>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Pr>
          <w:rFonts w:ascii="Palatino Linotype" w:eastAsia="Palatino Linotype" w:hAnsi="Palatino Linotype" w:cs="Palatino Linotype"/>
          <w:i/>
          <w:color w:val="000000"/>
          <w:sz w:val="22"/>
          <w:szCs w:val="22"/>
        </w:rPr>
        <w:t xml:space="preserve">, cuyo presidente municipal hará la siguiente declaratoria formal y solemne: “Queda legítimamente instalado el ayuntamiento del municipio de…, que deberá funcionar durante los años de…”. </w:t>
      </w:r>
    </w:p>
    <w:p w:rsidR="00F467A3" w:rsidRDefault="00066DA3">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La inasistencia de los integrantes del ayuntamiento saliente no será obstáculo para que se dé por instalado el entrante, sin perjuicio de las sanciones que establezcan las disposiciones jurídicas aplicables. </w:t>
      </w:r>
      <w:r>
        <w:rPr>
          <w:rFonts w:ascii="Palatino Linotype" w:eastAsia="Palatino Linotype" w:hAnsi="Palatino Linotype" w:cs="Palatino Linotype"/>
          <w:b/>
          <w:i/>
          <w:color w:val="000000"/>
          <w:sz w:val="22"/>
          <w:szCs w:val="22"/>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rsidR="00F467A3" w:rsidRDefault="00066DA3">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w:t>
      </w:r>
      <w:r>
        <w:rPr>
          <w:rFonts w:ascii="Palatino Linotype" w:eastAsia="Palatino Linotype" w:hAnsi="Palatino Linotype" w:cs="Palatino Linotype"/>
          <w:i/>
          <w:color w:val="000000"/>
          <w:sz w:val="22"/>
          <w:szCs w:val="22"/>
        </w:rPr>
        <w:lastRenderedPageBreak/>
        <w:t>documento que contenga sus observaciones, sugerencias y recomendaciones en relación a la administración y gobierno municipal.”(Sic)</w:t>
      </w:r>
    </w:p>
    <w:p w:rsidR="00F467A3" w:rsidRDefault="00F467A3">
      <w:pPr>
        <w:spacing w:before="240" w:after="240" w:line="360" w:lineRule="auto"/>
        <w:jc w:val="both"/>
        <w:rPr>
          <w:rFonts w:ascii="Palatino Linotype" w:eastAsia="Palatino Linotype" w:hAnsi="Palatino Linotype" w:cs="Palatino Linotype"/>
          <w:color w:val="000000"/>
        </w:rPr>
      </w:pP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careció de los principios de congruencia y exhaustividad, ya que no se pronunció respecto a este punto de la solicitud, </w:t>
      </w:r>
      <w:r>
        <w:rPr>
          <w:rFonts w:ascii="Palatino Linotype" w:eastAsia="Palatino Linotype" w:hAnsi="Palatino Linotype" w:cs="Palatino Linotype"/>
          <w:color w:val="000000"/>
        </w:rPr>
        <w:t>en términos del criterio 2/2017, emitido por el Instituto Nacional de Transparencia, que señala:</w:t>
      </w:r>
    </w:p>
    <w:p w:rsidR="00F467A3" w:rsidRDefault="00066DA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Congruencia y exhaustividad.</w:t>
      </w:r>
      <w:r>
        <w:rPr>
          <w:rFonts w:ascii="Palatino Linotype" w:eastAsia="Palatino Linotype" w:hAnsi="Palatino Linotype" w:cs="Palatino Linotype"/>
          <w:i/>
          <w:color w:val="000000"/>
          <w:sz w:val="22"/>
          <w:szCs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F467A3" w:rsidRDefault="00066DA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Resoluciones:</w:t>
      </w:r>
    </w:p>
    <w:p w:rsidR="00F467A3" w:rsidRDefault="00066DA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RRA 0003/16. Comisión Nacional de las Zonas Áridas. 29 de junio de 2016. Por unanimidad. Comisionado Ponente Oscar Mauricio Guerra Ford.</w:t>
      </w:r>
    </w:p>
    <w:p w:rsidR="00F467A3" w:rsidRDefault="00066DA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RRA 0100/16. Sindicato Nacional de Trabajadores de la Educación. 13 de julio de 2016. Por unanimidad. Comisionada Ponente. Areli Cano Guadiana.</w:t>
      </w:r>
    </w:p>
    <w:p w:rsidR="00F467A3" w:rsidRDefault="00066DA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RRA 1419/16. Secretaría de Educación Pública. 14 de septiembre de 2016. Por unanimidad. Comisionado Ponente Rosendoevgueni Monterrey Chepov.” (Sic)</w:t>
      </w:r>
    </w:p>
    <w:p w:rsidR="00F467A3" w:rsidRDefault="00F467A3">
      <w:pPr>
        <w:spacing w:line="360" w:lineRule="auto"/>
        <w:jc w:val="both"/>
        <w:rPr>
          <w:rFonts w:ascii="Palatino Linotype" w:eastAsia="Palatino Linotype" w:hAnsi="Palatino Linotype" w:cs="Palatino Linotype"/>
          <w:color w:val="000000"/>
        </w:rPr>
      </w:pPr>
    </w:p>
    <w:p w:rsidR="00F467A3" w:rsidRDefault="00066DA3">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lo que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color w:val="000000"/>
        </w:rPr>
        <w:t xml:space="preserve"> considera procedente ordenar la entrega de las certificaciones con la que contaba al momento de la presentación de la solicitud, es decir, al diez de enero del año dos mil veintidós, no obstante para el caso, de acuerdo al estudio expuesto, no cuente con las certificaciones bastará con que así se lo haga del conocimiento al recurrente de de manera fundada y motivada, para tener por satisfecho este punto de la solicitud de información. </w:t>
      </w:r>
    </w:p>
    <w:p w:rsidR="00F467A3" w:rsidRDefault="00066DA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toda vez que en el caso particular, se tiene que los servidores públicos referidos en la solicitud tienen hasta el mes de julio para contar con las certificaciones correspondientes, esto en términos de la Ley Orgánica Municipal. </w:t>
      </w:r>
    </w:p>
    <w:p w:rsidR="00F467A3" w:rsidRDefault="00066D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otro orden de ideas, </w:t>
      </w:r>
      <w:r>
        <w:rPr>
          <w:rFonts w:ascii="Palatino Linotype" w:eastAsia="Palatino Linotype" w:hAnsi="Palatino Linotype" w:cs="Palatino Linotype"/>
          <w:b/>
          <w:color w:val="000000"/>
          <w:u w:val="single"/>
        </w:rPr>
        <w:t>respecto de los nombramientos</w:t>
      </w:r>
      <w:r>
        <w:rPr>
          <w:rFonts w:ascii="Palatino Linotype" w:eastAsia="Palatino Linotype" w:hAnsi="Palatino Linotype" w:cs="Palatino Linotype"/>
          <w:color w:val="000000"/>
        </w:rPr>
        <w:t xml:space="preserve"> requeridos por el particular,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sólo entrego el nombramiento  del </w:t>
      </w:r>
      <w:r>
        <w:rPr>
          <w:rFonts w:ascii="Palatino Linotype" w:eastAsia="Palatino Linotype" w:hAnsi="Palatino Linotype" w:cs="Palatino Linotype"/>
        </w:rPr>
        <w:t xml:space="preserve">Tesorero, Director de Desarrollo Económico, </w:t>
      </w:r>
      <w:r>
        <w:rPr>
          <w:rFonts w:ascii="Palatino Linotype" w:eastAsia="Palatino Linotype" w:hAnsi="Palatino Linotype" w:cs="Palatino Linotype"/>
          <w:color w:val="000000"/>
        </w:rPr>
        <w:t xml:space="preserve">Director de Desarrollo Urbano y Ecología,  </w:t>
      </w:r>
      <w:r>
        <w:rPr>
          <w:rFonts w:ascii="Palatino Linotype" w:eastAsia="Palatino Linotype" w:hAnsi="Palatino Linotype" w:cs="Palatino Linotype"/>
        </w:rPr>
        <w:t>Director de Servicios Públicos, Titular de la Oficialía Mediadora-Conciliadora, Titular de la Oficialía Calificadora, Director de Seguridad Pública, Protección Civil, Bomberos y Movilidad, Contralor Municipal y Directora de Bienestar Social; ante ello, esté Instituto no está facultado para dudar de la veracidad de la información entregada, sirve de apoyo a lo anterior, por analogía el criterio 31-10 emitido por el entonces Instituto Federal de Acceso a la Información ahora Instituto Nacional de Transparencia, Acceso a la Información y Protección de Datos Personales (INAI) que a la letra dice:</w:t>
      </w:r>
    </w:p>
    <w:p w:rsidR="00F467A3" w:rsidRDefault="00066DA3">
      <w:pPr>
        <w:tabs>
          <w:tab w:val="left" w:pos="709"/>
        </w:tabs>
        <w:spacing w:before="240" w:after="240" w:line="276" w:lineRule="auto"/>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 Instituto Federal de Acceso a la Información y Protección de Datos no cuenta con facultades para pronunciarse respecto de la veracidad de </w:t>
      </w:r>
      <w:r>
        <w:rPr>
          <w:rFonts w:ascii="Palatino Linotype" w:eastAsia="Palatino Linotype" w:hAnsi="Palatino Linotype" w:cs="Palatino Linotype"/>
          <w:b/>
          <w:i/>
          <w:sz w:val="22"/>
          <w:szCs w:val="22"/>
        </w:rPr>
        <w:lastRenderedPageBreak/>
        <w:t>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F467A3" w:rsidRDefault="00066D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fue omiso en remitir el nombramiento del Director de Gobierno y  Director de Desarrollo Rural, ya que no se pronunció al respecto, y al asumir que el </w:t>
      </w:r>
      <w:r>
        <w:rPr>
          <w:rFonts w:ascii="Palatino Linotype" w:eastAsia="Palatino Linotype" w:hAnsi="Palatino Linotype" w:cs="Palatino Linotype"/>
          <w:b/>
        </w:rPr>
        <w:t>SUJETO OBLIGADO</w:t>
      </w:r>
      <w:r>
        <w:rPr>
          <w:rFonts w:ascii="Palatino Linotype" w:eastAsia="Palatino Linotype" w:hAnsi="Palatino Linotype" w:cs="Palatino Linotype"/>
        </w:rPr>
        <w:t>, que si tiene la facultad de expedir nombramientos y que si cuenta dentro de su directorio con dichas Direcciones, lo procedente es ordenar el nombramiento del Director de Gobierno y  Director de Desarrollo Rural, lo anterior en términos de lo señalado por el artículo 5 de la Ley del Trabajo de los Servidores Públicos del Estado y Municipios, que señala:</w:t>
      </w:r>
    </w:p>
    <w:p w:rsidR="00F467A3" w:rsidRDefault="00066DA3">
      <w:pPr>
        <w:pBdr>
          <w:top w:val="nil"/>
          <w:left w:val="nil"/>
          <w:bottom w:val="nil"/>
          <w:right w:val="nil"/>
          <w:between w:val="nil"/>
        </w:pBdr>
        <w:spacing w:after="160"/>
        <w:ind w:left="851" w:right="900"/>
        <w:jc w:val="both"/>
        <w:rPr>
          <w:color w:val="000000"/>
        </w:rPr>
      </w:pPr>
      <w:r>
        <w:rPr>
          <w:rFonts w:ascii="Palatino Linotype" w:eastAsia="Palatino Linotype" w:hAnsi="Palatino Linotype" w:cs="Palatino Linotype"/>
          <w:i/>
          <w:color w:val="000000"/>
          <w:sz w:val="22"/>
          <w:szCs w:val="22"/>
        </w:rPr>
        <w:t xml:space="preserve">“ARTÍCULO 5.- La relación de trabajo entre las instituciones públicas y sus servidores públicos se entiende establecida mediante </w:t>
      </w:r>
      <w:r>
        <w:rPr>
          <w:rFonts w:ascii="Palatino Linotype" w:eastAsia="Palatino Linotype" w:hAnsi="Palatino Linotype" w:cs="Palatino Linotype"/>
          <w:i/>
          <w:color w:val="000000"/>
          <w:sz w:val="22"/>
          <w:szCs w:val="22"/>
          <w:u w:val="single"/>
        </w:rPr>
        <w:t xml:space="preserve">nombramiento, </w:t>
      </w:r>
      <w:r>
        <w:rPr>
          <w:rFonts w:ascii="Palatino Linotype" w:eastAsia="Palatino Linotype" w:hAnsi="Palatino Linotype" w:cs="Palatino Linotype"/>
          <w:i/>
          <w:color w:val="000000"/>
          <w:sz w:val="22"/>
          <w:szCs w:val="22"/>
        </w:rPr>
        <w:t>formato único de movimiento de personal, contrato o por cualquier otro acto que tenga como consecuencia la prestación personal subordinada del servicio y la percepción de un sueldo.” (Sic)</w:t>
      </w:r>
    </w:p>
    <w:p w:rsidR="00F467A3" w:rsidRDefault="00F467A3">
      <w:pPr>
        <w:spacing w:before="240" w:after="240" w:line="360" w:lineRule="auto"/>
        <w:jc w:val="both"/>
        <w:rPr>
          <w:rFonts w:ascii="Palatino Linotype" w:eastAsia="Palatino Linotype" w:hAnsi="Palatino Linotype" w:cs="Palatino Linotype"/>
          <w:color w:val="222222"/>
        </w:rPr>
      </w:pPr>
    </w:p>
    <w:p w:rsidR="00F467A3" w:rsidRDefault="00066DA3">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222222"/>
        </w:rPr>
        <w:lastRenderedPageBreak/>
        <w:t xml:space="preserve">Por otra parte, respecto de la </w:t>
      </w:r>
      <w:r>
        <w:rPr>
          <w:rFonts w:ascii="Palatino Linotype" w:eastAsia="Palatino Linotype" w:hAnsi="Palatino Linotype" w:cs="Palatino Linotype"/>
          <w:b/>
          <w:color w:val="222222"/>
          <w:u w:val="single"/>
        </w:rPr>
        <w:t>toma de protesta</w:t>
      </w:r>
      <w:r>
        <w:rPr>
          <w:rFonts w:ascii="Palatino Linotype" w:eastAsia="Palatino Linotype" w:hAnsi="Palatino Linotype" w:cs="Palatino Linotype"/>
          <w:color w:val="222222"/>
        </w:rPr>
        <w:t xml:space="preserve"> requerida por el solicitante,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en respuesta entregó un extracto del </w:t>
      </w:r>
      <w:r>
        <w:rPr>
          <w:rFonts w:ascii="Palatino Linotype" w:eastAsia="Palatino Linotype" w:hAnsi="Palatino Linotype" w:cs="Palatino Linotype"/>
          <w:color w:val="000000"/>
        </w:rPr>
        <w:t>acta de instalación del Ayuntamiento de Valle de Bravo 2022-2024, celebrada el primero de enero del año 2022, en donde se aprobaron los nombramientos de los titulares de las áreas de la administración pública municipal y toma de protesta de ley a cargo de la C. Presidenta Municipal, en donde se advierte que tomaron protesta de los siguientes titulares:</w:t>
      </w:r>
    </w:p>
    <w:p w:rsidR="00F467A3" w:rsidRDefault="00066DA3">
      <w:pPr>
        <w:spacing w:before="240" w:line="360" w:lineRule="auto"/>
        <w:jc w:val="both"/>
        <w:rPr>
          <w:rFonts w:ascii="Palatino Linotype" w:eastAsia="Palatino Linotype" w:hAnsi="Palatino Linotype" w:cs="Palatino Linotype"/>
        </w:rPr>
      </w:pPr>
      <w:r>
        <w:rPr>
          <w:noProof/>
          <w:lang w:val="es-MX" w:eastAsia="es-MX"/>
        </w:rPr>
        <w:drawing>
          <wp:inline distT="0" distB="0" distL="0" distR="0">
            <wp:extent cx="5394636" cy="2604150"/>
            <wp:effectExtent l="0" t="0" r="0" b="0"/>
            <wp:docPr id="1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41059" t="15800" r="25930" b="17198"/>
                    <a:stretch>
                      <a:fillRect/>
                    </a:stretch>
                  </pic:blipFill>
                  <pic:spPr>
                    <a:xfrm>
                      <a:off x="0" y="0"/>
                      <a:ext cx="5394636" cy="2604150"/>
                    </a:xfrm>
                    <a:prstGeom prst="rect">
                      <a:avLst/>
                    </a:prstGeom>
                    <a:ln/>
                  </pic:spPr>
                </pic:pic>
              </a:graphicData>
            </a:graphic>
          </wp:inline>
        </w:drawing>
      </w:r>
    </w:p>
    <w:p w:rsidR="00F467A3" w:rsidRDefault="00066DA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No así de los Director de Gobierno, Director de Desarrollo Rural y demás áreas que conformar el Ayuntamiento de Valle de Bravo,</w:t>
      </w:r>
      <w:r>
        <w:rPr>
          <w:rFonts w:ascii="Palatino Linotype" w:eastAsia="Palatino Linotype" w:hAnsi="Palatino Linotype" w:cs="Palatino Linotype"/>
        </w:rPr>
        <w:t xml:space="preserve"> y atención a que el </w:t>
      </w:r>
      <w:r>
        <w:rPr>
          <w:rFonts w:ascii="Palatino Linotype" w:eastAsia="Palatino Linotype" w:hAnsi="Palatino Linotype" w:cs="Palatino Linotype"/>
          <w:b/>
        </w:rPr>
        <w:t>SUJETO OBLIGADO</w:t>
      </w:r>
      <w:r>
        <w:rPr>
          <w:rFonts w:ascii="Palatino Linotype" w:eastAsia="Palatino Linotype" w:hAnsi="Palatino Linotype" w:cs="Palatino Linotype"/>
        </w:rPr>
        <w:t>, asumió que si genera la información analizada en este punto; máxime, que el Ayuntamiento de Valle de Bravo 2022-2024, cuenta con diversas áreas, localizando en su página oficial del Ayuntamiento de Valle de Bravo de su Información Pública de Oficio Mexiquense (IPOMEX), en específico en su directorio 2022, las siguientes:</w:t>
      </w:r>
    </w:p>
    <w:p w:rsidR="00F467A3" w:rsidRDefault="00066DA3">
      <w:pPr>
        <w:spacing w:before="240" w:after="240" w:line="360" w:lineRule="auto"/>
        <w:jc w:val="both"/>
        <w:rPr>
          <w:rFonts w:ascii="Palatino Linotype" w:eastAsia="Palatino Linotype" w:hAnsi="Palatino Linotype" w:cs="Palatino Linotype"/>
          <w:color w:val="000000"/>
        </w:rPr>
      </w:pPr>
      <w:r>
        <w:rPr>
          <w:noProof/>
          <w:lang w:val="es-MX" w:eastAsia="es-MX"/>
        </w:rPr>
        <w:lastRenderedPageBreak/>
        <w:drawing>
          <wp:inline distT="0" distB="0" distL="0" distR="0">
            <wp:extent cx="5482264" cy="3307465"/>
            <wp:effectExtent l="0" t="0" r="0" b="0"/>
            <wp:docPr id="1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l="29419" t="6582" r="28679" b="48819"/>
                    <a:stretch>
                      <a:fillRect/>
                    </a:stretch>
                  </pic:blipFill>
                  <pic:spPr>
                    <a:xfrm>
                      <a:off x="0" y="0"/>
                      <a:ext cx="5482264" cy="3307465"/>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9504" behindDoc="0" locked="0" layoutInCell="1" hidden="0" allowOverlap="1">
                <wp:simplePos x="0" y="0"/>
                <wp:positionH relativeFrom="column">
                  <wp:posOffset>1765300</wp:posOffset>
                </wp:positionH>
                <wp:positionV relativeFrom="paragraph">
                  <wp:posOffset>2590800</wp:posOffset>
                </wp:positionV>
                <wp:extent cx="684481" cy="393535"/>
                <wp:effectExtent l="0" t="0" r="0" b="0"/>
                <wp:wrapNone/>
                <wp:docPr id="100" name="Flecha izquierda 100"/>
                <wp:cNvGraphicFramePr/>
                <a:graphic xmlns:a="http://schemas.openxmlformats.org/drawingml/2006/main">
                  <a:graphicData uri="http://schemas.microsoft.com/office/word/2010/wordprocessingShape">
                    <wps:wsp>
                      <wps:cNvSpPr/>
                      <wps:spPr>
                        <a:xfrm>
                          <a:off x="5016460" y="3595933"/>
                          <a:ext cx="659081" cy="368135"/>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F467A3" w:rsidRDefault="00F467A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1765300</wp:posOffset>
                </wp:positionH>
                <wp:positionV relativeFrom="paragraph">
                  <wp:posOffset>2590800</wp:posOffset>
                </wp:positionV>
                <wp:extent cx="684481" cy="393535"/>
                <wp:effectExtent b="0" l="0" r="0" t="0"/>
                <wp:wrapNone/>
                <wp:docPr id="100" name="image21.png"/>
                <a:graphic>
                  <a:graphicData uri="http://schemas.openxmlformats.org/drawingml/2006/picture">
                    <pic:pic>
                      <pic:nvPicPr>
                        <pic:cNvPr id="0" name="image21.png"/>
                        <pic:cNvPicPr preferRelativeResize="0"/>
                      </pic:nvPicPr>
                      <pic:blipFill>
                        <a:blip r:embed="rId56"/>
                        <a:srcRect/>
                        <a:stretch>
                          <a:fillRect/>
                        </a:stretch>
                      </pic:blipFill>
                      <pic:spPr>
                        <a:xfrm>
                          <a:off x="0" y="0"/>
                          <a:ext cx="684481" cy="393535"/>
                        </a:xfrm>
                        <a:prstGeom prst="rect"/>
                        <a:ln/>
                      </pic:spPr>
                    </pic:pic>
                  </a:graphicData>
                </a:graphic>
              </wp:anchor>
            </w:drawing>
          </mc:Fallback>
        </mc:AlternateContent>
      </w:r>
    </w:p>
    <w:p w:rsidR="00F467A3" w:rsidRDefault="00066DA3">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extent cx="5339480" cy="3367598"/>
            <wp:effectExtent l="0" t="0" r="0" b="0"/>
            <wp:docPr id="1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l="34608" t="21631" r="36085" b="5162"/>
                    <a:stretch>
                      <a:fillRect/>
                    </a:stretch>
                  </pic:blipFill>
                  <pic:spPr>
                    <a:xfrm>
                      <a:off x="0" y="0"/>
                      <a:ext cx="5339480" cy="3367598"/>
                    </a:xfrm>
                    <a:prstGeom prst="rect">
                      <a:avLst/>
                    </a:prstGeom>
                    <a:ln/>
                  </pic:spPr>
                </pic:pic>
              </a:graphicData>
            </a:graphic>
          </wp:inline>
        </w:drawing>
      </w:r>
    </w:p>
    <w:p w:rsidR="00F467A3" w:rsidRDefault="00066DA3">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707738" cy="373889"/>
            <wp:effectExtent l="0" t="0" r="0" b="0"/>
            <wp:docPr id="1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8"/>
                    <a:srcRect l="33987" t="6396" r="35324" b="90030"/>
                    <a:stretch>
                      <a:fillRect/>
                    </a:stretch>
                  </pic:blipFill>
                  <pic:spPr>
                    <a:xfrm>
                      <a:off x="0" y="0"/>
                      <a:ext cx="5707738" cy="373889"/>
                    </a:xfrm>
                    <a:prstGeom prst="rect">
                      <a:avLst/>
                    </a:prstGeom>
                    <a:ln/>
                  </pic:spPr>
                </pic:pic>
              </a:graphicData>
            </a:graphic>
          </wp:inline>
        </w:drawing>
      </w:r>
    </w:p>
    <w:p w:rsidR="00F467A3" w:rsidRDefault="00066DA3">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extent cx="5552763" cy="3039866"/>
            <wp:effectExtent l="0" t="0" r="0" b="0"/>
            <wp:docPr id="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l="34918" t="5831" r="35248" b="4422"/>
                    <a:stretch>
                      <a:fillRect/>
                    </a:stretch>
                  </pic:blipFill>
                  <pic:spPr>
                    <a:xfrm>
                      <a:off x="0" y="0"/>
                      <a:ext cx="5552763" cy="3039866"/>
                    </a:xfrm>
                    <a:prstGeom prst="rect">
                      <a:avLst/>
                    </a:prstGeom>
                    <a:ln/>
                  </pic:spPr>
                </pic:pic>
              </a:graphicData>
            </a:graphic>
          </wp:inline>
        </w:drawing>
      </w:r>
    </w:p>
    <w:p w:rsidR="00F467A3" w:rsidRDefault="00066DA3">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extent cx="5493982" cy="3213449"/>
            <wp:effectExtent l="0" t="0" r="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l="34712" t="8840" r="36089" b="6835"/>
                    <a:stretch>
                      <a:fillRect/>
                    </a:stretch>
                  </pic:blipFill>
                  <pic:spPr>
                    <a:xfrm>
                      <a:off x="0" y="0"/>
                      <a:ext cx="5493982" cy="3213449"/>
                    </a:xfrm>
                    <a:prstGeom prst="rect">
                      <a:avLst/>
                    </a:prstGeom>
                    <a:ln/>
                  </pic:spPr>
                </pic:pic>
              </a:graphicData>
            </a:graphic>
          </wp:inline>
        </w:drawing>
      </w:r>
    </w:p>
    <w:p w:rsidR="00F467A3" w:rsidRDefault="00066DA3">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91697" cy="1317914"/>
            <wp:effectExtent l="0" t="0" r="0" b="0"/>
            <wp:docPr id="1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a:srcRect l="34178" t="50628" r="35248" b="35268"/>
                    <a:stretch>
                      <a:fillRect/>
                    </a:stretch>
                  </pic:blipFill>
                  <pic:spPr>
                    <a:xfrm>
                      <a:off x="0" y="0"/>
                      <a:ext cx="5491697" cy="1317914"/>
                    </a:xfrm>
                    <a:prstGeom prst="rect">
                      <a:avLst/>
                    </a:prstGeom>
                    <a:ln/>
                  </pic:spPr>
                </pic:pic>
              </a:graphicData>
            </a:graphic>
          </wp:inline>
        </w:drawing>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el documento en donde conste la toma de protesta del</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2022-2024, señaladas en su directorio para el año 2022, con excepción de la Tesorería Municipal, Dirección de Obras Públicas, Dirección de Desarrollo Económico, Dirección de Desarrollo Urbano y Ecología,  Dirección de Servicios Públicos, Dirección de Seguridad Pública, Protección Civil, Bomberos y Movilidad, Contraloría Municipal y Dirección de Bienestar Social, vigentes al diez de enero del año dos mil veintidós. </w:t>
      </w:r>
    </w:p>
    <w:p w:rsidR="00F467A3" w:rsidRDefault="00066DA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caso de que al diez de enero del año en curso, no se haya nombrado otros titulares de los que señala en respuesta, bastara que así se lo haga saber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manera fundada y motivada. </w:t>
      </w:r>
    </w:p>
    <w:p w:rsidR="00F467A3" w:rsidRDefault="00066DA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Finalmente respecto de las </w:t>
      </w:r>
      <w:r>
        <w:rPr>
          <w:rFonts w:ascii="Palatino Linotype" w:eastAsia="Palatino Linotype" w:hAnsi="Palatino Linotype" w:cs="Palatino Linotype"/>
          <w:b/>
          <w:u w:val="single"/>
        </w:rPr>
        <w:t>actas entrega-recepción</w:t>
      </w:r>
      <w:r>
        <w:rPr>
          <w:rFonts w:ascii="Palatino Linotype" w:eastAsia="Palatino Linotype" w:hAnsi="Palatino Linotype" w:cs="Palatino Linotype"/>
        </w:rPr>
        <w:t>, requeridas por</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descrita en la solicitud de acceso a la información pública, si bien es cierto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en su respuesta “que en atención al artículo 48 de los Lineamientos que norman la misma de los ayuntamientos, de sus dependencias y organismos descentralizados municipales del Estado de México se tiene como norma 60 días para constituirlas” y en informe justificado indicó “que aún no se pueden entregar puesto que se están revisando”, con lo cual se acredita </w:t>
      </w:r>
      <w:r>
        <w:rPr>
          <w:rFonts w:ascii="Palatino Linotype" w:eastAsia="Palatino Linotype" w:hAnsi="Palatino Linotype" w:cs="Palatino Linotype"/>
        </w:rPr>
        <w:lastRenderedPageBreak/>
        <w:t xml:space="preserve">que el Ayuntamiento de Valle de Bravo sí generó la información, lo cierto es que en términos de lo señalado por el artículo </w:t>
      </w:r>
      <w:r>
        <w:rPr>
          <w:rFonts w:ascii="Palatino Linotype" w:eastAsia="Palatino Linotype" w:hAnsi="Palatino Linotype" w:cs="Palatino Linotype"/>
          <w:color w:val="000000"/>
        </w:rPr>
        <w:t xml:space="preserve">19 de la Ley Orgánica Municipal del Estado de México, señala respecto de la entrega-recepción, lo siguiente: </w:t>
      </w:r>
    </w:p>
    <w:p w:rsidR="00F467A3" w:rsidRDefault="00066DA3">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19.- </w:t>
      </w:r>
      <w:r>
        <w:rPr>
          <w:rFonts w:ascii="Palatino Linotype" w:eastAsia="Palatino Linotype" w:hAnsi="Palatino Linotype" w:cs="Palatino Linotype"/>
          <w:b/>
          <w:i/>
          <w:color w:val="000000"/>
          <w:sz w:val="22"/>
          <w:szCs w:val="22"/>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Pr>
          <w:rFonts w:ascii="Palatino Linotype" w:eastAsia="Palatino Linotype" w:hAnsi="Palatino Linotype" w:cs="Palatino Linotype"/>
          <w:i/>
          <w:color w:val="000000"/>
          <w:sz w:val="22"/>
          <w:szCs w:val="22"/>
        </w:rPr>
        <w:t xml:space="preserve">, cuyo presidente municipal hará la siguiente declaratoria formal y solemne: “Queda legítimamente instalado el ayuntamiento del municipio de…, que deberá funcionar durante los años de…”. </w:t>
      </w:r>
    </w:p>
    <w:p w:rsidR="00F467A3" w:rsidRDefault="00066DA3">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La inasistencia de los integrantes del ayuntamiento saliente no será obstáculo para que se dé por instalado el entrante, sin perjuicio de las sanciones que establezcan las disposiciones jurídicas aplicables. </w:t>
      </w:r>
      <w:r>
        <w:rPr>
          <w:rFonts w:ascii="Palatino Linotype" w:eastAsia="Palatino Linotype" w:hAnsi="Palatino Linotype" w:cs="Palatino Linotype"/>
          <w:b/>
          <w:i/>
          <w:color w:val="000000"/>
          <w:sz w:val="22"/>
          <w:szCs w:val="22"/>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rsidR="00F467A3" w:rsidRDefault="00066DA3">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 documentación que se señala anteriormente deberá ser conocida en la primera sesión de Cabildo por los integrantes del Ayuntamiento a los cuales se les entregará copia de la misma</w:t>
      </w:r>
      <w:r>
        <w:rPr>
          <w:rFonts w:ascii="Palatino Linotype" w:eastAsia="Palatino Linotype" w:hAnsi="Palatino Linotype" w:cs="Palatino Linotype"/>
          <w:i/>
          <w:color w:val="000000"/>
          <w:sz w:val="22"/>
          <w:szCs w:val="22"/>
        </w:rPr>
        <w:t>. El ayuntamiento saliente, a través del presidente municipal, presentará al ayuntamiento entrante, con una copia para la Legislatura, un documento que contenga sus observaciones, sugerencias y recomendaciones en relación a la administración y gobierno municipal.”(Sic)</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precedente, se advierte que el día primero de enero del año 2022, se debió firmar y entregar copia del acta de entrega-recepción.</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robustece con lo señalo por el artículo 28 de los Lineamientos que Norman la Entrega-Recepción de los Ayuntamientos, sus Dependencias y Organismos Descentralizados Municipales del Estado de México, que prescribe:</w:t>
      </w:r>
    </w:p>
    <w:p w:rsidR="00F467A3" w:rsidRDefault="00066DA3">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28. El acta administrativa, </w:t>
      </w:r>
      <w:r>
        <w:rPr>
          <w:rFonts w:ascii="Palatino Linotype" w:eastAsia="Palatino Linotype" w:hAnsi="Palatino Linotype" w:cs="Palatino Linotype"/>
          <w:i/>
          <w:color w:val="000000"/>
          <w:sz w:val="22"/>
          <w:szCs w:val="22"/>
        </w:rPr>
        <w:t>además de hacer constar los motivos que impidieron llevar a cabo la entrega-recepción</w:t>
      </w:r>
      <w:r>
        <w:rPr>
          <w:rFonts w:ascii="Palatino Linotype" w:eastAsia="Palatino Linotype" w:hAnsi="Palatino Linotype" w:cs="Palatino Linotype"/>
          <w:b/>
          <w:i/>
          <w:color w:val="000000"/>
          <w:sz w:val="22"/>
          <w:szCs w:val="22"/>
        </w:rPr>
        <w:t>, debe contener por lo menos</w:t>
      </w:r>
      <w:r>
        <w:rPr>
          <w:rFonts w:ascii="Palatino Linotype" w:eastAsia="Palatino Linotype" w:hAnsi="Palatino Linotype" w:cs="Palatino Linotype"/>
          <w:i/>
          <w:color w:val="000000"/>
          <w:sz w:val="22"/>
          <w:szCs w:val="22"/>
        </w:rPr>
        <w:t xml:space="preserve">: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Nombre(s) con apellido(s) de los servidores públicos saliente y entrante, tal como aparece en la identificación oficial;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Domicilio de los servidores públicos saliente y entrante, en los términos del artículo 2 fracciones X y XV de estos lineamientos;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Empleo, cargo o comisión de los servidores públicos saliente y entrante, tal como aparece en el documento que lo acredite;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El día, mes y año de inicio y conclusión en el empleo, cargo o comisión del servidor público saliente; y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El día, mes y año de inicio en el empleo, cargo o comisión del servidor público entrante.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 xml:space="preserve">El acta administrativa debe remitirse en copia certificada, mediante oficio al Órgano Superior, dentro de los cinco días hábiles siguientes a la fecha de celebración de la misma, asegurándose de incluir los documentos que acrediten el empleo, cargo o comisión, identificación oficial y comprobantes de domicilio de los servidores públicos saliente y entrante </w:t>
      </w:r>
      <w:r>
        <w:rPr>
          <w:rFonts w:ascii="Palatino Linotype" w:eastAsia="Palatino Linotype" w:hAnsi="Palatino Linotype" w:cs="Palatino Linotype"/>
          <w:i/>
          <w:color w:val="000000"/>
          <w:sz w:val="22"/>
          <w:szCs w:val="22"/>
        </w:rPr>
        <w:t>y, en caso de fallecimiento del titular de alguna dependencia o unidad administrativa, copia del acta de defunción y documento que acredite el empleo, cargo o comisión del servidor público finado.” (Sic)</w:t>
      </w:r>
    </w:p>
    <w:p w:rsidR="00F467A3" w:rsidRDefault="00F467A3">
      <w:pPr>
        <w:ind w:left="567" w:right="902"/>
        <w:jc w:val="both"/>
        <w:rPr>
          <w:rFonts w:ascii="Palatino Linotype" w:eastAsia="Palatino Linotype" w:hAnsi="Palatino Linotype" w:cs="Palatino Linotype"/>
          <w:i/>
          <w:color w:val="000000"/>
          <w:sz w:val="22"/>
          <w:szCs w:val="22"/>
        </w:rPr>
      </w:pPr>
    </w:p>
    <w:p w:rsidR="00F467A3" w:rsidRDefault="00066DA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lo cual se acredita que el primero de enero del año en curso, se debió haber generado el acta de entrega-recepción y remitir una copia dentro de los cinco días siguientes de la fecha de celebración al Órgano Superior de Fiscalización, en ese </w:t>
      </w:r>
      <w:r>
        <w:rPr>
          <w:rFonts w:ascii="Palatino Linotype" w:eastAsia="Palatino Linotype" w:hAnsi="Palatino Linotype" w:cs="Palatino Linotype"/>
        </w:rPr>
        <w:lastRenderedPageBreak/>
        <w:t xml:space="preserve">sentido, de la revisión al artículo 4 de los Lineamientos referidos, el cual fue invocado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señala que:</w:t>
      </w:r>
    </w:p>
    <w:p w:rsidR="00F467A3" w:rsidRDefault="00066DA3">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48. Para la realización de las aclaraciones y observaciones</w:t>
      </w:r>
      <w:r>
        <w:rPr>
          <w:rFonts w:ascii="Palatino Linotype" w:eastAsia="Palatino Linotype" w:hAnsi="Palatino Linotype" w:cs="Palatino Linotype"/>
          <w:i/>
          <w:color w:val="000000"/>
          <w:sz w:val="22"/>
          <w:szCs w:val="22"/>
        </w:rPr>
        <w:t xml:space="preserve">, los </w:t>
      </w:r>
      <w:r>
        <w:rPr>
          <w:rFonts w:ascii="Palatino Linotype" w:eastAsia="Palatino Linotype" w:hAnsi="Palatino Linotype" w:cs="Palatino Linotype"/>
          <w:b/>
          <w:i/>
          <w:color w:val="000000"/>
          <w:sz w:val="22"/>
          <w:szCs w:val="22"/>
        </w:rPr>
        <w:t>servidores públicos entrantes tendrán un plazo de sesenta días hábiles contados a partir del día siguiente al de la suscripción del acta de entrega-recepción</w:t>
      </w:r>
      <w:r>
        <w:rPr>
          <w:rFonts w:ascii="Palatino Linotype" w:eastAsia="Palatino Linotype" w:hAnsi="Palatino Linotype" w:cs="Palatino Linotype"/>
          <w:i/>
          <w:color w:val="000000"/>
          <w:sz w:val="22"/>
          <w:szCs w:val="22"/>
        </w:rPr>
        <w:t>; lo anterior, a través de escrito dirigido a la persona titular del Órgano Interno de Control o al Síndico” (Sic)</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que no es aplicable en el presente caso, en razón de que se tratan de las aclaraciones y observaciones que se realizan a las actas de entrega-recepción y el particular no requirió dichas aclaraciones u observaciones sino únicamente el acta de entrega-recepción suscrita el pasado primero de enero del año dos mil veintidós, de los titulares que señala en su solicitud de acceso a la información; además que el artículo 22 también de los Lineamientos, señala que las actas de entrega-recepción, deben realizarse a como dé lugar, aunque a la fecha en que deba tomar posesión la administración entrante (primero de enero del año dos mil veintidós), no se haya nombrado algún titular del área que corresponda, como así lo indica literalmente:</w:t>
      </w:r>
    </w:p>
    <w:p w:rsidR="00F467A3" w:rsidRDefault="00F467A3">
      <w:pPr>
        <w:spacing w:line="360" w:lineRule="auto"/>
        <w:jc w:val="both"/>
        <w:rPr>
          <w:rFonts w:ascii="Palatino Linotype" w:eastAsia="Palatino Linotype" w:hAnsi="Palatino Linotype" w:cs="Palatino Linotype"/>
        </w:rPr>
      </w:pP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22. </w:t>
      </w:r>
      <w:r>
        <w:rPr>
          <w:rFonts w:ascii="Palatino Linotype" w:eastAsia="Palatino Linotype" w:hAnsi="Palatino Linotype" w:cs="Palatino Linotype"/>
          <w:b/>
          <w:i/>
          <w:color w:val="000000"/>
          <w:sz w:val="22"/>
          <w:szCs w:val="22"/>
        </w:rPr>
        <w:t>Cuando un servidor público saliente tenga que realizar la entrega-recepción y por cualquier causa no se haya nombrado al servidor público entrante</w:t>
      </w:r>
      <w:r>
        <w:rPr>
          <w:rFonts w:ascii="Palatino Linotype" w:eastAsia="Palatino Linotype" w:hAnsi="Palatino Linotype" w:cs="Palatino Linotype"/>
          <w:i/>
          <w:color w:val="000000"/>
          <w:sz w:val="22"/>
          <w:szCs w:val="22"/>
        </w:rPr>
        <w:t xml:space="preserve"> o, bien, éste no asista, </w:t>
      </w:r>
      <w:r>
        <w:rPr>
          <w:rFonts w:ascii="Palatino Linotype" w:eastAsia="Palatino Linotype" w:hAnsi="Palatino Linotype" w:cs="Palatino Linotype"/>
          <w:b/>
          <w:i/>
          <w:color w:val="000000"/>
          <w:sz w:val="22"/>
          <w:szCs w:val="22"/>
        </w:rPr>
        <w:t>ello no será obstáculo para llevar a cabo dicho acto; el servidor público saliente entregará al superior jerárquico de acuerdo con lo establecido en su estructura orgánica administrativa, con la participación de la persona titular del Órgano Interno de Control o el Síndico o Representante</w:t>
      </w:r>
      <w:r>
        <w:rPr>
          <w:rFonts w:ascii="Palatino Linotype" w:eastAsia="Palatino Linotype" w:hAnsi="Palatino Linotype" w:cs="Palatino Linotype"/>
          <w:i/>
          <w:color w:val="000000"/>
          <w:sz w:val="22"/>
          <w:szCs w:val="22"/>
        </w:rPr>
        <w:t xml:space="preserve">, según corresponda, debiendo adjuntar el documento que acredite el cargo como superior jerárquico que recibe la unidad administrativa y se asentará en el apartado de observaciones del acta de entrega-recepción.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En el caso de que no se haya nombrado a la persona titular del Órgano Interno de Control Municipal entrante, la entrega de la unidad administrativa correspondiente se hará al Síndico. </w:t>
      </w:r>
    </w:p>
    <w:p w:rsidR="00F467A3" w:rsidRDefault="00066DA3">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de que no se haya nombrado a la persona titular del Órgano Interno de Control entrante de los Organismos Públicos Descentralizados, la entrega-recepción de la unidad administrativa debe realizarse a la persona titular del Órgano Interno de Control Municipal, con la participación del Síndico, hasta en tanto se designe al servidor público para ocupar el empleo, cargo o comisión.” (Sic)</w:t>
      </w:r>
    </w:p>
    <w:p w:rsidR="00F467A3" w:rsidRDefault="00F467A3">
      <w:pPr>
        <w:ind w:left="567" w:right="902"/>
        <w:jc w:val="both"/>
        <w:rPr>
          <w:rFonts w:ascii="Palatino Linotype" w:eastAsia="Palatino Linotype" w:hAnsi="Palatino Linotype" w:cs="Palatino Linotype"/>
          <w:i/>
          <w:color w:val="000000"/>
          <w:sz w:val="22"/>
          <w:szCs w:val="22"/>
        </w:rPr>
      </w:pPr>
    </w:p>
    <w:p w:rsidR="00F467A3" w:rsidRDefault="00F467A3">
      <w:pPr>
        <w:ind w:left="567" w:right="902"/>
        <w:jc w:val="both"/>
        <w:rPr>
          <w:rFonts w:ascii="Palatino Linotype" w:eastAsia="Palatino Linotype" w:hAnsi="Palatino Linotype" w:cs="Palatino Linotype"/>
          <w:i/>
          <w:color w:val="000000"/>
          <w:sz w:val="22"/>
          <w:szCs w:val="22"/>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el documento en donde conste el acta de entrega-recepción, de las áreas del Ayuntamiento de Valle de Bravo de la  Tesorería Municipal, Dirección de Desarrollo Económico, Dirección de Desarrollo Urbano y Ecología,  Dirección de Servicios Públicos, de la Oficialía Mediadora-Conciliadora, de la Oficialía Calificadora, Dirección de Seguridad Pública, Protección Civil, Bomberos y Movilidad, Contraloría Municipal y Dirección de Bienestar Social, Dirección de Gobierno y Dirección de Desarrollo Rural, y en versión pública de acuerdo a lo señalado por el considerando quinto del presente fallo. </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F467A3" w:rsidRDefault="00F467A3">
      <w:pPr>
        <w:spacing w:line="360" w:lineRule="auto"/>
        <w:jc w:val="both"/>
        <w:rPr>
          <w:rFonts w:ascii="Palatino Linotype" w:eastAsia="Palatino Linotype" w:hAnsi="Palatino Linotype" w:cs="Palatino Linotype"/>
        </w:rPr>
      </w:pPr>
    </w:p>
    <w:p w:rsidR="00F467A3" w:rsidRDefault="00066DA3">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F467A3" w:rsidRDefault="00066DA3">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F467A3" w:rsidRDefault="00066DA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F467A3" w:rsidRDefault="00066DA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F467A3" w:rsidRDefault="00066DA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F467A3" w:rsidRDefault="00066DA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F467A3" w:rsidRDefault="00F467A3">
      <w:pPr>
        <w:ind w:left="993" w:right="1041"/>
        <w:jc w:val="both"/>
        <w:rPr>
          <w:rFonts w:ascii="Palatino Linotype" w:eastAsia="Palatino Linotype" w:hAnsi="Palatino Linotype" w:cs="Palatino Linotype"/>
          <w:i/>
          <w:sz w:val="22"/>
          <w:szCs w:val="22"/>
        </w:rPr>
      </w:pPr>
    </w:p>
    <w:p w:rsidR="00F467A3" w:rsidRDefault="00066DA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467A3" w:rsidRDefault="00F467A3">
      <w:pPr>
        <w:ind w:left="993" w:right="1041"/>
        <w:jc w:val="both"/>
        <w:rPr>
          <w:rFonts w:ascii="Palatino Linotype" w:eastAsia="Palatino Linotype" w:hAnsi="Palatino Linotype" w:cs="Palatino Linotype"/>
          <w:i/>
          <w:sz w:val="22"/>
          <w:szCs w:val="22"/>
        </w:rPr>
      </w:pPr>
    </w:p>
    <w:p w:rsidR="00F467A3" w:rsidRDefault="00066DA3">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467A3" w:rsidRDefault="00F467A3">
      <w:pPr>
        <w:ind w:left="993" w:right="1041"/>
        <w:jc w:val="both"/>
        <w:rPr>
          <w:rFonts w:ascii="Palatino Linotype" w:eastAsia="Palatino Linotype" w:hAnsi="Palatino Linotype" w:cs="Palatino Linotype"/>
          <w:b/>
          <w:i/>
          <w:sz w:val="22"/>
          <w:szCs w:val="22"/>
        </w:rPr>
      </w:pPr>
    </w:p>
    <w:p w:rsidR="00F467A3" w:rsidRDefault="00066DA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467A3" w:rsidRDefault="00066DA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F467A3" w:rsidRDefault="00066DA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F467A3" w:rsidRDefault="00066DA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F467A3" w:rsidRDefault="00F467A3">
      <w:pPr>
        <w:ind w:left="993" w:right="1041"/>
        <w:jc w:val="both"/>
        <w:rPr>
          <w:rFonts w:ascii="Palatino Linotype" w:eastAsia="Palatino Linotype" w:hAnsi="Palatino Linotype" w:cs="Palatino Linotype"/>
          <w:i/>
          <w:sz w:val="22"/>
          <w:szCs w:val="22"/>
        </w:rPr>
      </w:pPr>
    </w:p>
    <w:p w:rsidR="00F467A3" w:rsidRDefault="00066DA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w:t>
      </w:r>
      <w:r>
        <w:rPr>
          <w:rFonts w:ascii="Palatino Linotype" w:eastAsia="Palatino Linotype" w:hAnsi="Palatino Linotype" w:cs="Palatino Linotype"/>
          <w:b/>
        </w:rPr>
        <w:t>RECURRENTE</w:t>
      </w:r>
      <w:r>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F467A3" w:rsidRDefault="00F467A3">
      <w:pPr>
        <w:spacing w:line="360" w:lineRule="auto"/>
        <w:ind w:right="51"/>
        <w:jc w:val="both"/>
        <w:rPr>
          <w:rFonts w:ascii="Palatino Linotype" w:eastAsia="Palatino Linotype" w:hAnsi="Palatino Linotype" w:cs="Palatino Linotype"/>
        </w:rPr>
      </w:pPr>
    </w:p>
    <w:p w:rsidR="00F467A3" w:rsidRDefault="00066DA3">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Pr>
          <w:rFonts w:ascii="Palatino Linotype" w:eastAsia="Palatino Linotype" w:hAnsi="Palatino Linotype" w:cs="Palatino Linotype"/>
        </w:rPr>
        <w:lastRenderedPageBreak/>
        <w:t>intransferibles e indelegables y los Sujetos Obligados no deberán hacer entrega de los mismos a personas ajenas a su titular.</w:t>
      </w:r>
    </w:p>
    <w:p w:rsidR="00F467A3" w:rsidRDefault="00F467A3">
      <w:pPr>
        <w:spacing w:line="360" w:lineRule="auto"/>
        <w:ind w:right="50"/>
        <w:jc w:val="both"/>
        <w:rPr>
          <w:rFonts w:ascii="Palatino Linotype" w:eastAsia="Palatino Linotype" w:hAnsi="Palatino Linotype" w:cs="Palatino Linotype"/>
        </w:rPr>
      </w:pPr>
    </w:p>
    <w:p w:rsidR="00F467A3" w:rsidRDefault="00066D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Entre la información solicitada se encuentra los documentos que acrediten el grado de estudios, como por ejemplo el título profesional, del cual se aprecian diversos datos personales, como lo son la fotografía y la firma autógrafa, los cuales, por corresponder a servidores públicos, el régimen de protección es menor, derivado de que laboran en una dependencia pública, reciben recursos públicos y realizan actos de autoridad.</w:t>
      </w:r>
    </w:p>
    <w:p w:rsidR="00F467A3" w:rsidRDefault="00F467A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467A3" w:rsidRDefault="00066D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corresponde a la fotografía en el título profesional, es necesario traer a contexto el criterio 15/17 del Instituto Nacional de Acceso a la Información y Protección de Datos Personales que establece lo siguiente:</w:t>
      </w:r>
    </w:p>
    <w:p w:rsidR="00F467A3" w:rsidRDefault="00F467A3">
      <w:pPr>
        <w:pBdr>
          <w:top w:val="nil"/>
          <w:left w:val="nil"/>
          <w:bottom w:val="nil"/>
          <w:right w:val="nil"/>
          <w:between w:val="nil"/>
        </w:pBdr>
        <w:ind w:left="708"/>
        <w:rPr>
          <w:rFonts w:ascii="Palatino Linotype" w:eastAsia="Palatino Linotype" w:hAnsi="Palatino Linotype" w:cs="Palatino Linotype"/>
          <w:color w:val="000000"/>
          <w:sz w:val="22"/>
          <w:szCs w:val="22"/>
        </w:rPr>
      </w:pPr>
    </w:p>
    <w:p w:rsidR="00F467A3" w:rsidRDefault="00066DA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“Fotografía en título o cédula profesional es de acceso público.</w:t>
      </w:r>
      <w:r>
        <w:rPr>
          <w:rFonts w:ascii="Palatino Linotype" w:eastAsia="Palatino Linotype" w:hAnsi="Palatino Linotype" w:cs="Palatino Linotype"/>
          <w:i/>
          <w:sz w:val="22"/>
          <w:szCs w:val="22"/>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F467A3" w:rsidRDefault="00066DA3">
      <w:pPr>
        <w:tabs>
          <w:tab w:val="left" w:pos="2670"/>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Resoluciones:</w:t>
      </w:r>
    </w:p>
    <w:p w:rsidR="00F467A3" w:rsidRDefault="00066DA3">
      <w:pPr>
        <w:numPr>
          <w:ilvl w:val="0"/>
          <w:numId w:val="4"/>
        </w:numPr>
        <w:pBdr>
          <w:top w:val="nil"/>
          <w:left w:val="nil"/>
          <w:bottom w:val="nil"/>
          <w:right w:val="nil"/>
          <w:between w:val="nil"/>
        </w:pBdr>
        <w:ind w:left="567" w:right="567"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RRA 3777/16.</w:t>
      </w:r>
      <w:r>
        <w:rPr>
          <w:rFonts w:ascii="Palatino Linotype" w:eastAsia="Palatino Linotype" w:hAnsi="Palatino Linotype" w:cs="Palatino Linotype"/>
          <w:i/>
          <w:color w:val="000000"/>
          <w:sz w:val="22"/>
          <w:szCs w:val="22"/>
        </w:rPr>
        <w:t xml:space="preserve"> Secretaría de Comunicaciones y Transportes. 07 de diciembre de 2016. Por unanimidad. Comisionada Ponente María Patricia Kurczyn Villalobos.</w:t>
      </w:r>
    </w:p>
    <w:p w:rsidR="00F467A3" w:rsidRDefault="00066DA3">
      <w:pPr>
        <w:numPr>
          <w:ilvl w:val="0"/>
          <w:numId w:val="4"/>
        </w:numPr>
        <w:pBdr>
          <w:top w:val="nil"/>
          <w:left w:val="nil"/>
          <w:bottom w:val="nil"/>
          <w:right w:val="nil"/>
          <w:between w:val="nil"/>
        </w:pBdr>
        <w:ind w:left="567" w:right="567"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RRA 0047/17 y acumulado.</w:t>
      </w:r>
      <w:r>
        <w:rPr>
          <w:rFonts w:ascii="Palatino Linotype" w:eastAsia="Palatino Linotype" w:hAnsi="Palatino Linotype" w:cs="Palatino Linotype"/>
          <w:i/>
          <w:color w:val="000000"/>
          <w:sz w:val="22"/>
          <w:szCs w:val="22"/>
        </w:rPr>
        <w:t xml:space="preserve"> Instituto Federal de Telecomunicaciones. 01 de marzo del 2017. Por unanimidad. Comisionado Ponente Rosendoevgueni Monterrey Chepov.</w:t>
      </w:r>
    </w:p>
    <w:p w:rsidR="00F467A3" w:rsidRDefault="00066DA3">
      <w:pPr>
        <w:numPr>
          <w:ilvl w:val="0"/>
          <w:numId w:val="4"/>
        </w:numPr>
        <w:pBdr>
          <w:top w:val="nil"/>
          <w:left w:val="nil"/>
          <w:bottom w:val="nil"/>
          <w:right w:val="nil"/>
          <w:between w:val="nil"/>
        </w:pBdr>
        <w:ind w:left="567" w:right="567"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RRA 1189/17.</w:t>
      </w:r>
      <w:r>
        <w:rPr>
          <w:rFonts w:ascii="Palatino Linotype" w:eastAsia="Palatino Linotype" w:hAnsi="Palatino Linotype" w:cs="Palatino Linotype"/>
          <w:i/>
          <w:color w:val="000000"/>
          <w:sz w:val="22"/>
          <w:szCs w:val="22"/>
        </w:rPr>
        <w:t xml:space="preserve"> Servicio de Información Agroalimentaria y Pesquera. 03 de mayo de 2017. Por mayoría, con voto disidente del Comisionado Joel Salas Suárez. Comisionada Ponente Ximena Puente de la Mora.</w:t>
      </w:r>
    </w:p>
    <w:p w:rsidR="00F467A3" w:rsidRDefault="00066D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Cabe destacar que el Título Profesional es un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ordenamiento condiciona la obtención del título profesional o grado académico equivalente para la obtención de la cédula de ejercicio.</w:t>
      </w:r>
    </w:p>
    <w:p w:rsidR="00F467A3" w:rsidRDefault="00F467A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467A3" w:rsidRDefault="00066D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la fotografía no debe clasificarse como información confidencial, por ser de acceso público.</w:t>
      </w:r>
    </w:p>
    <w:p w:rsidR="00F467A3" w:rsidRDefault="00F467A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467A3" w:rsidRDefault="00066D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corresponde a la firma autógrafa, el entonces del entonces Instituto Federal de Acceso a la Información Pública (IFAI) emitió el criterio 10/10, el cual contiene lo siguiente:</w:t>
      </w:r>
    </w:p>
    <w:p w:rsidR="00F467A3" w:rsidRDefault="00F467A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467A3" w:rsidRDefault="00066DA3">
      <w:pPr>
        <w:spacing w:before="76"/>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“La firma de los servidores públicos es información de carácter público cuando ésta es utilizada en el ejercicio de las facultades conferidas para el desempeño  del  servicio  público.  </w:t>
      </w:r>
      <w:r>
        <w:rPr>
          <w:rFonts w:ascii="Palatino Linotype" w:eastAsia="Palatino Linotype" w:hAnsi="Palatino Linotype" w:cs="Palatino Linotype"/>
          <w:i/>
          <w:sz w:val="22"/>
          <w:szCs w:val="22"/>
        </w:rPr>
        <w:t xml:space="preserve">Si  bien  la  firma  es  un  dato  personal confidencial, en tanto que identifica o hace identificable a su titular, cuando un servidor público emite un acto como autoridad, en ejercicio de las funciones que tiene conferidas, la firma mediante la </w:t>
      </w:r>
      <w:r>
        <w:rPr>
          <w:rFonts w:ascii="Palatino Linotype" w:eastAsia="Palatino Linotype" w:hAnsi="Palatino Linotype" w:cs="Palatino Linotype"/>
          <w:i/>
          <w:sz w:val="22"/>
          <w:szCs w:val="22"/>
        </w:rPr>
        <w:lastRenderedPageBreak/>
        <w:t>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F467A3" w:rsidRDefault="00066DA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Expedientes:</w:t>
      </w:r>
    </w:p>
    <w:p w:rsidR="00F467A3" w:rsidRDefault="00066DA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636/08         Comisión Nacional Bancaria y de Valores – Alonso Gómez-Robledo</w:t>
      </w:r>
    </w:p>
    <w:p w:rsidR="00F467A3" w:rsidRDefault="00066DA3">
      <w:pPr>
        <w:ind w:left="567" w:right="567"/>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Verduzco</w:t>
      </w:r>
    </w:p>
    <w:p w:rsidR="00F467A3" w:rsidRDefault="00066DA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2700/09       Consejo Nacional para Prevenir la Discriminación - Jacqueline</w:t>
      </w:r>
    </w:p>
    <w:p w:rsidR="00F467A3" w:rsidRDefault="00066DA3">
      <w:pPr>
        <w:ind w:left="567" w:right="567"/>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Peschard Mariscal</w:t>
      </w:r>
    </w:p>
    <w:p w:rsidR="00F467A3" w:rsidRDefault="00066DA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3415/09       Instituto Mexicano de Tecnología del Agua – María Marván Laborde</w:t>
      </w:r>
    </w:p>
    <w:p w:rsidR="00F467A3" w:rsidRDefault="00066DA3">
      <w:pPr>
        <w:ind w:left="567" w:right="567"/>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3701/09       Administración Portuaria Integral de Tuxpan, S.A. de C.V. - Jacqueline Peschard Mariscal</w:t>
      </w:r>
    </w:p>
    <w:p w:rsidR="00F467A3" w:rsidRDefault="00066DA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599/10         Secretaría de Economía -  Jacqueline Peschard Mariscal” (Sic)</w:t>
      </w:r>
    </w:p>
    <w:p w:rsidR="00F467A3" w:rsidRDefault="00F467A3">
      <w:pPr>
        <w:ind w:left="567" w:right="567"/>
        <w:jc w:val="both"/>
        <w:rPr>
          <w:rFonts w:ascii="Palatino Linotype" w:eastAsia="Palatino Linotype" w:hAnsi="Palatino Linotype" w:cs="Palatino Linotype"/>
          <w:i/>
        </w:rPr>
      </w:pPr>
    </w:p>
    <w:p w:rsidR="00F467A3" w:rsidRDefault="00066DA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222222"/>
        </w:rPr>
        <w:t>Si bien es cierto, la firma no se encuentra en un documento emitido en ejercicio de sus</w:t>
      </w:r>
      <w:r>
        <w:rPr>
          <w:rFonts w:ascii="Palatino Linotype" w:eastAsia="Palatino Linotype" w:hAnsi="Palatino Linotype" w:cs="Palatino Linotype"/>
          <w:color w:val="222222"/>
        </w:rPr>
        <w:t xml:space="preserve"> facultades conferidas para el desempeño del servicio público, pero también lo es que, a nada práctico nos conduciría proteger dicho dato personal, cuando existen otros documentos que se encuentran en posesión del Sujeto Obligado y son de naturaleza pública, que contienen el mismo dato, con base en lo anterior, es que se considera que la firma de los servidores públicos debe ser de conocimiento público.</w:t>
      </w:r>
    </w:p>
    <w:p w:rsidR="00F467A3" w:rsidRDefault="00F467A3">
      <w:pPr>
        <w:spacing w:line="360" w:lineRule="auto"/>
        <w:ind w:right="50"/>
        <w:jc w:val="both"/>
        <w:rPr>
          <w:rFonts w:ascii="Palatino Linotype" w:eastAsia="Palatino Linotype" w:hAnsi="Palatino Linotype" w:cs="Palatino Linotype"/>
        </w:rPr>
      </w:pPr>
    </w:p>
    <w:p w:rsidR="00F467A3" w:rsidRDefault="00066DA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467A3" w:rsidRDefault="00F467A3">
      <w:pPr>
        <w:spacing w:line="360" w:lineRule="auto"/>
        <w:ind w:right="51"/>
        <w:jc w:val="both"/>
        <w:rPr>
          <w:rFonts w:ascii="Palatino Linotype" w:eastAsia="Palatino Linotype" w:hAnsi="Palatino Linotype" w:cs="Palatino Linotype"/>
        </w:rPr>
      </w:pPr>
    </w:p>
    <w:p w:rsidR="00F467A3" w:rsidRDefault="00066DA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F467A3" w:rsidRDefault="00066DA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F467A3" w:rsidRDefault="00066DA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F467A3" w:rsidRDefault="00066DA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F467A3" w:rsidRDefault="00066DA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F467A3" w:rsidRDefault="00066DA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F467A3" w:rsidRDefault="00F467A3">
      <w:pPr>
        <w:ind w:left="992" w:right="1043"/>
        <w:jc w:val="both"/>
        <w:rPr>
          <w:rFonts w:ascii="Palatino Linotype" w:eastAsia="Palatino Linotype" w:hAnsi="Palatino Linotype" w:cs="Palatino Linotype"/>
          <w:i/>
          <w:sz w:val="22"/>
          <w:szCs w:val="22"/>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F467A3" w:rsidRDefault="00F467A3">
      <w:pPr>
        <w:spacing w:line="360" w:lineRule="auto"/>
        <w:jc w:val="both"/>
        <w:rPr>
          <w:rFonts w:ascii="Palatino Linotype" w:eastAsia="Palatino Linotype" w:hAnsi="Palatino Linotype" w:cs="Palatino Linotype"/>
        </w:rPr>
      </w:pPr>
    </w:p>
    <w:p w:rsidR="00F467A3" w:rsidRDefault="00066DA3">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F467A3" w:rsidRDefault="00F467A3">
      <w:pPr>
        <w:spacing w:before="240" w:after="240"/>
        <w:ind w:left="993" w:right="1041"/>
        <w:jc w:val="both"/>
        <w:rPr>
          <w:rFonts w:ascii="Palatino Linotype" w:eastAsia="Palatino Linotype" w:hAnsi="Palatino Linotype" w:cs="Palatino Linotype"/>
          <w:i/>
          <w:sz w:val="22"/>
          <w:szCs w:val="22"/>
        </w:rPr>
      </w:pPr>
    </w:p>
    <w:p w:rsidR="00F467A3" w:rsidRDefault="00066D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467A3" w:rsidRDefault="00066DA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xml:space="preserve">, publicados en el Diario Oficial de </w:t>
      </w:r>
      <w:r>
        <w:rPr>
          <w:rFonts w:ascii="Palatino Linotype" w:eastAsia="Palatino Linotype" w:hAnsi="Palatino Linotype" w:cs="Palatino Linotype"/>
        </w:rPr>
        <w:lastRenderedPageBreak/>
        <w:t>la Federación en fecha quince de abril del año dos mil dieciséis, mediante Acuerdo del Consejo Nacional del Sistema Nacional de Transparencia, Acceso a la Información Pública y Protección de Datos Personales, que literalmente expresan:</w:t>
      </w:r>
    </w:p>
    <w:p w:rsidR="00F467A3" w:rsidRDefault="00F467A3">
      <w:pPr>
        <w:ind w:left="709" w:right="709"/>
        <w:jc w:val="both"/>
        <w:rPr>
          <w:rFonts w:ascii="Palatino Linotype" w:eastAsia="Palatino Linotype" w:hAnsi="Palatino Linotype" w:cs="Palatino Linotype"/>
          <w:b/>
          <w:i/>
          <w:sz w:val="22"/>
          <w:szCs w:val="22"/>
        </w:rPr>
      </w:pPr>
    </w:p>
    <w:p w:rsidR="00F467A3" w:rsidRDefault="00066DA3">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F467A3" w:rsidRDefault="00066DA3">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F467A3" w:rsidRDefault="00066DA3">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F467A3" w:rsidRDefault="00066DA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467A3" w:rsidRDefault="00066DA3">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6"/>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F467A3">
        <w:trPr>
          <w:jc w:val="center"/>
        </w:trPr>
        <w:tc>
          <w:tcPr>
            <w:tcW w:w="1159" w:type="dxa"/>
            <w:tcBorders>
              <w:top w:val="nil"/>
              <w:left w:val="nil"/>
              <w:bottom w:val="single" w:sz="4" w:space="0" w:color="000000"/>
              <w:right w:val="single" w:sz="4" w:space="0" w:color="000000"/>
            </w:tcBorders>
          </w:tcPr>
          <w:p w:rsidR="00F467A3" w:rsidRDefault="00F467A3">
            <w:pPr>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Dónde:</w:t>
            </w:r>
          </w:p>
        </w:tc>
      </w:tr>
      <w:tr w:rsidR="00F467A3">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F467A3" w:rsidRDefault="00066DA3">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F467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467A3" w:rsidRDefault="00F467A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área del cual es titular quien clasifica.</w:t>
            </w:r>
          </w:p>
        </w:tc>
      </w:tr>
      <w:tr w:rsidR="00F467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467A3" w:rsidRDefault="00F467A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467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467A3" w:rsidRDefault="00F467A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F467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467A3" w:rsidRDefault="00F467A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F467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467A3" w:rsidRDefault="00F467A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F467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467A3" w:rsidRDefault="00F467A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indicarán, en su caso, las partes o páginas del documento que se clasifica como confidencial. Si el documento fuera confidencial en su totalidad, se anotarán todas las páginas que lo conforman. </w:t>
            </w:r>
            <w:r>
              <w:rPr>
                <w:rFonts w:ascii="Palatino Linotype" w:eastAsia="Palatino Linotype" w:hAnsi="Palatino Linotype" w:cs="Palatino Linotype"/>
                <w:i/>
                <w:sz w:val="22"/>
                <w:szCs w:val="22"/>
              </w:rPr>
              <w:lastRenderedPageBreak/>
              <w:t>Si el documento no contiene información confidencial, se tachará este apartado.</w:t>
            </w:r>
          </w:p>
        </w:tc>
      </w:tr>
      <w:tr w:rsidR="00F467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467A3" w:rsidRDefault="00F467A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F467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467A3" w:rsidRDefault="00F467A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clasifica.</w:t>
            </w:r>
          </w:p>
        </w:tc>
      </w:tr>
      <w:tr w:rsidR="00F467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467A3" w:rsidRDefault="00F467A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F467A3" w:rsidRDefault="00066DA3">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que se desclasifica el documento.</w:t>
            </w:r>
          </w:p>
        </w:tc>
      </w:tr>
      <w:tr w:rsidR="00F467A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467A3" w:rsidRDefault="00F467A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467A3" w:rsidRDefault="00066DA3">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F467A3" w:rsidRDefault="00066DA3">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desclasifica.</w:t>
            </w:r>
          </w:p>
        </w:tc>
      </w:tr>
    </w:tbl>
    <w:p w:rsidR="00F467A3" w:rsidRDefault="00F467A3">
      <w:pPr>
        <w:spacing w:before="240" w:line="360" w:lineRule="auto"/>
        <w:ind w:right="51"/>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F467A3" w:rsidRDefault="00F467A3">
      <w:pPr>
        <w:spacing w:line="360" w:lineRule="auto"/>
        <w:jc w:val="both"/>
        <w:rPr>
          <w:rFonts w:ascii="Palatino Linotype" w:eastAsia="Palatino Linotype" w:hAnsi="Palatino Linotype" w:cs="Palatino Linotype"/>
        </w:rPr>
      </w:pPr>
    </w:p>
    <w:p w:rsidR="00F467A3" w:rsidRDefault="00066DA3">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Pr>
          <w:rFonts w:ascii="Palatino Linotype" w:eastAsia="Palatino Linotype" w:hAnsi="Palatino Linotype" w:cs="Palatino Linotype"/>
        </w:rPr>
        <w:lastRenderedPageBreak/>
        <w:t xml:space="preserve">acceso a la información del solicitante, por lo que el acuerdo respectivo, deberá hacerse del conocimiento de la </w:t>
      </w:r>
      <w:r>
        <w:rPr>
          <w:rFonts w:ascii="Palatino Linotype" w:eastAsia="Palatino Linotype" w:hAnsi="Palatino Linotype" w:cs="Palatino Linotype"/>
          <w:b/>
        </w:rPr>
        <w:t>RECURRENTE.</w:t>
      </w:r>
    </w:p>
    <w:p w:rsidR="00F467A3" w:rsidRDefault="00F467A3">
      <w:pPr>
        <w:spacing w:line="360" w:lineRule="auto"/>
        <w:jc w:val="both"/>
        <w:rPr>
          <w:rFonts w:ascii="Palatino Linotype" w:eastAsia="Palatino Linotype" w:hAnsi="Palatino Linotype" w:cs="Palatino Linotype"/>
        </w:rPr>
      </w:pPr>
    </w:p>
    <w:p w:rsidR="00F467A3" w:rsidRDefault="00066DA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F467A3" w:rsidRDefault="00F467A3">
      <w:pPr>
        <w:spacing w:line="360" w:lineRule="auto"/>
        <w:jc w:val="both"/>
        <w:rPr>
          <w:rFonts w:ascii="Palatino Linotype" w:eastAsia="Palatino Linotype" w:hAnsi="Palatino Linotype" w:cs="Palatino Linotype"/>
        </w:rPr>
      </w:pPr>
    </w:p>
    <w:p w:rsidR="00F467A3" w:rsidRDefault="00066DA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F467A3" w:rsidRDefault="00066DA3">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hyperlink r:id="rId62">
        <w:r>
          <w:rPr>
            <w:rFonts w:ascii="Palatino Linotype" w:eastAsia="Palatino Linotype" w:hAnsi="Palatino Linotype" w:cs="Palatino Linotype"/>
            <w:b/>
          </w:rPr>
          <w:t>00589/INFOEM/IP/RR/202</w:t>
        </w:r>
      </w:hyperlink>
      <w:r>
        <w:rPr>
          <w:rFonts w:ascii="Palatino Linotype" w:eastAsia="Palatino Linotype" w:hAnsi="Palatino Linotype" w:cs="Palatino Linotype"/>
          <w:b/>
        </w:rPr>
        <w:t xml:space="preserve">2, </w:t>
      </w:r>
      <w:hyperlink r:id="rId63">
        <w:r>
          <w:rPr>
            <w:rFonts w:ascii="Palatino Linotype" w:eastAsia="Palatino Linotype" w:hAnsi="Palatino Linotype" w:cs="Palatino Linotype"/>
            <w:b/>
          </w:rPr>
          <w:t>0591/INFOEM/IP/RR/202</w:t>
        </w:r>
      </w:hyperlink>
      <w:r>
        <w:rPr>
          <w:rFonts w:ascii="Palatino Linotype" w:eastAsia="Palatino Linotype" w:hAnsi="Palatino Linotype" w:cs="Palatino Linotype"/>
          <w:b/>
        </w:rPr>
        <w:t xml:space="preserve">2 y </w:t>
      </w:r>
      <w:hyperlink r:id="rId64">
        <w:r>
          <w:rPr>
            <w:rFonts w:ascii="Palatino Linotype" w:eastAsia="Palatino Linotype" w:hAnsi="Palatino Linotype" w:cs="Palatino Linotype"/>
            <w:b/>
          </w:rPr>
          <w:t>00592/INFOEM/IP/RR/202</w:t>
        </w:r>
      </w:hyperlink>
      <w:r>
        <w:rPr>
          <w:rFonts w:ascii="Palatino Linotype" w:eastAsia="Palatino Linotype" w:hAnsi="Palatino Linotype" w:cs="Palatino Linotype"/>
          <w:b/>
        </w:rPr>
        <w:t xml:space="preserve">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Pr>
          <w:rFonts w:ascii="Palatino Linotype" w:eastAsia="Palatino Linotype" w:hAnsi="Palatino Linotype" w:cs="Palatino Linotype"/>
          <w:highlight w:val="white"/>
        </w:rPr>
        <w:t>en versión pública de ser procedente</w:t>
      </w:r>
      <w:r>
        <w:rPr>
          <w:rFonts w:ascii="Palatino Linotype" w:eastAsia="Palatino Linotype" w:hAnsi="Palatino Linotype" w:cs="Palatino Linotype"/>
        </w:rPr>
        <w:t>, del documento o documentos en donde conste lo siguiente:</w:t>
      </w:r>
    </w:p>
    <w:p w:rsidR="00F467A3" w:rsidRDefault="00066DA3">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constancias de no </w:t>
      </w:r>
      <w:r w:rsidR="0056316C">
        <w:rPr>
          <w:rFonts w:ascii="Palatino Linotype" w:eastAsia="Palatino Linotype" w:hAnsi="Palatino Linotype" w:cs="Palatino Linotype"/>
          <w:color w:val="000000"/>
        </w:rPr>
        <w:t>in</w:t>
      </w:r>
      <w:r>
        <w:rPr>
          <w:rFonts w:ascii="Palatino Linotype" w:eastAsia="Palatino Linotype" w:hAnsi="Palatino Linotype" w:cs="Palatino Linotype"/>
          <w:color w:val="000000"/>
        </w:rPr>
        <w:t>habilitación del Tesorero Municipal, Director de Desarrollo Económico, Director de Servicios Públicos, Titular de la Oficialía Mediadora-Conciliadora, Titular de la Oficialía Calificadora, Director de Seguridad Pública, Protección Civil, Bomberos y Movilidad, Contralor Municipal, Directora de Bienestar Social, Director de Gobierno y  Director de Desarrollo Rural, vigente al diez de enero del año 2022.</w:t>
      </w:r>
    </w:p>
    <w:p w:rsidR="00F467A3" w:rsidRDefault="00066DA3">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El certificado de antecedentes no penales del Tesorero Municipal, Director de Desarrollo Urbano y Ecología, Director de Desarrollo Económico, Director de Servicios Públicos, Titular de la Oficialía Mediadora-Conciliadora, Titular de la Oficialía Calificadora, Director de Seguridad Pública, Protección Civil, Bomberos y Movilidad, Contralor Municipal, Directora de Bienestar Social, Director de Gobierno y  Director de Desarrollo Rural</w:t>
      </w:r>
      <w:r>
        <w:rPr>
          <w:rFonts w:ascii="Palatino Linotype" w:eastAsia="Palatino Linotype" w:hAnsi="Palatino Linotype" w:cs="Palatino Linotype"/>
        </w:rPr>
        <w:t>, vigente al diez de enero del año 2022.</w:t>
      </w:r>
    </w:p>
    <w:p w:rsidR="00F467A3" w:rsidRDefault="00066DA3">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Grado de estudios del </w:t>
      </w:r>
      <w:r>
        <w:rPr>
          <w:rFonts w:ascii="Palatino Linotype" w:eastAsia="Palatino Linotype" w:hAnsi="Palatino Linotype" w:cs="Palatino Linotype"/>
          <w:color w:val="000000"/>
        </w:rPr>
        <w:t xml:space="preserve">Tesorero Municipal, Director de Desarrollo Urbano y Ecología, Director de Desarrollo Económico, Director de Servicios Públicos, Titular de la Oficialía Mediadora-Conciliadora, Titular de la Oficialía Calificadora, Director de Seguridad Pública, Protección Civil, Bomberos y Movilidad, Contralor Municipal, Directora de Bienestar Social, Director de </w:t>
      </w:r>
      <w:r>
        <w:rPr>
          <w:rFonts w:ascii="Palatino Linotype" w:eastAsia="Palatino Linotype" w:hAnsi="Palatino Linotype" w:cs="Palatino Linotype"/>
          <w:color w:val="000000"/>
        </w:rPr>
        <w:lastRenderedPageBreak/>
        <w:t>Gobierno y  Director de Desarrollo Rural</w:t>
      </w:r>
      <w:r>
        <w:rPr>
          <w:rFonts w:ascii="Palatino Linotype" w:eastAsia="Palatino Linotype" w:hAnsi="Palatino Linotype" w:cs="Palatino Linotype"/>
        </w:rPr>
        <w:t>, vigente al diez de enero del año 2022.</w:t>
      </w:r>
    </w:p>
    <w:p w:rsidR="00F467A3" w:rsidRDefault="00066DA3">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curriculum vitae o documento análogo </w:t>
      </w:r>
      <w:r w:rsidR="0056316C">
        <w:rPr>
          <w:rFonts w:ascii="Palatino Linotype" w:eastAsia="Palatino Linotype" w:hAnsi="Palatino Linotype" w:cs="Palatino Linotype"/>
          <w:color w:val="000000"/>
        </w:rPr>
        <w:t>y los documentos</w:t>
      </w:r>
      <w:r w:rsidR="0056316C" w:rsidRPr="00AA4AF0">
        <w:rPr>
          <w:rFonts w:ascii="Palatino Linotype" w:eastAsia="Palatino Linotype" w:hAnsi="Palatino Linotype" w:cs="Palatino Linotype"/>
          <w:color w:val="000000"/>
        </w:rPr>
        <w:t xml:space="preserve"> que acredite</w:t>
      </w:r>
      <w:r w:rsidR="0056316C">
        <w:rPr>
          <w:rFonts w:ascii="Palatino Linotype" w:eastAsia="Palatino Linotype" w:hAnsi="Palatino Linotype" w:cs="Palatino Linotype"/>
          <w:color w:val="000000"/>
        </w:rPr>
        <w:t>n</w:t>
      </w:r>
      <w:r w:rsidR="0056316C" w:rsidRPr="00AA4AF0">
        <w:rPr>
          <w:rFonts w:ascii="Palatino Linotype" w:eastAsia="Palatino Linotype" w:hAnsi="Palatino Linotype" w:cs="Palatino Linotype"/>
          <w:color w:val="000000"/>
        </w:rPr>
        <w:t xml:space="preserve"> la experiencia laboral</w:t>
      </w:r>
      <w:r w:rsidR="0056316C">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del Tesorero Municipal, Director de Desarrollo Económico, Director de Servicios Públicos, Titular de la Oficialía Mediadora-Conciliadora, Titular de la Oficialía Calificadora, Director de Seguridad Pública, Protección Civil, Bomberos y Movilidad, Contralor Municipal, Directora de Bienestar Social, Director de Gobierno y  Director de Desarrollo Rural</w:t>
      </w:r>
      <w:r>
        <w:rPr>
          <w:rFonts w:ascii="Palatino Linotype" w:eastAsia="Palatino Linotype" w:hAnsi="Palatino Linotype" w:cs="Palatino Linotype"/>
        </w:rPr>
        <w:t>, vigente al diez de enero del año 2022.</w:t>
      </w:r>
    </w:p>
    <w:p w:rsidR="00F467A3" w:rsidRDefault="00066DA3">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Las certificaciones de competencia laboral Tesorero Municipal, Director de Desarrollo Urbano y Ecología, Director de Desarrollo Económico, Director de Servicios Públicos, Titular de la Oficialía Mediadora-Conciliadora, Titular de la Oficialía Calificadora, Director de Seguridad Pública, Protección Civil, Bomberos y Movilidad, Contralor Municipal, Directora de Bienestar Social, Director de Gobierno y  Director de Desarrollo Rural, vigente al diez de enero del año 2022.</w:t>
      </w:r>
    </w:p>
    <w:p w:rsidR="00F467A3" w:rsidRDefault="00066DA3">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El nombramiento del Director de Gobierno y  Director de Desarrollo Rural, vigente el diez de enero del año 2022.</w:t>
      </w:r>
    </w:p>
    <w:p w:rsidR="00F467A3" w:rsidRDefault="00066DA3">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La toma de protesta de los titulares de las diferentes áreas que integran al Ayuntamiento de Valle de Bravo 2022-2024, señaladas en su directorio 2022, vigentes al diez de enero del año dos mil veintidós, con excepción del  </w:t>
      </w:r>
      <w:r>
        <w:rPr>
          <w:rFonts w:ascii="Palatino Linotype" w:eastAsia="Palatino Linotype" w:hAnsi="Palatino Linotype" w:cs="Palatino Linotype"/>
          <w:color w:val="000000"/>
        </w:rPr>
        <w:lastRenderedPageBreak/>
        <w:t>Tesorero Municipal, Contraloría Municipal, Director de Seguridad Pública, Protección Civil, Bomberos y Movilidad, Dirección de Obras Públicas, Directora de Bienestar Social, Director de Desarrollo Urbano y Ecología, Director de Servicios Públicos y Director de Desarrollo Económico.</w:t>
      </w:r>
    </w:p>
    <w:p w:rsidR="00F467A3" w:rsidRDefault="00066DA3">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La acta de entrega-recepción, de las áreas del Ayuntamiento de Valle de Bravo de la Tesorería Municipal, Dirección de Desarrollo Económico, Dirección de Desarrollo Urbano y Ecología,  Dirección de Servicios Públicos, de la Oficialía Mediadora-Conciliadora, de la Oficialía Calificadora, Dirección de Seguridad Pública, Protección Civil, Bomberos y Movilidad, Contraloría Municipal y Dirección de Bienestar Social, Dirección de Gobierno y Dirección de Desarrollo Rural</w:t>
      </w:r>
      <w:r>
        <w:rPr>
          <w:rFonts w:ascii="Palatino Linotype" w:eastAsia="Palatino Linotype" w:hAnsi="Palatino Linotype" w:cs="Palatino Linotype"/>
        </w:rPr>
        <w:t>, vigentes al diez de enero del año 2022.</w:t>
      </w:r>
    </w:p>
    <w:p w:rsidR="00F467A3" w:rsidRDefault="00066D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mismo que igualmente hará de su conocimiento.</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caso, de que no se haya generado la información que se ordena en el inciso “e”, bastará que así se lo haga saber 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manera fundada y motivada. </w:t>
      </w:r>
    </w:p>
    <w:p w:rsidR="00F467A3" w:rsidRDefault="00066DA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Para el caso, de la información que se ordena en el inciso “f”, no se hayan emitido los nombramientos respectivos al diez de enero del año en curso, bastará que así se lo haga saber 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manera fundada y motivada. </w:t>
      </w:r>
    </w:p>
    <w:p w:rsidR="00F467A3" w:rsidRDefault="00066DA3">
      <w:pPr>
        <w:spacing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color w:val="000000"/>
        </w:rPr>
        <w:t xml:space="preserve">Para el caso de la información que se ordena en el inciso “g”, </w:t>
      </w:r>
      <w:r>
        <w:rPr>
          <w:rFonts w:ascii="Palatino Linotype" w:eastAsia="Palatino Linotype" w:hAnsi="Palatino Linotype" w:cs="Palatino Linotype"/>
        </w:rPr>
        <w:t xml:space="preserve">no se hayan nombrado a otros titulares de los que señala en respuesta, bastará que así se lo haga saber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manera fundada y motivada. </w:t>
      </w:r>
    </w:p>
    <w:p w:rsidR="00F467A3" w:rsidRDefault="00066DA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El Acuerdo del Comité de Transparencia en términos del artículo 49 fracción VIII, 122, 143 fracciones I y II y 149 de la Ley de Transparencia y Acceso a la Información Pública del Estado de México y Municipios, en el que funde y motive las razones por virtud de las cuales se justifique la clasificación como totalmente confidenciales las documentales con las cuales acredite la fracción I del artículo 32 de la Ley Orgánica Municipal del Estado de México, indicada en el considerando cuarto de la presente resolución. </w:t>
      </w:r>
    </w:p>
    <w:p w:rsidR="00F467A3" w:rsidRDefault="00066DA3">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F467A3" w:rsidRDefault="00F467A3">
      <w:pPr>
        <w:spacing w:line="360" w:lineRule="auto"/>
        <w:jc w:val="both"/>
        <w:rPr>
          <w:rFonts w:ascii="Palatino Linotype" w:eastAsia="Palatino Linotype" w:hAnsi="Palatino Linotype" w:cs="Palatino Linotype"/>
          <w:b/>
        </w:rPr>
      </w:pPr>
    </w:p>
    <w:p w:rsidR="00F467A3" w:rsidRDefault="00066DA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recurrente, la presente resolución, así como, que de conformidad con lo establecido en el artículo 196 de la Ley de </w:t>
      </w:r>
      <w:r>
        <w:rPr>
          <w:rFonts w:ascii="Palatino Linotype" w:eastAsia="Palatino Linotype" w:hAnsi="Palatino Linotype" w:cs="Palatino Linotype"/>
        </w:rPr>
        <w:lastRenderedPageBreak/>
        <w:t>Transparencia y Acceso a la Información Pública del Estado de México y Municipios, podrá impugnar la presente resolución vía Juicio de Amparo en los términos de las leyes aplicables.</w:t>
      </w:r>
    </w:p>
    <w:p w:rsidR="00F467A3" w:rsidRDefault="00F467A3">
      <w:pPr>
        <w:spacing w:line="360" w:lineRule="auto"/>
        <w:ind w:right="49"/>
        <w:jc w:val="both"/>
        <w:rPr>
          <w:rFonts w:ascii="Palatino Linotype" w:eastAsia="Palatino Linotype" w:hAnsi="Palatino Linotype" w:cs="Palatino Linotype"/>
        </w:rPr>
      </w:pPr>
    </w:p>
    <w:p w:rsidR="00F467A3" w:rsidRDefault="00066DA3">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467A3" w:rsidRDefault="00066DA3">
      <w:pPr>
        <w:spacing w:before="240" w:after="240" w:line="360" w:lineRule="auto"/>
        <w:jc w:val="both"/>
        <w:rPr>
          <w:rFonts w:ascii="Palatino Linotype" w:eastAsia="Palatino Linotype" w:hAnsi="Palatino Linotype" w:cs="Palatino Linotype"/>
        </w:rPr>
        <w:sectPr w:rsidR="00F467A3">
          <w:headerReference w:type="default" r:id="rId65"/>
          <w:footerReference w:type="default" r:id="rId66"/>
          <w:headerReference w:type="first" r:id="rId67"/>
          <w:footerReference w:type="first" r:id="rId68"/>
          <w:pgSz w:w="12240" w:h="15840"/>
          <w:pgMar w:top="2041" w:right="1701" w:bottom="1701" w:left="1701" w:header="709" w:footer="709" w:gutter="0"/>
          <w:pgNumType w:start="1"/>
          <w:cols w:space="720"/>
          <w:titlePg/>
        </w:sectPr>
      </w:pPr>
      <w:bookmarkStart w:id="2" w:name="_heading=h.gjdgxs" w:colFirst="0" w:colLast="0"/>
      <w:bookmarkEnd w:id="2"/>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highlight w:val="white"/>
        </w:rPr>
        <w:t xml:space="preserve">DÉCIMA SEGUNDA </w:t>
      </w:r>
      <w:r>
        <w:rPr>
          <w:rFonts w:ascii="Palatino Linotype" w:eastAsia="Palatino Linotype" w:hAnsi="Palatino Linotype" w:cs="Palatino Linotype"/>
          <w:color w:val="222222"/>
          <w:highlight w:val="white"/>
        </w:rPr>
        <w:t xml:space="preserve">SESIÓN ORDINARIA CELEBRADA EL </w:t>
      </w:r>
      <w:r>
        <w:rPr>
          <w:rFonts w:ascii="Palatino Linotype" w:eastAsia="Palatino Linotype" w:hAnsi="Palatino Linotype" w:cs="Palatino Linotype"/>
          <w:color w:val="222222"/>
        </w:rPr>
        <w:t>TREINTA</w:t>
      </w:r>
      <w:r>
        <w:rPr>
          <w:rFonts w:ascii="Palatino Linotype" w:eastAsia="Palatino Linotype" w:hAnsi="Palatino Linotype" w:cs="Palatino Linotype"/>
        </w:rPr>
        <w:t xml:space="preserve"> DE MARZO DEL DOS MIL VEINTIDÓS, ANTE EL SECRETARIO TÉCNICO DEL PLENO ALEXIS TAPIA RAMÍREZ.</w:t>
      </w:r>
    </w:p>
    <w:p w:rsidR="00F467A3" w:rsidRDefault="00F467A3">
      <w:pPr>
        <w:spacing w:before="240" w:after="240" w:line="360" w:lineRule="auto"/>
        <w:jc w:val="both"/>
        <w:rPr>
          <w:rFonts w:ascii="Palatino Linotype" w:eastAsia="Palatino Linotype" w:hAnsi="Palatino Linotype" w:cs="Palatino Linotype"/>
        </w:rPr>
      </w:pPr>
    </w:p>
    <w:sectPr w:rsidR="00F467A3">
      <w:headerReference w:type="first" r:id="rId6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BE8" w:rsidRDefault="00897BE8">
      <w:r>
        <w:separator/>
      </w:r>
    </w:p>
  </w:endnote>
  <w:endnote w:type="continuationSeparator" w:id="0">
    <w:p w:rsidR="00897BE8" w:rsidRDefault="00897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A3" w:rsidRDefault="00066DA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163A9">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163A9">
      <w:rPr>
        <w:rFonts w:ascii="Arial" w:eastAsia="Arial" w:hAnsi="Arial" w:cs="Arial"/>
        <w:b/>
        <w:noProof/>
        <w:color w:val="000000"/>
        <w:sz w:val="20"/>
        <w:szCs w:val="20"/>
      </w:rPr>
      <w:t>90</w:t>
    </w:r>
    <w:r>
      <w:rPr>
        <w:rFonts w:ascii="Arial" w:eastAsia="Arial" w:hAnsi="Arial" w:cs="Arial"/>
        <w:b/>
        <w:color w:val="000000"/>
        <w:sz w:val="20"/>
        <w:szCs w:val="20"/>
      </w:rPr>
      <w:fldChar w:fldCharType="end"/>
    </w:r>
  </w:p>
  <w:p w:rsidR="00F467A3" w:rsidRDefault="00F467A3">
    <w:pPr>
      <w:pBdr>
        <w:top w:val="nil"/>
        <w:left w:val="nil"/>
        <w:bottom w:val="nil"/>
        <w:right w:val="nil"/>
        <w:between w:val="nil"/>
      </w:pBdr>
      <w:tabs>
        <w:tab w:val="center" w:pos="4252"/>
        <w:tab w:val="right" w:pos="8504"/>
      </w:tabs>
      <w:rPr>
        <w:color w:val="000000"/>
      </w:rPr>
    </w:pPr>
  </w:p>
  <w:p w:rsidR="00F467A3" w:rsidRDefault="00F467A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A3" w:rsidRDefault="00066DA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163A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163A9">
      <w:rPr>
        <w:rFonts w:ascii="Arial" w:eastAsia="Arial" w:hAnsi="Arial" w:cs="Arial"/>
        <w:b/>
        <w:noProof/>
        <w:color w:val="000000"/>
        <w:sz w:val="20"/>
        <w:szCs w:val="20"/>
      </w:rPr>
      <w:t>90</w:t>
    </w:r>
    <w:r>
      <w:rPr>
        <w:rFonts w:ascii="Arial" w:eastAsia="Arial" w:hAnsi="Arial" w:cs="Arial"/>
        <w:b/>
        <w:color w:val="000000"/>
        <w:sz w:val="20"/>
        <w:szCs w:val="20"/>
      </w:rPr>
      <w:fldChar w:fldCharType="end"/>
    </w:r>
  </w:p>
  <w:p w:rsidR="00F467A3" w:rsidRDefault="00F467A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BE8" w:rsidRDefault="00897BE8">
      <w:r>
        <w:separator/>
      </w:r>
    </w:p>
  </w:footnote>
  <w:footnote w:type="continuationSeparator" w:id="0">
    <w:p w:rsidR="00897BE8" w:rsidRDefault="00897BE8">
      <w:r>
        <w:continuationSeparator/>
      </w:r>
    </w:p>
  </w:footnote>
  <w:footnote w:id="1">
    <w:p w:rsidR="00F467A3" w:rsidRDefault="00066DA3">
      <w:pPr>
        <w:rPr>
          <w:rFonts w:ascii="Calibri" w:eastAsia="Calibri" w:hAnsi="Calibri" w:cs="Calibri"/>
          <w:sz w:val="20"/>
          <w:szCs w:val="20"/>
        </w:rPr>
      </w:pPr>
      <w:r>
        <w:rPr>
          <w:vertAlign w:val="superscript"/>
        </w:rPr>
        <w:footnoteRef/>
      </w:r>
      <w:r>
        <w:t xml:space="preserve"> </w:t>
      </w:r>
      <w:r>
        <w:rPr>
          <w:rFonts w:ascii="Palatino Linotype" w:eastAsia="Palatino Linotype" w:hAnsi="Palatino Linotype" w:cs="Palatino Linotype"/>
          <w:sz w:val="20"/>
          <w:szCs w:val="20"/>
        </w:rPr>
        <w:t>Certificación, disponible en http://ihaem.edomex.gob.mx/que_es la_certificacion.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A3" w:rsidRDefault="00F467A3">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1"/>
      <w:gridCol w:w="2977"/>
    </w:tblGrid>
    <w:tr w:rsidR="00F467A3">
      <w:tc>
        <w:tcPr>
          <w:tcW w:w="2551" w:type="dxa"/>
          <w:vAlign w:val="center"/>
        </w:tcPr>
        <w:p w:rsidR="00F467A3" w:rsidRDefault="00066D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F467A3" w:rsidRDefault="00066DA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00589/INFOEM/IP/RR/2022 y acumulados.</w:t>
          </w:r>
        </w:p>
      </w:tc>
    </w:tr>
    <w:tr w:rsidR="00F467A3">
      <w:trPr>
        <w:trHeight w:val="228"/>
      </w:trPr>
      <w:tc>
        <w:tcPr>
          <w:tcW w:w="2551" w:type="dxa"/>
          <w:vAlign w:val="center"/>
        </w:tcPr>
        <w:p w:rsidR="00F467A3" w:rsidRDefault="00066D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F467A3" w:rsidRDefault="00066DA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Bravo.</w:t>
          </w:r>
        </w:p>
      </w:tc>
    </w:tr>
    <w:tr w:rsidR="00F467A3">
      <w:tc>
        <w:tcPr>
          <w:tcW w:w="2551" w:type="dxa"/>
          <w:vAlign w:val="center"/>
        </w:tcPr>
        <w:p w:rsidR="00F467A3" w:rsidRDefault="00066D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F467A3" w:rsidRDefault="00066DA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467A3" w:rsidRDefault="00066DA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-695769</wp:posOffset>
          </wp:positionH>
          <wp:positionV relativeFrom="paragraph">
            <wp:posOffset>-1200944</wp:posOffset>
          </wp:positionV>
          <wp:extent cx="7809876" cy="10165823"/>
          <wp:effectExtent l="0" t="0" r="0" b="0"/>
          <wp:wrapNone/>
          <wp:docPr id="1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A3" w:rsidRDefault="00066DA3">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-846159</wp:posOffset>
          </wp:positionH>
          <wp:positionV relativeFrom="paragraph">
            <wp:posOffset>-171230</wp:posOffset>
          </wp:positionV>
          <wp:extent cx="7809876" cy="10165823"/>
          <wp:effectExtent l="0" t="0" r="0" b="0"/>
          <wp:wrapNone/>
          <wp:docPr id="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70" w:type="dxa"/>
      <w:tblInd w:w="3119" w:type="dxa"/>
      <w:tblLayout w:type="fixed"/>
      <w:tblLook w:val="0400" w:firstRow="0" w:lastRow="0" w:firstColumn="0" w:lastColumn="0" w:noHBand="0" w:noVBand="1"/>
    </w:tblPr>
    <w:tblGrid>
      <w:gridCol w:w="2551"/>
      <w:gridCol w:w="3119"/>
    </w:tblGrid>
    <w:tr w:rsidR="00F467A3">
      <w:tc>
        <w:tcPr>
          <w:tcW w:w="2551" w:type="dxa"/>
          <w:vAlign w:val="center"/>
        </w:tcPr>
        <w:p w:rsidR="00F467A3" w:rsidRDefault="00066D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F467A3" w:rsidRDefault="00066DA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00589/INFOEM/IP/RR/2022 y acumulados.</w:t>
          </w:r>
        </w:p>
      </w:tc>
    </w:tr>
    <w:tr w:rsidR="00F467A3">
      <w:tc>
        <w:tcPr>
          <w:tcW w:w="2551" w:type="dxa"/>
          <w:vAlign w:val="center"/>
        </w:tcPr>
        <w:p w:rsidR="00F467A3" w:rsidRDefault="00066DA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F467A3" w:rsidRDefault="002163A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p>
      </w:tc>
    </w:tr>
    <w:tr w:rsidR="00F467A3">
      <w:trPr>
        <w:trHeight w:val="228"/>
      </w:trPr>
      <w:tc>
        <w:tcPr>
          <w:tcW w:w="2551" w:type="dxa"/>
          <w:vAlign w:val="center"/>
        </w:tcPr>
        <w:p w:rsidR="00F467A3" w:rsidRDefault="00066D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F467A3" w:rsidRDefault="00066DA3">
          <w:pPr>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Bravo.</w:t>
          </w:r>
        </w:p>
      </w:tc>
    </w:tr>
    <w:tr w:rsidR="00F467A3">
      <w:tc>
        <w:tcPr>
          <w:tcW w:w="2551" w:type="dxa"/>
          <w:vAlign w:val="center"/>
        </w:tcPr>
        <w:p w:rsidR="00F467A3" w:rsidRDefault="00066D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F467A3" w:rsidRDefault="00066DA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467A3" w:rsidRDefault="00F467A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A3" w:rsidRDefault="00F467A3">
    <w:pPr>
      <w:pBdr>
        <w:top w:val="nil"/>
        <w:left w:val="nil"/>
        <w:bottom w:val="nil"/>
        <w:right w:val="nil"/>
        <w:between w:val="nil"/>
      </w:pBdr>
      <w:tabs>
        <w:tab w:val="center" w:pos="4252"/>
        <w:tab w:val="right" w:pos="8504"/>
      </w:tabs>
      <w:jc w:val="both"/>
      <w:rPr>
        <w:rFonts w:ascii="Calibri" w:eastAsia="Calibri" w:hAnsi="Calibri" w:cs="Calibri"/>
        <w:color w:val="000000"/>
      </w:rPr>
    </w:pPr>
  </w:p>
  <w:p w:rsidR="00F467A3" w:rsidRDefault="00F467A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175A01"/>
    <w:multiLevelType w:val="multilevel"/>
    <w:tmpl w:val="582C12C4"/>
    <w:lvl w:ilvl="0">
      <w:start w:val="9"/>
      <w:numFmt w:val="bullet"/>
      <w:lvlText w:val="-"/>
      <w:lvlJc w:val="left"/>
      <w:pPr>
        <w:ind w:left="389" w:hanging="360"/>
      </w:pPr>
      <w:rPr>
        <w:rFonts w:ascii="Palatino Linotype" w:eastAsia="Palatino Linotype" w:hAnsi="Palatino Linotype" w:cs="Palatino Linotype"/>
      </w:rPr>
    </w:lvl>
    <w:lvl w:ilvl="1">
      <w:start w:val="1"/>
      <w:numFmt w:val="bullet"/>
      <w:lvlText w:val="o"/>
      <w:lvlJc w:val="left"/>
      <w:pPr>
        <w:ind w:left="1109" w:hanging="360"/>
      </w:pPr>
      <w:rPr>
        <w:rFonts w:ascii="Courier New" w:eastAsia="Courier New" w:hAnsi="Courier New" w:cs="Courier New"/>
      </w:rPr>
    </w:lvl>
    <w:lvl w:ilvl="2">
      <w:start w:val="1"/>
      <w:numFmt w:val="bullet"/>
      <w:lvlText w:val="▪"/>
      <w:lvlJc w:val="left"/>
      <w:pPr>
        <w:ind w:left="1829" w:hanging="360"/>
      </w:pPr>
      <w:rPr>
        <w:rFonts w:ascii="Noto Sans Symbols" w:eastAsia="Noto Sans Symbols" w:hAnsi="Noto Sans Symbols" w:cs="Noto Sans Symbols"/>
      </w:rPr>
    </w:lvl>
    <w:lvl w:ilvl="3">
      <w:start w:val="1"/>
      <w:numFmt w:val="bullet"/>
      <w:lvlText w:val="●"/>
      <w:lvlJc w:val="left"/>
      <w:pPr>
        <w:ind w:left="2549" w:hanging="360"/>
      </w:pPr>
      <w:rPr>
        <w:rFonts w:ascii="Noto Sans Symbols" w:eastAsia="Noto Sans Symbols" w:hAnsi="Noto Sans Symbols" w:cs="Noto Sans Symbols"/>
      </w:rPr>
    </w:lvl>
    <w:lvl w:ilvl="4">
      <w:start w:val="1"/>
      <w:numFmt w:val="bullet"/>
      <w:lvlText w:val="o"/>
      <w:lvlJc w:val="left"/>
      <w:pPr>
        <w:ind w:left="3269" w:hanging="360"/>
      </w:pPr>
      <w:rPr>
        <w:rFonts w:ascii="Courier New" w:eastAsia="Courier New" w:hAnsi="Courier New" w:cs="Courier New"/>
      </w:rPr>
    </w:lvl>
    <w:lvl w:ilvl="5">
      <w:start w:val="1"/>
      <w:numFmt w:val="bullet"/>
      <w:lvlText w:val="▪"/>
      <w:lvlJc w:val="left"/>
      <w:pPr>
        <w:ind w:left="3989" w:hanging="360"/>
      </w:pPr>
      <w:rPr>
        <w:rFonts w:ascii="Noto Sans Symbols" w:eastAsia="Noto Sans Symbols" w:hAnsi="Noto Sans Symbols" w:cs="Noto Sans Symbols"/>
      </w:rPr>
    </w:lvl>
    <w:lvl w:ilvl="6">
      <w:start w:val="1"/>
      <w:numFmt w:val="bullet"/>
      <w:lvlText w:val="●"/>
      <w:lvlJc w:val="left"/>
      <w:pPr>
        <w:ind w:left="4709" w:hanging="360"/>
      </w:pPr>
      <w:rPr>
        <w:rFonts w:ascii="Noto Sans Symbols" w:eastAsia="Noto Sans Symbols" w:hAnsi="Noto Sans Symbols" w:cs="Noto Sans Symbols"/>
      </w:rPr>
    </w:lvl>
    <w:lvl w:ilvl="7">
      <w:start w:val="1"/>
      <w:numFmt w:val="bullet"/>
      <w:lvlText w:val="o"/>
      <w:lvlJc w:val="left"/>
      <w:pPr>
        <w:ind w:left="5429" w:hanging="360"/>
      </w:pPr>
      <w:rPr>
        <w:rFonts w:ascii="Courier New" w:eastAsia="Courier New" w:hAnsi="Courier New" w:cs="Courier New"/>
      </w:rPr>
    </w:lvl>
    <w:lvl w:ilvl="8">
      <w:start w:val="1"/>
      <w:numFmt w:val="bullet"/>
      <w:lvlText w:val="▪"/>
      <w:lvlJc w:val="left"/>
      <w:pPr>
        <w:ind w:left="6149" w:hanging="360"/>
      </w:pPr>
      <w:rPr>
        <w:rFonts w:ascii="Noto Sans Symbols" w:eastAsia="Noto Sans Symbols" w:hAnsi="Noto Sans Symbols" w:cs="Noto Sans Symbols"/>
      </w:rPr>
    </w:lvl>
  </w:abstractNum>
  <w:abstractNum w:abstractNumId="1" w15:restartNumberingAfterBreak="0">
    <w:nsid w:val="28754A93"/>
    <w:multiLevelType w:val="multilevel"/>
    <w:tmpl w:val="42E498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1755E0"/>
    <w:multiLevelType w:val="multilevel"/>
    <w:tmpl w:val="83BE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0B066D"/>
    <w:multiLevelType w:val="multilevel"/>
    <w:tmpl w:val="8892B3F6"/>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6" w15:restartNumberingAfterBreak="0">
    <w:nsid w:val="660047B8"/>
    <w:multiLevelType w:val="multilevel"/>
    <w:tmpl w:val="224C3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7D9223EE"/>
    <w:multiLevelType w:val="multilevel"/>
    <w:tmpl w:val="21E46F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1"/>
  </w:num>
  <w:num w:numId="4">
    <w:abstractNumId w:val="6"/>
  </w:num>
  <w:num w:numId="5">
    <w:abstractNumId w:val="0"/>
  </w:num>
  <w:num w:numId="6">
    <w:abstractNumId w:val="2"/>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7A3"/>
    <w:rsid w:val="00066DA3"/>
    <w:rsid w:val="002163A9"/>
    <w:rsid w:val="0056316C"/>
    <w:rsid w:val="00897BE8"/>
    <w:rsid w:val="00974792"/>
    <w:rsid w:val="00D04BEB"/>
    <w:rsid w:val="00F467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A78ACF-40FD-46E6-8687-0964D2B3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dium">
    <w:name w:val="medium"/>
    <w:basedOn w:val="Fuentedeprrafopredeter"/>
    <w:rsid w:val="007E376F"/>
  </w:style>
  <w:style w:type="character" w:customStyle="1" w:styleId="apple-tab-span">
    <w:name w:val="apple-tab-span"/>
    <w:basedOn w:val="Fuentedeprrafopredeter"/>
    <w:rsid w:val="00C27700"/>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saimex.org.mx/saimex/solicitud/downloadAttach/1329188.page" TargetMode="External"/><Relationship Id="rId21" Type="http://schemas.openxmlformats.org/officeDocument/2006/relationships/hyperlink" Target="https://www.saimex.org.mx/saimex/solicitud/downloadAttach/1329839.page" TargetMode="External"/><Relationship Id="rId42" Type="http://schemas.openxmlformats.org/officeDocument/2006/relationships/image" Target="media/image26.png"/><Relationship Id="rId47" Type="http://schemas.openxmlformats.org/officeDocument/2006/relationships/image" Target="media/image7.png"/><Relationship Id="rId63" Type="http://schemas.openxmlformats.org/officeDocument/2006/relationships/hyperlink" Target="https://www.saimex.org.mx/saimex/revision/acuse/412435/0/0.page"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saimex.org.mx/saimex/solicitud/downloadAttach/1329166.page" TargetMode="External"/><Relationship Id="rId11" Type="http://schemas.openxmlformats.org/officeDocument/2006/relationships/hyperlink" Target="https://www.saimex.org.mx/saimex/solicitud/downloadAttach/1318597.page" TargetMode="External"/><Relationship Id="rId24" Type="http://schemas.openxmlformats.org/officeDocument/2006/relationships/hyperlink" Target="https://www.saimex.org.mx/saimex/solicitud/downloadAttach/1329842.page" TargetMode="External"/><Relationship Id="rId32" Type="http://schemas.openxmlformats.org/officeDocument/2006/relationships/hyperlink" Target="https://www.saimex.org.mx/saimex/solicitud/downloadAttach/1329169.page" TargetMode="External"/><Relationship Id="rId37" Type="http://schemas.openxmlformats.org/officeDocument/2006/relationships/image" Target="media/image23.png"/><Relationship Id="rId40" Type="http://schemas.openxmlformats.org/officeDocument/2006/relationships/image" Target="media/image19.png"/><Relationship Id="rId45" Type="http://schemas.openxmlformats.org/officeDocument/2006/relationships/image" Target="media/image12.png"/><Relationship Id="rId53" Type="http://schemas.openxmlformats.org/officeDocument/2006/relationships/image" Target="media/image24.png"/><Relationship Id="rId58" Type="http://schemas.openxmlformats.org/officeDocument/2006/relationships/image" Target="media/image14.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https://www.saimex.org.mx/saimex/revision/acuse/412697/0/0.page" TargetMode="External"/><Relationship Id="rId14" Type="http://schemas.openxmlformats.org/officeDocument/2006/relationships/hyperlink" Target="https://www.saimex.org.mx/saimex/solicitud/downloadAttach/1320782.page" TargetMode="External"/><Relationship Id="rId22" Type="http://schemas.openxmlformats.org/officeDocument/2006/relationships/hyperlink" Target="https://www.saimex.org.mx/saimex/solicitud/downloadAttach/1329840.page" TargetMode="External"/><Relationship Id="rId27" Type="http://schemas.openxmlformats.org/officeDocument/2006/relationships/hyperlink" Target="https://www.saimex.org.mx/saimex/revision/acuse/412404/0/0.page" TargetMode="External"/><Relationship Id="rId30" Type="http://schemas.openxmlformats.org/officeDocument/2006/relationships/hyperlink" Target="https://www.saimex.org.mx/saimex/solicitud/downloadAttach/1329167.page" TargetMode="External"/><Relationship Id="rId35" Type="http://schemas.openxmlformats.org/officeDocument/2006/relationships/hyperlink" Target="https://www.saimex.org.mx/saimex/solicitud/downloadAttach/1329167.page" TargetMode="External"/><Relationship Id="rId43" Type="http://schemas.openxmlformats.org/officeDocument/2006/relationships/image" Target="media/image5.png"/><Relationship Id="rId48" Type="http://schemas.openxmlformats.org/officeDocument/2006/relationships/image" Target="media/image25.png"/><Relationship Id="rId56" Type="http://schemas.openxmlformats.org/officeDocument/2006/relationships/image" Target="media/image21.png"/><Relationship Id="rId64" Type="http://schemas.openxmlformats.org/officeDocument/2006/relationships/hyperlink" Target="https://www.saimex.org.mx/saimex/revision/acuse/412404/0/0.page" TargetMode="External"/><Relationship Id="rId69" Type="http://schemas.openxmlformats.org/officeDocument/2006/relationships/header" Target="header3.xml"/><Relationship Id="rId8" Type="http://schemas.openxmlformats.org/officeDocument/2006/relationships/hyperlink" Target="https://www.saimex.org.mx/saimex/revision/acuse/412697/0/0.page" TargetMode="External"/><Relationship Id="rId51" Type="http://schemas.openxmlformats.org/officeDocument/2006/relationships/hyperlink" Target="https://docplayer.es/5455342-Nuevas-tecnologias-biometricas-instituto-nacional-de-ciencias-penales-procuraduria-general-de-la-republica-version-1-0.html" TargetMode="External"/><Relationship Id="rId3" Type="http://schemas.openxmlformats.org/officeDocument/2006/relationships/styles" Target="styles.xml"/><Relationship Id="rId12" Type="http://schemas.openxmlformats.org/officeDocument/2006/relationships/hyperlink" Target="https://www.saimex.org.mx/saimex/solicitud/downloadAttach/1320780.page" TargetMode="External"/><Relationship Id="rId17" Type="http://schemas.openxmlformats.org/officeDocument/2006/relationships/hyperlink" Target="https://www.saimex.org.mx/saimex/solicitud/downloadAttach/1318596.page" TargetMode="External"/><Relationship Id="rId25" Type="http://schemas.openxmlformats.org/officeDocument/2006/relationships/hyperlink" Target="https://www.saimex.org.mx/saimex/revision/acuse/412435/0/0.page" TargetMode="External"/><Relationship Id="rId33" Type="http://schemas.openxmlformats.org/officeDocument/2006/relationships/hyperlink" Target="https://www.saimex.org.mx/saimex/solicitud/downloadAttach/1329170.page" TargetMode="External"/><Relationship Id="rId38" Type="http://schemas.openxmlformats.org/officeDocument/2006/relationships/image" Target="media/image2.png"/><Relationship Id="rId46" Type="http://schemas.openxmlformats.org/officeDocument/2006/relationships/image" Target="media/image22.png"/><Relationship Id="rId59" Type="http://schemas.openxmlformats.org/officeDocument/2006/relationships/image" Target="media/image15.png"/><Relationship Id="rId67" Type="http://schemas.openxmlformats.org/officeDocument/2006/relationships/header" Target="header2.xml"/><Relationship Id="rId20" Type="http://schemas.openxmlformats.org/officeDocument/2006/relationships/hyperlink" Target="https://www.saimex.org.mx/saimex/solicitud/downloadAttach/1329838.page" TargetMode="External"/><Relationship Id="rId41" Type="http://schemas.openxmlformats.org/officeDocument/2006/relationships/image" Target="media/image4.png"/><Relationship Id="rId54" Type="http://schemas.openxmlformats.org/officeDocument/2006/relationships/image" Target="media/image9.png"/><Relationship Id="rId62" Type="http://schemas.openxmlformats.org/officeDocument/2006/relationships/hyperlink" Target="https://www.saimex.org.mx/saimex/revision/acuse/412697/0/0.pag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319342.page" TargetMode="External"/><Relationship Id="rId23" Type="http://schemas.openxmlformats.org/officeDocument/2006/relationships/hyperlink" Target="https://www.saimex.org.mx/saimex/solicitud/downloadAttach/1329841.page" TargetMode="External"/><Relationship Id="rId28" Type="http://schemas.openxmlformats.org/officeDocument/2006/relationships/hyperlink" Target="https://www.saimex.org.mx/saimex/solicitud/downloadAttach/1329165.page" TargetMode="External"/><Relationship Id="rId36" Type="http://schemas.openxmlformats.org/officeDocument/2006/relationships/hyperlink" Target="https://www.saimex.org.mx/saimex/solicitud/downloadAttach/1329167.page" TargetMode="External"/><Relationship Id="rId49" Type="http://schemas.openxmlformats.org/officeDocument/2006/relationships/image" Target="media/image20.png"/><Relationship Id="rId57" Type="http://schemas.openxmlformats.org/officeDocument/2006/relationships/image" Target="media/image13.png"/><Relationship Id="rId10" Type="http://schemas.openxmlformats.org/officeDocument/2006/relationships/hyperlink" Target="https://www.saimex.org.mx/saimex/revision/acuse/412404/0/0.page" TargetMode="External"/><Relationship Id="rId31" Type="http://schemas.openxmlformats.org/officeDocument/2006/relationships/hyperlink" Target="https://www.saimex.org.mx/saimex/solicitud/downloadAttach/1329168.page" TargetMode="External"/><Relationship Id="rId44" Type="http://schemas.openxmlformats.org/officeDocument/2006/relationships/image" Target="media/image6.png"/><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revision/acuse/412435/0/0.page" TargetMode="External"/><Relationship Id="rId13" Type="http://schemas.openxmlformats.org/officeDocument/2006/relationships/hyperlink" Target="https://www.saimex.org.mx/saimex/solicitud/downloadAttach/1320781.page" TargetMode="External"/><Relationship Id="rId18" Type="http://schemas.openxmlformats.org/officeDocument/2006/relationships/hyperlink" Target="https://www.saimex.org.mx/saimex/solicitud/downloadAttach/1338726.page" TargetMode="External"/><Relationship Id="rId39" Type="http://schemas.openxmlformats.org/officeDocument/2006/relationships/image" Target="media/image3.png"/><Relationship Id="rId34" Type="http://schemas.openxmlformats.org/officeDocument/2006/relationships/hyperlink" Target="https://www.saimex.org.mx/saimex/solicitud/downloadAttach/1329842.page" TargetMode="External"/><Relationship Id="rId50" Type="http://schemas.openxmlformats.org/officeDocument/2006/relationships/image" Target="media/image10.png"/><Relationship Id="rId55"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0awVctDQQXTLkZJCViGy2Ph/9A==">AMUW2mWoHEvZFBVfKGJWzqe0RowOLjxkmwv0XPdv8QAWtI6JPj4vdE5dnpkxn/iqxitGYEWK/IaVUteEQDnz+sbmR7tER9aNx3kT1qqGRJXMuq8Gusu0WV0XOrDXDZmPWDQ/v6ZCrVkM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21167</Words>
  <Characters>116424</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3</cp:revision>
  <dcterms:created xsi:type="dcterms:W3CDTF">2022-03-30T00:06:00Z</dcterms:created>
  <dcterms:modified xsi:type="dcterms:W3CDTF">2022-04-04T22:40:00Z</dcterms:modified>
</cp:coreProperties>
</file>