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60570F">
        <w:rPr>
          <w:rStyle w:val="apple-converted-space"/>
          <w:rFonts w:ascii="Palatino Linotype" w:hAnsi="Palatino Linotype" w:cs="Arial"/>
        </w:rPr>
        <w:t>doce de enero</w:t>
      </w:r>
      <w:r w:rsidR="00252067">
        <w:rPr>
          <w:rStyle w:val="normaltextrun"/>
          <w:rFonts w:ascii="Palatino Linotype" w:hAnsi="Palatino Linotype" w:cs="Arial"/>
        </w:rPr>
        <w:t xml:space="preserve"> del dos mil veintidós</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79175F">
        <w:rPr>
          <w:rFonts w:ascii="Palatino Linotype" w:hAnsi="Palatino Linotype" w:cs="Arial"/>
          <w:b/>
          <w:bCs/>
        </w:rPr>
        <w:t>0</w:t>
      </w:r>
      <w:r w:rsidR="00510B95">
        <w:rPr>
          <w:rFonts w:ascii="Palatino Linotype" w:hAnsi="Palatino Linotype" w:cs="Arial"/>
          <w:b/>
          <w:bCs/>
        </w:rPr>
        <w:t>5254</w:t>
      </w:r>
      <w:r w:rsidR="002A6F11">
        <w:rPr>
          <w:rFonts w:ascii="Palatino Linotype" w:hAnsi="Palatino Linotype" w:cs="Arial"/>
          <w:b/>
          <w:bCs/>
        </w:rPr>
        <w:t>/INFOEM/IP/RR/2021</w:t>
      </w:r>
      <w:r w:rsidRPr="00080788">
        <w:rPr>
          <w:rFonts w:ascii="Palatino Linotype" w:hAnsi="Palatino Linotype" w:cs="Arial"/>
        </w:rPr>
        <w:t xml:space="preserve">, interpuesto por </w:t>
      </w:r>
      <w:r w:rsidR="00510B95">
        <w:rPr>
          <w:rFonts w:ascii="Palatino Linotype" w:hAnsi="Palatino Linotype" w:cs="Arial"/>
          <w:b/>
        </w:rPr>
        <w:t xml:space="preserve">                     </w:t>
      </w:r>
      <w:r w:rsidR="00116785">
        <w:rPr>
          <w:rFonts w:ascii="Palatino Linotype" w:hAnsi="Palatino Linotype" w:cs="Arial"/>
        </w:rPr>
        <w:t xml:space="preserve">en lo sucesivo </w:t>
      </w:r>
      <w:r w:rsidR="00C16923">
        <w:rPr>
          <w:rFonts w:ascii="Palatino Linotype" w:hAnsi="Palatino Linotype" w:cs="Arial"/>
        </w:rPr>
        <w:t>el R</w:t>
      </w:r>
      <w:r w:rsidR="00C6202E">
        <w:rPr>
          <w:rFonts w:ascii="Palatino Linotype" w:hAnsi="Palatino Linotype" w:cs="Arial"/>
        </w:rPr>
        <w:t>ecurrente</w:t>
      </w:r>
      <w:r w:rsidRPr="00080788">
        <w:rPr>
          <w:rFonts w:ascii="Palatino Linotype" w:hAnsi="Palatino Linotype" w:cs="Arial"/>
        </w:rPr>
        <w:t xml:space="preserve"> en contra de la </w:t>
      </w:r>
      <w:r w:rsidR="0060570F">
        <w:rPr>
          <w:rFonts w:ascii="Palatino Linotype" w:hAnsi="Palatino Linotype" w:cs="Arial"/>
        </w:rPr>
        <w:t xml:space="preserve">falta de </w:t>
      </w:r>
      <w:r w:rsidRPr="00080788">
        <w:rPr>
          <w:rFonts w:ascii="Palatino Linotype" w:hAnsi="Palatino Linotype" w:cs="Arial"/>
        </w:rPr>
        <w:t xml:space="preserve">respuesta a su solicitud de </w:t>
      </w:r>
      <w:r w:rsidR="003F2267">
        <w:rPr>
          <w:rFonts w:ascii="Palatino Linotype" w:hAnsi="Palatino Linotype" w:cs="Arial"/>
        </w:rPr>
        <w:t>información con número de folio</w:t>
      </w:r>
      <w:r w:rsidR="003F2267">
        <w:rPr>
          <w:rFonts w:ascii="Verdana" w:hAnsi="Verdana"/>
          <w:b/>
          <w:bCs/>
          <w:color w:val="FF0000"/>
        </w:rPr>
        <w:t> </w:t>
      </w:r>
      <w:r w:rsidR="00510B95" w:rsidRPr="00510B95">
        <w:rPr>
          <w:rFonts w:ascii="Palatino Linotype" w:hAnsi="Palatino Linotype" w:cs="Arial"/>
          <w:b/>
        </w:rPr>
        <w:t>00185/CHICOLOA/IP/2021</w:t>
      </w:r>
      <w:r w:rsidR="00116785" w:rsidRPr="00510B95">
        <w:rPr>
          <w:rFonts w:ascii="Palatino Linotype" w:hAnsi="Palatino Linotype" w:cs="Arial"/>
          <w:b/>
        </w:rPr>
        <w:t>,</w:t>
      </w:r>
      <w:r w:rsidR="00116785">
        <w:rPr>
          <w:rFonts w:ascii="Palatino Linotype" w:hAnsi="Palatino Linotype" w:cs="Arial"/>
        </w:rPr>
        <w:t xml:space="preserve"> </w:t>
      </w:r>
      <w:r w:rsidR="000B6E12">
        <w:rPr>
          <w:rFonts w:ascii="Palatino Linotype" w:hAnsi="Palatino Linotype" w:cs="Arial"/>
        </w:rPr>
        <w:t xml:space="preserve">por parte del </w:t>
      </w:r>
      <w:r w:rsidR="000B6E12" w:rsidRPr="000B6E12">
        <w:rPr>
          <w:rFonts w:ascii="Palatino Linotype" w:hAnsi="Palatino Linotype" w:cs="Arial"/>
          <w:b/>
        </w:rPr>
        <w:t xml:space="preserve">Ayuntamiento de </w:t>
      </w:r>
      <w:r w:rsidR="00510B95">
        <w:rPr>
          <w:rFonts w:ascii="Palatino Linotype" w:hAnsi="Palatino Linotype" w:cs="Arial"/>
          <w:b/>
        </w:rPr>
        <w:t>Chicoloapan</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0B6E12" w:rsidRDefault="002E5396" w:rsidP="000B6E12">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CE169F">
        <w:rPr>
          <w:rFonts w:ascii="Palatino Linotype" w:hAnsi="Palatino Linotype" w:cs="Arial"/>
        </w:rPr>
        <w:t xml:space="preserve">Con fecha </w:t>
      </w:r>
      <w:r w:rsidR="00510B95">
        <w:rPr>
          <w:rFonts w:ascii="Palatino Linotype" w:hAnsi="Palatino Linotype" w:cs="Arial"/>
        </w:rPr>
        <w:t>treinta</w:t>
      </w:r>
      <w:r w:rsidR="000B6E12">
        <w:rPr>
          <w:rFonts w:ascii="Palatino Linotype" w:hAnsi="Palatino Linotype" w:cs="Arial"/>
        </w:rPr>
        <w:t xml:space="preserve"> de septiembre</w:t>
      </w:r>
      <w:r w:rsidR="009A47D5">
        <w:rPr>
          <w:rFonts w:ascii="Palatino Linotype" w:hAnsi="Palatino Linotype" w:cs="Arial"/>
        </w:rPr>
        <w:t xml:space="preserve"> de dos mi</w:t>
      </w:r>
      <w:r w:rsidR="00C6202E">
        <w:rPr>
          <w:rFonts w:ascii="Palatino Linotype" w:hAnsi="Palatino Linotype" w:cs="Arial"/>
        </w:rPr>
        <w:t>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w:t>
      </w:r>
      <w:r w:rsidRPr="00EC5F74">
        <w:rPr>
          <w:rFonts w:ascii="Palatino Linotype" w:hAnsi="Palatino Linotype" w:cs="Arial"/>
        </w:rPr>
        <w:t>requiriéndole lo siguiente:</w:t>
      </w:r>
    </w:p>
    <w:p w:rsidR="002E5396" w:rsidRDefault="002E5396" w:rsidP="000B6E12">
      <w:pPr>
        <w:spacing w:before="240" w:after="240"/>
        <w:ind w:left="851" w:right="902"/>
        <w:contextualSpacing/>
        <w:jc w:val="both"/>
        <w:rPr>
          <w:rFonts w:ascii="Palatino Linotype" w:hAnsi="Palatino Linotype"/>
          <w:i/>
          <w:color w:val="000000"/>
          <w:sz w:val="22"/>
          <w:szCs w:val="22"/>
        </w:rPr>
      </w:pPr>
      <w:r w:rsidRPr="00966DD3">
        <w:rPr>
          <w:rFonts w:ascii="Palatino Linotype" w:hAnsi="Palatino Linotype"/>
          <w:i/>
          <w:color w:val="000000"/>
          <w:sz w:val="22"/>
          <w:szCs w:val="22"/>
        </w:rPr>
        <w:t>“</w:t>
      </w:r>
      <w:r w:rsidR="00510B95" w:rsidRPr="00510B95">
        <w:rPr>
          <w:rFonts w:ascii="Palatino Linotype" w:hAnsi="Palatino Linotype"/>
          <w:i/>
          <w:color w:val="000000"/>
          <w:sz w:val="22"/>
          <w:szCs w:val="22"/>
        </w:rPr>
        <w:t xml:space="preserve">1) Requiero el fundamento legal de cada uno los requisitos para solicitar una licencia de construcción de bardas perimetrales, es decir, por cada requisito su fundamento legal; 2) Requiero los números de los expedientes totalmente concluidos en un periodo comprendido del mes de julio al 29 de septiembre de 2021. 3) Requiero el procedimiento para tramitar el documento conocido como </w:t>
      </w:r>
      <w:r w:rsidR="00510B95" w:rsidRPr="00510B95">
        <w:rPr>
          <w:rFonts w:ascii="Palatino Linotype" w:hAnsi="Palatino Linotype"/>
          <w:i/>
          <w:color w:val="000000"/>
          <w:sz w:val="22"/>
          <w:szCs w:val="22"/>
        </w:rPr>
        <w:lastRenderedPageBreak/>
        <w:t>USO DE SUELO, donde se tramita, el costo, el fundamento legal del costo, el nombre del área donde se tramita.</w:t>
      </w:r>
      <w:r w:rsidR="000B6E12">
        <w:rPr>
          <w:rFonts w:ascii="Palatino Linotype" w:hAnsi="Palatino Linotype"/>
          <w:i/>
          <w:color w:val="000000"/>
          <w:sz w:val="22"/>
          <w:szCs w:val="22"/>
        </w:rPr>
        <w:t>”</w:t>
      </w:r>
      <w:r w:rsidRPr="00966DD3">
        <w:rPr>
          <w:rFonts w:ascii="Palatino Linotype" w:hAnsi="Palatino Linotype"/>
          <w:i/>
          <w:color w:val="000000"/>
          <w:sz w:val="22"/>
          <w:szCs w:val="22"/>
        </w:rPr>
        <w:t>(Sic)</w:t>
      </w:r>
    </w:p>
    <w:p w:rsidR="003F2267" w:rsidRDefault="003F2267" w:rsidP="00966DD3">
      <w:pPr>
        <w:spacing w:before="240" w:after="240"/>
        <w:ind w:left="851" w:right="902"/>
        <w:contextualSpacing/>
        <w:jc w:val="both"/>
        <w:rPr>
          <w:rFonts w:ascii="Palatino Linotype" w:hAnsi="Palatino Linotype"/>
          <w:i/>
          <w:color w:val="000000"/>
          <w:sz w:val="22"/>
          <w:szCs w:val="22"/>
        </w:rPr>
      </w:pP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1A51C8" w:rsidRPr="00AE3757" w:rsidRDefault="002E5396" w:rsidP="001A51C8">
      <w:pPr>
        <w:spacing w:before="240" w:after="240" w:line="360" w:lineRule="auto"/>
        <w:jc w:val="both"/>
        <w:rPr>
          <w:rFonts w:ascii="Palatino Linotype" w:hAnsi="Palatino Linotype" w:cs="Arial"/>
          <w:b/>
        </w:rPr>
      </w:pPr>
      <w:r w:rsidRPr="00AA3766">
        <w:rPr>
          <w:rFonts w:ascii="Palatino Linotype" w:hAnsi="Palatino Linotype" w:cs="Arial"/>
          <w:b/>
        </w:rPr>
        <w:t xml:space="preserve">2. Respuesta. </w:t>
      </w:r>
      <w:r w:rsidR="001A51C8" w:rsidRPr="00AE3757">
        <w:rPr>
          <w:rFonts w:ascii="Palatino Linotype" w:hAnsi="Palatino Linotype" w:cs="Arial"/>
        </w:rPr>
        <w:t xml:space="preserve">De las constancias que obran en </w:t>
      </w:r>
      <w:r w:rsidR="001A51C8" w:rsidRPr="00AE3757">
        <w:rPr>
          <w:rFonts w:ascii="Palatino Linotype" w:hAnsi="Palatino Linotype" w:cs="Arial"/>
          <w:b/>
        </w:rPr>
        <w:t>SAIMEX</w:t>
      </w:r>
      <w:r w:rsidR="001A51C8" w:rsidRPr="00AE3757">
        <w:rPr>
          <w:rFonts w:ascii="Palatino Linotype" w:hAnsi="Palatino Linotype" w:cs="Arial"/>
        </w:rPr>
        <w:t xml:space="preserve">, se observa que </w:t>
      </w:r>
      <w:r w:rsidR="001A51C8" w:rsidRPr="00AE3757">
        <w:rPr>
          <w:rFonts w:ascii="Palatino Linotype" w:hAnsi="Palatino Linotype" w:cs="Arial"/>
          <w:b/>
        </w:rPr>
        <w:t xml:space="preserve">el Sujeto Obligado </w:t>
      </w:r>
      <w:r w:rsidR="001A51C8" w:rsidRPr="00AE3757">
        <w:rPr>
          <w:rFonts w:ascii="Palatino Linotype" w:hAnsi="Palatino Linotype" w:cs="Arial"/>
        </w:rPr>
        <w:t>no emitió respuesta a la solicitud de información formulada por el hoy recurrente.</w:t>
      </w:r>
    </w:p>
    <w:p w:rsidR="002E5396" w:rsidRPr="00080788" w:rsidRDefault="00EC5F74" w:rsidP="002E5396">
      <w:pPr>
        <w:spacing w:before="240" w:after="240" w:line="360" w:lineRule="auto"/>
        <w:jc w:val="both"/>
        <w:rPr>
          <w:rFonts w:ascii="Palatino Linotype" w:hAnsi="Palatino Linotype" w:cs="Arial"/>
        </w:rPr>
      </w:pPr>
      <w:r>
        <w:rPr>
          <w:rFonts w:ascii="Palatino Linotype" w:hAnsi="Palatino Linotype" w:cs="Arial"/>
          <w:b/>
        </w:rPr>
        <w:t>3</w:t>
      </w:r>
      <w:r w:rsidR="002E5396" w:rsidRPr="00080788">
        <w:rPr>
          <w:rFonts w:ascii="Palatino Linotype" w:hAnsi="Palatino Linotype" w:cs="Arial"/>
          <w:b/>
        </w:rPr>
        <w:t xml:space="preserve">. Interposición del recurso de revisión. </w:t>
      </w:r>
      <w:r w:rsidR="00E578F2">
        <w:rPr>
          <w:rFonts w:ascii="Palatino Linotype" w:hAnsi="Palatino Linotype" w:cs="Arial"/>
        </w:rPr>
        <w:t>Inconforme el</w:t>
      </w:r>
      <w:r w:rsidR="002E5396" w:rsidRPr="00080788">
        <w:rPr>
          <w:rFonts w:ascii="Palatino Linotype" w:hAnsi="Palatino Linotype" w:cs="Arial"/>
        </w:rPr>
        <w:t xml:space="preserve"> solicitante con la </w:t>
      </w:r>
      <w:r w:rsidR="00C16923">
        <w:rPr>
          <w:rFonts w:ascii="Palatino Linotype" w:hAnsi="Palatino Linotype" w:cs="Arial"/>
        </w:rPr>
        <w:t xml:space="preserve">falta de </w:t>
      </w:r>
      <w:r w:rsidR="002E5396" w:rsidRPr="00080788">
        <w:rPr>
          <w:rFonts w:ascii="Palatino Linotype" w:hAnsi="Palatino Linotype" w:cs="Arial"/>
        </w:rPr>
        <w:t xml:space="preserve">respuesta del </w:t>
      </w:r>
      <w:r w:rsidR="002E5396" w:rsidRPr="00080788">
        <w:rPr>
          <w:rFonts w:ascii="Palatino Linotype" w:hAnsi="Palatino Linotype" w:cs="Arial"/>
          <w:b/>
        </w:rPr>
        <w:t>Sujeto Obligado</w:t>
      </w:r>
      <w:r w:rsidR="002E5396" w:rsidRPr="00080788">
        <w:rPr>
          <w:rFonts w:ascii="Palatino Linotype" w:hAnsi="Palatino Linotype" w:cs="Arial"/>
        </w:rPr>
        <w:t xml:space="preserve"> interpuso recurso de revisión a t</w:t>
      </w:r>
      <w:r w:rsidR="00AA3766">
        <w:rPr>
          <w:rFonts w:ascii="Palatino Linotype" w:hAnsi="Palatino Linotype" w:cs="Arial"/>
        </w:rPr>
        <w:t>ravés d</w:t>
      </w:r>
      <w:r w:rsidR="00510B95">
        <w:rPr>
          <w:rFonts w:ascii="Palatino Linotype" w:hAnsi="Palatino Linotype" w:cs="Arial"/>
        </w:rPr>
        <w:t>el SAIMEX en fecha veinticinco</w:t>
      </w:r>
      <w:r w:rsidR="00E578F2">
        <w:rPr>
          <w:rFonts w:ascii="Palatino Linotype" w:hAnsi="Palatino Linotype" w:cs="Arial"/>
        </w:rPr>
        <w:t xml:space="preserve"> de octubre</w:t>
      </w:r>
      <w:r w:rsidR="00205EF0">
        <w:rPr>
          <w:rFonts w:ascii="Palatino Linotype" w:hAnsi="Palatino Linotype" w:cs="Arial"/>
        </w:rPr>
        <w:t xml:space="preserve"> del dos mil veintiuno</w:t>
      </w:r>
      <w:r w:rsidR="002E5396" w:rsidRPr="00080788">
        <w:rPr>
          <w:rFonts w:ascii="Palatino Linotype" w:hAnsi="Palatino Linotype" w:cs="Arial"/>
        </w:rPr>
        <w:t>,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2F081A" w:rsidRDefault="002E5396" w:rsidP="002E5396">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510B95" w:rsidRPr="00510B95">
        <w:rPr>
          <w:rFonts w:ascii="Palatino Linotype" w:hAnsi="Palatino Linotype"/>
          <w:i/>
          <w:color w:val="000000"/>
          <w:sz w:val="22"/>
          <w:szCs w:val="22"/>
        </w:rPr>
        <w:t>La negativa de entregar la información requerida</w:t>
      </w:r>
      <w:r w:rsidRPr="002F081A">
        <w:rPr>
          <w:rFonts w:ascii="Palatino Linotype" w:hAnsi="Palatino Linotype"/>
          <w:i/>
          <w:color w:val="000000"/>
          <w:sz w:val="22"/>
          <w:szCs w:val="22"/>
        </w:rPr>
        <w:t>” (Sic)</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Pr="002F081A" w:rsidRDefault="00EC5F74" w:rsidP="00BF5449">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510B95" w:rsidRPr="00510B95">
        <w:rPr>
          <w:rFonts w:ascii="Palatino Linotype" w:hAnsi="Palatino Linotype"/>
          <w:i/>
          <w:color w:val="000000"/>
          <w:sz w:val="22"/>
          <w:szCs w:val="22"/>
        </w:rPr>
        <w:t>La negativa de entregar la información requerida</w:t>
      </w:r>
      <w:r w:rsidRPr="002F081A">
        <w:rPr>
          <w:rFonts w:ascii="Palatino Linotype" w:hAnsi="Palatino Linotype"/>
          <w:i/>
          <w:color w:val="000000"/>
          <w:sz w:val="22"/>
          <w:szCs w:val="22"/>
        </w:rPr>
        <w:t>”</w:t>
      </w:r>
      <w:r w:rsidR="002E5396" w:rsidRPr="002F081A">
        <w:rPr>
          <w:rFonts w:ascii="Palatino Linotype" w:hAnsi="Palatino Linotype"/>
          <w:i/>
          <w:color w:val="000000"/>
          <w:sz w:val="22"/>
          <w:szCs w:val="22"/>
        </w:rPr>
        <w:t xml:space="preserve"> (Sic)</w:t>
      </w:r>
    </w:p>
    <w:p w:rsidR="003B19DA" w:rsidRDefault="00EC5F74" w:rsidP="003B19DA">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2E5396" w:rsidRPr="00080788">
        <w:rPr>
          <w:rFonts w:ascii="Palatino Linotype" w:hAnsi="Palatino Linotype"/>
          <w:b/>
        </w:rPr>
        <w:t xml:space="preserve">. Turno. </w:t>
      </w:r>
      <w:r w:rsidR="003B19DA" w:rsidRPr="00911351">
        <w:rPr>
          <w:rFonts w:ascii="Palatino Linotype" w:hAnsi="Palatino Linotype"/>
        </w:rPr>
        <w:t xml:space="preserve">De conformidad con el artículo 185, fracción I de la </w:t>
      </w:r>
      <w:r w:rsidR="003B19DA" w:rsidRPr="00911351">
        <w:rPr>
          <w:rFonts w:ascii="Palatino Linotype" w:hAnsi="Palatino Linotype" w:cs="Arial"/>
        </w:rPr>
        <w:t xml:space="preserve">Ley de Transparencia y Acceso a la Información Pública del Estado de México y Municipios, el recurso de revisión número </w:t>
      </w:r>
      <w:r>
        <w:rPr>
          <w:rFonts w:ascii="Palatino Linotype" w:hAnsi="Palatino Linotype" w:cs="Arial"/>
          <w:b/>
        </w:rPr>
        <w:t>0</w:t>
      </w:r>
      <w:r w:rsidR="00510B95">
        <w:rPr>
          <w:rFonts w:ascii="Palatino Linotype" w:hAnsi="Palatino Linotype" w:cs="Arial"/>
          <w:b/>
        </w:rPr>
        <w:t>5254</w:t>
      </w:r>
      <w:r w:rsidR="002A6F11">
        <w:rPr>
          <w:rFonts w:ascii="Palatino Linotype" w:hAnsi="Palatino Linotype" w:cs="Arial"/>
          <w:b/>
        </w:rPr>
        <w:t>/INFOEM/IP/RR/2021</w:t>
      </w:r>
      <w:r w:rsidR="003B19DA">
        <w:rPr>
          <w:rFonts w:ascii="Palatino Linotype" w:hAnsi="Palatino Linotype" w:cs="Arial"/>
          <w:b/>
        </w:rPr>
        <w:t xml:space="preserve">, </w:t>
      </w:r>
      <w:r w:rsidR="003B19DA"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C6202E">
        <w:rPr>
          <w:rFonts w:ascii="Palatino Linotype" w:hAnsi="Palatino Linotype" w:cs="Arial"/>
        </w:rPr>
        <w:t xml:space="preserve">a la </w:t>
      </w:r>
      <w:r w:rsidR="00C6202E">
        <w:rPr>
          <w:rFonts w:ascii="Palatino Linotype" w:eastAsia="Calibri" w:hAnsi="Palatino Linotype" w:cs="Arial"/>
        </w:rPr>
        <w:t>Comisionada</w:t>
      </w:r>
      <w:r w:rsidR="003B19DA" w:rsidRPr="00553FFC">
        <w:rPr>
          <w:rFonts w:ascii="Palatino Linotype" w:eastAsia="Calibri" w:hAnsi="Palatino Linotype" w:cs="Arial"/>
        </w:rPr>
        <w:t xml:space="preserve"> </w:t>
      </w:r>
      <w:r w:rsidR="00C6202E">
        <w:rPr>
          <w:rFonts w:ascii="Palatino Linotype" w:eastAsia="Calibri" w:hAnsi="Palatino Linotype" w:cs="Arial"/>
          <w:b/>
        </w:rPr>
        <w:t>Guadalupe Ramírez Peña</w:t>
      </w:r>
      <w:r w:rsidR="003B19DA" w:rsidRPr="00911351">
        <w:rPr>
          <w:rFonts w:ascii="Palatino Linotype" w:hAnsi="Palatino Linotype"/>
        </w:rPr>
        <w:t xml:space="preserve">, </w:t>
      </w:r>
      <w:r w:rsidR="003B19DA" w:rsidRPr="009F7D9F">
        <w:rPr>
          <w:rFonts w:ascii="Palatino Linotype" w:hAnsi="Palatino Linotype" w:cs="Arial"/>
        </w:rPr>
        <w:t xml:space="preserve">para su análisis, estudio, elaboración del proyecto y </w:t>
      </w:r>
      <w:r w:rsidR="003B19DA" w:rsidRPr="009F7D9F">
        <w:rPr>
          <w:rFonts w:ascii="Palatino Linotype" w:eastAsia="Calibri" w:hAnsi="Palatino Linotype" w:cs="Arial"/>
        </w:rPr>
        <w:t xml:space="preserve">presentación </w:t>
      </w:r>
      <w:r w:rsidR="003B19DA">
        <w:rPr>
          <w:rFonts w:ascii="Palatino Linotype" w:eastAsia="Calibri" w:hAnsi="Palatino Linotype" w:cs="Arial"/>
        </w:rPr>
        <w:t>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EC5F74" w:rsidP="002E5396">
      <w:pPr>
        <w:spacing w:before="240" w:after="240" w:line="360" w:lineRule="auto"/>
        <w:contextualSpacing/>
        <w:jc w:val="both"/>
        <w:rPr>
          <w:rFonts w:ascii="Palatino Linotype" w:hAnsi="Palatino Linotype" w:cs="Arial"/>
        </w:rPr>
      </w:pPr>
      <w:r>
        <w:rPr>
          <w:rFonts w:ascii="Palatino Linotype" w:hAnsi="Palatino Linotype" w:cs="Arial"/>
          <w:b/>
        </w:rPr>
        <w:lastRenderedPageBreak/>
        <w:t>5</w:t>
      </w:r>
      <w:r w:rsidR="002E5396" w:rsidRPr="00080788">
        <w:rPr>
          <w:rFonts w:ascii="Palatino Linotype" w:hAnsi="Palatino Linotype" w:cs="Arial"/>
          <w:b/>
        </w:rPr>
        <w:t xml:space="preserve">. Admisión del recurso de revisión: </w:t>
      </w:r>
      <w:r>
        <w:rPr>
          <w:rFonts w:ascii="Palatino Linotype" w:hAnsi="Palatino Linotype" w:cs="Arial"/>
        </w:rPr>
        <w:t xml:space="preserve">En fecha </w:t>
      </w:r>
      <w:r w:rsidR="00510B95">
        <w:rPr>
          <w:rFonts w:ascii="Palatino Linotype" w:hAnsi="Palatino Linotype" w:cs="Arial"/>
        </w:rPr>
        <w:t>veintiocho</w:t>
      </w:r>
      <w:r w:rsidR="00763D10">
        <w:rPr>
          <w:rFonts w:ascii="Palatino Linotype" w:hAnsi="Palatino Linotype" w:cs="Arial"/>
        </w:rPr>
        <w:t xml:space="preserve"> de </w:t>
      </w:r>
      <w:r w:rsidR="00E578F2">
        <w:rPr>
          <w:rFonts w:ascii="Palatino Linotype" w:hAnsi="Palatino Linotype" w:cs="Arial"/>
        </w:rPr>
        <w:t>octubre</w:t>
      </w:r>
      <w:r w:rsidR="00763D10">
        <w:rPr>
          <w:rFonts w:ascii="Palatino Linotype" w:hAnsi="Palatino Linotype" w:cs="Arial"/>
        </w:rPr>
        <w:t xml:space="preserve"> de</w:t>
      </w:r>
      <w:r w:rsidR="00E97D16">
        <w:rPr>
          <w:rFonts w:ascii="Palatino Linotype" w:hAnsi="Palatino Linotype" w:cs="Arial"/>
        </w:rPr>
        <w:t>l dos mil veintiuno</w:t>
      </w:r>
      <w:r w:rsidR="00E578F2">
        <w:rPr>
          <w:rFonts w:ascii="Palatino Linotype" w:hAnsi="Palatino Linotype" w:cs="Arial"/>
        </w:rPr>
        <w:t>, la Comisionada</w:t>
      </w:r>
      <w:r w:rsidR="002E5396" w:rsidRPr="00080788">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1A51C8" w:rsidRDefault="001A51C8" w:rsidP="001A51C8">
      <w:pPr>
        <w:spacing w:after="240" w:line="360" w:lineRule="auto"/>
        <w:contextualSpacing/>
        <w:jc w:val="both"/>
        <w:rPr>
          <w:rFonts w:ascii="Palatino Linotype" w:hAnsi="Palatino Linotype" w:cs="Arial"/>
          <w:b/>
        </w:rPr>
      </w:pPr>
    </w:p>
    <w:p w:rsidR="001A51C8" w:rsidRDefault="00EC5F74" w:rsidP="001A51C8">
      <w:pPr>
        <w:spacing w:after="240" w:line="360" w:lineRule="auto"/>
        <w:contextualSpacing/>
        <w:jc w:val="both"/>
        <w:rPr>
          <w:rFonts w:ascii="Palatino Linotype" w:hAnsi="Palatino Linotype" w:cs="Arial"/>
        </w:rPr>
      </w:pPr>
      <w:r>
        <w:rPr>
          <w:rFonts w:ascii="Palatino Linotype" w:hAnsi="Palatino Linotype" w:cs="Arial"/>
          <w:b/>
        </w:rPr>
        <w:t>6</w:t>
      </w:r>
      <w:r w:rsidR="002E5396" w:rsidRPr="00080788">
        <w:rPr>
          <w:rFonts w:ascii="Palatino Linotype" w:hAnsi="Palatino Linotype" w:cs="Arial"/>
          <w:b/>
        </w:rPr>
        <w:t>. Manifestaciones</w:t>
      </w:r>
      <w:r w:rsidR="002E5396" w:rsidRPr="00080788">
        <w:rPr>
          <w:rFonts w:ascii="Palatino Linotype" w:hAnsi="Palatino Linotype" w:cs="Arial"/>
        </w:rPr>
        <w:t>:</w:t>
      </w:r>
      <w:r w:rsidR="002F081A">
        <w:rPr>
          <w:rFonts w:ascii="Palatino Linotype" w:hAnsi="Palatino Linotype" w:cs="Arial"/>
        </w:rPr>
        <w:t xml:space="preserve"> </w:t>
      </w:r>
      <w:r w:rsidR="001A51C8">
        <w:rPr>
          <w:rFonts w:ascii="Palatino Linotype" w:hAnsi="Palatino Linotype" w:cs="Arial"/>
        </w:rPr>
        <w:t>De las constancias que integran el expediente en que se actúa se advierte que la parte recurrente fue omisa en presentar alegatos o manifestación alguna.</w:t>
      </w:r>
    </w:p>
    <w:p w:rsidR="001A51C8" w:rsidRDefault="001A51C8" w:rsidP="001A51C8">
      <w:pPr>
        <w:spacing w:after="240" w:line="360" w:lineRule="auto"/>
        <w:contextualSpacing/>
        <w:jc w:val="both"/>
        <w:rPr>
          <w:rFonts w:ascii="Palatino Linotype" w:hAnsi="Palatino Linotype" w:cs="Arial"/>
        </w:rPr>
      </w:pPr>
    </w:p>
    <w:p w:rsidR="001A51C8" w:rsidRPr="00A659D6" w:rsidRDefault="001A51C8" w:rsidP="001A51C8">
      <w:pPr>
        <w:spacing w:after="240" w:line="360" w:lineRule="auto"/>
        <w:contextualSpacing/>
        <w:jc w:val="both"/>
        <w:rPr>
          <w:rFonts w:ascii="Palatino Linotype" w:hAnsi="Palatino Linotype" w:cs="Arial"/>
        </w:rPr>
      </w:pPr>
      <w:r w:rsidRPr="00A659D6">
        <w:rPr>
          <w:rFonts w:ascii="Palatino Linotype" w:hAnsi="Palatino Linotype" w:cs="Arial"/>
        </w:rPr>
        <w:t>Por su parte</w:t>
      </w:r>
      <w:r w:rsidR="0060570F">
        <w:rPr>
          <w:rFonts w:ascii="Palatino Linotype" w:hAnsi="Palatino Linotype" w:cs="Arial"/>
        </w:rPr>
        <w:t>,</w:t>
      </w:r>
      <w:r w:rsidRPr="00A659D6">
        <w:rPr>
          <w:rFonts w:ascii="Palatino Linotype" w:hAnsi="Palatino Linotype" w:cs="Arial"/>
        </w:rPr>
        <w:t xml:space="preserve"> el Sujeto Obligado en fecha </w:t>
      </w:r>
      <w:r w:rsidR="00510B95">
        <w:rPr>
          <w:rFonts w:ascii="Palatino Linotype" w:hAnsi="Palatino Linotype" w:cs="Arial"/>
        </w:rPr>
        <w:t>tres</w:t>
      </w:r>
      <w:r w:rsidRPr="00A659D6">
        <w:rPr>
          <w:rFonts w:ascii="Palatino Linotype" w:hAnsi="Palatino Linotype" w:cs="Arial"/>
        </w:rPr>
        <w:t xml:space="preserve"> </w:t>
      </w:r>
      <w:r w:rsidR="00510B95">
        <w:rPr>
          <w:rFonts w:ascii="Palatino Linotype" w:hAnsi="Palatino Linotype" w:cs="Arial"/>
        </w:rPr>
        <w:t>de noviembre</w:t>
      </w:r>
      <w:r>
        <w:rPr>
          <w:rFonts w:ascii="Palatino Linotype" w:hAnsi="Palatino Linotype" w:cs="Arial"/>
        </w:rPr>
        <w:t xml:space="preserve"> </w:t>
      </w:r>
      <w:r w:rsidRPr="00A659D6">
        <w:rPr>
          <w:rFonts w:ascii="Palatino Linotype" w:hAnsi="Palatino Linotype" w:cs="Arial"/>
        </w:rPr>
        <w:t>del año dos mil veintiuno,</w:t>
      </w:r>
      <w:r>
        <w:rPr>
          <w:rFonts w:ascii="Palatino Linotype" w:hAnsi="Palatino Linotype" w:cs="Arial"/>
        </w:rPr>
        <w:t xml:space="preserve"> remitió el archivo electrónico siguiente</w:t>
      </w:r>
      <w:r w:rsidRPr="00A659D6">
        <w:rPr>
          <w:rFonts w:ascii="Palatino Linotype" w:hAnsi="Palatino Linotype" w:cs="Arial"/>
        </w:rPr>
        <w:t>: “</w:t>
      </w:r>
      <w:hyperlink r:id="rId8" w:history="1">
        <w:r w:rsidR="00510B95" w:rsidRPr="00510B95">
          <w:rPr>
            <w:rFonts w:ascii="Palatino Linotype" w:hAnsi="Palatino Linotype"/>
          </w:rPr>
          <w:t>RESPUESTA 185 2021 DU.pdf</w:t>
        </w:r>
      </w:hyperlink>
      <w:r w:rsidRPr="00A659D6">
        <w:rPr>
          <w:rFonts w:ascii="Palatino Linotype" w:hAnsi="Palatino Linotype" w:cs="Arial"/>
        </w:rPr>
        <w:t xml:space="preserve">”, </w:t>
      </w:r>
      <w:r>
        <w:rPr>
          <w:rFonts w:ascii="Palatino Linotype" w:hAnsi="Palatino Linotype" w:cs="Arial"/>
        </w:rPr>
        <w:t xml:space="preserve">archivo electrónico que en fecha </w:t>
      </w:r>
      <w:r w:rsidR="00510B95">
        <w:rPr>
          <w:rFonts w:ascii="Palatino Linotype" w:hAnsi="Palatino Linotype" w:cs="Arial"/>
        </w:rPr>
        <w:t>dieciocho</w:t>
      </w:r>
      <w:r>
        <w:rPr>
          <w:rFonts w:ascii="Palatino Linotype" w:hAnsi="Palatino Linotype" w:cs="Arial"/>
        </w:rPr>
        <w:t xml:space="preserve"> de noviembre del dos mil veintiuno, se puso a la vista del recurrente, </w:t>
      </w:r>
      <w:r w:rsidRPr="00A659D6">
        <w:rPr>
          <w:rFonts w:ascii="Palatino Linotype" w:hAnsi="Palatino Linotype" w:cs="Arial"/>
        </w:rPr>
        <w:t>en términos de la fracción III del artículo 185 de la Ley de Transparencia y Acceso a la Información Pública del Estado de México y Municipios</w:t>
      </w:r>
      <w:r>
        <w:rPr>
          <w:rFonts w:ascii="Palatino Linotype" w:hAnsi="Palatino Linotype" w:cs="Arial"/>
        </w:rPr>
        <w:t>; para que en el término de tres días manifestara lo que a su derecho convenga respecto de la modificación a la falta de respuesta; sin que el recurrente hiciera manifestación alguna.</w:t>
      </w:r>
    </w:p>
    <w:p w:rsidR="003B19DA" w:rsidRDefault="00205EF0" w:rsidP="001A51C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7</w:t>
      </w:r>
      <w:r w:rsidR="003B19DA" w:rsidRPr="006A7EE4">
        <w:rPr>
          <w:rFonts w:ascii="Palatino Linotype" w:hAnsi="Palatino Linotype" w:cs="Arial"/>
          <w:b/>
          <w:sz w:val="24"/>
          <w:szCs w:val="24"/>
        </w:rPr>
        <w:t>. Cierre de instrucción</w:t>
      </w:r>
      <w:r w:rsidR="003B19DA" w:rsidRPr="006A7EE4">
        <w:rPr>
          <w:rFonts w:ascii="Palatino Linotype" w:hAnsi="Palatino Linotype" w:cs="Arial"/>
          <w:sz w:val="24"/>
          <w:szCs w:val="24"/>
        </w:rPr>
        <w:t xml:space="preserve">. En </w:t>
      </w:r>
      <w:r w:rsidR="00771004" w:rsidRPr="006A7EE4">
        <w:rPr>
          <w:rFonts w:ascii="Palatino Linotype" w:hAnsi="Palatino Linotype" w:cs="Arial"/>
          <w:sz w:val="24"/>
          <w:szCs w:val="24"/>
        </w:rPr>
        <w:t xml:space="preserve">fecha </w:t>
      </w:r>
      <w:r w:rsidR="00510B95">
        <w:rPr>
          <w:rFonts w:ascii="Palatino Linotype" w:hAnsi="Palatino Linotype" w:cs="Arial"/>
          <w:sz w:val="24"/>
          <w:szCs w:val="24"/>
        </w:rPr>
        <w:t>veintinueve</w:t>
      </w:r>
      <w:r w:rsidR="00E578F2">
        <w:rPr>
          <w:rFonts w:ascii="Palatino Linotype" w:hAnsi="Palatino Linotype" w:cs="Arial"/>
          <w:sz w:val="24"/>
          <w:szCs w:val="24"/>
        </w:rPr>
        <w:t xml:space="preserve"> de noviembre</w:t>
      </w:r>
      <w:r w:rsidR="003347C3">
        <w:rPr>
          <w:rFonts w:ascii="Palatino Linotype" w:hAnsi="Palatino Linotype" w:cs="Arial"/>
          <w:sz w:val="24"/>
          <w:szCs w:val="24"/>
        </w:rPr>
        <w:t xml:space="preserve"> del dos mil veintiuno</w:t>
      </w:r>
      <w:r w:rsidR="003B19DA" w:rsidRPr="006A7EE4">
        <w:rPr>
          <w:rFonts w:ascii="Palatino Linotype" w:hAnsi="Palatino Linotype" w:cs="Arial"/>
          <w:sz w:val="24"/>
          <w:szCs w:val="24"/>
        </w:rPr>
        <w:t xml:space="preserve"> el Comisionado ponente determinó el cierre de instrucción en términos de la fracción VI del artículo 185 de la Ley de Transparencia y Acceso a la Información Pública del </w:t>
      </w:r>
      <w:r w:rsidR="003B19DA" w:rsidRPr="00763D10">
        <w:rPr>
          <w:rFonts w:ascii="Palatino Linotype" w:hAnsi="Palatino Linotype" w:cs="Arial"/>
          <w:sz w:val="24"/>
          <w:szCs w:val="24"/>
        </w:rPr>
        <w:t>Estado de México y Municipios.</w:t>
      </w:r>
    </w:p>
    <w:p w:rsidR="0060570F" w:rsidRPr="004E377A" w:rsidRDefault="0060570F" w:rsidP="0060570F">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sidRPr="004E377A">
        <w:rPr>
          <w:rFonts w:ascii="Palatino Linotype" w:hAnsi="Palatino Linotype" w:cs="Arial"/>
          <w:b/>
          <w:sz w:val="24"/>
          <w:szCs w:val="24"/>
        </w:rPr>
        <w:t>8.-</w:t>
      </w:r>
      <w:r w:rsidRPr="004E377A">
        <w:rPr>
          <w:rFonts w:ascii="Palatino Linotype" w:hAnsi="Palatino Linotype" w:cs="Arial"/>
          <w:sz w:val="24"/>
          <w:szCs w:val="24"/>
        </w:rPr>
        <w:t xml:space="preserve"> </w:t>
      </w:r>
      <w:r w:rsidRPr="004E377A">
        <w:rPr>
          <w:rFonts w:ascii="Palatino Linotype" w:hAnsi="Palatino Linotype" w:cs="Arial"/>
          <w:b/>
          <w:sz w:val="24"/>
          <w:szCs w:val="24"/>
        </w:rPr>
        <w:t>Ampliación del plazo.</w:t>
      </w:r>
      <w:r w:rsidRPr="004E377A">
        <w:rPr>
          <w:rFonts w:ascii="Palatino Linotype" w:hAnsi="Palatino Linotype" w:cs="Arial"/>
          <w:sz w:val="24"/>
          <w:szCs w:val="24"/>
        </w:rPr>
        <w:t xml:space="preserve"> En fecha</w:t>
      </w:r>
      <w:r>
        <w:rPr>
          <w:rFonts w:ascii="Palatino Linotype" w:hAnsi="Palatino Linotype" w:cs="Arial"/>
          <w:sz w:val="24"/>
          <w:szCs w:val="24"/>
        </w:rPr>
        <w:t xml:space="preserve"> veinte de diciembre</w:t>
      </w:r>
      <w:r w:rsidRPr="004E377A">
        <w:rPr>
          <w:rFonts w:ascii="Palatino Linotype" w:hAnsi="Palatino Linotype" w:cs="Arial"/>
          <w:sz w:val="24"/>
          <w:szCs w:val="24"/>
        </w:rPr>
        <w:t xml:space="preserve"> del año dos mil </w:t>
      </w:r>
      <w:r w:rsidRPr="004E377A">
        <w:rPr>
          <w:rFonts w:ascii="Palatino Linotype" w:hAnsi="Palatino Linotype" w:cs="Arial"/>
          <w:bCs/>
          <w:sz w:val="24"/>
          <w:szCs w:val="24"/>
        </w:rPr>
        <w:t>veintiuno,</w:t>
      </w:r>
      <w:r w:rsidRPr="004E377A">
        <w:rPr>
          <w:rFonts w:ascii="Palatino Linotype" w:hAnsi="Palatino Linotype" w:cs="Arial"/>
          <w:sz w:val="24"/>
          <w:szCs w:val="24"/>
        </w:rPr>
        <w:t xml:space="preserve"> con fundamento en el artículo 181, párrafo tercero de la Ley de Transparencia y </w:t>
      </w:r>
      <w:r w:rsidRPr="004E377A">
        <w:rPr>
          <w:rFonts w:ascii="Palatino Linotype" w:hAnsi="Palatino Linotype" w:cs="Arial"/>
          <w:sz w:val="24"/>
          <w:szCs w:val="24"/>
        </w:rPr>
        <w:lastRenderedPageBreak/>
        <w:t>Acceso a la Información Pública del Estado de México y Municipios, se acordó la ampliación del plazo para su resolución</w:t>
      </w:r>
      <w:r>
        <w:rPr>
          <w:rFonts w:ascii="Palatino Linotype" w:hAnsi="Palatino Linotype" w:cs="Arial"/>
          <w:sz w:val="24"/>
          <w:szCs w:val="24"/>
        </w:rPr>
        <w:t>.</w:t>
      </w:r>
    </w:p>
    <w:p w:rsidR="002E5396" w:rsidRPr="00080788" w:rsidRDefault="002E5396" w:rsidP="00266653">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266653">
        <w:rPr>
          <w:rFonts w:ascii="Palatino Linotype" w:hAnsi="Palatino Linotype"/>
          <w:shd w:val="clear" w:color="auto" w:fill="FFFFFF"/>
        </w:rPr>
        <w:t>trigésimo, trigésimo primero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1A51C8" w:rsidRPr="008A328B" w:rsidRDefault="002E5396" w:rsidP="001A51C8">
      <w:pPr>
        <w:spacing w:before="240" w:after="240" w:line="360" w:lineRule="auto"/>
        <w:jc w:val="both"/>
        <w:rPr>
          <w:rFonts w:ascii="Palatino Linotype" w:eastAsia="Calibri" w:hAnsi="Palatino Linotype" w:cs="Arial"/>
          <w:lang w:val="es-MX" w:eastAsia="en-US"/>
        </w:rPr>
      </w:pPr>
      <w:r w:rsidRPr="00080788">
        <w:rPr>
          <w:rFonts w:ascii="Palatino Linotype" w:hAnsi="Palatino Linotype" w:cs="Arial"/>
          <w:b/>
        </w:rPr>
        <w:t>Segundo. Oportunidad y Procedibilidad del Recurso de Revisión</w:t>
      </w:r>
      <w:r w:rsidR="001A51C8" w:rsidRPr="001A51C8">
        <w:rPr>
          <w:rFonts w:ascii="Palatino Linotype" w:hAnsi="Palatino Linotype" w:cs="Arial"/>
        </w:rPr>
        <w:t xml:space="preserve"> </w:t>
      </w:r>
      <w:r w:rsidR="001A51C8" w:rsidRPr="008A328B">
        <w:rPr>
          <w:rFonts w:ascii="Palatino Linotype" w:hAnsi="Palatino Linotype" w:cs="Arial"/>
        </w:rPr>
        <w:t>Por</w:t>
      </w:r>
      <w:r w:rsidR="001A51C8">
        <w:rPr>
          <w:rFonts w:ascii="Palatino Linotype" w:hAnsi="Palatino Linotype" w:cs="Arial"/>
        </w:rPr>
        <w:t xml:space="preserve"> cuanto hace a la oportunidad del </w:t>
      </w:r>
      <w:r w:rsidR="001A51C8" w:rsidRPr="008A328B">
        <w:rPr>
          <w:rFonts w:ascii="Palatino Linotype" w:hAnsi="Palatino Linotype" w:cs="Arial"/>
        </w:rPr>
        <w:t>recurso de revisión</w:t>
      </w:r>
      <w:r w:rsidR="001A51C8" w:rsidRPr="008A328B">
        <w:rPr>
          <w:rFonts w:ascii="Palatino Linotype" w:hAnsi="Palatino Linotype" w:cs="Arial"/>
          <w:b/>
        </w:rPr>
        <w:t xml:space="preserve"> </w:t>
      </w:r>
      <w:r w:rsidR="001A51C8"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001A51C8" w:rsidRPr="008A328B">
        <w:rPr>
          <w:rFonts w:ascii="Palatino Linotype" w:eastAsia="Calibri" w:hAnsi="Palatino Linotype" w:cs="Arial"/>
          <w:lang w:val="es-MX" w:eastAsia="en-US"/>
        </w:rPr>
        <w:lastRenderedPageBreak/>
        <w:t xml:space="preserve">negada; por lo que al solicitante le asiste el derecho para presentar el recurso de </w:t>
      </w:r>
      <w:r w:rsidR="001A51C8">
        <w:rPr>
          <w:rFonts w:ascii="Palatino Linotype" w:eastAsia="Calibri" w:hAnsi="Palatino Linotype" w:cs="Arial"/>
          <w:lang w:val="es-MX" w:eastAsia="en-US"/>
        </w:rPr>
        <w:t>revisión en cualquier momento.</w:t>
      </w:r>
    </w:p>
    <w:p w:rsidR="001A51C8" w:rsidRPr="008A328B" w:rsidRDefault="001A51C8" w:rsidP="001A51C8">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1A51C8" w:rsidRPr="008A328B" w:rsidRDefault="001A51C8" w:rsidP="001A51C8">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w:t>
      </w:r>
      <w:r>
        <w:rPr>
          <w:rFonts w:ascii="Palatino Linotype" w:eastAsia="Calibri" w:hAnsi="Palatino Linotype" w:cs="Arial"/>
          <w:lang w:val="es-MX" w:eastAsia="en-US"/>
        </w:rPr>
        <w:t xml:space="preserve">el </w:t>
      </w:r>
      <w:r w:rsidRPr="008A328B">
        <w:rPr>
          <w:rFonts w:ascii="Palatino Linotype" w:eastAsia="Calibri" w:hAnsi="Palatino Linotype" w:cs="Arial"/>
          <w:lang w:val="es-MX" w:eastAsia="en-US"/>
        </w:rPr>
        <w:t xml:space="preserve">presente recurso de revisión se actualizó la negativa ficta por parte del </w:t>
      </w:r>
      <w:r w:rsidRPr="008A328B">
        <w:rPr>
          <w:rFonts w:ascii="Palatino Linotype" w:eastAsia="Calibri" w:hAnsi="Palatino Linotype" w:cs="Arial"/>
          <w:b/>
          <w:lang w:val="es-MX" w:eastAsia="en-US"/>
        </w:rPr>
        <w:t>SUJETO OBLIGADO</w:t>
      </w:r>
      <w:r w:rsidRPr="008A328B">
        <w:rPr>
          <w:rFonts w:ascii="Palatino Linotype" w:eastAsia="Calibri" w:hAnsi="Palatino Linotype" w:cs="Arial"/>
          <w:lang w:val="es-MX" w:eastAsia="en-US"/>
        </w:rPr>
        <w:t xml:space="preserve"> al no haber respondido a</w:t>
      </w:r>
      <w:r>
        <w:rPr>
          <w:rFonts w:ascii="Palatino Linotype" w:eastAsia="Calibri" w:hAnsi="Palatino Linotype" w:cs="Arial"/>
          <w:lang w:val="es-MX" w:eastAsia="en-US"/>
        </w:rPr>
        <w:t xml:space="preserve">l </w:t>
      </w:r>
      <w:r w:rsidRPr="00612C03">
        <w:rPr>
          <w:rFonts w:ascii="Palatino Linotype" w:eastAsia="Calibri" w:hAnsi="Palatino Linotype" w:cs="Arial"/>
          <w:b/>
          <w:lang w:val="es-MX" w:eastAsia="en-US"/>
        </w:rPr>
        <w:t>RECURRENTE</w:t>
      </w:r>
      <w:r>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1A51C8" w:rsidRDefault="001A51C8" w:rsidP="001A51C8">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Si a ello se le suma lo previsto en el párrafo segundo del artículo 178, párrafo segundo</w:t>
      </w:r>
      <w:r>
        <w:rPr>
          <w:rStyle w:val="Refdenotaalpie"/>
          <w:rFonts w:ascii="Palatino Linotype" w:eastAsia="Calibri" w:hAnsi="Palatino Linotype" w:cs="Arial"/>
          <w:lang w:val="es-MX" w:eastAsia="en-US"/>
        </w:rPr>
        <w:footnoteReference w:id="1"/>
      </w:r>
      <w:r w:rsidRPr="008A328B">
        <w:rPr>
          <w:rFonts w:ascii="Palatino Linotype" w:eastAsia="Calibri" w:hAnsi="Palatino Linotype" w:cs="Arial"/>
          <w:lang w:val="es-MX" w:eastAsia="en-US"/>
        </w:rPr>
        <w:t xml:space="preserve"> de la Ley de Transparencia y Acceso a la Información Pública vigente en la entidad.</w:t>
      </w:r>
    </w:p>
    <w:p w:rsidR="001A51C8" w:rsidRPr="008A328B" w:rsidRDefault="001A51C8" w:rsidP="001A51C8">
      <w:pPr>
        <w:spacing w:before="240" w:after="360" w:line="360" w:lineRule="auto"/>
        <w:jc w:val="both"/>
        <w:rPr>
          <w:rFonts w:eastAsia="Calibri"/>
          <w:i/>
          <w:szCs w:val="22"/>
          <w:lang w:val="es-MX"/>
        </w:rPr>
      </w:pPr>
      <w:r w:rsidRPr="008A328B">
        <w:rPr>
          <w:rFonts w:ascii="Palatino Linotype" w:eastAsia="Calibri" w:hAnsi="Palatino Linotype" w:cs="Arial"/>
          <w:szCs w:val="22"/>
        </w:rPr>
        <w:t xml:space="preserve">Lo anterior encuentra sustento en el CRITERIO número 0001-15, aprobado por unanimidad del Pleno del Instituto de Transparencia, Acceso a la Información Pública y Protección de Datos Personales del Estado de México y Municipios, </w:t>
      </w:r>
      <w:r w:rsidRPr="008A328B">
        <w:rPr>
          <w:rFonts w:ascii="Palatino Linotype" w:eastAsia="Calibri" w:hAnsi="Palatino Linotype" w:cs="Arial"/>
          <w:szCs w:val="22"/>
        </w:rPr>
        <w:lastRenderedPageBreak/>
        <w:t>publicado en el Periódico Oficial del Estado de México “Gaceta del Gobierno”, el veintitrés de abril de dos mil quince, que establece:</w:t>
      </w:r>
    </w:p>
    <w:p w:rsidR="001A51C8" w:rsidRPr="008A328B" w:rsidRDefault="001A51C8" w:rsidP="001A51C8">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rsidR="001A51C8" w:rsidRPr="008A328B" w:rsidRDefault="001A51C8" w:rsidP="001A51C8">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510B95" w:rsidRDefault="00D049F6" w:rsidP="00510B95">
      <w:pPr>
        <w:spacing w:before="240" w:after="240" w:line="360" w:lineRule="auto"/>
        <w:contextualSpacing/>
        <w:jc w:val="both"/>
        <w:rPr>
          <w:rFonts w:ascii="Palatino Linotype" w:hAnsi="Palatino Linotype" w:cs="Arial"/>
        </w:rPr>
      </w:pPr>
      <w:r>
        <w:rPr>
          <w:rFonts w:ascii="Palatino Linotype" w:hAnsi="Palatino Linotype"/>
          <w:color w:val="000000"/>
        </w:rPr>
        <w:t xml:space="preserve">Al mismo tiempo, </w:t>
      </w:r>
      <w:r w:rsidR="00510B95">
        <w:rPr>
          <w:rFonts w:ascii="Palatino Linotype" w:hAnsi="Palatino Linotype" w:cs="Arial"/>
        </w:rPr>
        <w:t xml:space="preserve">por cuanto hace a la procedibilidad del recurso de revisión, es de suma importancia señalar que la parte recurrente </w:t>
      </w:r>
      <w:r w:rsidR="0060570F">
        <w:rPr>
          <w:rFonts w:ascii="Palatino Linotype" w:hAnsi="Palatino Linotype" w:cs="Arial"/>
        </w:rPr>
        <w:t>no proporciono nombre</w:t>
      </w:r>
      <w:r w:rsidR="00510B95">
        <w:rPr>
          <w:rFonts w:ascii="Palatino Linotype" w:hAnsi="Palatino Linotype" w:cs="Arial"/>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10B95" w:rsidRDefault="00510B95" w:rsidP="00510B95">
      <w:pPr>
        <w:spacing w:before="240" w:after="240"/>
        <w:ind w:left="567" w:right="474"/>
        <w:contextualSpacing/>
        <w:jc w:val="both"/>
        <w:rPr>
          <w:rFonts w:ascii="Palatino Linotype" w:hAnsi="Palatino Linotype" w:cs="Arial"/>
          <w:i/>
        </w:rPr>
      </w:pP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xml:space="preserve">. No podrá </w:t>
      </w:r>
      <w:r>
        <w:rPr>
          <w:rFonts w:ascii="Palatino Linotype" w:hAnsi="Palatino Linotype" w:cs="Arial"/>
          <w:i/>
          <w:sz w:val="22"/>
          <w:szCs w:val="22"/>
        </w:rPr>
        <w:lastRenderedPageBreak/>
        <w:t>requerirse información adicional con motivo del nombre proporcionado por el solicitante."</w:t>
      </w:r>
    </w:p>
    <w:p w:rsidR="00510B95" w:rsidRDefault="00510B95" w:rsidP="00510B95">
      <w:pPr>
        <w:spacing w:before="240" w:after="240" w:line="360" w:lineRule="auto"/>
        <w:contextualSpacing/>
        <w:jc w:val="both"/>
        <w:rPr>
          <w:rFonts w:eastAsiaTheme="minorHAnsi"/>
          <w:i/>
          <w:iCs/>
          <w:color w:val="1F1F1F"/>
          <w:w w:val="95"/>
          <w:sz w:val="22"/>
          <w:szCs w:val="22"/>
          <w:lang w:val="es-MX" w:eastAsia="en-US"/>
        </w:rPr>
      </w:pPr>
    </w:p>
    <w:p w:rsidR="00510B95" w:rsidRDefault="00510B95" w:rsidP="00510B95">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rsidR="00510B95" w:rsidRDefault="00510B95" w:rsidP="00510B95">
      <w:pPr>
        <w:spacing w:before="240" w:after="240"/>
        <w:ind w:right="474"/>
        <w:contextualSpacing/>
        <w:jc w:val="both"/>
        <w:rPr>
          <w:rFonts w:ascii="Palatino Linotype" w:hAnsi="Palatino Linotype" w:cs="Arial"/>
          <w:i/>
        </w:rPr>
      </w:pP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rsidR="00510B95" w:rsidRDefault="00510B95" w:rsidP="00510B95">
      <w:pPr>
        <w:spacing w:before="240" w:after="240"/>
        <w:ind w:left="567" w:right="474"/>
        <w:contextualSpacing/>
        <w:jc w:val="both"/>
        <w:rPr>
          <w:rFonts w:ascii="Palatino Linotype" w:hAnsi="Palatino Linotype" w:cs="Arial"/>
          <w:i/>
          <w:sz w:val="22"/>
          <w:szCs w:val="22"/>
        </w:rPr>
      </w:pP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10B95" w:rsidRDefault="00510B95" w:rsidP="00510B95">
      <w:pPr>
        <w:spacing w:before="240" w:after="240"/>
        <w:ind w:left="567" w:right="474"/>
        <w:contextualSpacing/>
        <w:jc w:val="both"/>
        <w:rPr>
          <w:rFonts w:ascii="Palatino Linotype" w:hAnsi="Palatino Linotype" w:cs="Arial"/>
          <w:i/>
          <w:sz w:val="22"/>
          <w:szCs w:val="22"/>
        </w:rPr>
      </w:pP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rsidR="00510B95" w:rsidRDefault="00510B95" w:rsidP="00510B95">
      <w:pPr>
        <w:spacing w:before="240" w:after="240"/>
        <w:ind w:left="567" w:right="474"/>
        <w:contextualSpacing/>
        <w:jc w:val="both"/>
        <w:rPr>
          <w:rFonts w:ascii="Palatino Linotype" w:hAnsi="Palatino Linotype" w:cs="Arial"/>
          <w:i/>
          <w:sz w:val="22"/>
          <w:szCs w:val="22"/>
        </w:rPr>
      </w:pPr>
    </w:p>
    <w:p w:rsidR="00510B95" w:rsidRDefault="00510B95" w:rsidP="00510B95">
      <w:pPr>
        <w:spacing w:before="240" w:after="240" w:line="360" w:lineRule="auto"/>
        <w:contextualSpacing/>
        <w:jc w:val="both"/>
        <w:rPr>
          <w:rFonts w:ascii="Palatino Linotype" w:hAnsi="Palatino Linotype" w:cs="Arial"/>
        </w:rPr>
      </w:pPr>
      <w:r>
        <w:rPr>
          <w:rFonts w:ascii="Palatino Linotype" w:hAnsi="Palatino Linotype" w:cs="Arial"/>
        </w:rPr>
        <w:t>Así como el artículo 5 fracción III, párrafo vigésimo noveno, trigésimo y trigésimo primero, de la Constitución Política del Estado Libre y Soberano de México, que determina lo siguiente:</w:t>
      </w:r>
    </w:p>
    <w:p w:rsidR="00510B95" w:rsidRDefault="00510B95" w:rsidP="00510B95">
      <w:pPr>
        <w:spacing w:before="240" w:after="240"/>
        <w:ind w:right="474"/>
        <w:contextualSpacing/>
        <w:jc w:val="both"/>
        <w:rPr>
          <w:rFonts w:ascii="Palatino Linotype" w:hAnsi="Palatino Linotype" w:cs="Arial"/>
          <w:i/>
          <w:sz w:val="22"/>
          <w:szCs w:val="22"/>
        </w:rPr>
      </w:pP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510B95" w:rsidRDefault="00510B95" w:rsidP="00510B95">
      <w:pPr>
        <w:spacing w:before="240" w:after="240"/>
        <w:ind w:left="567" w:right="474"/>
        <w:contextualSpacing/>
        <w:jc w:val="both"/>
        <w:rPr>
          <w:rFonts w:ascii="Palatino Linotype" w:hAnsi="Palatino Linotype" w:cs="Arial"/>
          <w:i/>
          <w:sz w:val="22"/>
          <w:szCs w:val="22"/>
        </w:rPr>
      </w:pPr>
    </w:p>
    <w:p w:rsidR="00510B95" w:rsidRDefault="00510B95" w:rsidP="00510B95">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rsidR="00510B95" w:rsidRDefault="00510B95" w:rsidP="00510B95">
      <w:pPr>
        <w:spacing w:before="240" w:after="240" w:line="360" w:lineRule="auto"/>
        <w:contextualSpacing/>
        <w:jc w:val="both"/>
        <w:rPr>
          <w:rFonts w:ascii="Palatino Linotype" w:hAnsi="Palatino Linotype" w:cs="Arial"/>
        </w:rPr>
      </w:pPr>
      <w:r>
        <w:rPr>
          <w:rFonts w:ascii="Palatino Linotype" w:hAnsi="Palatino Linotype" w:cs="Arial"/>
        </w:rPr>
        <w:t>Unidos mexicanos, se destaca lo siguiente:</w:t>
      </w:r>
    </w:p>
    <w:p w:rsidR="00510B95" w:rsidRDefault="00510B95" w:rsidP="00510B95">
      <w:pPr>
        <w:spacing w:before="240" w:after="240"/>
        <w:ind w:left="567" w:right="474"/>
        <w:contextualSpacing/>
        <w:jc w:val="both"/>
        <w:rPr>
          <w:rFonts w:ascii="Palatino Linotype" w:hAnsi="Palatino Linotype" w:cs="Arial"/>
          <w:i/>
          <w:sz w:val="22"/>
          <w:szCs w:val="22"/>
        </w:rPr>
      </w:pP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rsidR="00510B95" w:rsidRDefault="00510B95" w:rsidP="00510B9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510B95" w:rsidRDefault="00510B95" w:rsidP="00510B95">
      <w:pPr>
        <w:spacing w:before="240" w:after="240" w:line="360" w:lineRule="auto"/>
        <w:contextualSpacing/>
        <w:jc w:val="both"/>
        <w:rPr>
          <w:rFonts w:eastAsiaTheme="minorHAnsi"/>
          <w:i/>
          <w:iCs/>
          <w:sz w:val="23"/>
          <w:szCs w:val="23"/>
          <w:lang w:val="es-MX" w:eastAsia="en-US"/>
        </w:rPr>
      </w:pPr>
    </w:p>
    <w:p w:rsidR="00510B95" w:rsidRDefault="00510B95" w:rsidP="00510B95">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w:t>
      </w:r>
      <w:r>
        <w:rPr>
          <w:rFonts w:ascii="Palatino Linotype" w:hAnsi="Palatino Linotype" w:cs="Arial"/>
        </w:rPr>
        <w:lastRenderedPageBreak/>
        <w:t xml:space="preserve">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510B95" w:rsidRDefault="00510B95" w:rsidP="00510B95">
      <w:pPr>
        <w:spacing w:line="360" w:lineRule="auto"/>
        <w:jc w:val="both"/>
        <w:rPr>
          <w:rFonts w:ascii="Palatino Linotype" w:hAnsi="Palatino Linotype" w:cs="Arial"/>
        </w:rPr>
      </w:pPr>
    </w:p>
    <w:p w:rsidR="00510B95" w:rsidRDefault="00510B95" w:rsidP="00510B95">
      <w:pPr>
        <w:spacing w:line="360" w:lineRule="auto"/>
        <w:jc w:val="both"/>
        <w:rPr>
          <w:rFonts w:ascii="Palatino Linotype" w:hAnsi="Palatino Linotype"/>
        </w:rPr>
      </w:pPr>
      <w:r>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510B95" w:rsidRDefault="00510B95" w:rsidP="00510B95">
      <w:pPr>
        <w:ind w:left="851" w:right="758"/>
        <w:contextualSpacing/>
        <w:jc w:val="both"/>
        <w:rPr>
          <w:rFonts w:ascii="Palatino Linotype" w:hAnsi="Palatino Linotype"/>
          <w:i/>
        </w:rPr>
      </w:pPr>
    </w:p>
    <w:p w:rsidR="00510B95" w:rsidRDefault="00510B95" w:rsidP="00510B95">
      <w:pPr>
        <w:ind w:left="851" w:right="758"/>
        <w:contextualSpacing/>
        <w:jc w:val="both"/>
        <w:rPr>
          <w:rFonts w:ascii="Palatino Linotype" w:hAnsi="Palatino Linotype"/>
          <w:i/>
        </w:rPr>
      </w:pPr>
      <w:r>
        <w:rPr>
          <w:rFonts w:ascii="Palatino Linotype" w:hAnsi="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510B95" w:rsidRDefault="00510B95" w:rsidP="00510B95">
      <w:pPr>
        <w:spacing w:line="360" w:lineRule="auto"/>
        <w:jc w:val="both"/>
        <w:rPr>
          <w:rFonts w:ascii="Palatino Linotype" w:hAnsi="Palatino Linotype"/>
        </w:rPr>
      </w:pPr>
    </w:p>
    <w:p w:rsidR="00510B95" w:rsidRDefault="00510B95" w:rsidP="00510B95">
      <w:pPr>
        <w:spacing w:line="360" w:lineRule="auto"/>
        <w:jc w:val="both"/>
        <w:rPr>
          <w:rFonts w:ascii="Palatino Linotype" w:hAnsi="Palatino Linotype"/>
        </w:rPr>
      </w:pPr>
      <w:r>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w:t>
      </w:r>
      <w:r>
        <w:rPr>
          <w:rFonts w:ascii="Palatino Linotype" w:hAnsi="Palatino Linotype"/>
        </w:rPr>
        <w:lastRenderedPageBreak/>
        <w:t>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1A51C8" w:rsidRDefault="001A51C8" w:rsidP="001A51C8">
      <w:pPr>
        <w:spacing w:before="240" w:after="240" w:line="360" w:lineRule="auto"/>
        <w:jc w:val="both"/>
        <w:rPr>
          <w:rFonts w:ascii="Segoe UI" w:hAnsi="Segoe UI" w:cs="Segoe UI"/>
          <w:lang w:val="es-MX" w:eastAsia="es-MX"/>
        </w:rPr>
      </w:pPr>
      <w:r>
        <w:rPr>
          <w:rStyle w:val="normaltextrun"/>
          <w:rFonts w:ascii="Palatino Linotype" w:hAnsi="Palatino Linotype" w:cs="Segoe UI"/>
        </w:rPr>
        <w:t xml:space="preserve">Ahora bien, </w:t>
      </w:r>
      <w:r>
        <w:rPr>
          <w:rFonts w:ascii="Palatino Linotype" w:hAnsi="Palatino Linotype" w:cs="Segoe UI"/>
          <w:lang w:val="es-MX" w:eastAsia="es-MX"/>
        </w:rPr>
        <w:t>resulta pr</w:t>
      </w:r>
      <w:r w:rsidR="00510B95">
        <w:rPr>
          <w:rFonts w:ascii="Palatino Linotype" w:hAnsi="Palatino Linotype" w:cs="Segoe UI"/>
          <w:lang w:val="es-MX" w:eastAsia="es-MX"/>
        </w:rPr>
        <w:t>ocedente la interposición del recurso</w:t>
      </w:r>
      <w:r>
        <w:rPr>
          <w:rFonts w:ascii="Palatino Linotype" w:hAnsi="Palatino Linotype" w:cs="Segoe UI"/>
          <w:lang w:val="es-MX" w:eastAsia="es-MX"/>
        </w:rPr>
        <w:t xml:space="preserve"> de revisión, según lo aducido por el </w:t>
      </w:r>
      <w:r>
        <w:rPr>
          <w:rFonts w:ascii="Palatino Linotype" w:hAnsi="Palatino Linotype" w:cs="Segoe UI"/>
          <w:b/>
          <w:lang w:val="es-MX" w:eastAsia="es-MX"/>
        </w:rPr>
        <w:t>RECURRENTE</w:t>
      </w:r>
      <w:r>
        <w:rPr>
          <w:rFonts w:ascii="Palatino Linotype" w:hAnsi="Palatino Linotype" w:cs="Segoe UI"/>
          <w:lang w:val="es-MX" w:eastAsia="es-MX"/>
        </w:rPr>
        <w:t>, en términos del artículo</w:t>
      </w:r>
      <w:r>
        <w:rPr>
          <w:rFonts w:ascii="Palatino Linotype" w:eastAsia="Cambria" w:hAnsi="Palatino Linotype" w:cs="Segoe UI"/>
          <w:lang w:val="es-MX" w:eastAsia="es-MX"/>
        </w:rPr>
        <w:t xml:space="preserve"> 179</w:t>
      </w:r>
      <w:r>
        <w:rPr>
          <w:rFonts w:ascii="Palatino Linotype" w:hAnsi="Palatino Linotype" w:cs="Segoe UI"/>
          <w:lang w:val="es-MX" w:eastAsia="es-MX"/>
        </w:rPr>
        <w:t>, fracción VII del ordenamiento legal de la materia, que a la letra dice:</w:t>
      </w:r>
    </w:p>
    <w:p w:rsidR="001A51C8" w:rsidRDefault="001A51C8" w:rsidP="001A51C8">
      <w:pPr>
        <w:spacing w:before="240" w:after="240"/>
        <w:ind w:left="992" w:right="1043"/>
        <w:contextualSpacing/>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rsidR="001A51C8" w:rsidRPr="008A328B" w:rsidRDefault="001A51C8" w:rsidP="001A51C8">
      <w:pPr>
        <w:spacing w:before="240" w:after="240"/>
        <w:ind w:left="992" w:right="1043"/>
        <w:contextualSpacing/>
        <w:jc w:val="both"/>
        <w:textAlignment w:val="baseline"/>
        <w:rPr>
          <w:rFonts w:ascii="Palatino Linotype" w:eastAsia="MS Gothic" w:hAnsi="Palatino Linotype" w:cs="Segoe UI"/>
          <w:sz w:val="22"/>
          <w:szCs w:val="22"/>
          <w:lang w:val="es-MX" w:eastAsia="es-MX"/>
        </w:rPr>
      </w:pPr>
      <w:r>
        <w:rPr>
          <w:rFonts w:ascii="Palatino Linotype" w:hAnsi="Palatino Linotype" w:cs="Segoe UI"/>
          <w:bCs/>
          <w:i/>
          <w:iCs/>
          <w:sz w:val="22"/>
          <w:szCs w:val="22"/>
          <w:lang w:val="es-MX" w:eastAsia="es-MX"/>
        </w:rPr>
        <w:t>…</w:t>
      </w:r>
    </w:p>
    <w:p w:rsidR="001A51C8" w:rsidRPr="001A51C8" w:rsidRDefault="001A51C8" w:rsidP="001A51C8">
      <w:pPr>
        <w:spacing w:before="240" w:after="240"/>
        <w:ind w:left="992" w:right="1043"/>
        <w:contextualSpacing/>
        <w:jc w:val="both"/>
        <w:textAlignment w:val="baseline"/>
        <w:rPr>
          <w:rFonts w:ascii="Palatino Linotype" w:eastAsia="Cambria" w:hAnsi="Palatino Linotype" w:cs="Segoe UI"/>
          <w:i/>
          <w:iCs/>
          <w:sz w:val="22"/>
          <w:szCs w:val="22"/>
          <w:lang w:val="es-MX" w:eastAsia="es-MX"/>
        </w:rPr>
      </w:pPr>
      <w:r>
        <w:rPr>
          <w:rFonts w:ascii="Palatino Linotype" w:eastAsia="Cambria" w:hAnsi="Palatino Linotype" w:cs="Segoe UI"/>
          <w:i/>
          <w:iCs/>
          <w:sz w:val="22"/>
          <w:szCs w:val="22"/>
          <w:lang w:val="es-MX" w:eastAsia="es-MX"/>
        </w:rPr>
        <w:t xml:space="preserve">VII. </w:t>
      </w:r>
      <w:r w:rsidRPr="001A51C8">
        <w:rPr>
          <w:rFonts w:ascii="Palatino Linotype" w:eastAsia="Cambria" w:hAnsi="Palatino Linotype" w:cs="Segoe UI"/>
          <w:i/>
          <w:iCs/>
          <w:sz w:val="22"/>
          <w:szCs w:val="22"/>
          <w:lang w:val="es-MX" w:eastAsia="es-MX"/>
        </w:rPr>
        <w:t>La falta de respuesta a una solicitud de acceso a la información…</w:t>
      </w:r>
      <w:r w:rsidR="00600AFE">
        <w:rPr>
          <w:rFonts w:ascii="Palatino Linotype" w:eastAsia="Cambria" w:hAnsi="Palatino Linotype" w:cs="Segoe UI"/>
          <w:i/>
          <w:iCs/>
          <w:sz w:val="22"/>
          <w:szCs w:val="22"/>
          <w:lang w:val="es-MX" w:eastAsia="es-MX"/>
        </w:rPr>
        <w:t>” (</w:t>
      </w:r>
      <w:r>
        <w:rPr>
          <w:rFonts w:ascii="Palatino Linotype" w:eastAsia="Cambria" w:hAnsi="Palatino Linotype" w:cs="Segoe UI"/>
          <w:i/>
          <w:iCs/>
          <w:sz w:val="22"/>
          <w:szCs w:val="22"/>
          <w:lang w:val="es-MX" w:eastAsia="es-MX"/>
        </w:rPr>
        <w:t>Sic)</w:t>
      </w:r>
    </w:p>
    <w:p w:rsidR="0060570F" w:rsidRDefault="0060570F" w:rsidP="0060570F">
      <w:pPr>
        <w:spacing w:before="240" w:after="240" w:line="360" w:lineRule="auto"/>
        <w:jc w:val="both"/>
        <w:rPr>
          <w:rFonts w:ascii="Palatino Linotype" w:hAnsi="Palatino Linotype"/>
          <w:b/>
        </w:rPr>
      </w:pPr>
    </w:p>
    <w:p w:rsidR="0060570F" w:rsidRPr="00911351" w:rsidRDefault="0060570F" w:rsidP="0060570F">
      <w:pPr>
        <w:spacing w:before="240" w:after="240" w:line="360" w:lineRule="auto"/>
        <w:jc w:val="both"/>
        <w:rPr>
          <w:rStyle w:val="normaltextrun"/>
          <w:rFonts w:ascii="Palatino Linotype" w:hAnsi="Palatino Linotype" w:cs="Segoe UI"/>
        </w:rPr>
      </w:pPr>
      <w:r w:rsidRPr="00F03179">
        <w:rPr>
          <w:rFonts w:ascii="Palatino Linotype" w:hAnsi="Palatino Linotype" w:cs="Arial"/>
          <w:b/>
        </w:rPr>
        <w:t>Tercero. Materia de la revisión</w:t>
      </w:r>
      <w:r w:rsidRPr="00911351">
        <w:rPr>
          <w:rFonts w:ascii="Palatino Linotype" w:hAnsi="Palatino Linotype" w:cs="Arial"/>
          <w:b/>
        </w:rPr>
        <w:t xml:space="preserve">. </w:t>
      </w:r>
      <w:r w:rsidRPr="00911351">
        <w:rPr>
          <w:rFonts w:ascii="Palatino Linotype" w:hAnsi="Palatino Linotype" w:cs="Arial"/>
        </w:rPr>
        <w:t xml:space="preserve">Como consecuencia de la revisión hecha a las constancias que obran en el expediente electrónico, es que se advirtió que el tema sobre el cual ha de pronunciarse este Instituto versará sobre si </w:t>
      </w:r>
      <w:r w:rsidRPr="00B22D8F">
        <w:rPr>
          <w:rFonts w:ascii="Palatino Linotype" w:hAnsi="Palatino Linotype" w:cs="Arial"/>
        </w:rPr>
        <w:t>la respuesta en vía informe justificado que fue</w:t>
      </w:r>
      <w:r>
        <w:rPr>
          <w:rFonts w:ascii="Palatino Linotype" w:hAnsi="Palatino Linotype" w:cs="Arial"/>
        </w:rPr>
        <w:t>ra otorgada por el Sujeto O</w:t>
      </w:r>
      <w:r w:rsidRPr="00B22D8F">
        <w:rPr>
          <w:rFonts w:ascii="Palatino Linotype" w:hAnsi="Palatino Linotype" w:cs="Arial"/>
        </w:rPr>
        <w:t>bligado, es correcta y suficiente para tener por atendida la solicitud de acceso a la información.</w:t>
      </w:r>
    </w:p>
    <w:p w:rsidR="0060570F" w:rsidRDefault="0060570F" w:rsidP="0060570F">
      <w:pPr>
        <w:spacing w:before="240" w:after="240" w:line="360" w:lineRule="auto"/>
        <w:jc w:val="both"/>
        <w:rPr>
          <w:rFonts w:ascii="Palatino Linotype" w:hAnsi="Palatino Linotype"/>
        </w:rPr>
      </w:pPr>
      <w:r w:rsidRPr="00911351">
        <w:rPr>
          <w:rFonts w:ascii="Palatino Linotype" w:hAnsi="Palatino Linotype" w:cs="Arial"/>
          <w:b/>
        </w:rPr>
        <w:lastRenderedPageBreak/>
        <w:t>Cuarto. Estudio de fondo.</w:t>
      </w:r>
      <w:r w:rsidRPr="00911351">
        <w:rPr>
          <w:rFonts w:ascii="Palatino Linotype" w:hAnsi="Palatino Linotype" w:cs="Arial"/>
        </w:rPr>
        <w:t xml:space="preserve"> </w:t>
      </w:r>
      <w:r w:rsidRPr="00911351">
        <w:rPr>
          <w:rFonts w:ascii="Palatino Linotype" w:hAnsi="Palatino Linotype"/>
        </w:rPr>
        <w:t>Del análisis de la solicitud de información motivo del recurso de revisión que ahora s</w:t>
      </w:r>
      <w:r>
        <w:rPr>
          <w:rFonts w:ascii="Palatino Linotype" w:hAnsi="Palatino Linotype"/>
        </w:rPr>
        <w:t>e resuelve se advierte que el</w:t>
      </w:r>
      <w:r w:rsidRPr="00911351">
        <w:rPr>
          <w:rFonts w:ascii="Palatino Linotype" w:hAnsi="Palatino Linotype"/>
        </w:rPr>
        <w:t xml:space="preserve"> particular requirió a</w:t>
      </w:r>
      <w:r>
        <w:rPr>
          <w:rFonts w:ascii="Palatino Linotype" w:hAnsi="Palatino Linotype"/>
        </w:rPr>
        <w:t xml:space="preserve">l </w:t>
      </w:r>
      <w:r w:rsidRPr="0060570F">
        <w:rPr>
          <w:rFonts w:ascii="Palatino Linotype" w:hAnsi="Palatino Linotype"/>
          <w:b/>
        </w:rPr>
        <w:t>SUJETO OBLIGADO</w:t>
      </w:r>
      <w:r>
        <w:rPr>
          <w:rFonts w:ascii="Palatino Linotype" w:hAnsi="Palatino Linotype"/>
        </w:rPr>
        <w:t>,  lo siguiente:</w:t>
      </w:r>
    </w:p>
    <w:p w:rsidR="0060570F" w:rsidRDefault="0060570F" w:rsidP="0060570F">
      <w:pPr>
        <w:spacing w:before="240" w:after="240" w:line="360" w:lineRule="auto"/>
        <w:jc w:val="both"/>
        <w:rPr>
          <w:rFonts w:ascii="Palatino Linotype" w:hAnsi="Palatino Linotype"/>
        </w:rPr>
      </w:pPr>
      <w:r w:rsidRPr="0060570F">
        <w:rPr>
          <w:rFonts w:ascii="Palatino Linotype" w:hAnsi="Palatino Linotype"/>
        </w:rPr>
        <w:t>1) Requiero el fundamento legal de cada uno los requisitos para solicitar una licencia de construcción de bardas perimetrales, es decir, por cada</w:t>
      </w:r>
      <w:r>
        <w:rPr>
          <w:rFonts w:ascii="Palatino Linotype" w:hAnsi="Palatino Linotype"/>
        </w:rPr>
        <w:t xml:space="preserve"> requisito su fundamento legal.</w:t>
      </w:r>
    </w:p>
    <w:p w:rsidR="0060570F" w:rsidRDefault="0060570F" w:rsidP="0060570F">
      <w:pPr>
        <w:spacing w:before="240" w:after="240" w:line="360" w:lineRule="auto"/>
        <w:jc w:val="both"/>
        <w:rPr>
          <w:rFonts w:ascii="Palatino Linotype" w:hAnsi="Palatino Linotype"/>
        </w:rPr>
      </w:pPr>
      <w:r w:rsidRPr="0060570F">
        <w:rPr>
          <w:rFonts w:ascii="Palatino Linotype" w:hAnsi="Palatino Linotype"/>
        </w:rPr>
        <w:t xml:space="preserve">2) Requiero los números de los expedientes totalmente concluidos en un periodo comprendido del mes de julio al 29 de septiembre de 2021. </w:t>
      </w:r>
    </w:p>
    <w:p w:rsidR="0060570F" w:rsidRPr="0060570F" w:rsidRDefault="0060570F" w:rsidP="0060570F">
      <w:pPr>
        <w:spacing w:before="240" w:after="240" w:line="360" w:lineRule="auto"/>
        <w:jc w:val="both"/>
        <w:rPr>
          <w:rFonts w:ascii="Palatino Linotype" w:hAnsi="Palatino Linotype"/>
        </w:rPr>
      </w:pPr>
      <w:r w:rsidRPr="0060570F">
        <w:rPr>
          <w:rFonts w:ascii="Palatino Linotype" w:hAnsi="Palatino Linotype"/>
        </w:rPr>
        <w:t>3) Requiero el procedimiento para tramitar el documento conocido como USO DE SUELO, donde se tramita, el costo, el fundamento legal del costo, el nombre del área donde se tramita.</w:t>
      </w:r>
    </w:p>
    <w:p w:rsidR="008C50EB" w:rsidRPr="004B6DE1" w:rsidRDefault="008C50EB" w:rsidP="008C50EB">
      <w:pPr>
        <w:widowControl w:val="0"/>
        <w:autoSpaceDE w:val="0"/>
        <w:autoSpaceDN w:val="0"/>
        <w:adjustRightInd w:val="0"/>
        <w:spacing w:line="360" w:lineRule="auto"/>
        <w:jc w:val="both"/>
        <w:rPr>
          <w:rFonts w:ascii="Palatino Linotype" w:hAnsi="Palatino Linotype"/>
        </w:rPr>
      </w:pPr>
      <w:r w:rsidRPr="004B6DE1">
        <w:rPr>
          <w:rFonts w:ascii="Palatino Linotype" w:hAnsi="Palatino Linotype"/>
        </w:rPr>
        <w:t xml:space="preserve">Por su parte, el </w:t>
      </w:r>
      <w:r w:rsidRPr="004B6DE1">
        <w:rPr>
          <w:rFonts w:ascii="Palatino Linotype" w:hAnsi="Palatino Linotype"/>
          <w:b/>
        </w:rPr>
        <w:t>SUJETO OBLIGADO</w:t>
      </w:r>
      <w:r w:rsidRPr="004B6DE1">
        <w:rPr>
          <w:rFonts w:ascii="Palatino Linotype" w:hAnsi="Palatino Linotype"/>
        </w:rPr>
        <w:t xml:space="preserve"> omitió dar respuesta al requerimiento del particular.</w:t>
      </w:r>
    </w:p>
    <w:p w:rsidR="008C50EB" w:rsidRDefault="008C50EB" w:rsidP="008C50EB">
      <w:pPr>
        <w:spacing w:before="240" w:after="240" w:line="360" w:lineRule="auto"/>
        <w:jc w:val="both"/>
        <w:rPr>
          <w:rFonts w:ascii="Palatino Linotype" w:hAnsi="Palatino Linotype"/>
        </w:rPr>
      </w:pPr>
      <w:r w:rsidRPr="00B85C31">
        <w:rPr>
          <w:rFonts w:ascii="Palatino Linotype" w:hAnsi="Palatino Linotype"/>
        </w:rPr>
        <w:t>Inconforme por la falta de</w:t>
      </w:r>
      <w:r>
        <w:rPr>
          <w:rFonts w:ascii="Palatino Linotype" w:hAnsi="Palatino Linotype"/>
        </w:rPr>
        <w:t xml:space="preserve"> respuesta, el </w:t>
      </w:r>
      <w:r w:rsidRPr="00B85C31">
        <w:rPr>
          <w:rFonts w:ascii="Palatino Linotype" w:hAnsi="Palatino Linotype"/>
        </w:rPr>
        <w:t xml:space="preserve">hoy </w:t>
      </w:r>
      <w:r w:rsidRPr="00B85C31">
        <w:rPr>
          <w:rFonts w:ascii="Palatino Linotype" w:hAnsi="Palatino Linotype"/>
          <w:b/>
        </w:rPr>
        <w:t>RECURRENTE</w:t>
      </w:r>
      <w:r w:rsidRPr="00B85C31">
        <w:rPr>
          <w:rFonts w:ascii="Palatino Linotype" w:hAnsi="Palatino Linotype"/>
        </w:rPr>
        <w:t xml:space="preserve"> interpuso </w:t>
      </w:r>
      <w:r>
        <w:rPr>
          <w:rFonts w:ascii="Palatino Linotype" w:hAnsi="Palatino Linotype"/>
        </w:rPr>
        <w:t xml:space="preserve">el </w:t>
      </w:r>
      <w:r w:rsidRPr="00B85C31">
        <w:rPr>
          <w:rFonts w:ascii="Palatino Linotype" w:hAnsi="Palatino Linotype"/>
        </w:rPr>
        <w:t xml:space="preserve">presente recurso de </w:t>
      </w:r>
      <w:r>
        <w:rPr>
          <w:rFonts w:ascii="Palatino Linotype" w:hAnsi="Palatino Linotype"/>
        </w:rPr>
        <w:t xml:space="preserve">revisión en el que señaló medularmente la negativa de entregar la información. </w:t>
      </w:r>
    </w:p>
    <w:p w:rsidR="008C50EB" w:rsidRDefault="008C50EB" w:rsidP="008C50EB">
      <w:pPr>
        <w:spacing w:before="240" w:after="240" w:line="360" w:lineRule="auto"/>
        <w:jc w:val="both"/>
        <w:rPr>
          <w:rFonts w:ascii="Palatino Linotype" w:hAnsi="Palatino Linotype"/>
        </w:rPr>
      </w:pPr>
      <w:r>
        <w:rPr>
          <w:rFonts w:ascii="Palatino Linotype" w:hAnsi="Palatino Linotype"/>
        </w:rPr>
        <w:t>Una vez notificado el recurso de revisión a</w:t>
      </w:r>
      <w:r w:rsidRPr="00B0231C">
        <w:rPr>
          <w:rFonts w:ascii="Palatino Linotype" w:hAnsi="Palatino Linotype"/>
        </w:rPr>
        <w:t xml:space="preserve">l </w:t>
      </w:r>
      <w:r w:rsidRPr="00B0231C">
        <w:rPr>
          <w:rFonts w:ascii="Palatino Linotype" w:hAnsi="Palatino Linotype"/>
          <w:b/>
        </w:rPr>
        <w:t>SUJETO OBLIGADO</w:t>
      </w:r>
      <w:r>
        <w:rPr>
          <w:rFonts w:ascii="Palatino Linotype" w:hAnsi="Palatino Linotype"/>
        </w:rPr>
        <w:t xml:space="preserve">, éste a través del apartado de manifestaciones del Sistema del Acceso a la Información Mexiquense, remitió el siguiente archivo electrónico: </w:t>
      </w:r>
    </w:p>
    <w:p w:rsidR="008C50EB" w:rsidRDefault="008C50EB" w:rsidP="008C50EB">
      <w:pPr>
        <w:spacing w:before="240" w:after="240" w:line="360" w:lineRule="auto"/>
        <w:jc w:val="both"/>
        <w:rPr>
          <w:rFonts w:ascii="Palatino Linotype" w:hAnsi="Palatino Linotype"/>
        </w:rPr>
      </w:pPr>
      <w:r w:rsidRPr="00FB52DF">
        <w:rPr>
          <w:rFonts w:ascii="Palatino Linotype" w:hAnsi="Palatino Linotype"/>
        </w:rPr>
        <w:t>“</w:t>
      </w:r>
      <w:hyperlink r:id="rId9" w:history="1">
        <w:r w:rsidRPr="00510B95">
          <w:rPr>
            <w:rFonts w:ascii="Palatino Linotype" w:hAnsi="Palatino Linotype"/>
          </w:rPr>
          <w:t>RESPUESTA 185 2021 DU.pdf</w:t>
        </w:r>
      </w:hyperlink>
      <w:r w:rsidRPr="00FB52DF">
        <w:rPr>
          <w:rFonts w:ascii="Palatino Linotype" w:hAnsi="Palatino Linotype"/>
        </w:rPr>
        <w:t xml:space="preserve">”, </w:t>
      </w:r>
      <w:r>
        <w:rPr>
          <w:rFonts w:ascii="Palatino Linotype" w:hAnsi="Palatino Linotype"/>
        </w:rPr>
        <w:t xml:space="preserve">el cual contiene el oficio número CDUMCH/0/2021, por medio del cual la Coordinación de Desarrollo Urbano, </w:t>
      </w:r>
      <w:r>
        <w:rPr>
          <w:rFonts w:ascii="Palatino Linotype" w:hAnsi="Palatino Linotype"/>
        </w:rPr>
        <w:lastRenderedPageBreak/>
        <w:t xml:space="preserve">informó, al Titular de la Unidad de Transparencia, las respuestas otorgadas a cada uno de los requerimiento del solicitante. </w:t>
      </w:r>
    </w:p>
    <w:p w:rsidR="00DC6C96" w:rsidRDefault="008C50EB" w:rsidP="008C50EB">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t>Ahora bien, c</w:t>
      </w:r>
      <w:r w:rsidR="00DC6C96" w:rsidRPr="00AE71CA">
        <w:rPr>
          <w:rFonts w:ascii="Palatino Linotype" w:hAnsi="Palatino Linotype" w:cs="Arial"/>
        </w:rPr>
        <w:t xml:space="preserve">omo se puede observar en los antecedentes de la presente resolución, el </w:t>
      </w:r>
      <w:r w:rsidR="00DC6C96" w:rsidRPr="00AE71CA">
        <w:rPr>
          <w:rFonts w:ascii="Palatino Linotype" w:hAnsi="Palatino Linotype" w:cs="Arial"/>
          <w:b/>
        </w:rPr>
        <w:t>SUJETO OBLIGADO</w:t>
      </w:r>
      <w:r w:rsidR="00DC6C96" w:rsidRPr="00AE71CA">
        <w:rPr>
          <w:rFonts w:ascii="Palatino Linotype" w:hAnsi="Palatino Linotype" w:cs="Arial"/>
        </w:rPr>
        <w:t xml:space="preserve"> fue </w:t>
      </w:r>
      <w:r w:rsidR="00DC6C96" w:rsidRPr="00CD3065">
        <w:rPr>
          <w:rFonts w:ascii="Palatino Linotype" w:hAnsi="Palatino Linotype" w:cs="Arial"/>
        </w:rPr>
        <w:t xml:space="preserve">omiso en emitir respuesta a la solicitud de información, por lo que se advierte que los motivos de inconformidad aducidos por el </w:t>
      </w:r>
      <w:r w:rsidR="00DC6C96" w:rsidRPr="00CD3065">
        <w:rPr>
          <w:rFonts w:ascii="Palatino Linotype" w:hAnsi="Palatino Linotype" w:cs="Arial"/>
          <w:b/>
        </w:rPr>
        <w:t>RECURRENTE</w:t>
      </w:r>
      <w:r w:rsidR="00DC6C96" w:rsidRPr="00CD3065">
        <w:rPr>
          <w:rFonts w:ascii="Palatino Linotype" w:hAnsi="Palatino Linotype" w:cs="Arial"/>
        </w:rPr>
        <w:t xml:space="preserve"> resultan fundados, pues efectivamente transcurrió el plazo </w:t>
      </w:r>
      <w:r w:rsidR="00DC6C96" w:rsidRPr="00815CEB">
        <w:rPr>
          <w:rFonts w:ascii="Palatino Linotype" w:hAnsi="Palatino Linotype" w:cs="Arial"/>
        </w:rPr>
        <w:t xml:space="preserve">para dar respuesta determinado por la Ley de la Materia, sin que el </w:t>
      </w:r>
      <w:r w:rsidR="00DC6C96" w:rsidRPr="00815CEB">
        <w:rPr>
          <w:rFonts w:ascii="Palatino Linotype" w:hAnsi="Palatino Linotype" w:cs="Arial"/>
          <w:b/>
        </w:rPr>
        <w:t>SUJETO OBLIGADO</w:t>
      </w:r>
      <w:r w:rsidR="00DC6C96" w:rsidRPr="00815CEB">
        <w:rPr>
          <w:rFonts w:ascii="Palatino Linotype" w:hAnsi="Palatino Linotype" w:cs="Arial"/>
        </w:rPr>
        <w:t xml:space="preserve"> atendiera la solicitud de información; por lo tanto, es evidente que se vulneró su derecho constitucional de acceso a la información pública </w:t>
      </w:r>
      <w:r w:rsidR="00DC6C96" w:rsidRPr="00815CEB">
        <w:rPr>
          <w:rFonts w:ascii="Palatino Linotype" w:hAnsi="Palatino Linotype"/>
        </w:rPr>
        <w:t xml:space="preserve">previsto en el artículo 6 de la </w:t>
      </w:r>
      <w:r w:rsidR="00DC6C96" w:rsidRPr="000D0897">
        <w:rPr>
          <w:rFonts w:ascii="Palatino Linotype" w:hAnsi="Palatino Linotype"/>
          <w:color w:val="000000"/>
        </w:rPr>
        <w:t>Constitución Política de los Estados Unidos Mexicanos y el artículo 5 de la Constitución Política del Estado Libre y Soberano de México</w:t>
      </w:r>
      <w:r w:rsidR="00DC6C96" w:rsidRPr="000D0897">
        <w:rPr>
          <w:rFonts w:ascii="Palatino Linotype" w:hAnsi="Palatino Linotype" w:cs="Arial"/>
        </w:rPr>
        <w:t>.</w:t>
      </w:r>
    </w:p>
    <w:p w:rsidR="00DC6C96" w:rsidRDefault="00DC6C96" w:rsidP="00DC6C96">
      <w:pPr>
        <w:spacing w:before="240" w:after="240" w:line="360" w:lineRule="auto"/>
        <w:jc w:val="both"/>
        <w:rPr>
          <w:rFonts w:ascii="Palatino Linotype" w:hAnsi="Palatino Linotype" w:cs="Arial"/>
        </w:rPr>
      </w:pPr>
      <w:r>
        <w:rPr>
          <w:rFonts w:ascii="Palatino Linotype" w:hAnsi="Palatino Linotype" w:cs="Arial"/>
        </w:rPr>
        <w:t xml:space="preserve">Esto es, que cualquier persona tiene el derecho al acceso de la información pública, información que consiste en aquella </w:t>
      </w:r>
      <w:r w:rsidRPr="000534DD">
        <w:rPr>
          <w:rFonts w:ascii="Palatino Linotype" w:hAnsi="Palatino Linotype" w:cs="Arial"/>
        </w:rPr>
        <w:t>que sea generada, obtenida, adquirida, transformada, administrada o en posesión de los Sujetos Obligados,</w:t>
      </w:r>
      <w:r>
        <w:rPr>
          <w:rFonts w:ascii="Palatino Linotype" w:hAnsi="Palatino Linotype" w:cs="Arial"/>
        </w:rPr>
        <w:t xml:space="preserve"> como así también lo señala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toda la información </w:t>
      </w:r>
      <w:r w:rsidRPr="004B2697">
        <w:rPr>
          <w:rFonts w:ascii="Palatino Linotype" w:hAnsi="Palatino Linotype" w:cs="Arial"/>
        </w:rPr>
        <w:t>generada, obtenida, adquirida, transformada, administrada o en posesión de los sujetos obligados</w:t>
      </w:r>
      <w:r>
        <w:rPr>
          <w:rFonts w:ascii="Palatino Linotype" w:hAnsi="Palatino Linotype" w:cs="Arial"/>
        </w:rPr>
        <w:t>,</w:t>
      </w:r>
      <w:r w:rsidRPr="004B2697">
        <w:rPr>
          <w:rFonts w:ascii="Palatino Linotype" w:hAnsi="Palatino Linotype" w:cs="Arial"/>
        </w:rPr>
        <w:t xml:space="preserve"> es pública y accesible</w:t>
      </w:r>
      <w:r>
        <w:rPr>
          <w:rFonts w:ascii="Palatino Linotype" w:hAnsi="Palatino Linotype" w:cs="Arial"/>
        </w:rPr>
        <w:t>,</w:t>
      </w:r>
      <w:r w:rsidRPr="004B2697">
        <w:rPr>
          <w:rFonts w:ascii="Palatino Linotype" w:hAnsi="Palatino Linotype" w:cs="Arial"/>
        </w:rPr>
        <w:t xml:space="preserv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t>así lo establece dicha determinación, que a continuación se trascribe para un mejor entendimiento:</w:t>
      </w:r>
    </w:p>
    <w:p w:rsidR="00DC6C96" w:rsidRDefault="00DC6C96" w:rsidP="00DC6C96">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C6C96" w:rsidRPr="00903A6F" w:rsidRDefault="00DC6C96" w:rsidP="00DC6C96">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C6C96" w:rsidRDefault="00DC6C96" w:rsidP="00DC6C96">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sz w:val="22"/>
          <w:szCs w:val="22"/>
        </w:rPr>
        <w:t>”(Sic)</w:t>
      </w:r>
    </w:p>
    <w:p w:rsidR="00B84CB3" w:rsidRDefault="00B84CB3" w:rsidP="00B84CB3">
      <w:pPr>
        <w:spacing w:before="240" w:after="240"/>
        <w:contextualSpacing/>
        <w:jc w:val="both"/>
        <w:rPr>
          <w:rFonts w:ascii="Palatino Linotype" w:hAnsi="Palatino Linotype" w:cs="Arial"/>
        </w:rPr>
      </w:pPr>
    </w:p>
    <w:p w:rsidR="00DC6C96" w:rsidRDefault="00DC6C96" w:rsidP="00B84CB3">
      <w:pPr>
        <w:spacing w:before="240" w:after="240" w:line="360" w:lineRule="auto"/>
        <w:contextualSpacing/>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935E29">
        <w:rPr>
          <w:rFonts w:ascii="Palatino Linotype" w:hAnsi="Palatino Linotype" w:cs="Arial"/>
          <w:b/>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rsidR="00B84CB3" w:rsidRDefault="00B84CB3" w:rsidP="00B84CB3">
      <w:pPr>
        <w:spacing w:before="240" w:after="240"/>
        <w:contextualSpacing/>
        <w:jc w:val="both"/>
        <w:rPr>
          <w:rFonts w:ascii="Palatino Linotype" w:hAnsi="Palatino Linotype" w:cs="Arial"/>
        </w:rPr>
      </w:pPr>
    </w:p>
    <w:p w:rsidR="00DC6C96" w:rsidRDefault="00DC6C96" w:rsidP="00DC6C96">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t>“</w:t>
      </w: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DC6C96" w:rsidRDefault="00DC6C96" w:rsidP="00DC6C96">
      <w:pPr>
        <w:spacing w:before="240" w:after="240"/>
        <w:ind w:left="567" w:right="758"/>
        <w:contextualSpacing/>
        <w:jc w:val="both"/>
        <w:rPr>
          <w:rFonts w:ascii="Palatino Linotype" w:hAnsi="Palatino Linotype" w:cs="Arial"/>
          <w:i/>
          <w:sz w:val="22"/>
          <w:szCs w:val="22"/>
        </w:rPr>
      </w:pPr>
    </w:p>
    <w:p w:rsidR="00DC6C96" w:rsidRPr="00B11B43" w:rsidRDefault="00DC6C96" w:rsidP="00DC6C96">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sz w:val="22"/>
          <w:szCs w:val="22"/>
        </w:rPr>
        <w:t>” (Sic)</w:t>
      </w:r>
    </w:p>
    <w:p w:rsidR="00DC6C96" w:rsidRDefault="00DC6C96" w:rsidP="00DC6C96">
      <w:pPr>
        <w:spacing w:line="360" w:lineRule="auto"/>
        <w:jc w:val="both"/>
        <w:rPr>
          <w:rFonts w:ascii="Palatino Linotype" w:hAnsi="Palatino Linotype" w:cs="Arial"/>
        </w:rPr>
      </w:pPr>
    </w:p>
    <w:p w:rsidR="00DC6C96" w:rsidRPr="00A8729B" w:rsidRDefault="00DC6C96" w:rsidP="00DC6C96">
      <w:pPr>
        <w:spacing w:line="360" w:lineRule="auto"/>
        <w:jc w:val="both"/>
        <w:rPr>
          <w:rFonts w:ascii="Palatino Linotype" w:hAnsi="Palatino Linotype" w:cs="Arial"/>
          <w:color w:val="000000"/>
        </w:rPr>
      </w:pPr>
      <w:r>
        <w:rPr>
          <w:rFonts w:ascii="Palatino Linotype" w:hAnsi="Palatino Linotype" w:cs="Arial"/>
          <w:color w:val="000000"/>
        </w:rPr>
        <w:t>Es decir,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w:t>
      </w:r>
      <w:r>
        <w:rPr>
          <w:rFonts w:ascii="Palatino Linotype" w:hAnsi="Palatino Linotype" w:cs="Arial"/>
          <w:color w:val="000000"/>
        </w:rPr>
        <w:t>ue conste la información requerida</w:t>
      </w:r>
      <w:r w:rsidRPr="009E12B6">
        <w:rPr>
          <w:rFonts w:ascii="Palatino Linotype" w:hAnsi="Palatino Linotype" w:cs="Arial"/>
          <w:color w:val="000000"/>
        </w:rPr>
        <w:t>,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w:t>
      </w:r>
      <w:r w:rsidRPr="009E12B6">
        <w:rPr>
          <w:rFonts w:ascii="Palatino Linotype" w:hAnsi="Palatino Linotype" w:cs="Arial"/>
          <w:color w:val="000000"/>
        </w:rPr>
        <w:lastRenderedPageBreak/>
        <w:t xml:space="preserve">la información pública con el grado de detalle solicitado;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w:t>
      </w:r>
      <w:r>
        <w:rPr>
          <w:rFonts w:ascii="Palatino Linotype" w:hAnsi="Palatino Linotype" w:cs="Arial"/>
          <w:color w:val="000000"/>
        </w:rPr>
        <w:t xml:space="preserve"> la información pública, </w:t>
      </w:r>
      <w:r>
        <w:rPr>
          <w:rFonts w:ascii="Palatino Linotype" w:hAnsi="Palatino Linotype" w:cs="Arial"/>
        </w:rPr>
        <w:t>como</w:t>
      </w:r>
      <w:r w:rsidRPr="00DB74D3">
        <w:rPr>
          <w:rFonts w:ascii="Palatino Linotype" w:hAnsi="Palatino Linotype" w:cs="Arial"/>
        </w:rPr>
        <w:t xml:space="preserve"> </w:t>
      </w:r>
      <w:r>
        <w:rPr>
          <w:rFonts w:ascii="Palatino Linotype" w:hAnsi="Palatino Linotype" w:cs="Arial"/>
        </w:rPr>
        <w:t xml:space="preserve">así lo establece </w:t>
      </w:r>
      <w:r w:rsidRPr="00DB74D3">
        <w:rPr>
          <w:rFonts w:ascii="Palatino Linotype" w:hAnsi="Palatino Linotype" w:cs="Arial"/>
        </w:rPr>
        <w:t>los criterios 09/10 y 03/17 emitidos por el Instituto Nacional de Transparencia, Acceso a la Información Pública y Protección de Datos</w:t>
      </w:r>
      <w:r>
        <w:rPr>
          <w:rFonts w:ascii="Palatino Linotype" w:hAnsi="Palatino Linotype" w:cs="Arial"/>
        </w:rPr>
        <w:t xml:space="preserve"> Personales, los cuales señalan lo siguiente</w:t>
      </w:r>
      <w:r w:rsidRPr="00DB74D3">
        <w:rPr>
          <w:rFonts w:ascii="Palatino Linotype" w:hAnsi="Palatino Linotype" w:cs="Arial"/>
        </w:rPr>
        <w:t>:</w:t>
      </w:r>
    </w:p>
    <w:p w:rsidR="00DC6C96" w:rsidRPr="00D97A57" w:rsidRDefault="00DC6C96" w:rsidP="00DC6C96">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09/10</w:t>
      </w:r>
    </w:p>
    <w:p w:rsidR="00DC6C96" w:rsidRPr="00D97A57" w:rsidRDefault="00DC6C96" w:rsidP="00DC6C96">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"LAS DEPENDENCIAS Y ENTIDADES NO ESTÁN OBLIGADAS A GENERAR DOCUMENTOS AD HOC PARA RESPONDER UNA SOLICITUD DE ACC ESO A LA INFORMACIÓN.</w:t>
      </w:r>
    </w:p>
    <w:p w:rsidR="00DC6C96" w:rsidRDefault="00DC6C96" w:rsidP="00DC6C96">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i/>
          <w:sz w:val="20"/>
          <w:szCs w:val="20"/>
        </w:rPr>
        <w:t>”</w:t>
      </w:r>
    </w:p>
    <w:p w:rsidR="00DC6C96" w:rsidRPr="00D97A57" w:rsidRDefault="00DC6C96" w:rsidP="00DC6C96">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03/17</w:t>
      </w:r>
    </w:p>
    <w:p w:rsidR="00DC6C96" w:rsidRPr="00D97A57" w:rsidRDefault="00DC6C96" w:rsidP="00DC6C96">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“NO EXISTE OBLIGACIÓN DE ELABORAR DOCUM ENTOS AD HOC PARA ATENDER LAS SOLICITUDES DE ACCESO A LA INFORM ACIÓN.</w:t>
      </w:r>
    </w:p>
    <w:p w:rsidR="00DC6C96" w:rsidRPr="00003BBD" w:rsidRDefault="00DC6C96" w:rsidP="00DC6C96">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Los artículos 129 de la Ley General de Transparencia y Acceso a la Información Pública y 130, párrafo cuarto, de la Ley Federal de</w:t>
      </w:r>
      <w:r>
        <w:rPr>
          <w:rFonts w:ascii="Palatino Linotype" w:hAnsi="Palatino Linotype"/>
          <w:i/>
          <w:sz w:val="20"/>
          <w:szCs w:val="20"/>
        </w:rPr>
        <w:t xml:space="preserve"> </w:t>
      </w:r>
      <w:r w:rsidRPr="00003BBD">
        <w:rPr>
          <w:rFonts w:ascii="Palatino Linotype" w:hAnsi="Palatino Linotype"/>
          <w:i/>
          <w:sz w:val="20"/>
          <w:szCs w:val="20"/>
        </w:rPr>
        <w:t>Transparencia y Acceso a la Información Pública, señalan que los sujetos</w:t>
      </w:r>
      <w:r>
        <w:rPr>
          <w:rFonts w:ascii="Palatino Linotype" w:hAnsi="Palatino Linotype"/>
          <w:i/>
          <w:sz w:val="20"/>
          <w:szCs w:val="20"/>
        </w:rPr>
        <w:t xml:space="preserve"> </w:t>
      </w:r>
      <w:r w:rsidRPr="00003BBD">
        <w:rPr>
          <w:rFonts w:ascii="Palatino Linotype" w:hAnsi="Palatino Linotype"/>
          <w:i/>
          <w:sz w:val="20"/>
          <w:szCs w:val="20"/>
        </w:rPr>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w:t>
      </w:r>
      <w:r>
        <w:rPr>
          <w:rFonts w:ascii="Palatino Linotype" w:hAnsi="Palatino Linotype"/>
          <w:i/>
          <w:sz w:val="20"/>
          <w:szCs w:val="20"/>
        </w:rPr>
        <w:t>licitudes de información."(Sic)</w:t>
      </w:r>
    </w:p>
    <w:p w:rsidR="00DC6C96" w:rsidRPr="009E12B6" w:rsidRDefault="00DC6C96" w:rsidP="00DC6C96">
      <w:pPr>
        <w:spacing w:line="360" w:lineRule="auto"/>
        <w:jc w:val="both"/>
        <w:rPr>
          <w:rFonts w:ascii="Palatino Linotype" w:hAnsi="Palatino Linotype" w:cs="Arial"/>
          <w:color w:val="000000"/>
        </w:rPr>
      </w:pPr>
    </w:p>
    <w:p w:rsidR="00DC6C96" w:rsidRDefault="00DC6C96" w:rsidP="00DC6C96">
      <w:pPr>
        <w:spacing w:line="360" w:lineRule="auto"/>
        <w:jc w:val="both"/>
        <w:rPr>
          <w:rFonts w:ascii="Palatino Linotype" w:hAnsi="Palatino Linotype" w:cs="Arial"/>
          <w:color w:val="000000" w:themeColor="text1"/>
        </w:rPr>
      </w:pPr>
      <w:r w:rsidRPr="004975CB">
        <w:rPr>
          <w:rFonts w:ascii="Palatino Linotype" w:hAnsi="Palatino Linotype" w:cs="Arial"/>
        </w:rPr>
        <w:lastRenderedPageBreak/>
        <w:t>Por otra parte, y aunado a lo antepuesto</w:t>
      </w:r>
      <w:r>
        <w:rPr>
          <w:rFonts w:ascii="Palatino Linotype" w:hAnsi="Palatino Linotype" w:cs="Arial"/>
        </w:rPr>
        <w:t>,</w:t>
      </w:r>
      <w:r w:rsidRPr="004975CB">
        <w:rPr>
          <w:rFonts w:ascii="Palatino Linotype" w:hAnsi="Palatino Linotype" w:cs="Arial"/>
        </w:rPr>
        <w:t xml:space="preserve"> el </w:t>
      </w:r>
      <w:r>
        <w:rPr>
          <w:rFonts w:ascii="Palatino Linotype" w:hAnsi="Palatino Linotype" w:cs="Arial"/>
        </w:rPr>
        <w:t xml:space="preserve">último párrafo del </w:t>
      </w:r>
      <w:r w:rsidRPr="004975CB">
        <w:rPr>
          <w:rFonts w:ascii="Palatino Linotype" w:hAnsi="Palatino Linotype" w:cs="Arial"/>
        </w:rPr>
        <w:t xml:space="preserve">artículo 24 de la Ley de la materia,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rsidR="00DC6C96" w:rsidRDefault="00DC6C96" w:rsidP="00DC6C96">
      <w:pPr>
        <w:spacing w:line="360" w:lineRule="auto"/>
        <w:jc w:val="both"/>
        <w:rPr>
          <w:rFonts w:ascii="Palatino Linotype" w:hAnsi="Palatino Linotype" w:cs="Arial"/>
          <w:color w:val="000000" w:themeColor="text1"/>
        </w:rPr>
      </w:pPr>
    </w:p>
    <w:p w:rsidR="00DC6C96" w:rsidRDefault="00DC6C96" w:rsidP="00DC6C96">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DC6C96" w:rsidRPr="009E12B6" w:rsidRDefault="00DC6C96" w:rsidP="00DC6C96">
      <w:pPr>
        <w:jc w:val="both"/>
        <w:rPr>
          <w:rFonts w:ascii="Palatino Linotype" w:hAnsi="Palatino Linotype" w:cs="Arial"/>
          <w:color w:val="000000" w:themeColor="text1"/>
        </w:rPr>
      </w:pPr>
    </w:p>
    <w:p w:rsidR="00DC6C96" w:rsidRPr="004975CB" w:rsidRDefault="00DC6C96" w:rsidP="00DC6C96">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C6C96" w:rsidRPr="004975CB" w:rsidRDefault="00DC6C96" w:rsidP="00DC6C96">
      <w:pPr>
        <w:ind w:left="1134" w:right="899"/>
        <w:jc w:val="both"/>
        <w:rPr>
          <w:rFonts w:ascii="Palatino Linotype" w:hAnsi="Palatino Linotype" w:cs="Arial"/>
          <w:i/>
          <w:sz w:val="22"/>
          <w:szCs w:val="22"/>
        </w:rPr>
      </w:pPr>
    </w:p>
    <w:p w:rsidR="00DC6C96" w:rsidRPr="004975CB" w:rsidRDefault="00DC6C96" w:rsidP="00DC6C96">
      <w:pPr>
        <w:ind w:left="1134" w:right="899"/>
        <w:jc w:val="both"/>
        <w:rPr>
          <w:rFonts w:ascii="Palatino Linotype" w:hAnsi="Palatino Linotype" w:cs="Arial"/>
          <w:i/>
          <w:sz w:val="22"/>
          <w:szCs w:val="22"/>
        </w:rPr>
      </w:pPr>
      <w:r w:rsidRPr="004975CB">
        <w:rPr>
          <w:rFonts w:ascii="Palatino Linotype" w:hAnsi="Palatino Linotype" w:cs="Arial"/>
          <w:i/>
          <w:sz w:val="22"/>
          <w:szCs w:val="22"/>
        </w:rPr>
        <w:lastRenderedPageBreak/>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DC6C96" w:rsidRPr="004975CB" w:rsidRDefault="00DC6C96" w:rsidP="00DC6C96">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p>
    <w:p w:rsidR="00DC6C96" w:rsidRDefault="00DC6C96" w:rsidP="00DC6C96">
      <w:pPr>
        <w:ind w:left="1134"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DC6C96" w:rsidRPr="009E12B6" w:rsidRDefault="00DC6C96" w:rsidP="00DC6C96">
      <w:pPr>
        <w:ind w:left="851" w:right="899"/>
        <w:jc w:val="both"/>
        <w:rPr>
          <w:rFonts w:ascii="Palatino Linotype" w:hAnsi="Palatino Linotype" w:cs="Arial"/>
          <w:i/>
          <w:color w:val="000000"/>
          <w:sz w:val="22"/>
          <w:szCs w:val="22"/>
        </w:rPr>
      </w:pPr>
    </w:p>
    <w:p w:rsidR="00DC6C96" w:rsidRPr="009E12B6" w:rsidRDefault="00DC6C96" w:rsidP="00DC6C96">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DC6C96" w:rsidRPr="009E12B6" w:rsidRDefault="00DC6C96" w:rsidP="00DC6C96">
      <w:pPr>
        <w:ind w:left="851" w:right="899"/>
        <w:jc w:val="both"/>
        <w:rPr>
          <w:rFonts w:ascii="Palatino Linotype" w:hAnsi="Palatino Linotype" w:cs="Arial"/>
        </w:rPr>
      </w:pPr>
    </w:p>
    <w:p w:rsidR="00DC6C96" w:rsidRPr="004B675A" w:rsidRDefault="00DC6C96" w:rsidP="00DC6C96">
      <w:pPr>
        <w:ind w:left="1134"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DC6C96" w:rsidRPr="009E12B6" w:rsidRDefault="00DC6C96" w:rsidP="00DC6C96">
      <w:pPr>
        <w:ind w:left="1134"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C6C96" w:rsidRPr="009E12B6" w:rsidRDefault="00DC6C96" w:rsidP="00DC6C96">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DC6C96" w:rsidRPr="009E12B6" w:rsidRDefault="00DC6C96" w:rsidP="00DC6C96">
      <w:pPr>
        <w:ind w:left="1134"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DC6C96" w:rsidRPr="009E12B6" w:rsidRDefault="00DC6C96" w:rsidP="00DC6C96">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DC6C96" w:rsidRPr="009E12B6" w:rsidRDefault="00DC6C96" w:rsidP="00DC6C96">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lastRenderedPageBreak/>
        <w:t>3) Que se trate de información registrada en cualquier soporte documental, que en ejercicio de las atribuciones conferidas, se encuentre en pose</w:t>
      </w:r>
      <w:r>
        <w:rPr>
          <w:rFonts w:ascii="Palatino Linotype" w:hAnsi="Palatino Linotype" w:cs="Arial"/>
          <w:i/>
          <w:sz w:val="22"/>
          <w:szCs w:val="22"/>
          <w:lang w:eastAsia="es-MX"/>
        </w:rPr>
        <w:t>sión de los Sujetos Obligados.”(Sic)</w:t>
      </w:r>
    </w:p>
    <w:p w:rsidR="00DC6C96" w:rsidRPr="00C51126" w:rsidRDefault="00DC6C96" w:rsidP="00DC6C96">
      <w:pPr>
        <w:ind w:left="1134" w:right="1041"/>
        <w:jc w:val="both"/>
        <w:rPr>
          <w:rFonts w:ascii="Palatino Linotype" w:hAnsi="Palatino Linotype"/>
          <w:sz w:val="22"/>
          <w:szCs w:val="22"/>
        </w:rPr>
      </w:pPr>
    </w:p>
    <w:p w:rsidR="00DC6C96" w:rsidRDefault="00DC6C96" w:rsidP="00DC6C96">
      <w:pPr>
        <w:spacing w:before="100" w:beforeAutospacing="1" w:after="100" w:afterAutospacing="1" w:line="360" w:lineRule="auto"/>
        <w:jc w:val="both"/>
        <w:rPr>
          <w:rFonts w:ascii="Palatino Linotype" w:hAnsi="Palatino Linotype" w:cs="Arial"/>
          <w:lang w:val="es-MX" w:eastAsia="es-MX"/>
        </w:rPr>
      </w:pPr>
      <w:r w:rsidRPr="00C51126">
        <w:rPr>
          <w:rFonts w:ascii="Palatino Linotype" w:hAnsi="Palatino Linotype" w:cs="Arial"/>
          <w:lang w:val="es-MX" w:eastAsia="es-MX"/>
        </w:rPr>
        <w:t>De ahí que</w:t>
      </w:r>
      <w:r w:rsidRPr="000D0897">
        <w:rPr>
          <w:rFonts w:ascii="Palatino Linotype" w:hAnsi="Palatino Linotype" w:cs="Arial"/>
          <w:lang w:val="es-MX" w:eastAsia="es-MX"/>
        </w:rPr>
        <w:t xml:space="preserve"> el </w:t>
      </w:r>
      <w:r w:rsidRPr="002F03D3">
        <w:rPr>
          <w:rFonts w:ascii="Palatino Linotype" w:hAnsi="Palatino Linotype" w:cs="Arial"/>
          <w:b/>
          <w:lang w:val="es-MX" w:eastAsia="es-MX"/>
        </w:rPr>
        <w:t>SUJETO OBLIGADO</w:t>
      </w:r>
      <w:r w:rsidRPr="002F03D3">
        <w:rPr>
          <w:rFonts w:ascii="Palatino Linotype" w:hAnsi="Palatino Linotype" w:cs="Arial"/>
          <w:lang w:val="es-MX" w:eastAsia="es-MX"/>
        </w:rPr>
        <w:t xml:space="preserve"> </w:t>
      </w:r>
      <w:r w:rsidRPr="000D0897">
        <w:rPr>
          <w:rFonts w:ascii="Palatino Linotype" w:hAnsi="Palatino Linotype" w:cs="Arial"/>
          <w:lang w:val="es-MX" w:eastAsia="es-MX"/>
        </w:rPr>
        <w:t>cuenta con el deber de satisfacer las solicitudes de acceso a la inf</w:t>
      </w:r>
      <w:r w:rsidRPr="002F03D3">
        <w:rPr>
          <w:rFonts w:ascii="Palatino Linotype" w:hAnsi="Palatino Linotype" w:cs="Arial"/>
          <w:lang w:val="es-MX" w:eastAsia="es-MX"/>
        </w:rPr>
        <w:t xml:space="preserve">ormación que le sean formuladas y </w:t>
      </w:r>
      <w:r w:rsidRPr="000D0897">
        <w:rPr>
          <w:rFonts w:ascii="Palatino Linotype" w:hAnsi="Palatino Linotype" w:cs="Arial"/>
          <w:lang w:val="es-MX" w:eastAsia="es-MX"/>
        </w:rPr>
        <w:t xml:space="preserve">entregar la información pública que obre en sus archivos; más aún si la misma se trata de información pública de oficio la cual se relaciona con aquella que se genere de acuerdo con sus facultades, atribuciones señaladas por la Ley en </w:t>
      </w:r>
      <w:r w:rsidRPr="002F03D3">
        <w:rPr>
          <w:rFonts w:ascii="Palatino Linotype" w:hAnsi="Palatino Linotype" w:cs="Arial"/>
          <w:lang w:val="es-MX" w:eastAsia="es-MX"/>
        </w:rPr>
        <w:t xml:space="preserve">la </w:t>
      </w:r>
      <w:r w:rsidRPr="000D0897">
        <w:rPr>
          <w:rFonts w:ascii="Palatino Linotype" w:hAnsi="Palatino Linotype" w:cs="Arial"/>
          <w:lang w:val="es-MX" w:eastAsia="es-MX"/>
        </w:rPr>
        <w:t>materia</w:t>
      </w:r>
      <w:r w:rsidRPr="002F03D3">
        <w:rPr>
          <w:rFonts w:ascii="Palatino Linotype" w:hAnsi="Palatino Linotype" w:cs="Arial"/>
          <w:vertAlign w:val="superscript"/>
          <w:lang w:val="es-MX" w:eastAsia="es-MX"/>
        </w:rPr>
        <w:footnoteReference w:id="2"/>
      </w:r>
      <w:r w:rsidRPr="000D0897">
        <w:rPr>
          <w:rFonts w:ascii="Palatino Linotype" w:hAnsi="Palatino Linotype" w:cs="Arial"/>
          <w:lang w:val="es-MX" w:eastAsia="es-MX"/>
        </w:rPr>
        <w:t>, así como de interés público, es decir, aquella que resulta relevante o beneficiosa para la sociedad y no si</w:t>
      </w:r>
      <w:r>
        <w:rPr>
          <w:rFonts w:ascii="Palatino Linotype" w:hAnsi="Palatino Linotype" w:cs="Arial"/>
          <w:lang w:val="es-MX" w:eastAsia="es-MX"/>
        </w:rPr>
        <w:t xml:space="preserve">mplemente de interés individual, </w:t>
      </w:r>
      <w:r w:rsidRPr="000D0897">
        <w:rPr>
          <w:rFonts w:ascii="Palatino Linotype" w:hAnsi="Palatino Linotype" w:cs="Arial"/>
          <w:lang w:val="es-MX" w:eastAsia="es-MX"/>
        </w:rPr>
        <w:t>y cuya divulgación resulta útil para que el público</w:t>
      </w:r>
      <w:r>
        <w:rPr>
          <w:rFonts w:ascii="Palatino Linotype" w:hAnsi="Palatino Linotype" w:cs="Arial"/>
          <w:lang w:val="es-MX" w:eastAsia="es-MX"/>
        </w:rPr>
        <w:t xml:space="preserve"> </w:t>
      </w:r>
      <w:r w:rsidRPr="000D0897">
        <w:rPr>
          <w:rFonts w:ascii="Palatino Linotype" w:hAnsi="Palatino Linotype" w:cs="Arial"/>
          <w:lang w:val="es-MX" w:eastAsia="es-MX"/>
        </w:rPr>
        <w:t>comprenda las actividades que llevan a cabo los Sujetos Obligados</w:t>
      </w:r>
      <w:r w:rsidRPr="00AD359A">
        <w:rPr>
          <w:rFonts w:ascii="Palatino Linotype" w:hAnsi="Palatino Linotype" w:cs="Arial"/>
          <w:vertAlign w:val="superscript"/>
          <w:lang w:val="es-MX" w:eastAsia="es-MX"/>
        </w:rPr>
        <w:footnoteReference w:id="3"/>
      </w:r>
      <w:r w:rsidRPr="00AD359A">
        <w:rPr>
          <w:rFonts w:ascii="Palatino Linotype" w:hAnsi="Palatino Linotype" w:cs="Arial"/>
          <w:lang w:val="es-MX" w:eastAsia="es-MX"/>
        </w:rPr>
        <w:t xml:space="preserve">, como pudiera tratarse de aquella relacionada con </w:t>
      </w:r>
      <w:r w:rsidR="008C50EB">
        <w:rPr>
          <w:rFonts w:ascii="Palatino Linotype" w:hAnsi="Palatino Linotype" w:cs="Arial"/>
          <w:lang w:val="es-MX" w:eastAsia="es-MX"/>
        </w:rPr>
        <w:t xml:space="preserve">los trámites y servicios que brinda el </w:t>
      </w:r>
      <w:r w:rsidR="008C50EB" w:rsidRPr="008C50EB">
        <w:rPr>
          <w:rFonts w:ascii="Palatino Linotype" w:hAnsi="Palatino Linotype" w:cs="Arial"/>
          <w:b/>
          <w:lang w:val="es-MX" w:eastAsia="es-MX"/>
        </w:rPr>
        <w:t>SUJETO OBLIGADO</w:t>
      </w:r>
      <w:r>
        <w:rPr>
          <w:rFonts w:ascii="Palatino Linotype" w:hAnsi="Palatino Linotype" w:cs="Arial"/>
          <w:lang w:val="es-MX" w:eastAsia="es-MX"/>
        </w:rPr>
        <w:t>.</w:t>
      </w:r>
    </w:p>
    <w:p w:rsidR="00D25C96" w:rsidRDefault="004B6DE1" w:rsidP="004B6DE1">
      <w:pPr>
        <w:spacing w:before="240" w:after="240" w:line="360" w:lineRule="auto"/>
        <w:jc w:val="both"/>
        <w:rPr>
          <w:rFonts w:ascii="Palatino Linotype" w:hAnsi="Palatino Linotype"/>
        </w:rPr>
      </w:pPr>
      <w:r w:rsidRPr="004B6DE1">
        <w:rPr>
          <w:rFonts w:ascii="Palatino Linotype" w:hAnsi="Palatino Linotype"/>
        </w:rPr>
        <w:t xml:space="preserve">Precisado lo anterior, se procede hacer un cuadro comparativo </w:t>
      </w:r>
      <w:r>
        <w:rPr>
          <w:rFonts w:ascii="Palatino Linotype" w:hAnsi="Palatino Linotype"/>
        </w:rPr>
        <w:t>de los requerimientos del particular con la información entregada a través del informe justificado, para determinar si colma el derecho de acceso a la información del recurrente, como se describe a continuación:</w:t>
      </w:r>
    </w:p>
    <w:tbl>
      <w:tblPr>
        <w:tblStyle w:val="Tablaconcuadrcula"/>
        <w:tblW w:w="0" w:type="auto"/>
        <w:tblLook w:val="04A0" w:firstRow="1" w:lastRow="0" w:firstColumn="1" w:lastColumn="0" w:noHBand="0" w:noVBand="1"/>
      </w:tblPr>
      <w:tblGrid>
        <w:gridCol w:w="2926"/>
        <w:gridCol w:w="2926"/>
        <w:gridCol w:w="2927"/>
      </w:tblGrid>
      <w:tr w:rsidR="004B6DE1" w:rsidTr="004B6DE1">
        <w:tc>
          <w:tcPr>
            <w:tcW w:w="2926" w:type="dxa"/>
          </w:tcPr>
          <w:p w:rsidR="004B6DE1" w:rsidRDefault="00C96B42" w:rsidP="00C96B42">
            <w:pPr>
              <w:spacing w:before="240" w:after="240" w:line="360" w:lineRule="auto"/>
              <w:jc w:val="center"/>
              <w:rPr>
                <w:rFonts w:ascii="Palatino Linotype" w:hAnsi="Palatino Linotype"/>
              </w:rPr>
            </w:pPr>
            <w:r>
              <w:rPr>
                <w:rFonts w:ascii="Palatino Linotype" w:hAnsi="Palatino Linotype"/>
              </w:rPr>
              <w:t>Solicitud</w:t>
            </w:r>
          </w:p>
        </w:tc>
        <w:tc>
          <w:tcPr>
            <w:tcW w:w="2926" w:type="dxa"/>
          </w:tcPr>
          <w:p w:rsidR="004B6DE1" w:rsidRDefault="00C96B42" w:rsidP="00C96B42">
            <w:pPr>
              <w:spacing w:before="240" w:after="240" w:line="360" w:lineRule="auto"/>
              <w:jc w:val="center"/>
              <w:rPr>
                <w:rFonts w:ascii="Palatino Linotype" w:hAnsi="Palatino Linotype"/>
              </w:rPr>
            </w:pPr>
            <w:r>
              <w:rPr>
                <w:rFonts w:ascii="Palatino Linotype" w:hAnsi="Palatino Linotype"/>
              </w:rPr>
              <w:t>Informe Justificado</w:t>
            </w:r>
          </w:p>
        </w:tc>
        <w:tc>
          <w:tcPr>
            <w:tcW w:w="2927" w:type="dxa"/>
          </w:tcPr>
          <w:p w:rsidR="004B6DE1" w:rsidRDefault="00C96B42" w:rsidP="00C96B42">
            <w:pPr>
              <w:spacing w:before="240" w:after="240" w:line="360" w:lineRule="auto"/>
              <w:jc w:val="center"/>
              <w:rPr>
                <w:rFonts w:ascii="Palatino Linotype" w:hAnsi="Palatino Linotype"/>
              </w:rPr>
            </w:pPr>
            <w:r>
              <w:rPr>
                <w:rFonts w:ascii="Palatino Linotype" w:hAnsi="Palatino Linotype"/>
              </w:rPr>
              <w:t>Colma</w:t>
            </w:r>
          </w:p>
        </w:tc>
      </w:tr>
      <w:tr w:rsidR="004B6DE1" w:rsidTr="004B6DE1">
        <w:tc>
          <w:tcPr>
            <w:tcW w:w="2926" w:type="dxa"/>
          </w:tcPr>
          <w:p w:rsidR="004B6DE1" w:rsidRPr="00C96B42" w:rsidRDefault="006672B1" w:rsidP="00C96B42">
            <w:pPr>
              <w:spacing w:before="240" w:after="240"/>
              <w:contextualSpacing/>
              <w:jc w:val="both"/>
              <w:rPr>
                <w:rFonts w:ascii="Palatino Linotype" w:hAnsi="Palatino Linotype"/>
                <w:sz w:val="20"/>
                <w:szCs w:val="20"/>
              </w:rPr>
            </w:pPr>
            <w:r>
              <w:rPr>
                <w:rFonts w:ascii="Palatino Linotype" w:hAnsi="Palatino Linotype"/>
                <w:sz w:val="20"/>
                <w:szCs w:val="20"/>
              </w:rPr>
              <w:lastRenderedPageBreak/>
              <w:t>1</w:t>
            </w:r>
            <w:r w:rsidR="00C96B42">
              <w:rPr>
                <w:rFonts w:ascii="Palatino Linotype" w:hAnsi="Palatino Linotype"/>
                <w:sz w:val="20"/>
                <w:szCs w:val="20"/>
              </w:rPr>
              <w:t>-</w:t>
            </w:r>
            <w:r w:rsidR="00C96B42" w:rsidRPr="00C96B42">
              <w:rPr>
                <w:rFonts w:ascii="Palatino Linotype" w:hAnsi="Palatino Linotype"/>
                <w:sz w:val="20"/>
                <w:szCs w:val="20"/>
              </w:rPr>
              <w:t>Requiero el fundamento legal de cada uno los requisitos para solicitar una licencia de construcción de bardas perimetrales, es decir, por cada requisito su fundamento legal</w:t>
            </w:r>
          </w:p>
        </w:tc>
        <w:tc>
          <w:tcPr>
            <w:tcW w:w="2926" w:type="dxa"/>
          </w:tcPr>
          <w:p w:rsidR="004B6DE1" w:rsidRPr="008C50EB" w:rsidRDefault="00C96B42" w:rsidP="00C96B42">
            <w:pPr>
              <w:spacing w:before="240" w:after="240"/>
              <w:contextualSpacing/>
              <w:jc w:val="both"/>
              <w:rPr>
                <w:rFonts w:ascii="Palatino Linotype" w:hAnsi="Palatino Linotype"/>
                <w:sz w:val="20"/>
                <w:szCs w:val="20"/>
              </w:rPr>
            </w:pPr>
            <w:r w:rsidRPr="00C96B42">
              <w:rPr>
                <w:rFonts w:ascii="Palatino Linotype" w:hAnsi="Palatino Linotype"/>
                <w:sz w:val="20"/>
                <w:szCs w:val="20"/>
              </w:rPr>
              <w:t>El Sujeto Obligado</w:t>
            </w:r>
            <w:r>
              <w:rPr>
                <w:rFonts w:ascii="Palatino Linotype" w:hAnsi="Palatino Linotype"/>
                <w:sz w:val="20"/>
                <w:szCs w:val="20"/>
              </w:rPr>
              <w:t xml:space="preserve"> a través de la Coordinación de Desarrollo Urbano</w:t>
            </w:r>
            <w:r w:rsidRPr="00C96B42">
              <w:rPr>
                <w:rFonts w:ascii="Palatino Linotype" w:hAnsi="Palatino Linotype"/>
                <w:sz w:val="20"/>
                <w:szCs w:val="20"/>
              </w:rPr>
              <w:t>, señaló</w:t>
            </w:r>
            <w:r w:rsidRPr="008C50EB">
              <w:rPr>
                <w:rFonts w:ascii="Palatino Linotype" w:hAnsi="Palatino Linotype"/>
                <w:sz w:val="20"/>
                <w:szCs w:val="20"/>
              </w:rPr>
              <w:t xml:space="preserve"> </w:t>
            </w:r>
            <w:r w:rsidRPr="00C96B42">
              <w:rPr>
                <w:rFonts w:ascii="Palatino Linotype" w:hAnsi="Palatino Linotype"/>
                <w:sz w:val="20"/>
                <w:szCs w:val="20"/>
              </w:rPr>
              <w:t>que los requisitos son los establecidos en el artículo 18.21 Libro Décimo Octavo de las Construcciones, y el fundamento legal es el mismo que se menciona 18.21.</w:t>
            </w:r>
            <w:r w:rsidRPr="008C50EB">
              <w:rPr>
                <w:rFonts w:ascii="Palatino Linotype" w:hAnsi="Palatino Linotype"/>
                <w:sz w:val="20"/>
                <w:szCs w:val="20"/>
              </w:rPr>
              <w:t xml:space="preserve"> </w:t>
            </w:r>
          </w:p>
          <w:p w:rsidR="008C50EB" w:rsidRPr="008C50EB" w:rsidRDefault="008C50EB" w:rsidP="008C50EB">
            <w:pPr>
              <w:jc w:val="both"/>
              <w:rPr>
                <w:rFonts w:ascii="Palatino Linotype" w:hAnsi="Palatino Linotype"/>
                <w:sz w:val="20"/>
                <w:szCs w:val="20"/>
              </w:rPr>
            </w:pPr>
            <w:r>
              <w:rPr>
                <w:rFonts w:ascii="Palatino Linotype" w:hAnsi="Palatino Linotype"/>
                <w:sz w:val="20"/>
                <w:szCs w:val="20"/>
              </w:rPr>
              <w:t>“</w:t>
            </w:r>
            <w:r w:rsidRPr="008C50EB">
              <w:rPr>
                <w:rFonts w:ascii="Palatino Linotype" w:hAnsi="Palatino Linotype"/>
                <w:sz w:val="20"/>
                <w:szCs w:val="20"/>
              </w:rPr>
              <w:t xml:space="preserve">Artículo 18.21. A la solicitud de licencia de construcción se acompañará como mínimo: </w:t>
            </w:r>
          </w:p>
          <w:p w:rsidR="008C50EB" w:rsidRPr="008C50EB" w:rsidRDefault="008C50EB" w:rsidP="008C50EB">
            <w:pPr>
              <w:jc w:val="both"/>
              <w:rPr>
                <w:rFonts w:ascii="Palatino Linotype" w:hAnsi="Palatino Linotype"/>
                <w:sz w:val="20"/>
                <w:szCs w:val="20"/>
              </w:rPr>
            </w:pPr>
            <w:r w:rsidRPr="008C50EB">
              <w:rPr>
                <w:rFonts w:ascii="Palatino Linotype" w:hAnsi="Palatino Linotype"/>
                <w:sz w:val="20"/>
                <w:szCs w:val="20"/>
              </w:rPr>
              <w:t xml:space="preserve">I. Documento que acredite la personalidad del solicitante; </w:t>
            </w:r>
          </w:p>
          <w:p w:rsidR="008C50EB" w:rsidRPr="008C50EB" w:rsidRDefault="008C50EB" w:rsidP="008C50EB">
            <w:pPr>
              <w:jc w:val="both"/>
              <w:rPr>
                <w:rFonts w:ascii="Palatino Linotype" w:hAnsi="Palatino Linotype"/>
                <w:sz w:val="20"/>
                <w:szCs w:val="20"/>
              </w:rPr>
            </w:pPr>
            <w:r w:rsidRPr="008C50EB">
              <w:rPr>
                <w:rFonts w:ascii="Palatino Linotype" w:hAnsi="Palatino Linotype"/>
                <w:sz w:val="20"/>
                <w:szCs w:val="20"/>
              </w:rPr>
              <w:t xml:space="preserve">II. Documento que acredite la propiedad o la posesión en concepto de propietario del inmueble; </w:t>
            </w:r>
          </w:p>
          <w:p w:rsidR="008C50EB" w:rsidRPr="008C50EB" w:rsidRDefault="008C50EB" w:rsidP="008C50EB">
            <w:pPr>
              <w:spacing w:before="240" w:after="240"/>
              <w:contextualSpacing/>
              <w:jc w:val="both"/>
              <w:rPr>
                <w:rFonts w:ascii="Palatino Linotype" w:hAnsi="Palatino Linotype"/>
                <w:sz w:val="20"/>
                <w:szCs w:val="20"/>
              </w:rPr>
            </w:pPr>
            <w:r w:rsidRPr="008C50EB">
              <w:rPr>
                <w:rFonts w:ascii="Palatino Linotype" w:hAnsi="Palatino Linotype"/>
                <w:sz w:val="20"/>
                <w:szCs w:val="20"/>
              </w:rPr>
              <w:t>III. De acuerdo al tipo de licencia de construcción que se solicite, adicionalmente se requerirá</w:t>
            </w:r>
            <w:r>
              <w:rPr>
                <w:rFonts w:ascii="Palatino Linotype" w:hAnsi="Palatino Linotype"/>
                <w:sz w:val="20"/>
                <w:szCs w:val="20"/>
              </w:rPr>
              <w:t>”</w:t>
            </w:r>
          </w:p>
          <w:p w:rsidR="008C50EB" w:rsidRPr="008C50EB" w:rsidRDefault="008C50EB" w:rsidP="00C96B42">
            <w:pPr>
              <w:spacing w:before="240" w:after="240"/>
              <w:contextualSpacing/>
              <w:jc w:val="both"/>
              <w:rPr>
                <w:rFonts w:ascii="Palatino Linotype" w:hAnsi="Palatino Linotype"/>
                <w:sz w:val="20"/>
                <w:szCs w:val="20"/>
              </w:rPr>
            </w:pPr>
          </w:p>
        </w:tc>
        <w:tc>
          <w:tcPr>
            <w:tcW w:w="2927" w:type="dxa"/>
          </w:tcPr>
          <w:p w:rsidR="004B6DE1" w:rsidRDefault="00C96B42" w:rsidP="00C96B42">
            <w:pPr>
              <w:spacing w:before="240" w:after="240" w:line="360" w:lineRule="auto"/>
              <w:jc w:val="center"/>
              <w:rPr>
                <w:rFonts w:ascii="Palatino Linotype" w:hAnsi="Palatino Linotype"/>
              </w:rPr>
            </w:pPr>
            <w:r>
              <w:rPr>
                <w:rFonts w:ascii="Palatino Linotype" w:hAnsi="Palatino Linotype"/>
              </w:rPr>
              <w:t>Sí</w:t>
            </w:r>
          </w:p>
        </w:tc>
      </w:tr>
      <w:tr w:rsidR="004B6DE1" w:rsidTr="004B6DE1">
        <w:tc>
          <w:tcPr>
            <w:tcW w:w="2926" w:type="dxa"/>
          </w:tcPr>
          <w:p w:rsidR="004B6DE1" w:rsidRDefault="006672B1" w:rsidP="00C96B42">
            <w:pPr>
              <w:spacing w:before="240" w:after="240"/>
              <w:contextualSpacing/>
              <w:jc w:val="both"/>
              <w:rPr>
                <w:rFonts w:ascii="Palatino Linotype" w:hAnsi="Palatino Linotype"/>
              </w:rPr>
            </w:pPr>
            <w:r>
              <w:rPr>
                <w:rFonts w:ascii="Palatino Linotype" w:hAnsi="Palatino Linotype"/>
                <w:sz w:val="20"/>
                <w:szCs w:val="20"/>
              </w:rPr>
              <w:t>2</w:t>
            </w:r>
            <w:r w:rsidR="00C96B42">
              <w:rPr>
                <w:rFonts w:ascii="Palatino Linotype" w:hAnsi="Palatino Linotype"/>
                <w:sz w:val="20"/>
                <w:szCs w:val="20"/>
              </w:rPr>
              <w:t>-</w:t>
            </w:r>
            <w:r w:rsidR="00C96B42" w:rsidRPr="00C96B42">
              <w:rPr>
                <w:rFonts w:ascii="Palatino Linotype" w:hAnsi="Palatino Linotype"/>
                <w:sz w:val="20"/>
                <w:szCs w:val="20"/>
              </w:rPr>
              <w:t>Requiero los números de los expedientes totalmente concluidos en un periodo comprendido del mes de julio al 29 de septiembre de 2021.</w:t>
            </w:r>
          </w:p>
        </w:tc>
        <w:tc>
          <w:tcPr>
            <w:tcW w:w="2926" w:type="dxa"/>
          </w:tcPr>
          <w:p w:rsidR="004B6DE1" w:rsidRDefault="00C96B42" w:rsidP="008C50EB">
            <w:pPr>
              <w:spacing w:before="240" w:after="240"/>
              <w:contextualSpacing/>
              <w:jc w:val="both"/>
              <w:rPr>
                <w:rFonts w:ascii="Palatino Linotype" w:hAnsi="Palatino Linotype"/>
                <w:sz w:val="20"/>
                <w:szCs w:val="20"/>
              </w:rPr>
            </w:pPr>
            <w:r w:rsidRPr="00C96B42">
              <w:rPr>
                <w:rFonts w:ascii="Palatino Linotype" w:hAnsi="Palatino Linotype"/>
                <w:sz w:val="20"/>
                <w:szCs w:val="20"/>
              </w:rPr>
              <w:t>El Sujeto Obligado</w:t>
            </w:r>
            <w:r>
              <w:rPr>
                <w:rFonts w:ascii="Palatino Linotype" w:hAnsi="Palatino Linotype"/>
                <w:sz w:val="20"/>
                <w:szCs w:val="20"/>
              </w:rPr>
              <w:t xml:space="preserve"> a través de la Coordinación de Desarrollo Urbano,</w:t>
            </w:r>
            <w:r w:rsidRPr="00C96B42">
              <w:rPr>
                <w:rFonts w:ascii="Palatino Linotype" w:hAnsi="Palatino Linotype"/>
                <w:sz w:val="20"/>
                <w:szCs w:val="20"/>
              </w:rPr>
              <w:t xml:space="preserve"> entregó </w:t>
            </w:r>
            <w:r w:rsidR="008C50EB">
              <w:rPr>
                <w:rFonts w:ascii="Palatino Linotype" w:hAnsi="Palatino Linotype"/>
                <w:sz w:val="20"/>
                <w:szCs w:val="20"/>
              </w:rPr>
              <w:t xml:space="preserve">un listado </w:t>
            </w:r>
            <w:r>
              <w:rPr>
                <w:rFonts w:ascii="Palatino Linotype" w:hAnsi="Palatino Linotype"/>
                <w:sz w:val="20"/>
                <w:szCs w:val="20"/>
              </w:rPr>
              <w:t>de</w:t>
            </w:r>
            <w:r w:rsidR="008C50EB">
              <w:rPr>
                <w:rFonts w:ascii="Palatino Linotype" w:hAnsi="Palatino Linotype"/>
                <w:sz w:val="20"/>
                <w:szCs w:val="20"/>
              </w:rPr>
              <w:t xml:space="preserve"> los</w:t>
            </w:r>
            <w:r>
              <w:rPr>
                <w:rFonts w:ascii="Palatino Linotype" w:hAnsi="Palatino Linotype"/>
                <w:sz w:val="20"/>
                <w:szCs w:val="20"/>
              </w:rPr>
              <w:t xml:space="preserve"> expedientes concluidos de julio a septiembre del 2021.</w:t>
            </w:r>
          </w:p>
          <w:p w:rsidR="008C50EB" w:rsidRDefault="008C50EB" w:rsidP="008C50EB">
            <w:pPr>
              <w:spacing w:before="240" w:after="240"/>
              <w:contextualSpacing/>
              <w:jc w:val="both"/>
              <w:rPr>
                <w:noProof/>
                <w:lang w:val="es-MX" w:eastAsia="es-MX"/>
              </w:rPr>
            </w:pPr>
          </w:p>
          <w:p w:rsidR="008C50EB" w:rsidRDefault="008C50EB" w:rsidP="008C50EB">
            <w:pPr>
              <w:spacing w:before="240" w:after="240"/>
              <w:contextualSpacing/>
              <w:jc w:val="both"/>
              <w:rPr>
                <w:rFonts w:ascii="Palatino Linotype" w:hAnsi="Palatino Linotype"/>
              </w:rPr>
            </w:pPr>
            <w:r>
              <w:rPr>
                <w:noProof/>
                <w:lang w:val="es-MX" w:eastAsia="es-MX"/>
              </w:rPr>
              <w:drawing>
                <wp:inline distT="0" distB="0" distL="0" distR="0" wp14:anchorId="562E58BF" wp14:editId="5C2CB8D4">
                  <wp:extent cx="1689518" cy="2106422"/>
                  <wp:effectExtent l="0" t="0" r="635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123" t="20978" r="26594" b="11902"/>
                          <a:stretch/>
                        </pic:blipFill>
                        <pic:spPr bwMode="auto">
                          <a:xfrm>
                            <a:off x="0" y="0"/>
                            <a:ext cx="1690122" cy="2107175"/>
                          </a:xfrm>
                          <a:prstGeom prst="rect">
                            <a:avLst/>
                          </a:prstGeom>
                          <a:ln>
                            <a:noFill/>
                          </a:ln>
                          <a:extLst>
                            <a:ext uri="{53640926-AAD7-44D8-BBD7-CCE9431645EC}">
                              <a14:shadowObscured xmlns:a14="http://schemas.microsoft.com/office/drawing/2010/main"/>
                            </a:ext>
                          </a:extLst>
                        </pic:spPr>
                      </pic:pic>
                    </a:graphicData>
                  </a:graphic>
                </wp:inline>
              </w:drawing>
            </w:r>
          </w:p>
        </w:tc>
        <w:tc>
          <w:tcPr>
            <w:tcW w:w="2927" w:type="dxa"/>
          </w:tcPr>
          <w:p w:rsidR="004B6DE1" w:rsidRDefault="00C96B42" w:rsidP="00C96B42">
            <w:pPr>
              <w:spacing w:before="240" w:after="240" w:line="360" w:lineRule="auto"/>
              <w:jc w:val="center"/>
              <w:rPr>
                <w:rFonts w:ascii="Palatino Linotype" w:hAnsi="Palatino Linotype"/>
              </w:rPr>
            </w:pPr>
            <w:r>
              <w:rPr>
                <w:rFonts w:ascii="Palatino Linotype" w:hAnsi="Palatino Linotype"/>
              </w:rPr>
              <w:t>Sí</w:t>
            </w:r>
          </w:p>
        </w:tc>
      </w:tr>
      <w:tr w:rsidR="004B6DE1" w:rsidTr="004B6DE1">
        <w:tc>
          <w:tcPr>
            <w:tcW w:w="2926" w:type="dxa"/>
          </w:tcPr>
          <w:p w:rsidR="004B6DE1" w:rsidRDefault="006672B1" w:rsidP="00C96B42">
            <w:pPr>
              <w:spacing w:before="240" w:after="240"/>
              <w:contextualSpacing/>
              <w:jc w:val="both"/>
              <w:rPr>
                <w:rFonts w:ascii="Palatino Linotype" w:hAnsi="Palatino Linotype"/>
              </w:rPr>
            </w:pPr>
            <w:r>
              <w:rPr>
                <w:rFonts w:ascii="Palatino Linotype" w:hAnsi="Palatino Linotype"/>
                <w:sz w:val="20"/>
                <w:szCs w:val="20"/>
              </w:rPr>
              <w:lastRenderedPageBreak/>
              <w:t>3</w:t>
            </w:r>
            <w:r w:rsidR="00C96B42">
              <w:rPr>
                <w:rFonts w:ascii="Palatino Linotype" w:hAnsi="Palatino Linotype"/>
                <w:sz w:val="20"/>
                <w:szCs w:val="20"/>
              </w:rPr>
              <w:t>-</w:t>
            </w:r>
            <w:r w:rsidR="00C96B42" w:rsidRPr="00C96B42">
              <w:rPr>
                <w:rFonts w:ascii="Palatino Linotype" w:hAnsi="Palatino Linotype"/>
                <w:sz w:val="20"/>
                <w:szCs w:val="20"/>
              </w:rPr>
              <w:t>Requiero el procedimiento para tramitar el documento conocido como USO DE SUELO</w:t>
            </w:r>
            <w:r w:rsidR="002F5CF2">
              <w:rPr>
                <w:rFonts w:ascii="Palatino Linotype" w:hAnsi="Palatino Linotype"/>
                <w:sz w:val="20"/>
                <w:szCs w:val="20"/>
              </w:rPr>
              <w:t>.</w:t>
            </w:r>
          </w:p>
        </w:tc>
        <w:tc>
          <w:tcPr>
            <w:tcW w:w="2926" w:type="dxa"/>
          </w:tcPr>
          <w:p w:rsidR="004B6DE1" w:rsidRDefault="00C96B42" w:rsidP="00C96B42">
            <w:pPr>
              <w:spacing w:before="240" w:after="240"/>
              <w:contextualSpacing/>
              <w:jc w:val="both"/>
              <w:rPr>
                <w:rFonts w:ascii="Palatino Linotype" w:hAnsi="Palatino Linotype"/>
                <w:sz w:val="20"/>
                <w:szCs w:val="20"/>
              </w:rPr>
            </w:pPr>
            <w:r w:rsidRPr="00C96B42">
              <w:rPr>
                <w:rFonts w:ascii="Palatino Linotype" w:hAnsi="Palatino Linotype"/>
                <w:sz w:val="20"/>
                <w:szCs w:val="20"/>
              </w:rPr>
              <w:t>El Sujeto Obligado</w:t>
            </w:r>
            <w:r>
              <w:rPr>
                <w:rFonts w:ascii="Palatino Linotype" w:hAnsi="Palatino Linotype"/>
                <w:sz w:val="20"/>
                <w:szCs w:val="20"/>
              </w:rPr>
              <w:t xml:space="preserve"> a través de la Coordinación de Desarrollo Urbano, señaló el fundamento legal de la licencia de uso de suelo, artículo 5.6, 5.10 </w:t>
            </w:r>
            <w:r w:rsidR="008E677F">
              <w:rPr>
                <w:rFonts w:ascii="Palatino Linotype" w:hAnsi="Palatino Linotype"/>
                <w:sz w:val="20"/>
                <w:szCs w:val="20"/>
              </w:rPr>
              <w:t>fracción</w:t>
            </w:r>
            <w:r>
              <w:rPr>
                <w:rFonts w:ascii="Palatino Linotype" w:hAnsi="Palatino Linotype"/>
                <w:sz w:val="20"/>
                <w:szCs w:val="20"/>
              </w:rPr>
              <w:t xml:space="preserve"> VII y VIII, 5.25, 5.55 y 5.56, del Código Administrativo del Estado de México.</w:t>
            </w:r>
          </w:p>
          <w:p w:rsidR="008C50EB" w:rsidRDefault="008C50EB" w:rsidP="00C96B42">
            <w:pPr>
              <w:spacing w:before="240" w:after="240"/>
              <w:contextualSpacing/>
              <w:jc w:val="both"/>
              <w:rPr>
                <w:rFonts w:ascii="Palatino Linotype" w:hAnsi="Palatino Linotype"/>
                <w:sz w:val="20"/>
                <w:szCs w:val="20"/>
              </w:rPr>
            </w:pPr>
            <w:r>
              <w:rPr>
                <w:rFonts w:ascii="Palatino Linotype" w:hAnsi="Palatino Linotype"/>
                <w:sz w:val="20"/>
                <w:szCs w:val="20"/>
              </w:rPr>
              <w:t>“</w:t>
            </w:r>
            <w:r w:rsidRPr="008C50EB">
              <w:rPr>
                <w:rFonts w:ascii="Palatino Linotype" w:hAnsi="Palatino Linotype"/>
                <w:sz w:val="20"/>
                <w:szCs w:val="20"/>
              </w:rPr>
              <w:t xml:space="preserve">Artículo 5.6. El uso y aprovechamiento del suelo con fines urbanos de áreas y predios ejidales o comunales comprendidos dentro de los límites de los centros de población o que formen parte de las zonas de urbanización ejidal y de las tierras del asentamiento humano en ejidos y comunidades, así como la construcción de edificaciones, cualquiera que sea su régimen jurídico de propiedad, se sujetará a lo dispuesto en la Ley General de Asentamientos Humanos, Ordenamiento Territorial y Desarrollo Urbano, en la Ley Agraria, este Libro, su reglamentación, según corresponda, los planes o programas de desarrollo urbano y las autorizaciones y licencias expedidas por las autoridades competentes en materia urbana. Las tierras agrícolas, pecuarias y forestales, así como las destinadas a la preservación ecológica, deberán utilizarse preferentemente en dichas actividades o fines. </w:t>
            </w:r>
          </w:p>
          <w:p w:rsidR="008C50EB" w:rsidRDefault="008C50EB" w:rsidP="00C96B42">
            <w:pPr>
              <w:spacing w:before="240" w:after="240"/>
              <w:contextualSpacing/>
              <w:jc w:val="both"/>
              <w:rPr>
                <w:rFonts w:ascii="Palatino Linotype" w:hAnsi="Palatino Linotype"/>
                <w:sz w:val="20"/>
                <w:szCs w:val="20"/>
              </w:rPr>
            </w:pPr>
            <w:r w:rsidRPr="008C50EB">
              <w:rPr>
                <w:rFonts w:ascii="Palatino Linotype" w:hAnsi="Palatino Linotype"/>
                <w:sz w:val="20"/>
                <w:szCs w:val="20"/>
              </w:rPr>
              <w:t xml:space="preserve">Los notarios públicos, harán mención expresa de las autorizaciones, permisos y </w:t>
            </w:r>
            <w:r w:rsidRPr="008C50EB">
              <w:rPr>
                <w:rFonts w:ascii="Palatino Linotype" w:hAnsi="Palatino Linotype"/>
                <w:sz w:val="20"/>
                <w:szCs w:val="20"/>
              </w:rPr>
              <w:lastRenderedPageBreak/>
              <w:t xml:space="preserve">licencias que regula el presente Libro y sus disposiciones reglamentarias al autorizar escrituras públicas sobre inmuebles. </w:t>
            </w:r>
          </w:p>
          <w:p w:rsidR="008C50EB" w:rsidRDefault="008C50EB" w:rsidP="00C96B42">
            <w:pPr>
              <w:spacing w:before="240" w:after="240"/>
              <w:contextualSpacing/>
              <w:jc w:val="both"/>
              <w:rPr>
                <w:rFonts w:ascii="Palatino Linotype" w:hAnsi="Palatino Linotype"/>
                <w:sz w:val="20"/>
                <w:szCs w:val="20"/>
              </w:rPr>
            </w:pPr>
            <w:r w:rsidRPr="008C50EB">
              <w:rPr>
                <w:rFonts w:ascii="Palatino Linotype" w:hAnsi="Palatino Linotype"/>
                <w:sz w:val="20"/>
                <w:szCs w:val="20"/>
              </w:rPr>
              <w:t xml:space="preserve">Los registradores de la propiedad sólo inscribirán dichas escrituras públicas, cuando contengan la mención expresa de las autorizaciones y licencias que regula el presente Libro y sus disposiciones reglamentarias. </w:t>
            </w:r>
          </w:p>
          <w:p w:rsidR="008C50EB" w:rsidRDefault="008C50EB" w:rsidP="00C96B42">
            <w:pPr>
              <w:spacing w:before="240" w:after="240"/>
              <w:contextualSpacing/>
              <w:jc w:val="both"/>
              <w:rPr>
                <w:rFonts w:ascii="Palatino Linotype" w:hAnsi="Palatino Linotype"/>
                <w:sz w:val="20"/>
                <w:szCs w:val="20"/>
              </w:rPr>
            </w:pPr>
            <w:r w:rsidRPr="008C50EB">
              <w:rPr>
                <w:rFonts w:ascii="Palatino Linotype" w:hAnsi="Palatino Linotype"/>
                <w:sz w:val="20"/>
                <w:szCs w:val="20"/>
              </w:rPr>
              <w:t>No surtirán efectos los permisos, licencias o autorizaciones que contravengan lo establecido en este Libro, su Reglamento y los planes de desarrollo urbano.</w:t>
            </w:r>
            <w:r>
              <w:rPr>
                <w:rFonts w:ascii="Palatino Linotype" w:hAnsi="Palatino Linotype"/>
                <w:sz w:val="20"/>
                <w:szCs w:val="20"/>
              </w:rPr>
              <w:t>”</w:t>
            </w:r>
          </w:p>
          <w:p w:rsidR="008C50EB" w:rsidRDefault="008E677F" w:rsidP="00C96B42">
            <w:pPr>
              <w:spacing w:before="240" w:after="240"/>
              <w:contextualSpacing/>
              <w:jc w:val="both"/>
              <w:rPr>
                <w:rFonts w:ascii="Palatino Linotype" w:hAnsi="Palatino Linotype"/>
                <w:sz w:val="20"/>
                <w:szCs w:val="20"/>
              </w:rPr>
            </w:pPr>
            <w:r>
              <w:rPr>
                <w:rFonts w:ascii="Palatino Linotype" w:hAnsi="Palatino Linotype"/>
                <w:sz w:val="20"/>
                <w:szCs w:val="20"/>
              </w:rPr>
              <w:t>“</w:t>
            </w:r>
            <w:r w:rsidR="008C50EB" w:rsidRPr="008C50EB">
              <w:rPr>
                <w:rFonts w:ascii="Palatino Linotype" w:hAnsi="Palatino Linotype"/>
                <w:sz w:val="20"/>
                <w:szCs w:val="20"/>
              </w:rPr>
              <w:t>Artículo 5.10. Los municipios tendrán las atribuciones siguientes:</w:t>
            </w:r>
          </w:p>
          <w:p w:rsidR="008C50EB" w:rsidRDefault="008C50EB" w:rsidP="00C96B42">
            <w:pPr>
              <w:spacing w:before="240" w:after="240"/>
              <w:contextualSpacing/>
              <w:jc w:val="both"/>
              <w:rPr>
                <w:rFonts w:ascii="Palatino Linotype" w:hAnsi="Palatino Linotype"/>
                <w:sz w:val="20"/>
                <w:szCs w:val="20"/>
              </w:rPr>
            </w:pPr>
            <w:r w:rsidRPr="008C50EB">
              <w:rPr>
                <w:rFonts w:ascii="Palatino Linotype" w:hAnsi="Palatino Linotype"/>
                <w:sz w:val="20"/>
                <w:szCs w:val="20"/>
              </w:rPr>
              <w:t>VII. Autorizar cambios de uso del suelo, del coeficiente de ocupación, del coeficiente de utilización, densidad y altura de edificaciones; VIII. Autorizar, controlar y vigilar la utilización y aprovechamiento del suelo con fines urbanos, en sus circunscripciones territoriales</w:t>
            </w:r>
            <w:r w:rsidR="008E677F">
              <w:rPr>
                <w:rFonts w:ascii="Palatino Linotype" w:hAnsi="Palatino Linotype"/>
                <w:sz w:val="20"/>
                <w:szCs w:val="20"/>
              </w:rPr>
              <w:t>.”</w:t>
            </w:r>
          </w:p>
          <w:p w:rsidR="008E677F" w:rsidRDefault="008E677F" w:rsidP="00C96B42">
            <w:pPr>
              <w:spacing w:before="240" w:after="240"/>
              <w:contextualSpacing/>
              <w:jc w:val="both"/>
              <w:rPr>
                <w:rFonts w:ascii="Palatino Linotype" w:hAnsi="Palatino Linotype"/>
                <w:sz w:val="20"/>
                <w:szCs w:val="20"/>
              </w:rPr>
            </w:pPr>
            <w:r>
              <w:rPr>
                <w:rFonts w:ascii="Palatino Linotype" w:hAnsi="Palatino Linotype"/>
                <w:sz w:val="20"/>
                <w:szCs w:val="20"/>
              </w:rPr>
              <w:t>“</w:t>
            </w:r>
            <w:r w:rsidRPr="008E677F">
              <w:rPr>
                <w:rFonts w:ascii="Palatino Linotype" w:hAnsi="Palatino Linotype"/>
                <w:sz w:val="20"/>
                <w:szCs w:val="20"/>
              </w:rPr>
              <w:t xml:space="preserve">Artículo 5.25.- Las normas para el uso y aprovechamiento del suelo considerarán: I. Los usos y destinos del suelo permitidos y prohibidos; II. La densidad de vivienda; III. El coeficiente de utilización del suelo; IV. El coeficiente de ocupación del suelo; V. Frente y superficie mínima del lote; VI. La altura máxima de las </w:t>
            </w:r>
            <w:r w:rsidRPr="008E677F">
              <w:rPr>
                <w:rFonts w:ascii="Palatino Linotype" w:hAnsi="Palatino Linotype"/>
                <w:sz w:val="20"/>
                <w:szCs w:val="20"/>
              </w:rPr>
              <w:lastRenderedPageBreak/>
              <w:t>edificaciones; VII. Los requerimientos de cajones de estacionamiento; VIII. Las restricciones de construcción; y IX. Derogada</w:t>
            </w:r>
            <w:r>
              <w:rPr>
                <w:rFonts w:ascii="Palatino Linotype" w:hAnsi="Palatino Linotype"/>
                <w:sz w:val="20"/>
                <w:szCs w:val="20"/>
              </w:rPr>
              <w:t>”</w:t>
            </w:r>
          </w:p>
          <w:p w:rsidR="008E677F" w:rsidRDefault="008E677F" w:rsidP="00C96B42">
            <w:pPr>
              <w:spacing w:before="240" w:after="240"/>
              <w:contextualSpacing/>
              <w:jc w:val="both"/>
              <w:rPr>
                <w:rFonts w:ascii="Palatino Linotype" w:hAnsi="Palatino Linotype"/>
                <w:sz w:val="20"/>
                <w:szCs w:val="20"/>
              </w:rPr>
            </w:pPr>
            <w:r>
              <w:rPr>
                <w:rFonts w:ascii="Palatino Linotype" w:hAnsi="Palatino Linotype"/>
                <w:sz w:val="20"/>
                <w:szCs w:val="20"/>
              </w:rPr>
              <w:t>“</w:t>
            </w:r>
            <w:r w:rsidRPr="008E677F">
              <w:rPr>
                <w:rFonts w:ascii="Palatino Linotype" w:hAnsi="Palatino Linotype"/>
                <w:sz w:val="20"/>
                <w:szCs w:val="20"/>
              </w:rPr>
              <w:t>Artículo 5.55. El uso y aprovechamiento con fines urbanos o la edificación en cualquier predio ubicado en la entidad, requerirá licencia de uso del suelo de conformidad con lo dispuesto en este Libro y su Reglamento.</w:t>
            </w:r>
            <w:r>
              <w:rPr>
                <w:rFonts w:ascii="Palatino Linotype" w:hAnsi="Palatino Linotype"/>
                <w:sz w:val="20"/>
                <w:szCs w:val="20"/>
              </w:rPr>
              <w:t>”</w:t>
            </w:r>
            <w:r w:rsidRPr="008E677F">
              <w:rPr>
                <w:rFonts w:ascii="Palatino Linotype" w:hAnsi="Palatino Linotype"/>
                <w:sz w:val="20"/>
                <w:szCs w:val="20"/>
              </w:rPr>
              <w:t xml:space="preserve"> </w:t>
            </w:r>
          </w:p>
          <w:p w:rsidR="008C50EB" w:rsidRDefault="008E677F" w:rsidP="008E677F">
            <w:pPr>
              <w:spacing w:before="240" w:after="240"/>
              <w:contextualSpacing/>
              <w:jc w:val="both"/>
              <w:rPr>
                <w:rFonts w:ascii="Palatino Linotype" w:hAnsi="Palatino Linotype"/>
              </w:rPr>
            </w:pPr>
            <w:r>
              <w:rPr>
                <w:rFonts w:ascii="Palatino Linotype" w:hAnsi="Palatino Linotype"/>
                <w:sz w:val="20"/>
                <w:szCs w:val="20"/>
              </w:rPr>
              <w:t>“</w:t>
            </w:r>
            <w:r w:rsidRPr="008E677F">
              <w:rPr>
                <w:rFonts w:ascii="Palatino Linotype" w:hAnsi="Palatino Linotype"/>
                <w:sz w:val="20"/>
                <w:szCs w:val="20"/>
              </w:rPr>
              <w:t xml:space="preserve">Artículo 5.56. La licencia de uso del suelo se sujetará a lo siguiente: I. Será tramitada por el interesado ante la autoridad competente, vía presencial en las oficinas correspondientes o de manera electrónica, a través del portal que se cree para tal efecto y deberá ser resuelta conforme al procedimiento establecido al efecto por la reglamentación de este Libro; II. Tendrá por objeto autorizar las normas para el uso y aprovechamiento del suelo establecidas en el plan municipal de desarrollo urbano aplicable; III. A la solicitud deberá acompañarse la Evaluación de Impacto Estatal, en los casos previstos en este Libro. IV. Tendrá vigencia de un año y podrá ser prorrogada por una sola vez por un período igual; y V. No constituirá autorización para construcción de obras o realización de actividades. No se requerirá de licencia de uso del suelo para lotes resultantes de conjuntos urbanos, </w:t>
            </w:r>
            <w:r w:rsidRPr="008E677F">
              <w:rPr>
                <w:rFonts w:ascii="Palatino Linotype" w:hAnsi="Palatino Linotype"/>
                <w:sz w:val="20"/>
                <w:szCs w:val="20"/>
              </w:rPr>
              <w:lastRenderedPageBreak/>
              <w:t>subdivisiones o condominios autorizados, siempre y cuando el uso y aprovechamiento de los mismos haya quedado comprendido en la autorización respectiva.</w:t>
            </w:r>
            <w:r>
              <w:rPr>
                <w:rFonts w:ascii="Palatino Linotype" w:hAnsi="Palatino Linotype"/>
                <w:sz w:val="20"/>
                <w:szCs w:val="20"/>
              </w:rPr>
              <w:t>”</w:t>
            </w:r>
          </w:p>
        </w:tc>
        <w:tc>
          <w:tcPr>
            <w:tcW w:w="2927" w:type="dxa"/>
          </w:tcPr>
          <w:p w:rsidR="004B6DE1" w:rsidRDefault="0077643B" w:rsidP="00C96B42">
            <w:pPr>
              <w:spacing w:before="240" w:after="240" w:line="360" w:lineRule="auto"/>
              <w:jc w:val="center"/>
              <w:rPr>
                <w:rFonts w:ascii="Palatino Linotype" w:hAnsi="Palatino Linotype"/>
              </w:rPr>
            </w:pPr>
            <w:r>
              <w:rPr>
                <w:rFonts w:ascii="Palatino Linotype" w:hAnsi="Palatino Linotype"/>
              </w:rPr>
              <w:lastRenderedPageBreak/>
              <w:t>No</w:t>
            </w:r>
          </w:p>
          <w:p w:rsidR="008E677F" w:rsidRDefault="008E677F" w:rsidP="008E677F">
            <w:pPr>
              <w:spacing w:before="240" w:after="240"/>
              <w:contextualSpacing/>
              <w:jc w:val="both"/>
              <w:rPr>
                <w:rFonts w:ascii="Palatino Linotype" w:hAnsi="Palatino Linotype"/>
              </w:rPr>
            </w:pPr>
            <w:r w:rsidRPr="008E677F">
              <w:rPr>
                <w:rFonts w:ascii="Palatino Linotype" w:hAnsi="Palatino Linotype"/>
                <w:sz w:val="20"/>
                <w:szCs w:val="20"/>
              </w:rPr>
              <w:t>Sólo se concretó a entregar el fundamento legal y no el procedimiento</w:t>
            </w:r>
          </w:p>
        </w:tc>
      </w:tr>
      <w:tr w:rsidR="004B6DE1" w:rsidTr="004B6DE1">
        <w:tc>
          <w:tcPr>
            <w:tcW w:w="2926" w:type="dxa"/>
          </w:tcPr>
          <w:p w:rsidR="004B6DE1" w:rsidRDefault="006672B1" w:rsidP="002F5CF2">
            <w:pPr>
              <w:spacing w:before="240" w:after="240"/>
              <w:contextualSpacing/>
              <w:jc w:val="both"/>
              <w:rPr>
                <w:rFonts w:ascii="Palatino Linotype" w:hAnsi="Palatino Linotype"/>
              </w:rPr>
            </w:pPr>
            <w:r>
              <w:rPr>
                <w:rFonts w:ascii="Palatino Linotype" w:hAnsi="Palatino Linotype"/>
              </w:rPr>
              <w:lastRenderedPageBreak/>
              <w:t>4</w:t>
            </w:r>
            <w:r w:rsidR="00C96B42">
              <w:rPr>
                <w:rFonts w:ascii="Palatino Linotype" w:hAnsi="Palatino Linotype"/>
              </w:rPr>
              <w:t>-</w:t>
            </w:r>
            <w:r w:rsidR="00C96B42" w:rsidRPr="002F5CF2">
              <w:rPr>
                <w:rFonts w:ascii="Palatino Linotype" w:hAnsi="Palatino Linotype"/>
                <w:sz w:val="20"/>
                <w:szCs w:val="20"/>
              </w:rPr>
              <w:t xml:space="preserve">Donde se tramita </w:t>
            </w:r>
            <w:r w:rsidR="002F5CF2">
              <w:rPr>
                <w:rFonts w:ascii="Palatino Linotype" w:hAnsi="Palatino Linotype"/>
                <w:sz w:val="20"/>
                <w:szCs w:val="20"/>
              </w:rPr>
              <w:t xml:space="preserve">y el nombre del área donde se tramita </w:t>
            </w:r>
            <w:r w:rsidR="00C96B42" w:rsidRPr="002F5CF2">
              <w:rPr>
                <w:rFonts w:ascii="Palatino Linotype" w:hAnsi="Palatino Linotype"/>
                <w:sz w:val="20"/>
                <w:szCs w:val="20"/>
              </w:rPr>
              <w:t xml:space="preserve">la </w:t>
            </w:r>
            <w:r w:rsidR="002F5CF2" w:rsidRPr="002F5CF2">
              <w:rPr>
                <w:rFonts w:ascii="Palatino Linotype" w:hAnsi="Palatino Linotype"/>
                <w:sz w:val="20"/>
                <w:szCs w:val="20"/>
              </w:rPr>
              <w:t>Licencia de uso de suelo</w:t>
            </w:r>
            <w:r w:rsidR="002F5CF2">
              <w:rPr>
                <w:rFonts w:ascii="Palatino Linotype" w:hAnsi="Palatino Linotype"/>
                <w:sz w:val="20"/>
                <w:szCs w:val="20"/>
              </w:rPr>
              <w:t>.</w:t>
            </w:r>
          </w:p>
        </w:tc>
        <w:tc>
          <w:tcPr>
            <w:tcW w:w="2926" w:type="dxa"/>
          </w:tcPr>
          <w:p w:rsidR="004B6DE1" w:rsidRDefault="002F5CF2" w:rsidP="002F5CF2">
            <w:pPr>
              <w:spacing w:before="240" w:after="240"/>
              <w:contextualSpacing/>
              <w:jc w:val="both"/>
              <w:rPr>
                <w:rFonts w:ascii="Palatino Linotype" w:hAnsi="Palatino Linotype"/>
              </w:rPr>
            </w:pPr>
            <w:r w:rsidRPr="00C96B42">
              <w:rPr>
                <w:rFonts w:ascii="Palatino Linotype" w:hAnsi="Palatino Linotype"/>
                <w:sz w:val="20"/>
                <w:szCs w:val="20"/>
              </w:rPr>
              <w:t>El Sujeto Obligado</w:t>
            </w:r>
            <w:r>
              <w:rPr>
                <w:rFonts w:ascii="Palatino Linotype" w:hAnsi="Palatino Linotype"/>
                <w:sz w:val="20"/>
                <w:szCs w:val="20"/>
              </w:rPr>
              <w:t xml:space="preserve"> a través de la Coordinación de Desarrollo Urbano, señaló que se tramita en la Coordinación de Desarrollo Urbano.</w:t>
            </w:r>
          </w:p>
        </w:tc>
        <w:tc>
          <w:tcPr>
            <w:tcW w:w="2927" w:type="dxa"/>
          </w:tcPr>
          <w:p w:rsidR="004B6DE1" w:rsidRDefault="002F5CF2" w:rsidP="002F5CF2">
            <w:pPr>
              <w:spacing w:before="240" w:after="240" w:line="360" w:lineRule="auto"/>
              <w:jc w:val="center"/>
              <w:rPr>
                <w:rFonts w:ascii="Palatino Linotype" w:hAnsi="Palatino Linotype"/>
              </w:rPr>
            </w:pPr>
            <w:r>
              <w:rPr>
                <w:rFonts w:ascii="Palatino Linotype" w:hAnsi="Palatino Linotype"/>
              </w:rPr>
              <w:t>Sí</w:t>
            </w:r>
          </w:p>
        </w:tc>
      </w:tr>
      <w:tr w:rsidR="004B6DE1" w:rsidTr="004B6DE1">
        <w:tc>
          <w:tcPr>
            <w:tcW w:w="2926" w:type="dxa"/>
          </w:tcPr>
          <w:p w:rsidR="004B6DE1" w:rsidRDefault="006672B1" w:rsidP="002F5CF2">
            <w:pPr>
              <w:spacing w:before="240" w:after="240"/>
              <w:contextualSpacing/>
              <w:jc w:val="both"/>
              <w:rPr>
                <w:rFonts w:ascii="Palatino Linotype" w:hAnsi="Palatino Linotype"/>
              </w:rPr>
            </w:pPr>
            <w:r>
              <w:rPr>
                <w:rFonts w:ascii="Palatino Linotype" w:hAnsi="Palatino Linotype"/>
                <w:sz w:val="20"/>
                <w:szCs w:val="20"/>
              </w:rPr>
              <w:t>5</w:t>
            </w:r>
            <w:r w:rsidR="002F5CF2" w:rsidRPr="002F5CF2">
              <w:rPr>
                <w:rFonts w:ascii="Palatino Linotype" w:hAnsi="Palatino Linotype"/>
                <w:sz w:val="20"/>
                <w:szCs w:val="20"/>
              </w:rPr>
              <w:t xml:space="preserve">- </w:t>
            </w:r>
            <w:r w:rsidR="002F5CF2">
              <w:rPr>
                <w:rFonts w:ascii="Palatino Linotype" w:hAnsi="Palatino Linotype"/>
                <w:sz w:val="20"/>
                <w:szCs w:val="20"/>
              </w:rPr>
              <w:t> E</w:t>
            </w:r>
            <w:r w:rsidR="002F5CF2" w:rsidRPr="002F5CF2">
              <w:rPr>
                <w:rFonts w:ascii="Palatino Linotype" w:hAnsi="Palatino Linotype"/>
                <w:sz w:val="20"/>
                <w:szCs w:val="20"/>
              </w:rPr>
              <w:t>l costo</w:t>
            </w:r>
            <w:r w:rsidR="002F5CF2">
              <w:rPr>
                <w:rFonts w:ascii="Palatino Linotype" w:hAnsi="Palatino Linotype"/>
                <w:sz w:val="20"/>
                <w:szCs w:val="20"/>
              </w:rPr>
              <w:t xml:space="preserve"> de </w:t>
            </w:r>
            <w:r w:rsidR="002F5CF2" w:rsidRPr="002F5CF2">
              <w:rPr>
                <w:rFonts w:ascii="Palatino Linotype" w:hAnsi="Palatino Linotype"/>
                <w:sz w:val="20"/>
                <w:szCs w:val="20"/>
              </w:rPr>
              <w:t>la Licencia de uso de suelo</w:t>
            </w:r>
            <w:r w:rsidR="002F5CF2">
              <w:rPr>
                <w:rFonts w:ascii="Palatino Linotype" w:hAnsi="Palatino Linotype"/>
                <w:sz w:val="20"/>
                <w:szCs w:val="20"/>
              </w:rPr>
              <w:t>.</w:t>
            </w:r>
          </w:p>
        </w:tc>
        <w:tc>
          <w:tcPr>
            <w:tcW w:w="2926" w:type="dxa"/>
          </w:tcPr>
          <w:p w:rsidR="004B6DE1" w:rsidRDefault="002F5CF2" w:rsidP="002F5CF2">
            <w:pPr>
              <w:spacing w:before="240" w:after="240"/>
              <w:contextualSpacing/>
              <w:jc w:val="both"/>
              <w:rPr>
                <w:rFonts w:ascii="Palatino Linotype" w:hAnsi="Palatino Linotype"/>
              </w:rPr>
            </w:pPr>
            <w:r w:rsidRPr="00C96B42">
              <w:rPr>
                <w:rFonts w:ascii="Palatino Linotype" w:hAnsi="Palatino Linotype"/>
                <w:sz w:val="20"/>
                <w:szCs w:val="20"/>
              </w:rPr>
              <w:t>El Sujeto Obligado</w:t>
            </w:r>
            <w:r>
              <w:rPr>
                <w:rFonts w:ascii="Palatino Linotype" w:hAnsi="Palatino Linotype"/>
                <w:sz w:val="20"/>
                <w:szCs w:val="20"/>
              </w:rPr>
              <w:t xml:space="preserve"> a través de la Coordinación de Desarrollo Urbano, señaló que el costo de la Licencia de uso de suelo es de $3,137.00</w:t>
            </w:r>
          </w:p>
        </w:tc>
        <w:tc>
          <w:tcPr>
            <w:tcW w:w="2927" w:type="dxa"/>
          </w:tcPr>
          <w:p w:rsidR="004B6DE1" w:rsidRDefault="002F5CF2" w:rsidP="002F5CF2">
            <w:pPr>
              <w:spacing w:before="240" w:after="240" w:line="360" w:lineRule="auto"/>
              <w:jc w:val="center"/>
              <w:rPr>
                <w:rFonts w:ascii="Palatino Linotype" w:hAnsi="Palatino Linotype"/>
              </w:rPr>
            </w:pPr>
            <w:r>
              <w:rPr>
                <w:rFonts w:ascii="Palatino Linotype" w:hAnsi="Palatino Linotype"/>
              </w:rPr>
              <w:t>Sí</w:t>
            </w:r>
          </w:p>
        </w:tc>
      </w:tr>
      <w:tr w:rsidR="004B6DE1" w:rsidTr="004B6DE1">
        <w:tc>
          <w:tcPr>
            <w:tcW w:w="2926" w:type="dxa"/>
          </w:tcPr>
          <w:p w:rsidR="004B6DE1" w:rsidRDefault="006672B1" w:rsidP="002F5CF2">
            <w:pPr>
              <w:spacing w:before="240" w:after="240"/>
              <w:contextualSpacing/>
              <w:jc w:val="both"/>
              <w:rPr>
                <w:rFonts w:ascii="Palatino Linotype" w:hAnsi="Palatino Linotype"/>
              </w:rPr>
            </w:pPr>
            <w:r>
              <w:rPr>
                <w:rFonts w:ascii="Palatino Linotype" w:hAnsi="Palatino Linotype"/>
                <w:sz w:val="20"/>
                <w:szCs w:val="20"/>
              </w:rPr>
              <w:t>6</w:t>
            </w:r>
            <w:r w:rsidR="002F5CF2">
              <w:rPr>
                <w:rFonts w:ascii="Palatino Linotype" w:hAnsi="Palatino Linotype"/>
                <w:sz w:val="20"/>
                <w:szCs w:val="20"/>
              </w:rPr>
              <w:t>-E</w:t>
            </w:r>
            <w:r w:rsidR="002F5CF2" w:rsidRPr="002F5CF2">
              <w:rPr>
                <w:rFonts w:ascii="Palatino Linotype" w:hAnsi="Palatino Linotype"/>
                <w:sz w:val="20"/>
                <w:szCs w:val="20"/>
              </w:rPr>
              <w:t>l fundamento legal del costo</w:t>
            </w:r>
            <w:r w:rsidR="002F5CF2">
              <w:rPr>
                <w:rFonts w:ascii="Palatino Linotype" w:hAnsi="Palatino Linotype"/>
                <w:sz w:val="20"/>
                <w:szCs w:val="20"/>
              </w:rPr>
              <w:t xml:space="preserve"> de </w:t>
            </w:r>
            <w:r w:rsidR="002F5CF2" w:rsidRPr="002F5CF2">
              <w:rPr>
                <w:rFonts w:ascii="Palatino Linotype" w:hAnsi="Palatino Linotype"/>
                <w:sz w:val="20"/>
                <w:szCs w:val="20"/>
              </w:rPr>
              <w:t>la Licencia de uso de suelo</w:t>
            </w:r>
            <w:r w:rsidR="002F5CF2">
              <w:rPr>
                <w:rFonts w:ascii="Palatino Linotype" w:hAnsi="Palatino Linotype"/>
                <w:sz w:val="20"/>
                <w:szCs w:val="20"/>
              </w:rPr>
              <w:t>.</w:t>
            </w:r>
          </w:p>
        </w:tc>
        <w:tc>
          <w:tcPr>
            <w:tcW w:w="2926" w:type="dxa"/>
          </w:tcPr>
          <w:p w:rsidR="004B6DE1" w:rsidRDefault="002F5CF2" w:rsidP="002F5CF2">
            <w:pPr>
              <w:spacing w:before="240" w:after="240"/>
              <w:contextualSpacing/>
              <w:jc w:val="both"/>
              <w:rPr>
                <w:rFonts w:ascii="Palatino Linotype" w:hAnsi="Palatino Linotype"/>
                <w:sz w:val="20"/>
                <w:szCs w:val="20"/>
              </w:rPr>
            </w:pPr>
            <w:r w:rsidRPr="00C96B42">
              <w:rPr>
                <w:rFonts w:ascii="Palatino Linotype" w:hAnsi="Palatino Linotype"/>
                <w:sz w:val="20"/>
                <w:szCs w:val="20"/>
              </w:rPr>
              <w:t>El Sujeto Obligado</w:t>
            </w:r>
            <w:r>
              <w:rPr>
                <w:rFonts w:ascii="Palatino Linotype" w:hAnsi="Palatino Linotype"/>
                <w:sz w:val="20"/>
                <w:szCs w:val="20"/>
              </w:rPr>
              <w:t xml:space="preserve"> a través de la Coordinación de Desarrollo Urbano</w:t>
            </w:r>
            <w:r w:rsidR="006672B1">
              <w:rPr>
                <w:rFonts w:ascii="Palatino Linotype" w:hAnsi="Palatino Linotype"/>
                <w:sz w:val="20"/>
                <w:szCs w:val="20"/>
              </w:rPr>
              <w:t>, señaló que el fundamento legal es el artículo 144 Fracción VIII del Código Financiero del Estado de México.</w:t>
            </w:r>
          </w:p>
          <w:p w:rsidR="008E677F" w:rsidRDefault="008E677F" w:rsidP="002F5CF2">
            <w:pPr>
              <w:spacing w:before="240" w:after="240"/>
              <w:contextualSpacing/>
              <w:jc w:val="both"/>
              <w:rPr>
                <w:rFonts w:ascii="Palatino Linotype" w:hAnsi="Palatino Linotype"/>
              </w:rPr>
            </w:pPr>
            <w:r w:rsidRPr="008E677F">
              <w:rPr>
                <w:rFonts w:ascii="Palatino Linotype" w:hAnsi="Palatino Linotype"/>
                <w:sz w:val="20"/>
                <w:szCs w:val="20"/>
              </w:rPr>
              <w:t xml:space="preserve">Artículo 144.- Por los servicios prestados por desarrollo urbano y obras públicas municipales, se pagarán los siguientes derechos: I. Por la expedición de licencias municipales de construcción, con vigencia de un año, en cualquiera de sus tipos de obra nueva, ampliación, modificación, reparación que no afecte elementos estructurales, reparación que afecte elementos estructurales y la modificación del proyecto de una obra autorizada, así como las prórrogas de las mismas que serán proporcionales al tiempo solicitado, se pagarán </w:t>
            </w:r>
            <w:r w:rsidRPr="008E677F">
              <w:rPr>
                <w:rFonts w:ascii="Palatino Linotype" w:hAnsi="Palatino Linotype"/>
                <w:sz w:val="20"/>
                <w:szCs w:val="20"/>
              </w:rPr>
              <w:lastRenderedPageBreak/>
              <w:t>derechos de acuerdo a lo siguiente:…</w:t>
            </w:r>
          </w:p>
        </w:tc>
        <w:tc>
          <w:tcPr>
            <w:tcW w:w="2927" w:type="dxa"/>
          </w:tcPr>
          <w:p w:rsidR="004B6DE1" w:rsidRDefault="006672B1" w:rsidP="006672B1">
            <w:pPr>
              <w:spacing w:before="240" w:after="240" w:line="360" w:lineRule="auto"/>
              <w:jc w:val="center"/>
              <w:rPr>
                <w:rFonts w:ascii="Palatino Linotype" w:hAnsi="Palatino Linotype"/>
              </w:rPr>
            </w:pPr>
            <w:r>
              <w:rPr>
                <w:rFonts w:ascii="Palatino Linotype" w:hAnsi="Palatino Linotype"/>
              </w:rPr>
              <w:lastRenderedPageBreak/>
              <w:t>Sí</w:t>
            </w:r>
          </w:p>
        </w:tc>
      </w:tr>
    </w:tbl>
    <w:p w:rsidR="008E677F" w:rsidRDefault="008E677F" w:rsidP="00600AFE">
      <w:pPr>
        <w:spacing w:line="360" w:lineRule="auto"/>
        <w:ind w:right="51"/>
        <w:contextualSpacing/>
        <w:jc w:val="both"/>
        <w:rPr>
          <w:rFonts w:ascii="Palatino Linotype" w:hAnsi="Palatino Linotype"/>
        </w:rPr>
      </w:pPr>
    </w:p>
    <w:p w:rsidR="006672B1" w:rsidRDefault="006672B1" w:rsidP="00600AFE">
      <w:pPr>
        <w:spacing w:line="360" w:lineRule="auto"/>
        <w:ind w:right="51"/>
        <w:contextualSpacing/>
        <w:jc w:val="both"/>
        <w:rPr>
          <w:rFonts w:ascii="Palatino Linotype" w:hAnsi="Palatino Linotype"/>
        </w:rPr>
      </w:pPr>
      <w:r>
        <w:rPr>
          <w:rFonts w:ascii="Palatino Linotype" w:hAnsi="Palatino Linotype" w:cs="Arial"/>
          <w:lang w:val="es-MX" w:eastAsia="es-MX"/>
        </w:rPr>
        <w:t>E</w:t>
      </w:r>
      <w:r w:rsidR="00D25C96">
        <w:rPr>
          <w:rFonts w:ascii="Palatino Linotype" w:hAnsi="Palatino Linotype" w:cs="Arial"/>
          <w:lang w:val="es-MX" w:eastAsia="es-MX"/>
        </w:rPr>
        <w:t xml:space="preserve">s importante aclarar </w:t>
      </w:r>
      <w:r w:rsidR="00D25C96">
        <w:rPr>
          <w:rFonts w:ascii="Palatino Linotype" w:hAnsi="Palatino Linotype"/>
        </w:rPr>
        <w:t xml:space="preserve">que </w:t>
      </w:r>
      <w:r>
        <w:rPr>
          <w:rFonts w:ascii="Palatino Linotype" w:hAnsi="Palatino Linotype"/>
        </w:rPr>
        <w:t xml:space="preserve">respecto del punto 1, si bien es cierto que el </w:t>
      </w:r>
      <w:r w:rsidR="008E677F" w:rsidRPr="008E677F">
        <w:rPr>
          <w:rFonts w:ascii="Palatino Linotype" w:hAnsi="Palatino Linotype"/>
          <w:b/>
        </w:rPr>
        <w:t>SUJETO OBLIGADO</w:t>
      </w:r>
      <w:r w:rsidR="00605BDE">
        <w:rPr>
          <w:rFonts w:ascii="Palatino Linotype" w:hAnsi="Palatino Linotype"/>
        </w:rPr>
        <w:t>, indicó</w:t>
      </w:r>
      <w:r>
        <w:rPr>
          <w:rFonts w:ascii="Palatino Linotype" w:hAnsi="Palatino Linotype"/>
        </w:rPr>
        <w:t xml:space="preserve"> el fundamento legal de los requisitos para</w:t>
      </w:r>
      <w:r w:rsidRPr="006672B1">
        <w:rPr>
          <w:rFonts w:ascii="Palatino Linotype" w:hAnsi="Palatino Linotype"/>
        </w:rPr>
        <w:t xml:space="preserve"> solicitar </w:t>
      </w:r>
      <w:r>
        <w:rPr>
          <w:rFonts w:ascii="Palatino Linotype" w:hAnsi="Palatino Linotype"/>
        </w:rPr>
        <w:t>una Licencia de Construcción de B</w:t>
      </w:r>
      <w:r w:rsidR="00605BDE">
        <w:rPr>
          <w:rFonts w:ascii="Palatino Linotype" w:hAnsi="Palatino Linotype"/>
        </w:rPr>
        <w:t>ardas P</w:t>
      </w:r>
      <w:r w:rsidRPr="006672B1">
        <w:rPr>
          <w:rFonts w:ascii="Palatino Linotype" w:hAnsi="Palatino Linotype"/>
        </w:rPr>
        <w:t>erimetrales</w:t>
      </w:r>
      <w:r w:rsidR="00605BDE">
        <w:rPr>
          <w:rFonts w:ascii="Palatino Linotype" w:hAnsi="Palatino Linotype"/>
        </w:rPr>
        <w:t xml:space="preserve">; sin embargo fue omiso en señalar la Ley, Código o Reglamento, de dicho artículo, pero, de una revisión del Código Administrativo que refirió el Sujeto Obligado como respuesta en otros puntos que se analizan en el presente caso, se pudo localizar el artículo 18.21 corresponde al Código Administrativo del Estado de México, que señala: </w:t>
      </w:r>
    </w:p>
    <w:p w:rsidR="00605BDE" w:rsidRDefault="00605BDE" w:rsidP="00605BDE">
      <w:pPr>
        <w:ind w:left="1134" w:right="899"/>
        <w:jc w:val="both"/>
        <w:rPr>
          <w:rFonts w:ascii="Palatino Linotype" w:hAnsi="Palatino Linotype" w:cs="Arial"/>
          <w:i/>
          <w:sz w:val="22"/>
          <w:szCs w:val="22"/>
          <w:lang w:eastAsia="es-MX"/>
        </w:rPr>
      </w:pPr>
    </w:p>
    <w:p w:rsidR="008D6FBC" w:rsidRDefault="00605BDE" w:rsidP="00605BDE">
      <w:pPr>
        <w:ind w:left="1134"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605BDE">
        <w:rPr>
          <w:rFonts w:ascii="Palatino Linotype" w:hAnsi="Palatino Linotype" w:cs="Arial"/>
          <w:i/>
          <w:sz w:val="22"/>
          <w:szCs w:val="22"/>
          <w:lang w:eastAsia="es-MX"/>
        </w:rPr>
        <w:t xml:space="preserve">Artículo 18.21. A la solicitud de licencia de construcción se acompañará como mínimo: </w:t>
      </w:r>
    </w:p>
    <w:p w:rsidR="008D6FBC" w:rsidRDefault="00605BDE" w:rsidP="00605BDE">
      <w:pPr>
        <w:ind w:left="1134" w:right="899"/>
        <w:jc w:val="both"/>
        <w:rPr>
          <w:rFonts w:ascii="Palatino Linotype" w:hAnsi="Palatino Linotype" w:cs="Arial"/>
          <w:i/>
          <w:sz w:val="22"/>
          <w:szCs w:val="22"/>
          <w:lang w:eastAsia="es-MX"/>
        </w:rPr>
      </w:pPr>
      <w:r w:rsidRPr="00605BDE">
        <w:rPr>
          <w:rFonts w:ascii="Palatino Linotype" w:hAnsi="Palatino Linotype" w:cs="Arial"/>
          <w:i/>
          <w:sz w:val="22"/>
          <w:szCs w:val="22"/>
          <w:lang w:eastAsia="es-MX"/>
        </w:rPr>
        <w:t xml:space="preserve">I. Documento que acredite la personalidad del solicitante; </w:t>
      </w:r>
    </w:p>
    <w:p w:rsidR="008D6FBC" w:rsidRDefault="00605BDE" w:rsidP="00605BDE">
      <w:pPr>
        <w:ind w:left="1134" w:right="899"/>
        <w:jc w:val="both"/>
        <w:rPr>
          <w:rFonts w:ascii="Palatino Linotype" w:hAnsi="Palatino Linotype" w:cs="Arial"/>
          <w:i/>
          <w:sz w:val="22"/>
          <w:szCs w:val="22"/>
          <w:lang w:eastAsia="es-MX"/>
        </w:rPr>
      </w:pPr>
      <w:r w:rsidRPr="00605BDE">
        <w:rPr>
          <w:rFonts w:ascii="Palatino Linotype" w:hAnsi="Palatino Linotype" w:cs="Arial"/>
          <w:i/>
          <w:sz w:val="22"/>
          <w:szCs w:val="22"/>
          <w:lang w:eastAsia="es-MX"/>
        </w:rPr>
        <w:t xml:space="preserve">II. Documento que acredite la propiedad o la posesión en concepto de propietario del inmueble; </w:t>
      </w:r>
    </w:p>
    <w:p w:rsidR="00605BDE" w:rsidRPr="00605BDE" w:rsidRDefault="00605BDE" w:rsidP="00605BDE">
      <w:pPr>
        <w:ind w:left="1134" w:right="899"/>
        <w:jc w:val="both"/>
        <w:rPr>
          <w:rFonts w:ascii="Palatino Linotype" w:hAnsi="Palatino Linotype" w:cs="Arial"/>
          <w:i/>
          <w:sz w:val="22"/>
          <w:szCs w:val="22"/>
          <w:lang w:eastAsia="es-MX"/>
        </w:rPr>
      </w:pPr>
      <w:r w:rsidRPr="00605BDE">
        <w:rPr>
          <w:rFonts w:ascii="Palatino Linotype" w:hAnsi="Palatino Linotype" w:cs="Arial"/>
          <w:i/>
          <w:sz w:val="22"/>
          <w:szCs w:val="22"/>
          <w:lang w:eastAsia="es-MX"/>
        </w:rPr>
        <w:t>III. De acuerdo al tipo de licencia de construcción que se solicite, adicionalmente se requerirá:</w:t>
      </w:r>
      <w:r w:rsidR="008D6FBC">
        <w:rPr>
          <w:rFonts w:ascii="Palatino Linotype" w:hAnsi="Palatino Linotype" w:cs="Arial"/>
          <w:i/>
          <w:sz w:val="22"/>
          <w:szCs w:val="22"/>
          <w:lang w:eastAsia="es-MX"/>
        </w:rPr>
        <w:t>…”(Sic)</w:t>
      </w:r>
    </w:p>
    <w:p w:rsidR="006672B1" w:rsidRDefault="006672B1" w:rsidP="00600AFE">
      <w:pPr>
        <w:spacing w:line="360" w:lineRule="auto"/>
        <w:ind w:right="51"/>
        <w:contextualSpacing/>
        <w:jc w:val="both"/>
        <w:rPr>
          <w:rFonts w:ascii="Palatino Linotype" w:hAnsi="Palatino Linotype"/>
        </w:rPr>
      </w:pPr>
    </w:p>
    <w:p w:rsidR="008D6FBC" w:rsidRDefault="008D6FBC" w:rsidP="00600AFE">
      <w:pPr>
        <w:spacing w:line="360" w:lineRule="auto"/>
        <w:ind w:right="51"/>
        <w:contextualSpacing/>
        <w:jc w:val="both"/>
        <w:rPr>
          <w:rFonts w:ascii="Palatino Linotype" w:hAnsi="Palatino Linotype"/>
        </w:rPr>
      </w:pPr>
      <w:r w:rsidRPr="002F25CA">
        <w:rPr>
          <w:rFonts w:ascii="Palatino Linotype" w:hAnsi="Palatino Linotype"/>
        </w:rPr>
        <w:t>Siendo e</w:t>
      </w:r>
      <w:r w:rsidR="002F25CA" w:rsidRPr="002F25CA">
        <w:rPr>
          <w:rFonts w:ascii="Palatino Linotype" w:hAnsi="Palatino Linotype"/>
        </w:rPr>
        <w:t>stos los requisitos</w:t>
      </w:r>
      <w:r w:rsidR="002E5FAE">
        <w:rPr>
          <w:rFonts w:ascii="Palatino Linotype" w:hAnsi="Palatino Linotype"/>
        </w:rPr>
        <w:t xml:space="preserve"> para solicitar </w:t>
      </w:r>
      <w:r w:rsidR="002E5FAE" w:rsidRPr="002E5FAE">
        <w:rPr>
          <w:rFonts w:ascii="Palatino Linotype" w:hAnsi="Palatino Linotype"/>
        </w:rPr>
        <w:t>una licencia de construcción de bardas perimetrales</w:t>
      </w:r>
      <w:r w:rsidR="002F25CA" w:rsidRPr="002F25CA">
        <w:rPr>
          <w:rFonts w:ascii="Palatino Linotype" w:hAnsi="Palatino Linotype"/>
        </w:rPr>
        <w:t>, además</w:t>
      </w:r>
      <w:r w:rsidRPr="002F25CA">
        <w:rPr>
          <w:rFonts w:ascii="Palatino Linotype" w:hAnsi="Palatino Linotype"/>
        </w:rPr>
        <w:t xml:space="preserve"> el mis</w:t>
      </w:r>
      <w:r w:rsidR="002F25CA">
        <w:rPr>
          <w:rFonts w:ascii="Palatino Linotype" w:hAnsi="Palatino Linotype"/>
        </w:rPr>
        <w:t>mo ordenamiento legal señala los</w:t>
      </w:r>
      <w:r w:rsidRPr="002F25CA">
        <w:rPr>
          <w:rFonts w:ascii="Palatino Linotype" w:hAnsi="Palatino Linotype"/>
        </w:rPr>
        <w:t xml:space="preserve"> tipos de licencias de construcció</w:t>
      </w:r>
      <w:r w:rsidR="002F25CA">
        <w:rPr>
          <w:rFonts w:ascii="Palatino Linotype" w:hAnsi="Palatino Linotype"/>
        </w:rPr>
        <w:t xml:space="preserve">n y tomando en consideración la que requirió el particular, </w:t>
      </w:r>
      <w:r w:rsidR="002E5FAE">
        <w:rPr>
          <w:rFonts w:ascii="Palatino Linotype" w:hAnsi="Palatino Linotype"/>
        </w:rPr>
        <w:t>esta se contempla en el inciso “E” en donde señala un requisito adicional a los anteriores, siendo el siguiente:</w:t>
      </w:r>
    </w:p>
    <w:p w:rsidR="002E5FAE" w:rsidRDefault="002E5FAE" w:rsidP="002E5FAE">
      <w:pPr>
        <w:ind w:left="1134" w:right="899"/>
        <w:jc w:val="both"/>
        <w:rPr>
          <w:rFonts w:ascii="Palatino Linotype" w:hAnsi="Palatino Linotype" w:cs="Arial"/>
          <w:i/>
          <w:sz w:val="22"/>
          <w:szCs w:val="22"/>
          <w:lang w:eastAsia="es-MX"/>
        </w:rPr>
      </w:pPr>
    </w:p>
    <w:p w:rsidR="002E5FAE" w:rsidRDefault="002E5FAE" w:rsidP="002E5FAE">
      <w:pPr>
        <w:ind w:left="1134"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2E5FAE">
        <w:rPr>
          <w:rFonts w:ascii="Palatino Linotype" w:hAnsi="Palatino Linotype" w:cs="Arial"/>
          <w:i/>
          <w:sz w:val="22"/>
          <w:szCs w:val="22"/>
          <w:lang w:eastAsia="es-MX"/>
        </w:rPr>
        <w:t xml:space="preserve">E). Para construcción de bardas: </w:t>
      </w:r>
    </w:p>
    <w:p w:rsidR="002E5FAE" w:rsidRPr="002E5FAE" w:rsidRDefault="002E5FAE" w:rsidP="002E5FAE">
      <w:pPr>
        <w:ind w:left="1134" w:right="899"/>
        <w:jc w:val="both"/>
        <w:rPr>
          <w:rFonts w:ascii="Palatino Linotype" w:hAnsi="Palatino Linotype" w:cs="Arial"/>
          <w:i/>
          <w:sz w:val="22"/>
          <w:szCs w:val="22"/>
          <w:lang w:eastAsia="es-MX"/>
        </w:rPr>
      </w:pPr>
      <w:r w:rsidRPr="002E5FAE">
        <w:rPr>
          <w:rFonts w:ascii="Palatino Linotype" w:hAnsi="Palatino Linotype" w:cs="Arial"/>
          <w:i/>
          <w:sz w:val="22"/>
          <w:szCs w:val="22"/>
          <w:lang w:eastAsia="es-MX"/>
        </w:rPr>
        <w:t>1. Croquis arquitectónico, indicando las dimensiones de la misma</w:t>
      </w:r>
      <w:r>
        <w:rPr>
          <w:rFonts w:ascii="Palatino Linotype" w:hAnsi="Palatino Linotype" w:cs="Arial"/>
          <w:i/>
          <w:sz w:val="22"/>
          <w:szCs w:val="22"/>
          <w:lang w:eastAsia="es-MX"/>
        </w:rPr>
        <w:t>…” (Sic)</w:t>
      </w:r>
    </w:p>
    <w:p w:rsidR="008D6FBC" w:rsidRDefault="008D6FBC" w:rsidP="00600AFE">
      <w:pPr>
        <w:spacing w:line="360" w:lineRule="auto"/>
        <w:ind w:right="51"/>
        <w:contextualSpacing/>
        <w:jc w:val="both"/>
        <w:rPr>
          <w:rFonts w:ascii="Palatino Linotype" w:hAnsi="Palatino Linotype"/>
        </w:rPr>
      </w:pPr>
    </w:p>
    <w:p w:rsidR="00D25C96" w:rsidRDefault="002E5FAE" w:rsidP="002E5FAE">
      <w:pPr>
        <w:spacing w:line="360" w:lineRule="auto"/>
        <w:ind w:right="51"/>
        <w:contextualSpacing/>
        <w:jc w:val="both"/>
        <w:rPr>
          <w:rFonts w:ascii="Palatino Linotype" w:hAnsi="Palatino Linotype" w:cs="Arial"/>
          <w:lang w:eastAsia="en-US"/>
        </w:rPr>
      </w:pPr>
      <w:r>
        <w:rPr>
          <w:rFonts w:ascii="Palatino Linotype" w:hAnsi="Palatino Linotype"/>
        </w:rPr>
        <w:t xml:space="preserve">Precisado lo anterior, </w:t>
      </w:r>
      <w:r w:rsidR="008E677F">
        <w:rPr>
          <w:rFonts w:ascii="Palatino Linotype" w:hAnsi="Palatino Linotype"/>
        </w:rPr>
        <w:t xml:space="preserve">sobre los puntos en donde se observa que se colma el derecho de acceso a la información de la parte recurrente, </w:t>
      </w:r>
      <w:r>
        <w:rPr>
          <w:rFonts w:ascii="Palatino Linotype" w:hAnsi="Palatino Linotype"/>
        </w:rPr>
        <w:t xml:space="preserve">debe decirse en su conjunto, que </w:t>
      </w:r>
      <w:r w:rsidR="00D25C96" w:rsidRPr="00A3483A">
        <w:rPr>
          <w:rFonts w:ascii="Palatino Linotype" w:hAnsi="Palatino Linotype"/>
        </w:rPr>
        <w:lastRenderedPageBreak/>
        <w:t xml:space="preserve">con </w:t>
      </w:r>
      <w:r w:rsidR="00D25C96">
        <w:rPr>
          <w:rFonts w:ascii="Palatino Linotype" w:hAnsi="Palatino Linotype"/>
        </w:rPr>
        <w:t>el</w:t>
      </w:r>
      <w:r w:rsidR="00D25C96" w:rsidRPr="00A3483A">
        <w:rPr>
          <w:rFonts w:ascii="Palatino Linotype" w:hAnsi="Palatino Linotype"/>
        </w:rPr>
        <w:t xml:space="preserve"> archivo electrónico enviado por el Sujeto Obligado en el apartado de manifestaciones del Sistema de Acceso a la Información Mexiquense</w:t>
      </w:r>
      <w:r w:rsidR="00D25C96" w:rsidRPr="00513B76">
        <w:rPr>
          <w:rFonts w:ascii="Palatino Linotype" w:hAnsi="Palatino Linotype"/>
        </w:rPr>
        <w:t xml:space="preserve">, </w:t>
      </w:r>
      <w:r w:rsidR="00D25C96">
        <w:rPr>
          <w:rFonts w:ascii="Palatino Linotype" w:eastAsia="Calibri" w:hAnsi="Palatino Linotype" w:cs="Arial"/>
        </w:rPr>
        <w:t xml:space="preserve">modifica su </w:t>
      </w:r>
      <w:r w:rsidR="00600AFE">
        <w:rPr>
          <w:rFonts w:ascii="Palatino Linotype" w:eastAsia="Calibri" w:hAnsi="Palatino Linotype" w:cs="Arial"/>
        </w:rPr>
        <w:t xml:space="preserve">falta </w:t>
      </w:r>
      <w:r w:rsidR="00D25C96">
        <w:rPr>
          <w:rFonts w:ascii="Palatino Linotype" w:eastAsia="Calibri" w:hAnsi="Palatino Linotype" w:cs="Arial"/>
        </w:rPr>
        <w:t xml:space="preserve">respuesta, al remitir </w:t>
      </w:r>
      <w:r w:rsidR="00F11217">
        <w:rPr>
          <w:rFonts w:ascii="Palatino Linotype" w:eastAsia="Calibri" w:hAnsi="Palatino Linotype" w:cs="Arial"/>
        </w:rPr>
        <w:t xml:space="preserve">el documento, en donde consta </w:t>
      </w:r>
      <w:r>
        <w:rPr>
          <w:rFonts w:ascii="Palatino Linotype" w:hAnsi="Palatino Linotype" w:cs="Arial"/>
          <w:lang w:eastAsia="en-US"/>
        </w:rPr>
        <w:t>l</w:t>
      </w:r>
      <w:r w:rsidR="00014ADA">
        <w:rPr>
          <w:rFonts w:ascii="Palatino Linotype" w:hAnsi="Palatino Linotype" w:cs="Arial"/>
          <w:lang w:eastAsia="en-US"/>
        </w:rPr>
        <w:t>a información requerida por el recurrente en su solicitud de acceso a la información pública</w:t>
      </w:r>
      <w:r w:rsidR="00D25C96">
        <w:rPr>
          <w:rFonts w:ascii="Palatino Linotype" w:hAnsi="Palatino Linotype" w:cs="Arial"/>
          <w:lang w:eastAsia="en-US"/>
        </w:rPr>
        <w:t xml:space="preserve">, </w:t>
      </w:r>
      <w:r w:rsidR="008E677F">
        <w:rPr>
          <w:rFonts w:ascii="Palatino Linotype" w:hAnsi="Palatino Linotype" w:cs="Arial"/>
          <w:lang w:eastAsia="en-US"/>
        </w:rPr>
        <w:t>satisfaciendo su solicitud.</w:t>
      </w:r>
    </w:p>
    <w:p w:rsidR="008E677F" w:rsidRDefault="008E677F" w:rsidP="008E677F">
      <w:pPr>
        <w:spacing w:before="240" w:after="240" w:line="360" w:lineRule="auto"/>
        <w:jc w:val="both"/>
        <w:rPr>
          <w:rFonts w:ascii="Palatino Linotype" w:hAnsi="Palatino Linotype"/>
        </w:rPr>
      </w:pPr>
      <w:r>
        <w:rPr>
          <w:rFonts w:ascii="Palatino Linotype" w:hAnsi="Palatino Linotype"/>
        </w:rPr>
        <w:t>Máxime, que el área del Ayuntamiento de Chicoloapan que proporcionó la información fue su Coordinación de Desarrollo Urbano, que de acuerdo al artículo 237 del Bando Municipal del Ayuntamiento de Chicoloapan para el año 2021, tiene las siguientes atribuciones:</w:t>
      </w:r>
    </w:p>
    <w:p w:rsidR="008E677F" w:rsidRDefault="008E677F" w:rsidP="008E677F">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w:t>
      </w:r>
      <w:r w:rsidRPr="00E472CA">
        <w:rPr>
          <w:rFonts w:ascii="Palatino Linotype" w:hAnsi="Palatino Linotype" w:cs="Bookman Old Style"/>
          <w:i/>
          <w:sz w:val="22"/>
          <w:szCs w:val="22"/>
        </w:rPr>
        <w:t xml:space="preserve">Artículo 237. La coordinación de desarrollo urbano tendrá las atribuciones siguientes: </w:t>
      </w:r>
    </w:p>
    <w:p w:rsidR="008E677F" w:rsidRDefault="008E677F" w:rsidP="008E677F">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472CA">
        <w:rPr>
          <w:rFonts w:ascii="Palatino Linotype" w:hAnsi="Palatino Linotype" w:cs="Bookman Old Style"/>
          <w:i/>
          <w:sz w:val="22"/>
          <w:szCs w:val="22"/>
        </w:rPr>
        <w:t>I. Formular, aprobar, administrar la zonificación, en el plan de desarrollo urbano;</w:t>
      </w:r>
    </w:p>
    <w:p w:rsidR="008E677F" w:rsidRDefault="008E677F" w:rsidP="008E677F">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472CA">
        <w:rPr>
          <w:rFonts w:ascii="Palatino Linotype" w:hAnsi="Palatino Linotype" w:cs="Bookman Old Style"/>
          <w:i/>
          <w:sz w:val="22"/>
          <w:szCs w:val="22"/>
        </w:rPr>
        <w:t xml:space="preserve"> II. Autorizar, controlar, vigilar y regular los asentamientos urbanos, así como la utilización del mismo en términos adicionales; </w:t>
      </w:r>
    </w:p>
    <w:p w:rsidR="008E677F" w:rsidRDefault="008E677F" w:rsidP="008E677F">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472CA">
        <w:rPr>
          <w:rFonts w:ascii="Palatino Linotype" w:hAnsi="Palatino Linotype" w:cs="Bookman Old Style"/>
          <w:i/>
          <w:sz w:val="22"/>
          <w:szCs w:val="22"/>
        </w:rPr>
        <w:t xml:space="preserve">III. Intervenir en la regulación de la tenencia de tierra urbana; </w:t>
      </w:r>
    </w:p>
    <w:p w:rsidR="008E677F" w:rsidRDefault="008E677F" w:rsidP="008E677F">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472CA">
        <w:rPr>
          <w:rFonts w:ascii="Palatino Linotype" w:hAnsi="Palatino Linotype" w:cs="Bookman Old Style"/>
          <w:i/>
          <w:sz w:val="22"/>
          <w:szCs w:val="22"/>
        </w:rPr>
        <w:t xml:space="preserve">IV. participar en la regulación de la tenencia de tierra conforme a la Ley Agraria, en los casos que sea procedente; </w:t>
      </w:r>
    </w:p>
    <w:p w:rsidR="008E677F" w:rsidRPr="00E472CA" w:rsidRDefault="008E677F" w:rsidP="008E677F">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E472CA">
        <w:rPr>
          <w:rFonts w:ascii="Palatino Linotype" w:hAnsi="Palatino Linotype" w:cs="Bookman Old Style"/>
          <w:b/>
          <w:i/>
          <w:sz w:val="22"/>
          <w:szCs w:val="22"/>
        </w:rPr>
        <w:t xml:space="preserve">V. Otorgar licencias y permisos para construcciones; </w:t>
      </w:r>
    </w:p>
    <w:p w:rsidR="008E677F" w:rsidRDefault="008E677F" w:rsidP="008E677F">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472CA">
        <w:rPr>
          <w:rFonts w:ascii="Palatino Linotype" w:hAnsi="Palatino Linotype" w:cs="Bookman Old Style"/>
          <w:i/>
          <w:sz w:val="22"/>
          <w:szCs w:val="22"/>
        </w:rPr>
        <w:t xml:space="preserve">VI. Otorgar certificados y permisos en materia de mejoras a establecimientos industriales, comerciales y de servicio dentro del municipio; </w:t>
      </w:r>
    </w:p>
    <w:p w:rsidR="008E677F" w:rsidRDefault="008E677F" w:rsidP="008E677F">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472CA">
        <w:rPr>
          <w:rFonts w:ascii="Palatino Linotype" w:hAnsi="Palatino Linotype" w:cs="Bookman Old Style"/>
          <w:i/>
          <w:sz w:val="22"/>
          <w:szCs w:val="22"/>
        </w:rPr>
        <w:t xml:space="preserve">VII. Reglamentar, regular y extender permisos para realizar modificaciones en guarniciones y banquetas, así como sobre la vía pública a efecto de beneficiarse de algún servicio público o para efectos personales; </w:t>
      </w:r>
    </w:p>
    <w:p w:rsidR="008E677F" w:rsidRDefault="008E677F" w:rsidP="008E677F">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472CA">
        <w:rPr>
          <w:rFonts w:ascii="Palatino Linotype" w:hAnsi="Palatino Linotype" w:cs="Bookman Old Style"/>
          <w:i/>
          <w:sz w:val="22"/>
          <w:szCs w:val="22"/>
        </w:rPr>
        <w:t>VIII. Las demás que le otorguen los demás ordenamientos jurídicos aplicables.</w:t>
      </w:r>
      <w:r>
        <w:rPr>
          <w:rFonts w:ascii="Palatino Linotype" w:hAnsi="Palatino Linotype" w:cs="Bookman Old Style"/>
          <w:i/>
          <w:sz w:val="22"/>
          <w:szCs w:val="22"/>
        </w:rPr>
        <w:t>” (Sic)</w:t>
      </w:r>
    </w:p>
    <w:p w:rsidR="008E677F" w:rsidRDefault="008E677F" w:rsidP="00D25C96">
      <w:pPr>
        <w:autoSpaceDE w:val="0"/>
        <w:autoSpaceDN w:val="0"/>
        <w:adjustRightInd w:val="0"/>
        <w:spacing w:before="240" w:after="240" w:line="360" w:lineRule="auto"/>
        <w:jc w:val="both"/>
        <w:rPr>
          <w:rFonts w:ascii="Palatino Linotype" w:hAnsi="Palatino Linotype" w:cs="Arial"/>
          <w:i/>
          <w:sz w:val="22"/>
          <w:szCs w:val="22"/>
        </w:rPr>
      </w:pPr>
    </w:p>
    <w:p w:rsidR="00D25C96" w:rsidRDefault="008E677F" w:rsidP="00D25C96">
      <w:pPr>
        <w:autoSpaceDE w:val="0"/>
        <w:autoSpaceDN w:val="0"/>
        <w:adjustRightInd w:val="0"/>
        <w:spacing w:before="240" w:after="240" w:line="360" w:lineRule="auto"/>
        <w:jc w:val="both"/>
        <w:rPr>
          <w:rFonts w:ascii="Palatino Linotype" w:hAnsi="Palatino Linotype"/>
          <w:lang w:eastAsia="es-MX"/>
        </w:rPr>
      </w:pPr>
      <w:r>
        <w:rPr>
          <w:rFonts w:ascii="Palatino Linotype" w:hAnsi="Palatino Linotype"/>
        </w:rPr>
        <w:t>Luego entonces</w:t>
      </w:r>
      <w:r w:rsidR="00D25C96">
        <w:rPr>
          <w:rFonts w:ascii="Palatino Linotype" w:hAnsi="Palatino Linotype"/>
        </w:rPr>
        <w:t xml:space="preserve">, al </w:t>
      </w:r>
      <w:r w:rsidR="00D25C96">
        <w:rPr>
          <w:rFonts w:ascii="Palatino Linotype" w:hAnsi="Palatino Linotype"/>
          <w:lang w:eastAsia="es-MX"/>
        </w:rPr>
        <w:t xml:space="preserve">haber un pronunciamiento por parte del </w:t>
      </w:r>
      <w:r w:rsidR="00D25C96">
        <w:rPr>
          <w:rFonts w:ascii="Palatino Linotype" w:hAnsi="Palatino Linotype"/>
          <w:b/>
          <w:lang w:eastAsia="es-MX"/>
        </w:rPr>
        <w:t>Sujeto Obligado</w:t>
      </w:r>
      <w:r w:rsidR="00D25C96">
        <w:rPr>
          <w:rFonts w:ascii="Palatino Linotype" w:hAnsi="Palatino Linotype"/>
          <w:lang w:eastAsia="es-MX"/>
        </w:rPr>
        <w:t xml:space="preserve">, este Órgano Garante estima conveniente señalar que no está facultado para manifestarse sobre la veracidad de la información proporcionada, ya que no existe precepto legal </w:t>
      </w:r>
      <w:r w:rsidR="00D25C96">
        <w:rPr>
          <w:rFonts w:ascii="Palatino Linotype" w:hAnsi="Palatino Linotype"/>
          <w:lang w:eastAsia="es-MX"/>
        </w:rPr>
        <w:lastRenderedPageBreak/>
        <w:t>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D25C96" w:rsidRDefault="00D25C96" w:rsidP="00D25C96">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77643B">
        <w:rPr>
          <w:rFonts w:ascii="Palatino Linotype" w:hAnsi="Palatino Linotype"/>
          <w:i/>
          <w:sz w:val="22"/>
          <w:szCs w:val="22"/>
        </w:rPr>
        <w:t>(Sic)</w:t>
      </w:r>
    </w:p>
    <w:p w:rsidR="00D25C96" w:rsidRDefault="00D25C96" w:rsidP="00D25C96">
      <w:pPr>
        <w:pStyle w:val="Prrafodelista"/>
        <w:autoSpaceDE w:val="0"/>
        <w:autoSpaceDN w:val="0"/>
        <w:adjustRightInd w:val="0"/>
        <w:spacing w:line="360" w:lineRule="auto"/>
        <w:ind w:left="0"/>
        <w:jc w:val="both"/>
        <w:rPr>
          <w:rFonts w:ascii="Palatino Linotype" w:hAnsi="Palatino Linotype" w:cs="Arial"/>
        </w:rPr>
      </w:pPr>
    </w:p>
    <w:p w:rsidR="00D25C96" w:rsidRPr="00D53C9E" w:rsidRDefault="00D25C96" w:rsidP="00D25C96">
      <w:pPr>
        <w:pStyle w:val="Prrafodelista"/>
        <w:autoSpaceDE w:val="0"/>
        <w:autoSpaceDN w:val="0"/>
        <w:adjustRightInd w:val="0"/>
        <w:spacing w:line="360" w:lineRule="auto"/>
        <w:ind w:left="0"/>
        <w:jc w:val="both"/>
        <w:rPr>
          <w:rFonts w:ascii="Palatino Linotype" w:hAnsi="Palatino Linotype" w:cs="Arial"/>
          <w:sz w:val="24"/>
          <w:szCs w:val="24"/>
        </w:rPr>
      </w:pPr>
      <w:r w:rsidRPr="00D53C9E">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D25C96" w:rsidRDefault="008E677F" w:rsidP="00D25C96">
      <w:pPr>
        <w:spacing w:before="240" w:after="240" w:line="360" w:lineRule="auto"/>
        <w:jc w:val="both"/>
        <w:rPr>
          <w:rFonts w:ascii="Palatino Linotype" w:hAnsi="Palatino Linotype"/>
        </w:rPr>
      </w:pPr>
      <w:r>
        <w:rPr>
          <w:rFonts w:ascii="Palatino Linotype" w:hAnsi="Palatino Linotype"/>
        </w:rPr>
        <w:t xml:space="preserve">Por último, respecto del punto que se observa que </w:t>
      </w:r>
      <w:r w:rsidR="0077643B">
        <w:rPr>
          <w:rFonts w:ascii="Palatino Linotype" w:hAnsi="Palatino Linotype"/>
        </w:rPr>
        <w:t>no colma</w:t>
      </w:r>
      <w:r>
        <w:rPr>
          <w:rFonts w:ascii="Palatino Linotype" w:hAnsi="Palatino Linotype"/>
        </w:rPr>
        <w:t xml:space="preserve"> el derecho de acceso a la información pública de la parte recurrente, sobre el P</w:t>
      </w:r>
      <w:r w:rsidRPr="008E677F">
        <w:rPr>
          <w:rFonts w:ascii="Palatino Linotype" w:hAnsi="Palatino Linotype"/>
        </w:rPr>
        <w:t>rocedimiento para tramita</w:t>
      </w:r>
      <w:r>
        <w:rPr>
          <w:rFonts w:ascii="Palatino Linotype" w:hAnsi="Palatino Linotype"/>
        </w:rPr>
        <w:t xml:space="preserve">r el documento conocido como Uso de Suelo, el </w:t>
      </w:r>
      <w:r w:rsidRPr="008E677F">
        <w:rPr>
          <w:rFonts w:ascii="Palatino Linotype" w:hAnsi="Palatino Linotype"/>
          <w:b/>
        </w:rPr>
        <w:t>SUJETO OBLIGADO</w:t>
      </w:r>
      <w:r>
        <w:rPr>
          <w:rFonts w:ascii="Palatino Linotype" w:hAnsi="Palatino Linotype"/>
        </w:rPr>
        <w:t xml:space="preserve">, se concretó a enunciar </w:t>
      </w:r>
      <w:r w:rsidR="0077643B" w:rsidRPr="0077643B">
        <w:rPr>
          <w:rFonts w:ascii="Palatino Linotype" w:hAnsi="Palatino Linotype"/>
        </w:rPr>
        <w:t xml:space="preserve">el fundamento legal </w:t>
      </w:r>
      <w:r w:rsidR="0077643B">
        <w:rPr>
          <w:rFonts w:ascii="Palatino Linotype" w:hAnsi="Palatino Linotype"/>
        </w:rPr>
        <w:t>de la licencia de uso de suelo (</w:t>
      </w:r>
      <w:r w:rsidR="0077643B" w:rsidRPr="0077643B">
        <w:rPr>
          <w:rFonts w:ascii="Palatino Linotype" w:hAnsi="Palatino Linotype"/>
        </w:rPr>
        <w:t xml:space="preserve">artículo 5.6, 5.10 </w:t>
      </w:r>
      <w:r w:rsidR="0077643B" w:rsidRPr="0077643B">
        <w:rPr>
          <w:rFonts w:ascii="Palatino Linotype" w:hAnsi="Palatino Linotype"/>
        </w:rPr>
        <w:lastRenderedPageBreak/>
        <w:t>fracción VII y VIII, 5.25, 5.55 y 5.56, del Código Administrativo del Estado de México</w:t>
      </w:r>
      <w:r w:rsidR="0077643B">
        <w:rPr>
          <w:rFonts w:ascii="Palatino Linotype" w:hAnsi="Palatino Linotype"/>
        </w:rPr>
        <w:t>) y no el procedimiento; por consiguiente, se procede a establecer el significado de procedimiento, el cual el Diccionario de la Real Academia Española, lo define como:</w:t>
      </w:r>
    </w:p>
    <w:p w:rsidR="0077643B" w:rsidRPr="0077643B" w:rsidRDefault="0077643B" w:rsidP="0077643B">
      <w:pPr>
        <w:spacing w:before="240" w:after="240"/>
        <w:ind w:left="567" w:right="567"/>
        <w:contextualSpacing/>
        <w:jc w:val="both"/>
        <w:rPr>
          <w:rFonts w:ascii="Palatino Linotype" w:hAnsi="Palatino Linotype"/>
          <w:i/>
          <w:sz w:val="22"/>
          <w:szCs w:val="22"/>
        </w:rPr>
      </w:pPr>
      <w:r>
        <w:rPr>
          <w:rFonts w:ascii="Palatino Linotype" w:hAnsi="Palatino Linotype"/>
          <w:i/>
          <w:sz w:val="22"/>
          <w:szCs w:val="22"/>
        </w:rPr>
        <w:t>“</w:t>
      </w:r>
      <w:r w:rsidRPr="0077643B">
        <w:rPr>
          <w:rFonts w:ascii="Palatino Linotype" w:hAnsi="Palatino Linotype"/>
          <w:i/>
          <w:sz w:val="22"/>
          <w:szCs w:val="22"/>
        </w:rPr>
        <w:t>Procedimiento</w:t>
      </w:r>
    </w:p>
    <w:p w:rsidR="0077643B" w:rsidRPr="0077643B" w:rsidRDefault="0077643B" w:rsidP="0077643B">
      <w:pPr>
        <w:spacing w:before="240" w:after="240"/>
        <w:ind w:left="567" w:right="567"/>
        <w:contextualSpacing/>
        <w:jc w:val="both"/>
        <w:rPr>
          <w:rFonts w:ascii="Palatino Linotype" w:hAnsi="Palatino Linotype"/>
          <w:i/>
          <w:sz w:val="22"/>
          <w:szCs w:val="22"/>
        </w:rPr>
      </w:pPr>
      <w:r w:rsidRPr="0077643B">
        <w:rPr>
          <w:rFonts w:ascii="Palatino Linotype" w:hAnsi="Palatino Linotype" w:hint="eastAsia"/>
          <w:i/>
          <w:sz w:val="22"/>
          <w:szCs w:val="22"/>
        </w:rPr>
        <w:t>1. m. Acción de proceder.</w:t>
      </w:r>
    </w:p>
    <w:p w:rsidR="0077643B" w:rsidRPr="0077643B" w:rsidRDefault="0077643B" w:rsidP="0077643B">
      <w:pPr>
        <w:spacing w:before="240" w:after="240"/>
        <w:ind w:left="567" w:right="567"/>
        <w:contextualSpacing/>
        <w:jc w:val="both"/>
        <w:rPr>
          <w:rFonts w:ascii="Palatino Linotype" w:hAnsi="Palatino Linotype"/>
          <w:i/>
          <w:sz w:val="22"/>
          <w:szCs w:val="22"/>
        </w:rPr>
      </w:pPr>
      <w:r w:rsidRPr="0077643B">
        <w:rPr>
          <w:rFonts w:ascii="Palatino Linotype" w:hAnsi="Palatino Linotype" w:hint="eastAsia"/>
          <w:i/>
          <w:sz w:val="22"/>
          <w:szCs w:val="22"/>
        </w:rPr>
        <w:t>2. m. Método de ejecutar algunas cosas.</w:t>
      </w:r>
    </w:p>
    <w:p w:rsidR="0077643B" w:rsidRPr="0077643B" w:rsidRDefault="0077643B" w:rsidP="0077643B">
      <w:pPr>
        <w:spacing w:before="240" w:after="240"/>
        <w:ind w:left="567" w:right="567"/>
        <w:contextualSpacing/>
        <w:jc w:val="both"/>
        <w:rPr>
          <w:rFonts w:ascii="Palatino Linotype" w:hAnsi="Palatino Linotype"/>
          <w:i/>
          <w:sz w:val="22"/>
          <w:szCs w:val="22"/>
        </w:rPr>
      </w:pPr>
      <w:r w:rsidRPr="0077643B">
        <w:rPr>
          <w:rFonts w:ascii="Palatino Linotype" w:hAnsi="Palatino Linotype" w:hint="eastAsia"/>
          <w:i/>
          <w:sz w:val="22"/>
          <w:szCs w:val="22"/>
        </w:rPr>
        <w:t>3. m. Der. Actuación por trámites judiciales o administrativos.</w:t>
      </w:r>
      <w:r>
        <w:rPr>
          <w:rFonts w:ascii="Palatino Linotype" w:hAnsi="Palatino Linotype"/>
          <w:i/>
          <w:sz w:val="22"/>
          <w:szCs w:val="22"/>
        </w:rPr>
        <w:t>”</w:t>
      </w:r>
      <w:r w:rsidR="0049741F">
        <w:rPr>
          <w:rFonts w:ascii="Palatino Linotype" w:hAnsi="Palatino Linotype"/>
          <w:i/>
          <w:sz w:val="22"/>
          <w:szCs w:val="22"/>
        </w:rPr>
        <w:t>(Sic)</w:t>
      </w:r>
    </w:p>
    <w:p w:rsidR="0077643B" w:rsidRDefault="0077643B" w:rsidP="00D25C96">
      <w:pPr>
        <w:spacing w:before="240" w:after="240" w:line="360" w:lineRule="auto"/>
        <w:jc w:val="both"/>
        <w:rPr>
          <w:rFonts w:ascii="Palatino Linotype" w:hAnsi="Palatino Linotype"/>
        </w:rPr>
      </w:pPr>
    </w:p>
    <w:p w:rsidR="0077643B" w:rsidRDefault="0077643B" w:rsidP="00D25C96">
      <w:pPr>
        <w:spacing w:before="240" w:after="240" w:line="360" w:lineRule="auto"/>
        <w:jc w:val="both"/>
        <w:rPr>
          <w:rFonts w:ascii="Palatino Linotype" w:hAnsi="Palatino Linotype"/>
        </w:rPr>
      </w:pPr>
      <w:r>
        <w:rPr>
          <w:rFonts w:ascii="Palatino Linotype" w:hAnsi="Palatino Linotype"/>
        </w:rPr>
        <w:t xml:space="preserve">De lo precedente, podemos establecer que el procedimiento es un conjunto de acciones, métodos o actos, tendientes a </w:t>
      </w:r>
      <w:r w:rsidR="0049741F">
        <w:rPr>
          <w:rFonts w:ascii="Palatino Linotype" w:hAnsi="Palatino Linotype"/>
        </w:rPr>
        <w:t>obtener una cosa</w:t>
      </w:r>
      <w:r>
        <w:rPr>
          <w:rFonts w:ascii="Palatino Linotype" w:hAnsi="Palatino Linotype"/>
        </w:rPr>
        <w:t xml:space="preserve"> en específico; es decir, es una serie de actos ya establecidos que se deben cumplir para llegar a un fin. </w:t>
      </w:r>
    </w:p>
    <w:p w:rsidR="0049741F" w:rsidRDefault="00F6118C" w:rsidP="00D25C96">
      <w:pPr>
        <w:spacing w:before="240" w:after="240" w:line="360" w:lineRule="auto"/>
        <w:jc w:val="both"/>
        <w:rPr>
          <w:rFonts w:ascii="Palatino Linotype" w:hAnsi="Palatino Linotype"/>
        </w:rPr>
      </w:pPr>
      <w:r>
        <w:rPr>
          <w:rFonts w:ascii="Palatino Linotype" w:hAnsi="Palatino Linotype"/>
        </w:rPr>
        <w:t>Bajo esa óptica y en razón de que el tema que nos ocupa</w:t>
      </w:r>
      <w:r w:rsidR="00556F22">
        <w:rPr>
          <w:rFonts w:ascii="Palatino Linotype" w:hAnsi="Palatino Linotype"/>
        </w:rPr>
        <w:t>,</w:t>
      </w:r>
      <w:r>
        <w:rPr>
          <w:rFonts w:ascii="Palatino Linotype" w:hAnsi="Palatino Linotype"/>
        </w:rPr>
        <w:t xml:space="preserve"> </w:t>
      </w:r>
      <w:r w:rsidR="00556F22">
        <w:rPr>
          <w:rFonts w:ascii="Palatino Linotype" w:hAnsi="Palatino Linotype"/>
        </w:rPr>
        <w:t>sobre el</w:t>
      </w:r>
      <w:r>
        <w:rPr>
          <w:rFonts w:ascii="Palatino Linotype" w:hAnsi="Palatino Linotype"/>
        </w:rPr>
        <w:t xml:space="preserve"> procedimiento para obtener el documento de Uso de Suelo, que es un servicio </w:t>
      </w:r>
      <w:r w:rsidR="00EE06D7">
        <w:rPr>
          <w:rFonts w:ascii="Palatino Linotype" w:hAnsi="Palatino Linotype"/>
        </w:rPr>
        <w:t xml:space="preserve">o tramite </w:t>
      </w:r>
      <w:r>
        <w:rPr>
          <w:rFonts w:ascii="Palatino Linotype" w:hAnsi="Palatino Linotype"/>
        </w:rPr>
        <w:t xml:space="preserve">que ofrece el </w:t>
      </w:r>
      <w:r w:rsidRPr="00F6118C">
        <w:rPr>
          <w:rFonts w:ascii="Palatino Linotype" w:hAnsi="Palatino Linotype"/>
          <w:b/>
        </w:rPr>
        <w:t>SUJETO OBLIGADO</w:t>
      </w:r>
      <w:r w:rsidR="00556F22">
        <w:rPr>
          <w:rFonts w:ascii="Palatino Linotype" w:hAnsi="Palatino Linotype"/>
          <w:b/>
        </w:rPr>
        <w:t xml:space="preserve">, </w:t>
      </w:r>
      <w:r w:rsidR="00556F22" w:rsidRPr="00556F22">
        <w:rPr>
          <w:rFonts w:ascii="Palatino Linotype" w:hAnsi="Palatino Linotype"/>
        </w:rPr>
        <w:t xml:space="preserve">se trata de </w:t>
      </w:r>
      <w:r w:rsidRPr="00556F22">
        <w:rPr>
          <w:rFonts w:ascii="Palatino Linotype" w:hAnsi="Palatino Linotype"/>
        </w:rPr>
        <w:t>una</w:t>
      </w:r>
      <w:r>
        <w:rPr>
          <w:rFonts w:ascii="Palatino Linotype" w:hAnsi="Palatino Linotype"/>
        </w:rPr>
        <w:t xml:space="preserve"> obligación de transparencia, </w:t>
      </w:r>
      <w:r w:rsidR="0049741F">
        <w:rPr>
          <w:rFonts w:ascii="Palatino Linotype" w:hAnsi="Palatino Linotype"/>
        </w:rPr>
        <w:t xml:space="preserve">por así determinarlo el artículo 92, fracción XXIII y XXIV, de la </w:t>
      </w:r>
      <w:r w:rsidR="0049741F" w:rsidRPr="00D53C9E">
        <w:rPr>
          <w:rFonts w:ascii="Palatino Linotype" w:hAnsi="Palatino Linotype" w:cs="Arial"/>
        </w:rPr>
        <w:t>Ley de Transparencia y Acceso a la Información Pública del Estado de México y Municipios</w:t>
      </w:r>
      <w:r w:rsidR="0049741F">
        <w:rPr>
          <w:rFonts w:ascii="Palatino Linotype" w:hAnsi="Palatino Linotype" w:cs="Arial"/>
        </w:rPr>
        <w:t>, que señala:</w:t>
      </w:r>
    </w:p>
    <w:p w:rsidR="0049741F" w:rsidRPr="0049741F" w:rsidRDefault="0049741F" w:rsidP="0049741F">
      <w:pPr>
        <w:spacing w:before="240" w:after="240"/>
        <w:ind w:left="567" w:right="567"/>
        <w:contextualSpacing/>
        <w:jc w:val="both"/>
        <w:rPr>
          <w:rFonts w:ascii="Palatino Linotype" w:hAnsi="Palatino Linotype"/>
          <w:i/>
          <w:sz w:val="22"/>
          <w:szCs w:val="22"/>
        </w:rPr>
      </w:pPr>
      <w:r>
        <w:rPr>
          <w:rFonts w:ascii="Palatino Linotype" w:hAnsi="Palatino Linotype"/>
          <w:i/>
          <w:sz w:val="22"/>
          <w:szCs w:val="22"/>
        </w:rPr>
        <w:t>“</w:t>
      </w:r>
      <w:r w:rsidRPr="0049741F">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9741F" w:rsidRPr="0049741F" w:rsidRDefault="0049741F" w:rsidP="0049741F">
      <w:pPr>
        <w:spacing w:before="240" w:after="240"/>
        <w:ind w:left="567" w:right="567"/>
        <w:contextualSpacing/>
        <w:jc w:val="both"/>
        <w:rPr>
          <w:rFonts w:ascii="Palatino Linotype" w:hAnsi="Palatino Linotype"/>
          <w:i/>
          <w:sz w:val="22"/>
          <w:szCs w:val="22"/>
        </w:rPr>
      </w:pPr>
      <w:r w:rsidRPr="0049741F">
        <w:rPr>
          <w:rFonts w:ascii="Palatino Linotype" w:hAnsi="Palatino Linotype"/>
          <w:i/>
          <w:sz w:val="22"/>
          <w:szCs w:val="22"/>
        </w:rPr>
        <w:t>…</w:t>
      </w:r>
    </w:p>
    <w:p w:rsidR="0049741F" w:rsidRPr="0049741F" w:rsidRDefault="0049741F" w:rsidP="0049741F">
      <w:pPr>
        <w:spacing w:before="240" w:after="240"/>
        <w:ind w:left="567" w:right="567"/>
        <w:contextualSpacing/>
        <w:jc w:val="both"/>
        <w:rPr>
          <w:rFonts w:ascii="Palatino Linotype" w:hAnsi="Palatino Linotype"/>
          <w:i/>
          <w:sz w:val="22"/>
          <w:szCs w:val="22"/>
        </w:rPr>
      </w:pPr>
      <w:r w:rsidRPr="0049741F">
        <w:rPr>
          <w:rFonts w:ascii="Palatino Linotype" w:hAnsi="Palatino Linotype"/>
          <w:i/>
          <w:sz w:val="22"/>
          <w:szCs w:val="22"/>
        </w:rPr>
        <w:t xml:space="preserve">XXIII. Los servicios que ofrecen señalando los requisitos para acceder a ellos, así como los tiempos de respuesta; </w:t>
      </w:r>
    </w:p>
    <w:p w:rsidR="0049741F" w:rsidRPr="0049741F" w:rsidRDefault="0049741F" w:rsidP="0049741F">
      <w:pPr>
        <w:spacing w:before="240" w:after="240"/>
        <w:ind w:left="567" w:right="567"/>
        <w:contextualSpacing/>
        <w:jc w:val="both"/>
        <w:rPr>
          <w:rFonts w:ascii="Palatino Linotype" w:hAnsi="Palatino Linotype"/>
          <w:i/>
          <w:sz w:val="22"/>
          <w:szCs w:val="22"/>
        </w:rPr>
      </w:pPr>
      <w:r w:rsidRPr="0049741F">
        <w:rPr>
          <w:rFonts w:ascii="Palatino Linotype" w:hAnsi="Palatino Linotype"/>
          <w:i/>
          <w:sz w:val="22"/>
          <w:szCs w:val="22"/>
        </w:rPr>
        <w:t>XXIV. Los trámites, requisitos y formatos que ofrecen, as</w:t>
      </w:r>
      <w:r>
        <w:rPr>
          <w:rFonts w:ascii="Palatino Linotype" w:hAnsi="Palatino Linotype"/>
          <w:i/>
          <w:sz w:val="22"/>
          <w:szCs w:val="22"/>
        </w:rPr>
        <w:t>í como los tiempos de respuesta” (Sic)</w:t>
      </w:r>
    </w:p>
    <w:p w:rsidR="00F6118C" w:rsidRDefault="0049741F" w:rsidP="00D25C96">
      <w:pPr>
        <w:spacing w:before="240" w:after="240" w:line="360" w:lineRule="auto"/>
        <w:jc w:val="both"/>
        <w:rPr>
          <w:rFonts w:ascii="Palatino Linotype" w:hAnsi="Palatino Linotype"/>
        </w:rPr>
      </w:pPr>
      <w:r>
        <w:rPr>
          <w:rFonts w:ascii="Palatino Linotype" w:hAnsi="Palatino Linotype"/>
        </w:rPr>
        <w:lastRenderedPageBreak/>
        <w:t>Lo que se robustece, con lo señalado por los</w:t>
      </w:r>
      <w:r w:rsidR="00F6118C">
        <w:rPr>
          <w:rFonts w:ascii="Palatino Linotype" w:hAnsi="Palatino Linotype"/>
        </w:rPr>
        <w:t xml:space="preserve"> </w:t>
      </w:r>
      <w:r w:rsidR="00F6118C" w:rsidRPr="00F6118C">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556F22">
        <w:rPr>
          <w:rFonts w:ascii="Palatino Linotype" w:hAnsi="Palatino Linotype"/>
        </w:rPr>
        <w:t>,</w:t>
      </w:r>
      <w:r w:rsidR="00F6118C">
        <w:rPr>
          <w:rFonts w:ascii="Palatino Linotype" w:hAnsi="Palatino Linotype"/>
        </w:rPr>
        <w:t xml:space="preserve"> señala</w:t>
      </w:r>
      <w:r w:rsidR="00556F22">
        <w:rPr>
          <w:rFonts w:ascii="Palatino Linotype" w:hAnsi="Palatino Linotype"/>
        </w:rPr>
        <w:t>n al respecto</w:t>
      </w:r>
      <w:r w:rsidR="00F6118C">
        <w:rPr>
          <w:rFonts w:ascii="Palatino Linotype" w:hAnsi="Palatino Linotype"/>
        </w:rPr>
        <w:t xml:space="preserve"> lo siguiente:</w:t>
      </w:r>
    </w:p>
    <w:p w:rsidR="00F6118C" w:rsidRDefault="00F6118C" w:rsidP="00D25C96">
      <w:pPr>
        <w:autoSpaceDE w:val="0"/>
        <w:autoSpaceDN w:val="0"/>
        <w:adjustRightInd w:val="0"/>
        <w:spacing w:before="240" w:after="240" w:line="360" w:lineRule="auto"/>
        <w:jc w:val="both"/>
        <w:rPr>
          <w:rFonts w:ascii="Palatino Linotype" w:hAnsi="Palatino Linotype" w:cs="Arial"/>
        </w:rPr>
      </w:pPr>
      <w:r>
        <w:rPr>
          <w:noProof/>
          <w:lang w:val="es-MX" w:eastAsia="es-MX"/>
        </w:rPr>
        <w:drawing>
          <wp:inline distT="0" distB="0" distL="0" distR="0" wp14:anchorId="65810CA4" wp14:editId="3D80343E">
            <wp:extent cx="5361940" cy="23481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599" t="39145" r="24879" b="37771"/>
                    <a:stretch/>
                  </pic:blipFill>
                  <pic:spPr bwMode="auto">
                    <a:xfrm>
                      <a:off x="0" y="0"/>
                      <a:ext cx="5395689" cy="2362959"/>
                    </a:xfrm>
                    <a:prstGeom prst="rect">
                      <a:avLst/>
                    </a:prstGeom>
                    <a:ln>
                      <a:noFill/>
                    </a:ln>
                    <a:extLst>
                      <a:ext uri="{53640926-AAD7-44D8-BBD7-CCE9431645EC}">
                        <a14:shadowObscured xmlns:a14="http://schemas.microsoft.com/office/drawing/2010/main"/>
                      </a:ext>
                    </a:extLst>
                  </pic:spPr>
                </pic:pic>
              </a:graphicData>
            </a:graphic>
          </wp:inline>
        </w:drawing>
      </w:r>
      <w:r w:rsidR="00556F22">
        <w:rPr>
          <w:noProof/>
          <w:lang w:val="es-MX" w:eastAsia="es-MX"/>
        </w:rPr>
        <w:drawing>
          <wp:inline distT="0" distB="0" distL="0" distR="0" wp14:anchorId="693F8615" wp14:editId="6CDD9882">
            <wp:extent cx="5360035" cy="3160166"/>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983" t="12349" r="25543" b="9566"/>
                    <a:stretch/>
                  </pic:blipFill>
                  <pic:spPr bwMode="auto">
                    <a:xfrm>
                      <a:off x="0" y="0"/>
                      <a:ext cx="5392888" cy="3179535"/>
                    </a:xfrm>
                    <a:prstGeom prst="rect">
                      <a:avLst/>
                    </a:prstGeom>
                    <a:ln>
                      <a:noFill/>
                    </a:ln>
                    <a:extLst>
                      <a:ext uri="{53640926-AAD7-44D8-BBD7-CCE9431645EC}">
                        <a14:shadowObscured xmlns:a14="http://schemas.microsoft.com/office/drawing/2010/main"/>
                      </a:ext>
                    </a:extLst>
                  </pic:spPr>
                </pic:pic>
              </a:graphicData>
            </a:graphic>
          </wp:inline>
        </w:drawing>
      </w:r>
    </w:p>
    <w:p w:rsidR="00556F22" w:rsidRDefault="00556F22" w:rsidP="00D25C96">
      <w:pPr>
        <w:autoSpaceDE w:val="0"/>
        <w:autoSpaceDN w:val="0"/>
        <w:adjustRightInd w:val="0"/>
        <w:spacing w:before="240" w:after="240" w:line="360" w:lineRule="auto"/>
        <w:jc w:val="both"/>
        <w:rPr>
          <w:rFonts w:ascii="Palatino Linotype" w:hAnsi="Palatino Linotype" w:cs="Arial"/>
        </w:rPr>
      </w:pPr>
      <w:r>
        <w:rPr>
          <w:noProof/>
          <w:lang w:val="es-MX" w:eastAsia="es-MX"/>
        </w:rPr>
        <w:lastRenderedPageBreak/>
        <w:drawing>
          <wp:inline distT="0" distB="0" distL="0" distR="0" wp14:anchorId="71A6E97C" wp14:editId="4D0F65D4">
            <wp:extent cx="5368205" cy="7088428"/>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203" t="18874" r="24223" b="6994"/>
                    <a:stretch/>
                  </pic:blipFill>
                  <pic:spPr bwMode="auto">
                    <a:xfrm>
                      <a:off x="0" y="0"/>
                      <a:ext cx="5398157" cy="7127978"/>
                    </a:xfrm>
                    <a:prstGeom prst="rect">
                      <a:avLst/>
                    </a:prstGeom>
                    <a:ln>
                      <a:noFill/>
                    </a:ln>
                    <a:extLst>
                      <a:ext uri="{53640926-AAD7-44D8-BBD7-CCE9431645EC}">
                        <a14:shadowObscured xmlns:a14="http://schemas.microsoft.com/office/drawing/2010/main"/>
                      </a:ext>
                    </a:extLst>
                  </pic:spPr>
                </pic:pic>
              </a:graphicData>
            </a:graphic>
          </wp:inline>
        </w:drawing>
      </w:r>
    </w:p>
    <w:p w:rsidR="00556F22" w:rsidRDefault="00556F22" w:rsidP="00D25C96">
      <w:pPr>
        <w:autoSpaceDE w:val="0"/>
        <w:autoSpaceDN w:val="0"/>
        <w:adjustRightInd w:val="0"/>
        <w:spacing w:before="240" w:after="240" w:line="360" w:lineRule="auto"/>
        <w:jc w:val="both"/>
        <w:rPr>
          <w:rFonts w:ascii="Palatino Linotype" w:hAnsi="Palatino Linotype" w:cs="Arial"/>
        </w:rPr>
      </w:pPr>
    </w:p>
    <w:p w:rsidR="00556F22" w:rsidRDefault="00556F22" w:rsidP="00D25C96">
      <w:pPr>
        <w:autoSpaceDE w:val="0"/>
        <w:autoSpaceDN w:val="0"/>
        <w:adjustRightInd w:val="0"/>
        <w:spacing w:before="240" w:after="240" w:line="360" w:lineRule="auto"/>
        <w:jc w:val="both"/>
        <w:rPr>
          <w:rFonts w:ascii="Palatino Linotype" w:hAnsi="Palatino Linotype" w:cs="Arial"/>
        </w:rPr>
      </w:pPr>
      <w:r>
        <w:rPr>
          <w:noProof/>
          <w:lang w:val="es-MX" w:eastAsia="es-MX"/>
        </w:rPr>
        <w:lastRenderedPageBreak/>
        <w:drawing>
          <wp:inline distT="0" distB="0" distL="0" distR="0" wp14:anchorId="3B068C30" wp14:editId="414C551C">
            <wp:extent cx="5412379" cy="7081113"/>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201" t="16544" r="28695" b="10715"/>
                    <a:stretch/>
                  </pic:blipFill>
                  <pic:spPr bwMode="auto">
                    <a:xfrm>
                      <a:off x="0" y="0"/>
                      <a:ext cx="5433168" cy="7108312"/>
                    </a:xfrm>
                    <a:prstGeom prst="rect">
                      <a:avLst/>
                    </a:prstGeom>
                    <a:ln>
                      <a:noFill/>
                    </a:ln>
                    <a:extLst>
                      <a:ext uri="{53640926-AAD7-44D8-BBD7-CCE9431645EC}">
                        <a14:shadowObscured xmlns:a14="http://schemas.microsoft.com/office/drawing/2010/main"/>
                      </a:ext>
                    </a:extLst>
                  </pic:spPr>
                </pic:pic>
              </a:graphicData>
            </a:graphic>
          </wp:inline>
        </w:drawing>
      </w:r>
    </w:p>
    <w:p w:rsidR="00556F22" w:rsidRDefault="00556F22" w:rsidP="00D25C96">
      <w:pPr>
        <w:autoSpaceDE w:val="0"/>
        <w:autoSpaceDN w:val="0"/>
        <w:adjustRightInd w:val="0"/>
        <w:spacing w:before="240" w:after="240" w:line="360" w:lineRule="auto"/>
        <w:jc w:val="both"/>
        <w:rPr>
          <w:rFonts w:ascii="Palatino Linotype" w:hAnsi="Palatino Linotype" w:cs="Arial"/>
        </w:rPr>
      </w:pPr>
    </w:p>
    <w:p w:rsidR="00556F22" w:rsidRDefault="00556F22" w:rsidP="00D25C96">
      <w:pPr>
        <w:autoSpaceDE w:val="0"/>
        <w:autoSpaceDN w:val="0"/>
        <w:adjustRightInd w:val="0"/>
        <w:spacing w:before="240" w:after="240" w:line="360" w:lineRule="auto"/>
        <w:jc w:val="both"/>
        <w:rPr>
          <w:rFonts w:ascii="Palatino Linotype" w:hAnsi="Palatino Linotype" w:cs="Arial"/>
        </w:rPr>
      </w:pPr>
      <w:r>
        <w:rPr>
          <w:noProof/>
          <w:lang w:val="es-MX" w:eastAsia="es-MX"/>
        </w:rPr>
        <w:lastRenderedPageBreak/>
        <w:drawing>
          <wp:inline distT="0" distB="0" distL="0" distR="0" wp14:anchorId="2745E075" wp14:editId="2C7E730C">
            <wp:extent cx="5616622" cy="972921"/>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399" t="52197" r="23698" b="39782"/>
                    <a:stretch/>
                  </pic:blipFill>
                  <pic:spPr bwMode="auto">
                    <a:xfrm>
                      <a:off x="0" y="0"/>
                      <a:ext cx="5671470" cy="982422"/>
                    </a:xfrm>
                    <a:prstGeom prst="rect">
                      <a:avLst/>
                    </a:prstGeom>
                    <a:ln>
                      <a:noFill/>
                    </a:ln>
                    <a:extLst>
                      <a:ext uri="{53640926-AAD7-44D8-BBD7-CCE9431645EC}">
                        <a14:shadowObscured xmlns:a14="http://schemas.microsoft.com/office/drawing/2010/main"/>
                      </a:ext>
                    </a:extLst>
                  </pic:spPr>
                </pic:pic>
              </a:graphicData>
            </a:graphic>
          </wp:inline>
        </w:drawing>
      </w:r>
    </w:p>
    <w:p w:rsidR="00556F22" w:rsidRDefault="00556F22" w:rsidP="00D25C96">
      <w:pPr>
        <w:autoSpaceDE w:val="0"/>
        <w:autoSpaceDN w:val="0"/>
        <w:adjustRightInd w:val="0"/>
        <w:spacing w:before="240" w:after="240" w:line="360" w:lineRule="auto"/>
        <w:jc w:val="both"/>
        <w:rPr>
          <w:rFonts w:ascii="Palatino Linotype" w:hAnsi="Palatino Linotype" w:cs="Arial"/>
        </w:rPr>
      </w:pPr>
      <w:r>
        <w:rPr>
          <w:noProof/>
          <w:lang w:val="es-MX" w:eastAsia="es-MX"/>
        </w:rPr>
        <w:drawing>
          <wp:inline distT="0" distB="0" distL="0" distR="0" wp14:anchorId="621DE890" wp14:editId="420D8DBC">
            <wp:extent cx="5361073" cy="1060704"/>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119" t="24933" r="24887" b="67185"/>
                    <a:stretch/>
                  </pic:blipFill>
                  <pic:spPr bwMode="auto">
                    <a:xfrm>
                      <a:off x="0" y="0"/>
                      <a:ext cx="5421861" cy="1072731"/>
                    </a:xfrm>
                    <a:prstGeom prst="rect">
                      <a:avLst/>
                    </a:prstGeom>
                    <a:ln>
                      <a:noFill/>
                    </a:ln>
                    <a:extLst>
                      <a:ext uri="{53640926-AAD7-44D8-BBD7-CCE9431645EC}">
                        <a14:shadowObscured xmlns:a14="http://schemas.microsoft.com/office/drawing/2010/main"/>
                      </a:ext>
                    </a:extLst>
                  </pic:spPr>
                </pic:pic>
              </a:graphicData>
            </a:graphic>
          </wp:inline>
        </w:drawing>
      </w:r>
    </w:p>
    <w:p w:rsidR="00556F22" w:rsidRDefault="00556F22" w:rsidP="00D25C96">
      <w:pPr>
        <w:autoSpaceDE w:val="0"/>
        <w:autoSpaceDN w:val="0"/>
        <w:adjustRightInd w:val="0"/>
        <w:spacing w:before="240" w:after="240" w:line="360" w:lineRule="auto"/>
        <w:jc w:val="both"/>
        <w:rPr>
          <w:rFonts w:ascii="Palatino Linotype" w:hAnsi="Palatino Linotype" w:cs="Arial"/>
        </w:rPr>
      </w:pPr>
      <w:r>
        <w:rPr>
          <w:noProof/>
          <w:lang w:val="es-MX" w:eastAsia="es-MX"/>
        </w:rPr>
        <w:drawing>
          <wp:inline distT="0" distB="0" distL="0" distR="0" wp14:anchorId="79755D56" wp14:editId="268A9392">
            <wp:extent cx="5200518" cy="4791456"/>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986" t="20272" r="23832" b="8395"/>
                    <a:stretch/>
                  </pic:blipFill>
                  <pic:spPr bwMode="auto">
                    <a:xfrm>
                      <a:off x="0" y="0"/>
                      <a:ext cx="5219775" cy="4809198"/>
                    </a:xfrm>
                    <a:prstGeom prst="rect">
                      <a:avLst/>
                    </a:prstGeom>
                    <a:ln>
                      <a:noFill/>
                    </a:ln>
                    <a:extLst>
                      <a:ext uri="{53640926-AAD7-44D8-BBD7-CCE9431645EC}">
                        <a14:shadowObscured xmlns:a14="http://schemas.microsoft.com/office/drawing/2010/main"/>
                      </a:ext>
                    </a:extLst>
                  </pic:spPr>
                </pic:pic>
              </a:graphicData>
            </a:graphic>
          </wp:inline>
        </w:drawing>
      </w:r>
    </w:p>
    <w:p w:rsidR="00556F22" w:rsidRDefault="00556F22" w:rsidP="00D25C96">
      <w:pPr>
        <w:autoSpaceDE w:val="0"/>
        <w:autoSpaceDN w:val="0"/>
        <w:adjustRightInd w:val="0"/>
        <w:spacing w:before="240" w:after="240" w:line="360" w:lineRule="auto"/>
        <w:jc w:val="both"/>
        <w:rPr>
          <w:rFonts w:ascii="Palatino Linotype" w:hAnsi="Palatino Linotype" w:cs="Arial"/>
        </w:rPr>
      </w:pPr>
      <w:r>
        <w:rPr>
          <w:noProof/>
          <w:lang w:val="es-MX" w:eastAsia="es-MX"/>
        </w:rPr>
        <w:lastRenderedPageBreak/>
        <w:drawing>
          <wp:inline distT="0" distB="0" distL="0" distR="0" wp14:anchorId="44E1F777" wp14:editId="20F9102A">
            <wp:extent cx="5397752" cy="72786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588" t="17010" r="27516" b="10959"/>
                    <a:stretch/>
                  </pic:blipFill>
                  <pic:spPr bwMode="auto">
                    <a:xfrm>
                      <a:off x="0" y="0"/>
                      <a:ext cx="5414645" cy="7301403"/>
                    </a:xfrm>
                    <a:prstGeom prst="rect">
                      <a:avLst/>
                    </a:prstGeom>
                    <a:ln>
                      <a:noFill/>
                    </a:ln>
                    <a:extLst>
                      <a:ext uri="{53640926-AAD7-44D8-BBD7-CCE9431645EC}">
                        <a14:shadowObscured xmlns:a14="http://schemas.microsoft.com/office/drawing/2010/main"/>
                      </a:ext>
                    </a:extLst>
                  </pic:spPr>
                </pic:pic>
              </a:graphicData>
            </a:graphic>
          </wp:inline>
        </w:drawing>
      </w:r>
    </w:p>
    <w:p w:rsidR="00556F22" w:rsidRDefault="00556F22" w:rsidP="00D25C96">
      <w:pPr>
        <w:autoSpaceDE w:val="0"/>
        <w:autoSpaceDN w:val="0"/>
        <w:adjustRightInd w:val="0"/>
        <w:spacing w:before="240" w:after="240" w:line="360" w:lineRule="auto"/>
        <w:jc w:val="both"/>
        <w:rPr>
          <w:rFonts w:ascii="Palatino Linotype" w:hAnsi="Palatino Linotype" w:cs="Arial"/>
        </w:rPr>
      </w:pPr>
      <w:r>
        <w:rPr>
          <w:noProof/>
          <w:lang w:val="es-MX" w:eastAsia="es-MX"/>
        </w:rPr>
        <w:lastRenderedPageBreak/>
        <w:drawing>
          <wp:inline distT="0" distB="0" distL="0" distR="0" wp14:anchorId="5FD5802F" wp14:editId="3D4D9BBF">
            <wp:extent cx="5258753" cy="71908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934" t="15145" r="27775" b="17959"/>
                    <a:stretch/>
                  </pic:blipFill>
                  <pic:spPr bwMode="auto">
                    <a:xfrm>
                      <a:off x="0" y="0"/>
                      <a:ext cx="5277638" cy="7216665"/>
                    </a:xfrm>
                    <a:prstGeom prst="rect">
                      <a:avLst/>
                    </a:prstGeom>
                    <a:ln>
                      <a:noFill/>
                    </a:ln>
                    <a:extLst>
                      <a:ext uri="{53640926-AAD7-44D8-BBD7-CCE9431645EC}">
                        <a14:shadowObscured xmlns:a14="http://schemas.microsoft.com/office/drawing/2010/main"/>
                      </a:ext>
                    </a:extLst>
                  </pic:spPr>
                </pic:pic>
              </a:graphicData>
            </a:graphic>
          </wp:inline>
        </w:drawing>
      </w:r>
    </w:p>
    <w:p w:rsidR="00556F22" w:rsidRDefault="00556F22" w:rsidP="00D25C96">
      <w:pPr>
        <w:autoSpaceDE w:val="0"/>
        <w:autoSpaceDN w:val="0"/>
        <w:adjustRightInd w:val="0"/>
        <w:spacing w:before="240" w:after="240" w:line="360" w:lineRule="auto"/>
        <w:jc w:val="both"/>
        <w:rPr>
          <w:rFonts w:ascii="Palatino Linotype" w:hAnsi="Palatino Linotype" w:cs="Arial"/>
        </w:rPr>
      </w:pPr>
      <w:r>
        <w:rPr>
          <w:noProof/>
          <w:lang w:val="es-MX" w:eastAsia="es-MX"/>
        </w:rPr>
        <w:lastRenderedPageBreak/>
        <w:drawing>
          <wp:inline distT="0" distB="0" distL="0" distR="0" wp14:anchorId="0F191C76" wp14:editId="0180882C">
            <wp:extent cx="5566410" cy="10972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330" t="31223" r="25675" b="58520"/>
                    <a:stretch/>
                  </pic:blipFill>
                  <pic:spPr bwMode="auto">
                    <a:xfrm>
                      <a:off x="0" y="0"/>
                      <a:ext cx="5606978" cy="1105277"/>
                    </a:xfrm>
                    <a:prstGeom prst="rect">
                      <a:avLst/>
                    </a:prstGeom>
                    <a:ln>
                      <a:noFill/>
                    </a:ln>
                    <a:extLst>
                      <a:ext uri="{53640926-AAD7-44D8-BBD7-CCE9431645EC}">
                        <a14:shadowObscured xmlns:a14="http://schemas.microsoft.com/office/drawing/2010/main"/>
                      </a:ext>
                    </a:extLst>
                  </pic:spPr>
                </pic:pic>
              </a:graphicData>
            </a:graphic>
          </wp:inline>
        </w:drawing>
      </w:r>
    </w:p>
    <w:p w:rsidR="00EE06D7" w:rsidRPr="00EE06D7" w:rsidRDefault="00556F22" w:rsidP="00EE06D7">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En donde se advierten cada uno de los criterios que debe </w:t>
      </w:r>
      <w:r w:rsidR="00EE06D7">
        <w:rPr>
          <w:rFonts w:ascii="Palatino Linotype" w:hAnsi="Palatino Linotype" w:cs="Arial"/>
        </w:rPr>
        <w:t>publicar</w:t>
      </w:r>
      <w:r>
        <w:rPr>
          <w:rFonts w:ascii="Palatino Linotype" w:hAnsi="Palatino Linotype" w:cs="Arial"/>
        </w:rPr>
        <w:t xml:space="preserve"> el </w:t>
      </w:r>
      <w:r w:rsidR="00EE06D7" w:rsidRPr="00EE06D7">
        <w:rPr>
          <w:rFonts w:ascii="Palatino Linotype" w:hAnsi="Palatino Linotype" w:cs="Arial"/>
          <w:b/>
        </w:rPr>
        <w:t>SUJETO OBLIGADO</w:t>
      </w:r>
      <w:r w:rsidR="00EE06D7">
        <w:rPr>
          <w:rFonts w:ascii="Palatino Linotype" w:hAnsi="Palatino Linotype" w:cs="Arial"/>
        </w:rPr>
        <w:t xml:space="preserve">, para orientar al interesado de un servicio o trámite, en ese caso para obtener el Uso de Suelo; razones por las cuales, lo dable es ordenar </w:t>
      </w:r>
      <w:r w:rsidR="00EE06D7">
        <w:rPr>
          <w:rFonts w:ascii="Palatino Linotype" w:eastAsia="Calibri" w:hAnsi="Palatino Linotype" w:cs="Arial"/>
          <w:lang w:val="es-MX" w:eastAsia="en-US"/>
        </w:rPr>
        <w:t xml:space="preserve">al </w:t>
      </w:r>
      <w:r w:rsidR="00EE06D7" w:rsidRPr="00EE06D7">
        <w:rPr>
          <w:rFonts w:ascii="Palatino Linotype" w:eastAsia="Calibri" w:hAnsi="Palatino Linotype" w:cs="Arial"/>
          <w:b/>
          <w:lang w:val="es-MX" w:eastAsia="en-US"/>
        </w:rPr>
        <w:t>SUJETO OBLIGADO</w:t>
      </w:r>
      <w:r w:rsidR="00EE06D7">
        <w:rPr>
          <w:rFonts w:ascii="Palatino Linotype" w:eastAsia="Calibri" w:hAnsi="Palatino Linotype" w:cs="Arial"/>
          <w:lang w:val="es-MX" w:eastAsia="en-US"/>
        </w:rPr>
        <w:t>, el documento en donde consten el procedimiento para tramitar el documento conocido como Uso de Suelo, vigente al treinta de septiembre del año dos mil veintiuno.</w:t>
      </w:r>
    </w:p>
    <w:p w:rsidR="00EE06D7" w:rsidRDefault="00EE06D7" w:rsidP="00EE06D7">
      <w:pPr>
        <w:spacing w:line="360" w:lineRule="auto"/>
        <w:ind w:right="49"/>
        <w:jc w:val="both"/>
        <w:rPr>
          <w:rFonts w:ascii="Palatino Linotype" w:hAnsi="Palatino Linotype" w:cs="Arial"/>
        </w:rPr>
      </w:pPr>
      <w:r>
        <w:rPr>
          <w:rFonts w:ascii="Palatino Linotype" w:hAnsi="Palatino Linotype" w:cs="Arial"/>
        </w:rPr>
        <w:t xml:space="preserve">Finalmente, </w:t>
      </w:r>
      <w:r w:rsidRPr="002608B8">
        <w:rPr>
          <w:rFonts w:ascii="Palatino Linotype" w:hAnsi="Palatino Linotype" w:cs="Arial"/>
        </w:rPr>
        <w:t xml:space="preserve">como ya se mencionó </w:t>
      </w:r>
      <w:r>
        <w:rPr>
          <w:rFonts w:ascii="Palatino Linotype" w:hAnsi="Palatino Linotype" w:cs="Arial"/>
        </w:rPr>
        <w:t>e</w:t>
      </w:r>
      <w:r w:rsidRPr="00A038F6">
        <w:rPr>
          <w:rFonts w:ascii="Palatino Linotype" w:hAnsi="Palatino Linotype" w:cs="Arial"/>
        </w:rPr>
        <w:t xml:space="preserve">l </w:t>
      </w:r>
      <w:r w:rsidRPr="00A038F6">
        <w:rPr>
          <w:rFonts w:ascii="Palatino Linotype" w:eastAsia="Calibri" w:hAnsi="Palatino Linotype" w:cs="Arial"/>
        </w:rPr>
        <w:t>Sujeto Obligado</w:t>
      </w:r>
      <w:r w:rsidRPr="002608B8">
        <w:rPr>
          <w:rFonts w:ascii="Palatino Linotype" w:eastAsia="Calibri" w:hAnsi="Palatino Linotype" w:cs="Arial"/>
        </w:rPr>
        <w:t>, omitió proporcionar la respuesta a su solicitud de acceso a la información pública, en el término contemplado en el ya citado artículo 163 de la Ley de la materia</w:t>
      </w:r>
      <w:r>
        <w:rPr>
          <w:rFonts w:ascii="Palatino Linotype" w:eastAsia="Calibri" w:hAnsi="Palatino Linotype" w:cs="Arial"/>
        </w:rPr>
        <w:t>,</w:t>
      </w:r>
      <w:r w:rsidRPr="002608B8">
        <w:rPr>
          <w:rFonts w:ascii="Palatino Linotype" w:eastAsia="Calibri" w:hAnsi="Palatino Linotype" w:cs="Arial"/>
        </w:rPr>
        <w:t xml:space="preserve"> razón por la que</w:t>
      </w:r>
      <w:r w:rsidRPr="002608B8">
        <w:rPr>
          <w:rFonts w:ascii="Palatino Linotype" w:hAnsi="Palatino Linotype" w:cs="Arial"/>
        </w:rPr>
        <w:t xml:space="preserve"> </w:t>
      </w:r>
      <w:r w:rsidRPr="002608B8">
        <w:rPr>
          <w:rFonts w:ascii="Palatino Linotype" w:hAnsi="Palatino Linotype" w:cs="Arial"/>
          <w:b/>
        </w:rPr>
        <w:t>se ordena dar vista al Titular de la Contraloría Interna y Órgano de Control y Vigilancia de este Instituto</w:t>
      </w:r>
      <w:r w:rsidRPr="002608B8">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EE06D7" w:rsidRDefault="00EE06D7" w:rsidP="00EE06D7">
      <w:pPr>
        <w:spacing w:line="360" w:lineRule="auto"/>
        <w:ind w:right="49"/>
        <w:jc w:val="both"/>
        <w:rPr>
          <w:rFonts w:ascii="Palatino Linotype" w:eastAsia="Calibri" w:hAnsi="Palatino Linotype" w:cs="Arial"/>
          <w:lang w:val="es-MX" w:eastAsia="en-US"/>
        </w:rPr>
      </w:pPr>
    </w:p>
    <w:p w:rsidR="00D25C96" w:rsidRPr="00911351" w:rsidRDefault="00D25C96" w:rsidP="00D25C96">
      <w:pPr>
        <w:autoSpaceDE w:val="0"/>
        <w:autoSpaceDN w:val="0"/>
        <w:adjustRightInd w:val="0"/>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w:t>
      </w:r>
      <w:r>
        <w:rPr>
          <w:rFonts w:ascii="Palatino Linotype" w:hAnsi="Palatino Linotype" w:cs="Arial"/>
          <w:szCs w:val="22"/>
          <w:lang w:eastAsia="en-US"/>
        </w:rPr>
        <w:lastRenderedPageBreak/>
        <w:t xml:space="preserve">fracción II </w:t>
      </w:r>
      <w:r w:rsidRPr="00911351">
        <w:rPr>
          <w:rFonts w:ascii="Palatino Linotype" w:hAnsi="Palatino Linotype" w:cs="Arial"/>
        </w:rPr>
        <w:t>de la Ley de Transparencia y Acceso a la Información Pública del Estado de México y Municipios, este Pleno:</w:t>
      </w:r>
    </w:p>
    <w:p w:rsidR="00D25C96" w:rsidRPr="00385EEC" w:rsidRDefault="00D25C96" w:rsidP="00D25C96">
      <w:pPr>
        <w:spacing w:before="240" w:after="240" w:line="360" w:lineRule="auto"/>
        <w:ind w:left="360"/>
        <w:contextualSpacing/>
        <w:jc w:val="center"/>
        <w:rPr>
          <w:rFonts w:ascii="Palatino Linotype" w:hAnsi="Palatino Linotype" w:cs="Arial"/>
          <w:b/>
        </w:rPr>
      </w:pPr>
      <w:r>
        <w:rPr>
          <w:rFonts w:ascii="Palatino Linotype" w:hAnsi="Palatino Linotype" w:cs="Arial"/>
          <w:b/>
        </w:rPr>
        <w:t>III.</w:t>
      </w:r>
      <w:r w:rsidRPr="00385EEC">
        <w:rPr>
          <w:rFonts w:ascii="Palatino Linotype" w:hAnsi="Palatino Linotype" w:cs="Arial"/>
          <w:b/>
        </w:rPr>
        <w:t>R E S U E L V E:</w:t>
      </w:r>
    </w:p>
    <w:p w:rsidR="00EE06D7" w:rsidRPr="00311965" w:rsidRDefault="00EE06D7" w:rsidP="00EE06D7">
      <w:pPr>
        <w:spacing w:before="240" w:after="240" w:line="360" w:lineRule="auto"/>
        <w:jc w:val="both"/>
        <w:rPr>
          <w:rFonts w:ascii="Palatino Linotype" w:hAnsi="Palatino Linotype" w:cs="Arial"/>
          <w:b/>
        </w:rPr>
      </w:pPr>
      <w:r w:rsidRPr="00311965">
        <w:rPr>
          <w:rFonts w:ascii="Palatino Linotype" w:hAnsi="Palatino Linotype" w:cs="Arial"/>
          <w:b/>
        </w:rPr>
        <w:t xml:space="preserve">Primero.- </w:t>
      </w:r>
      <w:r>
        <w:rPr>
          <w:rFonts w:ascii="Palatino Linotype" w:hAnsi="Palatino Linotype"/>
        </w:rPr>
        <w:t>Resultan</w:t>
      </w:r>
      <w:r w:rsidRPr="00311965">
        <w:rPr>
          <w:rFonts w:ascii="Palatino Linotype" w:hAnsi="Palatino Linotype"/>
        </w:rPr>
        <w:t xml:space="preserve"> </w:t>
      </w:r>
      <w:r>
        <w:rPr>
          <w:rFonts w:ascii="Palatino Linotype" w:hAnsi="Palatino Linotype" w:cs="Arial"/>
          <w:b/>
        </w:rPr>
        <w:t>fundado</w:t>
      </w:r>
      <w:r w:rsidRPr="00311965">
        <w:rPr>
          <w:rFonts w:ascii="Palatino Linotype" w:hAnsi="Palatino Linotype" w:cs="Arial"/>
          <w:b/>
        </w:rPr>
        <w:t>s</w:t>
      </w:r>
      <w:r>
        <w:rPr>
          <w:rFonts w:ascii="Palatino Linotype" w:hAnsi="Palatino Linotype" w:cs="Arial"/>
        </w:rPr>
        <w:t xml:space="preserve"> lo</w:t>
      </w:r>
      <w:r w:rsidRPr="00311965">
        <w:rPr>
          <w:rFonts w:ascii="Palatino Linotype" w:hAnsi="Palatino Linotype" w:cs="Arial"/>
        </w:rPr>
        <w:t xml:space="preserve">s </w:t>
      </w:r>
      <w:r>
        <w:rPr>
          <w:rFonts w:ascii="Palatino Linotype" w:hAnsi="Palatino Linotype" w:cs="Arial"/>
        </w:rPr>
        <w:t>motivos de inconformidad planteados por el</w:t>
      </w:r>
      <w:r w:rsidRPr="00311965">
        <w:rPr>
          <w:rFonts w:ascii="Palatino Linotype" w:hAnsi="Palatino Linotype" w:cs="Arial"/>
          <w:b/>
        </w:rPr>
        <w:t xml:space="preserve"> RECURRENTE</w:t>
      </w:r>
      <w:r>
        <w:rPr>
          <w:rFonts w:ascii="Palatino Linotype" w:hAnsi="Palatino Linotype" w:cs="Arial"/>
          <w:b/>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05254/INFOEM/IP/RR/2021, </w:t>
      </w:r>
      <w:r>
        <w:rPr>
          <w:rFonts w:ascii="Palatino Linotype" w:hAnsi="Palatino Linotype" w:cs="Arial"/>
          <w:lang w:val="es-MX"/>
        </w:rPr>
        <w:t>en términos del c</w:t>
      </w:r>
      <w:r w:rsidRPr="00311965">
        <w:rPr>
          <w:rFonts w:ascii="Palatino Linotype" w:hAnsi="Palatino Linotype" w:cs="Arial"/>
          <w:lang w:val="es-MX"/>
        </w:rPr>
        <w:t xml:space="preserve">onsiderando </w:t>
      </w:r>
      <w:r>
        <w:rPr>
          <w:rFonts w:ascii="Palatino Linotype" w:hAnsi="Palatino Linotype" w:cs="Arial"/>
          <w:b/>
          <w:lang w:val="es-MX"/>
        </w:rPr>
        <w:t>CUARTO</w:t>
      </w:r>
      <w:r w:rsidRPr="00311965">
        <w:rPr>
          <w:rFonts w:ascii="Palatino Linotype" w:hAnsi="Palatino Linotype" w:cs="Arial"/>
          <w:lang w:val="es-MX"/>
        </w:rPr>
        <w:t xml:space="preserve"> de esta Resolución</w:t>
      </w:r>
      <w:r>
        <w:rPr>
          <w:rFonts w:ascii="Palatino Linotype" w:hAnsi="Palatino Linotype" w:cs="Arial"/>
          <w:lang w:val="es-MX"/>
        </w:rPr>
        <w:t>.</w:t>
      </w:r>
    </w:p>
    <w:p w:rsidR="00EE06D7" w:rsidRDefault="00EE06D7" w:rsidP="00EE06D7">
      <w:pPr>
        <w:spacing w:before="240" w:after="240" w:line="360" w:lineRule="auto"/>
        <w:contextualSpacing/>
        <w:jc w:val="both"/>
        <w:rPr>
          <w:rFonts w:ascii="Palatino Linotype" w:hAnsi="Palatino Linotype"/>
        </w:rPr>
      </w:pPr>
      <w:r w:rsidRPr="0091135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Pr="00911351">
        <w:rPr>
          <w:rFonts w:ascii="Palatino Linotype" w:hAnsi="Palatino Linotype"/>
          <w:b/>
        </w:rPr>
        <w:t>SUJETO OBLIGADO</w:t>
      </w:r>
      <w:r w:rsidRPr="00911351">
        <w:rPr>
          <w:rFonts w:ascii="Palatino Linotype" w:hAnsi="Palatino Linotype"/>
        </w:rPr>
        <w:t xml:space="preserve"> a que</w:t>
      </w:r>
      <w:r w:rsidRPr="00911351">
        <w:rPr>
          <w:rFonts w:ascii="Palatino Linotype" w:hAnsi="Palatino Linotype"/>
          <w:b/>
        </w:rPr>
        <w:t xml:space="preserve"> </w:t>
      </w:r>
      <w:r>
        <w:rPr>
          <w:rFonts w:ascii="Palatino Linotype" w:hAnsi="Palatino Linotype"/>
        </w:rPr>
        <w:t>en términos del</w:t>
      </w:r>
      <w:r w:rsidR="007F4BBB">
        <w:rPr>
          <w:rFonts w:ascii="Palatino Linotype" w:hAnsi="Palatino Linotype"/>
        </w:rPr>
        <w:t xml:space="preserve"> Considerando</w:t>
      </w:r>
      <w:r w:rsidRPr="00911351">
        <w:rPr>
          <w:rFonts w:ascii="Palatino Linotype" w:hAnsi="Palatino Linotype"/>
        </w:rPr>
        <w:t xml:space="preserve"> Cuart</w:t>
      </w:r>
      <w:r>
        <w:rPr>
          <w:rFonts w:ascii="Palatino Linotype" w:hAnsi="Palatino Linotype"/>
        </w:rPr>
        <w:t>o,</w:t>
      </w:r>
      <w:r w:rsidRPr="00911351">
        <w:rPr>
          <w:rFonts w:ascii="Palatino Linotype" w:hAnsi="Palatino Linotype"/>
        </w:rPr>
        <w:t xml:space="preserve"> haga entrega vía SAIMEX, de</w:t>
      </w:r>
      <w:r>
        <w:rPr>
          <w:rFonts w:ascii="Palatino Linotype" w:hAnsi="Palatino Linotype"/>
        </w:rPr>
        <w:t>l documento en donde conste,</w:t>
      </w:r>
      <w:r w:rsidRPr="00911351">
        <w:rPr>
          <w:rFonts w:ascii="Palatino Linotype" w:hAnsi="Palatino Linotype"/>
        </w:rPr>
        <w:t xml:space="preserve"> lo siguiente:</w:t>
      </w:r>
    </w:p>
    <w:p w:rsidR="00EE06D7" w:rsidRPr="007F4BBB" w:rsidRDefault="00EE06D7" w:rsidP="00EE06D7">
      <w:pPr>
        <w:pStyle w:val="Prrafodelista"/>
        <w:numPr>
          <w:ilvl w:val="0"/>
          <w:numId w:val="22"/>
        </w:numPr>
        <w:autoSpaceDE w:val="0"/>
        <w:autoSpaceDN w:val="0"/>
        <w:adjustRightInd w:val="0"/>
        <w:spacing w:before="240" w:after="240" w:line="360" w:lineRule="auto"/>
        <w:jc w:val="both"/>
        <w:rPr>
          <w:rFonts w:ascii="Palatino Linotype" w:hAnsi="Palatino Linotype" w:cs="Arial"/>
          <w:sz w:val="24"/>
          <w:szCs w:val="24"/>
          <w:lang w:eastAsia="es-ES"/>
        </w:rPr>
      </w:pPr>
      <w:r w:rsidRPr="007F4BBB">
        <w:rPr>
          <w:rFonts w:ascii="Palatino Linotype" w:eastAsia="Calibri" w:hAnsi="Palatino Linotype" w:cs="Arial"/>
          <w:sz w:val="24"/>
          <w:szCs w:val="24"/>
          <w:lang w:val="es-MX"/>
        </w:rPr>
        <w:t>El procedimiento para tramitar el documento conocido como Uso de Suelo, vigente al treinta de septiembre del año dos mil veintiuno.</w:t>
      </w:r>
    </w:p>
    <w:p w:rsidR="00EE06D7" w:rsidRPr="008F56F5" w:rsidRDefault="00EE06D7" w:rsidP="00EE06D7">
      <w:pPr>
        <w:autoSpaceDE w:val="0"/>
        <w:autoSpaceDN w:val="0"/>
        <w:adjustRightInd w:val="0"/>
        <w:spacing w:before="240" w:after="240" w:line="360" w:lineRule="auto"/>
        <w:ind w:right="49"/>
        <w:jc w:val="both"/>
        <w:rPr>
          <w:rFonts w:ascii="Palatino Linotype" w:hAnsi="Palatino Linotype"/>
        </w:rPr>
      </w:pPr>
      <w:r>
        <w:rPr>
          <w:rFonts w:ascii="Palatino Linotype" w:hAnsi="Palatino Linotype" w:cs="Arial"/>
          <w:b/>
          <w:bCs/>
          <w:shd w:val="clear" w:color="auto" w:fill="FFFFFF"/>
        </w:rPr>
        <w:t xml:space="preserve">Tercero. </w:t>
      </w:r>
      <w:r w:rsidRPr="00504EB5">
        <w:rPr>
          <w:rFonts w:ascii="Palatino Linotype" w:hAnsi="Palatino Linotype" w:cs="Arial"/>
          <w:b/>
          <w:bCs/>
          <w:shd w:val="clear" w:color="auto" w:fill="FFFFFF"/>
        </w:rPr>
        <w:t>Notifíquese</w:t>
      </w:r>
      <w:r w:rsidRPr="00504EB5">
        <w:rPr>
          <w:rFonts w:ascii="Palatino Linotype" w:hAnsi="Palatino Linotype" w:cs="Arial"/>
          <w:b/>
          <w:bCs/>
          <w:iCs/>
          <w:shd w:val="clear" w:color="auto" w:fill="FFFFFF"/>
        </w:rPr>
        <w:t xml:space="preserve"> vía SAIMEX</w:t>
      </w:r>
      <w:r>
        <w:rPr>
          <w:rFonts w:ascii="Palatino Linotype" w:hAnsi="Palatino Linotype" w:cs="Arial"/>
          <w:b/>
          <w:bCs/>
          <w:i/>
          <w:iCs/>
          <w:shd w:val="clear" w:color="auto" w:fill="FFFFFF"/>
        </w:rPr>
        <w:t xml:space="preserve">, </w:t>
      </w:r>
      <w:r w:rsidRPr="009D61C6">
        <w:rPr>
          <w:rFonts w:ascii="Palatino Linotype" w:hAnsi="Palatino Linotype"/>
          <w:shd w:val="clear" w:color="auto" w:fill="FFFFFF"/>
        </w:rPr>
        <w:t>al Responsable de la Unidad de Transparencia del</w:t>
      </w:r>
      <w:r>
        <w:rPr>
          <w:rFonts w:ascii="Palatino Linotype" w:hAnsi="Palatino Linotype"/>
          <w:bCs/>
          <w:shd w:val="clear" w:color="auto" w:fill="FFFFFF"/>
        </w:rPr>
        <w:t xml:space="preserve"> </w:t>
      </w:r>
      <w:r w:rsidRPr="009D61C6">
        <w:rPr>
          <w:rFonts w:ascii="Palatino Linotype" w:hAnsi="Palatino Linotype"/>
          <w:bCs/>
          <w:shd w:val="clear" w:color="auto" w:fill="FFFFFF"/>
        </w:rPr>
        <w:t>Sujeto Obligado</w:t>
      </w:r>
      <w:r w:rsidRPr="009D61C6">
        <w:rPr>
          <w:rFonts w:ascii="Palatino Linotype" w:hAnsi="Palatino Linotype"/>
          <w:shd w:val="clear" w:color="auto" w:fill="FFFFFF"/>
        </w:rPr>
        <w:t xml:space="preserve">, para que </w:t>
      </w:r>
      <w:r>
        <w:rPr>
          <w:rFonts w:ascii="Palatino Linotype" w:hAnsi="Palatino Linotype"/>
          <w:shd w:val="clear" w:color="auto" w:fill="FFFFFF"/>
        </w:rPr>
        <w:t>conforme a los</w:t>
      </w:r>
      <w:r w:rsidRPr="009D61C6">
        <w:rPr>
          <w:rFonts w:ascii="Palatino Linotype" w:hAnsi="Palatino Linotype"/>
          <w:shd w:val="clear" w:color="auto" w:fill="FFFFFF"/>
        </w:rPr>
        <w:t xml:space="preserve"> artículo</w:t>
      </w:r>
      <w:r>
        <w:rPr>
          <w:rFonts w:ascii="Palatino Linotype" w:hAnsi="Palatino Linotype"/>
          <w:shd w:val="clear" w:color="auto" w:fill="FFFFFF"/>
        </w:rPr>
        <w:t>s</w:t>
      </w:r>
      <w:r w:rsidRPr="009D61C6">
        <w:rPr>
          <w:rFonts w:ascii="Palatino Linotype" w:hAnsi="Palatino Linotype"/>
          <w:shd w:val="clear" w:color="auto" w:fill="FFFFFF"/>
        </w:rPr>
        <w:t xml:space="preserve"> 186, último párrafo y 189, párrafo segundo de la Ley de Transparencia y Acceso a la Información Pública de</w:t>
      </w:r>
      <w:r>
        <w:rPr>
          <w:rFonts w:ascii="Palatino Linotype" w:hAnsi="Palatino Linotype"/>
          <w:shd w:val="clear" w:color="auto" w:fill="FFFFFF"/>
        </w:rPr>
        <w:t xml:space="preserve">l Estado de México y Municipios, y a lo acordado en la presenta sesión; </w:t>
      </w:r>
      <w:r w:rsidRPr="009D61C6">
        <w:rPr>
          <w:rFonts w:ascii="Palatino Linotype" w:hAnsi="Palatino Linotype"/>
          <w:shd w:val="clear" w:color="auto" w:fill="FFFFFF"/>
        </w:rPr>
        <w:t>dé cumplimiento a lo o</w:t>
      </w:r>
      <w:r>
        <w:rPr>
          <w:rFonts w:ascii="Palatino Linotype" w:hAnsi="Palatino Linotype"/>
          <w:shd w:val="clear" w:color="auto" w:fill="FFFFFF"/>
        </w:rPr>
        <w:t xml:space="preserve">rdenado dentro del </w:t>
      </w:r>
      <w:r w:rsidRPr="004068DC">
        <w:rPr>
          <w:rFonts w:ascii="Palatino Linotype" w:hAnsi="Palatino Linotype"/>
          <w:shd w:val="clear" w:color="auto" w:fill="FFFFFF"/>
        </w:rPr>
        <w:t>plazo de diez días hábiles, debiendo</w:t>
      </w:r>
      <w:r w:rsidRPr="009D61C6">
        <w:rPr>
          <w:rFonts w:ascii="Palatino Linotype" w:hAnsi="Palatino Linotype"/>
          <w:shd w:val="clear" w:color="auto" w:fill="FFFFFF"/>
        </w:rPr>
        <w:t xml:space="preserve"> informar a este Instituto en un plazo de tres días hábiles siguientes sobre el cumplimiento dado a la presente resolución.</w:t>
      </w:r>
    </w:p>
    <w:p w:rsidR="00EE06D7" w:rsidRDefault="00EE06D7" w:rsidP="00EE06D7">
      <w:pPr>
        <w:spacing w:after="240" w:line="360" w:lineRule="auto"/>
        <w:jc w:val="both"/>
        <w:rPr>
          <w:rFonts w:ascii="Palatino Linotype" w:eastAsia="Palatino Linotype" w:hAnsi="Palatino Linotype" w:cs="Palatino Linotype"/>
        </w:rPr>
      </w:pPr>
      <w:r w:rsidRPr="0057013E">
        <w:rPr>
          <w:rFonts w:ascii="Palatino Linotype" w:hAnsi="Palatino Linotype" w:cs="Arial"/>
          <w:b/>
          <w:bCs/>
        </w:rPr>
        <w:t>Cuarto.</w:t>
      </w:r>
      <w:r>
        <w:rPr>
          <w:rFonts w:ascii="Palatino Linotype" w:hAnsi="Palatino Linotype" w:cs="Arial"/>
          <w:bCs/>
        </w:rPr>
        <w:t xml:space="preserve"> </w:t>
      </w:r>
      <w:r>
        <w:rPr>
          <w:rFonts w:ascii="Palatino Linotype" w:eastAsia="Palatino Linotype" w:hAnsi="Palatino Linotype" w:cs="Palatino Linotype"/>
          <w:b/>
        </w:rPr>
        <w:t>Notifíquese</w:t>
      </w:r>
      <w:r>
        <w:rPr>
          <w:rFonts w:ascii="Palatino Linotype" w:hAnsi="Palatino Linotype" w:cs="Arial"/>
        </w:rPr>
        <w:t xml:space="preserve"> </w:t>
      </w:r>
      <w:r w:rsidRPr="007F62AF">
        <w:rPr>
          <w:rFonts w:ascii="Palatino Linotype" w:eastAsia="Palatino Linotype" w:hAnsi="Palatino Linotype" w:cs="Palatino Linotype"/>
        </w:rPr>
        <w:t>al</w:t>
      </w:r>
      <w:r>
        <w:rPr>
          <w:rFonts w:ascii="Palatino Linotype" w:eastAsia="Palatino Linotype" w:hAnsi="Palatino Linotype" w:cs="Palatino Linotype"/>
        </w:rPr>
        <w:t xml:space="preserve"> recurrente a través del SAIMEX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w:t>
      </w:r>
      <w:r>
        <w:rPr>
          <w:rFonts w:ascii="Palatino Linotype" w:eastAsia="Palatino Linotype" w:hAnsi="Palatino Linotype" w:cs="Palatino Linotype"/>
        </w:rPr>
        <w:lastRenderedPageBreak/>
        <w:t>Municipios, en caso de que considere que le causa algún perjuicio podrá impugnarla vía Juicio de Amparo en los términos de las leyes aplicables.</w:t>
      </w:r>
    </w:p>
    <w:p w:rsidR="00EE06D7" w:rsidRDefault="00EE06D7" w:rsidP="00EE06D7">
      <w:pPr>
        <w:spacing w:before="240" w:after="240" w:line="360" w:lineRule="auto"/>
        <w:ind w:right="49"/>
        <w:jc w:val="both"/>
        <w:rPr>
          <w:rFonts w:ascii="Palatino Linotype" w:hAnsi="Palatino Linotype"/>
          <w:color w:val="222222"/>
          <w:lang w:eastAsia="es-MX"/>
        </w:rPr>
      </w:pPr>
      <w:r>
        <w:rPr>
          <w:rFonts w:ascii="Palatino Linotype" w:hAnsi="Palatino Linotype"/>
          <w:b/>
        </w:rPr>
        <w:t xml:space="preserve">Quinto. </w:t>
      </w:r>
      <w:r>
        <w:rPr>
          <w:rFonts w:ascii="Palatino Linotype" w:hAnsi="Palatino Linotype"/>
          <w:b/>
          <w:color w:val="222222"/>
          <w:szCs w:val="17"/>
          <w:lang w:eastAsia="es-ES_tradnl"/>
        </w:rPr>
        <w:t>Notifíquese</w:t>
      </w:r>
      <w:r w:rsidRPr="002F2EFA">
        <w:rPr>
          <w:rFonts w:ascii="Palatino Linotype" w:hAnsi="Palatino Linotype"/>
          <w:b/>
          <w:color w:val="222222"/>
          <w:szCs w:val="17"/>
          <w:lang w:eastAsia="es-ES_tradnl"/>
        </w:rPr>
        <w:t xml:space="preserve"> </w:t>
      </w:r>
      <w:r>
        <w:rPr>
          <w:rFonts w:ascii="Palatino Linotype" w:hAnsi="Palatino Linotype"/>
          <w:b/>
          <w:color w:val="222222"/>
          <w:szCs w:val="17"/>
          <w:lang w:eastAsia="es-ES_tradnl"/>
        </w:rPr>
        <w:t>vía</w:t>
      </w:r>
      <w:r w:rsidRPr="00504EB5">
        <w:rPr>
          <w:rFonts w:ascii="Palatino Linotype" w:hAnsi="Palatino Linotype" w:cs="Arial"/>
          <w:b/>
          <w:bCs/>
          <w:iCs/>
          <w:shd w:val="clear" w:color="auto" w:fill="FFFFFF"/>
        </w:rPr>
        <w:t xml:space="preserve"> SAIMEX</w:t>
      </w:r>
      <w:r>
        <w:rPr>
          <w:rFonts w:ascii="Palatino Linotype" w:hAnsi="Palatino Linotype"/>
          <w:b/>
          <w:color w:val="222222"/>
          <w:szCs w:val="17"/>
          <w:lang w:eastAsia="es-ES_tradnl"/>
        </w:rPr>
        <w:t>,</w:t>
      </w:r>
      <w:r w:rsidRPr="002F2EFA">
        <w:rPr>
          <w:rFonts w:ascii="Palatino Linotype" w:hAnsi="Palatino Linotype"/>
          <w:b/>
          <w:color w:val="222222"/>
          <w:szCs w:val="17"/>
          <w:lang w:eastAsia="es-ES_tradnl"/>
        </w:rPr>
        <w:t xml:space="preserve"> </w:t>
      </w:r>
      <w:r w:rsidRPr="002F2EFA">
        <w:rPr>
          <w:rFonts w:ascii="Palatino Linotype" w:hAnsi="Palatino Linotype"/>
          <w:color w:val="222222"/>
          <w:szCs w:val="17"/>
          <w:lang w:eastAsia="es-ES_tradnl"/>
        </w:rPr>
        <w:t xml:space="preserve">que la respuesta que dé </w:t>
      </w:r>
      <w:r w:rsidRPr="002F2EFA">
        <w:rPr>
          <w:rFonts w:ascii="Palatino Linotype" w:hAnsi="Palatino Linotype"/>
          <w:b/>
          <w:color w:val="222222"/>
          <w:szCs w:val="17"/>
          <w:lang w:eastAsia="es-ES_tradnl"/>
        </w:rPr>
        <w:t>EL SUJETO OBLIGADO</w:t>
      </w:r>
      <w:r w:rsidRPr="002F2EFA">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Pr="002F2EFA">
        <w:rPr>
          <w:rFonts w:ascii="Palatino Linotype" w:hAnsi="Palatino Linotype"/>
          <w:color w:val="222222"/>
          <w:lang w:eastAsia="es-MX"/>
        </w:rPr>
        <w:t>de Transparencia y Acceso a la Información Pública del Estado de México y Municipios</w:t>
      </w:r>
      <w:r>
        <w:rPr>
          <w:rFonts w:ascii="Palatino Linotype" w:hAnsi="Palatino Linotype"/>
          <w:color w:val="222222"/>
          <w:lang w:eastAsia="es-MX"/>
        </w:rPr>
        <w:t>.</w:t>
      </w:r>
    </w:p>
    <w:p w:rsidR="00EE06D7" w:rsidRPr="00B738D6" w:rsidRDefault="00EE06D7" w:rsidP="00EE06D7">
      <w:pPr>
        <w:spacing w:before="240" w:after="240" w:line="360" w:lineRule="auto"/>
        <w:ind w:right="49"/>
        <w:jc w:val="both"/>
        <w:rPr>
          <w:rFonts w:ascii="Palatino Linotype" w:hAnsi="Palatino Linotype"/>
          <w:color w:val="222222"/>
          <w:szCs w:val="17"/>
          <w:lang w:eastAsia="es-ES_tradnl"/>
        </w:rPr>
      </w:pPr>
      <w:r>
        <w:rPr>
          <w:rFonts w:ascii="Palatino Linotype" w:hAnsi="Palatino Linotype"/>
          <w:b/>
          <w:color w:val="222222"/>
          <w:szCs w:val="17"/>
          <w:lang w:eastAsia="es-ES_tradnl"/>
        </w:rPr>
        <w:t>Sexto</w:t>
      </w:r>
      <w:r w:rsidRPr="00B738D6">
        <w:rPr>
          <w:rFonts w:ascii="Palatino Linotype" w:hAnsi="Palatino Linotype"/>
          <w:b/>
          <w:color w:val="222222"/>
          <w:szCs w:val="17"/>
          <w:lang w:eastAsia="es-ES_tradnl"/>
        </w:rPr>
        <w:t>.</w:t>
      </w:r>
      <w:r>
        <w:rPr>
          <w:rFonts w:ascii="Palatino Linotype" w:hAnsi="Palatino Linotype"/>
          <w:color w:val="222222"/>
          <w:szCs w:val="17"/>
          <w:lang w:eastAsia="es-ES_tradnl"/>
        </w:rPr>
        <w:t xml:space="preserve"> </w:t>
      </w:r>
      <w:r w:rsidRPr="00B738D6">
        <w:rPr>
          <w:rFonts w:ascii="Palatino Linotype" w:hAnsi="Palatino Linotype"/>
          <w:color w:val="222222"/>
          <w:szCs w:val="17"/>
          <w:lang w:eastAsia="es-ES_tradnl"/>
        </w:rPr>
        <w:t>Con fundamento en el artículo 198 de la Ley de Transparencia y</w:t>
      </w:r>
      <w:r>
        <w:rPr>
          <w:rFonts w:ascii="Palatino Linotype" w:hAnsi="Palatino Linotype"/>
          <w:color w:val="222222"/>
          <w:szCs w:val="17"/>
          <w:lang w:eastAsia="es-ES_tradnl"/>
        </w:rPr>
        <w:t xml:space="preserve"> </w:t>
      </w:r>
      <w:r w:rsidRPr="00B738D6">
        <w:rPr>
          <w:rFonts w:ascii="Palatino Linotype" w:hAnsi="Palatino Linotype"/>
          <w:color w:val="222222"/>
          <w:szCs w:val="17"/>
          <w:lang w:eastAsia="es-ES_tradnl"/>
        </w:rPr>
        <w:t>Acceso a la Información Pública del Estado de México y Municipios, se apercibe</w:t>
      </w:r>
      <w:r>
        <w:rPr>
          <w:rFonts w:ascii="Palatino Linotype" w:hAnsi="Palatino Linotype"/>
          <w:color w:val="222222"/>
          <w:szCs w:val="17"/>
          <w:lang w:eastAsia="es-ES_tradnl"/>
        </w:rPr>
        <w:t xml:space="preserve"> </w:t>
      </w:r>
      <w:r w:rsidRPr="00B738D6">
        <w:rPr>
          <w:rFonts w:ascii="Palatino Linotype" w:hAnsi="Palatino Linotype"/>
          <w:color w:val="222222"/>
          <w:szCs w:val="17"/>
          <w:lang w:eastAsia="es-ES_tradnl"/>
        </w:rPr>
        <w:t xml:space="preserve">al </w:t>
      </w:r>
      <w:r w:rsidRPr="00B738D6">
        <w:rPr>
          <w:rFonts w:ascii="Palatino Linotype" w:hAnsi="Palatino Linotype"/>
          <w:b/>
          <w:color w:val="222222"/>
          <w:szCs w:val="17"/>
          <w:lang w:eastAsia="es-ES_tradnl"/>
        </w:rPr>
        <w:t>Sujeto Obligado</w:t>
      </w:r>
      <w:r w:rsidRPr="00B738D6">
        <w:rPr>
          <w:rFonts w:ascii="Palatino Linotype" w:hAnsi="Palatino Linotype"/>
          <w:color w:val="222222"/>
          <w:szCs w:val="17"/>
          <w:lang w:eastAsia="es-ES_tradnl"/>
        </w:rPr>
        <w:t xml:space="preserve"> de que, en caso de incumplimiento total o parcial de la</w:t>
      </w:r>
      <w:r>
        <w:rPr>
          <w:rFonts w:ascii="Palatino Linotype" w:hAnsi="Palatino Linotype"/>
          <w:color w:val="222222"/>
          <w:szCs w:val="17"/>
          <w:lang w:eastAsia="es-ES_tradnl"/>
        </w:rPr>
        <w:t xml:space="preserve"> </w:t>
      </w:r>
      <w:r w:rsidRPr="00B738D6">
        <w:rPr>
          <w:rFonts w:ascii="Palatino Linotype" w:hAnsi="Palatino Linotype"/>
          <w:color w:val="222222"/>
          <w:szCs w:val="17"/>
          <w:lang w:eastAsia="es-ES_tradnl"/>
        </w:rPr>
        <w:t>presente resolución, se actuará de conformidad con lo dispuesto en los artículos</w:t>
      </w:r>
      <w:r>
        <w:rPr>
          <w:rFonts w:ascii="Palatino Linotype" w:hAnsi="Palatino Linotype"/>
          <w:color w:val="222222"/>
          <w:szCs w:val="17"/>
          <w:lang w:eastAsia="es-ES_tradnl"/>
        </w:rPr>
        <w:t xml:space="preserve"> </w:t>
      </w:r>
      <w:r w:rsidRPr="00B738D6">
        <w:rPr>
          <w:rFonts w:ascii="Palatino Linotype" w:hAnsi="Palatino Linotype"/>
          <w:color w:val="222222"/>
          <w:szCs w:val="17"/>
          <w:lang w:eastAsia="es-ES_tradnl"/>
        </w:rPr>
        <w:t>213, 214, 215, 216 y 217 de la ley en cita.</w:t>
      </w:r>
    </w:p>
    <w:p w:rsidR="00EE06D7" w:rsidRDefault="00EE06D7" w:rsidP="00EE06D7">
      <w:pPr>
        <w:spacing w:line="360" w:lineRule="auto"/>
        <w:ind w:right="49"/>
        <w:jc w:val="both"/>
        <w:rPr>
          <w:rFonts w:ascii="Palatino Linotype" w:eastAsia="MS Mincho" w:hAnsi="Palatino Linotype" w:cs="Arial"/>
          <w:bCs/>
          <w:shd w:val="clear" w:color="auto" w:fill="FFFFFF"/>
        </w:rPr>
      </w:pPr>
      <w:r>
        <w:rPr>
          <w:rFonts w:ascii="Palatino Linotype" w:hAnsi="Palatino Linotype"/>
          <w:b/>
        </w:rPr>
        <w:t>Séptimo</w:t>
      </w:r>
      <w:r w:rsidRPr="00D269C9">
        <w:rPr>
          <w:rFonts w:ascii="Palatino Linotype" w:hAnsi="Palatino Linotype"/>
          <w:b/>
        </w:rPr>
        <w:t>.</w:t>
      </w:r>
      <w:r w:rsidRPr="00D269C9">
        <w:rPr>
          <w:rFonts w:ascii="Palatino Linotype" w:eastAsia="MS Mincho" w:hAnsi="Palatino Linotype" w:cs="Arial"/>
          <w:b/>
          <w:bCs/>
          <w:shd w:val="clear" w:color="auto" w:fill="FFFFFF"/>
          <w:lang w:val="es-ES_tradnl"/>
        </w:rPr>
        <w:t xml:space="preserve"> </w:t>
      </w:r>
      <w:r w:rsidRPr="00D269C9">
        <w:rPr>
          <w:rFonts w:ascii="Palatino Linotype" w:eastAsia="MS Mincho" w:hAnsi="Palatino Linotype" w:cs="Arial"/>
          <w:b/>
          <w:bCs/>
          <w:shd w:val="clear" w:color="auto" w:fill="FFFFFF"/>
        </w:rPr>
        <w:t>Gírese</w:t>
      </w:r>
      <w:r w:rsidRPr="00D269C9">
        <w:rPr>
          <w:rFonts w:ascii="Palatino Linotype" w:eastAsia="MS Mincho" w:hAnsi="Palatino Linotype" w:cs="Arial"/>
          <w:bCs/>
          <w:shd w:val="clear" w:color="auto" w:fill="FFFFFF"/>
        </w:rPr>
        <w:t xml:space="preserve"> oficio al Contralor Interno de este Instituto para que actúe en razón de su competencia, en términos de lo expuesto en el Considerando </w:t>
      </w:r>
      <w:r>
        <w:rPr>
          <w:rFonts w:ascii="Palatino Linotype" w:eastAsia="MS Mincho" w:hAnsi="Palatino Linotype" w:cs="Arial"/>
          <w:bCs/>
          <w:shd w:val="clear" w:color="auto" w:fill="FFFFFF"/>
        </w:rPr>
        <w:t xml:space="preserve">Cuarto </w:t>
      </w:r>
      <w:r w:rsidRPr="00D269C9">
        <w:rPr>
          <w:rFonts w:ascii="Palatino Linotype" w:eastAsia="MS Mincho" w:hAnsi="Palatino Linotype" w:cs="Arial"/>
          <w:bCs/>
          <w:shd w:val="clear" w:color="auto" w:fill="FFFFFF"/>
        </w:rPr>
        <w:t>de la presente resolución.</w:t>
      </w:r>
    </w:p>
    <w:p w:rsidR="00EE06D7" w:rsidRDefault="00EE06D7" w:rsidP="00EE06D7">
      <w:pPr>
        <w:spacing w:line="360" w:lineRule="auto"/>
        <w:ind w:right="49"/>
        <w:jc w:val="both"/>
        <w:rPr>
          <w:rFonts w:ascii="Palatino Linotype" w:eastAsia="MS Mincho" w:hAnsi="Palatino Linotype" w:cs="Arial"/>
          <w:bCs/>
          <w:shd w:val="clear" w:color="auto" w:fill="FFFFFF"/>
        </w:rPr>
      </w:pPr>
    </w:p>
    <w:p w:rsidR="00D25C96" w:rsidRDefault="00D25C96" w:rsidP="00EE06D7">
      <w:pPr>
        <w:spacing w:line="360" w:lineRule="auto"/>
        <w:ind w:right="49"/>
        <w:jc w:val="both"/>
        <w:rPr>
          <w:rFonts w:ascii="Palatino Linotype" w:hAnsi="Palatino Linotype"/>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52067">
        <w:rPr>
          <w:rFonts w:ascii="Palatino Linotype" w:hAnsi="Palatino Linotype"/>
        </w:rPr>
        <w:t xml:space="preserve"> (</w:t>
      </w:r>
      <w:r w:rsidR="00EE06D7">
        <w:rPr>
          <w:rFonts w:ascii="Palatino Linotype" w:hAnsi="Palatino Linotype"/>
        </w:rPr>
        <w:t>AUSENCIA JUSTIFICADA)</w:t>
      </w:r>
      <w:r>
        <w:rPr>
          <w:rFonts w:ascii="Palatino Linotype" w:hAnsi="Palatino Linotype"/>
        </w:rPr>
        <w:t xml:space="preserve">, LUIS GUSTAVO PARRA NORIEGA Y GUADALUPE RAMÍREZ PEÑA; EN LA </w:t>
      </w:r>
      <w:r w:rsidR="00EE06D7">
        <w:rPr>
          <w:rFonts w:ascii="Palatino Linotype" w:hAnsi="Palatino Linotype"/>
        </w:rPr>
        <w:t>PRIMERA</w:t>
      </w:r>
      <w:r>
        <w:rPr>
          <w:rFonts w:ascii="Palatino Linotype" w:hAnsi="Palatino Linotype"/>
        </w:rPr>
        <w:t xml:space="preserve"> SESI</w:t>
      </w:r>
      <w:r w:rsidR="00E472CA">
        <w:rPr>
          <w:rFonts w:ascii="Palatino Linotype" w:hAnsi="Palatino Linotype"/>
        </w:rPr>
        <w:t xml:space="preserve">ÓN </w:t>
      </w:r>
      <w:r w:rsidR="00EE06D7">
        <w:rPr>
          <w:rFonts w:ascii="Palatino Linotype" w:hAnsi="Palatino Linotype"/>
        </w:rPr>
        <w:lastRenderedPageBreak/>
        <w:t>ORDINARIA CELEBRADA EL DOCE DE ENERO DEL DOS MIL VEINTIDÓS</w:t>
      </w:r>
      <w:r>
        <w:rPr>
          <w:rFonts w:ascii="Palatino Linotype" w:hAnsi="Palatino Linotype"/>
        </w:rPr>
        <w:t>, ANTE EL SECRETARIO TÉCNICO DEL PLENO ALEXIS TAPIA R</w:t>
      </w:r>
      <w:bookmarkStart w:id="0" w:name="_GoBack"/>
      <w:bookmarkEnd w:id="0"/>
      <w:r>
        <w:rPr>
          <w:rFonts w:ascii="Palatino Linotype" w:hAnsi="Palatino Linotype"/>
        </w:rPr>
        <w:t>AMÍREZ.</w:t>
      </w:r>
    </w:p>
    <w:sectPr w:rsidR="00D25C96" w:rsidSect="000B6E12">
      <w:headerReference w:type="default" r:id="rId21"/>
      <w:footerReference w:type="default" r:id="rId22"/>
      <w:headerReference w:type="first" r:id="rId23"/>
      <w:footerReference w:type="first" r:id="rId24"/>
      <w:pgSz w:w="12240" w:h="15840" w:code="1"/>
      <w:pgMar w:top="1417" w:right="175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389" w:rsidRDefault="00A05389" w:rsidP="00224D6A">
      <w:r>
        <w:separator/>
      </w:r>
    </w:p>
  </w:endnote>
  <w:endnote w:type="continuationSeparator" w:id="0">
    <w:p w:rsidR="00A05389" w:rsidRDefault="00A05389"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5CA" w:rsidRPr="00F12350" w:rsidRDefault="002F25CA"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52067">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52067">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2F25CA" w:rsidRDefault="002F25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5CA" w:rsidRPr="00F12350" w:rsidRDefault="002F25CA"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5206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52067">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2F25CA" w:rsidRDefault="002F25CA">
    <w:pPr>
      <w:pStyle w:val="Piedepgina"/>
    </w:pPr>
  </w:p>
  <w:p w:rsidR="002F25CA" w:rsidRDefault="002F25CA"/>
  <w:p w:rsidR="002F25CA" w:rsidRDefault="002F25CA"/>
  <w:p w:rsidR="002F25CA" w:rsidRDefault="002F25CA"/>
  <w:p w:rsidR="002F25CA" w:rsidRDefault="002F25CA"/>
  <w:p w:rsidR="002F25CA" w:rsidRDefault="002F25CA"/>
  <w:p w:rsidR="002F25CA" w:rsidRDefault="002F25CA"/>
  <w:p w:rsidR="002F25CA" w:rsidRDefault="002F25CA"/>
  <w:p w:rsidR="002F25CA" w:rsidRDefault="002F25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389" w:rsidRDefault="00A05389" w:rsidP="00224D6A">
      <w:r>
        <w:separator/>
      </w:r>
    </w:p>
  </w:footnote>
  <w:footnote w:type="continuationSeparator" w:id="0">
    <w:p w:rsidR="00A05389" w:rsidRDefault="00A05389" w:rsidP="00224D6A">
      <w:r>
        <w:continuationSeparator/>
      </w:r>
    </w:p>
  </w:footnote>
  <w:footnote w:id="1">
    <w:p w:rsidR="002F25CA" w:rsidRDefault="002F25CA" w:rsidP="001A51C8">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rsidR="002F25CA" w:rsidRDefault="002F25CA" w:rsidP="001A51C8">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rsidR="002F25CA" w:rsidRPr="00FA5154" w:rsidRDefault="002F25CA" w:rsidP="001A51C8">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rsidR="002F25CA" w:rsidRDefault="002F25CA" w:rsidP="00DC6C96">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2F25CA" w:rsidRPr="00815CEB" w:rsidRDefault="002F25CA" w:rsidP="00DC6C96">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5CA" w:rsidRDefault="002F25CA" w:rsidP="00E72E93">
    <w:pPr>
      <w:pStyle w:val="Encabezado"/>
      <w:jc w:val="both"/>
    </w:pPr>
    <w:r>
      <w:rPr>
        <w:noProof/>
        <w:lang w:val="es-MX" w:eastAsia="es-MX"/>
      </w:rPr>
      <w:drawing>
        <wp:anchor distT="0" distB="0" distL="114300" distR="114300" simplePos="0" relativeHeight="251661312" behindDoc="1" locked="0" layoutInCell="1" allowOverlap="1" wp14:anchorId="34F6E400" wp14:editId="7E95AC7D">
          <wp:simplePos x="0" y="0"/>
          <wp:positionH relativeFrom="page">
            <wp:posOffset>425201</wp:posOffset>
          </wp:positionH>
          <wp:positionV relativeFrom="paragraph">
            <wp:posOffset>-313910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2F25CA" w:rsidTr="003A781E">
      <w:tc>
        <w:tcPr>
          <w:tcW w:w="2551" w:type="dxa"/>
          <w:vAlign w:val="center"/>
          <w:hideMark/>
        </w:tcPr>
        <w:p w:rsidR="002F25CA" w:rsidRDefault="002F25CA"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2F25CA" w:rsidRDefault="002F25CA" w:rsidP="00E72E93">
          <w:pPr>
            <w:jc w:val="both"/>
            <w:rPr>
              <w:rFonts w:ascii="Palatino Linotype" w:hAnsi="Palatino Linotype"/>
              <w:b/>
              <w:sz w:val="22"/>
              <w:szCs w:val="22"/>
              <w:lang w:val="es-ES_tradnl"/>
            </w:rPr>
          </w:pPr>
          <w:r>
            <w:rPr>
              <w:rFonts w:ascii="Palatino Linotype" w:hAnsi="Palatino Linotype"/>
              <w:b/>
              <w:sz w:val="22"/>
              <w:szCs w:val="22"/>
              <w:lang w:val="es-ES_tradnl"/>
            </w:rPr>
            <w:t xml:space="preserve">05254/INFOEM/IP/RR/2021. </w:t>
          </w:r>
        </w:p>
      </w:tc>
    </w:tr>
    <w:tr w:rsidR="002F25CA" w:rsidTr="003A781E">
      <w:trPr>
        <w:trHeight w:val="228"/>
      </w:trPr>
      <w:tc>
        <w:tcPr>
          <w:tcW w:w="2551" w:type="dxa"/>
          <w:vAlign w:val="center"/>
          <w:hideMark/>
        </w:tcPr>
        <w:p w:rsidR="002F25CA" w:rsidRDefault="002F25CA"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2F25CA" w:rsidRDefault="002F25CA" w:rsidP="00510B95">
          <w:pPr>
            <w:jc w:val="both"/>
            <w:rPr>
              <w:rFonts w:ascii="Palatino Linotype" w:hAnsi="Palatino Linotype"/>
              <w:b/>
              <w:sz w:val="22"/>
              <w:szCs w:val="22"/>
              <w:lang w:val="es-ES_tradnl"/>
            </w:rPr>
          </w:pPr>
          <w:r>
            <w:rPr>
              <w:rFonts w:ascii="Palatino Linotype" w:hAnsi="Palatino Linotype"/>
              <w:b/>
              <w:sz w:val="22"/>
              <w:szCs w:val="22"/>
              <w:lang w:val="es-ES_tradnl"/>
            </w:rPr>
            <w:t>Ayuntamiento de Chicoloapan.</w:t>
          </w:r>
        </w:p>
      </w:tc>
    </w:tr>
    <w:tr w:rsidR="002F25CA" w:rsidTr="003A781E">
      <w:tc>
        <w:tcPr>
          <w:tcW w:w="2551" w:type="dxa"/>
          <w:vAlign w:val="center"/>
          <w:hideMark/>
        </w:tcPr>
        <w:p w:rsidR="002F25CA" w:rsidRDefault="002F25CA"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2F25CA" w:rsidRDefault="002F25CA"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2F25CA" w:rsidRDefault="002F25CA"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5CA" w:rsidRDefault="002F25CA" w:rsidP="00224D6A">
    <w:pPr>
      <w:pStyle w:val="Encabezado"/>
      <w:jc w:val="both"/>
    </w:pPr>
    <w:r>
      <w:rPr>
        <w:noProof/>
        <w:lang w:val="es-MX" w:eastAsia="es-MX"/>
      </w:rPr>
      <w:drawing>
        <wp:anchor distT="0" distB="0" distL="114300" distR="114300" simplePos="0" relativeHeight="251659264" behindDoc="1" locked="0" layoutInCell="1" allowOverlap="1" wp14:anchorId="11EDAEA5" wp14:editId="6651AD9B">
          <wp:simplePos x="0" y="0"/>
          <wp:positionH relativeFrom="page">
            <wp:posOffset>388371</wp:posOffset>
          </wp:positionH>
          <wp:positionV relativeFrom="paragraph">
            <wp:posOffset>-207369</wp:posOffset>
          </wp:positionV>
          <wp:extent cx="7635600" cy="9943200"/>
          <wp:effectExtent l="0" t="0" r="381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119" w:type="dxa"/>
      <w:tblLayout w:type="fixed"/>
      <w:tblLook w:val="04A0" w:firstRow="1" w:lastRow="0" w:firstColumn="1" w:lastColumn="0" w:noHBand="0" w:noVBand="1"/>
    </w:tblPr>
    <w:tblGrid>
      <w:gridCol w:w="2551"/>
      <w:gridCol w:w="3402"/>
    </w:tblGrid>
    <w:tr w:rsidR="002F25CA" w:rsidTr="000B6E12">
      <w:tc>
        <w:tcPr>
          <w:tcW w:w="2551" w:type="dxa"/>
          <w:vAlign w:val="center"/>
          <w:hideMark/>
        </w:tcPr>
        <w:p w:rsidR="002F25CA" w:rsidRPr="000B6E12" w:rsidRDefault="002F25CA" w:rsidP="00224D6A">
          <w:pPr>
            <w:rPr>
              <w:rFonts w:ascii="Palatino Linotype" w:hAnsi="Palatino Linotype"/>
              <w:b/>
              <w:sz w:val="20"/>
              <w:szCs w:val="20"/>
              <w:lang w:val="es-ES_tradnl"/>
            </w:rPr>
          </w:pPr>
          <w:r w:rsidRPr="000B6E12">
            <w:rPr>
              <w:rFonts w:ascii="Palatino Linotype" w:hAnsi="Palatino Linotype"/>
              <w:b/>
              <w:sz w:val="20"/>
              <w:szCs w:val="20"/>
              <w:lang w:val="es-ES_tradnl"/>
            </w:rPr>
            <w:t>Recurso de Revisión:</w:t>
          </w:r>
        </w:p>
      </w:tc>
      <w:tc>
        <w:tcPr>
          <w:tcW w:w="3402" w:type="dxa"/>
          <w:vAlign w:val="center"/>
          <w:hideMark/>
        </w:tcPr>
        <w:p w:rsidR="002F25CA" w:rsidRPr="000B6E12" w:rsidRDefault="002F25CA" w:rsidP="00224D6A">
          <w:pPr>
            <w:jc w:val="both"/>
            <w:rPr>
              <w:rFonts w:ascii="Palatino Linotype" w:hAnsi="Palatino Linotype"/>
              <w:b/>
              <w:sz w:val="20"/>
              <w:szCs w:val="20"/>
              <w:lang w:val="es-ES_tradnl"/>
            </w:rPr>
          </w:pPr>
          <w:r>
            <w:rPr>
              <w:rFonts w:ascii="Palatino Linotype" w:hAnsi="Palatino Linotype"/>
              <w:b/>
              <w:sz w:val="20"/>
              <w:szCs w:val="20"/>
              <w:lang w:val="es-ES_tradnl"/>
            </w:rPr>
            <w:t>05254</w:t>
          </w:r>
          <w:r w:rsidRPr="000B6E12">
            <w:rPr>
              <w:rFonts w:ascii="Palatino Linotype" w:hAnsi="Palatino Linotype"/>
              <w:b/>
              <w:sz w:val="20"/>
              <w:szCs w:val="20"/>
              <w:lang w:val="es-ES_tradnl"/>
            </w:rPr>
            <w:t xml:space="preserve">/INFOEM/IP/RR/2021 </w:t>
          </w:r>
        </w:p>
      </w:tc>
    </w:tr>
    <w:tr w:rsidR="002F25CA" w:rsidTr="000B6E12">
      <w:tc>
        <w:tcPr>
          <w:tcW w:w="2551" w:type="dxa"/>
          <w:vAlign w:val="center"/>
          <w:hideMark/>
        </w:tcPr>
        <w:p w:rsidR="002F25CA" w:rsidRPr="000B6E12" w:rsidRDefault="002F25CA" w:rsidP="00224D6A">
          <w:pPr>
            <w:ind w:left="35" w:hanging="35"/>
            <w:rPr>
              <w:rFonts w:ascii="Palatino Linotype" w:hAnsi="Palatino Linotype"/>
              <w:b/>
              <w:sz w:val="20"/>
              <w:szCs w:val="20"/>
              <w:lang w:val="es-ES_tradnl"/>
            </w:rPr>
          </w:pPr>
          <w:r w:rsidRPr="000B6E12">
            <w:rPr>
              <w:rFonts w:ascii="Palatino Linotype" w:hAnsi="Palatino Linotype"/>
              <w:b/>
              <w:sz w:val="20"/>
              <w:szCs w:val="20"/>
              <w:lang w:val="es-ES_tradnl"/>
            </w:rPr>
            <w:t>Recurrente:</w:t>
          </w:r>
        </w:p>
      </w:tc>
      <w:tc>
        <w:tcPr>
          <w:tcW w:w="3402" w:type="dxa"/>
          <w:vAlign w:val="center"/>
          <w:hideMark/>
        </w:tcPr>
        <w:p w:rsidR="002F25CA" w:rsidRPr="000B6E12" w:rsidRDefault="002F25CA" w:rsidP="000B6E12">
          <w:pPr>
            <w:ind w:right="600"/>
            <w:jc w:val="both"/>
            <w:rPr>
              <w:rFonts w:ascii="Palatino Linotype" w:hAnsi="Palatino Linotype"/>
              <w:b/>
              <w:sz w:val="20"/>
              <w:szCs w:val="20"/>
              <w:lang w:val="es-ES_tradnl"/>
            </w:rPr>
          </w:pPr>
        </w:p>
      </w:tc>
    </w:tr>
    <w:tr w:rsidR="002F25CA" w:rsidTr="000B6E12">
      <w:trPr>
        <w:trHeight w:val="228"/>
      </w:trPr>
      <w:tc>
        <w:tcPr>
          <w:tcW w:w="2551" w:type="dxa"/>
          <w:vAlign w:val="center"/>
          <w:hideMark/>
        </w:tcPr>
        <w:p w:rsidR="002F25CA" w:rsidRPr="000B6E12" w:rsidRDefault="002F25CA" w:rsidP="00224D6A">
          <w:pPr>
            <w:rPr>
              <w:rFonts w:ascii="Palatino Linotype" w:hAnsi="Palatino Linotype"/>
              <w:b/>
              <w:sz w:val="20"/>
              <w:szCs w:val="20"/>
              <w:lang w:val="es-ES_tradnl"/>
            </w:rPr>
          </w:pPr>
          <w:r w:rsidRPr="000B6E12">
            <w:rPr>
              <w:rFonts w:ascii="Palatino Linotype" w:hAnsi="Palatino Linotype"/>
              <w:b/>
              <w:sz w:val="20"/>
              <w:szCs w:val="20"/>
              <w:lang w:val="es-ES_tradnl"/>
            </w:rPr>
            <w:t>Sujeto obligado:</w:t>
          </w:r>
        </w:p>
      </w:tc>
      <w:tc>
        <w:tcPr>
          <w:tcW w:w="3402" w:type="dxa"/>
          <w:vAlign w:val="center"/>
          <w:hideMark/>
        </w:tcPr>
        <w:p w:rsidR="002F25CA" w:rsidRPr="000B6E12" w:rsidRDefault="002F25CA" w:rsidP="001A51C8">
          <w:pPr>
            <w:ind w:right="-533"/>
            <w:jc w:val="both"/>
            <w:rPr>
              <w:rFonts w:ascii="Palatino Linotype" w:hAnsi="Palatino Linotype"/>
              <w:b/>
              <w:sz w:val="20"/>
              <w:szCs w:val="20"/>
              <w:lang w:val="es-ES_tradnl"/>
            </w:rPr>
          </w:pPr>
          <w:r w:rsidRPr="00510B95">
            <w:rPr>
              <w:rFonts w:ascii="Palatino Linotype" w:hAnsi="Palatino Linotype"/>
              <w:b/>
              <w:sz w:val="20"/>
              <w:szCs w:val="20"/>
              <w:lang w:val="es-ES_tradnl"/>
            </w:rPr>
            <w:t>Ayuntamiento de Chicoloapan</w:t>
          </w:r>
          <w:r>
            <w:rPr>
              <w:rFonts w:ascii="Palatino Linotype" w:hAnsi="Palatino Linotype"/>
              <w:b/>
              <w:sz w:val="20"/>
              <w:szCs w:val="20"/>
              <w:lang w:val="es-ES_tradnl"/>
            </w:rPr>
            <w:t>.</w:t>
          </w:r>
        </w:p>
      </w:tc>
    </w:tr>
    <w:tr w:rsidR="002F25CA" w:rsidTr="000B6E12">
      <w:tc>
        <w:tcPr>
          <w:tcW w:w="2551" w:type="dxa"/>
          <w:vAlign w:val="center"/>
          <w:hideMark/>
        </w:tcPr>
        <w:p w:rsidR="002F25CA" w:rsidRPr="000B6E12" w:rsidRDefault="002F25CA" w:rsidP="00224D6A">
          <w:pPr>
            <w:rPr>
              <w:rFonts w:ascii="Palatino Linotype" w:hAnsi="Palatino Linotype"/>
              <w:b/>
              <w:sz w:val="20"/>
              <w:szCs w:val="20"/>
              <w:lang w:val="es-ES_tradnl"/>
            </w:rPr>
          </w:pPr>
          <w:r w:rsidRPr="000B6E12">
            <w:rPr>
              <w:rFonts w:ascii="Palatino Linotype" w:hAnsi="Palatino Linotype"/>
              <w:b/>
              <w:sz w:val="20"/>
              <w:szCs w:val="20"/>
              <w:lang w:val="es-ES_tradnl"/>
            </w:rPr>
            <w:t>Comisionada ponente:</w:t>
          </w:r>
        </w:p>
      </w:tc>
      <w:tc>
        <w:tcPr>
          <w:tcW w:w="3402" w:type="dxa"/>
          <w:vAlign w:val="center"/>
          <w:hideMark/>
        </w:tcPr>
        <w:p w:rsidR="002F25CA" w:rsidRPr="000B6E12" w:rsidRDefault="002F25CA" w:rsidP="00224D6A">
          <w:pPr>
            <w:ind w:right="-533"/>
            <w:jc w:val="both"/>
            <w:rPr>
              <w:rFonts w:ascii="Palatino Linotype" w:hAnsi="Palatino Linotype"/>
              <w:b/>
              <w:sz w:val="20"/>
              <w:szCs w:val="20"/>
              <w:lang w:val="es-ES_tradnl"/>
            </w:rPr>
          </w:pPr>
          <w:r w:rsidRPr="000B6E12">
            <w:rPr>
              <w:rFonts w:ascii="Palatino Linotype" w:hAnsi="Palatino Linotype"/>
              <w:b/>
              <w:sz w:val="20"/>
              <w:szCs w:val="20"/>
              <w:lang w:val="es-ES_tradnl"/>
            </w:rPr>
            <w:t>Guadalupe Ramírez Peña.</w:t>
          </w:r>
        </w:p>
      </w:tc>
    </w:tr>
  </w:tbl>
  <w:p w:rsidR="002F25CA" w:rsidRDefault="002F25CA"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EEE7F57"/>
    <w:multiLevelType w:val="hybridMultilevel"/>
    <w:tmpl w:val="EEDE53AA"/>
    <w:lvl w:ilvl="0" w:tplc="BD084DDC">
      <w:start w:val="5"/>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494159"/>
    <w:multiLevelType w:val="hybridMultilevel"/>
    <w:tmpl w:val="7CF681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3331724"/>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C631F9"/>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5506B2"/>
    <w:multiLevelType w:val="hybridMultilevel"/>
    <w:tmpl w:val="2918F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9A7531"/>
    <w:multiLevelType w:val="hybridMultilevel"/>
    <w:tmpl w:val="30BCF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C40A8E"/>
    <w:multiLevelType w:val="hybridMultilevel"/>
    <w:tmpl w:val="68029E4C"/>
    <w:lvl w:ilvl="0" w:tplc="62860FFA">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54D11CF8"/>
    <w:multiLevelType w:val="hybridMultilevel"/>
    <w:tmpl w:val="04B4B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6A1D9E"/>
    <w:multiLevelType w:val="hybridMultilevel"/>
    <w:tmpl w:val="C008A5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A44FF6"/>
    <w:multiLevelType w:val="hybridMultilevel"/>
    <w:tmpl w:val="B078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F14CE"/>
    <w:multiLevelType w:val="hybridMultilevel"/>
    <w:tmpl w:val="09F44904"/>
    <w:lvl w:ilvl="0" w:tplc="69E27CA2">
      <w:start w:val="1"/>
      <w:numFmt w:val="upperRoman"/>
      <w:lvlText w:val="%1."/>
      <w:lvlJc w:val="left"/>
      <w:pPr>
        <w:ind w:left="4265" w:hanging="720"/>
      </w:pPr>
    </w:lvl>
    <w:lvl w:ilvl="1" w:tplc="080A0019">
      <w:start w:val="1"/>
      <w:numFmt w:val="lowerLetter"/>
      <w:lvlText w:val="%2."/>
      <w:lvlJc w:val="left"/>
      <w:pPr>
        <w:ind w:left="4625" w:hanging="360"/>
      </w:pPr>
    </w:lvl>
    <w:lvl w:ilvl="2" w:tplc="080A001B">
      <w:start w:val="1"/>
      <w:numFmt w:val="lowerRoman"/>
      <w:lvlText w:val="%3."/>
      <w:lvlJc w:val="right"/>
      <w:pPr>
        <w:ind w:left="5345" w:hanging="180"/>
      </w:pPr>
    </w:lvl>
    <w:lvl w:ilvl="3" w:tplc="080A000F">
      <w:start w:val="1"/>
      <w:numFmt w:val="decimal"/>
      <w:lvlText w:val="%4."/>
      <w:lvlJc w:val="left"/>
      <w:pPr>
        <w:ind w:left="6065" w:hanging="360"/>
      </w:pPr>
    </w:lvl>
    <w:lvl w:ilvl="4" w:tplc="080A0019">
      <w:start w:val="1"/>
      <w:numFmt w:val="lowerLetter"/>
      <w:lvlText w:val="%5."/>
      <w:lvlJc w:val="left"/>
      <w:pPr>
        <w:ind w:left="6785" w:hanging="360"/>
      </w:pPr>
    </w:lvl>
    <w:lvl w:ilvl="5" w:tplc="080A001B">
      <w:start w:val="1"/>
      <w:numFmt w:val="lowerRoman"/>
      <w:lvlText w:val="%6."/>
      <w:lvlJc w:val="right"/>
      <w:pPr>
        <w:ind w:left="7505" w:hanging="180"/>
      </w:pPr>
    </w:lvl>
    <w:lvl w:ilvl="6" w:tplc="080A000F">
      <w:start w:val="1"/>
      <w:numFmt w:val="decimal"/>
      <w:lvlText w:val="%7."/>
      <w:lvlJc w:val="left"/>
      <w:pPr>
        <w:ind w:left="8225" w:hanging="360"/>
      </w:pPr>
    </w:lvl>
    <w:lvl w:ilvl="7" w:tplc="080A0019">
      <w:start w:val="1"/>
      <w:numFmt w:val="lowerLetter"/>
      <w:lvlText w:val="%8."/>
      <w:lvlJc w:val="left"/>
      <w:pPr>
        <w:ind w:left="8945" w:hanging="360"/>
      </w:pPr>
    </w:lvl>
    <w:lvl w:ilvl="8" w:tplc="080A001B">
      <w:start w:val="1"/>
      <w:numFmt w:val="lowerRoman"/>
      <w:lvlText w:val="%9."/>
      <w:lvlJc w:val="right"/>
      <w:pPr>
        <w:ind w:left="9665" w:hanging="180"/>
      </w:pPr>
    </w:lvl>
  </w:abstractNum>
  <w:abstractNum w:abstractNumId="18" w15:restartNumberingAfterBreak="0">
    <w:nsid w:val="6E8F2AC0"/>
    <w:multiLevelType w:val="hybridMultilevel"/>
    <w:tmpl w:val="7A602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9973A6"/>
    <w:multiLevelType w:val="hybridMultilevel"/>
    <w:tmpl w:val="1BE4648E"/>
    <w:lvl w:ilvl="0" w:tplc="B5481E6A">
      <w:start w:val="1"/>
      <w:numFmt w:val="upperRoman"/>
      <w:lvlText w:val="%1."/>
      <w:lvlJc w:val="left"/>
      <w:pPr>
        <w:ind w:left="1713" w:hanging="720"/>
      </w:pPr>
      <w:rPr>
        <w:rFonts w:cs="Segoe UI"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0" w15:restartNumberingAfterBreak="0">
    <w:nsid w:val="7913187D"/>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EC4444"/>
    <w:multiLevelType w:val="hybridMultilevel"/>
    <w:tmpl w:val="4D702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6"/>
  </w:num>
  <w:num w:numId="5">
    <w:abstractNumId w:val="2"/>
  </w:num>
  <w:num w:numId="6">
    <w:abstractNumId w:val="5"/>
  </w:num>
  <w:num w:numId="7">
    <w:abstractNumId w:val="7"/>
  </w:num>
  <w:num w:numId="8">
    <w:abstractNumId w:val="4"/>
  </w:num>
  <w:num w:numId="9">
    <w:abstractNumId w:val="3"/>
  </w:num>
  <w:num w:numId="10">
    <w:abstractNumId w:val="14"/>
  </w:num>
  <w:num w:numId="11">
    <w:abstractNumId w:val="12"/>
  </w:num>
  <w:num w:numId="12">
    <w:abstractNumId w:val="18"/>
  </w:num>
  <w:num w:numId="13">
    <w:abstractNumId w:val="8"/>
  </w:num>
  <w:num w:numId="14">
    <w:abstractNumId w:val="20"/>
  </w:num>
  <w:num w:numId="15">
    <w:abstractNumId w:val="1"/>
  </w:num>
  <w:num w:numId="16">
    <w:abstractNumId w:val="19"/>
  </w:num>
  <w:num w:numId="17">
    <w:abstractNumId w:val="21"/>
  </w:num>
  <w:num w:numId="18">
    <w:abstractNumId w:val="10"/>
  </w:num>
  <w:num w:numId="19">
    <w:abstractNumId w:val="16"/>
  </w:num>
  <w:num w:numId="20">
    <w:abstractNumId w:val="9"/>
  </w:num>
  <w:num w:numId="21">
    <w:abstractNumId w:val="1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5CB"/>
    <w:rsid w:val="00014ADA"/>
    <w:rsid w:val="0001561E"/>
    <w:rsid w:val="00015B46"/>
    <w:rsid w:val="00020628"/>
    <w:rsid w:val="00021168"/>
    <w:rsid w:val="000216E2"/>
    <w:rsid w:val="00022119"/>
    <w:rsid w:val="000237B7"/>
    <w:rsid w:val="00027BBB"/>
    <w:rsid w:val="000337DA"/>
    <w:rsid w:val="00037D72"/>
    <w:rsid w:val="0004608D"/>
    <w:rsid w:val="00062052"/>
    <w:rsid w:val="00066EA9"/>
    <w:rsid w:val="00067496"/>
    <w:rsid w:val="00072D95"/>
    <w:rsid w:val="000750A7"/>
    <w:rsid w:val="00076C9A"/>
    <w:rsid w:val="00080788"/>
    <w:rsid w:val="00094A52"/>
    <w:rsid w:val="00096161"/>
    <w:rsid w:val="00096C72"/>
    <w:rsid w:val="00097DC6"/>
    <w:rsid w:val="000A3261"/>
    <w:rsid w:val="000A7478"/>
    <w:rsid w:val="000B37AE"/>
    <w:rsid w:val="000B6E12"/>
    <w:rsid w:val="000D34A1"/>
    <w:rsid w:val="000D4727"/>
    <w:rsid w:val="000D4A20"/>
    <w:rsid w:val="000E0F0F"/>
    <w:rsid w:val="000E3843"/>
    <w:rsid w:val="000E4227"/>
    <w:rsid w:val="000E77F3"/>
    <w:rsid w:val="000F2D64"/>
    <w:rsid w:val="000F51C1"/>
    <w:rsid w:val="0010499F"/>
    <w:rsid w:val="0010633D"/>
    <w:rsid w:val="00113F0F"/>
    <w:rsid w:val="00114A6D"/>
    <w:rsid w:val="00114A9A"/>
    <w:rsid w:val="00116785"/>
    <w:rsid w:val="001342BD"/>
    <w:rsid w:val="0013433C"/>
    <w:rsid w:val="00142FA9"/>
    <w:rsid w:val="00146257"/>
    <w:rsid w:val="00153C0D"/>
    <w:rsid w:val="00161C08"/>
    <w:rsid w:val="001639B7"/>
    <w:rsid w:val="00170E33"/>
    <w:rsid w:val="00171420"/>
    <w:rsid w:val="001714D5"/>
    <w:rsid w:val="00173DD2"/>
    <w:rsid w:val="001778FE"/>
    <w:rsid w:val="00181755"/>
    <w:rsid w:val="0018182C"/>
    <w:rsid w:val="0018407B"/>
    <w:rsid w:val="00184165"/>
    <w:rsid w:val="00186A33"/>
    <w:rsid w:val="00190F13"/>
    <w:rsid w:val="0019247C"/>
    <w:rsid w:val="0019336E"/>
    <w:rsid w:val="0019366F"/>
    <w:rsid w:val="00195135"/>
    <w:rsid w:val="001A4769"/>
    <w:rsid w:val="001A51C8"/>
    <w:rsid w:val="001A5DB6"/>
    <w:rsid w:val="001A73AF"/>
    <w:rsid w:val="001B5585"/>
    <w:rsid w:val="001C16F6"/>
    <w:rsid w:val="001C54FE"/>
    <w:rsid w:val="001C66D4"/>
    <w:rsid w:val="001E04EA"/>
    <w:rsid w:val="001E35F1"/>
    <w:rsid w:val="001E571F"/>
    <w:rsid w:val="001F5725"/>
    <w:rsid w:val="001F72FB"/>
    <w:rsid w:val="002012F5"/>
    <w:rsid w:val="002043EC"/>
    <w:rsid w:val="00205EF0"/>
    <w:rsid w:val="00206CFD"/>
    <w:rsid w:val="0021444D"/>
    <w:rsid w:val="00214E16"/>
    <w:rsid w:val="0022062A"/>
    <w:rsid w:val="00223B07"/>
    <w:rsid w:val="00224D6A"/>
    <w:rsid w:val="00226398"/>
    <w:rsid w:val="0022754A"/>
    <w:rsid w:val="00232C0E"/>
    <w:rsid w:val="00235A8C"/>
    <w:rsid w:val="002417A9"/>
    <w:rsid w:val="0024214B"/>
    <w:rsid w:val="00246A48"/>
    <w:rsid w:val="00252067"/>
    <w:rsid w:val="00252213"/>
    <w:rsid w:val="00266653"/>
    <w:rsid w:val="00266B48"/>
    <w:rsid w:val="00273EF3"/>
    <w:rsid w:val="00276DAD"/>
    <w:rsid w:val="00286483"/>
    <w:rsid w:val="00293A1F"/>
    <w:rsid w:val="00293CA1"/>
    <w:rsid w:val="00293EB6"/>
    <w:rsid w:val="002A05B6"/>
    <w:rsid w:val="002A11F8"/>
    <w:rsid w:val="002A6F11"/>
    <w:rsid w:val="002B0D00"/>
    <w:rsid w:val="002B3972"/>
    <w:rsid w:val="002C0440"/>
    <w:rsid w:val="002C20F6"/>
    <w:rsid w:val="002D48FE"/>
    <w:rsid w:val="002D5D7C"/>
    <w:rsid w:val="002D6562"/>
    <w:rsid w:val="002E0B73"/>
    <w:rsid w:val="002E1C93"/>
    <w:rsid w:val="002E5396"/>
    <w:rsid w:val="002E5FAE"/>
    <w:rsid w:val="002F081A"/>
    <w:rsid w:val="002F25CA"/>
    <w:rsid w:val="002F5CF2"/>
    <w:rsid w:val="003000C4"/>
    <w:rsid w:val="003048AD"/>
    <w:rsid w:val="003132E1"/>
    <w:rsid w:val="00313ADE"/>
    <w:rsid w:val="003239B7"/>
    <w:rsid w:val="003241E5"/>
    <w:rsid w:val="0033087D"/>
    <w:rsid w:val="003347C3"/>
    <w:rsid w:val="00336113"/>
    <w:rsid w:val="00340981"/>
    <w:rsid w:val="003443C1"/>
    <w:rsid w:val="00345F68"/>
    <w:rsid w:val="00363976"/>
    <w:rsid w:val="0036505F"/>
    <w:rsid w:val="00365264"/>
    <w:rsid w:val="00373C0A"/>
    <w:rsid w:val="00380275"/>
    <w:rsid w:val="00382DC3"/>
    <w:rsid w:val="00386076"/>
    <w:rsid w:val="00391967"/>
    <w:rsid w:val="00392DE2"/>
    <w:rsid w:val="00392F63"/>
    <w:rsid w:val="00394387"/>
    <w:rsid w:val="00394748"/>
    <w:rsid w:val="003A0920"/>
    <w:rsid w:val="003A10D3"/>
    <w:rsid w:val="003A24CA"/>
    <w:rsid w:val="003A386A"/>
    <w:rsid w:val="003A781E"/>
    <w:rsid w:val="003B0CBF"/>
    <w:rsid w:val="003B19DA"/>
    <w:rsid w:val="003B4C11"/>
    <w:rsid w:val="003C1448"/>
    <w:rsid w:val="003C4A56"/>
    <w:rsid w:val="003E3A0E"/>
    <w:rsid w:val="003E67EC"/>
    <w:rsid w:val="003E7C61"/>
    <w:rsid w:val="003F2267"/>
    <w:rsid w:val="00410B33"/>
    <w:rsid w:val="00416F97"/>
    <w:rsid w:val="0042081B"/>
    <w:rsid w:val="00422958"/>
    <w:rsid w:val="004260A5"/>
    <w:rsid w:val="00431776"/>
    <w:rsid w:val="00441DEC"/>
    <w:rsid w:val="0044607B"/>
    <w:rsid w:val="00452381"/>
    <w:rsid w:val="00452AA3"/>
    <w:rsid w:val="00455513"/>
    <w:rsid w:val="00461C88"/>
    <w:rsid w:val="00463004"/>
    <w:rsid w:val="004728FD"/>
    <w:rsid w:val="004879EC"/>
    <w:rsid w:val="00490FD1"/>
    <w:rsid w:val="0049741F"/>
    <w:rsid w:val="00497433"/>
    <w:rsid w:val="004A78DC"/>
    <w:rsid w:val="004B0649"/>
    <w:rsid w:val="004B0F26"/>
    <w:rsid w:val="004B6DE1"/>
    <w:rsid w:val="004B7469"/>
    <w:rsid w:val="004C7BE4"/>
    <w:rsid w:val="004D295E"/>
    <w:rsid w:val="004D453C"/>
    <w:rsid w:val="004D63E3"/>
    <w:rsid w:val="004D6DE5"/>
    <w:rsid w:val="004D6F01"/>
    <w:rsid w:val="004E51D4"/>
    <w:rsid w:val="004F31E2"/>
    <w:rsid w:val="004F5A47"/>
    <w:rsid w:val="004F6F27"/>
    <w:rsid w:val="00504982"/>
    <w:rsid w:val="00505840"/>
    <w:rsid w:val="00510B95"/>
    <w:rsid w:val="005124BF"/>
    <w:rsid w:val="005165E9"/>
    <w:rsid w:val="00523D85"/>
    <w:rsid w:val="00526638"/>
    <w:rsid w:val="00530E63"/>
    <w:rsid w:val="005323AC"/>
    <w:rsid w:val="00537F89"/>
    <w:rsid w:val="00540979"/>
    <w:rsid w:val="005426EA"/>
    <w:rsid w:val="00546029"/>
    <w:rsid w:val="005507DC"/>
    <w:rsid w:val="00551415"/>
    <w:rsid w:val="00556F22"/>
    <w:rsid w:val="00581E90"/>
    <w:rsid w:val="005975CD"/>
    <w:rsid w:val="00597C70"/>
    <w:rsid w:val="005B1C86"/>
    <w:rsid w:val="005C2B9A"/>
    <w:rsid w:val="005D0014"/>
    <w:rsid w:val="005D2D3E"/>
    <w:rsid w:val="005E0477"/>
    <w:rsid w:val="005E40AB"/>
    <w:rsid w:val="005F0C47"/>
    <w:rsid w:val="00600AFE"/>
    <w:rsid w:val="0060122B"/>
    <w:rsid w:val="0060570F"/>
    <w:rsid w:val="00605BDE"/>
    <w:rsid w:val="00625BB7"/>
    <w:rsid w:val="00626D6C"/>
    <w:rsid w:val="006302EB"/>
    <w:rsid w:val="0063409B"/>
    <w:rsid w:val="00636BF0"/>
    <w:rsid w:val="00640896"/>
    <w:rsid w:val="00641CF7"/>
    <w:rsid w:val="00642ED3"/>
    <w:rsid w:val="00651AE4"/>
    <w:rsid w:val="00651B2F"/>
    <w:rsid w:val="006672B1"/>
    <w:rsid w:val="00667C75"/>
    <w:rsid w:val="00673AC9"/>
    <w:rsid w:val="00673F19"/>
    <w:rsid w:val="00676C17"/>
    <w:rsid w:val="00686C66"/>
    <w:rsid w:val="0069454E"/>
    <w:rsid w:val="00695C47"/>
    <w:rsid w:val="006975B4"/>
    <w:rsid w:val="006A7EE4"/>
    <w:rsid w:val="006B54F6"/>
    <w:rsid w:val="006C45F1"/>
    <w:rsid w:val="006C60A8"/>
    <w:rsid w:val="006D0954"/>
    <w:rsid w:val="006E32F0"/>
    <w:rsid w:val="006F2A2A"/>
    <w:rsid w:val="006F37E6"/>
    <w:rsid w:val="006F40FE"/>
    <w:rsid w:val="00702C67"/>
    <w:rsid w:val="007048F5"/>
    <w:rsid w:val="00713DD7"/>
    <w:rsid w:val="00720105"/>
    <w:rsid w:val="00722A61"/>
    <w:rsid w:val="0073045B"/>
    <w:rsid w:val="007372F8"/>
    <w:rsid w:val="00745A16"/>
    <w:rsid w:val="00747FEA"/>
    <w:rsid w:val="00752494"/>
    <w:rsid w:val="0075545F"/>
    <w:rsid w:val="00763D10"/>
    <w:rsid w:val="0077066B"/>
    <w:rsid w:val="00771004"/>
    <w:rsid w:val="00771FD8"/>
    <w:rsid w:val="00776053"/>
    <w:rsid w:val="0077643B"/>
    <w:rsid w:val="00777D38"/>
    <w:rsid w:val="007826B6"/>
    <w:rsid w:val="00782D84"/>
    <w:rsid w:val="00787330"/>
    <w:rsid w:val="0079066D"/>
    <w:rsid w:val="0079175F"/>
    <w:rsid w:val="00793A46"/>
    <w:rsid w:val="00795888"/>
    <w:rsid w:val="007A2EAF"/>
    <w:rsid w:val="007A6AB4"/>
    <w:rsid w:val="007B188B"/>
    <w:rsid w:val="007B1D27"/>
    <w:rsid w:val="007B6B59"/>
    <w:rsid w:val="007C08DD"/>
    <w:rsid w:val="007C26DD"/>
    <w:rsid w:val="007D2A34"/>
    <w:rsid w:val="007D3B62"/>
    <w:rsid w:val="007D70B1"/>
    <w:rsid w:val="007E06D7"/>
    <w:rsid w:val="007E20FC"/>
    <w:rsid w:val="007E28D4"/>
    <w:rsid w:val="007E5123"/>
    <w:rsid w:val="007E6426"/>
    <w:rsid w:val="007F09BB"/>
    <w:rsid w:val="007F4BBB"/>
    <w:rsid w:val="007F6117"/>
    <w:rsid w:val="0080178F"/>
    <w:rsid w:val="008029E6"/>
    <w:rsid w:val="008035A8"/>
    <w:rsid w:val="00815F59"/>
    <w:rsid w:val="00821319"/>
    <w:rsid w:val="00825D48"/>
    <w:rsid w:val="0084038C"/>
    <w:rsid w:val="008422E5"/>
    <w:rsid w:val="0085194C"/>
    <w:rsid w:val="00854B1C"/>
    <w:rsid w:val="008558D7"/>
    <w:rsid w:val="0085799A"/>
    <w:rsid w:val="00864153"/>
    <w:rsid w:val="0087361A"/>
    <w:rsid w:val="00880949"/>
    <w:rsid w:val="00881FC4"/>
    <w:rsid w:val="0089424B"/>
    <w:rsid w:val="008A0CDC"/>
    <w:rsid w:val="008A100D"/>
    <w:rsid w:val="008A3111"/>
    <w:rsid w:val="008B5639"/>
    <w:rsid w:val="008C50EB"/>
    <w:rsid w:val="008D0A6C"/>
    <w:rsid w:val="008D6FBC"/>
    <w:rsid w:val="008E0A94"/>
    <w:rsid w:val="008E520C"/>
    <w:rsid w:val="008E6621"/>
    <w:rsid w:val="008E677F"/>
    <w:rsid w:val="008F324A"/>
    <w:rsid w:val="00901BCB"/>
    <w:rsid w:val="00921A6C"/>
    <w:rsid w:val="00924D37"/>
    <w:rsid w:val="00944CD5"/>
    <w:rsid w:val="00945457"/>
    <w:rsid w:val="00950BEC"/>
    <w:rsid w:val="00957724"/>
    <w:rsid w:val="009602E3"/>
    <w:rsid w:val="00966DD3"/>
    <w:rsid w:val="00976507"/>
    <w:rsid w:val="0098057B"/>
    <w:rsid w:val="009902CB"/>
    <w:rsid w:val="00997B8F"/>
    <w:rsid w:val="009A15B8"/>
    <w:rsid w:val="009A47D5"/>
    <w:rsid w:val="009B13E8"/>
    <w:rsid w:val="009B3DAD"/>
    <w:rsid w:val="009C49CD"/>
    <w:rsid w:val="009E1FAD"/>
    <w:rsid w:val="009E71E7"/>
    <w:rsid w:val="009F00A5"/>
    <w:rsid w:val="00A02EE8"/>
    <w:rsid w:val="00A0527F"/>
    <w:rsid w:val="00A05389"/>
    <w:rsid w:val="00A11D70"/>
    <w:rsid w:val="00A11E16"/>
    <w:rsid w:val="00A26A48"/>
    <w:rsid w:val="00A32E26"/>
    <w:rsid w:val="00A3384C"/>
    <w:rsid w:val="00A34630"/>
    <w:rsid w:val="00A3483A"/>
    <w:rsid w:val="00A37BB0"/>
    <w:rsid w:val="00A43706"/>
    <w:rsid w:val="00A7395C"/>
    <w:rsid w:val="00A80726"/>
    <w:rsid w:val="00A93289"/>
    <w:rsid w:val="00A9340E"/>
    <w:rsid w:val="00AA1D9C"/>
    <w:rsid w:val="00AA23D5"/>
    <w:rsid w:val="00AA3766"/>
    <w:rsid w:val="00AA5B9D"/>
    <w:rsid w:val="00AB4201"/>
    <w:rsid w:val="00AB4D6F"/>
    <w:rsid w:val="00AB619D"/>
    <w:rsid w:val="00AC2D4D"/>
    <w:rsid w:val="00AD0C26"/>
    <w:rsid w:val="00AD1F1D"/>
    <w:rsid w:val="00AD62E4"/>
    <w:rsid w:val="00AE03C3"/>
    <w:rsid w:val="00AF1553"/>
    <w:rsid w:val="00AF3687"/>
    <w:rsid w:val="00AF3EE9"/>
    <w:rsid w:val="00B00578"/>
    <w:rsid w:val="00B027BE"/>
    <w:rsid w:val="00B10115"/>
    <w:rsid w:val="00B124E5"/>
    <w:rsid w:val="00B151F3"/>
    <w:rsid w:val="00B17F12"/>
    <w:rsid w:val="00B20D9F"/>
    <w:rsid w:val="00B24AA0"/>
    <w:rsid w:val="00B276BE"/>
    <w:rsid w:val="00B307A8"/>
    <w:rsid w:val="00B44473"/>
    <w:rsid w:val="00B450CA"/>
    <w:rsid w:val="00B55F88"/>
    <w:rsid w:val="00B62D1E"/>
    <w:rsid w:val="00B84CB3"/>
    <w:rsid w:val="00B94E90"/>
    <w:rsid w:val="00BB2A04"/>
    <w:rsid w:val="00BB2B3D"/>
    <w:rsid w:val="00BB4ED8"/>
    <w:rsid w:val="00BB61F7"/>
    <w:rsid w:val="00BB75C3"/>
    <w:rsid w:val="00BC3332"/>
    <w:rsid w:val="00BC5CBE"/>
    <w:rsid w:val="00BD09ED"/>
    <w:rsid w:val="00BD1EA0"/>
    <w:rsid w:val="00BD1F18"/>
    <w:rsid w:val="00BE545E"/>
    <w:rsid w:val="00BE5DED"/>
    <w:rsid w:val="00BF5449"/>
    <w:rsid w:val="00C01EF3"/>
    <w:rsid w:val="00C04AC7"/>
    <w:rsid w:val="00C055C3"/>
    <w:rsid w:val="00C05B60"/>
    <w:rsid w:val="00C1056D"/>
    <w:rsid w:val="00C12F96"/>
    <w:rsid w:val="00C16923"/>
    <w:rsid w:val="00C17246"/>
    <w:rsid w:val="00C31A4E"/>
    <w:rsid w:val="00C3219F"/>
    <w:rsid w:val="00C367B8"/>
    <w:rsid w:val="00C407B9"/>
    <w:rsid w:val="00C41145"/>
    <w:rsid w:val="00C43202"/>
    <w:rsid w:val="00C52B7C"/>
    <w:rsid w:val="00C6202E"/>
    <w:rsid w:val="00C62A48"/>
    <w:rsid w:val="00C63420"/>
    <w:rsid w:val="00C65C6D"/>
    <w:rsid w:val="00C66BA8"/>
    <w:rsid w:val="00C706D2"/>
    <w:rsid w:val="00C76ABB"/>
    <w:rsid w:val="00C8268C"/>
    <w:rsid w:val="00C8338F"/>
    <w:rsid w:val="00C87077"/>
    <w:rsid w:val="00C910ED"/>
    <w:rsid w:val="00C96B42"/>
    <w:rsid w:val="00CA4A50"/>
    <w:rsid w:val="00CA6C81"/>
    <w:rsid w:val="00CA7CFD"/>
    <w:rsid w:val="00CC3412"/>
    <w:rsid w:val="00CC51B6"/>
    <w:rsid w:val="00CD4117"/>
    <w:rsid w:val="00CD4712"/>
    <w:rsid w:val="00CE169F"/>
    <w:rsid w:val="00CE3484"/>
    <w:rsid w:val="00D027C7"/>
    <w:rsid w:val="00D03D82"/>
    <w:rsid w:val="00D049F6"/>
    <w:rsid w:val="00D04AE4"/>
    <w:rsid w:val="00D04B37"/>
    <w:rsid w:val="00D129B1"/>
    <w:rsid w:val="00D135C7"/>
    <w:rsid w:val="00D213EC"/>
    <w:rsid w:val="00D215DE"/>
    <w:rsid w:val="00D24040"/>
    <w:rsid w:val="00D246B8"/>
    <w:rsid w:val="00D25C96"/>
    <w:rsid w:val="00D2638F"/>
    <w:rsid w:val="00D27626"/>
    <w:rsid w:val="00D35465"/>
    <w:rsid w:val="00D46C55"/>
    <w:rsid w:val="00D50BF2"/>
    <w:rsid w:val="00D53C9E"/>
    <w:rsid w:val="00D564E9"/>
    <w:rsid w:val="00D60D50"/>
    <w:rsid w:val="00D642F2"/>
    <w:rsid w:val="00D64D7A"/>
    <w:rsid w:val="00D66DC4"/>
    <w:rsid w:val="00D74228"/>
    <w:rsid w:val="00D817CC"/>
    <w:rsid w:val="00D84317"/>
    <w:rsid w:val="00D86D06"/>
    <w:rsid w:val="00D95F0F"/>
    <w:rsid w:val="00DA4FC4"/>
    <w:rsid w:val="00DB61BC"/>
    <w:rsid w:val="00DC1614"/>
    <w:rsid w:val="00DC1FC8"/>
    <w:rsid w:val="00DC3DCD"/>
    <w:rsid w:val="00DC6C96"/>
    <w:rsid w:val="00DD00F1"/>
    <w:rsid w:val="00DD57B6"/>
    <w:rsid w:val="00DE25D7"/>
    <w:rsid w:val="00DE4E6A"/>
    <w:rsid w:val="00DE772D"/>
    <w:rsid w:val="00DE7A75"/>
    <w:rsid w:val="00DF3918"/>
    <w:rsid w:val="00DF4A44"/>
    <w:rsid w:val="00E00033"/>
    <w:rsid w:val="00E003BF"/>
    <w:rsid w:val="00E06B17"/>
    <w:rsid w:val="00E115C4"/>
    <w:rsid w:val="00E13192"/>
    <w:rsid w:val="00E17FB8"/>
    <w:rsid w:val="00E22A8D"/>
    <w:rsid w:val="00E22EA1"/>
    <w:rsid w:val="00E23E83"/>
    <w:rsid w:val="00E2702C"/>
    <w:rsid w:val="00E279AD"/>
    <w:rsid w:val="00E3118E"/>
    <w:rsid w:val="00E33B23"/>
    <w:rsid w:val="00E34595"/>
    <w:rsid w:val="00E4013E"/>
    <w:rsid w:val="00E4481D"/>
    <w:rsid w:val="00E472CA"/>
    <w:rsid w:val="00E479A9"/>
    <w:rsid w:val="00E53ECD"/>
    <w:rsid w:val="00E578F2"/>
    <w:rsid w:val="00E67840"/>
    <w:rsid w:val="00E72E93"/>
    <w:rsid w:val="00E827A0"/>
    <w:rsid w:val="00E84CD8"/>
    <w:rsid w:val="00E87E7E"/>
    <w:rsid w:val="00E9188C"/>
    <w:rsid w:val="00E96956"/>
    <w:rsid w:val="00E969C6"/>
    <w:rsid w:val="00E9748A"/>
    <w:rsid w:val="00E97D16"/>
    <w:rsid w:val="00EA040E"/>
    <w:rsid w:val="00EA28F2"/>
    <w:rsid w:val="00EB6B00"/>
    <w:rsid w:val="00EC1780"/>
    <w:rsid w:val="00EC32C0"/>
    <w:rsid w:val="00EC5F74"/>
    <w:rsid w:val="00EC6D97"/>
    <w:rsid w:val="00ED39F1"/>
    <w:rsid w:val="00ED4138"/>
    <w:rsid w:val="00EE06D7"/>
    <w:rsid w:val="00EE6DBE"/>
    <w:rsid w:val="00EF0E0E"/>
    <w:rsid w:val="00EF50C0"/>
    <w:rsid w:val="00EF5983"/>
    <w:rsid w:val="00EF7597"/>
    <w:rsid w:val="00F03394"/>
    <w:rsid w:val="00F041BB"/>
    <w:rsid w:val="00F11217"/>
    <w:rsid w:val="00F13931"/>
    <w:rsid w:val="00F15EDD"/>
    <w:rsid w:val="00F2486F"/>
    <w:rsid w:val="00F33C22"/>
    <w:rsid w:val="00F363AD"/>
    <w:rsid w:val="00F41009"/>
    <w:rsid w:val="00F4384F"/>
    <w:rsid w:val="00F470CE"/>
    <w:rsid w:val="00F56D15"/>
    <w:rsid w:val="00F6118C"/>
    <w:rsid w:val="00F677C7"/>
    <w:rsid w:val="00F706E0"/>
    <w:rsid w:val="00F75AEC"/>
    <w:rsid w:val="00F84DB8"/>
    <w:rsid w:val="00F86EFA"/>
    <w:rsid w:val="00F930F7"/>
    <w:rsid w:val="00FA3138"/>
    <w:rsid w:val="00FA544C"/>
    <w:rsid w:val="00FB268B"/>
    <w:rsid w:val="00FB2CEE"/>
    <w:rsid w:val="00FB32A7"/>
    <w:rsid w:val="00FB34FF"/>
    <w:rsid w:val="00FB75C0"/>
    <w:rsid w:val="00FC2357"/>
    <w:rsid w:val="00FC4004"/>
    <w:rsid w:val="00FC4A1A"/>
    <w:rsid w:val="00FE56B6"/>
    <w:rsid w:val="00FF34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E35F1"/>
    <w:pPr>
      <w:spacing w:after="0" w:line="240" w:lineRule="auto"/>
    </w:pPr>
  </w:style>
  <w:style w:type="character" w:customStyle="1" w:styleId="SinespaciadoCar">
    <w:name w:val="Sin espaciado Car"/>
    <w:aliases w:val="Francesa Car,INAI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4A6D"/>
    <w:rPr>
      <w:vertAlign w:val="superscript"/>
    </w:rPr>
  </w:style>
  <w:style w:type="character" w:styleId="Hipervnculovisitado">
    <w:name w:val="FollowedHyperlink"/>
    <w:basedOn w:val="Fuentedeprrafopredeter"/>
    <w:uiPriority w:val="99"/>
    <w:semiHidden/>
    <w:unhideWhenUsed/>
    <w:rsid w:val="00787330"/>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1A51C8"/>
    <w:rPr>
      <w:rFonts w:ascii="Times New Roman" w:eastAsia="Times New Roman" w:hAnsi="Times New Roman"/>
      <w:lang w:val="es-ES" w:eastAsia="es-ES"/>
    </w:rPr>
  </w:style>
  <w:style w:type="paragraph" w:customStyle="1" w:styleId="j">
    <w:name w:val="j"/>
    <w:basedOn w:val="Normal"/>
    <w:rsid w:val="0077643B"/>
    <w:pPr>
      <w:spacing w:before="100" w:beforeAutospacing="1" w:after="100" w:afterAutospacing="1"/>
    </w:pPr>
    <w:rPr>
      <w:lang w:val="es-MX" w:eastAsia="es-MX"/>
    </w:rPr>
  </w:style>
  <w:style w:type="character" w:customStyle="1" w:styleId="nacep">
    <w:name w:val="n_acep"/>
    <w:basedOn w:val="Fuentedeprrafopredeter"/>
    <w:rsid w:val="00776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49456916">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15774719">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0456613">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20443949">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2530335">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014768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5532406">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20107820">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7698457">
      <w:bodyDiv w:val="1"/>
      <w:marLeft w:val="0"/>
      <w:marRight w:val="0"/>
      <w:marTop w:val="0"/>
      <w:marBottom w:val="0"/>
      <w:divBdr>
        <w:top w:val="none" w:sz="0" w:space="0" w:color="auto"/>
        <w:left w:val="none" w:sz="0" w:space="0" w:color="auto"/>
        <w:bottom w:val="none" w:sz="0" w:space="0" w:color="auto"/>
        <w:right w:val="none" w:sz="0" w:space="0" w:color="auto"/>
      </w:divBdr>
    </w:div>
    <w:div w:id="1556547921">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95481566">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2021271048">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48660.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aimex.org.mx/saimex/solicitud/downloadAttach/1248660.page"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A1CCE-5EEA-4E38-8228-71790ACA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36</Pages>
  <Words>7350</Words>
  <Characters>40427</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9</cp:revision>
  <cp:lastPrinted>2021-12-20T20:31:00Z</cp:lastPrinted>
  <dcterms:created xsi:type="dcterms:W3CDTF">2021-12-07T16:39:00Z</dcterms:created>
  <dcterms:modified xsi:type="dcterms:W3CDTF">2022-01-13T00:28:00Z</dcterms:modified>
</cp:coreProperties>
</file>