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DBC" w:rsidRDefault="000D6AC4">
      <w:pPr>
        <w:spacing w:before="240" w:after="240"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A75AA6">
        <w:rPr>
          <w:rFonts w:ascii="Palatino Linotype" w:eastAsia="Palatino Linotype" w:hAnsi="Palatino Linotype" w:cs="Palatino Linotype"/>
        </w:rPr>
        <w:t>veintitrés</w:t>
      </w:r>
      <w:r>
        <w:rPr>
          <w:rFonts w:ascii="Palatino Linotype" w:eastAsia="Palatino Linotype" w:hAnsi="Palatino Linotype" w:cs="Palatino Linotype"/>
        </w:rPr>
        <w:t xml:space="preserve"> de febrero de dos mil veintidós. </w:t>
      </w:r>
    </w:p>
    <w:p w:rsidR="00602DBC" w:rsidRDefault="000D6AC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00</w:t>
      </w:r>
      <w:r w:rsidR="00A75AA6">
        <w:rPr>
          <w:rFonts w:ascii="Palatino Linotype" w:eastAsia="Palatino Linotype" w:hAnsi="Palatino Linotype" w:cs="Palatino Linotype"/>
          <w:b/>
        </w:rPr>
        <w:t>00</w:t>
      </w:r>
      <w:r>
        <w:rPr>
          <w:rFonts w:ascii="Palatino Linotype" w:eastAsia="Palatino Linotype" w:hAnsi="Palatino Linotype" w:cs="Palatino Linotype"/>
          <w:b/>
        </w:rPr>
        <w:t>4/INFOEM/IP/RR/2022</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r>
        <w:rPr>
          <w:rFonts w:ascii="Palatino Linotype" w:eastAsia="Palatino Linotype" w:hAnsi="Palatino Linotype" w:cs="Palatino Linotype"/>
        </w:rPr>
        <w:t>una persona usuaria del Sistema de Acceso a la Información Mexiquense que no proporcionó nombre o seudónimo para ser identificado y 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en su calidad de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sidR="00A75AA6" w:rsidRPr="00A75AA6">
        <w:rPr>
          <w:rFonts w:ascii="Palatino Linotype" w:eastAsia="Palatino Linotype" w:hAnsi="Palatino Linotype" w:cs="Palatino Linotype"/>
          <w:b/>
        </w:rPr>
        <w:t>Organismo Descentralizado de Agua Potable Alcantarillado y Saneamiento de Valle de Chalco Solidaridad</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w:t>
      </w:r>
      <w:proofErr w:type="gramStart"/>
      <w:r>
        <w:rPr>
          <w:rFonts w:ascii="Palatino Linotype" w:eastAsia="Palatino Linotype" w:hAnsi="Palatino Linotype" w:cs="Palatino Linotype"/>
        </w:rPr>
        <w:t>base</w:t>
      </w:r>
      <w:proofErr w:type="gramEnd"/>
      <w:r>
        <w:rPr>
          <w:rFonts w:ascii="Palatino Linotype" w:eastAsia="Palatino Linotype" w:hAnsi="Palatino Linotype" w:cs="Palatino Linotype"/>
        </w:rPr>
        <w:t xml:space="preserve"> en los siguientes: </w:t>
      </w:r>
    </w:p>
    <w:p w:rsidR="00602DBC" w:rsidRDefault="000D6AC4">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602DBC" w:rsidRDefault="000D6AC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sidR="00A75AA6" w:rsidRPr="00A75AA6">
        <w:rPr>
          <w:rFonts w:ascii="Palatino Linotype" w:eastAsia="Palatino Linotype" w:hAnsi="Palatino Linotype" w:cs="Palatino Linotype"/>
          <w:b/>
        </w:rPr>
        <w:t>dos</w:t>
      </w:r>
      <w:r>
        <w:rPr>
          <w:rFonts w:ascii="Palatino Linotype" w:eastAsia="Palatino Linotype" w:hAnsi="Palatino Linotype" w:cs="Palatino Linotype"/>
          <w:b/>
        </w:rPr>
        <w:t xml:space="preserve"> de </w:t>
      </w:r>
      <w:r w:rsidR="00A75AA6">
        <w:rPr>
          <w:rFonts w:ascii="Palatino Linotype" w:eastAsia="Palatino Linotype" w:hAnsi="Palatino Linotype" w:cs="Palatino Linotype"/>
          <w:b/>
        </w:rPr>
        <w:t>diciembre</w:t>
      </w:r>
      <w:r>
        <w:rPr>
          <w:rFonts w:ascii="Palatino Linotype" w:eastAsia="Palatino Linotype" w:hAnsi="Palatino Linotype" w:cs="Palatino Linotype"/>
          <w:b/>
        </w:rPr>
        <w:t xml:space="preserve"> de dos mil veinti</w:t>
      </w:r>
      <w:r w:rsidR="00A75AA6">
        <w:rPr>
          <w:rFonts w:ascii="Palatino Linotype" w:eastAsia="Palatino Linotype" w:hAnsi="Palatino Linotype" w:cs="Palatino Linotype"/>
          <w:b/>
        </w:rPr>
        <w:t>uno</w:t>
      </w:r>
      <w:r>
        <w:rPr>
          <w:rFonts w:ascii="Palatino Linotype" w:eastAsia="Palatino Linotype" w:hAnsi="Palatino Linotype" w:cs="Palatino Linotype"/>
          <w:b/>
        </w:rPr>
        <w:t>,</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Pr>
          <w:rFonts w:ascii="Palatino Linotype" w:eastAsia="Palatino Linotype" w:hAnsi="Palatino Linotype" w:cs="Palatino Linotype"/>
          <w:b/>
        </w:rPr>
        <w:t>000</w:t>
      </w:r>
      <w:r w:rsidR="00A75AA6">
        <w:rPr>
          <w:rFonts w:ascii="Palatino Linotype" w:eastAsia="Palatino Linotype" w:hAnsi="Palatino Linotype" w:cs="Palatino Linotype"/>
          <w:b/>
        </w:rPr>
        <w:t>62</w:t>
      </w:r>
      <w:r>
        <w:rPr>
          <w:rFonts w:ascii="Palatino Linotype" w:eastAsia="Palatino Linotype" w:hAnsi="Palatino Linotype" w:cs="Palatino Linotype"/>
          <w:b/>
        </w:rPr>
        <w:t>/</w:t>
      </w:r>
      <w:r w:rsidR="00A75AA6">
        <w:rPr>
          <w:rFonts w:ascii="Palatino Linotype" w:eastAsia="Palatino Linotype" w:hAnsi="Palatino Linotype" w:cs="Palatino Linotype"/>
          <w:b/>
        </w:rPr>
        <w:t>OASVACHASO</w:t>
      </w:r>
      <w:r>
        <w:rPr>
          <w:rFonts w:ascii="Palatino Linotype" w:eastAsia="Palatino Linotype" w:hAnsi="Palatino Linotype" w:cs="Palatino Linotype"/>
          <w:b/>
        </w:rPr>
        <w:t>/IP/202</w:t>
      </w:r>
      <w:r w:rsidR="00A75AA6">
        <w:rPr>
          <w:rFonts w:ascii="Palatino Linotype" w:eastAsia="Palatino Linotype" w:hAnsi="Palatino Linotype" w:cs="Palatino Linotype"/>
          <w:b/>
        </w:rPr>
        <w:t>1</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rsidR="00602DBC" w:rsidRDefault="000D6AC4">
      <w:pPr>
        <w:spacing w:line="360" w:lineRule="auto"/>
        <w:ind w:left="851" w:right="616"/>
        <w:jc w:val="both"/>
        <w:rPr>
          <w:rFonts w:ascii="Palatino Linotype" w:eastAsia="Palatino Linotype" w:hAnsi="Palatino Linotype" w:cs="Palatino Linotype"/>
          <w:b/>
          <w:i/>
          <w:sz w:val="22"/>
          <w:szCs w:val="22"/>
        </w:rPr>
      </w:pPr>
      <w:bookmarkStart w:id="1" w:name="_heading=h.gjdgxs" w:colFirst="0" w:colLast="0"/>
      <w:bookmarkEnd w:id="1"/>
      <w:r>
        <w:rPr>
          <w:rFonts w:ascii="Palatino Linotype" w:eastAsia="Palatino Linotype" w:hAnsi="Palatino Linotype" w:cs="Palatino Linotype"/>
          <w:i/>
          <w:sz w:val="22"/>
          <w:szCs w:val="22"/>
        </w:rPr>
        <w:t>“</w:t>
      </w:r>
      <w:r w:rsidR="00A75AA6" w:rsidRPr="00A75AA6">
        <w:rPr>
          <w:rFonts w:ascii="Palatino Linotype" w:eastAsia="Palatino Linotype" w:hAnsi="Palatino Linotype" w:cs="Palatino Linotype"/>
          <w:i/>
          <w:sz w:val="22"/>
          <w:szCs w:val="22"/>
        </w:rPr>
        <w:t xml:space="preserve">Conforme al documento adjunto a la presente solicitud, respecto de un terreno baldío con una superficie de 400 m2, derivado de una operación de compra y venta </w:t>
      </w:r>
      <w:r w:rsidR="00A75AA6" w:rsidRPr="00A75AA6">
        <w:rPr>
          <w:rFonts w:ascii="Palatino Linotype" w:eastAsia="Palatino Linotype" w:hAnsi="Palatino Linotype" w:cs="Palatino Linotype"/>
          <w:i/>
          <w:sz w:val="22"/>
          <w:szCs w:val="22"/>
        </w:rPr>
        <w:lastRenderedPageBreak/>
        <w:t>la cual dio como resultado la adquisición de una fracción de ese terreno teniendo una superficie de 125 m2, requiero el fundamento legal y administrativo, así como los requisitos para tramitar lo siguiente: a) Conexión nueva de drenaje para la fracción resultante de 125 m2 b) Conexión nueva de agua para la fracción resultante de 125 m2</w:t>
      </w:r>
      <w:r>
        <w:rPr>
          <w:rFonts w:ascii="Palatino Linotype" w:eastAsia="Palatino Linotype" w:hAnsi="Palatino Linotype" w:cs="Palatino Linotype"/>
          <w:i/>
          <w:sz w:val="22"/>
          <w:szCs w:val="22"/>
        </w:rPr>
        <w:t>.”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rsidR="00602DBC" w:rsidRDefault="00A75AA6" w:rsidP="00A75AA6">
      <w:pPr>
        <w:spacing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rPr>
        <w:t xml:space="preserve">Solicitud a la que adjunto el archivo electrónico </w:t>
      </w:r>
      <w:r>
        <w:rPr>
          <w:rFonts w:ascii="Palatino Linotype" w:eastAsia="Palatino Linotype" w:hAnsi="Palatino Linotype" w:cs="Palatino Linotype"/>
          <w:b/>
          <w:i/>
        </w:rPr>
        <w:t xml:space="preserve">“Sin titulo.png” </w:t>
      </w:r>
      <w:r>
        <w:rPr>
          <w:rFonts w:ascii="Palatino Linotype" w:eastAsia="Palatino Linotype" w:hAnsi="Palatino Linotype" w:cs="Palatino Linotype"/>
        </w:rPr>
        <w:t xml:space="preserve">en el que se observa la siguiente imagen: </w:t>
      </w:r>
    </w:p>
    <w:p w:rsidR="00A75AA6" w:rsidRPr="00A75AA6" w:rsidRDefault="00A75AA6">
      <w:pPr>
        <w:ind w:right="900"/>
        <w:jc w:val="both"/>
        <w:rPr>
          <w:rFonts w:ascii="Palatino Linotype" w:eastAsia="Palatino Linotype" w:hAnsi="Palatino Linotype" w:cs="Palatino Linotype"/>
        </w:rPr>
      </w:pPr>
      <w:r w:rsidRPr="00A75AA6">
        <w:rPr>
          <w:rFonts w:ascii="Palatino Linotype" w:eastAsia="Palatino Linotype" w:hAnsi="Palatino Linotype" w:cs="Palatino Linotype"/>
          <w:noProof/>
          <w:lang w:val="es-MX"/>
        </w:rPr>
        <w:drawing>
          <wp:inline distT="0" distB="0" distL="0" distR="0" wp14:anchorId="682C53E7" wp14:editId="7F78CD2A">
            <wp:extent cx="5612130" cy="374904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749040"/>
                    </a:xfrm>
                    <a:prstGeom prst="rect">
                      <a:avLst/>
                    </a:prstGeom>
                  </pic:spPr>
                </pic:pic>
              </a:graphicData>
            </a:graphic>
          </wp:inline>
        </w:drawing>
      </w:r>
    </w:p>
    <w:p w:rsidR="00602DBC" w:rsidRDefault="000D6AC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del Sistema de Acceso a la Información Mexiquense (SAIMEX).</w:t>
      </w:r>
    </w:p>
    <w:p w:rsidR="00602DBC" w:rsidRDefault="000D6AC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 El </w:t>
      </w:r>
      <w:r w:rsidR="00A75AA6">
        <w:rPr>
          <w:rFonts w:ascii="Palatino Linotype" w:eastAsia="Palatino Linotype" w:hAnsi="Palatino Linotype" w:cs="Palatino Linotype"/>
          <w:b/>
        </w:rPr>
        <w:t>diecisiete</w:t>
      </w:r>
      <w:r>
        <w:rPr>
          <w:rFonts w:ascii="Palatino Linotype" w:eastAsia="Palatino Linotype" w:hAnsi="Palatino Linotype" w:cs="Palatino Linotype"/>
          <w:b/>
        </w:rPr>
        <w:t xml:space="preserve"> de </w:t>
      </w:r>
      <w:r w:rsidR="00A75AA6">
        <w:rPr>
          <w:rFonts w:ascii="Palatino Linotype" w:eastAsia="Palatino Linotype" w:hAnsi="Palatino Linotype" w:cs="Palatino Linotype"/>
          <w:b/>
        </w:rPr>
        <w:t>diciembre</w:t>
      </w:r>
      <w:r>
        <w:rPr>
          <w:rFonts w:ascii="Palatino Linotype" w:eastAsia="Palatino Linotype" w:hAnsi="Palatino Linotype" w:cs="Palatino Linotype"/>
          <w:b/>
        </w:rPr>
        <w:t xml:space="preserve"> de dos mil veinti</w:t>
      </w:r>
      <w:r w:rsidR="00A75AA6">
        <w:rPr>
          <w:rFonts w:ascii="Palatino Linotype" w:eastAsia="Palatino Linotype" w:hAnsi="Palatino Linotype" w:cs="Palatino Linotype"/>
          <w:b/>
        </w:rPr>
        <w:t>uno</w:t>
      </w:r>
      <w:r>
        <w:rPr>
          <w:rFonts w:ascii="Palatino Linotype" w:eastAsia="Palatino Linotype" w:hAnsi="Palatino Linotype" w:cs="Palatino Linotype"/>
          <w:b/>
        </w:rPr>
        <w:t>,</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acceso a la información en los términos siguientes:   </w:t>
      </w:r>
    </w:p>
    <w:p w:rsidR="00602DBC" w:rsidRDefault="000D6AC4" w:rsidP="00A75AA6">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A75AA6" w:rsidRPr="00A75AA6">
        <w:rPr>
          <w:rFonts w:ascii="Palatino Linotype" w:eastAsia="Palatino Linotype" w:hAnsi="Palatino Linotype" w:cs="Palatino Linotype"/>
          <w:i/>
          <w:sz w:val="22"/>
          <w:szCs w:val="22"/>
        </w:rPr>
        <w:t xml:space="preserve">En respuesta a la solicitud hecha respecto a un terreno baldío, con una superficie de 400 m2, derivado de una operación de compra y venta la cual se dio como resultado la adquisición de una fracción de ese terreno teniendo una superficie de 125 m2, se le brinda la información necesaria para la conexión de un drenaje nuevo: 1.-DOCUMENTACION A PRESENTAR -Escrituras, título de la propiedad y/o predial. (Original) -Identificación oficial vigente (INE, pasaporte, etc.). (Original) 2.- FUNDAMENTO LEGAL -Trámite de factibilidad de servicios. - Artículo 137 y 137 BIS del Código Financiero del Estado de México. -Conexión de drenaje. - Artículo 135 fracción II, del Código Financiero del Estado de México. -Ruptura y reparación de pavimento por metro lineal. - De acuerdo con el Acta de Cabildo 101ª Ordinaria Punto 4° en los términos y condiciones número 15. Para llevar a cabo el trámite para la contratación de una conexión de toma de agua DOMESTICA se requiere que el propietario del predio se presente a las oficinas de Operación Hidráulica con la siguiente documentación: • Escrituras y/o título de la propiedad. • Predial. • INE del propietario. Toda la documentación debe ser presentada en original para cotejar la información y 3 juegos de copias. Posterior al cotejo de la documentación debe de realizar los pagos, según sea el caso, mismos que a continuación se mencionan: • De acuerdo con el fundamento del código financiero del Estado de México y en base al Art. 137, </w:t>
      </w:r>
      <w:proofErr w:type="spellStart"/>
      <w:r w:rsidR="00A75AA6" w:rsidRPr="00A75AA6">
        <w:rPr>
          <w:rFonts w:ascii="Palatino Linotype" w:eastAsia="Palatino Linotype" w:hAnsi="Palatino Linotype" w:cs="Palatino Linotype"/>
          <w:i/>
          <w:sz w:val="22"/>
          <w:szCs w:val="22"/>
        </w:rPr>
        <w:t>Fracc</w:t>
      </w:r>
      <w:proofErr w:type="spellEnd"/>
      <w:r w:rsidR="00A75AA6" w:rsidRPr="00A75AA6">
        <w:rPr>
          <w:rFonts w:ascii="Palatino Linotype" w:eastAsia="Palatino Linotype" w:hAnsi="Palatino Linotype" w:cs="Palatino Linotype"/>
          <w:i/>
          <w:sz w:val="22"/>
          <w:szCs w:val="22"/>
        </w:rPr>
        <w:t xml:space="preserve">. I, primera tabla C.F.E.M.M donde nos establece que se pagara 18 veces el UMA vigente se cobra Dictamen de factibilidad por $1,613.16, se respetara esta cantidad como costo total del concepto. • De acuerdo con el fundamento del código financiero del Estado de México y en base al Art. 135, </w:t>
      </w:r>
      <w:proofErr w:type="spellStart"/>
      <w:r w:rsidR="00A75AA6" w:rsidRPr="00A75AA6">
        <w:rPr>
          <w:rFonts w:ascii="Palatino Linotype" w:eastAsia="Palatino Linotype" w:hAnsi="Palatino Linotype" w:cs="Palatino Linotype"/>
          <w:i/>
          <w:sz w:val="22"/>
          <w:szCs w:val="22"/>
        </w:rPr>
        <w:t>Fracc</w:t>
      </w:r>
      <w:proofErr w:type="spellEnd"/>
      <w:r w:rsidR="00A75AA6" w:rsidRPr="00A75AA6">
        <w:rPr>
          <w:rFonts w:ascii="Palatino Linotype" w:eastAsia="Palatino Linotype" w:hAnsi="Palatino Linotype" w:cs="Palatino Linotype"/>
          <w:i/>
          <w:sz w:val="22"/>
          <w:szCs w:val="22"/>
        </w:rPr>
        <w:t>. I, inciso A, se realiza el cobro por Conexión de toma de agua domestico ½” por $2,996.71 y se respetara esta cantidad como costo total del concepto. • De acuerdo con el Acta de cabildo No. 101a.ORDINARIA, Punto 4°-Trienio 2019-2021, No. 22 el concepto por Ruptura de Pavimento es de $1.067.20 por metro Lineal</w:t>
      </w:r>
      <w:proofErr w:type="gramStart"/>
      <w:r w:rsidR="00A75AA6" w:rsidRPr="00A75AA6">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rsidR="00602DBC" w:rsidRDefault="000D6AC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El </w:t>
      </w:r>
      <w:r w:rsidR="00A75AA6">
        <w:rPr>
          <w:rFonts w:ascii="Palatino Linotype" w:eastAsia="Palatino Linotype" w:hAnsi="Palatino Linotype" w:cs="Palatino Linotype"/>
          <w:b/>
        </w:rPr>
        <w:t>diez</w:t>
      </w:r>
      <w:r>
        <w:rPr>
          <w:rFonts w:ascii="Palatino Linotype" w:eastAsia="Palatino Linotype" w:hAnsi="Palatino Linotype" w:cs="Palatino Linotype"/>
          <w:b/>
        </w:rPr>
        <w:t xml:space="preserve"> de enero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inconforme con la respuesta, presentó el recurso de revisión en el que manifestó lo siguiente:</w:t>
      </w:r>
    </w:p>
    <w:p w:rsidR="00602DBC" w:rsidRDefault="000D6AC4">
      <w:pPr>
        <w:tabs>
          <w:tab w:val="left" w:pos="2745"/>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rsidR="00602DBC" w:rsidRDefault="00602DBC">
      <w:pPr>
        <w:spacing w:line="360" w:lineRule="auto"/>
        <w:ind w:left="851" w:right="900"/>
        <w:jc w:val="both"/>
        <w:rPr>
          <w:rFonts w:ascii="Palatino Linotype" w:eastAsia="Palatino Linotype" w:hAnsi="Palatino Linotype" w:cs="Palatino Linotype"/>
          <w:i/>
          <w:sz w:val="2"/>
          <w:szCs w:val="2"/>
        </w:rPr>
      </w:pPr>
    </w:p>
    <w:p w:rsidR="00602DBC" w:rsidRDefault="000D6AC4">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A75AA6" w:rsidRPr="00A75AA6">
        <w:rPr>
          <w:rFonts w:ascii="Palatino Linotype" w:eastAsia="Palatino Linotype" w:hAnsi="Palatino Linotype" w:cs="Palatino Linotype"/>
          <w:i/>
          <w:sz w:val="22"/>
          <w:szCs w:val="22"/>
        </w:rPr>
        <w:t xml:space="preserve">Una pregunta concreta merece una respuesta concreta, no atienden concretamente la solicitud </w:t>
      </w:r>
      <w:r>
        <w:rPr>
          <w:rFonts w:ascii="Palatino Linotype" w:eastAsia="Palatino Linotype" w:hAnsi="Palatino Linotype" w:cs="Palatino Linotype"/>
          <w:i/>
          <w:sz w:val="22"/>
          <w:szCs w:val="22"/>
        </w:rPr>
        <w:t>"” (sic)</w:t>
      </w:r>
    </w:p>
    <w:p w:rsidR="00602DBC" w:rsidRDefault="00602DBC">
      <w:pPr>
        <w:spacing w:line="360" w:lineRule="auto"/>
        <w:jc w:val="both"/>
        <w:rPr>
          <w:rFonts w:ascii="Palatino Linotype" w:eastAsia="Palatino Linotype" w:hAnsi="Palatino Linotype" w:cs="Palatino Linotype"/>
          <w:sz w:val="2"/>
          <w:szCs w:val="2"/>
        </w:rPr>
      </w:pPr>
    </w:p>
    <w:p w:rsidR="00602DBC" w:rsidRDefault="00602DBC">
      <w:pPr>
        <w:spacing w:line="360" w:lineRule="auto"/>
        <w:jc w:val="both"/>
        <w:rPr>
          <w:rFonts w:ascii="Palatino Linotype" w:eastAsia="Palatino Linotype" w:hAnsi="Palatino Linotype" w:cs="Palatino Linotype"/>
          <w:sz w:val="2"/>
          <w:szCs w:val="2"/>
        </w:rPr>
      </w:pPr>
    </w:p>
    <w:p w:rsidR="00602DBC" w:rsidRDefault="00602DBC">
      <w:pPr>
        <w:spacing w:line="360" w:lineRule="auto"/>
        <w:jc w:val="both"/>
        <w:rPr>
          <w:rFonts w:ascii="Palatino Linotype" w:eastAsia="Palatino Linotype" w:hAnsi="Palatino Linotype" w:cs="Palatino Linotype"/>
          <w:sz w:val="2"/>
          <w:szCs w:val="2"/>
        </w:rPr>
      </w:pPr>
    </w:p>
    <w:p w:rsidR="00602DBC" w:rsidRDefault="000D6AC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Razones o motivos de inconformidad</w:t>
      </w:r>
      <w:r>
        <w:rPr>
          <w:rFonts w:ascii="Palatino Linotype" w:eastAsia="Palatino Linotype" w:hAnsi="Palatino Linotype" w:cs="Palatino Linotype"/>
        </w:rPr>
        <w:t>:</w:t>
      </w:r>
    </w:p>
    <w:p w:rsidR="00602DBC" w:rsidRDefault="00602DBC">
      <w:pPr>
        <w:spacing w:line="360" w:lineRule="auto"/>
        <w:jc w:val="both"/>
        <w:rPr>
          <w:rFonts w:ascii="Palatino Linotype" w:eastAsia="Palatino Linotype" w:hAnsi="Palatino Linotype" w:cs="Palatino Linotype"/>
          <w:sz w:val="2"/>
          <w:szCs w:val="2"/>
        </w:rPr>
      </w:pPr>
    </w:p>
    <w:p w:rsidR="00602DBC" w:rsidRDefault="000D6AC4">
      <w:pPr>
        <w:ind w:left="851" w:right="900"/>
        <w:jc w:val="both"/>
        <w:rPr>
          <w:rFonts w:ascii="Palatino Linotype" w:eastAsia="Palatino Linotype" w:hAnsi="Palatino Linotype" w:cs="Palatino Linotype"/>
          <w:i/>
          <w:sz w:val="22"/>
          <w:szCs w:val="22"/>
        </w:rPr>
      </w:pPr>
      <w:bookmarkStart w:id="2" w:name="_heading=h.30j0zll" w:colFirst="0" w:colLast="0"/>
      <w:bookmarkEnd w:id="2"/>
      <w:r>
        <w:rPr>
          <w:rFonts w:ascii="Palatino Linotype" w:eastAsia="Palatino Linotype" w:hAnsi="Palatino Linotype" w:cs="Palatino Linotype"/>
          <w:i/>
          <w:sz w:val="22"/>
          <w:szCs w:val="22"/>
        </w:rPr>
        <w:t>“</w:t>
      </w:r>
      <w:r w:rsidR="00A75AA6" w:rsidRPr="00A75AA6">
        <w:rPr>
          <w:rFonts w:ascii="Palatino Linotype" w:eastAsia="Palatino Linotype" w:hAnsi="Palatino Linotype" w:cs="Palatino Linotype"/>
          <w:i/>
          <w:sz w:val="22"/>
          <w:szCs w:val="22"/>
        </w:rPr>
        <w:t>Se viola mi derecho humano al acceso a la información pública</w:t>
      </w:r>
      <w:r>
        <w:rPr>
          <w:rFonts w:ascii="Palatino Linotype" w:eastAsia="Palatino Linotype" w:hAnsi="Palatino Linotype" w:cs="Palatino Linotype"/>
          <w:i/>
          <w:sz w:val="22"/>
          <w:szCs w:val="22"/>
        </w:rPr>
        <w:t>.”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rsidR="00602DBC" w:rsidRDefault="000D6AC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Ponente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a efecto de que analizara sobre su admisión o su desechamiento.</w:t>
      </w:r>
    </w:p>
    <w:p w:rsidR="00602DBC" w:rsidRDefault="000D6AC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El</w:t>
      </w:r>
      <w:r>
        <w:rPr>
          <w:rFonts w:ascii="Palatino Linotype" w:eastAsia="Palatino Linotype" w:hAnsi="Palatino Linotype" w:cs="Palatino Linotype"/>
          <w:b/>
        </w:rPr>
        <w:t xml:space="preserve"> </w:t>
      </w:r>
      <w:r w:rsidR="00A75AA6">
        <w:rPr>
          <w:rFonts w:ascii="Palatino Linotype" w:eastAsia="Palatino Linotype" w:hAnsi="Palatino Linotype" w:cs="Palatino Linotype"/>
          <w:b/>
        </w:rPr>
        <w:t>trece</w:t>
      </w:r>
      <w:r>
        <w:rPr>
          <w:rFonts w:ascii="Palatino Linotype" w:eastAsia="Palatino Linotype" w:hAnsi="Palatino Linotype" w:cs="Palatino Linotype"/>
          <w:b/>
        </w:rPr>
        <w:t xml:space="preserve"> de enero de dos mil veintidós,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rsidR="00602DBC" w:rsidRDefault="000D6AC4" w:rsidP="00A75AA6">
      <w:pPr>
        <w:widowControl w:val="0"/>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El </w:t>
      </w:r>
      <w:r w:rsidR="00A75AA6">
        <w:rPr>
          <w:rFonts w:ascii="Palatino Linotype" w:eastAsia="Palatino Linotype" w:hAnsi="Palatino Linotype" w:cs="Palatino Linotype"/>
          <w:b/>
        </w:rPr>
        <w:t>veintiuno</w:t>
      </w:r>
      <w:r>
        <w:rPr>
          <w:rFonts w:ascii="Palatino Linotype" w:eastAsia="Palatino Linotype" w:hAnsi="Palatino Linotype" w:cs="Palatino Linotype"/>
        </w:rPr>
        <w:t xml:space="preserve"> </w:t>
      </w:r>
      <w:r>
        <w:rPr>
          <w:rFonts w:ascii="Palatino Linotype" w:eastAsia="Palatino Linotype" w:hAnsi="Palatino Linotype" w:cs="Palatino Linotype"/>
          <w:b/>
        </w:rPr>
        <w:t>de enero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w:t>
      </w:r>
      <w:r>
        <w:rPr>
          <w:rFonts w:ascii="Palatino Linotype" w:eastAsia="Palatino Linotype" w:hAnsi="Palatino Linotype" w:cs="Palatino Linotype"/>
          <w:b/>
        </w:rPr>
        <w:lastRenderedPageBreak/>
        <w:t xml:space="preserve">OBLIGADO </w:t>
      </w:r>
      <w:r>
        <w:rPr>
          <w:rFonts w:ascii="Palatino Linotype" w:eastAsia="Palatino Linotype" w:hAnsi="Palatino Linotype" w:cs="Palatino Linotype"/>
        </w:rPr>
        <w:t>rindió i</w:t>
      </w:r>
      <w:r w:rsidR="00A75AA6">
        <w:rPr>
          <w:rFonts w:ascii="Palatino Linotype" w:eastAsia="Palatino Linotype" w:hAnsi="Palatino Linotype" w:cs="Palatino Linotype"/>
        </w:rPr>
        <w:t xml:space="preserve">nforme justificado y adjuntó el archivo electrónico </w:t>
      </w:r>
      <w:r>
        <w:rPr>
          <w:rFonts w:ascii="Palatino Linotype" w:eastAsia="Palatino Linotype" w:hAnsi="Palatino Linotype" w:cs="Palatino Linotype"/>
          <w:b/>
          <w:i/>
          <w:color w:val="000000"/>
        </w:rPr>
        <w:t>“</w:t>
      </w:r>
      <w:r w:rsidR="00A75AA6" w:rsidRPr="00A75AA6">
        <w:rPr>
          <w:rFonts w:ascii="Palatino Linotype" w:eastAsia="Palatino Linotype" w:hAnsi="Palatino Linotype" w:cs="Palatino Linotype"/>
          <w:b/>
          <w:i/>
          <w:color w:val="000000"/>
        </w:rPr>
        <w:t>00004_INFOEM_IP_RR_2022.pdf</w:t>
      </w:r>
      <w:r w:rsidR="00A75AA6">
        <w:rPr>
          <w:rFonts w:ascii="Palatino Linotype" w:eastAsia="Palatino Linotype" w:hAnsi="Palatino Linotype" w:cs="Palatino Linotype"/>
          <w:b/>
          <w:i/>
          <w:color w:val="000000"/>
        </w:rPr>
        <w:t>”</w:t>
      </w:r>
      <w:r w:rsidR="00A75AA6">
        <w:rPr>
          <w:rFonts w:ascii="Palatino Linotype" w:eastAsia="Palatino Linotype" w:hAnsi="Palatino Linotype" w:cs="Palatino Linotype"/>
          <w:color w:val="000000"/>
        </w:rPr>
        <w:t xml:space="preserve"> que es del contenido siguiente: </w:t>
      </w:r>
    </w:p>
    <w:p w:rsidR="00A75AA6" w:rsidRDefault="00A75AA6" w:rsidP="00A75AA6">
      <w:pPr>
        <w:widowControl w:val="0"/>
        <w:spacing w:before="240" w:after="240" w:line="360" w:lineRule="auto"/>
        <w:jc w:val="both"/>
        <w:rPr>
          <w:rFonts w:ascii="Palatino Linotype" w:eastAsia="Palatino Linotype" w:hAnsi="Palatino Linotype" w:cs="Palatino Linotype"/>
        </w:rPr>
      </w:pPr>
      <w:r w:rsidRPr="00A75AA6">
        <w:rPr>
          <w:rFonts w:ascii="Palatino Linotype" w:eastAsia="Palatino Linotype" w:hAnsi="Palatino Linotype" w:cs="Palatino Linotype"/>
          <w:noProof/>
          <w:lang w:val="es-MX"/>
        </w:rPr>
        <w:drawing>
          <wp:inline distT="0" distB="0" distL="0" distR="0" wp14:anchorId="7F6C1BFB" wp14:editId="01AB178F">
            <wp:extent cx="5692140" cy="5362574"/>
            <wp:effectExtent l="19050" t="19050" r="22860" b="101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06412" cy="5376020"/>
                    </a:xfrm>
                    <a:prstGeom prst="rect">
                      <a:avLst/>
                    </a:prstGeom>
                    <a:ln w="12700">
                      <a:solidFill>
                        <a:schemeClr val="tx1"/>
                      </a:solidFill>
                    </a:ln>
                  </pic:spPr>
                </pic:pic>
              </a:graphicData>
            </a:graphic>
          </wp:inline>
        </w:drawing>
      </w:r>
    </w:p>
    <w:p w:rsidR="00A75AA6" w:rsidRPr="00A75AA6" w:rsidRDefault="00A75AA6" w:rsidP="00A75AA6">
      <w:pPr>
        <w:widowControl w:val="0"/>
        <w:spacing w:before="240" w:after="240" w:line="360" w:lineRule="auto"/>
        <w:jc w:val="both"/>
        <w:rPr>
          <w:rFonts w:ascii="Palatino Linotype" w:eastAsia="Palatino Linotype" w:hAnsi="Palatino Linotype" w:cs="Palatino Linotype"/>
        </w:rPr>
      </w:pPr>
      <w:r w:rsidRPr="00A75AA6">
        <w:rPr>
          <w:rFonts w:ascii="Palatino Linotype" w:eastAsia="Palatino Linotype" w:hAnsi="Palatino Linotype" w:cs="Palatino Linotype"/>
          <w:noProof/>
          <w:lang w:val="es-MX"/>
        </w:rPr>
        <w:lastRenderedPageBreak/>
        <w:drawing>
          <wp:inline distT="0" distB="0" distL="0" distR="0" wp14:anchorId="448131BB" wp14:editId="44B12E7B">
            <wp:extent cx="5539740" cy="6012180"/>
            <wp:effectExtent l="19050" t="19050" r="22860" b="266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0516" cy="6013022"/>
                    </a:xfrm>
                    <a:prstGeom prst="rect">
                      <a:avLst/>
                    </a:prstGeom>
                    <a:ln w="12700">
                      <a:solidFill>
                        <a:schemeClr val="tx1"/>
                      </a:solidFill>
                    </a:ln>
                  </pic:spPr>
                </pic:pic>
              </a:graphicData>
            </a:graphic>
          </wp:inline>
        </w:drawing>
      </w:r>
    </w:p>
    <w:p w:rsidR="00602DBC" w:rsidRDefault="000D6AC4" w:rsidP="00BB101E">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Documentos qu</w:t>
      </w:r>
      <w:r w:rsidR="00BB101E">
        <w:rPr>
          <w:rFonts w:ascii="Palatino Linotype" w:eastAsia="Palatino Linotype" w:hAnsi="Palatino Linotype" w:cs="Palatino Linotype"/>
          <w:color w:val="000000"/>
        </w:rPr>
        <w:t>e mediante acuerdo de fecha quince</w:t>
      </w:r>
      <w:r>
        <w:rPr>
          <w:rFonts w:ascii="Palatino Linotype" w:eastAsia="Palatino Linotype" w:hAnsi="Palatino Linotype" w:cs="Palatino Linotype"/>
          <w:color w:val="000000"/>
        </w:rPr>
        <w:t xml:space="preserve"> de febrero de dos mil veintidós se pusieron a la vista del </w:t>
      </w:r>
      <w:r>
        <w:rPr>
          <w:rFonts w:ascii="Palatino Linotype" w:eastAsia="Palatino Linotype" w:hAnsi="Palatino Linotype" w:cs="Palatino Linotype"/>
          <w:b/>
          <w:color w:val="000000"/>
        </w:rPr>
        <w:t>RECURRENTE</w:t>
      </w:r>
      <w:r w:rsidR="005A2349">
        <w:rPr>
          <w:rFonts w:ascii="Palatino Linotype" w:eastAsia="Palatino Linotype" w:hAnsi="Palatino Linotype" w:cs="Palatino Linotype"/>
          <w:color w:val="000000"/>
        </w:rPr>
        <w:t>.</w:t>
      </w:r>
    </w:p>
    <w:p w:rsidR="00602DBC" w:rsidRDefault="00BB101E" w:rsidP="00BB101E">
      <w:pPr>
        <w:widowControl w:val="0"/>
        <w:pBdr>
          <w:top w:val="nil"/>
          <w:left w:val="nil"/>
          <w:bottom w:val="nil"/>
          <w:right w:val="nil"/>
          <w:between w:val="nil"/>
        </w:pBdr>
        <w:spacing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lastRenderedPageBreak/>
        <w:t>Cabe señalar que</w:t>
      </w:r>
      <w:r w:rsidR="005A2349">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p</w:t>
      </w:r>
      <w:r w:rsidR="000D6AC4">
        <w:rPr>
          <w:rFonts w:ascii="Palatino Linotype" w:eastAsia="Palatino Linotype" w:hAnsi="Palatino Linotype" w:cs="Palatino Linotype"/>
          <w:color w:val="000000"/>
        </w:rPr>
        <w:t xml:space="preserve">or su parte, el </w:t>
      </w:r>
      <w:r w:rsidR="000D6AC4">
        <w:rPr>
          <w:rFonts w:ascii="Palatino Linotype" w:eastAsia="Palatino Linotype" w:hAnsi="Palatino Linotype" w:cs="Palatino Linotype"/>
          <w:b/>
          <w:color w:val="000000"/>
        </w:rPr>
        <w:t xml:space="preserve">RECURRENTE </w:t>
      </w:r>
      <w:r w:rsidR="000D6AC4">
        <w:rPr>
          <w:rFonts w:ascii="Palatino Linotype" w:eastAsia="Palatino Linotype" w:hAnsi="Palatino Linotype" w:cs="Palatino Linotype"/>
          <w:color w:val="000000"/>
        </w:rPr>
        <w:t xml:space="preserve">no realizó manifestaciones, ni formuló alegatos y tampoco ofreció medios de prueba. </w:t>
      </w:r>
    </w:p>
    <w:p w:rsidR="00602DBC" w:rsidRDefault="000D6AC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BB101E">
        <w:rPr>
          <w:rFonts w:ascii="Palatino Linotype" w:eastAsia="Palatino Linotype" w:hAnsi="Palatino Linotype" w:cs="Palatino Linotype"/>
          <w:b/>
        </w:rPr>
        <w:t>veintiuno</w:t>
      </w:r>
      <w:r>
        <w:rPr>
          <w:rFonts w:ascii="Palatino Linotype" w:eastAsia="Palatino Linotype" w:hAnsi="Palatino Linotype" w:cs="Palatino Linotype"/>
          <w:b/>
        </w:rPr>
        <w:t xml:space="preserve"> de febrero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602DBC" w:rsidRDefault="000D6AC4">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rsidR="00602DBC" w:rsidRDefault="000D6AC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602DBC" w:rsidRDefault="000D6AC4">
      <w:pPr>
        <w:spacing w:before="240" w:after="24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rPr>
        <w:t xml:space="preserve">. Previo al estudio del fondo del asunto, se procede a analizar los requisitos de oportunidad y </w:t>
      </w:r>
      <w:proofErr w:type="spellStart"/>
      <w:r>
        <w:rPr>
          <w:rFonts w:ascii="Palatino Linotype" w:eastAsia="Palatino Linotype" w:hAnsi="Palatino Linotype" w:cs="Palatino Linotype"/>
        </w:rPr>
        <w:lastRenderedPageBreak/>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602DBC" w:rsidRDefault="000D6AC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el </w:t>
      </w:r>
      <w:r w:rsidR="00BB101E">
        <w:rPr>
          <w:rFonts w:ascii="Palatino Linotype" w:eastAsia="Palatino Linotype" w:hAnsi="Palatino Linotype" w:cs="Palatino Linotype"/>
          <w:b/>
        </w:rPr>
        <w:t>diecisiete</w:t>
      </w:r>
      <w:r>
        <w:rPr>
          <w:rFonts w:ascii="Palatino Linotype" w:eastAsia="Palatino Linotype" w:hAnsi="Palatino Linotype" w:cs="Palatino Linotype"/>
          <w:b/>
        </w:rPr>
        <w:t xml:space="preserve"> de </w:t>
      </w:r>
      <w:r w:rsidR="00BB101E">
        <w:rPr>
          <w:rFonts w:ascii="Palatino Linotype" w:eastAsia="Palatino Linotype" w:hAnsi="Palatino Linotype" w:cs="Palatino Linotype"/>
          <w:b/>
        </w:rPr>
        <w:t>diciembre de dos mil veintiuno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mientras que el recurso de revisión se interpuso el </w:t>
      </w:r>
      <w:r w:rsidR="00BB101E">
        <w:rPr>
          <w:rFonts w:ascii="Palatino Linotype" w:eastAsia="Palatino Linotype" w:hAnsi="Palatino Linotype" w:cs="Palatino Linotype"/>
          <w:b/>
        </w:rPr>
        <w:t>diez</w:t>
      </w:r>
      <w:r>
        <w:rPr>
          <w:rFonts w:ascii="Palatino Linotype" w:eastAsia="Palatino Linotype" w:hAnsi="Palatino Linotype" w:cs="Palatino Linotype"/>
          <w:b/>
        </w:rPr>
        <w:t xml:space="preserve"> de enero de dos mil veintidós</w:t>
      </w:r>
      <w:r>
        <w:rPr>
          <w:rFonts w:ascii="Palatino Linotype" w:eastAsia="Palatino Linotype" w:hAnsi="Palatino Linotype" w:cs="Palatino Linotype"/>
        </w:rPr>
        <w:t>, esto es, el primer día hábil posterior en que tuvo conocimiento de la respuesta impugnada.</w:t>
      </w:r>
    </w:p>
    <w:p w:rsidR="00BB101E" w:rsidRPr="00617A80" w:rsidRDefault="00BB101E" w:rsidP="00BB101E">
      <w:pPr>
        <w:pStyle w:val="Prrafodelista"/>
        <w:spacing w:before="240" w:after="240" w:line="360" w:lineRule="auto"/>
        <w:ind w:left="0" w:right="49"/>
        <w:jc w:val="both"/>
        <w:rPr>
          <w:rFonts w:ascii="Palatino Linotype" w:hAnsi="Palatino Linotype"/>
        </w:rPr>
      </w:pPr>
      <w:r w:rsidRPr="00617A80">
        <w:rPr>
          <w:rFonts w:ascii="Palatino Linotype" w:eastAsia="Calibri" w:hAnsi="Palatino Linotype"/>
        </w:rPr>
        <w:t xml:space="preserve">De la revisión al expediente electrónico del SAIMEX se desprende que la parte solicitante en ejercicio de su derecho de acceso a la información pública en el expediente que se revisa, tanto en la solicitud de información como en el recurso de revisión </w:t>
      </w:r>
      <w:r w:rsidRPr="00617A80">
        <w:rPr>
          <w:rFonts w:ascii="Palatino Linotype" w:eastAsia="Calibri" w:hAnsi="Palatino Linotype"/>
          <w:b/>
        </w:rPr>
        <w:t xml:space="preserve">no proporciona su nombre completo para que sea </w:t>
      </w:r>
      <w:r w:rsidRPr="00617A80">
        <w:rPr>
          <w:rFonts w:ascii="Palatino Linotype" w:eastAsia="Calibri" w:hAnsi="Palatino Linotype"/>
          <w:b/>
          <w:u w:val="single"/>
        </w:rPr>
        <w:t>identificado</w:t>
      </w:r>
      <w:r w:rsidRPr="00617A80">
        <w:rPr>
          <w:rFonts w:ascii="Palatino Linotype" w:eastAsia="Calibri" w:hAnsi="Palatino Linotype"/>
          <w:b/>
        </w:rPr>
        <w:t>,</w:t>
      </w:r>
      <w:r w:rsidRPr="00617A80">
        <w:rPr>
          <w:rFonts w:ascii="Palatino Linotype" w:eastAsia="Calibri" w:hAnsi="Palatino Linotype"/>
        </w:rPr>
        <w:t xml:space="preserve"> ni se tiene la certeza sobre su identidad, sin embargo, es importante señalar también que </w:t>
      </w:r>
      <w:r w:rsidRPr="00617A80">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BB101E" w:rsidRPr="00617A80" w:rsidRDefault="00BB101E" w:rsidP="00BB101E">
      <w:pPr>
        <w:pStyle w:val="Prrafodelista"/>
        <w:rPr>
          <w:rFonts w:ascii="Palatino Linotype" w:eastAsia="Calibri" w:hAnsi="Palatino Linotype"/>
        </w:rPr>
      </w:pPr>
    </w:p>
    <w:p w:rsidR="00BB101E" w:rsidRPr="00617A80" w:rsidRDefault="00BB101E" w:rsidP="00BB101E">
      <w:pPr>
        <w:pStyle w:val="Prrafodelista"/>
        <w:spacing w:before="240" w:after="240" w:line="360" w:lineRule="auto"/>
        <w:ind w:left="0" w:right="49"/>
        <w:jc w:val="both"/>
        <w:rPr>
          <w:rFonts w:ascii="Palatino Linotype" w:hAnsi="Palatino Linotype"/>
        </w:rPr>
      </w:pPr>
      <w:r w:rsidRPr="00617A80">
        <w:rPr>
          <w:rFonts w:ascii="Palatino Linotype" w:eastAsia="Calibri" w:hAnsi="Palatino Linotype"/>
        </w:rPr>
        <w:t>Esto es así, ya que de conformidad con los artículos 6, Apartado A, fracciones III y IV de la Constitución Política de los Estados Unidos Mexicanos y 5 párrafos</w:t>
      </w:r>
      <w:r w:rsidRPr="00130B46">
        <w:rPr>
          <w:rFonts w:ascii="Palatino Linotype" w:eastAsia="Calibri" w:hAnsi="Palatino Linotype"/>
        </w:rPr>
        <w:t xml:space="preserve"> </w:t>
      </w:r>
      <w:r>
        <w:rPr>
          <w:rFonts w:ascii="Palatino Linotype" w:eastAsia="Calibri" w:hAnsi="Palatino Linotype"/>
        </w:rPr>
        <w:lastRenderedPageBreak/>
        <w:t>trigé</w:t>
      </w:r>
      <w:r>
        <w:rPr>
          <w:rFonts w:ascii="Palatino Linotype" w:hAnsi="Palatino Linotype" w:cs="Arial"/>
          <w:bCs/>
          <w:color w:val="222222"/>
        </w:rPr>
        <w:t>simo</w:t>
      </w:r>
      <w:r w:rsidRPr="00FA2B9F">
        <w:rPr>
          <w:rFonts w:ascii="Palatino Linotype" w:hAnsi="Palatino Linotype" w:cs="Arial"/>
          <w:bCs/>
          <w:color w:val="222222"/>
        </w:rPr>
        <w:t xml:space="preserve">, </w:t>
      </w:r>
      <w:r>
        <w:rPr>
          <w:rFonts w:ascii="Palatino Linotype" w:eastAsia="Calibri" w:hAnsi="Palatino Linotype"/>
        </w:rPr>
        <w:t>trigé</w:t>
      </w:r>
      <w:r>
        <w:rPr>
          <w:rFonts w:ascii="Palatino Linotype" w:hAnsi="Palatino Linotype" w:cs="Arial"/>
          <w:bCs/>
          <w:color w:val="222222"/>
        </w:rPr>
        <w:t>simo</w:t>
      </w:r>
      <w:r w:rsidRPr="00FA2B9F">
        <w:rPr>
          <w:rFonts w:ascii="Palatino Linotype" w:hAnsi="Palatino Linotype" w:cs="Arial"/>
          <w:bCs/>
          <w:color w:val="222222"/>
        </w:rPr>
        <w:t xml:space="preserve"> primero y </w:t>
      </w:r>
      <w:r>
        <w:rPr>
          <w:rFonts w:ascii="Palatino Linotype" w:eastAsia="Calibri" w:hAnsi="Palatino Linotype"/>
        </w:rPr>
        <w:t>trigé</w:t>
      </w:r>
      <w:r>
        <w:rPr>
          <w:rFonts w:ascii="Palatino Linotype" w:hAnsi="Palatino Linotype" w:cs="Arial"/>
          <w:bCs/>
          <w:color w:val="222222"/>
        </w:rPr>
        <w:t>simo</w:t>
      </w:r>
      <w:r w:rsidRPr="00FA2B9F">
        <w:rPr>
          <w:rFonts w:ascii="Palatino Linotype" w:hAnsi="Palatino Linotype" w:cs="Arial"/>
          <w:bCs/>
          <w:color w:val="222222"/>
        </w:rPr>
        <w:t xml:space="preserve"> segundo </w:t>
      </w:r>
      <w:r w:rsidRPr="00FA2B9F">
        <w:rPr>
          <w:rFonts w:ascii="Palatino Linotype" w:eastAsia="Calibri" w:hAnsi="Palatino Linotype"/>
        </w:rPr>
        <w:t>fracciones IV y V de la</w:t>
      </w:r>
      <w:r w:rsidRPr="00617A80">
        <w:rPr>
          <w:rFonts w:ascii="Palatino Linotype" w:eastAsia="Calibri" w:hAnsi="Palatino Linotype"/>
        </w:rPr>
        <w:t xml:space="preserve">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BB101E" w:rsidRPr="00617A80" w:rsidRDefault="00BB101E" w:rsidP="00BB101E">
      <w:pPr>
        <w:pStyle w:val="Prrafodelista"/>
        <w:rPr>
          <w:rFonts w:ascii="Palatino Linotype" w:eastAsia="Calibri" w:hAnsi="Palatino Linotype"/>
        </w:rPr>
      </w:pPr>
    </w:p>
    <w:p w:rsidR="00BB101E" w:rsidRPr="00617A80" w:rsidRDefault="00BB101E" w:rsidP="00BB101E">
      <w:pPr>
        <w:pStyle w:val="Prrafodelista"/>
        <w:spacing w:before="240" w:after="240" w:line="360" w:lineRule="auto"/>
        <w:ind w:left="0" w:right="49"/>
        <w:jc w:val="both"/>
        <w:rPr>
          <w:rFonts w:ascii="Palatino Linotype" w:hAnsi="Palatino Linotype"/>
        </w:rPr>
      </w:pPr>
      <w:r w:rsidRPr="00617A80">
        <w:rPr>
          <w:rFonts w:ascii="Palatino Linotype" w:eastAsia="Calibri" w:hAnsi="Palatino Linotype"/>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BB101E" w:rsidRPr="00617A80" w:rsidRDefault="00BB101E" w:rsidP="00BB101E">
      <w:pPr>
        <w:pStyle w:val="Prrafodelista"/>
        <w:rPr>
          <w:rFonts w:ascii="Palatino Linotype" w:eastAsia="Calibri" w:hAnsi="Palatino Linotype"/>
        </w:rPr>
      </w:pPr>
    </w:p>
    <w:p w:rsidR="00BB101E" w:rsidRPr="00617A80" w:rsidRDefault="00BB101E" w:rsidP="00BB101E">
      <w:pPr>
        <w:pStyle w:val="Prrafodelista"/>
        <w:spacing w:before="240" w:after="240" w:line="360" w:lineRule="auto"/>
        <w:ind w:left="0" w:right="49"/>
        <w:jc w:val="both"/>
        <w:rPr>
          <w:rFonts w:ascii="Palatino Linotype" w:hAnsi="Palatino Linotype"/>
        </w:rPr>
      </w:pPr>
      <w:r w:rsidRPr="00617A80">
        <w:rPr>
          <w:rFonts w:ascii="Palatino Linotype" w:eastAsia="Calibri"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BB101E" w:rsidRPr="00617A80" w:rsidRDefault="00BB101E" w:rsidP="00BB101E">
      <w:pPr>
        <w:pStyle w:val="Prrafodelista"/>
        <w:rPr>
          <w:rFonts w:ascii="Palatino Linotype" w:hAnsi="Palatino Linotype" w:cs="Arial"/>
        </w:rPr>
      </w:pPr>
    </w:p>
    <w:p w:rsidR="00BB101E" w:rsidRPr="00617A80" w:rsidRDefault="00BB101E" w:rsidP="00BB101E">
      <w:pPr>
        <w:pStyle w:val="Prrafodelista"/>
        <w:spacing w:before="240" w:after="240" w:line="360" w:lineRule="auto"/>
        <w:ind w:left="0" w:right="49"/>
        <w:jc w:val="both"/>
        <w:rPr>
          <w:rFonts w:ascii="Palatino Linotype" w:hAnsi="Palatino Linotype"/>
        </w:rPr>
      </w:pPr>
      <w:r w:rsidRPr="00617A80">
        <w:rPr>
          <w:rFonts w:ascii="Palatino Linotype" w:hAnsi="Palatino Linotype" w:cs="Arial"/>
        </w:rPr>
        <w:lastRenderedPageBreak/>
        <w:t xml:space="preserve">Por lo que el nombre del solicitando y recurrente no puede ser considerado un requisito indispensable de </w:t>
      </w:r>
      <w:proofErr w:type="spellStart"/>
      <w:r w:rsidRPr="00617A80">
        <w:rPr>
          <w:rFonts w:ascii="Palatino Linotype" w:hAnsi="Palatino Linotype" w:cs="Arial"/>
        </w:rPr>
        <w:t>procedibilidad</w:t>
      </w:r>
      <w:proofErr w:type="spellEnd"/>
      <w:r w:rsidRPr="00617A80">
        <w:rPr>
          <w:rFonts w:ascii="Palatino Linotype" w:hAnsi="Palatino Linotype" w:cs="Arial"/>
        </w:rPr>
        <w:t xml:space="preserve"> del recurso de revisión que nos ocupa, ya que el acceso a la información no está condicionado a acreditar algún interés ya sea jurídico o legítimo, máxime que es un elemento subsanable por este Órgano </w:t>
      </w:r>
      <w:proofErr w:type="spellStart"/>
      <w:r w:rsidRPr="00617A80">
        <w:rPr>
          <w:rFonts w:ascii="Palatino Linotype" w:hAnsi="Palatino Linotype" w:cs="Arial"/>
        </w:rPr>
        <w:t>Resolutor</w:t>
      </w:r>
      <w:proofErr w:type="spellEnd"/>
      <w:r w:rsidRPr="00617A80">
        <w:rPr>
          <w:rFonts w:ascii="Palatino Linotype" w:hAnsi="Palatino Linotype" w:cs="Arial"/>
        </w:rPr>
        <w:t>.</w:t>
      </w:r>
    </w:p>
    <w:p w:rsidR="00602DBC" w:rsidRDefault="000D6AC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602DBC" w:rsidRDefault="000D6AC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recurso, según lo manifestado por el recurrente en sus motivos de inconformidad, de acuerdo al artículo 179, fracción </w:t>
      </w:r>
      <w:r w:rsidR="00630EE9">
        <w:rPr>
          <w:rFonts w:ascii="Palatino Linotype" w:eastAsia="Palatino Linotype" w:hAnsi="Palatino Linotype" w:cs="Palatino Linotype"/>
        </w:rPr>
        <w:t>XII</w:t>
      </w:r>
      <w:r>
        <w:rPr>
          <w:rFonts w:ascii="Palatino Linotype" w:eastAsia="Palatino Linotype" w:hAnsi="Palatino Linotype" w:cs="Palatino Linotype"/>
        </w:rPr>
        <w:t>I del ordenamiento legal citado, que a la letra dice: </w:t>
      </w:r>
    </w:p>
    <w:p w:rsidR="00602DBC" w:rsidRDefault="000D6AC4">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602DBC" w:rsidRDefault="000D6AC4">
      <w:pPr>
        <w:tabs>
          <w:tab w:val="left" w:pos="7088"/>
        </w:tabs>
        <w:spacing w:before="120" w:after="120"/>
        <w:ind w:left="993"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602DBC" w:rsidRDefault="00630EE9">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XII</w:t>
      </w:r>
      <w:r w:rsidR="000D6AC4">
        <w:rPr>
          <w:rFonts w:ascii="Palatino Linotype" w:eastAsia="Palatino Linotype" w:hAnsi="Palatino Linotype" w:cs="Palatino Linotype"/>
          <w:b/>
          <w:i/>
          <w:sz w:val="22"/>
          <w:szCs w:val="22"/>
        </w:rPr>
        <w:t xml:space="preserve">I. </w:t>
      </w:r>
      <w:r w:rsidRPr="00630EE9">
        <w:rPr>
          <w:rFonts w:ascii="Palatino Linotype" w:eastAsia="Palatino Linotype" w:hAnsi="Palatino Linotype" w:cs="Palatino Linotype"/>
          <w:i/>
          <w:sz w:val="22"/>
          <w:szCs w:val="22"/>
        </w:rPr>
        <w:t>La falta, deficiencia o insuficiencia de la fundamentación y/o motivación en la respuesta; y</w:t>
      </w:r>
    </w:p>
    <w:p w:rsidR="00602DBC" w:rsidRDefault="000D6AC4">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630EE9" w:rsidRPr="00E83F55" w:rsidRDefault="000D6AC4" w:rsidP="00E83F55">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Tercero. Análisis de las causales de sobreseimiento. </w:t>
      </w:r>
      <w:r w:rsidR="00630EE9">
        <w:rPr>
          <w:rFonts w:ascii="Palatino Linotype" w:hAnsi="Palatino Linotype" w:cs="Arial"/>
        </w:rPr>
        <w:t xml:space="preserve">Es importante mencionar que de las constancias que integran el expediente electrónico del recurso de revisión de mérito, </w:t>
      </w:r>
      <w:r w:rsidR="00630EE9" w:rsidRPr="00DE3939">
        <w:rPr>
          <w:rFonts w:ascii="Palatino Linotype" w:hAnsi="Palatino Linotype" w:cs="Arial"/>
        </w:rPr>
        <w:t xml:space="preserve">resulta oportuno referir que, si bien, la Titular de la Unidad de </w:t>
      </w:r>
      <w:r w:rsidR="00630EE9" w:rsidRPr="00DE3939">
        <w:rPr>
          <w:rFonts w:ascii="Palatino Linotype" w:hAnsi="Palatino Linotype" w:cs="Arial"/>
        </w:rPr>
        <w:lastRenderedPageBreak/>
        <w:t xml:space="preserve">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R="00630EE9" w:rsidRPr="00DE3939">
        <w:rPr>
          <w:rFonts w:ascii="Palatino Linotype" w:hAnsi="Palatino Linotype" w:cs="Arial"/>
          <w:b/>
          <w:bCs/>
        </w:rPr>
        <w:t>tramitar ante las Áreas poseedoras de la información lo que se solicita</w:t>
      </w:r>
      <w:r w:rsidR="00630EE9" w:rsidRPr="00DE3939">
        <w:rPr>
          <w:rFonts w:ascii="Palatino Linotype" w:hAnsi="Palatino Linotype" w:cs="Arial"/>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rsidR="00630EE9" w:rsidRPr="008200E6" w:rsidRDefault="00630EE9" w:rsidP="00630EE9">
      <w:pPr>
        <w:tabs>
          <w:tab w:val="left" w:pos="709"/>
        </w:tabs>
        <w:ind w:left="851" w:right="760"/>
        <w:jc w:val="center"/>
        <w:rPr>
          <w:rFonts w:ascii="Palatino Linotype" w:hAnsi="Palatino Linotype" w:cs="Arial"/>
          <w:b/>
          <w:i/>
          <w:sz w:val="22"/>
          <w:szCs w:val="22"/>
        </w:rPr>
      </w:pPr>
      <w:r w:rsidRPr="008200E6">
        <w:rPr>
          <w:rFonts w:ascii="Palatino Linotype" w:hAnsi="Palatino Linotype" w:cs="Arial"/>
          <w:b/>
          <w:sz w:val="22"/>
          <w:szCs w:val="22"/>
        </w:rPr>
        <w:t>Ley de Transparencia y Acceso a la Información Pública del Estado de México y Municipios</w:t>
      </w:r>
    </w:p>
    <w:p w:rsidR="00630EE9" w:rsidRPr="008200E6" w:rsidRDefault="00630EE9" w:rsidP="00630EE9">
      <w:pPr>
        <w:tabs>
          <w:tab w:val="left" w:pos="709"/>
        </w:tabs>
        <w:ind w:left="851" w:right="760"/>
        <w:jc w:val="both"/>
        <w:rPr>
          <w:rFonts w:ascii="Palatino Linotype" w:hAnsi="Palatino Linotype" w:cs="Arial"/>
          <w:i/>
          <w:sz w:val="22"/>
          <w:szCs w:val="22"/>
        </w:rPr>
      </w:pPr>
    </w:p>
    <w:p w:rsidR="00630EE9" w:rsidRPr="00DE3939" w:rsidRDefault="00630EE9" w:rsidP="00630EE9">
      <w:pPr>
        <w:tabs>
          <w:tab w:val="left" w:pos="709"/>
        </w:tabs>
        <w:ind w:left="851" w:right="760"/>
        <w:jc w:val="both"/>
        <w:rPr>
          <w:rFonts w:ascii="Palatino Linotype" w:hAnsi="Palatino Linotype" w:cs="Arial"/>
          <w:i/>
          <w:sz w:val="22"/>
          <w:szCs w:val="22"/>
        </w:rPr>
      </w:pPr>
      <w:r w:rsidRPr="00DE3939">
        <w:rPr>
          <w:rFonts w:ascii="Palatino Linotype" w:hAnsi="Palatino Linotype" w:cs="Arial"/>
          <w:i/>
          <w:sz w:val="22"/>
          <w:szCs w:val="22"/>
        </w:rPr>
        <w:t xml:space="preserve">“Artículo 50. Los sujetos obligados contarán con un área responsable para la atención de las solicitudes de información, a la que se le denominará Unidad de Transparencia. </w:t>
      </w:r>
    </w:p>
    <w:p w:rsidR="00630EE9" w:rsidRPr="00DE3939" w:rsidRDefault="00630EE9" w:rsidP="00630EE9">
      <w:pPr>
        <w:tabs>
          <w:tab w:val="left" w:pos="709"/>
        </w:tabs>
        <w:ind w:left="851" w:right="760"/>
        <w:jc w:val="both"/>
        <w:rPr>
          <w:rFonts w:ascii="Palatino Linotype" w:hAnsi="Palatino Linotype" w:cs="Arial"/>
          <w:i/>
          <w:sz w:val="22"/>
          <w:szCs w:val="22"/>
        </w:rPr>
      </w:pPr>
    </w:p>
    <w:p w:rsidR="00630EE9" w:rsidRPr="00DE3939" w:rsidRDefault="00630EE9" w:rsidP="00630EE9">
      <w:pPr>
        <w:tabs>
          <w:tab w:val="left" w:pos="709"/>
        </w:tabs>
        <w:ind w:left="851" w:right="760"/>
        <w:jc w:val="both"/>
        <w:rPr>
          <w:rFonts w:ascii="Palatino Linotype" w:hAnsi="Palatino Linotype" w:cs="Arial"/>
          <w:i/>
          <w:sz w:val="22"/>
          <w:szCs w:val="22"/>
        </w:rPr>
      </w:pPr>
      <w:r w:rsidRPr="00DE3939">
        <w:rPr>
          <w:rFonts w:ascii="Palatino Linotype" w:hAnsi="Palatino Linotype" w:cs="Arial"/>
          <w:i/>
          <w:sz w:val="22"/>
          <w:szCs w:val="22"/>
        </w:rPr>
        <w:t xml:space="preserve">Artículo 51. Los sujetos obligados designaran a un responsable para atender la Unidad de Transparencia, quien fungirá como enlace entre éstos y los solicitantes. </w:t>
      </w:r>
      <w:r w:rsidRPr="00DE3939">
        <w:rPr>
          <w:rFonts w:ascii="Palatino Linotype" w:hAnsi="Palatino Linotype" w:cs="Arial"/>
          <w:b/>
          <w:i/>
          <w:sz w:val="22"/>
          <w:szCs w:val="22"/>
          <w:u w:val="single"/>
        </w:rPr>
        <w:t>Dicha Unidad será la encargada de tramitar internamente la solicitud de información</w:t>
      </w:r>
      <w:r w:rsidRPr="00DE3939">
        <w:rPr>
          <w:rFonts w:ascii="Palatino Linotype" w:hAnsi="Palatino Linotype" w:cs="Arial"/>
          <w:i/>
          <w:sz w:val="22"/>
          <w:szCs w:val="22"/>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630EE9" w:rsidRPr="00DE3939" w:rsidRDefault="00630EE9" w:rsidP="00630EE9">
      <w:pPr>
        <w:tabs>
          <w:tab w:val="left" w:pos="709"/>
        </w:tabs>
        <w:ind w:left="851" w:right="760"/>
        <w:jc w:val="both"/>
        <w:rPr>
          <w:rFonts w:ascii="Palatino Linotype" w:hAnsi="Palatino Linotype" w:cs="Arial"/>
          <w:i/>
          <w:sz w:val="22"/>
          <w:szCs w:val="22"/>
        </w:rPr>
      </w:pPr>
      <w:r w:rsidRPr="00DE3939">
        <w:rPr>
          <w:rFonts w:ascii="Palatino Linotype" w:hAnsi="Palatino Linotype" w:cs="Arial"/>
          <w:i/>
          <w:sz w:val="22"/>
          <w:szCs w:val="22"/>
        </w:rPr>
        <w:t>…</w:t>
      </w:r>
    </w:p>
    <w:p w:rsidR="00630EE9" w:rsidRPr="00DE3939" w:rsidRDefault="00630EE9" w:rsidP="00630EE9">
      <w:pPr>
        <w:tabs>
          <w:tab w:val="left" w:pos="709"/>
        </w:tabs>
        <w:ind w:left="851" w:right="760"/>
        <w:jc w:val="both"/>
        <w:rPr>
          <w:rFonts w:ascii="Palatino Linotype" w:hAnsi="Palatino Linotype" w:cs="Arial"/>
          <w:i/>
          <w:sz w:val="22"/>
          <w:szCs w:val="22"/>
        </w:rPr>
      </w:pPr>
      <w:r w:rsidRPr="00DE3939">
        <w:rPr>
          <w:rFonts w:ascii="Palatino Linotype" w:hAnsi="Palatino Linotype" w:cs="Arial"/>
          <w:i/>
          <w:sz w:val="22"/>
          <w:szCs w:val="22"/>
        </w:rPr>
        <w:t>Artículo 53. Las Unidades de Transparencia tendrán las siguientes funciones:</w:t>
      </w:r>
    </w:p>
    <w:p w:rsidR="00630EE9" w:rsidRPr="00DE3939" w:rsidRDefault="00630EE9" w:rsidP="00630EE9">
      <w:pPr>
        <w:tabs>
          <w:tab w:val="left" w:pos="709"/>
        </w:tabs>
        <w:ind w:left="851" w:right="760"/>
        <w:jc w:val="both"/>
        <w:rPr>
          <w:rFonts w:ascii="Palatino Linotype" w:hAnsi="Palatino Linotype" w:cs="Arial"/>
          <w:i/>
          <w:sz w:val="22"/>
          <w:szCs w:val="22"/>
        </w:rPr>
      </w:pPr>
      <w:r w:rsidRPr="00DE3939">
        <w:rPr>
          <w:rFonts w:ascii="Palatino Linotype" w:hAnsi="Palatino Linotype" w:cs="Arial"/>
          <w:i/>
          <w:sz w:val="22"/>
          <w:szCs w:val="22"/>
        </w:rPr>
        <w:t>…</w:t>
      </w:r>
    </w:p>
    <w:p w:rsidR="00630EE9" w:rsidRPr="00DE3939" w:rsidRDefault="00630EE9" w:rsidP="00630EE9">
      <w:pPr>
        <w:tabs>
          <w:tab w:val="left" w:pos="709"/>
        </w:tabs>
        <w:ind w:left="851" w:right="760"/>
        <w:jc w:val="both"/>
        <w:rPr>
          <w:rFonts w:ascii="Palatino Linotype" w:hAnsi="Palatino Linotype" w:cs="Arial"/>
          <w:i/>
          <w:sz w:val="22"/>
          <w:szCs w:val="22"/>
        </w:rPr>
      </w:pPr>
      <w:r w:rsidRPr="00DE3939">
        <w:rPr>
          <w:rFonts w:ascii="Palatino Linotype" w:hAnsi="Palatino Linotype" w:cs="Arial"/>
          <w:i/>
          <w:sz w:val="22"/>
          <w:szCs w:val="22"/>
        </w:rPr>
        <w:t xml:space="preserve">II. Recibir, tramitar y dar respuesta a las solicitudes de acceso a la información; </w:t>
      </w:r>
    </w:p>
    <w:p w:rsidR="00630EE9" w:rsidRPr="00DE3939" w:rsidRDefault="00630EE9" w:rsidP="00630EE9">
      <w:pPr>
        <w:tabs>
          <w:tab w:val="left" w:pos="709"/>
        </w:tabs>
        <w:ind w:left="851" w:right="760"/>
        <w:jc w:val="both"/>
        <w:rPr>
          <w:rFonts w:ascii="Palatino Linotype" w:hAnsi="Palatino Linotype" w:cs="Arial"/>
          <w:i/>
          <w:sz w:val="22"/>
          <w:szCs w:val="22"/>
        </w:rPr>
      </w:pPr>
      <w:r w:rsidRPr="00DE3939">
        <w:rPr>
          <w:rFonts w:ascii="Palatino Linotype" w:hAnsi="Palatino Linotype" w:cs="Arial"/>
          <w:i/>
          <w:sz w:val="22"/>
          <w:szCs w:val="22"/>
        </w:rPr>
        <w:t>…</w:t>
      </w:r>
    </w:p>
    <w:p w:rsidR="00630EE9" w:rsidRPr="00DE3939" w:rsidRDefault="00630EE9" w:rsidP="00630EE9">
      <w:pPr>
        <w:tabs>
          <w:tab w:val="left" w:pos="709"/>
        </w:tabs>
        <w:ind w:left="851" w:right="760"/>
        <w:jc w:val="both"/>
        <w:rPr>
          <w:rFonts w:ascii="Palatino Linotype" w:hAnsi="Palatino Linotype" w:cs="Arial"/>
          <w:b/>
          <w:i/>
          <w:sz w:val="22"/>
          <w:szCs w:val="22"/>
          <w:u w:val="single"/>
        </w:rPr>
      </w:pPr>
      <w:r w:rsidRPr="00DE3939">
        <w:rPr>
          <w:rFonts w:ascii="Palatino Linotype" w:hAnsi="Palatino Linotype" w:cs="Arial"/>
          <w:b/>
          <w:i/>
          <w:sz w:val="22"/>
          <w:szCs w:val="22"/>
          <w:u w:val="single"/>
        </w:rPr>
        <w:t xml:space="preserve">IV. Realizar, con efectividad, los trámites internos necesarios para la atención de las solicitudes de acceso a la información; </w:t>
      </w:r>
    </w:p>
    <w:p w:rsidR="00630EE9" w:rsidRPr="00DE3939" w:rsidRDefault="00630EE9" w:rsidP="00630EE9">
      <w:pPr>
        <w:tabs>
          <w:tab w:val="left" w:pos="709"/>
        </w:tabs>
        <w:ind w:left="851" w:right="760"/>
        <w:jc w:val="both"/>
        <w:rPr>
          <w:rFonts w:ascii="Palatino Linotype" w:hAnsi="Palatino Linotype" w:cs="Arial"/>
          <w:i/>
          <w:sz w:val="22"/>
          <w:szCs w:val="22"/>
        </w:rPr>
      </w:pPr>
      <w:r w:rsidRPr="00DE3939">
        <w:rPr>
          <w:rFonts w:ascii="Palatino Linotype" w:hAnsi="Palatino Linotype" w:cs="Arial"/>
          <w:i/>
          <w:sz w:val="22"/>
          <w:szCs w:val="22"/>
        </w:rPr>
        <w:t xml:space="preserve">V. Entregar, en su caso, a los particulares la información solicitada; </w:t>
      </w:r>
    </w:p>
    <w:p w:rsidR="00630EE9" w:rsidRPr="00DE3939" w:rsidRDefault="00630EE9" w:rsidP="00630EE9">
      <w:pPr>
        <w:tabs>
          <w:tab w:val="left" w:pos="709"/>
        </w:tabs>
        <w:ind w:left="851" w:right="760"/>
        <w:jc w:val="both"/>
        <w:rPr>
          <w:rFonts w:ascii="Palatino Linotype" w:hAnsi="Palatino Linotype" w:cs="Arial"/>
          <w:i/>
          <w:sz w:val="22"/>
          <w:szCs w:val="22"/>
        </w:rPr>
      </w:pPr>
      <w:r w:rsidRPr="00DE3939">
        <w:rPr>
          <w:rFonts w:ascii="Palatino Linotype" w:hAnsi="Palatino Linotype" w:cs="Arial"/>
          <w:i/>
          <w:sz w:val="22"/>
          <w:szCs w:val="22"/>
        </w:rPr>
        <w:t>VI. Efectuar las notificaciones a los solicitantes;”</w:t>
      </w:r>
    </w:p>
    <w:p w:rsidR="00630EE9" w:rsidRPr="00DE3939" w:rsidRDefault="00630EE9" w:rsidP="00630EE9">
      <w:pPr>
        <w:spacing w:line="360" w:lineRule="auto"/>
        <w:jc w:val="both"/>
        <w:rPr>
          <w:rFonts w:ascii="Palatino Linotype" w:eastAsia="Calibri" w:hAnsi="Palatino Linotype"/>
          <w:sz w:val="22"/>
          <w:szCs w:val="22"/>
          <w:lang w:val="es-MX" w:eastAsia="en-US"/>
        </w:rPr>
      </w:pPr>
    </w:p>
    <w:p w:rsidR="00630EE9" w:rsidRPr="00DE3939" w:rsidRDefault="00630EE9" w:rsidP="00630EE9">
      <w:pPr>
        <w:autoSpaceDE w:val="0"/>
        <w:autoSpaceDN w:val="0"/>
        <w:adjustRightInd w:val="0"/>
        <w:spacing w:line="360" w:lineRule="auto"/>
        <w:jc w:val="both"/>
        <w:rPr>
          <w:rFonts w:ascii="Palatino Linotype" w:eastAsia="Calibri" w:hAnsi="Palatino Linotype" w:cs="Arial"/>
          <w:lang w:val="es-MX" w:eastAsia="en-US"/>
        </w:rPr>
      </w:pPr>
      <w:r w:rsidRPr="00DE3939">
        <w:rPr>
          <w:rFonts w:ascii="Palatino Linotype" w:eastAsia="Calibri" w:hAnsi="Palatino Linotype" w:cs="Arial"/>
          <w:lang w:val="es-MX" w:eastAsia="en-US"/>
        </w:rPr>
        <w:lastRenderedPageBreak/>
        <w:t xml:space="preserve">Aunado a lo anterior, se debe señalar que aunque la solicitud de información y la respuesta estén dirigidas y atendidas por un </w:t>
      </w:r>
      <w:r w:rsidRPr="00DE3939">
        <w:rPr>
          <w:rFonts w:ascii="Palatino Linotype" w:eastAsia="Calibri" w:hAnsi="Palatino Linotype" w:cs="Arial"/>
          <w:b/>
          <w:lang w:val="es-MX" w:eastAsia="en-US"/>
        </w:rPr>
        <w:t>SUJETO OBLIGADO</w:t>
      </w:r>
      <w:r w:rsidRPr="00DE3939">
        <w:rPr>
          <w:rFonts w:ascii="Palatino Linotype" w:eastAsia="Calibri" w:hAnsi="Palatino Linotype" w:cs="Arial"/>
          <w:lang w:val="es-MX" w:eastAsia="en-US"/>
        </w:rPr>
        <w:t xml:space="preserve">, lo cierto es que también tienen diversas Unidades Administrativas y cada área cuenta con un </w:t>
      </w:r>
      <w:r w:rsidRPr="00DE3939">
        <w:rPr>
          <w:rFonts w:ascii="Palatino Linotype" w:eastAsia="Calibri" w:hAnsi="Palatino Linotype" w:cs="Arial"/>
          <w:b/>
          <w:lang w:val="es-MX" w:eastAsia="en-US"/>
        </w:rPr>
        <w:t>Servidor Público Habilitado</w:t>
      </w:r>
      <w:r w:rsidRPr="00DE3939">
        <w:rPr>
          <w:rFonts w:ascii="Palatino Linotype" w:eastAsia="Calibri" w:hAnsi="Palatino Linotype" w:cs="Arial"/>
          <w:lang w:val="es-MX" w:eastAsia="en-U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630EE9" w:rsidRPr="00DE3939" w:rsidRDefault="00630EE9" w:rsidP="00630EE9">
      <w:pPr>
        <w:rPr>
          <w:lang w:val="es-MX"/>
        </w:rPr>
      </w:pPr>
    </w:p>
    <w:p w:rsidR="00630EE9" w:rsidRPr="00DE3939" w:rsidRDefault="00630EE9" w:rsidP="00630EE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b/>
          <w:i/>
          <w:sz w:val="22"/>
          <w:lang w:val="es-MX" w:eastAsia="en-US"/>
        </w:rPr>
        <w:t>Artículo 3.</w:t>
      </w:r>
      <w:r w:rsidRPr="00DE3939">
        <w:rPr>
          <w:rFonts w:ascii="Palatino Linotype" w:eastAsia="Calibri" w:hAnsi="Palatino Linotype" w:cs="Arial"/>
          <w:i/>
          <w:sz w:val="22"/>
          <w:lang w:val="es-MX" w:eastAsia="en-US"/>
        </w:rPr>
        <w:t xml:space="preserve"> Para los efectos de la presente Ley se entenderá por:</w:t>
      </w:r>
    </w:p>
    <w:p w:rsidR="00630EE9" w:rsidRPr="00DE3939" w:rsidRDefault="00630EE9" w:rsidP="00630EE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w:t>
      </w:r>
    </w:p>
    <w:p w:rsidR="00630EE9" w:rsidRPr="00DE3939" w:rsidRDefault="00630EE9" w:rsidP="00630EE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b/>
          <w:i/>
          <w:sz w:val="22"/>
          <w:lang w:val="es-MX" w:eastAsia="en-US"/>
        </w:rPr>
        <w:t xml:space="preserve">XXXIX. Servidor público habilitado: </w:t>
      </w:r>
      <w:r w:rsidRPr="00DE3939">
        <w:rPr>
          <w:rFonts w:ascii="Palatino Linotype" w:eastAsia="Calibri" w:hAnsi="Palatino Linotype" w:cs="Arial"/>
          <w:i/>
          <w:sz w:val="22"/>
          <w:lang w:val="es-MX"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630EE9" w:rsidRPr="00DE3939" w:rsidRDefault="00630EE9" w:rsidP="00630EE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w:t>
      </w:r>
    </w:p>
    <w:p w:rsidR="00630EE9" w:rsidRPr="00DE3939" w:rsidRDefault="00630EE9" w:rsidP="00630EE9">
      <w:pPr>
        <w:rPr>
          <w:lang w:val="es-MX"/>
        </w:rPr>
      </w:pPr>
    </w:p>
    <w:p w:rsidR="00630EE9" w:rsidRPr="00DE3939" w:rsidRDefault="00630EE9" w:rsidP="00630EE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b/>
          <w:i/>
          <w:sz w:val="22"/>
          <w:lang w:val="es-MX" w:eastAsia="en-US"/>
        </w:rPr>
        <w:t>Artículo 58.</w:t>
      </w:r>
      <w:r w:rsidRPr="00DE3939">
        <w:rPr>
          <w:rFonts w:ascii="Palatino Linotype" w:eastAsia="Calibri" w:hAnsi="Palatino Linotype" w:cs="Arial"/>
          <w:i/>
          <w:sz w:val="22"/>
          <w:lang w:val="es-MX" w:eastAsia="en-US"/>
        </w:rPr>
        <w:t xml:space="preserve"> Los servidores públicos habilitados serán designados por el titular del sujeto obligado a propuesta del responsable de la Unidad de Transparencia.</w:t>
      </w:r>
    </w:p>
    <w:p w:rsidR="00630EE9" w:rsidRPr="00DE3939" w:rsidRDefault="00630EE9" w:rsidP="00630EE9">
      <w:pPr>
        <w:autoSpaceDE w:val="0"/>
        <w:autoSpaceDN w:val="0"/>
        <w:adjustRightInd w:val="0"/>
        <w:spacing w:line="276" w:lineRule="auto"/>
        <w:ind w:left="567" w:right="708"/>
        <w:jc w:val="both"/>
        <w:rPr>
          <w:rFonts w:ascii="Palatino Linotype" w:eastAsia="Calibri" w:hAnsi="Palatino Linotype" w:cs="Arial"/>
          <w:i/>
          <w:sz w:val="22"/>
          <w:lang w:val="es-MX" w:eastAsia="en-US"/>
        </w:rPr>
      </w:pPr>
    </w:p>
    <w:p w:rsidR="00630EE9" w:rsidRPr="00DE3939" w:rsidRDefault="00630EE9" w:rsidP="00630EE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b/>
          <w:i/>
          <w:sz w:val="22"/>
          <w:lang w:val="es-MX" w:eastAsia="en-US"/>
        </w:rPr>
        <w:t>Artículo 59.</w:t>
      </w:r>
      <w:r w:rsidRPr="00DE3939">
        <w:rPr>
          <w:rFonts w:ascii="Palatino Linotype" w:eastAsia="Calibri" w:hAnsi="Palatino Linotype" w:cs="Arial"/>
          <w:i/>
          <w:sz w:val="22"/>
          <w:lang w:val="es-MX" w:eastAsia="en-US"/>
        </w:rPr>
        <w:t xml:space="preserve"> </w:t>
      </w:r>
      <w:r w:rsidRPr="00DE3939">
        <w:rPr>
          <w:rFonts w:ascii="Palatino Linotype" w:eastAsia="Calibri" w:hAnsi="Palatino Linotype" w:cs="Arial"/>
          <w:b/>
          <w:i/>
          <w:sz w:val="22"/>
          <w:u w:val="single"/>
          <w:lang w:val="es-MX" w:eastAsia="en-US"/>
        </w:rPr>
        <w:t>Los servidores públicos habilitados</w:t>
      </w:r>
      <w:r w:rsidRPr="00DE3939">
        <w:rPr>
          <w:rFonts w:ascii="Palatino Linotype" w:eastAsia="Calibri" w:hAnsi="Palatino Linotype" w:cs="Arial"/>
          <w:i/>
          <w:sz w:val="22"/>
          <w:lang w:val="es-MX" w:eastAsia="en-US"/>
        </w:rPr>
        <w:t xml:space="preserve"> tendrán las funciones siguientes:</w:t>
      </w:r>
    </w:p>
    <w:p w:rsidR="00630EE9" w:rsidRPr="00DE3939" w:rsidRDefault="00630EE9" w:rsidP="00630EE9">
      <w:pPr>
        <w:rPr>
          <w:lang w:val="es-MX"/>
        </w:rPr>
      </w:pPr>
    </w:p>
    <w:p w:rsidR="00630EE9" w:rsidRPr="00DE3939" w:rsidRDefault="00630EE9" w:rsidP="00630EE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 xml:space="preserve">I. </w:t>
      </w:r>
      <w:r w:rsidRPr="00DE3939">
        <w:rPr>
          <w:rFonts w:ascii="Palatino Linotype" w:eastAsia="Calibri" w:hAnsi="Palatino Linotype" w:cs="Arial"/>
          <w:b/>
          <w:i/>
          <w:sz w:val="22"/>
          <w:u w:val="single"/>
          <w:lang w:val="es-MX" w:eastAsia="en-US"/>
        </w:rPr>
        <w:t>Localizar la información que le solicite la Unidad de Transparencia</w:t>
      </w:r>
      <w:r w:rsidRPr="00DE3939">
        <w:rPr>
          <w:rFonts w:ascii="Palatino Linotype" w:eastAsia="Calibri" w:hAnsi="Palatino Linotype" w:cs="Arial"/>
          <w:i/>
          <w:sz w:val="22"/>
          <w:lang w:val="es-MX" w:eastAsia="en-US"/>
        </w:rPr>
        <w:t>;</w:t>
      </w:r>
    </w:p>
    <w:p w:rsidR="00630EE9" w:rsidRPr="00DE3939" w:rsidRDefault="00630EE9" w:rsidP="00630EE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 xml:space="preserve">II. </w:t>
      </w:r>
      <w:r w:rsidRPr="00DE3939">
        <w:rPr>
          <w:rFonts w:ascii="Palatino Linotype" w:eastAsia="Calibri" w:hAnsi="Palatino Linotype" w:cs="Arial"/>
          <w:b/>
          <w:i/>
          <w:sz w:val="22"/>
          <w:u w:val="single"/>
          <w:lang w:val="es-MX" w:eastAsia="en-US"/>
        </w:rPr>
        <w:t>Proporcionar la información que obre en los archivos y que le sea solicitada por la Unidad de Transparencia</w:t>
      </w:r>
      <w:r w:rsidRPr="00DE3939">
        <w:rPr>
          <w:rFonts w:ascii="Palatino Linotype" w:eastAsia="Calibri" w:hAnsi="Palatino Linotype" w:cs="Arial"/>
          <w:i/>
          <w:sz w:val="22"/>
          <w:lang w:val="es-MX" w:eastAsia="en-US"/>
        </w:rPr>
        <w:t>;</w:t>
      </w:r>
    </w:p>
    <w:p w:rsidR="00630EE9" w:rsidRPr="00DE3939" w:rsidRDefault="00630EE9" w:rsidP="00630EE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lastRenderedPageBreak/>
        <w:t>III. Apoyar a la Unidad de Transparencia en lo que esta le solicite para el cumplimiento de sus funciones;</w:t>
      </w:r>
    </w:p>
    <w:p w:rsidR="00630EE9" w:rsidRPr="00DE3939" w:rsidRDefault="00630EE9" w:rsidP="00630EE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IV. Proporcionar a la Unidad de Transparencia, las modificaciones a la información pública de oficio que obre en su poder;</w:t>
      </w:r>
    </w:p>
    <w:p w:rsidR="00630EE9" w:rsidRPr="00DE3939" w:rsidRDefault="00630EE9" w:rsidP="00630EE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V. Integrar y presentar al responsable de la Unidad de Transparencia la propuesta de clasificación de información, la cual tendrá los fundamentos y argumentos en que se basa dicha propuesta;</w:t>
      </w:r>
    </w:p>
    <w:p w:rsidR="00630EE9" w:rsidRPr="00DE3939" w:rsidRDefault="00630EE9" w:rsidP="00630EE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VI. Verificar, una vez analizado el contenido de la información, que no se encuentre en los supuestos de información clasificada; y</w:t>
      </w:r>
    </w:p>
    <w:p w:rsidR="00630EE9" w:rsidRPr="00DE3939" w:rsidRDefault="00630EE9" w:rsidP="00630EE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VII. Dar cuenta a la Unidad de Transparencia del vencimiento de los plazos de reserva.</w:t>
      </w:r>
    </w:p>
    <w:p w:rsidR="00BE5969" w:rsidRDefault="00630EE9" w:rsidP="00630EE9">
      <w:pPr>
        <w:spacing w:before="240" w:after="240" w:line="360" w:lineRule="auto"/>
        <w:jc w:val="both"/>
        <w:rPr>
          <w:rFonts w:ascii="Palatino Linotype" w:hAnsi="Palatino Linotype"/>
          <w:szCs w:val="22"/>
          <w:lang w:val="es-MX"/>
        </w:rPr>
      </w:pPr>
      <w:r>
        <w:rPr>
          <w:rFonts w:ascii="Palatino Linotype" w:hAnsi="Palatino Linotype"/>
          <w:szCs w:val="22"/>
          <w:lang w:val="es-MX"/>
        </w:rPr>
        <w:t xml:space="preserve">Cabe señalar, que en de acuerdo a las constancias que integran el expediente del recurso de revisión que ahora se resuelve, el Titular de la Unidad de Transparencia realizó los requerimientos de información  a las áreas que de acuerdo a sus facultades, competencias y funciones </w:t>
      </w:r>
      <w:r w:rsidR="00BE5969">
        <w:rPr>
          <w:rFonts w:ascii="Palatino Linotype" w:hAnsi="Palatino Linotype"/>
          <w:szCs w:val="22"/>
          <w:lang w:val="es-MX"/>
        </w:rPr>
        <w:t xml:space="preserve">pudieran o debieran tener la información solicitada, tal como se muestra en la siguiente imagen. </w:t>
      </w:r>
    </w:p>
    <w:p w:rsidR="00630EE9" w:rsidRDefault="00BE5969" w:rsidP="00630EE9">
      <w:pPr>
        <w:spacing w:before="240" w:after="240" w:line="360" w:lineRule="auto"/>
        <w:jc w:val="both"/>
        <w:rPr>
          <w:rFonts w:ascii="Palatino Linotype" w:hAnsi="Palatino Linotype"/>
          <w:szCs w:val="22"/>
          <w:lang w:val="es-MX"/>
        </w:rPr>
      </w:pPr>
      <w:r w:rsidRPr="00BE5969">
        <w:rPr>
          <w:rFonts w:ascii="Palatino Linotype" w:hAnsi="Palatino Linotype"/>
          <w:noProof/>
          <w:szCs w:val="22"/>
          <w:lang w:val="es-MX"/>
        </w:rPr>
        <w:drawing>
          <wp:inline distT="0" distB="0" distL="0" distR="0" wp14:anchorId="6FAC389B" wp14:editId="4661AD0C">
            <wp:extent cx="5612130" cy="1809750"/>
            <wp:effectExtent l="19050" t="19050" r="2667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809750"/>
                    </a:xfrm>
                    <a:prstGeom prst="rect">
                      <a:avLst/>
                    </a:prstGeom>
                    <a:ln w="12700">
                      <a:solidFill>
                        <a:schemeClr val="tx1"/>
                      </a:solidFill>
                    </a:ln>
                  </pic:spPr>
                </pic:pic>
              </a:graphicData>
            </a:graphic>
          </wp:inline>
        </w:drawing>
      </w:r>
      <w:r w:rsidR="00630EE9">
        <w:rPr>
          <w:rFonts w:ascii="Palatino Linotype" w:hAnsi="Palatino Linotype"/>
          <w:szCs w:val="22"/>
          <w:lang w:val="es-MX"/>
        </w:rPr>
        <w:t xml:space="preserve"> </w:t>
      </w:r>
    </w:p>
    <w:p w:rsidR="00E83F55" w:rsidRDefault="00E83F55" w:rsidP="00630EE9">
      <w:pPr>
        <w:spacing w:before="240" w:after="240" w:line="360" w:lineRule="auto"/>
        <w:jc w:val="both"/>
        <w:rPr>
          <w:rFonts w:ascii="Palatino Linotype" w:hAnsi="Palatino Linotype"/>
          <w:szCs w:val="22"/>
          <w:lang w:val="es-MX"/>
        </w:rPr>
      </w:pPr>
    </w:p>
    <w:p w:rsidR="00E83F55" w:rsidRDefault="00E83F55" w:rsidP="00630EE9">
      <w:pPr>
        <w:spacing w:before="240" w:after="240" w:line="360" w:lineRule="auto"/>
        <w:jc w:val="both"/>
        <w:rPr>
          <w:rFonts w:ascii="Palatino Linotype" w:hAnsi="Palatino Linotype"/>
          <w:szCs w:val="22"/>
          <w:lang w:val="es-MX"/>
        </w:rPr>
      </w:pPr>
      <w:r w:rsidRPr="00E83F55">
        <w:rPr>
          <w:rFonts w:ascii="Palatino Linotype" w:hAnsi="Palatino Linotype"/>
          <w:noProof/>
          <w:szCs w:val="22"/>
          <w:lang w:val="es-MX"/>
        </w:rPr>
        <w:lastRenderedPageBreak/>
        <w:drawing>
          <wp:inline distT="0" distB="0" distL="0" distR="0" wp14:anchorId="7F482C6A" wp14:editId="1A61AD6D">
            <wp:extent cx="5612130" cy="3032760"/>
            <wp:effectExtent l="19050" t="19050" r="26670" b="152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032760"/>
                    </a:xfrm>
                    <a:prstGeom prst="rect">
                      <a:avLst/>
                    </a:prstGeom>
                    <a:ln w="12700">
                      <a:solidFill>
                        <a:schemeClr val="tx1"/>
                      </a:solidFill>
                    </a:ln>
                  </pic:spPr>
                </pic:pic>
              </a:graphicData>
            </a:graphic>
          </wp:inline>
        </w:drawing>
      </w:r>
    </w:p>
    <w:p w:rsidR="00E83F55" w:rsidRDefault="00E83F55" w:rsidP="00630EE9">
      <w:pPr>
        <w:spacing w:before="240" w:after="240" w:line="360" w:lineRule="auto"/>
        <w:jc w:val="both"/>
        <w:rPr>
          <w:rFonts w:ascii="Palatino Linotype" w:hAnsi="Palatino Linotype"/>
          <w:szCs w:val="22"/>
          <w:lang w:val="es-MX"/>
        </w:rPr>
      </w:pPr>
    </w:p>
    <w:p w:rsidR="00E83F55" w:rsidRPr="00630EE9" w:rsidRDefault="00E83F55" w:rsidP="00630EE9">
      <w:pPr>
        <w:spacing w:before="240" w:after="240" w:line="360" w:lineRule="auto"/>
        <w:jc w:val="both"/>
        <w:rPr>
          <w:rFonts w:ascii="Palatino Linotype" w:hAnsi="Palatino Linotype"/>
          <w:szCs w:val="22"/>
          <w:lang w:val="es-MX"/>
        </w:rPr>
      </w:pPr>
      <w:r w:rsidRPr="00E83F55">
        <w:rPr>
          <w:rFonts w:ascii="Palatino Linotype" w:hAnsi="Palatino Linotype"/>
          <w:noProof/>
          <w:szCs w:val="22"/>
          <w:lang w:val="es-MX"/>
        </w:rPr>
        <w:drawing>
          <wp:inline distT="0" distB="0" distL="0" distR="0" wp14:anchorId="5E5FF51B" wp14:editId="5AD5F41F">
            <wp:extent cx="5612130" cy="3116580"/>
            <wp:effectExtent l="19050" t="19050" r="26670" b="266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116580"/>
                    </a:xfrm>
                    <a:prstGeom prst="rect">
                      <a:avLst/>
                    </a:prstGeom>
                    <a:ln w="12700">
                      <a:solidFill>
                        <a:schemeClr val="tx1"/>
                      </a:solidFill>
                    </a:ln>
                  </pic:spPr>
                </pic:pic>
              </a:graphicData>
            </a:graphic>
          </wp:inline>
        </w:drawing>
      </w:r>
    </w:p>
    <w:p w:rsidR="004B14A0" w:rsidRDefault="004B14A0" w:rsidP="00630EE9">
      <w:pPr>
        <w:spacing w:before="240" w:after="240" w:line="360" w:lineRule="auto"/>
        <w:jc w:val="both"/>
        <w:rPr>
          <w:rFonts w:ascii="Palatino Linotype" w:hAnsi="Palatino Linotype"/>
          <w:szCs w:val="22"/>
          <w:lang w:val="es-MX"/>
        </w:rPr>
      </w:pPr>
      <w:r>
        <w:rPr>
          <w:rFonts w:ascii="Palatino Linotype" w:hAnsi="Palatino Linotype"/>
          <w:szCs w:val="22"/>
          <w:lang w:val="es-MX"/>
        </w:rPr>
        <w:lastRenderedPageBreak/>
        <w:t>Es así que, de las imágenes insertas se advierte que de acuerdo a los registros publicados en el Portal de Información Pública de Oficio (IPOMEX) en la fracción VII “El directorio de todos los servidores públicos”; los requerimientos formulados por el Solicitante fueron atendidos por el Director de Operación Hidráulica y el Director de Alcantarillado y Saneamiento, que de acuerdo a lo dispuesto en los artículos 29 y 30</w:t>
      </w:r>
      <w:r w:rsidR="005A2349">
        <w:rPr>
          <w:rFonts w:ascii="Palatino Linotype" w:hAnsi="Palatino Linotype"/>
          <w:szCs w:val="22"/>
          <w:lang w:val="es-MX"/>
        </w:rPr>
        <w:t xml:space="preserve"> del</w:t>
      </w:r>
      <w:r>
        <w:rPr>
          <w:rFonts w:ascii="Palatino Linotype" w:hAnsi="Palatino Linotype"/>
          <w:szCs w:val="22"/>
          <w:lang w:val="es-MX"/>
        </w:rPr>
        <w:t xml:space="preserve"> </w:t>
      </w:r>
      <w:r>
        <w:rPr>
          <w:rFonts w:ascii="Palatino Linotype" w:hAnsi="Palatino Linotype"/>
          <w:b/>
          <w:szCs w:val="22"/>
          <w:lang w:val="es-MX"/>
        </w:rPr>
        <w:t xml:space="preserve">Reglamento Interno del Organismo Público Descentralizado para la Prestación de los Servicios Públicos de Agua Potable, Alcantarillado y Saneamiento del Municipio de Valle de Chalco Solidaridad </w:t>
      </w:r>
      <w:r>
        <w:rPr>
          <w:rFonts w:ascii="Palatino Linotype" w:hAnsi="Palatino Linotype"/>
          <w:szCs w:val="22"/>
          <w:lang w:val="es-MX"/>
        </w:rPr>
        <w:t xml:space="preserve">les corresponde: </w:t>
      </w:r>
    </w:p>
    <w:p w:rsidR="004B14A0" w:rsidRDefault="004B14A0" w:rsidP="00630EE9">
      <w:pPr>
        <w:spacing w:before="240" w:after="240" w:line="360" w:lineRule="auto"/>
        <w:jc w:val="both"/>
        <w:rPr>
          <w:rFonts w:ascii="Palatino Linotype" w:hAnsi="Palatino Linotype"/>
          <w:szCs w:val="22"/>
          <w:lang w:val="es-MX"/>
        </w:rPr>
      </w:pPr>
      <w:r w:rsidRPr="004B14A0">
        <w:rPr>
          <w:rFonts w:ascii="Palatino Linotype" w:hAnsi="Palatino Linotype"/>
          <w:noProof/>
          <w:szCs w:val="22"/>
          <w:lang w:val="es-MX"/>
        </w:rPr>
        <w:drawing>
          <wp:inline distT="0" distB="0" distL="0" distR="0" wp14:anchorId="3F36B2B3" wp14:editId="7B79CB55">
            <wp:extent cx="5612130" cy="2393950"/>
            <wp:effectExtent l="19050" t="19050" r="26670" b="254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393950"/>
                    </a:xfrm>
                    <a:prstGeom prst="rect">
                      <a:avLst/>
                    </a:prstGeom>
                    <a:ln w="12700">
                      <a:solidFill>
                        <a:schemeClr val="tx1"/>
                      </a:solidFill>
                    </a:ln>
                  </pic:spPr>
                </pic:pic>
              </a:graphicData>
            </a:graphic>
          </wp:inline>
        </w:drawing>
      </w:r>
    </w:p>
    <w:p w:rsidR="004B14A0" w:rsidRPr="004B14A0" w:rsidRDefault="004B14A0" w:rsidP="00630EE9">
      <w:pPr>
        <w:spacing w:before="240" w:after="240" w:line="360" w:lineRule="auto"/>
        <w:jc w:val="both"/>
        <w:rPr>
          <w:rFonts w:ascii="Palatino Linotype" w:hAnsi="Palatino Linotype"/>
          <w:szCs w:val="22"/>
          <w:lang w:val="es-MX"/>
        </w:rPr>
      </w:pPr>
      <w:r w:rsidRPr="004B14A0">
        <w:rPr>
          <w:rFonts w:ascii="Palatino Linotype" w:hAnsi="Palatino Linotype"/>
          <w:noProof/>
          <w:szCs w:val="22"/>
          <w:lang w:val="es-MX"/>
        </w:rPr>
        <w:lastRenderedPageBreak/>
        <w:drawing>
          <wp:inline distT="0" distB="0" distL="0" distR="0" wp14:anchorId="720BAABB" wp14:editId="6A74DFF3">
            <wp:extent cx="5612130" cy="2545080"/>
            <wp:effectExtent l="19050" t="19050" r="26670" b="266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545080"/>
                    </a:xfrm>
                    <a:prstGeom prst="rect">
                      <a:avLst/>
                    </a:prstGeom>
                    <a:ln w="12700">
                      <a:solidFill>
                        <a:schemeClr val="tx1"/>
                      </a:solidFill>
                    </a:ln>
                  </pic:spPr>
                </pic:pic>
              </a:graphicData>
            </a:graphic>
          </wp:inline>
        </w:drawing>
      </w:r>
    </w:p>
    <w:p w:rsidR="00630EE9" w:rsidRPr="00DE3939" w:rsidRDefault="00630EE9" w:rsidP="00630EE9">
      <w:pPr>
        <w:spacing w:before="240" w:after="240" w:line="360" w:lineRule="auto"/>
        <w:jc w:val="both"/>
        <w:rPr>
          <w:rFonts w:ascii="Palatino Linotype" w:hAnsi="Palatino Linotype"/>
          <w:szCs w:val="22"/>
          <w:lang w:val="es-MX"/>
        </w:rPr>
      </w:pPr>
      <w:r w:rsidRPr="00DE3939">
        <w:rPr>
          <w:rFonts w:ascii="Palatino Linotype" w:hAnsi="Palatino Linotype"/>
          <w:szCs w:val="22"/>
          <w:lang w:val="es-MX"/>
        </w:rPr>
        <w:t xml:space="preserve">En </w:t>
      </w:r>
      <w:r>
        <w:rPr>
          <w:rFonts w:ascii="Palatino Linotype" w:hAnsi="Palatino Linotype"/>
          <w:szCs w:val="22"/>
          <w:lang w:val="es-MX"/>
        </w:rPr>
        <w:t>este entendido,</w:t>
      </w:r>
      <w:r w:rsidR="005A2349">
        <w:rPr>
          <w:rFonts w:ascii="Palatino Linotype" w:hAnsi="Palatino Linotype"/>
          <w:szCs w:val="22"/>
          <w:lang w:val="es-MX"/>
        </w:rPr>
        <w:t xml:space="preserve"> se colige que los Servidores Públicos Habilitados que atendieron los requerimientos planteados por el Solicitante, cuentan con las facultades competencias y funciones para generar, administrar o poseer la información. Por lo tanto,</w:t>
      </w:r>
      <w:r>
        <w:rPr>
          <w:rFonts w:ascii="Palatino Linotype" w:hAnsi="Palatino Linotype"/>
          <w:szCs w:val="22"/>
          <w:lang w:val="es-MX"/>
        </w:rPr>
        <w:t xml:space="preserve"> </w:t>
      </w:r>
      <w:r w:rsidRPr="00DE3939">
        <w:rPr>
          <w:rFonts w:ascii="Palatino Linotype" w:hAnsi="Palatino Linotype"/>
          <w:szCs w:val="22"/>
          <w:lang w:val="es-MX"/>
        </w:rPr>
        <w:t>se cumplió con lo que para tal efecto, dispone el artículo 162 de la Ley de Transparencia y Acceso a la Información Pública del Estado de México y Municipios, que índica:</w:t>
      </w:r>
    </w:p>
    <w:p w:rsidR="00630EE9" w:rsidRPr="00DE3939" w:rsidRDefault="00630EE9" w:rsidP="00630EE9">
      <w:pPr>
        <w:spacing w:line="276" w:lineRule="auto"/>
        <w:ind w:left="567"/>
        <w:jc w:val="both"/>
        <w:rPr>
          <w:rFonts w:ascii="Palatino Linotype" w:hAnsi="Palatino Linotype"/>
          <w:i/>
          <w:sz w:val="22"/>
          <w:szCs w:val="20"/>
          <w:lang w:val="es-MX"/>
        </w:rPr>
      </w:pPr>
      <w:r w:rsidRPr="00DE3939">
        <w:rPr>
          <w:rFonts w:ascii="Palatino Linotype" w:hAnsi="Palatino Linotype"/>
          <w:i/>
          <w:sz w:val="22"/>
          <w:szCs w:val="20"/>
          <w:lang w:val="es-MX"/>
        </w:rPr>
        <w:t>“</w:t>
      </w:r>
      <w:r w:rsidRPr="00DE3939">
        <w:rPr>
          <w:rFonts w:ascii="Palatino Linotype" w:hAnsi="Palatino Linotype"/>
          <w:b/>
          <w:bCs/>
          <w:i/>
          <w:sz w:val="22"/>
          <w:szCs w:val="20"/>
          <w:lang w:val="es-MX"/>
        </w:rPr>
        <w:t xml:space="preserve">Artículo 162. </w:t>
      </w:r>
      <w:r w:rsidRPr="00DE3939">
        <w:rPr>
          <w:rFonts w:ascii="Palatino Linotype" w:hAnsi="Palatino Linotype"/>
          <w:i/>
          <w:sz w:val="22"/>
          <w:szCs w:val="20"/>
          <w:u w:val="single"/>
          <w:lang w:val="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DE3939">
        <w:rPr>
          <w:rFonts w:ascii="Palatino Linotype" w:hAnsi="Palatino Linotype"/>
          <w:i/>
          <w:sz w:val="22"/>
          <w:szCs w:val="20"/>
          <w:lang w:val="es-MX"/>
        </w:rPr>
        <w:t>”</w:t>
      </w:r>
    </w:p>
    <w:p w:rsidR="00630EE9" w:rsidRPr="00DE3939" w:rsidRDefault="00630EE9" w:rsidP="00630EE9">
      <w:pPr>
        <w:spacing w:before="240" w:after="240" w:line="256" w:lineRule="auto"/>
        <w:ind w:left="567"/>
        <w:jc w:val="right"/>
        <w:rPr>
          <w:rFonts w:ascii="Palatino Linotype" w:hAnsi="Palatino Linotype"/>
          <w:b/>
          <w:i/>
          <w:sz w:val="20"/>
          <w:szCs w:val="20"/>
          <w:lang w:val="es-MX"/>
        </w:rPr>
      </w:pPr>
      <w:r w:rsidRPr="00DE3939">
        <w:rPr>
          <w:rFonts w:ascii="Palatino Linotype" w:hAnsi="Palatino Linotype"/>
          <w:b/>
          <w:i/>
          <w:sz w:val="20"/>
          <w:szCs w:val="20"/>
          <w:lang w:val="es-MX"/>
        </w:rPr>
        <w:t xml:space="preserve"> [Énfasis añadido]</w:t>
      </w:r>
    </w:p>
    <w:p w:rsidR="00630EE9" w:rsidRPr="00DE3939" w:rsidRDefault="00630EE9" w:rsidP="00630EE9">
      <w:pPr>
        <w:spacing w:line="360" w:lineRule="auto"/>
        <w:jc w:val="both"/>
        <w:rPr>
          <w:rFonts w:ascii="Palatino Linotype" w:eastAsia="Calibri" w:hAnsi="Palatino Linotype" w:cs="Arial"/>
          <w:bCs/>
          <w:lang w:val="es-MX" w:eastAsia="en-US"/>
        </w:rPr>
      </w:pPr>
      <w:r w:rsidRPr="00DE3939">
        <w:rPr>
          <w:rFonts w:ascii="Palatino Linotype" w:eastAsia="Calibri" w:hAnsi="Palatino Linotype" w:cs="Arial"/>
          <w:bCs/>
          <w:lang w:val="es-MX" w:eastAsia="en-US"/>
        </w:rPr>
        <w:t xml:space="preserve">Correlativo al párrafo que antecede también le asiste la facultad al servidor público habilitado de localizar y proporcionar la información que se le requiera y que obre </w:t>
      </w:r>
      <w:r w:rsidRPr="00DE3939">
        <w:rPr>
          <w:rFonts w:ascii="Palatino Linotype" w:eastAsia="Calibri" w:hAnsi="Palatino Linotype" w:cs="Arial"/>
          <w:bCs/>
          <w:lang w:val="es-MX" w:eastAsia="en-US"/>
        </w:rPr>
        <w:lastRenderedPageBreak/>
        <w:t>en sus archivos de conformidad con el artículo 59, fracciones I y II de la multicitada Ley de Transparencia.</w:t>
      </w:r>
    </w:p>
    <w:p w:rsidR="00630EE9" w:rsidRPr="00DE3939" w:rsidRDefault="00630EE9" w:rsidP="00630EE9">
      <w:pPr>
        <w:spacing w:line="360" w:lineRule="auto"/>
        <w:jc w:val="both"/>
        <w:rPr>
          <w:rFonts w:ascii="Palatino Linotype" w:eastAsia="Calibri" w:hAnsi="Palatino Linotype" w:cs="Arial"/>
          <w:bCs/>
          <w:lang w:val="es-MX" w:eastAsia="en-US"/>
        </w:rPr>
      </w:pPr>
    </w:p>
    <w:p w:rsidR="00630EE9" w:rsidRDefault="00630EE9" w:rsidP="00630EE9">
      <w:pPr>
        <w:spacing w:line="360" w:lineRule="auto"/>
        <w:jc w:val="both"/>
        <w:rPr>
          <w:rFonts w:ascii="Palatino Linotype" w:eastAsia="Calibri" w:hAnsi="Palatino Linotype" w:cs="Arial"/>
          <w:bCs/>
          <w:lang w:val="es-MX" w:eastAsia="en-US"/>
        </w:rPr>
      </w:pPr>
      <w:r w:rsidRPr="00DE3939">
        <w:rPr>
          <w:rFonts w:ascii="Palatino Linotype" w:eastAsia="Calibri" w:hAnsi="Palatino Linotype" w:cs="Arial"/>
          <w:bCs/>
          <w:lang w:val="es-MX" w:eastAsia="en-US"/>
        </w:rPr>
        <w:t xml:space="preserve">Cabe precisar que </w:t>
      </w:r>
      <w:r w:rsidRPr="00DE3939">
        <w:rPr>
          <w:rFonts w:ascii="Palatino Linotype" w:eastAsia="Calibri" w:hAnsi="Palatino Linotype" w:cs="Arial"/>
          <w:bCs/>
          <w:u w:val="single"/>
          <w:lang w:val="es-MX" w:eastAsia="en-US"/>
        </w:rPr>
        <w:t xml:space="preserve">no basta con que </w:t>
      </w:r>
      <w:r w:rsidRPr="00B31201">
        <w:rPr>
          <w:rFonts w:ascii="Palatino Linotype" w:eastAsia="Calibri" w:hAnsi="Palatino Linotype" w:cs="Arial"/>
          <w:bCs/>
          <w:u w:val="single"/>
          <w:lang w:val="es-MX" w:eastAsia="en-US"/>
        </w:rPr>
        <w:t>el</w:t>
      </w:r>
      <w:r w:rsidRPr="00DE3939">
        <w:rPr>
          <w:rFonts w:ascii="Palatino Linotype" w:eastAsia="Calibri" w:hAnsi="Palatino Linotype" w:cs="Arial"/>
          <w:b/>
          <w:bCs/>
          <w:u w:val="single"/>
          <w:lang w:val="es-MX" w:eastAsia="en-US"/>
        </w:rPr>
        <w:t xml:space="preserve"> SUJETO OBLIGADO</w:t>
      </w:r>
      <w:r w:rsidRPr="00DE3939">
        <w:rPr>
          <w:rFonts w:ascii="Palatino Linotype" w:eastAsia="Calibri" w:hAnsi="Palatino Linotype" w:cs="Arial"/>
          <w:bCs/>
          <w:u w:val="single"/>
          <w:lang w:val="es-MX" w:eastAsia="en-US"/>
        </w:rPr>
        <w:t xml:space="preserve"> únicamente remita la respuesta formulada por cada servidor público habilitado,</w:t>
      </w:r>
      <w:r w:rsidRPr="00DE3939">
        <w:rPr>
          <w:rFonts w:ascii="Palatino Linotype" w:eastAsia="Calibri" w:hAnsi="Palatino Linotype" w:cs="Arial"/>
          <w:bCs/>
          <w:lang w:val="es-MX" w:eastAsia="en-US"/>
        </w:rPr>
        <w:t xml:space="preserve"> por el contrario, deberá recabar la información, difundirla y actualizarla para poder entregar una sola respuesta de manera íntegra conforme a la normatividad aplicab</w:t>
      </w:r>
      <w:r>
        <w:rPr>
          <w:rFonts w:ascii="Palatino Linotype" w:eastAsia="Calibri" w:hAnsi="Palatino Linotype" w:cs="Arial"/>
          <w:bCs/>
          <w:lang w:val="es-MX" w:eastAsia="en-US"/>
        </w:rPr>
        <w:t xml:space="preserve">le en materia de transparencia. </w:t>
      </w:r>
    </w:p>
    <w:p w:rsidR="00630EE9" w:rsidRDefault="00630EE9" w:rsidP="00630EE9">
      <w:pPr>
        <w:spacing w:line="360" w:lineRule="auto"/>
        <w:jc w:val="both"/>
        <w:rPr>
          <w:rFonts w:ascii="Palatino Linotype" w:eastAsia="Calibri" w:hAnsi="Palatino Linotype" w:cs="Arial"/>
          <w:bCs/>
          <w:lang w:val="es-MX" w:eastAsia="en-US"/>
        </w:rPr>
      </w:pPr>
    </w:p>
    <w:p w:rsidR="00630EE9" w:rsidRPr="00B31201" w:rsidRDefault="00630EE9" w:rsidP="00630EE9">
      <w:pPr>
        <w:spacing w:line="360" w:lineRule="auto"/>
        <w:jc w:val="both"/>
        <w:rPr>
          <w:rFonts w:ascii="Palatino Linotype" w:eastAsia="Calibri" w:hAnsi="Palatino Linotype" w:cs="Arial"/>
          <w:b/>
          <w:bCs/>
          <w:lang w:val="es-MX" w:eastAsia="en-US"/>
        </w:rPr>
      </w:pPr>
      <w:r>
        <w:rPr>
          <w:rFonts w:ascii="Palatino Linotype" w:eastAsia="Calibri" w:hAnsi="Palatino Linotype" w:cs="Arial"/>
          <w:bCs/>
          <w:lang w:val="es-MX" w:eastAsia="en-US"/>
        </w:rPr>
        <w:t xml:space="preserve">Es así que, en el asunto que se analiza, el Titular de la Unidad de Transparencia realizó los requerimientos a las áreas que de acuerdo con sus facultades, competencias y funciones pueden o deben generar, administrar o poseer la información solicitada. </w:t>
      </w:r>
    </w:p>
    <w:p w:rsidR="00630EE9" w:rsidRPr="00DE3939" w:rsidRDefault="00630EE9" w:rsidP="00630EE9">
      <w:pPr>
        <w:spacing w:after="160" w:line="256" w:lineRule="auto"/>
        <w:rPr>
          <w:rFonts w:ascii="Calibri" w:eastAsia="Calibri" w:hAnsi="Calibri"/>
          <w:sz w:val="22"/>
          <w:szCs w:val="22"/>
          <w:lang w:val="es-MX" w:eastAsia="en-US"/>
        </w:rPr>
      </w:pPr>
    </w:p>
    <w:p w:rsidR="00630EE9" w:rsidRPr="00B31201" w:rsidRDefault="00630EE9" w:rsidP="00630EE9">
      <w:pPr>
        <w:pStyle w:val="paragraph"/>
        <w:spacing w:before="0" w:beforeAutospacing="0" w:after="240" w:afterAutospacing="0" w:line="360" w:lineRule="auto"/>
        <w:ind w:right="-150"/>
        <w:jc w:val="both"/>
        <w:textAlignment w:val="baseline"/>
        <w:rPr>
          <w:rFonts w:ascii="Palatino Linotype" w:hAnsi="Palatino Linotype" w:cs="Arial"/>
        </w:rPr>
      </w:pPr>
      <w:r>
        <w:rPr>
          <w:rFonts w:ascii="Palatino Linotype" w:eastAsia="Calibri" w:hAnsi="Palatino Linotype" w:cs="Arial"/>
          <w:bCs/>
          <w:lang w:eastAsia="en-US"/>
        </w:rPr>
        <w:t>Precisado lo anterior, e</w:t>
      </w:r>
      <w:r>
        <w:rPr>
          <w:rFonts w:ascii="Palatino Linotype" w:eastAsia="Palatino Linotype" w:hAnsi="Palatino Linotype" w:cs="Palatino Linotype"/>
          <w:color w:val="000000"/>
        </w:rPr>
        <w:t xml:space="preserve">l Pleno de este Instituto considera necesario mencionar que, por cuestiones de técnica jurídica, es pertinente elaborar un cuadro de análisis, para identificar cada uno de los requerimientos; así como, la información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entregó en respuesta a la solicitud; así como, en informe justificado, mismo que se inserta a continuación: </w:t>
      </w: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38"/>
        <w:gridCol w:w="2126"/>
        <w:gridCol w:w="4252"/>
        <w:gridCol w:w="993"/>
      </w:tblGrid>
      <w:tr w:rsidR="00630EE9" w:rsidRPr="00933C03" w:rsidTr="00E83F55">
        <w:tc>
          <w:tcPr>
            <w:tcW w:w="1838" w:type="dxa"/>
            <w:shd w:val="clear" w:color="auto" w:fill="BFBFBF"/>
          </w:tcPr>
          <w:p w:rsidR="00630EE9" w:rsidRPr="00933C03" w:rsidRDefault="00630EE9" w:rsidP="00533623">
            <w:pPr>
              <w:jc w:val="center"/>
              <w:rPr>
                <w:rFonts w:ascii="Palatino Linotype" w:eastAsia="Palatino Linotype" w:hAnsi="Palatino Linotype" w:cs="Palatino Linotype"/>
                <w:b/>
                <w:sz w:val="22"/>
                <w:szCs w:val="22"/>
              </w:rPr>
            </w:pPr>
            <w:r w:rsidRPr="00933C03">
              <w:rPr>
                <w:rFonts w:ascii="Palatino Linotype" w:eastAsia="Palatino Linotype" w:hAnsi="Palatino Linotype" w:cs="Palatino Linotype"/>
                <w:b/>
                <w:sz w:val="22"/>
                <w:szCs w:val="22"/>
              </w:rPr>
              <w:t>Requerimientos</w:t>
            </w:r>
          </w:p>
        </w:tc>
        <w:tc>
          <w:tcPr>
            <w:tcW w:w="6378" w:type="dxa"/>
            <w:gridSpan w:val="2"/>
            <w:shd w:val="clear" w:color="auto" w:fill="BFBFBF"/>
          </w:tcPr>
          <w:p w:rsidR="00630EE9" w:rsidRPr="00933C03" w:rsidRDefault="00630EE9" w:rsidP="00533623">
            <w:pPr>
              <w:ind w:firstLine="114"/>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Información entregada</w:t>
            </w:r>
          </w:p>
        </w:tc>
        <w:tc>
          <w:tcPr>
            <w:tcW w:w="993" w:type="dxa"/>
            <w:shd w:val="clear" w:color="auto" w:fill="BFBFBF"/>
          </w:tcPr>
          <w:p w:rsidR="00630EE9" w:rsidRPr="00933C03" w:rsidRDefault="00630EE9" w:rsidP="00533623">
            <w:pPr>
              <w:ind w:firstLine="114"/>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Colma</w:t>
            </w:r>
          </w:p>
        </w:tc>
      </w:tr>
      <w:tr w:rsidR="00630EE9" w:rsidRPr="00933C03" w:rsidTr="00E83F55">
        <w:tc>
          <w:tcPr>
            <w:tcW w:w="9209" w:type="dxa"/>
            <w:gridSpan w:val="4"/>
            <w:shd w:val="clear" w:color="auto" w:fill="BFBFBF"/>
          </w:tcPr>
          <w:p w:rsidR="00630EE9" w:rsidRDefault="00BE5969" w:rsidP="00533623">
            <w:pPr>
              <w:ind w:firstLine="114"/>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Para un predio con una superficie de 125m2</w:t>
            </w:r>
          </w:p>
        </w:tc>
      </w:tr>
      <w:tr w:rsidR="00630EE9" w:rsidRPr="00933C03" w:rsidTr="00E83F55">
        <w:tc>
          <w:tcPr>
            <w:tcW w:w="9209" w:type="dxa"/>
            <w:gridSpan w:val="4"/>
            <w:shd w:val="clear" w:color="auto" w:fill="auto"/>
          </w:tcPr>
          <w:p w:rsidR="00630EE9" w:rsidRPr="00D472D0" w:rsidRDefault="00BE5969" w:rsidP="00630EE9">
            <w:pPr>
              <w:pStyle w:val="Prrafodelista"/>
              <w:numPr>
                <w:ilvl w:val="0"/>
                <w:numId w:val="5"/>
              </w:num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Fundamento legal</w:t>
            </w:r>
            <w:r w:rsidR="00630EE9" w:rsidRPr="00D472D0">
              <w:rPr>
                <w:rFonts w:ascii="Palatino Linotype" w:eastAsia="Palatino Linotype" w:hAnsi="Palatino Linotype" w:cs="Palatino Linotype"/>
                <w:b/>
                <w:sz w:val="22"/>
                <w:szCs w:val="22"/>
              </w:rPr>
              <w:t xml:space="preserve"> </w:t>
            </w:r>
          </w:p>
        </w:tc>
      </w:tr>
      <w:tr w:rsidR="00630EE9" w:rsidRPr="00933C03" w:rsidTr="00E83F55">
        <w:tc>
          <w:tcPr>
            <w:tcW w:w="1838" w:type="dxa"/>
          </w:tcPr>
          <w:p w:rsidR="00630EE9" w:rsidRPr="004836E4" w:rsidRDefault="00630EE9" w:rsidP="00533623">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Solicitud</w:t>
            </w:r>
          </w:p>
        </w:tc>
        <w:tc>
          <w:tcPr>
            <w:tcW w:w="2126" w:type="dxa"/>
          </w:tcPr>
          <w:p w:rsidR="00630EE9" w:rsidRPr="004836E4" w:rsidRDefault="00630EE9" w:rsidP="00533623">
            <w:pPr>
              <w:pStyle w:val="Prrafodelista"/>
              <w:ind w:left="0"/>
              <w:jc w:val="center"/>
              <w:rPr>
                <w:rFonts w:ascii="Palatino Linotype" w:eastAsia="Palatino Linotype" w:hAnsi="Palatino Linotype" w:cs="Palatino Linotype"/>
                <w:b/>
                <w:sz w:val="22"/>
                <w:szCs w:val="22"/>
              </w:rPr>
            </w:pPr>
            <w:r w:rsidRPr="004836E4">
              <w:rPr>
                <w:rFonts w:ascii="Palatino Linotype" w:eastAsia="Palatino Linotype" w:hAnsi="Palatino Linotype" w:cs="Palatino Linotype"/>
                <w:b/>
                <w:sz w:val="22"/>
                <w:szCs w:val="22"/>
              </w:rPr>
              <w:t>Respuesta</w:t>
            </w:r>
          </w:p>
        </w:tc>
        <w:tc>
          <w:tcPr>
            <w:tcW w:w="4252" w:type="dxa"/>
          </w:tcPr>
          <w:p w:rsidR="00630EE9" w:rsidRPr="004836E4" w:rsidRDefault="00630EE9" w:rsidP="00533623">
            <w:pPr>
              <w:pStyle w:val="Prrafodelista"/>
              <w:ind w:left="0"/>
              <w:jc w:val="center"/>
              <w:rPr>
                <w:rFonts w:ascii="Palatino Linotype" w:eastAsia="Palatino Linotype" w:hAnsi="Palatino Linotype" w:cs="Palatino Linotype"/>
                <w:b/>
                <w:sz w:val="22"/>
                <w:szCs w:val="22"/>
              </w:rPr>
            </w:pPr>
            <w:r w:rsidRPr="004836E4">
              <w:rPr>
                <w:rFonts w:ascii="Palatino Linotype" w:eastAsia="Palatino Linotype" w:hAnsi="Palatino Linotype" w:cs="Palatino Linotype"/>
                <w:b/>
                <w:sz w:val="22"/>
                <w:szCs w:val="22"/>
              </w:rPr>
              <w:t>Informe Justificado</w:t>
            </w:r>
          </w:p>
        </w:tc>
        <w:tc>
          <w:tcPr>
            <w:tcW w:w="993" w:type="dxa"/>
          </w:tcPr>
          <w:p w:rsidR="00630EE9" w:rsidRDefault="00630EE9" w:rsidP="00533623">
            <w:pPr>
              <w:jc w:val="center"/>
            </w:pPr>
          </w:p>
        </w:tc>
      </w:tr>
      <w:tr w:rsidR="00BE5969" w:rsidRPr="00933C03" w:rsidTr="00E83F55">
        <w:tc>
          <w:tcPr>
            <w:tcW w:w="1838" w:type="dxa"/>
          </w:tcPr>
          <w:p w:rsidR="00BE5969" w:rsidRPr="008D721D" w:rsidRDefault="00BE5969" w:rsidP="00BE5969">
            <w:pPr>
              <w:jc w:val="both"/>
              <w:rPr>
                <w:rFonts w:ascii="Palatino Linotype" w:eastAsia="Palatino Linotype" w:hAnsi="Palatino Linotype" w:cs="Palatino Linotype"/>
                <w:sz w:val="22"/>
                <w:szCs w:val="22"/>
              </w:rPr>
            </w:pPr>
            <w:r w:rsidRPr="008D721D">
              <w:rPr>
                <w:rFonts w:ascii="Palatino Linotype" w:eastAsia="Palatino Linotype" w:hAnsi="Palatino Linotype" w:cs="Palatino Linotype"/>
                <w:sz w:val="22"/>
                <w:szCs w:val="22"/>
              </w:rPr>
              <w:lastRenderedPageBreak/>
              <w:t xml:space="preserve">1. </w:t>
            </w:r>
            <w:r>
              <w:rPr>
                <w:rFonts w:ascii="Palatino Linotype" w:eastAsia="Palatino Linotype" w:hAnsi="Palatino Linotype" w:cs="Palatino Linotype"/>
                <w:sz w:val="22"/>
                <w:szCs w:val="22"/>
              </w:rPr>
              <w:t>Conexión nueva de drenaje.</w:t>
            </w:r>
            <w:r w:rsidRPr="008D721D">
              <w:rPr>
                <w:rFonts w:ascii="Palatino Linotype" w:eastAsia="Palatino Linotype" w:hAnsi="Palatino Linotype" w:cs="Palatino Linotype"/>
                <w:sz w:val="22"/>
                <w:szCs w:val="22"/>
              </w:rPr>
              <w:t xml:space="preserve">  </w:t>
            </w:r>
          </w:p>
        </w:tc>
        <w:tc>
          <w:tcPr>
            <w:tcW w:w="2126" w:type="dxa"/>
          </w:tcPr>
          <w:p w:rsidR="00BE5969" w:rsidRPr="00BE5969" w:rsidRDefault="00BE5969" w:rsidP="00533623">
            <w:pPr>
              <w:pStyle w:val="Prrafodelista"/>
              <w:ind w:left="0"/>
              <w:jc w:val="both"/>
              <w:rPr>
                <w:rFonts w:ascii="Palatino Linotype" w:eastAsia="Palatino Linotype" w:hAnsi="Palatino Linotype" w:cs="Palatino Linotype"/>
                <w:i/>
                <w:sz w:val="20"/>
                <w:szCs w:val="20"/>
              </w:rPr>
            </w:pPr>
            <w:r w:rsidRPr="00BE5969">
              <w:rPr>
                <w:rFonts w:ascii="Palatino Linotype" w:hAnsi="Palatino Linotype"/>
                <w:i/>
                <w:color w:val="000000"/>
                <w:sz w:val="20"/>
                <w:szCs w:val="20"/>
              </w:rPr>
              <w:t>Artículo 137 y 137 BIS del Código Financiero del Estado de México. -Conexión de drenaje. - Artículo 135 fracción II, del Código Financiero del Estado de México. -Ruptura y reparación de pavimento por metro lineal. - De acuerdo con el Acta de Cabildo 101ª Ordinaria Punto 4° en los términos y condiciones número 15</w:t>
            </w:r>
          </w:p>
        </w:tc>
        <w:tc>
          <w:tcPr>
            <w:tcW w:w="4252" w:type="dxa"/>
          </w:tcPr>
          <w:p w:rsidR="00BE5969" w:rsidRPr="004D1752" w:rsidRDefault="0038331C" w:rsidP="00533623">
            <w:pPr>
              <w:pStyle w:val="Prrafodelista"/>
              <w:ind w:left="0"/>
              <w:jc w:val="both"/>
              <w:rPr>
                <w:rFonts w:ascii="Palatino Linotype" w:eastAsia="Palatino Linotype" w:hAnsi="Palatino Linotype" w:cs="Palatino Linotype"/>
                <w:sz w:val="22"/>
                <w:szCs w:val="22"/>
              </w:rPr>
            </w:pPr>
            <w:r w:rsidRPr="0038331C">
              <w:rPr>
                <w:rFonts w:ascii="Palatino Linotype" w:eastAsia="Palatino Linotype" w:hAnsi="Palatino Linotype" w:cs="Palatino Linotype"/>
                <w:noProof/>
                <w:sz w:val="22"/>
                <w:szCs w:val="22"/>
                <w:lang w:val="es-MX"/>
              </w:rPr>
              <w:drawing>
                <wp:inline distT="0" distB="0" distL="0" distR="0" wp14:anchorId="13B24E7F" wp14:editId="79189EA7">
                  <wp:extent cx="2514600" cy="17221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14600" cy="1722120"/>
                          </a:xfrm>
                          <a:prstGeom prst="rect">
                            <a:avLst/>
                          </a:prstGeom>
                        </pic:spPr>
                      </pic:pic>
                    </a:graphicData>
                  </a:graphic>
                </wp:inline>
              </w:drawing>
            </w:r>
          </w:p>
        </w:tc>
        <w:tc>
          <w:tcPr>
            <w:tcW w:w="993" w:type="dxa"/>
          </w:tcPr>
          <w:p w:rsidR="00BE5969" w:rsidRPr="008B4A45" w:rsidRDefault="00BE5969" w:rsidP="00533623">
            <w:pPr>
              <w:jc w:val="center"/>
              <w:rPr>
                <w:b/>
              </w:rPr>
            </w:pPr>
            <w:r w:rsidRPr="008B4A45">
              <w:rPr>
                <w:b/>
              </w:rPr>
              <w:t>SI</w:t>
            </w:r>
          </w:p>
        </w:tc>
      </w:tr>
      <w:tr w:rsidR="00BE5969" w:rsidRPr="00933C03" w:rsidTr="00E83F55">
        <w:tc>
          <w:tcPr>
            <w:tcW w:w="1838" w:type="dxa"/>
          </w:tcPr>
          <w:p w:rsidR="00BE5969" w:rsidRPr="008D721D" w:rsidRDefault="00BE5969" w:rsidP="00BE5969">
            <w:pPr>
              <w:jc w:val="both"/>
              <w:rPr>
                <w:rFonts w:ascii="Palatino Linotype" w:eastAsia="Palatino Linotype" w:hAnsi="Palatino Linotype" w:cs="Palatino Linotype"/>
                <w:sz w:val="22"/>
                <w:szCs w:val="22"/>
              </w:rPr>
            </w:pPr>
            <w:r w:rsidRPr="008D721D">
              <w:rPr>
                <w:rFonts w:ascii="Palatino Linotype" w:eastAsia="Palatino Linotype" w:hAnsi="Palatino Linotype" w:cs="Palatino Linotype"/>
                <w:sz w:val="22"/>
                <w:szCs w:val="22"/>
              </w:rPr>
              <w:t>2.</w:t>
            </w:r>
            <w:r>
              <w:rPr>
                <w:rFonts w:ascii="Palatino Linotype" w:eastAsia="Palatino Linotype" w:hAnsi="Palatino Linotype" w:cs="Palatino Linotype"/>
                <w:sz w:val="22"/>
                <w:szCs w:val="22"/>
              </w:rPr>
              <w:t xml:space="preserve"> Conexión nueva de agua</w:t>
            </w:r>
          </w:p>
        </w:tc>
        <w:tc>
          <w:tcPr>
            <w:tcW w:w="2126" w:type="dxa"/>
          </w:tcPr>
          <w:p w:rsidR="00BE5969" w:rsidRPr="0038331C" w:rsidRDefault="0038331C" w:rsidP="00533623">
            <w:pPr>
              <w:jc w:val="both"/>
              <w:rPr>
                <w:rFonts w:ascii="Palatino Linotype" w:eastAsia="Palatino Linotype" w:hAnsi="Palatino Linotype" w:cs="Palatino Linotype"/>
                <w:i/>
                <w:sz w:val="20"/>
                <w:szCs w:val="20"/>
              </w:rPr>
            </w:pPr>
            <w:r w:rsidRPr="0038331C">
              <w:rPr>
                <w:rFonts w:ascii="Palatino Linotype" w:hAnsi="Palatino Linotype"/>
                <w:i/>
                <w:color w:val="000000"/>
                <w:sz w:val="20"/>
                <w:szCs w:val="20"/>
              </w:rPr>
              <w:t xml:space="preserve">Art. 137, </w:t>
            </w:r>
            <w:proofErr w:type="spellStart"/>
            <w:r w:rsidRPr="0038331C">
              <w:rPr>
                <w:rFonts w:ascii="Palatino Linotype" w:hAnsi="Palatino Linotype"/>
                <w:i/>
                <w:color w:val="000000"/>
                <w:sz w:val="20"/>
                <w:szCs w:val="20"/>
              </w:rPr>
              <w:t>Fracc</w:t>
            </w:r>
            <w:proofErr w:type="spellEnd"/>
            <w:r w:rsidRPr="0038331C">
              <w:rPr>
                <w:rFonts w:ascii="Palatino Linotype" w:hAnsi="Palatino Linotype"/>
                <w:i/>
                <w:color w:val="000000"/>
                <w:sz w:val="20"/>
                <w:szCs w:val="20"/>
              </w:rPr>
              <w:t xml:space="preserve">. I, primera tabla C.F.E.M.M donde nos establece que se pagara 18 veces el UMA vigente se cobra Dictamen de factibilidad por $1,613.16, se respetara esta cantidad como costo total del concepto. • De acuerdo con el fundamento del código financiero del Estado de México y en base al Art. 135, </w:t>
            </w:r>
            <w:proofErr w:type="spellStart"/>
            <w:r w:rsidRPr="0038331C">
              <w:rPr>
                <w:rFonts w:ascii="Palatino Linotype" w:hAnsi="Palatino Linotype"/>
                <w:i/>
                <w:color w:val="000000"/>
                <w:sz w:val="20"/>
                <w:szCs w:val="20"/>
              </w:rPr>
              <w:t>Fracc</w:t>
            </w:r>
            <w:proofErr w:type="spellEnd"/>
            <w:r w:rsidRPr="0038331C">
              <w:rPr>
                <w:rFonts w:ascii="Palatino Linotype" w:hAnsi="Palatino Linotype"/>
                <w:i/>
                <w:color w:val="000000"/>
                <w:sz w:val="20"/>
                <w:szCs w:val="20"/>
              </w:rPr>
              <w:t xml:space="preserve">. I, inciso A, se realiza el cobro por Conexión de toma de agua domestico ½” por $2,996.71 y se respetara esta cantidad como costo total del concepto. • De acuerdo con el Acta de cabildo No. 101a.ORDINARIA, </w:t>
            </w:r>
            <w:r w:rsidRPr="0038331C">
              <w:rPr>
                <w:rFonts w:ascii="Palatino Linotype" w:hAnsi="Palatino Linotype"/>
                <w:i/>
                <w:color w:val="000000"/>
                <w:sz w:val="20"/>
                <w:szCs w:val="20"/>
              </w:rPr>
              <w:lastRenderedPageBreak/>
              <w:t>Punto 4°-Trienio 2019-2021, No. 22 el concepto por Ruptura de Pavimento es de $1.067.20 por metro Lineal.</w:t>
            </w:r>
          </w:p>
        </w:tc>
        <w:tc>
          <w:tcPr>
            <w:tcW w:w="4252" w:type="dxa"/>
          </w:tcPr>
          <w:p w:rsidR="00BE5969" w:rsidRDefault="0038331C" w:rsidP="00533623">
            <w:pPr>
              <w:jc w:val="both"/>
              <w:rPr>
                <w:rFonts w:ascii="Palatino Linotype" w:eastAsia="Palatino Linotype" w:hAnsi="Palatino Linotype" w:cs="Palatino Linotype"/>
                <w:sz w:val="22"/>
                <w:szCs w:val="22"/>
              </w:rPr>
            </w:pPr>
            <w:r w:rsidRPr="0038331C">
              <w:rPr>
                <w:rFonts w:ascii="Palatino Linotype" w:eastAsia="Palatino Linotype" w:hAnsi="Palatino Linotype" w:cs="Palatino Linotype"/>
                <w:noProof/>
                <w:sz w:val="22"/>
                <w:szCs w:val="22"/>
                <w:lang w:val="es-MX"/>
              </w:rPr>
              <w:lastRenderedPageBreak/>
              <w:drawing>
                <wp:inline distT="0" distB="0" distL="0" distR="0" wp14:anchorId="2AA6E2AE" wp14:editId="05A0B0E3">
                  <wp:extent cx="2562860" cy="111252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2860" cy="1112520"/>
                          </a:xfrm>
                          <a:prstGeom prst="rect">
                            <a:avLst/>
                          </a:prstGeom>
                        </pic:spPr>
                      </pic:pic>
                    </a:graphicData>
                  </a:graphic>
                </wp:inline>
              </w:drawing>
            </w:r>
          </w:p>
          <w:p w:rsidR="0038331C" w:rsidRDefault="0038331C" w:rsidP="00533623">
            <w:pPr>
              <w:jc w:val="both"/>
              <w:rPr>
                <w:rFonts w:ascii="Palatino Linotype" w:eastAsia="Palatino Linotype" w:hAnsi="Palatino Linotype" w:cs="Palatino Linotype"/>
                <w:sz w:val="22"/>
                <w:szCs w:val="22"/>
              </w:rPr>
            </w:pPr>
          </w:p>
          <w:p w:rsidR="0038331C" w:rsidRPr="00933C03" w:rsidRDefault="0038331C" w:rsidP="00533623">
            <w:pPr>
              <w:jc w:val="both"/>
              <w:rPr>
                <w:rFonts w:ascii="Palatino Linotype" w:eastAsia="Palatino Linotype" w:hAnsi="Palatino Linotype" w:cs="Palatino Linotype"/>
                <w:sz w:val="22"/>
                <w:szCs w:val="22"/>
              </w:rPr>
            </w:pPr>
            <w:r w:rsidRPr="0038331C">
              <w:rPr>
                <w:rFonts w:ascii="Palatino Linotype" w:eastAsia="Palatino Linotype" w:hAnsi="Palatino Linotype" w:cs="Palatino Linotype"/>
                <w:noProof/>
                <w:sz w:val="22"/>
                <w:szCs w:val="22"/>
                <w:lang w:val="es-MX"/>
              </w:rPr>
              <w:drawing>
                <wp:inline distT="0" distB="0" distL="0" distR="0" wp14:anchorId="1476688B" wp14:editId="7BC20829">
                  <wp:extent cx="2562860" cy="135636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62860" cy="1356360"/>
                          </a:xfrm>
                          <a:prstGeom prst="rect">
                            <a:avLst/>
                          </a:prstGeom>
                        </pic:spPr>
                      </pic:pic>
                    </a:graphicData>
                  </a:graphic>
                </wp:inline>
              </w:drawing>
            </w:r>
          </w:p>
        </w:tc>
        <w:tc>
          <w:tcPr>
            <w:tcW w:w="993" w:type="dxa"/>
          </w:tcPr>
          <w:p w:rsidR="00BE5969" w:rsidRPr="008B4A45" w:rsidRDefault="00BE5969" w:rsidP="00533623">
            <w:pPr>
              <w:jc w:val="center"/>
              <w:rPr>
                <w:rFonts w:ascii="Palatino Linotype" w:eastAsia="Palatino Linotype" w:hAnsi="Palatino Linotype" w:cs="Palatino Linotype"/>
                <w:b/>
                <w:sz w:val="22"/>
                <w:szCs w:val="22"/>
              </w:rPr>
            </w:pPr>
            <w:r w:rsidRPr="008B4A45">
              <w:rPr>
                <w:rFonts w:ascii="Palatino Linotype" w:eastAsia="Palatino Linotype" w:hAnsi="Palatino Linotype" w:cs="Palatino Linotype"/>
                <w:b/>
                <w:sz w:val="22"/>
                <w:szCs w:val="22"/>
              </w:rPr>
              <w:t>SI</w:t>
            </w:r>
          </w:p>
        </w:tc>
      </w:tr>
      <w:tr w:rsidR="00630EE9" w:rsidRPr="00933C03" w:rsidTr="00E83F55">
        <w:tc>
          <w:tcPr>
            <w:tcW w:w="9209" w:type="dxa"/>
            <w:gridSpan w:val="4"/>
            <w:shd w:val="clear" w:color="auto" w:fill="A6A6A6" w:themeFill="background1" w:themeFillShade="A6"/>
          </w:tcPr>
          <w:p w:rsidR="00630EE9" w:rsidRPr="005720B6" w:rsidRDefault="00BE5969" w:rsidP="00630EE9">
            <w:pPr>
              <w:pStyle w:val="Prrafodelista"/>
              <w:numPr>
                <w:ilvl w:val="0"/>
                <w:numId w:val="5"/>
              </w:numPr>
              <w:rPr>
                <w:rFonts w:ascii="Palatino Linotype" w:eastAsia="Palatino Linotype" w:hAnsi="Palatino Linotype" w:cs="Palatino Linotype"/>
                <w:b/>
                <w:sz w:val="22"/>
                <w:szCs w:val="22"/>
                <w:highlight w:val="darkGray"/>
              </w:rPr>
            </w:pPr>
            <w:r>
              <w:rPr>
                <w:rFonts w:ascii="Palatino Linotype" w:eastAsia="Palatino Linotype" w:hAnsi="Palatino Linotype" w:cs="Palatino Linotype"/>
                <w:b/>
                <w:sz w:val="22"/>
                <w:szCs w:val="22"/>
              </w:rPr>
              <w:t xml:space="preserve">Requisitos </w:t>
            </w:r>
            <w:r w:rsidR="00630EE9" w:rsidRPr="005720B6">
              <w:rPr>
                <w:rFonts w:ascii="Palatino Linotype" w:eastAsia="Palatino Linotype" w:hAnsi="Palatino Linotype" w:cs="Palatino Linotype"/>
                <w:b/>
                <w:sz w:val="22"/>
                <w:szCs w:val="22"/>
              </w:rPr>
              <w:t xml:space="preserve"> </w:t>
            </w:r>
          </w:p>
        </w:tc>
      </w:tr>
      <w:tr w:rsidR="00630EE9" w:rsidRPr="00933C03" w:rsidTr="00E83F55">
        <w:tc>
          <w:tcPr>
            <w:tcW w:w="1838" w:type="dxa"/>
          </w:tcPr>
          <w:p w:rsidR="00630EE9" w:rsidRPr="004836E4" w:rsidRDefault="00630EE9" w:rsidP="0053362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Solicitud</w:t>
            </w:r>
          </w:p>
        </w:tc>
        <w:tc>
          <w:tcPr>
            <w:tcW w:w="2126" w:type="dxa"/>
          </w:tcPr>
          <w:p w:rsidR="00630EE9" w:rsidRPr="004836E4" w:rsidRDefault="00630EE9" w:rsidP="00533623">
            <w:pPr>
              <w:tabs>
                <w:tab w:val="left" w:pos="1476"/>
              </w:tabs>
              <w:jc w:val="both"/>
              <w:rPr>
                <w:rFonts w:ascii="Palatino Linotype" w:eastAsia="Palatino Linotype" w:hAnsi="Palatino Linotype" w:cs="Palatino Linotype"/>
                <w:b/>
                <w:sz w:val="22"/>
                <w:szCs w:val="22"/>
              </w:rPr>
            </w:pPr>
            <w:r w:rsidRPr="004836E4">
              <w:rPr>
                <w:rFonts w:ascii="Palatino Linotype" w:eastAsia="Palatino Linotype" w:hAnsi="Palatino Linotype" w:cs="Palatino Linotype"/>
                <w:b/>
                <w:sz w:val="22"/>
                <w:szCs w:val="22"/>
              </w:rPr>
              <w:t xml:space="preserve">Respuesta </w:t>
            </w:r>
            <w:r w:rsidRPr="004836E4">
              <w:rPr>
                <w:rFonts w:ascii="Palatino Linotype" w:eastAsia="Palatino Linotype" w:hAnsi="Palatino Linotype" w:cs="Palatino Linotype"/>
                <w:b/>
                <w:sz w:val="22"/>
                <w:szCs w:val="22"/>
              </w:rPr>
              <w:tab/>
            </w:r>
          </w:p>
        </w:tc>
        <w:tc>
          <w:tcPr>
            <w:tcW w:w="4252" w:type="dxa"/>
          </w:tcPr>
          <w:p w:rsidR="00630EE9" w:rsidRPr="004836E4" w:rsidRDefault="00630EE9" w:rsidP="00533623">
            <w:pPr>
              <w:jc w:val="both"/>
              <w:rPr>
                <w:rFonts w:ascii="Palatino Linotype" w:eastAsia="Palatino Linotype" w:hAnsi="Palatino Linotype" w:cs="Palatino Linotype"/>
                <w:b/>
                <w:sz w:val="22"/>
                <w:szCs w:val="22"/>
              </w:rPr>
            </w:pPr>
            <w:r w:rsidRPr="004836E4">
              <w:rPr>
                <w:rFonts w:ascii="Palatino Linotype" w:eastAsia="Palatino Linotype" w:hAnsi="Palatino Linotype" w:cs="Palatino Linotype"/>
                <w:b/>
                <w:sz w:val="22"/>
                <w:szCs w:val="22"/>
              </w:rPr>
              <w:t>Informe Justificado</w:t>
            </w:r>
          </w:p>
        </w:tc>
        <w:tc>
          <w:tcPr>
            <w:tcW w:w="993" w:type="dxa"/>
          </w:tcPr>
          <w:p w:rsidR="00630EE9" w:rsidRDefault="00630EE9" w:rsidP="00533623">
            <w:pPr>
              <w:jc w:val="center"/>
              <w:rPr>
                <w:rFonts w:ascii="Palatino Linotype" w:eastAsia="Palatino Linotype" w:hAnsi="Palatino Linotype" w:cs="Palatino Linotype"/>
                <w:sz w:val="22"/>
                <w:szCs w:val="22"/>
              </w:rPr>
            </w:pPr>
          </w:p>
        </w:tc>
      </w:tr>
      <w:tr w:rsidR="00630EE9" w:rsidRPr="00933C03" w:rsidTr="00E83F55">
        <w:tc>
          <w:tcPr>
            <w:tcW w:w="1838" w:type="dxa"/>
          </w:tcPr>
          <w:p w:rsidR="00630EE9" w:rsidRPr="008D721D" w:rsidRDefault="00BE5969" w:rsidP="00630EE9">
            <w:pPr>
              <w:pStyle w:val="Prrafodelista"/>
              <w:numPr>
                <w:ilvl w:val="0"/>
                <w:numId w:val="6"/>
              </w:numPr>
              <w:ind w:left="313" w:hanging="313"/>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 xml:space="preserve">Conexión nueva de drenaje </w:t>
            </w:r>
            <w:r w:rsidR="00630EE9" w:rsidRPr="008D721D">
              <w:rPr>
                <w:rFonts w:ascii="Palatino Linotype" w:eastAsia="Palatino Linotype" w:hAnsi="Palatino Linotype" w:cs="Palatino Linotype"/>
                <w:sz w:val="22"/>
                <w:szCs w:val="22"/>
              </w:rPr>
              <w:t xml:space="preserve"> </w:t>
            </w:r>
          </w:p>
        </w:tc>
        <w:tc>
          <w:tcPr>
            <w:tcW w:w="2126" w:type="dxa"/>
          </w:tcPr>
          <w:p w:rsidR="00630EE9" w:rsidRPr="005720B6" w:rsidRDefault="00BE5969" w:rsidP="00533623">
            <w:pPr>
              <w:jc w:val="both"/>
              <w:rPr>
                <w:rFonts w:ascii="Palatino Linotype" w:eastAsia="Palatino Linotype" w:hAnsi="Palatino Linotype" w:cs="Palatino Linotype"/>
                <w:sz w:val="22"/>
                <w:szCs w:val="22"/>
              </w:rPr>
            </w:pPr>
            <w:r>
              <w:rPr>
                <w:rFonts w:ascii="Palatino Linotype" w:hAnsi="Palatino Linotype"/>
                <w:i/>
                <w:color w:val="000000"/>
                <w:sz w:val="22"/>
                <w:szCs w:val="22"/>
              </w:rPr>
              <w:t>“</w:t>
            </w:r>
            <w:r w:rsidRPr="00BE5969">
              <w:rPr>
                <w:rFonts w:ascii="Palatino Linotype" w:hAnsi="Palatino Linotype"/>
                <w:i/>
                <w:color w:val="000000"/>
                <w:sz w:val="22"/>
                <w:szCs w:val="22"/>
              </w:rPr>
              <w:t>Escrituras, título de la propiedad y/o predial. (Original) -Identificación oficial vigente (INE, pasaporte, etc.). (Original)</w:t>
            </w:r>
            <w:r w:rsidRPr="00BE5969">
              <w:rPr>
                <w:rFonts w:ascii="Palatino Linotype" w:hAnsi="Palatino Linotype" w:cs="Arial"/>
                <w:i/>
                <w:sz w:val="22"/>
                <w:szCs w:val="22"/>
              </w:rPr>
              <w:t>.</w:t>
            </w:r>
          </w:p>
        </w:tc>
        <w:tc>
          <w:tcPr>
            <w:tcW w:w="4252" w:type="dxa"/>
          </w:tcPr>
          <w:p w:rsidR="00630EE9" w:rsidRPr="004F4E8E" w:rsidRDefault="0038331C" w:rsidP="00533623">
            <w:pPr>
              <w:jc w:val="both"/>
              <w:rPr>
                <w:rFonts w:ascii="Palatino Linotype" w:eastAsia="Palatino Linotype" w:hAnsi="Palatino Linotype" w:cs="Palatino Linotype"/>
                <w:sz w:val="22"/>
                <w:szCs w:val="22"/>
              </w:rPr>
            </w:pPr>
            <w:r w:rsidRPr="0038331C">
              <w:rPr>
                <w:rFonts w:ascii="Palatino Linotype" w:eastAsia="Palatino Linotype" w:hAnsi="Palatino Linotype" w:cs="Palatino Linotype"/>
                <w:noProof/>
                <w:sz w:val="22"/>
                <w:szCs w:val="22"/>
                <w:lang w:val="es-MX"/>
              </w:rPr>
              <w:drawing>
                <wp:inline distT="0" distB="0" distL="0" distR="0" wp14:anchorId="6A45A60F" wp14:editId="75EE3F0C">
                  <wp:extent cx="2562860" cy="95250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62860" cy="952500"/>
                          </a:xfrm>
                          <a:prstGeom prst="rect">
                            <a:avLst/>
                          </a:prstGeom>
                        </pic:spPr>
                      </pic:pic>
                    </a:graphicData>
                  </a:graphic>
                </wp:inline>
              </w:drawing>
            </w:r>
          </w:p>
        </w:tc>
        <w:tc>
          <w:tcPr>
            <w:tcW w:w="993" w:type="dxa"/>
          </w:tcPr>
          <w:p w:rsidR="00630EE9" w:rsidRPr="00933C03" w:rsidRDefault="00630EE9" w:rsidP="00533623">
            <w:pPr>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w:t>
            </w:r>
          </w:p>
        </w:tc>
      </w:tr>
      <w:tr w:rsidR="00BE5969" w:rsidRPr="00933C03" w:rsidTr="00E83F55">
        <w:tc>
          <w:tcPr>
            <w:tcW w:w="1838" w:type="dxa"/>
          </w:tcPr>
          <w:p w:rsidR="00BE5969" w:rsidRDefault="00BE5969" w:rsidP="00630EE9">
            <w:pPr>
              <w:pStyle w:val="Prrafodelista"/>
              <w:numPr>
                <w:ilvl w:val="0"/>
                <w:numId w:val="6"/>
              </w:numPr>
              <w:ind w:left="313" w:hanging="31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Conexión nueva de agua</w:t>
            </w:r>
          </w:p>
        </w:tc>
        <w:tc>
          <w:tcPr>
            <w:tcW w:w="2126" w:type="dxa"/>
          </w:tcPr>
          <w:p w:rsidR="00BE5969" w:rsidRPr="005720B6" w:rsidRDefault="0038331C" w:rsidP="00533623">
            <w:pPr>
              <w:jc w:val="both"/>
              <w:rPr>
                <w:rFonts w:ascii="Palatino Linotype" w:eastAsia="Palatino Linotype" w:hAnsi="Palatino Linotype" w:cs="Palatino Linotype"/>
                <w:sz w:val="22"/>
                <w:szCs w:val="22"/>
              </w:rPr>
            </w:pPr>
            <w:r>
              <w:rPr>
                <w:rFonts w:ascii="Verdana" w:hAnsi="Verdana"/>
                <w:color w:val="000000"/>
                <w:sz w:val="18"/>
                <w:szCs w:val="18"/>
              </w:rPr>
              <w:t xml:space="preserve">• </w:t>
            </w:r>
            <w:r w:rsidRPr="0038331C">
              <w:rPr>
                <w:rFonts w:ascii="Palatino Linotype" w:hAnsi="Palatino Linotype"/>
                <w:i/>
                <w:color w:val="000000"/>
                <w:sz w:val="20"/>
                <w:szCs w:val="20"/>
              </w:rPr>
              <w:t>Escrituras y/o título de la propiedad. • Predial. • INE del propietario. Toda la documentación debe ser presentada en original para cotejar la información y 3 juegos de copias. Posterior al cotejo de la documentación debe de realizar los pagos, según sea el caso</w:t>
            </w:r>
          </w:p>
        </w:tc>
        <w:tc>
          <w:tcPr>
            <w:tcW w:w="4252" w:type="dxa"/>
          </w:tcPr>
          <w:p w:rsidR="00BE5969" w:rsidRDefault="0038331C" w:rsidP="00533623">
            <w:pPr>
              <w:jc w:val="both"/>
              <w:rPr>
                <w:rFonts w:ascii="Palatino Linotype" w:eastAsia="Palatino Linotype" w:hAnsi="Palatino Linotype" w:cs="Palatino Linotype"/>
                <w:sz w:val="22"/>
                <w:szCs w:val="22"/>
              </w:rPr>
            </w:pPr>
            <w:r w:rsidRPr="0038331C">
              <w:rPr>
                <w:rFonts w:ascii="Palatino Linotype" w:eastAsia="Palatino Linotype" w:hAnsi="Palatino Linotype" w:cs="Palatino Linotype"/>
                <w:noProof/>
                <w:sz w:val="22"/>
                <w:szCs w:val="22"/>
                <w:lang w:val="es-MX"/>
              </w:rPr>
              <w:drawing>
                <wp:inline distT="0" distB="0" distL="0" distR="0" wp14:anchorId="4A72D6EA" wp14:editId="7FC90BE9">
                  <wp:extent cx="2562860" cy="1348740"/>
                  <wp:effectExtent l="0" t="0" r="889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62860" cy="1348740"/>
                          </a:xfrm>
                          <a:prstGeom prst="rect">
                            <a:avLst/>
                          </a:prstGeom>
                        </pic:spPr>
                      </pic:pic>
                    </a:graphicData>
                  </a:graphic>
                </wp:inline>
              </w:drawing>
            </w:r>
          </w:p>
        </w:tc>
        <w:tc>
          <w:tcPr>
            <w:tcW w:w="993" w:type="dxa"/>
          </w:tcPr>
          <w:p w:rsidR="00BE5969" w:rsidRDefault="005F2064" w:rsidP="00533623">
            <w:pPr>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w:t>
            </w:r>
          </w:p>
        </w:tc>
      </w:tr>
    </w:tbl>
    <w:p w:rsidR="00630EE9" w:rsidRDefault="00630EE9" w:rsidP="00630EE9">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630EE9" w:rsidRDefault="005A2349">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entendido, cabe señalar que una vez realizado de los argumentos vertidos en respuesta e informe justificado, se advierte que, a través del informe justificado,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indicó de forma concreta y precisa el fundamento jurídico y los requisitos para el trámite de conexi</w:t>
      </w:r>
      <w:r w:rsidR="00F902B9">
        <w:rPr>
          <w:rFonts w:ascii="Palatino Linotype" w:eastAsia="Palatino Linotype" w:hAnsi="Palatino Linotype" w:cs="Palatino Linotype"/>
          <w:color w:val="000000"/>
        </w:rPr>
        <w:t xml:space="preserve">ón nueva de drenaje y agua, para una fracción de terreno de 125m2. </w:t>
      </w:r>
    </w:p>
    <w:p w:rsidR="00F902B9" w:rsidRPr="00D50AE7" w:rsidRDefault="00F902B9" w:rsidP="00F902B9">
      <w:pPr>
        <w:pStyle w:val="Prrafodelista"/>
        <w:spacing w:before="240" w:after="240" w:line="360" w:lineRule="auto"/>
        <w:ind w:left="0"/>
        <w:jc w:val="both"/>
        <w:rPr>
          <w:rFonts w:ascii="Palatino Linotype" w:hAnsi="Palatino Linotype" w:cs="Arial"/>
        </w:rPr>
      </w:pPr>
      <w:r w:rsidRPr="00C04B5B">
        <w:rPr>
          <w:rFonts w:ascii="Palatino Linotype" w:hAnsi="Palatino Linotype"/>
          <w:bCs/>
        </w:rPr>
        <w:lastRenderedPageBreak/>
        <w:t>Así mismo, 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F902B9" w:rsidRPr="00C04B5B" w:rsidRDefault="00F902B9" w:rsidP="00F902B9">
      <w:pPr>
        <w:pStyle w:val="Prrafodelista"/>
        <w:spacing w:before="240" w:after="240" w:line="360" w:lineRule="auto"/>
        <w:ind w:left="0"/>
        <w:jc w:val="both"/>
        <w:rPr>
          <w:rFonts w:ascii="Palatino Linotype" w:hAnsi="Palatino Linotype" w:cs="Arial"/>
        </w:rPr>
      </w:pPr>
    </w:p>
    <w:p w:rsidR="00F902B9" w:rsidRPr="00C04B5B" w:rsidRDefault="00F902B9" w:rsidP="00F902B9">
      <w:pPr>
        <w:pStyle w:val="Prrafodelista"/>
        <w:spacing w:before="240" w:after="360" w:line="360" w:lineRule="auto"/>
        <w:ind w:left="0" w:right="49"/>
        <w:jc w:val="both"/>
        <w:rPr>
          <w:rFonts w:ascii="Palatino Linotype" w:hAnsi="Palatino Linotype" w:cs="Arial"/>
          <w:bCs/>
        </w:rPr>
      </w:pPr>
      <w:r w:rsidRPr="00C04B5B">
        <w:rPr>
          <w:rFonts w:ascii="Palatino Linotype" w:hAnsi="Palatino Linotype" w:cs="Arial"/>
          <w:bCs/>
        </w:rPr>
        <w:t>Sirviendo de apoyo a lo anterior por analogía, el criterio 31-10 emitido por el ahora Instituto Nacional de Transparencia, Acceso a la Información y Protección de Datos Personales, que a la letra dice:</w:t>
      </w:r>
    </w:p>
    <w:p w:rsidR="00F902B9" w:rsidRPr="005F1AE0" w:rsidRDefault="00F902B9" w:rsidP="00F902B9">
      <w:pPr>
        <w:spacing w:before="240" w:after="360" w:line="360" w:lineRule="auto"/>
        <w:ind w:left="567" w:right="616"/>
        <w:jc w:val="both"/>
        <w:rPr>
          <w:rFonts w:ascii="Palatino Linotype" w:hAnsi="Palatino Linotype" w:cs="Arial"/>
          <w:bCs/>
          <w:sz w:val="22"/>
          <w:szCs w:val="22"/>
        </w:rPr>
      </w:pPr>
      <w:r w:rsidRPr="005F1AE0">
        <w:rPr>
          <w:rFonts w:ascii="Palatino Linotype" w:hAnsi="Palatino Linotype" w:cs="Arial"/>
          <w:bCs/>
          <w:i/>
          <w:iCs/>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02DBC" w:rsidRDefault="00F902B9">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Acotado lo anterior</w:t>
      </w:r>
      <w:r w:rsidR="000D6AC4">
        <w:rPr>
          <w:rFonts w:ascii="Palatino Linotype" w:eastAsia="Palatino Linotype" w:hAnsi="Palatino Linotype" w:cs="Palatino Linotype"/>
          <w:color w:val="000000"/>
        </w:rPr>
        <w:t xml:space="preserve">, es importante referir que la fracción III del artículo 192, de la </w:t>
      </w:r>
      <w:r w:rsidR="000D6AC4">
        <w:rPr>
          <w:rFonts w:ascii="Palatino Linotype" w:eastAsia="Palatino Linotype" w:hAnsi="Palatino Linotype" w:cs="Palatino Linotype"/>
          <w:b/>
          <w:color w:val="000000"/>
        </w:rPr>
        <w:t xml:space="preserve">Ley de Transparencia y Acceso a la Información Pública del Estado de México y Municipios </w:t>
      </w:r>
      <w:r w:rsidR="000D6AC4">
        <w:rPr>
          <w:rFonts w:ascii="Palatino Linotype" w:eastAsia="Palatino Linotype" w:hAnsi="Palatino Linotype" w:cs="Palatino Linotype"/>
          <w:color w:val="000000"/>
        </w:rPr>
        <w:t>establece:</w:t>
      </w:r>
    </w:p>
    <w:p w:rsidR="00602DBC" w:rsidRDefault="00602DBC">
      <w:pPr>
        <w:pBdr>
          <w:top w:val="nil"/>
          <w:left w:val="nil"/>
          <w:bottom w:val="nil"/>
          <w:right w:val="nil"/>
          <w:between w:val="nil"/>
        </w:pBdr>
        <w:spacing w:line="360" w:lineRule="auto"/>
        <w:ind w:left="426"/>
        <w:jc w:val="both"/>
        <w:rPr>
          <w:rFonts w:ascii="Palatino Linotype" w:eastAsia="Palatino Linotype" w:hAnsi="Palatino Linotype" w:cs="Palatino Linotype"/>
          <w:color w:val="000000"/>
        </w:rPr>
      </w:pPr>
    </w:p>
    <w:p w:rsidR="00602DBC" w:rsidRDefault="000D6AC4">
      <w:pPr>
        <w:pBdr>
          <w:top w:val="nil"/>
          <w:left w:val="nil"/>
          <w:bottom w:val="nil"/>
          <w:right w:val="nil"/>
          <w:between w:val="nil"/>
        </w:pBdr>
        <w:spacing w:line="360" w:lineRule="auto"/>
        <w:ind w:left="720" w:right="616"/>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“Artículo 192. </w:t>
      </w:r>
      <w:r>
        <w:rPr>
          <w:rFonts w:ascii="Palatino Linotype" w:eastAsia="Palatino Linotype" w:hAnsi="Palatino Linotype" w:cs="Palatino Linotype"/>
          <w:i/>
          <w:color w:val="000000"/>
        </w:rPr>
        <w:t>El recurso será sobreseído, en todo o en parte, cuando una vez admitido, se actualicen alguno de los siguientes supuestos:</w:t>
      </w:r>
    </w:p>
    <w:p w:rsidR="00602DBC" w:rsidRDefault="000D6AC4">
      <w:pPr>
        <w:pBdr>
          <w:top w:val="nil"/>
          <w:left w:val="nil"/>
          <w:bottom w:val="nil"/>
          <w:right w:val="nil"/>
          <w:between w:val="nil"/>
        </w:pBdr>
        <w:spacing w:line="360" w:lineRule="auto"/>
        <w:ind w:left="720"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602DBC" w:rsidRDefault="000D6AC4">
      <w:pPr>
        <w:pBdr>
          <w:top w:val="nil"/>
          <w:left w:val="nil"/>
          <w:bottom w:val="nil"/>
          <w:right w:val="nil"/>
          <w:between w:val="nil"/>
        </w:pBdr>
        <w:spacing w:line="360" w:lineRule="auto"/>
        <w:ind w:left="720" w:right="616"/>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III. El sujeto obligado responsable del acto lo modifique o revoque de tal manera que el recurso de revisión quede sin materia;”</w:t>
      </w:r>
    </w:p>
    <w:p w:rsidR="00602DBC" w:rsidRDefault="00602DBC">
      <w:pPr>
        <w:pBdr>
          <w:top w:val="nil"/>
          <w:left w:val="nil"/>
          <w:bottom w:val="nil"/>
          <w:right w:val="nil"/>
          <w:between w:val="nil"/>
        </w:pBdr>
        <w:spacing w:line="360" w:lineRule="auto"/>
        <w:ind w:left="720" w:right="616"/>
        <w:jc w:val="both"/>
        <w:rPr>
          <w:rFonts w:ascii="Palatino Linotype" w:eastAsia="Palatino Linotype" w:hAnsi="Palatino Linotype" w:cs="Palatino Linotype"/>
          <w:b/>
          <w:i/>
          <w:color w:val="000000"/>
        </w:rPr>
      </w:pPr>
    </w:p>
    <w:p w:rsidR="00602DBC" w:rsidRDefault="000D6AC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relación a las causas de sobreseimiento establecidas, es oportuno señalar que estos requisitos privilegian la existencia de elementos de fondo; como el desistimiento o fallecimiento del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o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u w:val="single"/>
        </w:rPr>
        <w:t>modifique o revoque el acto</w:t>
      </w:r>
      <w:r>
        <w:rPr>
          <w:rFonts w:ascii="Palatino Linotype" w:eastAsia="Palatino Linotype" w:hAnsi="Palatino Linotype" w:cs="Palatino Linotype"/>
          <w:color w:val="000000"/>
        </w:rPr>
        <w:t>; de ahí que la actualización de alguno de éstos trae como consecuencia que el medio de impugnación se concluya sin que se analice el objeto de estudio planteado, es decir se sobresea.</w:t>
      </w:r>
    </w:p>
    <w:p w:rsidR="00602DBC" w:rsidRDefault="00602DBC">
      <w:pPr>
        <w:pBdr>
          <w:top w:val="nil"/>
          <w:left w:val="nil"/>
          <w:bottom w:val="nil"/>
          <w:right w:val="nil"/>
          <w:between w:val="nil"/>
        </w:pBdr>
        <w:spacing w:line="360" w:lineRule="auto"/>
        <w:ind w:left="426"/>
        <w:jc w:val="both"/>
        <w:rPr>
          <w:rFonts w:ascii="Palatino Linotype" w:eastAsia="Palatino Linotype" w:hAnsi="Palatino Linotype" w:cs="Palatino Linotype"/>
          <w:color w:val="000000"/>
        </w:rPr>
      </w:pPr>
    </w:p>
    <w:p w:rsidR="00602DBC" w:rsidRDefault="000D6AC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otra parte, la doctrina refiere que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rsidR="00602DBC" w:rsidRDefault="00602DBC">
      <w:pPr>
        <w:pBdr>
          <w:top w:val="nil"/>
          <w:left w:val="nil"/>
          <w:bottom w:val="nil"/>
          <w:right w:val="nil"/>
          <w:between w:val="nil"/>
        </w:pBdr>
        <w:ind w:left="720"/>
        <w:rPr>
          <w:rFonts w:ascii="Palatino Linotype" w:eastAsia="Palatino Linotype" w:hAnsi="Palatino Linotype" w:cs="Palatino Linotype"/>
          <w:color w:val="000000"/>
        </w:rPr>
      </w:pPr>
    </w:p>
    <w:p w:rsidR="00602DBC" w:rsidRDefault="000D6AC4">
      <w:pPr>
        <w:pBdr>
          <w:top w:val="nil"/>
          <w:left w:val="nil"/>
          <w:bottom w:val="nil"/>
          <w:right w:val="nil"/>
          <w:between w:val="nil"/>
        </w:pBdr>
        <w:spacing w:line="360" w:lineRule="auto"/>
        <w:ind w:left="720" w:right="616"/>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lastRenderedPageBreak/>
        <w:t>SOBRESEIMIENTO EN EL JUICIO DE AMPARO DIRECTO. IMPIDE EL ESTUDIO DE LAS VIOLACIONES PROCESALES PLANTEADAS EN LOS CONCEPTOS DE VIOLACIÓN.</w:t>
      </w:r>
    </w:p>
    <w:p w:rsidR="00602DBC" w:rsidRDefault="000D6AC4">
      <w:pPr>
        <w:pBdr>
          <w:top w:val="nil"/>
          <w:left w:val="nil"/>
          <w:bottom w:val="nil"/>
          <w:right w:val="nil"/>
          <w:between w:val="nil"/>
        </w:pBdr>
        <w:spacing w:line="360" w:lineRule="auto"/>
        <w:ind w:left="720" w:right="616"/>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El sobreseimiento</w:t>
      </w:r>
      <w:r>
        <w:rPr>
          <w:rFonts w:ascii="Palatino Linotype" w:eastAsia="Palatino Linotype" w:hAnsi="Palatino Linotype" w:cs="Palatino Linotype"/>
          <w:i/>
          <w:color w:val="000000"/>
        </w:rPr>
        <w:t xml:space="preserve"> en el juicio de amparo directo </w:t>
      </w:r>
      <w:r>
        <w:rPr>
          <w:rFonts w:ascii="Palatino Linotype" w:eastAsia="Palatino Linotype" w:hAnsi="Palatino Linotype" w:cs="Palatino Linotype"/>
          <w:b/>
          <w:i/>
          <w:color w:val="000000"/>
        </w:rPr>
        <w:t>provoca la terminación de la controversia planteada</w:t>
      </w:r>
      <w:r>
        <w:rPr>
          <w:rFonts w:ascii="Palatino Linotype" w:eastAsia="Palatino Linotype" w:hAnsi="Palatino Linotype" w:cs="Palatino Linotype"/>
          <w:i/>
          <w:color w:val="000000"/>
        </w:rPr>
        <w:t xml:space="preserve"> por el quejoso en la demanda de amparo</w:t>
      </w:r>
      <w:r>
        <w:rPr>
          <w:rFonts w:ascii="Palatino Linotype" w:eastAsia="Palatino Linotype" w:hAnsi="Palatino Linotype" w:cs="Palatino Linotype"/>
          <w:b/>
          <w:i/>
          <w:color w:val="000000"/>
        </w:rPr>
        <w:t>, sin hacer un pronunciamiento de fondo sobre la legalidad o ilegalidad de la sentencia reclamada</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 xml:space="preserve">Por consiguiente, si al sobreseerse en el juicio de amparo </w:t>
      </w:r>
      <w:r>
        <w:rPr>
          <w:rFonts w:ascii="Palatino Linotype" w:eastAsia="Palatino Linotype" w:hAnsi="Palatino Linotype" w:cs="Palatino Linotype"/>
          <w:b/>
          <w:i/>
          <w:color w:val="000000"/>
          <w:u w:val="single"/>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Pr>
          <w:rFonts w:ascii="Palatino Linotype" w:eastAsia="Palatino Linotype" w:hAnsi="Palatino Linotype" w:cs="Palatino Linotype"/>
          <w:i/>
          <w:color w:val="000000"/>
        </w:rPr>
        <w:t>.</w:t>
      </w:r>
    </w:p>
    <w:p w:rsidR="00602DBC" w:rsidRDefault="000D6AC4">
      <w:pPr>
        <w:pBdr>
          <w:top w:val="nil"/>
          <w:left w:val="nil"/>
          <w:bottom w:val="nil"/>
          <w:right w:val="nil"/>
          <w:between w:val="nil"/>
        </w:pBdr>
        <w:spacing w:line="360" w:lineRule="auto"/>
        <w:ind w:left="720"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SÉPTIMO TRIBUNAL COLEGIADO EN MATERIA CIVIL DEL PRIMER CIRCUITO.</w:t>
      </w:r>
    </w:p>
    <w:p w:rsidR="00602DBC" w:rsidRDefault="000D6AC4">
      <w:pPr>
        <w:pBdr>
          <w:top w:val="nil"/>
          <w:left w:val="nil"/>
          <w:bottom w:val="nil"/>
          <w:right w:val="nil"/>
          <w:between w:val="nil"/>
        </w:pBdr>
        <w:spacing w:line="360" w:lineRule="auto"/>
        <w:ind w:left="720"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Amparo directo 699/2008. Mariana Leticia González </w:t>
      </w:r>
      <w:proofErr w:type="spellStart"/>
      <w:r>
        <w:rPr>
          <w:rFonts w:ascii="Palatino Linotype" w:eastAsia="Palatino Linotype" w:hAnsi="Palatino Linotype" w:cs="Palatino Linotype"/>
          <w:i/>
          <w:color w:val="000000"/>
        </w:rPr>
        <w:t>Steele</w:t>
      </w:r>
      <w:proofErr w:type="spellEnd"/>
      <w:r>
        <w:rPr>
          <w:rFonts w:ascii="Palatino Linotype" w:eastAsia="Palatino Linotype" w:hAnsi="Palatino Linotype" w:cs="Palatino Linotype"/>
          <w:i/>
          <w:color w:val="000000"/>
        </w:rPr>
        <w:t>. 13 de noviembre de 2008. Unanimidad de votos. Ponente: Sara Judith Montalvo Trejo. Secretario: Arnulfo Mateos García.</w:t>
      </w:r>
    </w:p>
    <w:p w:rsidR="00602DBC" w:rsidRDefault="00602DBC">
      <w:pPr>
        <w:pBdr>
          <w:top w:val="nil"/>
          <w:left w:val="nil"/>
          <w:bottom w:val="nil"/>
          <w:right w:val="nil"/>
          <w:between w:val="nil"/>
        </w:pBdr>
        <w:spacing w:line="360" w:lineRule="auto"/>
        <w:ind w:left="720" w:right="616"/>
        <w:jc w:val="both"/>
        <w:rPr>
          <w:rFonts w:ascii="Palatino Linotype" w:eastAsia="Palatino Linotype" w:hAnsi="Palatino Linotype" w:cs="Palatino Linotype"/>
          <w:i/>
          <w:color w:val="000000"/>
        </w:rPr>
      </w:pPr>
    </w:p>
    <w:p w:rsidR="00602DBC" w:rsidRDefault="000D6AC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este modo, se puede deducir que, en las resoluciones dictadas por el Pleno de este Instituto, en las que se decreta el sobreseimiento de un recurso de revisión por la actualización de alguno de los supuestos jurídicos contemplados en el artículo </w:t>
      </w:r>
      <w:r>
        <w:rPr>
          <w:rFonts w:ascii="Palatino Linotype" w:eastAsia="Palatino Linotype" w:hAnsi="Palatino Linotype" w:cs="Palatino Linotype"/>
          <w:b/>
          <w:color w:val="000000"/>
        </w:rPr>
        <w:t xml:space="preserve">192 </w:t>
      </w:r>
      <w:r>
        <w:rPr>
          <w:rFonts w:ascii="Palatino Linotype" w:eastAsia="Palatino Linotype" w:hAnsi="Palatino Linotype" w:cs="Palatino Linotype"/>
          <w:color w:val="000000"/>
        </w:rPr>
        <w:t xml:space="preserve">de la </w:t>
      </w:r>
      <w:r>
        <w:rPr>
          <w:rFonts w:ascii="Palatino Linotype" w:eastAsia="Palatino Linotype" w:hAnsi="Palatino Linotype" w:cs="Palatino Linotype"/>
          <w:b/>
          <w:color w:val="000000"/>
        </w:rPr>
        <w:t xml:space="preserve">Ley de Transparencia y Acceso a la Información Pública del Estado de </w:t>
      </w:r>
      <w:r>
        <w:rPr>
          <w:rFonts w:ascii="Palatino Linotype" w:eastAsia="Palatino Linotype" w:hAnsi="Palatino Linotype" w:cs="Palatino Linotype"/>
          <w:b/>
          <w:color w:val="000000"/>
        </w:rPr>
        <w:lastRenderedPageBreak/>
        <w:t>México y Municipios</w:t>
      </w:r>
      <w:r>
        <w:rPr>
          <w:rFonts w:ascii="Palatino Linotype" w:eastAsia="Palatino Linotype" w:hAnsi="Palatino Linotype" w:cs="Palatino Linotype"/>
          <w:color w:val="000000"/>
        </w:rPr>
        <w:t>, nos encontramos ante un sobreseimiento definitivo toda vez que pone fin al procedimiento sin entrar al estudio de fondo del mismo.</w:t>
      </w:r>
    </w:p>
    <w:p w:rsidR="00602DBC" w:rsidRDefault="00602DBC">
      <w:pPr>
        <w:pBdr>
          <w:top w:val="nil"/>
          <w:left w:val="nil"/>
          <w:bottom w:val="nil"/>
          <w:right w:val="nil"/>
          <w:between w:val="nil"/>
        </w:pBdr>
        <w:spacing w:line="360" w:lineRule="auto"/>
        <w:ind w:left="426"/>
        <w:jc w:val="both"/>
        <w:rPr>
          <w:rFonts w:ascii="Palatino Linotype" w:eastAsia="Palatino Linotype" w:hAnsi="Palatino Linotype" w:cs="Palatino Linotype"/>
          <w:color w:val="000000"/>
        </w:rPr>
      </w:pPr>
    </w:p>
    <w:p w:rsidR="00602DBC" w:rsidRDefault="000D6AC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Para los efectos de esta resolución, es oportuno precisar los alcances jurídicos de la </w:t>
      </w:r>
      <w:r>
        <w:rPr>
          <w:rFonts w:ascii="Palatino Linotype" w:eastAsia="Palatino Linotype" w:hAnsi="Palatino Linotype" w:cs="Palatino Linotype"/>
          <w:b/>
          <w:color w:val="000000"/>
        </w:rPr>
        <w:t>fracción III</w:t>
      </w:r>
      <w:r>
        <w:rPr>
          <w:rFonts w:ascii="Palatino Linotype" w:eastAsia="Palatino Linotype" w:hAnsi="Palatino Linotype" w:cs="Palatino Linotype"/>
          <w:color w:val="000000"/>
        </w:rPr>
        <w:t xml:space="preserve"> de la disposición legal transcrita. Así, procede el sobreseimiento del recurso de revisión cuando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p>
    <w:p w:rsidR="00602DBC" w:rsidRDefault="00602DBC">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p>
    <w:p w:rsidR="00602DBC" w:rsidRDefault="000D6AC4">
      <w:pPr>
        <w:numPr>
          <w:ilvl w:val="0"/>
          <w:numId w:val="3"/>
        </w:numPr>
        <w:pBdr>
          <w:top w:val="nil"/>
          <w:left w:val="nil"/>
          <w:bottom w:val="nil"/>
          <w:right w:val="nil"/>
          <w:between w:val="nil"/>
        </w:pBdr>
        <w:spacing w:line="360" w:lineRule="auto"/>
        <w:ind w:left="360" w:right="5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Modifique el acto impugnado:</w:t>
      </w:r>
      <w:r>
        <w:rPr>
          <w:rFonts w:ascii="Palatino Linotype" w:eastAsia="Palatino Linotype" w:hAnsi="Palatino Linotype" w:cs="Palatino Linotype"/>
          <w:color w:val="000000"/>
        </w:rPr>
        <w:t xml:space="preserve"> Se actualiza cuando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después de haber otorgado una respuesta y hasta antes de dictada la resolución del recurso de revisión, emite una diversa en la que subsane las deficiencias que hubiera tenido.</w:t>
      </w:r>
    </w:p>
    <w:p w:rsidR="00602DBC" w:rsidRDefault="000D6AC4">
      <w:pPr>
        <w:numPr>
          <w:ilvl w:val="0"/>
          <w:numId w:val="3"/>
        </w:numPr>
        <w:pBdr>
          <w:top w:val="nil"/>
          <w:left w:val="nil"/>
          <w:bottom w:val="nil"/>
          <w:right w:val="nil"/>
          <w:between w:val="nil"/>
        </w:pBdr>
        <w:spacing w:line="360" w:lineRule="auto"/>
        <w:ind w:left="360" w:right="5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Revoque el acto impugnado:</w:t>
      </w:r>
      <w:r>
        <w:rPr>
          <w:rFonts w:ascii="Palatino Linotype" w:eastAsia="Palatino Linotype" w:hAnsi="Palatino Linotype" w:cs="Palatino Linotype"/>
          <w:color w:val="000000"/>
        </w:rPr>
        <w:t xml:space="preserve"> En este supuesto,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deja sin efectos la primera respuesta y en su lugar emite otra que satisfaga lo solicitado por el particular.</w:t>
      </w:r>
    </w:p>
    <w:p w:rsidR="00602DBC" w:rsidRDefault="00602DBC">
      <w:pPr>
        <w:pBdr>
          <w:top w:val="nil"/>
          <w:left w:val="nil"/>
          <w:bottom w:val="nil"/>
          <w:right w:val="nil"/>
          <w:between w:val="nil"/>
        </w:pBdr>
        <w:spacing w:line="360" w:lineRule="auto"/>
        <w:ind w:left="360" w:right="51"/>
        <w:jc w:val="both"/>
        <w:rPr>
          <w:rFonts w:ascii="Palatino Linotype" w:eastAsia="Palatino Linotype" w:hAnsi="Palatino Linotype" w:cs="Palatino Linotype"/>
          <w:color w:val="000000"/>
        </w:rPr>
      </w:pPr>
    </w:p>
    <w:p w:rsidR="00602DBC" w:rsidRDefault="000D6AC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Las consecuencias jurídicas de esta modificación o revocación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Pr>
          <w:rFonts w:ascii="Palatino Linotype" w:eastAsia="Palatino Linotype" w:hAnsi="Palatino Linotype" w:cs="Palatino Linotype"/>
          <w:color w:val="000000"/>
          <w:u w:val="single"/>
        </w:rPr>
        <w:t>cuando ha sido satisfecha la pretensión del particular</w:t>
      </w:r>
      <w:r>
        <w:rPr>
          <w:rFonts w:ascii="Palatino Linotype" w:eastAsia="Palatino Linotype" w:hAnsi="Palatino Linotype" w:cs="Palatino Linotype"/>
          <w:color w:val="000000"/>
        </w:rPr>
        <w:t>, ya sea porque se hizo la entrega de la información solicitada o porque se completó la misma.</w:t>
      </w:r>
    </w:p>
    <w:p w:rsidR="00602DBC" w:rsidRDefault="00602DBC">
      <w:pPr>
        <w:pBdr>
          <w:top w:val="nil"/>
          <w:left w:val="nil"/>
          <w:bottom w:val="nil"/>
          <w:right w:val="nil"/>
          <w:between w:val="nil"/>
        </w:pBdr>
        <w:spacing w:line="360" w:lineRule="auto"/>
        <w:ind w:left="426"/>
        <w:jc w:val="both"/>
        <w:rPr>
          <w:rFonts w:ascii="Palatino Linotype" w:eastAsia="Palatino Linotype" w:hAnsi="Palatino Linotype" w:cs="Palatino Linotype"/>
          <w:color w:val="000000"/>
        </w:rPr>
      </w:pPr>
    </w:p>
    <w:p w:rsidR="00602DBC" w:rsidRDefault="00602DBC">
      <w:pPr>
        <w:pBdr>
          <w:top w:val="nil"/>
          <w:left w:val="nil"/>
          <w:bottom w:val="nil"/>
          <w:right w:val="nil"/>
          <w:between w:val="nil"/>
        </w:pBdr>
        <w:ind w:left="720"/>
        <w:rPr>
          <w:rFonts w:ascii="Palatino Linotype" w:eastAsia="Palatino Linotype" w:hAnsi="Palatino Linotype" w:cs="Palatino Linotype"/>
          <w:color w:val="000000"/>
        </w:rPr>
      </w:pPr>
    </w:p>
    <w:p w:rsidR="00602DBC" w:rsidRDefault="000D6AC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 este modo, cuando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antes de que se dicte resolución definitiva, entrega la información solicitada o </w:t>
      </w:r>
      <w:r>
        <w:rPr>
          <w:rFonts w:ascii="Palatino Linotype" w:eastAsia="Palatino Linotype" w:hAnsi="Palatino Linotype" w:cs="Palatino Linotype"/>
          <w:color w:val="000000"/>
          <w:u w:val="single"/>
        </w:rPr>
        <w:t>completa la respuesta que en un primer momento fue incompleta</w:t>
      </w:r>
      <w:r>
        <w:rPr>
          <w:rFonts w:ascii="Palatino Linotype" w:eastAsia="Palatino Linotype" w:hAnsi="Palatino Linotype" w:cs="Palatino Linotype"/>
          <w:color w:val="000000"/>
        </w:rPr>
        <w:t xml:space="preserve"> o no correspondió con lo solicitado; el recurso de revisión que al efecto se haya interpuesto queda sin materia lo que imposibilita el estudio de fondo de la </w:t>
      </w:r>
      <w:proofErr w:type="spellStart"/>
      <w:r>
        <w:rPr>
          <w:rFonts w:ascii="Palatino Linotype" w:eastAsia="Palatino Linotype" w:hAnsi="Palatino Linotype" w:cs="Palatino Linotype"/>
          <w:i/>
          <w:color w:val="000000"/>
        </w:rPr>
        <w:t>litis</w:t>
      </w:r>
      <w:proofErr w:type="spellEnd"/>
      <w:r>
        <w:rPr>
          <w:rFonts w:ascii="Palatino Linotype" w:eastAsia="Palatino Linotype" w:hAnsi="Palatino Linotype" w:cs="Palatino Linotype"/>
          <w:color w:val="000000"/>
        </w:rPr>
        <w:t xml:space="preserve"> planteada, debido a que la afectación en su esfera de derechos fue restituida por la propia autoridad que emitió el acto motivo de impugnación.</w:t>
      </w:r>
    </w:p>
    <w:p w:rsidR="00602DBC" w:rsidRDefault="00602DBC">
      <w:pPr>
        <w:pBdr>
          <w:top w:val="nil"/>
          <w:left w:val="nil"/>
          <w:bottom w:val="nil"/>
          <w:right w:val="nil"/>
          <w:between w:val="nil"/>
        </w:pBdr>
        <w:ind w:left="720"/>
        <w:rPr>
          <w:rFonts w:ascii="Palatino Linotype" w:eastAsia="Palatino Linotype" w:hAnsi="Palatino Linotype" w:cs="Palatino Linotype"/>
          <w:color w:val="000000"/>
        </w:rPr>
      </w:pPr>
    </w:p>
    <w:p w:rsidR="00602DBC" w:rsidRDefault="000D6AC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tanto, para que se actualice el sobreseimiento de un recurso de revisión,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puede entregar o completar la información al momento de rendir su </w:t>
      </w:r>
      <w:r>
        <w:rPr>
          <w:rFonts w:ascii="Palatino Linotype" w:eastAsia="Palatino Linotype" w:hAnsi="Palatino Linotype" w:cs="Palatino Linotype"/>
          <w:b/>
          <w:color w:val="000000"/>
          <w:u w:val="single"/>
        </w:rPr>
        <w:t>informe de justificación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u w:val="single"/>
        </w:rPr>
        <w:t>dentro de los siete días</w:t>
      </w:r>
      <w:r>
        <w:rPr>
          <w:rFonts w:ascii="Palatino Linotype" w:eastAsia="Palatino Linotype" w:hAnsi="Palatino Linotype" w:cs="Palatino Linotype"/>
          <w:color w:val="000000"/>
        </w:rPr>
        <w:t xml:space="preserve"> previstos para manifestar lo que a su derecho convenga, lo anterior también puede ocurrir si entrega la información después de ese lapso, pero antes del cierre de instrucción. </w:t>
      </w:r>
    </w:p>
    <w:p w:rsidR="00602DBC" w:rsidRDefault="00602DBC">
      <w:pPr>
        <w:pBdr>
          <w:top w:val="nil"/>
          <w:left w:val="nil"/>
          <w:bottom w:val="nil"/>
          <w:right w:val="nil"/>
          <w:between w:val="nil"/>
        </w:pBdr>
        <w:ind w:left="720"/>
        <w:rPr>
          <w:rFonts w:ascii="Palatino Linotype" w:eastAsia="Palatino Linotype" w:hAnsi="Palatino Linotype" w:cs="Palatino Linotype"/>
          <w:color w:val="000000"/>
        </w:rPr>
      </w:pPr>
    </w:p>
    <w:p w:rsidR="00602DBC" w:rsidRDefault="00F902B9">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e</w:t>
      </w:r>
      <w:r w:rsidR="000D6AC4">
        <w:rPr>
          <w:rFonts w:ascii="Palatino Linotype" w:eastAsia="Palatino Linotype" w:hAnsi="Palatino Linotype" w:cs="Palatino Linotype"/>
          <w:color w:val="000000"/>
        </w:rPr>
        <w:t xml:space="preserve">ste Pleno advierte que el </w:t>
      </w:r>
      <w:r w:rsidR="000D6AC4">
        <w:rPr>
          <w:rFonts w:ascii="Palatino Linotype" w:eastAsia="Palatino Linotype" w:hAnsi="Palatino Linotype" w:cs="Palatino Linotype"/>
          <w:b/>
          <w:color w:val="000000"/>
        </w:rPr>
        <w:t>SUJETO OBLIGADO</w:t>
      </w:r>
      <w:r w:rsidR="000D6AC4">
        <w:rPr>
          <w:rFonts w:ascii="Palatino Linotype" w:eastAsia="Palatino Linotype" w:hAnsi="Palatino Linotype" w:cs="Palatino Linotype"/>
          <w:color w:val="000000"/>
        </w:rPr>
        <w:t xml:space="preserve"> con la información enviada, </w:t>
      </w:r>
      <w:r w:rsidR="000D6AC4">
        <w:rPr>
          <w:rFonts w:ascii="Palatino Linotype" w:eastAsia="Palatino Linotype" w:hAnsi="Palatino Linotype" w:cs="Palatino Linotype"/>
          <w:b/>
          <w:color w:val="000000"/>
        </w:rPr>
        <w:t>modifica</w:t>
      </w:r>
      <w:r w:rsidR="000D6AC4">
        <w:rPr>
          <w:rFonts w:ascii="Palatino Linotype" w:eastAsia="Palatino Linotype" w:hAnsi="Palatino Linotype" w:cs="Palatino Linotype"/>
          <w:color w:val="000000"/>
        </w:rPr>
        <w:t xml:space="preserve"> </w:t>
      </w:r>
      <w:r w:rsidR="000D6AC4">
        <w:rPr>
          <w:rFonts w:ascii="Palatino Linotype" w:eastAsia="Palatino Linotype" w:hAnsi="Palatino Linotype" w:cs="Palatino Linotype"/>
          <w:color w:val="000000"/>
          <w:u w:val="single"/>
        </w:rPr>
        <w:t>el acto que le dio origen al recurso de revisión, por lo que trae como consecuencia que el mismo quede sin materia</w:t>
      </w:r>
      <w:r w:rsidR="000D6AC4">
        <w:rPr>
          <w:rFonts w:ascii="Palatino Linotype" w:eastAsia="Palatino Linotype" w:hAnsi="Palatino Linotype" w:cs="Palatino Linotype"/>
          <w:color w:val="000000"/>
        </w:rPr>
        <w:t xml:space="preserve">, actualizándose de este modo, la hipótesis jurídica contenida en la </w:t>
      </w:r>
      <w:r w:rsidR="000D6AC4">
        <w:rPr>
          <w:rFonts w:ascii="Palatino Linotype" w:eastAsia="Palatino Linotype" w:hAnsi="Palatino Linotype" w:cs="Palatino Linotype"/>
          <w:b/>
          <w:color w:val="000000"/>
        </w:rPr>
        <w:t>fracción III</w:t>
      </w:r>
      <w:r w:rsidR="000D6AC4">
        <w:rPr>
          <w:rFonts w:ascii="Palatino Linotype" w:eastAsia="Palatino Linotype" w:hAnsi="Palatino Linotype" w:cs="Palatino Linotype"/>
          <w:color w:val="000000"/>
        </w:rPr>
        <w:t xml:space="preserve"> del citado artículo </w:t>
      </w:r>
      <w:r w:rsidR="000D6AC4">
        <w:rPr>
          <w:rFonts w:ascii="Palatino Linotype" w:eastAsia="Palatino Linotype" w:hAnsi="Palatino Linotype" w:cs="Palatino Linotype"/>
          <w:b/>
          <w:color w:val="000000"/>
        </w:rPr>
        <w:t>192</w:t>
      </w:r>
      <w:r w:rsidR="000D6AC4">
        <w:rPr>
          <w:rFonts w:ascii="Palatino Linotype" w:eastAsia="Palatino Linotype" w:hAnsi="Palatino Linotype" w:cs="Palatino Linotype"/>
          <w:color w:val="000000"/>
        </w:rPr>
        <w:t>.</w:t>
      </w:r>
    </w:p>
    <w:p w:rsidR="00602DBC" w:rsidRDefault="00602DBC">
      <w:pPr>
        <w:pBdr>
          <w:top w:val="nil"/>
          <w:left w:val="nil"/>
          <w:bottom w:val="nil"/>
          <w:right w:val="nil"/>
          <w:between w:val="nil"/>
        </w:pBdr>
        <w:ind w:left="720"/>
        <w:rPr>
          <w:rFonts w:ascii="Palatino Linotype" w:eastAsia="Palatino Linotype" w:hAnsi="Palatino Linotype" w:cs="Palatino Linotype"/>
          <w:color w:val="000000"/>
        </w:rPr>
      </w:pPr>
    </w:p>
    <w:p w:rsidR="00602DBC" w:rsidRDefault="000D6AC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tanto, en términos del artículo 186 fracción I este Pleno determina el </w:t>
      </w:r>
      <w:r>
        <w:rPr>
          <w:rFonts w:ascii="Palatino Linotype" w:eastAsia="Palatino Linotype" w:hAnsi="Palatino Linotype" w:cs="Palatino Linotype"/>
          <w:b/>
          <w:color w:val="000000"/>
        </w:rPr>
        <w:t xml:space="preserve">SOBRESEIMIENTO </w:t>
      </w:r>
      <w:r>
        <w:rPr>
          <w:rFonts w:ascii="Palatino Linotype" w:eastAsia="Palatino Linotype" w:hAnsi="Palatino Linotype" w:cs="Palatino Linotype"/>
          <w:color w:val="000000"/>
        </w:rPr>
        <w:t>del presente recurso de revisión, toda vez que la afectación al derecho de acceso a la información pública establecido constitucionalmente a favor del particular ha sido resarcida al proporcionar la información que ha sido observada por este Órgano Garante.</w:t>
      </w:r>
    </w:p>
    <w:p w:rsidR="00602DBC" w:rsidRDefault="000D6AC4">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602DBC" w:rsidRDefault="000D6AC4">
      <w:pPr>
        <w:numPr>
          <w:ilvl w:val="0"/>
          <w:numId w:val="4"/>
        </w:numPr>
        <w:pBdr>
          <w:top w:val="nil"/>
          <w:left w:val="nil"/>
          <w:bottom w:val="nil"/>
          <w:right w:val="nil"/>
          <w:between w:val="nil"/>
        </w:pBdr>
        <w:spacing w:before="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602DBC" w:rsidRDefault="00602DBC">
      <w:pPr>
        <w:pBdr>
          <w:top w:val="nil"/>
          <w:left w:val="nil"/>
          <w:bottom w:val="nil"/>
          <w:right w:val="nil"/>
          <w:between w:val="nil"/>
        </w:pBdr>
        <w:spacing w:after="240" w:line="360" w:lineRule="auto"/>
        <w:ind w:left="1080"/>
        <w:rPr>
          <w:rFonts w:ascii="Palatino Linotype" w:eastAsia="Palatino Linotype" w:hAnsi="Palatino Linotype" w:cs="Palatino Linotype"/>
          <w:b/>
          <w:color w:val="000000"/>
        </w:rPr>
      </w:pPr>
    </w:p>
    <w:p w:rsidR="00602DBC" w:rsidRDefault="000D6AC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highlight w:val="white"/>
        </w:rPr>
        <w:t xml:space="preserve">Se </w:t>
      </w:r>
      <w:r>
        <w:rPr>
          <w:rFonts w:ascii="Palatino Linotype" w:eastAsia="Palatino Linotype" w:hAnsi="Palatino Linotype" w:cs="Palatino Linotype"/>
          <w:b/>
          <w:highlight w:val="white"/>
        </w:rPr>
        <w:t>SOBRESEE</w:t>
      </w:r>
      <w:r>
        <w:rPr>
          <w:rFonts w:ascii="Palatino Linotype" w:eastAsia="Palatino Linotype" w:hAnsi="Palatino Linotype" w:cs="Palatino Linotype"/>
          <w:highlight w:val="white"/>
        </w:rPr>
        <w:t xml:space="preserve"> el recurso de revisión número </w:t>
      </w:r>
      <w:r>
        <w:rPr>
          <w:rFonts w:ascii="Palatino Linotype" w:eastAsia="Palatino Linotype" w:hAnsi="Palatino Linotype" w:cs="Palatino Linotype"/>
          <w:b/>
          <w:highlight w:val="white"/>
        </w:rPr>
        <w:t>00</w:t>
      </w:r>
      <w:r w:rsidR="00F902B9">
        <w:rPr>
          <w:rFonts w:ascii="Palatino Linotype" w:eastAsia="Palatino Linotype" w:hAnsi="Palatino Linotype" w:cs="Palatino Linotype"/>
          <w:b/>
          <w:highlight w:val="white"/>
        </w:rPr>
        <w:t>00</w:t>
      </w:r>
      <w:r>
        <w:rPr>
          <w:rFonts w:ascii="Palatino Linotype" w:eastAsia="Palatino Linotype" w:hAnsi="Palatino Linotype" w:cs="Palatino Linotype"/>
          <w:b/>
          <w:highlight w:val="white"/>
        </w:rPr>
        <w:t>4/INFOEM/IP/RR/2022</w:t>
      </w:r>
      <w:r>
        <w:rPr>
          <w:rFonts w:ascii="Palatino Linotype" w:eastAsia="Palatino Linotype" w:hAnsi="Palatino Linotype" w:cs="Palatino Linotype"/>
          <w:b/>
        </w:rPr>
        <w:t>,</w:t>
      </w:r>
      <w:r>
        <w:rPr>
          <w:rFonts w:ascii="Palatino Linotype" w:eastAsia="Palatino Linotype" w:hAnsi="Palatino Linotype" w:cs="Palatino Linotype"/>
        </w:rPr>
        <w:t xml:space="preserve"> porque al modificar la respuesta a la solicitud de acceso a la información </w:t>
      </w:r>
      <w:r>
        <w:rPr>
          <w:rFonts w:ascii="Palatino Linotype" w:eastAsia="Palatino Linotype" w:hAnsi="Palatino Linotype" w:cs="Palatino Linotype"/>
          <w:b/>
        </w:rPr>
        <w:t>000</w:t>
      </w:r>
      <w:r w:rsidR="00F902B9">
        <w:rPr>
          <w:rFonts w:ascii="Palatino Linotype" w:eastAsia="Palatino Linotype" w:hAnsi="Palatino Linotype" w:cs="Palatino Linotype"/>
          <w:b/>
        </w:rPr>
        <w:t>62</w:t>
      </w:r>
      <w:r>
        <w:rPr>
          <w:rFonts w:ascii="Palatino Linotype" w:eastAsia="Palatino Linotype" w:hAnsi="Palatino Linotype" w:cs="Palatino Linotype"/>
          <w:b/>
        </w:rPr>
        <w:t>/</w:t>
      </w:r>
      <w:r w:rsidR="00F902B9">
        <w:rPr>
          <w:rFonts w:ascii="Palatino Linotype" w:eastAsia="Palatino Linotype" w:hAnsi="Palatino Linotype" w:cs="Palatino Linotype"/>
          <w:b/>
        </w:rPr>
        <w:t>OASVACHASO</w:t>
      </w:r>
      <w:r>
        <w:rPr>
          <w:rFonts w:ascii="Palatino Linotype" w:eastAsia="Palatino Linotype" w:hAnsi="Palatino Linotype" w:cs="Palatino Linotype"/>
          <w:b/>
        </w:rPr>
        <w:t>/IP/202</w:t>
      </w:r>
      <w:r w:rsidR="00F902B9">
        <w:rPr>
          <w:rFonts w:ascii="Palatino Linotype" w:eastAsia="Palatino Linotype" w:hAnsi="Palatino Linotype" w:cs="Palatino Linotype"/>
          <w:b/>
        </w:rPr>
        <w:t>1</w:t>
      </w:r>
      <w:r>
        <w:rPr>
          <w:rFonts w:ascii="Palatino Linotype" w:eastAsia="Palatino Linotype" w:hAnsi="Palatino Linotype" w:cs="Palatino Linotype"/>
        </w:rPr>
        <w:t xml:space="preserve"> el recurso de revisión quedó sin materia en términos del Considerando Tercero de la presente resolución</w:t>
      </w:r>
      <w:r>
        <w:rPr>
          <w:rFonts w:ascii="Palatino Linotype" w:eastAsia="Palatino Linotype" w:hAnsi="Palatino Linotype" w:cs="Palatino Linotype"/>
          <w:b/>
        </w:rPr>
        <w:t>.</w:t>
      </w:r>
    </w:p>
    <w:p w:rsidR="00602DBC" w:rsidRDefault="000D6AC4">
      <w:pPr>
        <w:spacing w:before="240" w:line="360" w:lineRule="auto"/>
        <w:jc w:val="both"/>
        <w:rPr>
          <w:rFonts w:ascii="Palatino Linotype" w:eastAsia="Palatino Linotype" w:hAnsi="Palatino Linotype" w:cs="Palatino Linotype"/>
        </w:rPr>
      </w:pPr>
      <w:bookmarkStart w:id="4" w:name="_heading=h.3znysh7" w:colFirst="0" w:colLast="0"/>
      <w:bookmarkEnd w:id="4"/>
      <w:r>
        <w:rPr>
          <w:rFonts w:ascii="Palatino Linotype" w:eastAsia="Palatino Linotype" w:hAnsi="Palatino Linotype" w:cs="Palatino Linotype"/>
          <w:b/>
          <w:highlight w:val="white"/>
        </w:rPr>
        <w:t>SEGUNDO.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Titular de la Unidad de Transparencia del Sujeto Obligado la presente resolución, para su conocimiento, lo anterior en términos del artículo 189 de la </w:t>
      </w:r>
      <w:r>
        <w:rPr>
          <w:rFonts w:ascii="Palatino Linotype" w:eastAsia="Palatino Linotype" w:hAnsi="Palatino Linotype" w:cs="Palatino Linotype"/>
        </w:rPr>
        <w:t>Ley de Transparencia y Acceso a la Información Pública del Estado de México y Municipios.</w:t>
      </w:r>
    </w:p>
    <w:p w:rsidR="00602DBC" w:rsidRDefault="00602DBC">
      <w:pPr>
        <w:spacing w:line="360" w:lineRule="auto"/>
        <w:jc w:val="both"/>
        <w:rPr>
          <w:rFonts w:ascii="Palatino Linotype" w:eastAsia="Palatino Linotype" w:hAnsi="Palatino Linotype" w:cs="Palatino Linotype"/>
        </w:rPr>
      </w:pPr>
    </w:p>
    <w:p w:rsidR="00602DBC" w:rsidRDefault="000D6AC4">
      <w:pPr>
        <w:spacing w:after="240" w:line="360" w:lineRule="auto"/>
        <w:jc w:val="both"/>
        <w:rPr>
          <w:rFonts w:ascii="Palatino Linotype" w:eastAsia="Palatino Linotype" w:hAnsi="Palatino Linotype" w:cs="Palatino Linotype"/>
        </w:rPr>
      </w:pPr>
      <w:bookmarkStart w:id="5" w:name="_heading=h.2et92p0" w:colFirst="0" w:colLast="0"/>
      <w:bookmarkEnd w:id="5"/>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Notifíquese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602DBC" w:rsidRDefault="000D6AC4">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w:t>
      </w:r>
      <w:r w:rsidR="00F902B9">
        <w:rPr>
          <w:rFonts w:ascii="Palatino Linotype" w:eastAsia="Palatino Linotype" w:hAnsi="Palatino Linotype" w:cs="Palatino Linotype"/>
        </w:rPr>
        <w:t>ÑA; EN LA SÉPTIMA</w:t>
      </w:r>
      <w:r>
        <w:rPr>
          <w:rFonts w:ascii="Palatino Linotype" w:eastAsia="Palatino Linotype" w:hAnsi="Palatino Linotype" w:cs="Palatino Linotype"/>
        </w:rPr>
        <w:t xml:space="preserve"> SESIÓN ORDINARIA CELEBRADA EL </w:t>
      </w:r>
      <w:r w:rsidR="00F902B9">
        <w:rPr>
          <w:rFonts w:ascii="Palatino Linotype" w:eastAsia="Palatino Linotype" w:hAnsi="Palatino Linotype" w:cs="Palatino Linotype"/>
        </w:rPr>
        <w:t>VEINTITRÉ</w:t>
      </w:r>
      <w:r>
        <w:rPr>
          <w:rFonts w:ascii="Palatino Linotype" w:eastAsia="Palatino Linotype" w:hAnsi="Palatino Linotype" w:cs="Palatino Linotype"/>
        </w:rPr>
        <w:t>S DE FEBRERO DE DOS MIL VEINTIDÓS, ANTE EL SECRETARIO TÉCNICO DEL PLENO, ALEXIS TAPIA RAMÍREZ.</w:t>
      </w:r>
    </w:p>
    <w:p w:rsidR="00602DBC" w:rsidRDefault="00602DBC">
      <w:pPr>
        <w:spacing w:after="240" w:line="360" w:lineRule="auto"/>
        <w:jc w:val="both"/>
        <w:rPr>
          <w:rFonts w:ascii="Palatino Linotype" w:eastAsia="Palatino Linotype" w:hAnsi="Palatino Linotype" w:cs="Palatino Linotype"/>
          <w:sz w:val="20"/>
          <w:szCs w:val="20"/>
        </w:rPr>
      </w:pPr>
    </w:p>
    <w:p w:rsidR="00602DBC" w:rsidRDefault="00602DBC">
      <w:pPr>
        <w:spacing w:before="240" w:after="240"/>
        <w:jc w:val="both"/>
        <w:rPr>
          <w:rFonts w:ascii="Palatino Linotype" w:eastAsia="Palatino Linotype" w:hAnsi="Palatino Linotype" w:cs="Palatino Linotype"/>
          <w:sz w:val="20"/>
          <w:szCs w:val="20"/>
        </w:rPr>
      </w:pPr>
    </w:p>
    <w:p w:rsidR="00602DBC" w:rsidRDefault="00602DBC">
      <w:pPr>
        <w:spacing w:before="240" w:after="240"/>
        <w:jc w:val="both"/>
        <w:rPr>
          <w:rFonts w:ascii="Palatino Linotype" w:eastAsia="Palatino Linotype" w:hAnsi="Palatino Linotype" w:cs="Palatino Linotype"/>
          <w:sz w:val="20"/>
          <w:szCs w:val="20"/>
        </w:rPr>
      </w:pPr>
    </w:p>
    <w:p w:rsidR="00602DBC" w:rsidRDefault="00602DBC">
      <w:pPr>
        <w:spacing w:before="240" w:after="240"/>
        <w:jc w:val="both"/>
        <w:rPr>
          <w:rFonts w:ascii="Palatino Linotype" w:eastAsia="Palatino Linotype" w:hAnsi="Palatino Linotype" w:cs="Palatino Linotype"/>
          <w:sz w:val="20"/>
          <w:szCs w:val="20"/>
        </w:rPr>
      </w:pPr>
    </w:p>
    <w:p w:rsidR="00602DBC" w:rsidRDefault="00602DBC">
      <w:pPr>
        <w:spacing w:before="240" w:after="240"/>
        <w:jc w:val="both"/>
        <w:rPr>
          <w:rFonts w:ascii="Palatino Linotype" w:eastAsia="Palatino Linotype" w:hAnsi="Palatino Linotype" w:cs="Palatino Linotype"/>
          <w:sz w:val="20"/>
          <w:szCs w:val="20"/>
        </w:rPr>
      </w:pPr>
    </w:p>
    <w:p w:rsidR="00602DBC" w:rsidRDefault="00602DBC">
      <w:pPr>
        <w:spacing w:before="240" w:after="240"/>
        <w:jc w:val="both"/>
        <w:rPr>
          <w:rFonts w:ascii="Palatino Linotype" w:eastAsia="Palatino Linotype" w:hAnsi="Palatino Linotype" w:cs="Palatino Linotype"/>
          <w:sz w:val="20"/>
          <w:szCs w:val="20"/>
        </w:rPr>
      </w:pPr>
    </w:p>
    <w:p w:rsidR="00602DBC" w:rsidRDefault="00602DBC">
      <w:pPr>
        <w:spacing w:before="240" w:after="240"/>
        <w:jc w:val="both"/>
        <w:rPr>
          <w:rFonts w:ascii="Palatino Linotype" w:eastAsia="Palatino Linotype" w:hAnsi="Palatino Linotype" w:cs="Palatino Linotype"/>
          <w:sz w:val="20"/>
          <w:szCs w:val="20"/>
        </w:rPr>
      </w:pPr>
    </w:p>
    <w:p w:rsidR="00602DBC" w:rsidRDefault="00602DBC">
      <w:pPr>
        <w:spacing w:before="240" w:after="240"/>
        <w:jc w:val="both"/>
        <w:rPr>
          <w:rFonts w:ascii="Palatino Linotype" w:eastAsia="Palatino Linotype" w:hAnsi="Palatino Linotype" w:cs="Palatino Linotype"/>
          <w:sz w:val="20"/>
          <w:szCs w:val="20"/>
        </w:rPr>
      </w:pPr>
    </w:p>
    <w:p w:rsidR="00602DBC" w:rsidRDefault="00602DBC">
      <w:pPr>
        <w:spacing w:before="240" w:after="240"/>
        <w:jc w:val="both"/>
        <w:rPr>
          <w:rFonts w:ascii="Palatino Linotype" w:eastAsia="Palatino Linotype" w:hAnsi="Palatino Linotype" w:cs="Palatino Linotype"/>
          <w:sz w:val="20"/>
          <w:szCs w:val="20"/>
        </w:rPr>
      </w:pPr>
    </w:p>
    <w:p w:rsidR="00602DBC" w:rsidRDefault="00602DBC">
      <w:pPr>
        <w:spacing w:before="240" w:after="240"/>
        <w:jc w:val="both"/>
        <w:rPr>
          <w:rFonts w:ascii="Palatino Linotype" w:eastAsia="Palatino Linotype" w:hAnsi="Palatino Linotype" w:cs="Palatino Linotype"/>
          <w:sz w:val="20"/>
          <w:szCs w:val="20"/>
        </w:rPr>
      </w:pPr>
    </w:p>
    <w:p w:rsidR="00602DBC" w:rsidRDefault="00602DBC">
      <w:pPr>
        <w:spacing w:before="240" w:after="240"/>
        <w:jc w:val="both"/>
        <w:rPr>
          <w:rFonts w:ascii="Palatino Linotype" w:eastAsia="Palatino Linotype" w:hAnsi="Palatino Linotype" w:cs="Palatino Linotype"/>
          <w:sz w:val="20"/>
          <w:szCs w:val="20"/>
        </w:rPr>
      </w:pPr>
    </w:p>
    <w:p w:rsidR="00602DBC" w:rsidRDefault="00602DBC">
      <w:pPr>
        <w:spacing w:before="240" w:after="240"/>
        <w:jc w:val="both"/>
        <w:rPr>
          <w:rFonts w:ascii="Palatino Linotype" w:eastAsia="Palatino Linotype" w:hAnsi="Palatino Linotype" w:cs="Palatino Linotype"/>
          <w:sz w:val="20"/>
          <w:szCs w:val="20"/>
        </w:rPr>
      </w:pPr>
    </w:p>
    <w:p w:rsidR="00602DBC" w:rsidRDefault="00602DBC">
      <w:pPr>
        <w:spacing w:before="240" w:after="240"/>
        <w:jc w:val="both"/>
        <w:rPr>
          <w:rFonts w:ascii="Palatino Linotype" w:eastAsia="Palatino Linotype" w:hAnsi="Palatino Linotype" w:cs="Palatino Linotype"/>
          <w:sz w:val="20"/>
          <w:szCs w:val="20"/>
        </w:rPr>
      </w:pPr>
    </w:p>
    <w:p w:rsidR="00602DBC" w:rsidRDefault="00602DBC">
      <w:pPr>
        <w:spacing w:before="240" w:after="240"/>
        <w:jc w:val="both"/>
        <w:rPr>
          <w:rFonts w:ascii="Palatino Linotype" w:eastAsia="Palatino Linotype" w:hAnsi="Palatino Linotype" w:cs="Palatino Linotype"/>
          <w:sz w:val="20"/>
          <w:szCs w:val="20"/>
        </w:rPr>
      </w:pPr>
    </w:p>
    <w:p w:rsidR="00602DBC" w:rsidRDefault="00602DBC">
      <w:pPr>
        <w:spacing w:before="240" w:after="240"/>
        <w:jc w:val="both"/>
        <w:rPr>
          <w:rFonts w:ascii="Palatino Linotype" w:eastAsia="Palatino Linotype" w:hAnsi="Palatino Linotype" w:cs="Palatino Linotype"/>
          <w:sz w:val="20"/>
          <w:szCs w:val="20"/>
        </w:rPr>
      </w:pPr>
    </w:p>
    <w:p w:rsidR="00602DBC" w:rsidRDefault="00602DBC">
      <w:pPr>
        <w:spacing w:before="240" w:after="240"/>
        <w:jc w:val="both"/>
        <w:rPr>
          <w:rFonts w:ascii="Palatino Linotype" w:eastAsia="Palatino Linotype" w:hAnsi="Palatino Linotype" w:cs="Palatino Linotype"/>
          <w:sz w:val="20"/>
          <w:szCs w:val="20"/>
        </w:rPr>
      </w:pPr>
    </w:p>
    <w:p w:rsidR="00602DBC" w:rsidRDefault="00602DBC">
      <w:pPr>
        <w:spacing w:before="240" w:after="240"/>
        <w:jc w:val="both"/>
        <w:rPr>
          <w:rFonts w:ascii="Palatino Linotype" w:eastAsia="Palatino Linotype" w:hAnsi="Palatino Linotype" w:cs="Palatino Linotype"/>
          <w:sz w:val="20"/>
          <w:szCs w:val="20"/>
        </w:rPr>
      </w:pPr>
    </w:p>
    <w:p w:rsidR="00602DBC" w:rsidRDefault="00602DBC">
      <w:pPr>
        <w:spacing w:before="240" w:after="240"/>
        <w:jc w:val="both"/>
        <w:rPr>
          <w:rFonts w:ascii="Palatino Linotype" w:eastAsia="Palatino Linotype" w:hAnsi="Palatino Linotype" w:cs="Palatino Linotype"/>
          <w:sz w:val="20"/>
          <w:szCs w:val="20"/>
        </w:rPr>
      </w:pPr>
    </w:p>
    <w:p w:rsidR="00602DBC" w:rsidRDefault="00602DBC">
      <w:pPr>
        <w:spacing w:before="240" w:after="240"/>
        <w:jc w:val="both"/>
        <w:rPr>
          <w:rFonts w:ascii="Palatino Linotype" w:eastAsia="Palatino Linotype" w:hAnsi="Palatino Linotype" w:cs="Palatino Linotype"/>
          <w:sz w:val="20"/>
          <w:szCs w:val="20"/>
        </w:rPr>
      </w:pPr>
    </w:p>
    <w:p w:rsidR="00602DBC" w:rsidRDefault="00602DBC">
      <w:pPr>
        <w:spacing w:before="240" w:after="240"/>
        <w:jc w:val="both"/>
        <w:rPr>
          <w:rFonts w:ascii="Palatino Linotype" w:eastAsia="Palatino Linotype" w:hAnsi="Palatino Linotype" w:cs="Palatino Linotype"/>
          <w:sz w:val="20"/>
          <w:szCs w:val="20"/>
        </w:rPr>
      </w:pPr>
    </w:p>
    <w:p w:rsidR="00602DBC" w:rsidRDefault="00602DBC">
      <w:pPr>
        <w:spacing w:before="240" w:after="240"/>
        <w:jc w:val="both"/>
        <w:rPr>
          <w:rFonts w:ascii="Palatino Linotype" w:eastAsia="Palatino Linotype" w:hAnsi="Palatino Linotype" w:cs="Palatino Linotype"/>
          <w:sz w:val="20"/>
          <w:szCs w:val="20"/>
        </w:rPr>
      </w:pPr>
    </w:p>
    <w:p w:rsidR="00602DBC" w:rsidRDefault="00602DBC">
      <w:pPr>
        <w:spacing w:before="240" w:after="240"/>
        <w:jc w:val="both"/>
        <w:rPr>
          <w:rFonts w:ascii="Palatino Linotype" w:eastAsia="Palatino Linotype" w:hAnsi="Palatino Linotype" w:cs="Palatino Linotype"/>
          <w:sz w:val="20"/>
          <w:szCs w:val="20"/>
        </w:rPr>
      </w:pPr>
    </w:p>
    <w:p w:rsidR="00602DBC" w:rsidRDefault="00602DBC">
      <w:pPr>
        <w:spacing w:before="240" w:after="240"/>
        <w:jc w:val="both"/>
        <w:rPr>
          <w:rFonts w:ascii="Palatino Linotype" w:eastAsia="Palatino Linotype" w:hAnsi="Palatino Linotype" w:cs="Palatino Linotype"/>
          <w:sz w:val="20"/>
          <w:szCs w:val="20"/>
        </w:rPr>
      </w:pPr>
    </w:p>
    <w:sectPr w:rsidR="00602DBC">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005" w:rsidRDefault="00AA4005">
      <w:r>
        <w:separator/>
      </w:r>
    </w:p>
  </w:endnote>
  <w:endnote w:type="continuationSeparator" w:id="0">
    <w:p w:rsidR="00AA4005" w:rsidRDefault="00AA4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DBC" w:rsidRDefault="000D6AC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93F03">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93F03">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rsidR="00602DBC" w:rsidRDefault="00602DB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DBC" w:rsidRDefault="000D6AC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75BC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75BC0">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rsidR="00602DBC" w:rsidRDefault="00602DB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005" w:rsidRDefault="00AA4005">
      <w:r>
        <w:separator/>
      </w:r>
    </w:p>
  </w:footnote>
  <w:footnote w:type="continuationSeparator" w:id="0">
    <w:p w:rsidR="00AA4005" w:rsidRDefault="00AA40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DBC" w:rsidRDefault="000D6AC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-1080134</wp:posOffset>
          </wp:positionH>
          <wp:positionV relativeFrom="paragraph">
            <wp:posOffset>-396401</wp:posOffset>
          </wp:positionV>
          <wp:extent cx="7809865" cy="10165715"/>
          <wp:effectExtent l="0" t="0" r="0" b="0"/>
          <wp:wrapNone/>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3" w:type="dxa"/>
      <w:tblInd w:w="3261" w:type="dxa"/>
      <w:tblLayout w:type="fixed"/>
      <w:tblLook w:val="0400" w:firstRow="0" w:lastRow="0" w:firstColumn="0" w:lastColumn="0" w:noHBand="0" w:noVBand="1"/>
    </w:tblPr>
    <w:tblGrid>
      <w:gridCol w:w="2489"/>
      <w:gridCol w:w="3464"/>
    </w:tblGrid>
    <w:tr w:rsidR="00602DBC">
      <w:tc>
        <w:tcPr>
          <w:tcW w:w="2489" w:type="dxa"/>
          <w:shd w:val="clear" w:color="auto" w:fill="auto"/>
        </w:tcPr>
        <w:p w:rsidR="00602DBC" w:rsidRDefault="000D6AC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602DBC" w:rsidRDefault="00A75AA6" w:rsidP="00A75AA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0000</w:t>
          </w:r>
          <w:r w:rsidR="000D6AC4">
            <w:rPr>
              <w:rFonts w:ascii="Palatino Linotype" w:eastAsia="Palatino Linotype" w:hAnsi="Palatino Linotype" w:cs="Palatino Linotype"/>
              <w:b/>
              <w:sz w:val="22"/>
              <w:szCs w:val="22"/>
            </w:rPr>
            <w:t>4/INFOEM/IP/RR/2022</w:t>
          </w:r>
        </w:p>
      </w:tc>
    </w:tr>
    <w:tr w:rsidR="00602DBC">
      <w:trPr>
        <w:trHeight w:val="228"/>
      </w:trPr>
      <w:tc>
        <w:tcPr>
          <w:tcW w:w="2489" w:type="dxa"/>
          <w:shd w:val="clear" w:color="auto" w:fill="auto"/>
          <w:vAlign w:val="center"/>
        </w:tcPr>
        <w:p w:rsidR="00602DBC" w:rsidRDefault="000D6AC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602DBC" w:rsidRDefault="00A75AA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Descentralizado de Agua Potable Alcantarillado y Saneamiento de Valle de Chalco Solidaridad</w:t>
          </w:r>
        </w:p>
      </w:tc>
    </w:tr>
    <w:tr w:rsidR="00602DBC">
      <w:tc>
        <w:tcPr>
          <w:tcW w:w="2489" w:type="dxa"/>
          <w:shd w:val="clear" w:color="auto" w:fill="auto"/>
          <w:vAlign w:val="center"/>
        </w:tcPr>
        <w:p w:rsidR="00602DBC" w:rsidRDefault="000D6AC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602DBC" w:rsidRDefault="000D6AC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02DBC" w:rsidRDefault="000D6AC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DBC" w:rsidRDefault="00602DBC">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bl>
    <w:tblPr>
      <w:tblStyle w:val="a"/>
      <w:tblW w:w="5953" w:type="dxa"/>
      <w:tblInd w:w="3261" w:type="dxa"/>
      <w:tblLayout w:type="fixed"/>
      <w:tblLook w:val="0400" w:firstRow="0" w:lastRow="0" w:firstColumn="0" w:lastColumn="0" w:noHBand="0" w:noVBand="1"/>
    </w:tblPr>
    <w:tblGrid>
      <w:gridCol w:w="2551"/>
      <w:gridCol w:w="3402"/>
    </w:tblGrid>
    <w:tr w:rsidR="00602DBC">
      <w:tc>
        <w:tcPr>
          <w:tcW w:w="2551" w:type="dxa"/>
          <w:shd w:val="clear" w:color="auto" w:fill="auto"/>
          <w:vAlign w:val="center"/>
        </w:tcPr>
        <w:p w:rsidR="00602DBC" w:rsidRDefault="000D6AC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rsidR="00602DBC" w:rsidRDefault="000D6AC4" w:rsidP="00A75AA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A75AA6">
            <w:rPr>
              <w:rFonts w:ascii="Palatino Linotype" w:eastAsia="Palatino Linotype" w:hAnsi="Palatino Linotype" w:cs="Palatino Linotype"/>
              <w:b/>
              <w:sz w:val="22"/>
              <w:szCs w:val="22"/>
            </w:rPr>
            <w:t>0</w:t>
          </w:r>
          <w:r>
            <w:rPr>
              <w:rFonts w:ascii="Palatino Linotype" w:eastAsia="Palatino Linotype" w:hAnsi="Palatino Linotype" w:cs="Palatino Linotype"/>
              <w:b/>
              <w:sz w:val="22"/>
              <w:szCs w:val="22"/>
            </w:rPr>
            <w:t>0</w:t>
          </w:r>
          <w:r w:rsidR="00A75AA6">
            <w:rPr>
              <w:rFonts w:ascii="Palatino Linotype" w:eastAsia="Palatino Linotype" w:hAnsi="Palatino Linotype" w:cs="Palatino Linotype"/>
              <w:b/>
              <w:sz w:val="22"/>
              <w:szCs w:val="22"/>
            </w:rPr>
            <w:t>04</w:t>
          </w:r>
          <w:r>
            <w:rPr>
              <w:rFonts w:ascii="Palatino Linotype" w:eastAsia="Palatino Linotype" w:hAnsi="Palatino Linotype" w:cs="Palatino Linotype"/>
              <w:b/>
              <w:sz w:val="22"/>
              <w:szCs w:val="22"/>
            </w:rPr>
            <w:t>/INFOEM/IP/RR/2022</w:t>
          </w:r>
        </w:p>
      </w:tc>
    </w:tr>
    <w:tr w:rsidR="00602DBC">
      <w:trPr>
        <w:trHeight w:val="130"/>
      </w:trPr>
      <w:tc>
        <w:tcPr>
          <w:tcW w:w="2551" w:type="dxa"/>
          <w:shd w:val="clear" w:color="auto" w:fill="auto"/>
          <w:vAlign w:val="center"/>
        </w:tcPr>
        <w:p w:rsidR="00602DBC" w:rsidRDefault="000D6AC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shd w:val="clear" w:color="auto" w:fill="auto"/>
          <w:vAlign w:val="center"/>
        </w:tcPr>
        <w:p w:rsidR="00602DBC" w:rsidRDefault="00602DBC">
          <w:pPr>
            <w:ind w:left="-45"/>
            <w:jc w:val="both"/>
            <w:rPr>
              <w:rFonts w:ascii="Palatino Linotype" w:eastAsia="Palatino Linotype" w:hAnsi="Palatino Linotype" w:cs="Palatino Linotype"/>
              <w:b/>
              <w:sz w:val="22"/>
              <w:szCs w:val="22"/>
            </w:rPr>
          </w:pPr>
        </w:p>
      </w:tc>
    </w:tr>
    <w:tr w:rsidR="00602DBC">
      <w:trPr>
        <w:trHeight w:val="228"/>
      </w:trPr>
      <w:tc>
        <w:tcPr>
          <w:tcW w:w="2551" w:type="dxa"/>
          <w:shd w:val="clear" w:color="auto" w:fill="auto"/>
          <w:vAlign w:val="center"/>
        </w:tcPr>
        <w:p w:rsidR="00602DBC" w:rsidRDefault="000D6AC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rsidR="00602DBC" w:rsidRDefault="00A75AA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Descentralizado de Agua Potable Alcantarillado y Saneamiento de Valle de Chalco Solidaridad</w:t>
          </w:r>
        </w:p>
      </w:tc>
    </w:tr>
    <w:tr w:rsidR="00602DBC">
      <w:tc>
        <w:tcPr>
          <w:tcW w:w="2551" w:type="dxa"/>
          <w:shd w:val="clear" w:color="auto" w:fill="auto"/>
          <w:vAlign w:val="center"/>
        </w:tcPr>
        <w:p w:rsidR="00602DBC" w:rsidRDefault="000D6AC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shd w:val="clear" w:color="auto" w:fill="auto"/>
          <w:vAlign w:val="center"/>
        </w:tcPr>
        <w:p w:rsidR="00602DBC" w:rsidRDefault="000D6AC4">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02DBC" w:rsidRDefault="000D6AC4">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margin">
            <wp:align>left</wp:align>
          </wp:positionH>
          <wp:positionV relativeFrom="paragraph">
            <wp:posOffset>-1963419</wp:posOffset>
          </wp:positionV>
          <wp:extent cx="7809865" cy="10165715"/>
          <wp:effectExtent l="0" t="0" r="635" b="6985"/>
          <wp:wrapNone/>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11DA7"/>
    <w:multiLevelType w:val="hybridMultilevel"/>
    <w:tmpl w:val="1D187A50"/>
    <w:lvl w:ilvl="0" w:tplc="DE249156">
      <w:start w:val="1"/>
      <w:numFmt w:val="upperLetter"/>
      <w:lvlText w:val="%1)"/>
      <w:lvlJc w:val="left"/>
      <w:pPr>
        <w:ind w:left="474" w:hanging="360"/>
      </w:pPr>
      <w:rPr>
        <w:rFonts w:hint="default"/>
      </w:rPr>
    </w:lvl>
    <w:lvl w:ilvl="1" w:tplc="080A0019" w:tentative="1">
      <w:start w:val="1"/>
      <w:numFmt w:val="lowerLetter"/>
      <w:lvlText w:val="%2."/>
      <w:lvlJc w:val="left"/>
      <w:pPr>
        <w:ind w:left="1194" w:hanging="360"/>
      </w:pPr>
    </w:lvl>
    <w:lvl w:ilvl="2" w:tplc="080A001B" w:tentative="1">
      <w:start w:val="1"/>
      <w:numFmt w:val="lowerRoman"/>
      <w:lvlText w:val="%3."/>
      <w:lvlJc w:val="right"/>
      <w:pPr>
        <w:ind w:left="1914" w:hanging="180"/>
      </w:pPr>
    </w:lvl>
    <w:lvl w:ilvl="3" w:tplc="080A000F" w:tentative="1">
      <w:start w:val="1"/>
      <w:numFmt w:val="decimal"/>
      <w:lvlText w:val="%4."/>
      <w:lvlJc w:val="left"/>
      <w:pPr>
        <w:ind w:left="2634" w:hanging="360"/>
      </w:pPr>
    </w:lvl>
    <w:lvl w:ilvl="4" w:tplc="080A0019" w:tentative="1">
      <w:start w:val="1"/>
      <w:numFmt w:val="lowerLetter"/>
      <w:lvlText w:val="%5."/>
      <w:lvlJc w:val="left"/>
      <w:pPr>
        <w:ind w:left="3354" w:hanging="360"/>
      </w:pPr>
    </w:lvl>
    <w:lvl w:ilvl="5" w:tplc="080A001B" w:tentative="1">
      <w:start w:val="1"/>
      <w:numFmt w:val="lowerRoman"/>
      <w:lvlText w:val="%6."/>
      <w:lvlJc w:val="right"/>
      <w:pPr>
        <w:ind w:left="4074" w:hanging="180"/>
      </w:pPr>
    </w:lvl>
    <w:lvl w:ilvl="6" w:tplc="080A000F" w:tentative="1">
      <w:start w:val="1"/>
      <w:numFmt w:val="decimal"/>
      <w:lvlText w:val="%7."/>
      <w:lvlJc w:val="left"/>
      <w:pPr>
        <w:ind w:left="4794" w:hanging="360"/>
      </w:pPr>
    </w:lvl>
    <w:lvl w:ilvl="7" w:tplc="080A0019" w:tentative="1">
      <w:start w:val="1"/>
      <w:numFmt w:val="lowerLetter"/>
      <w:lvlText w:val="%8."/>
      <w:lvlJc w:val="left"/>
      <w:pPr>
        <w:ind w:left="5514" w:hanging="360"/>
      </w:pPr>
    </w:lvl>
    <w:lvl w:ilvl="8" w:tplc="080A001B" w:tentative="1">
      <w:start w:val="1"/>
      <w:numFmt w:val="lowerRoman"/>
      <w:lvlText w:val="%9."/>
      <w:lvlJc w:val="right"/>
      <w:pPr>
        <w:ind w:left="6234" w:hanging="180"/>
      </w:pPr>
    </w:lvl>
  </w:abstractNum>
  <w:abstractNum w:abstractNumId="1" w15:restartNumberingAfterBreak="0">
    <w:nsid w:val="1BEA06CC"/>
    <w:multiLevelType w:val="multilevel"/>
    <w:tmpl w:val="BC08F7A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5E675B"/>
    <w:multiLevelType w:val="multilevel"/>
    <w:tmpl w:val="A5C615F8"/>
    <w:lvl w:ilvl="0">
      <w:start w:val="1"/>
      <w:numFmt w:val="lowerLetter"/>
      <w:lvlText w:val="%1)"/>
      <w:lvlJc w:val="left"/>
      <w:pPr>
        <w:ind w:left="4472" w:hanging="360"/>
      </w:pPr>
      <w:rPr>
        <w:rFonts w:ascii="Palatino Linotype" w:eastAsia="Palatino Linotype" w:hAnsi="Palatino Linotype" w:cs="Palatino Linotype"/>
        <w:b w:val="0"/>
      </w:rPr>
    </w:lvl>
    <w:lvl w:ilvl="1">
      <w:start w:val="1"/>
      <w:numFmt w:val="decimal"/>
      <w:lvlText w:val="%2."/>
      <w:lvlJc w:val="left"/>
      <w:pPr>
        <w:ind w:left="5552" w:hanging="360"/>
      </w:pPr>
    </w:lvl>
    <w:lvl w:ilvl="2">
      <w:start w:val="1"/>
      <w:numFmt w:val="decimal"/>
      <w:lvlText w:val="%3."/>
      <w:lvlJc w:val="left"/>
      <w:pPr>
        <w:ind w:left="6272" w:hanging="360"/>
      </w:pPr>
    </w:lvl>
    <w:lvl w:ilvl="3">
      <w:start w:val="1"/>
      <w:numFmt w:val="decimal"/>
      <w:lvlText w:val="%4."/>
      <w:lvlJc w:val="left"/>
      <w:pPr>
        <w:ind w:left="6992" w:hanging="360"/>
      </w:pPr>
    </w:lvl>
    <w:lvl w:ilvl="4">
      <w:start w:val="1"/>
      <w:numFmt w:val="decimal"/>
      <w:lvlText w:val="%5."/>
      <w:lvlJc w:val="left"/>
      <w:pPr>
        <w:ind w:left="7712" w:hanging="360"/>
      </w:pPr>
    </w:lvl>
    <w:lvl w:ilvl="5">
      <w:start w:val="1"/>
      <w:numFmt w:val="decimal"/>
      <w:lvlText w:val="%6."/>
      <w:lvlJc w:val="left"/>
      <w:pPr>
        <w:ind w:left="8432" w:hanging="360"/>
      </w:pPr>
    </w:lvl>
    <w:lvl w:ilvl="6">
      <w:start w:val="1"/>
      <w:numFmt w:val="decimal"/>
      <w:lvlText w:val="%7."/>
      <w:lvlJc w:val="left"/>
      <w:pPr>
        <w:ind w:left="9152" w:hanging="360"/>
      </w:pPr>
    </w:lvl>
    <w:lvl w:ilvl="7">
      <w:start w:val="1"/>
      <w:numFmt w:val="decimal"/>
      <w:lvlText w:val="%8."/>
      <w:lvlJc w:val="left"/>
      <w:pPr>
        <w:ind w:left="9872" w:hanging="360"/>
      </w:pPr>
    </w:lvl>
    <w:lvl w:ilvl="8">
      <w:start w:val="1"/>
      <w:numFmt w:val="decimal"/>
      <w:lvlText w:val="%9."/>
      <w:lvlJc w:val="left"/>
      <w:pPr>
        <w:ind w:left="10592" w:hanging="360"/>
      </w:pPr>
    </w:lvl>
  </w:abstractNum>
  <w:abstractNum w:abstractNumId="3" w15:restartNumberingAfterBreak="0">
    <w:nsid w:val="31D5056F"/>
    <w:multiLevelType w:val="multilevel"/>
    <w:tmpl w:val="418AD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8213B3"/>
    <w:multiLevelType w:val="multilevel"/>
    <w:tmpl w:val="C17AF2FC"/>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E9B7E3D"/>
    <w:multiLevelType w:val="hybridMultilevel"/>
    <w:tmpl w:val="936C260A"/>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DBC"/>
    <w:rsid w:val="00080ACB"/>
    <w:rsid w:val="000D6AC4"/>
    <w:rsid w:val="001E4C20"/>
    <w:rsid w:val="0038331C"/>
    <w:rsid w:val="00475BC0"/>
    <w:rsid w:val="004B14A0"/>
    <w:rsid w:val="005A2349"/>
    <w:rsid w:val="005F2064"/>
    <w:rsid w:val="00602DBC"/>
    <w:rsid w:val="00630EE9"/>
    <w:rsid w:val="009A7FF5"/>
    <w:rsid w:val="00A51D61"/>
    <w:rsid w:val="00A75AA6"/>
    <w:rsid w:val="00AA4005"/>
    <w:rsid w:val="00B93F03"/>
    <w:rsid w:val="00BB101E"/>
    <w:rsid w:val="00BE33EB"/>
    <w:rsid w:val="00BE5969"/>
    <w:rsid w:val="00D43615"/>
    <w:rsid w:val="00E83F55"/>
    <w:rsid w:val="00F902B9"/>
    <w:rsid w:val="00FF78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B2B876-3B7C-41C7-AA10-D1A33F62A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jF4EY82ogi4SZQFZQUW36W4sg==">AMUW2mUCB54EXniZX6t5ij20WA+M5SWAF8Q60YH28q1vnOeraAKa2zPumUPX/7dNkGt39bHw7u0r5HZV3BFe5HcnMMDqT19dZDrNsK2iknA5CC4vDv4F3uDo6U6behZ0jLngLsaWUpwLnLjlSk2J7ZLvEDcIn9aX0AYSTZP8GNb0oYdxT7maP9SfIiKDtbbvhlQa/2F03eL5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4660</Words>
  <Characters>25631</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dcterms:created xsi:type="dcterms:W3CDTF">2022-03-04T03:17:00Z</dcterms:created>
  <dcterms:modified xsi:type="dcterms:W3CDTF">2022-03-04T03:17:00Z</dcterms:modified>
</cp:coreProperties>
</file>