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990" w:rsidRDefault="002917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w:t>
      </w:r>
      <w:bookmarkStart w:id="0" w:name="_GoBack"/>
      <w:bookmarkEnd w:id="0"/>
      <w:r>
        <w:rPr>
          <w:rFonts w:ascii="Palatino Linotype" w:eastAsia="Palatino Linotype" w:hAnsi="Palatino Linotype" w:cs="Palatino Linotype"/>
        </w:rPr>
        <w:t xml:space="preserve">fecha veinte de febrero del dos mil veintidós. </w:t>
      </w:r>
    </w:p>
    <w:p w:rsidR="005E1990" w:rsidRDefault="002917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00364/INFOEM/IP/RR/2022</w:t>
      </w:r>
      <w:r>
        <w:rPr>
          <w:rFonts w:ascii="Palatino Linotype" w:eastAsia="Palatino Linotype" w:hAnsi="Palatino Linotype" w:cs="Palatino Linotype"/>
        </w:rPr>
        <w:t xml:space="preserve">, interpuesto por </w:t>
      </w:r>
      <w:r w:rsidR="00760B0D">
        <w:rPr>
          <w:rFonts w:ascii="Palatino Linotype" w:eastAsia="Palatino Linotype" w:hAnsi="Palatino Linotype" w:cs="Palatino Linotype"/>
          <w:b/>
        </w:rPr>
        <w:t>XXXXX XXXXX XXXXX</w:t>
      </w:r>
      <w:r>
        <w:rPr>
          <w:rFonts w:ascii="Palatino Linotype" w:eastAsia="Palatino Linotype" w:hAnsi="Palatino Linotype" w:cs="Palatino Linotype"/>
        </w:rPr>
        <w:t xml:space="preserve"> como supuesta representante de la persona moral </w:t>
      </w:r>
      <w:r>
        <w:rPr>
          <w:rFonts w:ascii="Palatino Linotype" w:eastAsia="Palatino Linotype" w:hAnsi="Palatino Linotype" w:cs="Palatino Linotype"/>
          <w:b/>
        </w:rPr>
        <w:t>Comisión Indígena Amecameca</w:t>
      </w:r>
      <w:r>
        <w:rPr>
          <w:rFonts w:ascii="Palatino Linotype" w:eastAsia="Palatino Linotype" w:hAnsi="Palatino Linotype" w:cs="Palatino Linotype"/>
        </w:rPr>
        <w:t xml:space="preserve">, en lo sucesivo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00277/AMECAMEC/IP/2021</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Ayuntamiento de Amecameca,</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5E1990" w:rsidRDefault="002917DA">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5E1990" w:rsidRDefault="002917D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veintidós de noviembre del dos mil veintiuno,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5E1990" w:rsidRDefault="002917DA">
      <w:pP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“SOLICITO LA INFORMACION DEL DIRECTOR GENERAL DE O.P.D.A.A.S. ING, JOSE ALFREDO OCHOA GODINEZ EN CUANTO A SU CERTIFICACION DE LA NORMATIVA DEL LIBRO DECIMO SEGUNDO DE LA OBRA PUBLICA ASI COMO SU CAPACIDAD Y EXPERIENCIA EN OBRAS DE INFRAESTRUCTURA HIDRAULICA REQUIERO RESPUESTA POR PARTE DE LA CONTRALORA MUNICIPAL L.C ESPERANZA CRISTINA JUAREZ LOPEZ EN CUANTO SI DIO SEGUIMIENTO A LAS OBRAS REALIZADAS Y QUE SE MENCIONAN EN LA REVISTA QUE SE PUBLICA SEGUNDO INFORME DE 100 DIAS RESULTADOS AL 3ER AÑO DEL EJERCICIO </w:t>
      </w:r>
      <w:r>
        <w:rPr>
          <w:rFonts w:ascii="Palatino Linotype" w:eastAsia="Palatino Linotype" w:hAnsi="Palatino Linotype" w:cs="Palatino Linotype"/>
          <w:i/>
          <w:color w:val="000000"/>
          <w:sz w:val="22"/>
          <w:szCs w:val="22"/>
        </w:rPr>
        <w:lastRenderedPageBreak/>
        <w:t>GUBERNAMENTAL 2019-2021 , MIGUEL ANGEL SALOMON , OBRAS Y ACCIONES QUE SI TRANSFORMAN. Y QUE EJECUTO EL DIRECTO GENERAL DE O .P.D.A.A.S EL ING. JOSE ALFREDO OCHOA GODINEZ Y CUYO NOMBRE SON POZO AMECAMECA II CABECERA MUNICIPAL , CONSTRUCCION DE CAJA DE AGUA EN LA CASCADA DEL SALTO DEL AGUA, CAMBIO DE 1000 METROS LINEALES DE LA RED HIDRAULICA DEL RAMAL PRINCIPAL SALTO DEL AGUA Y CALLE ABASOLO, CAMBIO DE RED HIDRAULICA Y DRENAJE CALLE OCAMPO CON TUBO PED ECOLOGICO. TAMBIEN REQUIERO LA RESPUESTA DEL 5o. REGIDOR ARQ. GERMAYN AGUILAR CARRILLO EN CUANTO A LA SUPERVISION DE VIGILANCIA QUE REALIZO EN LAS OBRAS MENCIONADAS CON ANTERIORIDAD DE ACUERDO A LA COMISION QUE TIENE DE ACUERDO AL BANDO MUNICIPAL DE LA ADMINISTRACION PUBLICA MUNICIPAL 2019-2021. AMECAMECA MEX.,” (Sic)</w:t>
      </w:r>
    </w:p>
    <w:p w:rsidR="005E1990" w:rsidRDefault="002917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5E1990" w:rsidRDefault="002917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once de enero de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5E1990" w:rsidRDefault="002917DA">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E1990" w:rsidRDefault="002917DA">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ATENCION A SU CONTESTACION ESPEREMOS HABER CUMPLIDO ENVIANDOLE UN CORDIAL SALUDO Y QUEDANDO A SU DISPOSICION GRACIAS AGREGO DOCUMENTO.</w:t>
      </w:r>
    </w:p>
    <w:p w:rsidR="005E1990" w:rsidRDefault="002917DA">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5E1990" w:rsidRDefault="002917DA">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Leticia Ramirez Velazquez” (Sic)</w:t>
      </w:r>
    </w:p>
    <w:p w:rsidR="005E1990" w:rsidRDefault="005E1990">
      <w:pPr>
        <w:ind w:left="851" w:right="902"/>
        <w:jc w:val="both"/>
        <w:rPr>
          <w:rFonts w:ascii="Palatino Linotype" w:eastAsia="Palatino Linotype" w:hAnsi="Palatino Linotype" w:cs="Palatino Linotype"/>
          <w:i/>
          <w:sz w:val="22"/>
          <w:szCs w:val="22"/>
        </w:rPr>
      </w:pPr>
    </w:p>
    <w:p w:rsidR="005E1990" w:rsidRDefault="002917D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el archivo electrónico denominado: “</w:t>
      </w:r>
      <w:hyperlink r:id="rId8">
        <w:r>
          <w:rPr>
            <w:rFonts w:ascii="Palatino Linotype" w:eastAsia="Palatino Linotype" w:hAnsi="Palatino Linotype" w:cs="Palatino Linotype"/>
          </w:rPr>
          <w:t>sol.0277.pdf</w:t>
        </w:r>
      </w:hyperlink>
      <w:r>
        <w:rPr>
          <w:rFonts w:ascii="Palatino Linotype" w:eastAsia="Palatino Linotype" w:hAnsi="Palatino Linotype" w:cs="Palatino Linotype"/>
        </w:rPr>
        <w:t xml:space="preserve">”, el cual contiene el oficio número AME/OPDAAS/006/2022, por medio del cual el Director General del Organismo </w:t>
      </w:r>
      <w:r>
        <w:rPr>
          <w:rFonts w:ascii="Palatino Linotype" w:eastAsia="Palatino Linotype" w:hAnsi="Palatino Linotype" w:cs="Palatino Linotype"/>
        </w:rPr>
        <w:lastRenderedPageBreak/>
        <w:t xml:space="preserve">Descentralizado para la prestación del servicio de Agua Potable, Alcantarillado y Saneamiento de Amecameca, informó al Titular de la Unidad de Transparencia y Acceso a la Información Pública, que de acuerdo a la Ley del Agua para el Estado de México y Municipios en su artículo 38 fracción VI, que a la letra dice: para ocupar el cargo de Director General, se requerirá experiencia mínima de tres años en servicios de agua o infraestructura hidráulica o bien contar con experiencia comprobada técnica, administrativa, de gestión, dictaminación, de investigación en la prestación de servicios públicos o cualquier otra relacionada con la materia. Sobre este punto el Sujeto Obligado no adjuntó documento alguno. </w:t>
      </w:r>
    </w:p>
    <w:p w:rsidR="005E1990" w:rsidRDefault="002917D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señaló que la obra de Pozo Amecameca II cabecera Municipal, fue realizada por la CONAGUA encargada del estudio, proyecto y ejecución de dicha obra; las obras de construcción de caja de agua en la cascada del Salto del Agua y cambio de 1000 metros lineales de la Red Hidráulica del ramal principal Salto del Agua y Calle Abasolo; no hay documentación ni evidencia de dichas obras por el organismo del agua de Amecameca, por lo tanto invitó a re direccionar su solicitud a la Dirección de Obras Públicas del Municipio de Amecameca y sobre la obra de cambio de red hidráulica y drenaje calle Ocampo con tubo “ped” ecológico, únicamente fue realizado el drenaje con tubería de 12´´ pad, anexando diversas fotografías. </w:t>
      </w:r>
    </w:p>
    <w:p w:rsidR="005E1990" w:rsidRDefault="002917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la solicitante con la respuesta del </w:t>
      </w:r>
      <w:r>
        <w:rPr>
          <w:rFonts w:ascii="Palatino Linotype" w:eastAsia="Palatino Linotype" w:hAnsi="Palatino Linotype" w:cs="Palatino Linotype"/>
          <w:b/>
        </w:rPr>
        <w:t>SUJETO OBLIGADO el ahora RECURRENTE</w:t>
      </w:r>
      <w:r>
        <w:rPr>
          <w:rFonts w:ascii="Palatino Linotype" w:eastAsia="Palatino Linotype" w:hAnsi="Palatino Linotype" w:cs="Palatino Linotype"/>
        </w:rPr>
        <w:t xml:space="preserve"> interpuso recurso de revisión a través del SAIMEX en fecha veintisiete de enero de dos mil veintidós, a través del cual expresó lo siguiente:</w:t>
      </w:r>
    </w:p>
    <w:p w:rsidR="005E1990" w:rsidRDefault="002917DA">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lastRenderedPageBreak/>
        <w:t>a) Acto impugnado.</w:t>
      </w:r>
    </w:p>
    <w:p w:rsidR="005E1990" w:rsidRDefault="002917DA">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“SE IMPUGNA LA SOLICITUD 00277.” (Sic)</w:t>
      </w:r>
    </w:p>
    <w:p w:rsidR="005E1990" w:rsidRDefault="002917DA">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5E1990" w:rsidRDefault="002917DA">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 INCONFORMIDAD SE DEBE A LA NEGATIVA DE RESPUESTA POR PARTE DEL FUNCIONARIO QUE SE MENCIONA EN LA SOLICITUD NO.00277.”(Sic)</w:t>
      </w:r>
    </w:p>
    <w:p w:rsidR="005E1990" w:rsidRDefault="002917DA">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00364/INFOEM/IP/RR/2022,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rsidR="005E1990" w:rsidRDefault="005E1990">
      <w:pPr>
        <w:spacing w:line="360" w:lineRule="auto"/>
        <w:jc w:val="both"/>
        <w:rPr>
          <w:rFonts w:ascii="Palatino Linotype" w:eastAsia="Palatino Linotype" w:hAnsi="Palatino Linotype" w:cs="Palatino Linotype"/>
        </w:rPr>
      </w:pPr>
    </w:p>
    <w:p w:rsidR="005E1990" w:rsidRDefault="002917D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primero de febrero de dos mil veintidós,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presentará su informe justificado. </w:t>
      </w:r>
    </w:p>
    <w:p w:rsidR="005E1990" w:rsidRDefault="002917DA">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De las constancias que integran el expediente en que se actúa se advierte que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fue omisa en ofrecer pruebas o expresar alegatos; en términos del artículo 185 fracciones II de la ley que nos ocupa. Por su parte,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de igual forma, fue omiso en presentar el Informe Justificado correspondiente.</w:t>
      </w:r>
    </w:p>
    <w:p w:rsidR="005E1990" w:rsidRDefault="002917DA">
      <w:pPr>
        <w:widowControl w:val="0"/>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7.-</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En fecha catorce de febrero de dos mil veintidós la Comisionada ponente determinó el cierre de instrucción en términos de la fracción VI del artículo 185 de la Ley de Transparencia y Acceso a la Información Pública del Estado de México y Municipios.</w:t>
      </w:r>
    </w:p>
    <w:p w:rsidR="005E1990" w:rsidRDefault="005E1990">
      <w:pPr>
        <w:widowControl w:val="0"/>
        <w:spacing w:before="240" w:line="360" w:lineRule="auto"/>
        <w:jc w:val="both"/>
        <w:rPr>
          <w:rFonts w:ascii="Palatino Linotype" w:eastAsia="Palatino Linotype" w:hAnsi="Palatino Linotype" w:cs="Palatino Linotype"/>
        </w:rPr>
      </w:pPr>
    </w:p>
    <w:p w:rsidR="005E1990" w:rsidRDefault="002917DA">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w:t>
      </w:r>
      <w:r>
        <w:rPr>
          <w:rFonts w:ascii="Palatino Linotype" w:eastAsia="Palatino Linotype" w:hAnsi="Palatino Linotype" w:cs="Palatino Linotype"/>
        </w:rPr>
        <w:t xml:space="preserve"> En fecha cuatro de abril del año dos mil veintidós, con fundamento en el artículo 181, párrafo tercero de la Ley de Transparencia y Acceso a la Información Pública del Estado de México y Municipios, se acordó la ampliación del plazo para su resolución.</w:t>
      </w:r>
    </w:p>
    <w:p w:rsidR="005E1990" w:rsidRDefault="002917DA">
      <w:pPr>
        <w:numPr>
          <w:ilvl w:val="0"/>
          <w:numId w:val="1"/>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rsidR="005E1990" w:rsidRDefault="002917DA">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5E1990" w:rsidRDefault="002917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5E1990" w:rsidRDefault="002917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su respuesta a la solicitud de información el once de enero del dos mil veintidós, y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veintisiete de enero del año dos mil veintidós, esto es al décimo segundo día hábil siguiente de aquel en que tuvo conocimiento de la respuesta, evidenciándose que la interposición del recurso se encuentra dentro de los márgenes temporales previstos en el citado precepto legal.</w:t>
      </w:r>
    </w:p>
    <w:p w:rsidR="005E1990" w:rsidRDefault="005E1990">
      <w:pPr>
        <w:spacing w:before="240" w:line="360" w:lineRule="auto"/>
        <w:jc w:val="both"/>
        <w:rPr>
          <w:rFonts w:ascii="Palatino Linotype" w:eastAsia="Palatino Linotype" w:hAnsi="Palatino Linotype" w:cs="Palatino Linotype"/>
        </w:rPr>
      </w:pPr>
    </w:p>
    <w:p w:rsidR="005E1990" w:rsidRDefault="002917DA">
      <w:pPr>
        <w:shd w:val="clear" w:color="auto" w:fill="FFFFFF"/>
        <w:spacing w:line="360" w:lineRule="auto"/>
        <w:jc w:val="both"/>
        <w:rPr>
          <w:color w:val="222222"/>
        </w:rPr>
      </w:pPr>
      <w:r>
        <w:rPr>
          <w:rFonts w:ascii="Palatino Linotype" w:eastAsia="Palatino Linotype" w:hAnsi="Palatino Linotype" w:cs="Palatino Linotype"/>
          <w:color w:val="222222"/>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5E1990" w:rsidRDefault="005E1990">
      <w:pPr>
        <w:shd w:val="clear" w:color="auto" w:fill="FFFFFF"/>
        <w:spacing w:line="360" w:lineRule="auto"/>
        <w:jc w:val="both"/>
        <w:rPr>
          <w:rFonts w:ascii="Palatino Linotype" w:eastAsia="Palatino Linotype" w:hAnsi="Palatino Linotype" w:cs="Palatino Linotype"/>
          <w:color w:val="222222"/>
        </w:rPr>
      </w:pPr>
    </w:p>
    <w:p w:rsidR="005E1990" w:rsidRDefault="002917DA">
      <w:pPr>
        <w:shd w:val="clear" w:color="auto" w:fill="FFFFFF"/>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lastRenderedPageBreak/>
        <w:t>En el mismo tenor, el propio artículo 180 de la Ley de Transparencia local citado, en su último párrafo establece que cuando el recurso se interponga de manera electrónica, no será indispensable que contenga determinados requisitos, entre ellos, el nombre de la parte </w:t>
      </w:r>
      <w:r>
        <w:rPr>
          <w:rFonts w:ascii="Palatino Linotype" w:eastAsia="Palatino Linotype" w:hAnsi="Palatino Linotype" w:cs="Palatino Linotype"/>
          <w:b/>
          <w:color w:val="222222"/>
        </w:rPr>
        <w:t>Recurrente</w:t>
      </w:r>
      <w:r>
        <w:rPr>
          <w:rFonts w:ascii="Palatino Linotype" w:eastAsia="Palatino Linotype" w:hAnsi="Palatino Linotype" w:cs="Palatino Linotype"/>
          <w:color w:val="222222"/>
        </w:rPr>
        <w:t>, por lo que, en el presente caso, al haber sido presentado el recurso de revisión vía SAIMEX, dicho requisito resulta innecesario.</w:t>
      </w:r>
    </w:p>
    <w:p w:rsidR="005E1990" w:rsidRDefault="005E1990">
      <w:pPr>
        <w:shd w:val="clear" w:color="auto" w:fill="FFFFFF"/>
        <w:spacing w:line="360" w:lineRule="auto"/>
        <w:jc w:val="both"/>
        <w:rPr>
          <w:color w:val="222222"/>
        </w:rPr>
      </w:pPr>
    </w:p>
    <w:p w:rsidR="005E1990" w:rsidRDefault="002917DA">
      <w:pPr>
        <w:shd w:val="clear" w:color="auto" w:fill="FFFFFF"/>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Cabe señalar que no pasa inadvertido para este Organismo Garante que la parte solicitante en ejercicio de su derecho de acceso a la información pública, si bien dice tratarse de una persona moral cuya razón o denominación social es “</w:t>
      </w:r>
      <w:r>
        <w:rPr>
          <w:rFonts w:ascii="Palatino Linotype" w:eastAsia="Palatino Linotype" w:hAnsi="Palatino Linotype" w:cs="Palatino Linotype"/>
          <w:b/>
          <w:color w:val="222222"/>
        </w:rPr>
        <w:t>Comisión Indígena Amecameca</w:t>
      </w:r>
      <w:r>
        <w:rPr>
          <w:rFonts w:ascii="Palatino Linotype" w:eastAsia="Palatino Linotype" w:hAnsi="Palatino Linotype" w:cs="Palatino Linotype"/>
          <w:color w:val="222222"/>
        </w:rPr>
        <w:t>”, lo cierto es que se observa que no proporcionó el documento que tenga por acreditada su constitución como persona moral, no obstante, de una interpretación sistemática, armónica y progresiva del derecho humano de acceso a la información pública se tiene que toda persona, sin necesidad de acreditar interés alguno o justificar su utilización, tiene derecho a acceder a la información pública, esto es, para ejercer dicho derecho no se tiene la obligación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E1990" w:rsidRDefault="005E1990">
      <w:pPr>
        <w:shd w:val="clear" w:color="auto" w:fill="FFFFFF"/>
        <w:spacing w:line="360" w:lineRule="auto"/>
        <w:jc w:val="both"/>
        <w:rPr>
          <w:color w:val="222222"/>
        </w:rPr>
      </w:pPr>
    </w:p>
    <w:p w:rsidR="005E1990" w:rsidRDefault="002917D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rsidR="005E1990" w:rsidRDefault="002917DA">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rsidR="005E1990" w:rsidRDefault="002917DA">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La negativa de la información solicitada…”</w:t>
      </w:r>
      <w:r>
        <w:rPr>
          <w:rFonts w:ascii="Palatino Linotype" w:eastAsia="Palatino Linotype" w:hAnsi="Palatino Linotype" w:cs="Palatino Linotype"/>
          <w:i/>
        </w:rPr>
        <w:t xml:space="preserve"> (Sic)</w:t>
      </w:r>
    </w:p>
    <w:p w:rsidR="005E1990" w:rsidRDefault="005E1990">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5E1990" w:rsidRDefault="002917D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5E1990" w:rsidRDefault="002917DA">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Del análisis de la solicitud de información motivo del recurso de revisión que ahora se resuelve, se advierte que el particular requirió al </w:t>
      </w:r>
      <w:r>
        <w:rPr>
          <w:rFonts w:ascii="Palatino Linotype" w:eastAsia="Palatino Linotype" w:hAnsi="Palatino Linotype" w:cs="Palatino Linotype"/>
          <w:b/>
        </w:rPr>
        <w:t>Ayuntamiento de Amecameca</w:t>
      </w:r>
      <w:r>
        <w:rPr>
          <w:rFonts w:ascii="Palatino Linotype" w:eastAsia="Palatino Linotype" w:hAnsi="Palatino Linotype" w:cs="Palatino Linotype"/>
        </w:rPr>
        <w:t>, le informara lo siguiente:</w:t>
      </w:r>
    </w:p>
    <w:p w:rsidR="005E1990" w:rsidRDefault="002917DA">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su Director General del Organismo Descentralizado para la prestación del servicio de Agua Potable, Alcantarillado y Saneamiento de Amecameca:</w:t>
      </w:r>
    </w:p>
    <w:p w:rsidR="005E1990" w:rsidRDefault="002917DA">
      <w:pPr>
        <w:numPr>
          <w:ilvl w:val="1"/>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Certificación de la normativa </w:t>
      </w:r>
      <w:r>
        <w:rPr>
          <w:rFonts w:ascii="Verdana" w:eastAsia="Verdana" w:hAnsi="Verdana" w:cs="Verdana"/>
          <w:color w:val="000000"/>
          <w:sz w:val="14"/>
          <w:szCs w:val="14"/>
        </w:rPr>
        <w:t> </w:t>
      </w:r>
      <w:r>
        <w:rPr>
          <w:rFonts w:ascii="Palatino Linotype" w:eastAsia="Palatino Linotype" w:hAnsi="Palatino Linotype" w:cs="Palatino Linotype"/>
          <w:color w:val="000000"/>
          <w:sz w:val="22"/>
          <w:szCs w:val="22"/>
        </w:rPr>
        <w:t>del libro décimo segundo de la obra pública.</w:t>
      </w:r>
    </w:p>
    <w:p w:rsidR="005E1990" w:rsidRDefault="002917DA">
      <w:pPr>
        <w:numPr>
          <w:ilvl w:val="1"/>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Su capacidad y experiencia en obras de infraestructura hidráulica.</w:t>
      </w:r>
    </w:p>
    <w:p w:rsidR="005E1990" w:rsidRDefault="002917DA">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Respuesta por parte de la Contraloría Municipal, en cuanto sí dio seguimiento a las siguientes obras:</w:t>
      </w:r>
    </w:p>
    <w:p w:rsidR="005E1990" w:rsidRDefault="002917DA">
      <w:pPr>
        <w:numPr>
          <w:ilvl w:val="1"/>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pozo Amecameca II cabecera municipal.</w:t>
      </w:r>
    </w:p>
    <w:p w:rsidR="005E1990" w:rsidRDefault="002917DA">
      <w:pPr>
        <w:numPr>
          <w:ilvl w:val="1"/>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Construcción de caja de agua en la cascada del salto del agua.</w:t>
      </w:r>
    </w:p>
    <w:p w:rsidR="005E1990" w:rsidRDefault="002917DA">
      <w:pPr>
        <w:numPr>
          <w:ilvl w:val="1"/>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Cambio de 1000 metros lineales de la red hidráulica del ramal principal salto del agua y calle Abasolo.</w:t>
      </w:r>
    </w:p>
    <w:p w:rsidR="005E1990" w:rsidRDefault="002917DA">
      <w:pPr>
        <w:numPr>
          <w:ilvl w:val="1"/>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Cambio de red hidráulica y drenaje calle Ocampo con tubo ped ecológico.</w:t>
      </w:r>
    </w:p>
    <w:p w:rsidR="005E1990" w:rsidRDefault="002917DA">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Respuesta del 5o. regidor, en cuanto a la supervisión de vigilancia que </w:t>
      </w:r>
      <w:r>
        <w:rPr>
          <w:rFonts w:ascii="Palatino Linotype" w:eastAsia="Palatino Linotype" w:hAnsi="Palatino Linotype" w:cs="Palatino Linotype"/>
          <w:sz w:val="22"/>
          <w:szCs w:val="22"/>
        </w:rPr>
        <w:t>realizó</w:t>
      </w:r>
      <w:r>
        <w:rPr>
          <w:rFonts w:ascii="Palatino Linotype" w:eastAsia="Palatino Linotype" w:hAnsi="Palatino Linotype" w:cs="Palatino Linotype"/>
          <w:color w:val="000000"/>
          <w:sz w:val="22"/>
          <w:szCs w:val="22"/>
        </w:rPr>
        <w:t xml:space="preserve"> en las obras mencionadas con anterioridad de acuerdo a la comisión que tiene de acuerdo al bando municipal de la administración pública municipal 2019-2021. </w:t>
      </w:r>
    </w:p>
    <w:p w:rsidR="005E1990" w:rsidRDefault="002917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través del siguiente archivo electrónico:</w:t>
      </w:r>
    </w:p>
    <w:p w:rsidR="005E1990" w:rsidRDefault="002917D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9">
        <w:r>
          <w:rPr>
            <w:rFonts w:ascii="Palatino Linotype" w:eastAsia="Palatino Linotype" w:hAnsi="Palatino Linotype" w:cs="Palatino Linotype"/>
          </w:rPr>
          <w:t>sol.0277.pdf</w:t>
        </w:r>
      </w:hyperlink>
      <w:r>
        <w:rPr>
          <w:rFonts w:ascii="Palatino Linotype" w:eastAsia="Palatino Linotype" w:hAnsi="Palatino Linotype" w:cs="Palatino Linotype"/>
        </w:rPr>
        <w:t xml:space="preserve">”, el cual contiene el oficio número AME/OPDAAS/006/2022, por medio del cual el Director General del Organismo Descentralizado para la prestación del servicio de Agua Potable, Alcantarillado y Saneamiento de Amecameca, informó al Titular de la Unidad de Transparencia y Acceso a la Información Pública, que de acuerdo a la Ley del Agua para el Estado de México y Municipios en su artículo 38 fracción VI, que a la letra dice: para ocupar el cargo de Director General, se requerirá experiencia mínima de tres años en servicios de agua o infraestructura hidráulica o bien contar con experiencia comprobada técnica, administrativa, de gestión, dictaminación, de investigación en la prestación de servicios públicos o cualquier otra relacionada con la materia. Sobre este punto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adjuntó documento alguno. </w:t>
      </w:r>
    </w:p>
    <w:p w:rsidR="005E1990" w:rsidRDefault="002917D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otro lado, señaló que la obra de Pozo Amecameca II cabecera Municipal, fue realizada por la CONAGUA encargada del estudio, proyecto y ejecución de dicha obra; las obras de construcción de caja de agua en la cascada del Salto del Agua y cambio de 1000 metros lineales de la Red Hidráulica del ramal principal Salto del Agua y Calle Abasolo; no hay documentación ni evidencia de dichas obras por el organismo del agua de Amecameca, por lo tanto invitó a re direccionar su solicitud a la Dirección de Obras Públicas del Municipio de Amecameca y sobre la obra de cambio de red hidráulica y drenaje calle Ocampo con tubo “ped” ecológico, únicamente fue realizado el drenaje con tubería de 12´´ pad, anexando diversas fotografías. </w:t>
      </w:r>
    </w:p>
    <w:p w:rsidR="005E1990" w:rsidRDefault="002917DA">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conforme la particular con la respuesta, interpone el recurso de revisión que se resuelve, señalando como motivos de inconformidad “LA INCONFORMIDAD SE DEBE A LA NEGATIVA DE RESPUESTA POR PARTE DEL FUNCIONARIO QUE SE MENCIONA EN LA SOLICITUD NO.00277.”</w:t>
      </w:r>
    </w:p>
    <w:p w:rsidR="005E1990" w:rsidRDefault="002917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w:t>
      </w:r>
    </w:p>
    <w:p w:rsidR="005E1990" w:rsidRDefault="002917DA">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5E1990" w:rsidRDefault="002917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5E1990" w:rsidRDefault="002917DA">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5E1990" w:rsidRDefault="002917DA">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5E1990" w:rsidRDefault="002917DA">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5E1990" w:rsidRDefault="005E1990">
      <w:pPr>
        <w:spacing w:line="360" w:lineRule="auto"/>
        <w:jc w:val="both"/>
        <w:rPr>
          <w:rFonts w:ascii="Palatino Linotype" w:eastAsia="Palatino Linotype" w:hAnsi="Palatino Linotype" w:cs="Palatino Linotype"/>
        </w:rPr>
      </w:pP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w:t>
      </w:r>
      <w:r>
        <w:rPr>
          <w:rFonts w:ascii="Palatino Linotype" w:eastAsia="Palatino Linotype" w:hAnsi="Palatino Linotype" w:cs="Palatino Linotype"/>
        </w:rPr>
        <w:lastRenderedPageBreak/>
        <w:t>al interés del solicitante; como así lo establece el artículo 12 de la Ley de Transparencia y Acceso a la Información Pública del Estado de México y Municipios, que a la letra dice:</w:t>
      </w:r>
    </w:p>
    <w:p w:rsidR="005E1990" w:rsidRDefault="005E1990">
      <w:pPr>
        <w:spacing w:line="360" w:lineRule="auto"/>
        <w:jc w:val="both"/>
        <w:rPr>
          <w:rFonts w:ascii="Palatino Linotype" w:eastAsia="Palatino Linotype" w:hAnsi="Palatino Linotype" w:cs="Palatino Linotype"/>
        </w:rPr>
      </w:pPr>
    </w:p>
    <w:p w:rsidR="005E1990" w:rsidRDefault="002917DA">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5E1990" w:rsidRDefault="005E1990">
      <w:pPr>
        <w:ind w:left="567" w:right="758"/>
        <w:jc w:val="both"/>
        <w:rPr>
          <w:rFonts w:ascii="Palatino Linotype" w:eastAsia="Palatino Linotype" w:hAnsi="Palatino Linotype" w:cs="Palatino Linotype"/>
          <w:i/>
          <w:sz w:val="22"/>
          <w:szCs w:val="22"/>
        </w:rPr>
      </w:pPr>
    </w:p>
    <w:p w:rsidR="005E1990" w:rsidRDefault="002917DA">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5E1990" w:rsidRDefault="005E1990">
      <w:pPr>
        <w:spacing w:line="360" w:lineRule="auto"/>
        <w:ind w:right="-93"/>
        <w:jc w:val="both"/>
        <w:rPr>
          <w:rFonts w:ascii="Palatino Linotype" w:eastAsia="Palatino Linotype" w:hAnsi="Palatino Linotype" w:cs="Palatino Linotype"/>
          <w:color w:val="000000"/>
        </w:rPr>
      </w:pPr>
    </w:p>
    <w:p w:rsidR="005E1990" w:rsidRDefault="002917DA">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rPr>
        <w:t>concretarán</w:t>
      </w:r>
      <w:r>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rsidR="005E1990" w:rsidRDefault="005E1990">
      <w:pPr>
        <w:spacing w:line="360" w:lineRule="auto"/>
        <w:ind w:right="-93"/>
        <w:jc w:val="both"/>
        <w:rPr>
          <w:rFonts w:ascii="Palatino Linotype" w:eastAsia="Palatino Linotype" w:hAnsi="Palatino Linotype" w:cs="Palatino Linotype"/>
          <w:color w:val="000000"/>
        </w:rPr>
      </w:pPr>
    </w:p>
    <w:p w:rsidR="005E1990" w:rsidRDefault="002917DA">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5E1990" w:rsidRDefault="005E1990">
      <w:pPr>
        <w:ind w:left="851" w:right="850"/>
        <w:jc w:val="both"/>
        <w:rPr>
          <w:rFonts w:ascii="Palatino Linotype" w:eastAsia="Palatino Linotype" w:hAnsi="Palatino Linotype" w:cs="Palatino Linotype"/>
          <w:color w:val="000000"/>
        </w:rPr>
      </w:pPr>
    </w:p>
    <w:p w:rsidR="005E1990" w:rsidRDefault="002917DA">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w:t>
      </w:r>
      <w:r>
        <w:rPr>
          <w:rFonts w:ascii="Palatino Linotype" w:eastAsia="Palatino Linotype" w:hAnsi="Palatino Linotype" w:cs="Palatino Linotype"/>
          <w:i/>
          <w:color w:val="000000"/>
          <w:sz w:val="22"/>
          <w:szCs w:val="22"/>
        </w:rPr>
        <w:lastRenderedPageBreak/>
        <w:t>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E1990" w:rsidRDefault="002917DA">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5E1990" w:rsidRDefault="002917DA">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5E1990" w:rsidRDefault="002917DA">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5E1990" w:rsidRDefault="002917DA">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5E1990" w:rsidRDefault="005E1990">
      <w:pPr>
        <w:spacing w:line="360" w:lineRule="auto"/>
        <w:ind w:right="-93"/>
        <w:jc w:val="both"/>
        <w:rPr>
          <w:rFonts w:ascii="Palatino Linotype" w:eastAsia="Palatino Linotype" w:hAnsi="Palatino Linotype" w:cs="Palatino Linotype"/>
          <w:color w:val="000000"/>
        </w:rPr>
      </w:pPr>
    </w:p>
    <w:p w:rsidR="005E1990" w:rsidRDefault="002917D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E1990" w:rsidRDefault="005E1990">
      <w:pPr>
        <w:spacing w:line="360" w:lineRule="auto"/>
        <w:jc w:val="both"/>
        <w:rPr>
          <w:rFonts w:ascii="Palatino Linotype" w:eastAsia="Palatino Linotype" w:hAnsi="Palatino Linotype" w:cs="Palatino Linotype"/>
          <w:color w:val="000000"/>
        </w:rPr>
      </w:pPr>
    </w:p>
    <w:p w:rsidR="005E1990" w:rsidRDefault="002917D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Pr>
          <w:rFonts w:ascii="Palatino Linotype" w:eastAsia="Palatino Linotype" w:hAnsi="Palatino Linotype" w:cs="Palatino Linotype"/>
        </w:rPr>
        <w:lastRenderedPageBreak/>
        <w:t>Ley de Transparencia y Acceso a la Información Pública del Estado de México y Municipios.</w:t>
      </w:r>
    </w:p>
    <w:p w:rsidR="005E1990" w:rsidRDefault="005E1990">
      <w:pPr>
        <w:spacing w:line="360" w:lineRule="auto"/>
        <w:ind w:right="49"/>
        <w:jc w:val="both"/>
        <w:rPr>
          <w:rFonts w:ascii="Palatino Linotype" w:eastAsia="Palatino Linotype" w:hAnsi="Palatino Linotype" w:cs="Palatino Linotype"/>
        </w:rPr>
      </w:pP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5E1990" w:rsidRDefault="005E1990">
      <w:pPr>
        <w:ind w:left="851" w:right="899"/>
        <w:jc w:val="both"/>
        <w:rPr>
          <w:rFonts w:ascii="Palatino Linotype" w:eastAsia="Palatino Linotype" w:hAnsi="Palatino Linotype" w:cs="Palatino Linotype"/>
          <w:i/>
          <w:sz w:val="22"/>
          <w:szCs w:val="22"/>
        </w:rPr>
      </w:pP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E1990" w:rsidRDefault="002917DA">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5E1990" w:rsidRDefault="005E1990">
      <w:pPr>
        <w:ind w:left="851" w:right="899"/>
        <w:jc w:val="both"/>
        <w:rPr>
          <w:rFonts w:ascii="Palatino Linotype" w:eastAsia="Palatino Linotype" w:hAnsi="Palatino Linotype" w:cs="Palatino Linotype"/>
          <w:sz w:val="22"/>
          <w:szCs w:val="22"/>
        </w:rPr>
      </w:pP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5E1990" w:rsidRDefault="002917DA">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lastRenderedPageBreak/>
        <w:t>“</w:t>
      </w:r>
      <w:r>
        <w:rPr>
          <w:rFonts w:ascii="Palatino Linotype" w:eastAsia="Palatino Linotype" w:hAnsi="Palatino Linotype" w:cs="Palatino Linotype"/>
          <w:b/>
          <w:i/>
          <w:sz w:val="22"/>
          <w:szCs w:val="22"/>
        </w:rPr>
        <w:t>CRITERIO 0002-11</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5E1990" w:rsidRDefault="002917DA">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5E1990" w:rsidRDefault="002917DA">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5E1990" w:rsidRDefault="005E1990">
      <w:pPr>
        <w:spacing w:line="360" w:lineRule="auto"/>
        <w:ind w:right="-93"/>
        <w:jc w:val="both"/>
        <w:rPr>
          <w:rFonts w:ascii="Palatino Linotype" w:eastAsia="Palatino Linotype" w:hAnsi="Palatino Linotype" w:cs="Palatino Linotype"/>
          <w:color w:val="000000"/>
        </w:rPr>
      </w:pP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reitera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no cumple con lo establecido por los artículos 4, 12, 24 último párrafo y 162 de la Ley de Transparencia y Acceso a la Información Pública del Estado de México y Municipios, de conformidad con los puntos siguientes:</w:t>
      </w:r>
    </w:p>
    <w:p w:rsidR="005E1990" w:rsidRDefault="005E1990">
      <w:pPr>
        <w:spacing w:line="360" w:lineRule="auto"/>
        <w:jc w:val="both"/>
        <w:rPr>
          <w:rFonts w:ascii="Palatino Linotype" w:eastAsia="Palatino Linotype" w:hAnsi="Palatino Linotype" w:cs="Palatino Linotype"/>
        </w:rPr>
      </w:pP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se procede a realizar un cuadro comparativo de los requerimientos del particular con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respuesta y así esclarecer qué rubros de la solicitud colman el derecho de acceso a la información y cuáles no, como se advierte en seguida:</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5E1990">
        <w:tc>
          <w:tcPr>
            <w:tcW w:w="2942" w:type="dxa"/>
          </w:tcPr>
          <w:p w:rsidR="005E1990" w:rsidRDefault="002917DA">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rPr>
              <w:t>Solicitud</w:t>
            </w:r>
          </w:p>
        </w:tc>
        <w:tc>
          <w:tcPr>
            <w:tcW w:w="2943" w:type="dxa"/>
          </w:tcPr>
          <w:p w:rsidR="005E1990" w:rsidRDefault="002917DA">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rPr>
              <w:t>Respuesta</w:t>
            </w:r>
          </w:p>
        </w:tc>
        <w:tc>
          <w:tcPr>
            <w:tcW w:w="2943" w:type="dxa"/>
          </w:tcPr>
          <w:p w:rsidR="005E1990" w:rsidRDefault="002917DA">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rPr>
              <w:t>Colma</w:t>
            </w:r>
          </w:p>
        </w:tc>
      </w:tr>
      <w:tr w:rsidR="005E1990">
        <w:tc>
          <w:tcPr>
            <w:tcW w:w="2942" w:type="dxa"/>
          </w:tcPr>
          <w:p w:rsidR="005E1990" w:rsidRDefault="002917DA">
            <w:pPr>
              <w:spacing w:before="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1. De su Director General del Organismo Descentralizado para la prestación del servicio de Agua Potable, Alcantarillado y Saneamiento de Amecameca:</w:t>
            </w:r>
          </w:p>
          <w:p w:rsidR="005E1990" w:rsidRDefault="002917DA">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1.1. Certificación de la normativa </w:t>
            </w:r>
            <w:r>
              <w:rPr>
                <w:rFonts w:ascii="Verdana" w:eastAsia="Verdana" w:hAnsi="Verdana" w:cs="Verdana"/>
                <w:color w:val="000000"/>
                <w:sz w:val="18"/>
                <w:szCs w:val="18"/>
              </w:rPr>
              <w:t> </w:t>
            </w:r>
            <w:r>
              <w:rPr>
                <w:rFonts w:ascii="Palatino Linotype" w:eastAsia="Palatino Linotype" w:hAnsi="Palatino Linotype" w:cs="Palatino Linotype"/>
                <w:sz w:val="18"/>
                <w:szCs w:val="18"/>
              </w:rPr>
              <w:t>del libro décimo segundo de la obra pública.</w:t>
            </w:r>
          </w:p>
          <w:p w:rsidR="005E1990" w:rsidRDefault="002917DA">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1.2. Su capacidad y experiencia en obras de infraestructura hidráulica.</w:t>
            </w:r>
          </w:p>
          <w:p w:rsidR="005E1990" w:rsidRDefault="005E1990">
            <w:pPr>
              <w:spacing w:after="240"/>
              <w:jc w:val="both"/>
              <w:rPr>
                <w:rFonts w:ascii="Palatino Linotype" w:eastAsia="Palatino Linotype" w:hAnsi="Palatino Linotype" w:cs="Palatino Linotype"/>
              </w:rPr>
            </w:pPr>
          </w:p>
        </w:tc>
        <w:tc>
          <w:tcPr>
            <w:tcW w:w="2943" w:type="dxa"/>
          </w:tcPr>
          <w:p w:rsidR="005E1990" w:rsidRDefault="002917DA">
            <w:pPr>
              <w:spacing w:before="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Sobre el punto 1.1. y 1.2. Indicó que de acuerdo a la Ley del Agua para el Estado de México y Municipios en su artículo 38 fracción VI, que a la letra dice: para ocupar el cargo de Director General, se requerirá experiencia mínima de tres años en servicios de agua o infraestructura hidráulica o bien contar con experiencia comprobada técnica, administrativa, de gestión, dictaminación, de investigación en la prestación de servicios públicos o cualquier otra relacionada con la materia. </w:t>
            </w:r>
          </w:p>
          <w:p w:rsidR="005E1990" w:rsidRDefault="002917DA">
            <w:pPr>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Sobre este punto el Sujeto Obligado no adjuntó documento alguno. </w:t>
            </w:r>
          </w:p>
          <w:p w:rsidR="005E1990" w:rsidRDefault="005E1990">
            <w:pPr>
              <w:spacing w:after="240"/>
              <w:jc w:val="both"/>
              <w:rPr>
                <w:rFonts w:ascii="Palatino Linotype" w:eastAsia="Palatino Linotype" w:hAnsi="Palatino Linotype" w:cs="Palatino Linotype"/>
                <w:b/>
                <w:sz w:val="18"/>
                <w:szCs w:val="18"/>
              </w:rPr>
            </w:pPr>
          </w:p>
        </w:tc>
        <w:tc>
          <w:tcPr>
            <w:tcW w:w="2943" w:type="dxa"/>
          </w:tcPr>
          <w:p w:rsidR="005E1990" w:rsidRDefault="002917DA">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rPr>
              <w:t>No</w:t>
            </w:r>
          </w:p>
          <w:p w:rsidR="005E1990" w:rsidRDefault="002917DA">
            <w:pPr>
              <w:spacing w:after="240"/>
              <w:jc w:val="both"/>
              <w:rPr>
                <w:rFonts w:ascii="Palatino Linotype" w:eastAsia="Palatino Linotype" w:hAnsi="Palatino Linotype" w:cs="Palatino Linotype"/>
              </w:rPr>
            </w:pPr>
            <w:r>
              <w:rPr>
                <w:rFonts w:ascii="Palatino Linotype" w:eastAsia="Palatino Linotype" w:hAnsi="Palatino Linotype" w:cs="Palatino Linotype"/>
                <w:sz w:val="18"/>
                <w:szCs w:val="18"/>
              </w:rPr>
              <w:t>Faltó la documentación que acredite la experiencia</w:t>
            </w:r>
            <w:r>
              <w:rPr>
                <w:rFonts w:ascii="Palatino Linotype" w:eastAsia="Palatino Linotype" w:hAnsi="Palatino Linotype" w:cs="Palatino Linotype"/>
              </w:rPr>
              <w:t xml:space="preserve"> </w:t>
            </w:r>
            <w:r>
              <w:rPr>
                <w:rFonts w:ascii="Palatino Linotype" w:eastAsia="Palatino Linotype" w:hAnsi="Palatino Linotype" w:cs="Palatino Linotype"/>
                <w:sz w:val="18"/>
                <w:szCs w:val="18"/>
              </w:rPr>
              <w:t>y su certificación.</w:t>
            </w:r>
          </w:p>
        </w:tc>
      </w:tr>
    </w:tbl>
    <w:p w:rsidR="005E1990" w:rsidRDefault="005E1990">
      <w:pPr>
        <w:spacing w:line="360" w:lineRule="auto"/>
        <w:jc w:val="both"/>
        <w:rPr>
          <w:rFonts w:ascii="Palatino Linotype" w:eastAsia="Palatino Linotype" w:hAnsi="Palatino Linotype" w:cs="Palatino Linotype"/>
        </w:rPr>
      </w:pP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el punto 1.1, relativo a la certificación del Director General del Organismo Descentralizado para la prestación del servicio de Agua Potable, Alcantarillado y Saneamiento de Amecameca,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omitió pronunciarse al respecto,  por lo que en términos del principio de máxima publicidad, lo procedente es ordenar el documento en donde conste la certificación del Director General del Organismo Descentralizado para la prestación del servicio de Agua Potable, Alcantarillado y Saneamiento de Amecameca, referido en la solicitud de acceso a la información correspondiente a la administración pública 2019-2021, y de ser procedente en versión pública conforme a lo señalado en el considerando quinto del presente fallo, lo anterior en términos de los señalado por el artículo 32 fracción IV de la Ley Orgánica Municipal del Estado de México, que señala:</w:t>
      </w:r>
    </w:p>
    <w:p w:rsidR="005E1990" w:rsidRDefault="005E1990">
      <w:pPr>
        <w:spacing w:line="360" w:lineRule="auto"/>
        <w:jc w:val="both"/>
        <w:rPr>
          <w:rFonts w:ascii="Palatino Linotype" w:eastAsia="Palatino Linotype" w:hAnsi="Palatino Linotype" w:cs="Palatino Linotype"/>
        </w:rPr>
      </w:pP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32. Para ocupar las titularidades</w:t>
      </w:r>
      <w:r>
        <w:rPr>
          <w:rFonts w:ascii="Palatino Linotype" w:eastAsia="Palatino Linotype" w:hAnsi="Palatino Linotype" w:cs="Palatino Linotype"/>
          <w:i/>
          <w:sz w:val="22"/>
          <w:szCs w:val="22"/>
        </w:rPr>
        <w:t xml:space="preserve">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w:t>
      </w:r>
      <w:r>
        <w:rPr>
          <w:rFonts w:ascii="Palatino Linotype" w:eastAsia="Palatino Linotype" w:hAnsi="Palatino Linotype" w:cs="Palatino Linotype"/>
          <w:b/>
          <w:i/>
          <w:sz w:val="22"/>
          <w:szCs w:val="22"/>
        </w:rPr>
        <w:t>de los organismos auxiliares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deberán satisfacer los siguientes requisitos</w:t>
      </w:r>
      <w:r>
        <w:rPr>
          <w:rFonts w:ascii="Palatino Linotype" w:eastAsia="Palatino Linotype" w:hAnsi="Palatino Linotype" w:cs="Palatino Linotype"/>
          <w:i/>
          <w:sz w:val="22"/>
          <w:szCs w:val="22"/>
        </w:rPr>
        <w:t xml:space="preserve">: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Contar con certificación de competencia laboral en la materia del cargo que se desempeñará, expedida por institución con reconocimiento de validez oficial.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requisito deberá acreditarse dentro de los seis meses siguientes a la fecha en que inicien sus funciones…” (Sic)</w:t>
      </w:r>
    </w:p>
    <w:p w:rsidR="005E1990" w:rsidRDefault="005E1990">
      <w:pPr>
        <w:ind w:left="851" w:right="899"/>
        <w:jc w:val="both"/>
        <w:rPr>
          <w:rFonts w:ascii="Palatino Linotype" w:eastAsia="Palatino Linotype" w:hAnsi="Palatino Linotype" w:cs="Palatino Linotype"/>
          <w:i/>
          <w:sz w:val="22"/>
          <w:szCs w:val="22"/>
        </w:rPr>
      </w:pPr>
    </w:p>
    <w:p w:rsidR="005E1990" w:rsidRDefault="005E1990">
      <w:pPr>
        <w:spacing w:line="360" w:lineRule="auto"/>
        <w:jc w:val="both"/>
        <w:rPr>
          <w:rFonts w:ascii="Palatino Linotype" w:eastAsia="Palatino Linotype" w:hAnsi="Palatino Linotype" w:cs="Palatino Linotype"/>
        </w:rPr>
      </w:pP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de que el Director General de O.P.D.A.A.S de las administración pública 2019-2021, entró en funciones el pasado primero de enero del año dos mil diecinueve, conforme a la siguiente imagen del directorio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publicado en su página de IPOMEX (Información Pública de Oficio Mexiquense):</w:t>
      </w:r>
    </w:p>
    <w:p w:rsidR="005E1990" w:rsidRDefault="005E1990">
      <w:pPr>
        <w:spacing w:line="360" w:lineRule="auto"/>
        <w:jc w:val="both"/>
      </w:pPr>
    </w:p>
    <w:p w:rsidR="005E1990" w:rsidRDefault="002917DA">
      <w:pPr>
        <w:spacing w:line="360" w:lineRule="auto"/>
        <w:jc w:val="both"/>
        <w:rPr>
          <w:rFonts w:ascii="Palatino Linotype" w:eastAsia="Palatino Linotype" w:hAnsi="Palatino Linotype" w:cs="Palatino Linotype"/>
        </w:rPr>
      </w:pPr>
      <w:r>
        <w:rPr>
          <w:noProof/>
          <w:lang w:val="es-MX" w:eastAsia="es-MX"/>
        </w:rPr>
        <w:drawing>
          <wp:inline distT="0" distB="0" distL="0" distR="0">
            <wp:extent cx="5439679" cy="3143598"/>
            <wp:effectExtent l="0" t="0" r="0" b="0"/>
            <wp:docPr id="1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24778" t="31583" r="39127" b="10481"/>
                    <a:stretch>
                      <a:fillRect/>
                    </a:stretch>
                  </pic:blipFill>
                  <pic:spPr>
                    <a:xfrm>
                      <a:off x="0" y="0"/>
                      <a:ext cx="5439679" cy="3143598"/>
                    </a:xfrm>
                    <a:prstGeom prst="rect">
                      <a:avLst/>
                    </a:prstGeom>
                    <a:ln/>
                  </pic:spPr>
                </pic:pic>
              </a:graphicData>
            </a:graphic>
          </wp:inline>
        </w:drawing>
      </w: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cuanto al punto 1.2, sobre la capacidad y experiencia en obras de infraestructura hidráulica del Director General del Organismo Descentralizado para la prestación del servicio de Agua Potable, Alcantarillado y Saneamiento de Amecameca, el </w:t>
      </w:r>
      <w:r>
        <w:rPr>
          <w:rFonts w:ascii="Palatino Linotype" w:eastAsia="Palatino Linotype" w:hAnsi="Palatino Linotype" w:cs="Palatino Linotype"/>
          <w:b/>
        </w:rPr>
        <w:t>SUJETO OBLIGADO</w:t>
      </w:r>
      <w:r>
        <w:rPr>
          <w:rFonts w:ascii="Palatino Linotype" w:eastAsia="Palatino Linotype" w:hAnsi="Palatino Linotype" w:cs="Palatino Linotype"/>
        </w:rPr>
        <w:t>, sólo se concretó a señalar el fundamento legal para ocupar el cargo de Director General el cual debe contar con una experiencia mínima de tres años en servicios de agua o infraestructura hidráulica o bien contar con experiencia comprobada técnica, administrativa, de gestión, dictaminación, de investigación en la prestación de servicios públicos o cualquier otra relacionada con la materia; sin adjuntar documento alguno que avale dicha circunstancia; ante ello, en necesario a traer a colación lo señalado por el artículo 32 de la Ley Orgánica Municipal del Estado de México que señala:</w:t>
      </w:r>
    </w:p>
    <w:p w:rsidR="005E1990" w:rsidRDefault="005E1990">
      <w:pPr>
        <w:spacing w:line="360" w:lineRule="auto"/>
        <w:jc w:val="both"/>
        <w:rPr>
          <w:rFonts w:ascii="Palatino Linotype" w:eastAsia="Palatino Linotype" w:hAnsi="Palatino Linotype" w:cs="Palatino Linotype"/>
        </w:rPr>
      </w:pP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32. Para ocupar las titularidades</w:t>
      </w:r>
      <w:r>
        <w:rPr>
          <w:rFonts w:ascii="Palatino Linotype" w:eastAsia="Palatino Linotype" w:hAnsi="Palatino Linotype" w:cs="Palatino Linotype"/>
          <w:i/>
          <w:sz w:val="22"/>
          <w:szCs w:val="22"/>
        </w:rPr>
        <w:t xml:space="preserve">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w:t>
      </w:r>
      <w:r>
        <w:rPr>
          <w:rFonts w:ascii="Palatino Linotype" w:eastAsia="Palatino Linotype" w:hAnsi="Palatino Linotype" w:cs="Palatino Linotype"/>
          <w:b/>
          <w:i/>
          <w:sz w:val="22"/>
          <w:szCs w:val="22"/>
        </w:rPr>
        <w:t>de los organismos auxiliares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deberán satisfacer los siguientes requisitos</w:t>
      </w:r>
      <w:r>
        <w:rPr>
          <w:rFonts w:ascii="Palatino Linotype" w:eastAsia="Palatino Linotype" w:hAnsi="Palatino Linotype" w:cs="Palatino Linotype"/>
          <w:i/>
          <w:sz w:val="22"/>
          <w:szCs w:val="22"/>
        </w:rPr>
        <w:t xml:space="preserve">: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Ser persona ciudadana del Estado, en pleno uso de sus derechos;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No estar inhabilitada o inhabilitado para desempeñar cargo, empleo, o comisión pública; </w:t>
      </w:r>
    </w:p>
    <w:p w:rsidR="005E1990" w:rsidRDefault="002917DA">
      <w:pPr>
        <w:ind w:left="851" w:right="89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III. Contar con título profesional o acreditar experiencia mínima de un año en la materia, ante la o el Presidente o el Ayuntamiento, cuando sea el caso, para el desempeño de los cargos que así lo requieran;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Contar con certificación de competencia laboral en la materia del cargo que se desempeñará, expedida por institución con reconocimiento de validez oficial.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Este requisito deberá acreditarse dentro de los seis meses siguientes a la fecha en que inicien sus funciones;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No estar condenada o condenado por sentencia ejecutoriada por el delito de violencia política contra las mujeres en razón de género;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VI. No estar inscrito en el Registro de Deudores Alimentarios Morosos en el Estado, ni en otra entidad federativa, y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No estar condenada o condenado por sentencia ejecutoriada por delitos de violencia familiar, contra la libertad sexual o de violencia de género.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 (Sic)</w:t>
      </w:r>
    </w:p>
    <w:p w:rsidR="005E1990" w:rsidRDefault="005E1990">
      <w:pPr>
        <w:spacing w:line="360" w:lineRule="auto"/>
        <w:jc w:val="both"/>
        <w:rPr>
          <w:rFonts w:ascii="Palatino Linotype" w:eastAsia="Palatino Linotype" w:hAnsi="Palatino Linotype" w:cs="Palatino Linotype"/>
        </w:rPr>
      </w:pP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donde se advierte que los titulares de los Organismo Auxiliares en este caso el Director General del Organismo Descentralizado para la prestación del servicio de Agua Potable, Alcantarillado y Saneamiento de Amecameca, debe cumplir con diversos requisitos en el que se destaca el señalado en la fracción III, la cual establece que se debe contar con título profesional o acreditar experiencia en la materia, lo que se robustece con lo señalado por el artículo 38 último párrafo de la Ley del Agua para el Estado de México, que señala lo siguiente:</w:t>
      </w:r>
    </w:p>
    <w:p w:rsidR="005E1990" w:rsidRDefault="005E1990">
      <w:pPr>
        <w:spacing w:line="360" w:lineRule="auto"/>
        <w:jc w:val="both"/>
        <w:rPr>
          <w:rFonts w:ascii="Palatino Linotype" w:eastAsia="Palatino Linotype" w:hAnsi="Palatino Linotype" w:cs="Palatino Linotype"/>
        </w:rPr>
      </w:pP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38.- La administración de los organismos operadores municipales estará a cargo de un consejo directivo y un director general.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consejo directivo se integrará conforme a lo que disponga el ordenamiento jurídico de su creación y tendrá las funciones que le señalen la Ley, su Reglamento y demás normatividad aplicable.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todos los casos, el consejo directivo tendrá: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Un presidente, quien será el Presidente Municipal o quien él designe;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Un secretario técnico, quien será el director general del organismo operador; III. Un representante del Ayuntamiento;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Un representante de la Comisión;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Un comisario designado por el cabildo a propuesta del consejo directivo; y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Tres vocales ajenos a la administración municipal, con mayor representatividad y designados por los ayuntamientos, a propuesta de las organizaciones vecinales, comerciales, industriales o de cualquier otro tipo, que sean usuarios.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A las sesiones del Consejo Directivo se invitará a un representante de la Comisión Técnica, quien tendrá derecho a voz.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integrantes del Consejo Directivo tendrán derecho a voz y voto, con excepción del secretario técnico y del comisario. En caso de empate, el presidente tendrá voto de calidad.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presidente del consejo directivo y el representante de la Comisión tendrán un suplente, que será propuesto por su propietario y será aprobado por el consejo directivo.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cargo de miembro del consejo directivo será honorífico.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funcionamiento del consejo directivo se establecerá en el instrumento jurídico de su creación y, en lo aplicable, en el Reglamento de esta Ley. </w:t>
      </w:r>
    </w:p>
    <w:p w:rsidR="005E1990" w:rsidRDefault="002917D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director general del organismo operador será designado por el Presidente Municipal con el acuerdo del cabildo, y tendrá las atribuciones que le confiera el Reglamento de la presente Ley, además de las que determine cada municipio. </w:t>
      </w:r>
    </w:p>
    <w:p w:rsidR="005E1990" w:rsidRDefault="002917DA">
      <w:pPr>
        <w:ind w:left="851" w:right="89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Para ocupar el cargo de Director General, se requerirá experiencia mínima de tres años en servicios de agua o infraestructura hidráulica; o bien, contar con experiencia comprobada técnica, administrativa, de gestión, dictaminación, de investigación, en la prestación de los servicios públicos o cualquier otra, relacionada con la materia.” (Sic)</w:t>
      </w:r>
    </w:p>
    <w:p w:rsidR="005E1990" w:rsidRDefault="005E1990">
      <w:pPr>
        <w:spacing w:line="360" w:lineRule="auto"/>
        <w:jc w:val="both"/>
        <w:rPr>
          <w:rFonts w:ascii="Palatino Linotype" w:eastAsia="Palatino Linotype" w:hAnsi="Palatino Linotype" w:cs="Palatino Linotype"/>
        </w:rPr>
      </w:pP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el documento que colmaría la capacidad y experiencia del Director General multireferido, serían de manera enunciativa más no limitada, los certificados, diplomas, constancias, títulos o grados académicos que amparen estudios realizados; de acuerdo a lo establecido por el artículo 171 de la Ley de Educación del Estado de México.</w:t>
      </w:r>
    </w:p>
    <w:p w:rsidR="005E1990" w:rsidRDefault="005E1990">
      <w:pPr>
        <w:spacing w:line="360" w:lineRule="auto"/>
        <w:ind w:right="51"/>
        <w:jc w:val="both"/>
        <w:rPr>
          <w:rFonts w:ascii="Palatino Linotype" w:eastAsia="Palatino Linotype" w:hAnsi="Palatino Linotype" w:cs="Palatino Linotype"/>
        </w:rPr>
      </w:pPr>
    </w:p>
    <w:p w:rsidR="005E1990" w:rsidRDefault="002917DA">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También, no pasa desapercibido que un documento que puede contener la experiencia de toda la carrera profesional de quien va ocupar cargo público, pudiera ser el Curriculum Vitae, por lo que es posible determinar que, el currículum vítae contienen información relacionada con la trayectoria académica, profesional y laboral, por medio del cual se acredita la capacidad, habilidades, experiencia o </w:t>
      </w:r>
      <w:r>
        <w:rPr>
          <w:rFonts w:ascii="Palatino Linotype" w:eastAsia="Palatino Linotype" w:hAnsi="Palatino Linotype" w:cs="Palatino Linotype"/>
        </w:rPr>
        <w:lastRenderedPageBreak/>
        <w:t>pericia de una persona para ocupar un cargo, puesto o comisión, que permitan realizar una comparación de las actividades que ha realizado con las que habrá de desarrollar, y determinar si cumple con el perfil del cargo a ocupar.</w:t>
      </w:r>
    </w:p>
    <w:p w:rsidR="005E1990" w:rsidRDefault="005E1990">
      <w:pPr>
        <w:spacing w:line="360" w:lineRule="auto"/>
        <w:ind w:right="51"/>
        <w:jc w:val="both"/>
        <w:rPr>
          <w:rFonts w:ascii="Palatino Linotype" w:eastAsia="Palatino Linotype" w:hAnsi="Palatino Linotype" w:cs="Palatino Linotype"/>
        </w:rPr>
      </w:pPr>
    </w:p>
    <w:p w:rsidR="005E1990" w:rsidRDefault="002917DA">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tesitura, debe apuntarse que esta información constituye una obligación de transparencia, pues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5E1990" w:rsidRDefault="002917DA">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E1990" w:rsidRDefault="002917DA">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5E1990" w:rsidRDefault="002917DA">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XXI. La información curricular, desde el nivel de jefe de departamento o equivalente, hasta el titular del sujeto obligado</w:t>
      </w:r>
      <w:r>
        <w:rPr>
          <w:rFonts w:ascii="Palatino Linotype" w:eastAsia="Palatino Linotype" w:hAnsi="Palatino Linotype" w:cs="Palatino Linotype"/>
          <w:i/>
          <w:color w:val="000000"/>
          <w:sz w:val="22"/>
          <w:szCs w:val="22"/>
        </w:rPr>
        <w:t>, así como, en su caso, las sanciones administrativas de que haya sido objeto;”(Sic)</w:t>
      </w:r>
    </w:p>
    <w:p w:rsidR="005E1990" w:rsidRDefault="005E1990">
      <w:pPr>
        <w:ind w:left="567" w:right="902"/>
        <w:jc w:val="both"/>
        <w:rPr>
          <w:rFonts w:ascii="Palatino Linotype" w:eastAsia="Palatino Linotype" w:hAnsi="Palatino Linotype" w:cs="Palatino Linotype"/>
          <w:i/>
          <w:color w:val="000000"/>
          <w:sz w:val="22"/>
          <w:szCs w:val="22"/>
        </w:rPr>
      </w:pPr>
    </w:p>
    <w:p w:rsidR="005E1990" w:rsidRDefault="002917DA">
      <w:pP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Pr>
          <w:rFonts w:ascii="Palatino Linotype" w:eastAsia="Palatino Linotype" w:hAnsi="Palatino Linotype" w:cs="Palatino Linotype"/>
          <w:color w:val="000000"/>
        </w:rPr>
        <w:lastRenderedPageBreak/>
        <w:t xml:space="preserve">obligados en los portales de Internet y en la Plataforma Nacional de Transparencia, mismos que se insertan a continuación: </w:t>
      </w:r>
    </w:p>
    <w:p w:rsidR="005E1990" w:rsidRDefault="002917DA">
      <w:pPr>
        <w:spacing w:before="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La información curricular desde el nivel de jefe de departamento o equivalente hasta el titular del sujeto obligado, así como, en su caso, las sanciones administrativas de que haya sido objeto. </w:t>
      </w:r>
    </w:p>
    <w:p w:rsidR="005E1990" w:rsidRDefault="002917DA">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Pr>
          <w:rFonts w:ascii="Palatino Linotype" w:eastAsia="Palatino Linotype" w:hAnsi="Palatino Linotype" w:cs="Palatino Linotype"/>
          <w:i/>
          <w:color w:val="000000"/>
          <w:sz w:val="22"/>
          <w:szCs w:val="22"/>
        </w:rPr>
        <w:t xml:space="preserve">. </w:t>
      </w:r>
    </w:p>
    <w:p w:rsidR="005E1990" w:rsidRDefault="002917DA">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Por cada servidor(a) público(a) se deberá especificar si ha sido acreedor a sanciones administrativas definitivas y que hayan sido aplicadas por autoridad u organismo competente. </w:t>
      </w:r>
    </w:p>
    <w:p w:rsidR="005E1990" w:rsidRDefault="002917DA">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Periodo de actualización: trimestral </w:t>
      </w:r>
    </w:p>
    <w:p w:rsidR="005E1990" w:rsidRDefault="002917DA">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En su caso, 15 días hábiles después de alguna modificación a la información de los servidores públicos que integran el sujeto obligado, así como su información curricular.</w:t>
      </w:r>
    </w:p>
    <w:p w:rsidR="005E1990" w:rsidRDefault="002917DA">
      <w:pPr>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Conservar en el sitio de Internet: información vigente </w:t>
      </w:r>
    </w:p>
    <w:p w:rsidR="005E1990" w:rsidRDefault="002917DA">
      <w:pPr>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Aplica a: todos los sujetos obligados</w:t>
      </w:r>
      <w:r>
        <w:rPr>
          <w:rFonts w:ascii="Palatino Linotype" w:eastAsia="Palatino Linotype" w:hAnsi="Palatino Linotype" w:cs="Palatino Linotype"/>
          <w:i/>
          <w:color w:val="000000"/>
          <w:sz w:val="22"/>
          <w:szCs w:val="22"/>
        </w:rPr>
        <w:t>”(Sic)</w:t>
      </w:r>
    </w:p>
    <w:p w:rsidR="005E1990" w:rsidRDefault="005E1990">
      <w:pPr>
        <w:ind w:left="567" w:right="902"/>
        <w:jc w:val="both"/>
        <w:rPr>
          <w:rFonts w:ascii="Palatino Linotype" w:eastAsia="Palatino Linotype" w:hAnsi="Palatino Linotype" w:cs="Palatino Linotype"/>
          <w:i/>
          <w:color w:val="000000"/>
          <w:sz w:val="22"/>
          <w:szCs w:val="22"/>
        </w:rPr>
      </w:pPr>
    </w:p>
    <w:p w:rsidR="005E1990" w:rsidRDefault="002917DA">
      <w:pPr>
        <w:spacing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extent cx="5677406" cy="2810432"/>
            <wp:effectExtent l="0" t="0" r="0" b="0"/>
            <wp:docPr id="1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77406" cy="2810432"/>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-12699</wp:posOffset>
                </wp:positionH>
                <wp:positionV relativeFrom="paragraph">
                  <wp:posOffset>673100</wp:posOffset>
                </wp:positionV>
                <wp:extent cx="5267325" cy="842035"/>
                <wp:effectExtent l="0" t="0" r="0" b="0"/>
                <wp:wrapNone/>
                <wp:docPr id="125" name="Rectángulo 125"/>
                <wp:cNvGraphicFramePr/>
                <a:graphic xmlns:a="http://schemas.openxmlformats.org/drawingml/2006/main">
                  <a:graphicData uri="http://schemas.microsoft.com/office/word/2010/wordprocessingShape">
                    <wps:wsp>
                      <wps:cNvSpPr/>
                      <wps:spPr>
                        <a:xfrm>
                          <a:off x="2726625" y="3373270"/>
                          <a:ext cx="5238750" cy="813460"/>
                        </a:xfrm>
                        <a:prstGeom prst="rect">
                          <a:avLst/>
                        </a:prstGeom>
                        <a:noFill/>
                        <a:ln w="28575" cap="flat" cmpd="sng">
                          <a:solidFill>
                            <a:srgbClr val="002060"/>
                          </a:solidFill>
                          <a:prstDash val="solid"/>
                          <a:miter lim="800000"/>
                          <a:headEnd type="none" w="sm" len="sm"/>
                          <a:tailEnd type="none" w="sm" len="sm"/>
                        </a:ln>
                      </wps:spPr>
                      <wps:txbx>
                        <w:txbxContent>
                          <w:p w:rsidR="005E1990" w:rsidRDefault="005E1990">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673100</wp:posOffset>
                </wp:positionV>
                <wp:extent cx="5267325" cy="842035"/>
                <wp:effectExtent b="0" l="0" r="0" t="0"/>
                <wp:wrapNone/>
                <wp:docPr id="125"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5267325" cy="842035"/>
                        </a:xfrm>
                        <a:prstGeom prst="rect"/>
                        <a:ln/>
                      </pic:spPr>
                    </pic:pic>
                  </a:graphicData>
                </a:graphic>
              </wp:anchor>
            </w:drawing>
          </mc:Fallback>
        </mc:AlternateContent>
      </w:r>
    </w:p>
    <w:p w:rsidR="005E1990" w:rsidRDefault="002917DA">
      <w:pPr>
        <w:spacing w:before="240" w:after="240" w:line="360" w:lineRule="auto"/>
        <w:ind w:right="51"/>
        <w:jc w:val="both"/>
        <w:rPr>
          <w:rFonts w:ascii="Palatino Linotype" w:eastAsia="Palatino Linotype" w:hAnsi="Palatino Linotype" w:cs="Palatino Linotype"/>
          <w:color w:val="FF0000"/>
          <w:highlight w:val="green"/>
        </w:rPr>
      </w:pPr>
      <w:r>
        <w:rPr>
          <w:rFonts w:ascii="Palatino Linotype" w:eastAsia="Palatino Linotype" w:hAnsi="Palatino Linotype" w:cs="Palatino Linotype"/>
          <w:noProof/>
          <w:color w:val="FF0000"/>
          <w:highlight w:val="green"/>
          <w:lang w:val="es-MX" w:eastAsia="es-MX"/>
        </w:rPr>
        <w:lastRenderedPageBreak/>
        <w:drawing>
          <wp:inline distT="0" distB="0" distL="0" distR="0">
            <wp:extent cx="5610225" cy="4105275"/>
            <wp:effectExtent l="0" t="0" r="0" b="0"/>
            <wp:docPr id="1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610225" cy="4105275"/>
                    </a:xfrm>
                    <a:prstGeom prst="rect">
                      <a:avLst/>
                    </a:prstGeom>
                    <a:ln/>
                  </pic:spPr>
                </pic:pic>
              </a:graphicData>
            </a:graphic>
          </wp:inline>
        </w:drawing>
      </w:r>
    </w:p>
    <w:p w:rsidR="005E1990" w:rsidRDefault="002917DA">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aprecia en el dispositivo legal citado, lo sujetos obligados deben publicar la información curricular desde el nivel del jefe de departamento o equivalente, hasta el titular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como se apreció en la cita, respecto a la escolaridad mandata que se publique información referente al nivel máximo de estudios concluido y comprobable, mientras que respecto de la experiencia laboral, se requiere que se incluya información de los últimos tres empleos, en los que se advierta el campo de experiencia que acredite sus habilidades, capacidades o pericia para desempeñar el cargo público, debe precisarse que dicha circunstancia no es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óbice para que se encuentre impedido a contar con dicha información respecto de todos los servidores públicos con los que tenga una relación laboral.</w:t>
      </w:r>
    </w:p>
    <w:p w:rsidR="005E1990" w:rsidRDefault="002917DA">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cuanto hace al curriculum vitae, debe precisarse en primer lugar, que el concepto “curriculum” corresponde a una locución latina cuyo significado es “carrera de vida”, por su lado, la Real Academia Española, lo define como a continuación se cita: </w:t>
      </w:r>
    </w:p>
    <w:p w:rsidR="005E1990" w:rsidRDefault="002917DA">
      <w:pPr>
        <w:spacing w:before="240" w:after="240" w:line="276" w:lineRule="auto"/>
        <w:ind w:left="567" w:right="75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Relación de los títulos, honores, cargos, trabajos realizados, datos biográficos, etc, que califican a una persona</w:t>
      </w:r>
      <w:r>
        <w:rPr>
          <w:rFonts w:ascii="Palatino Linotype" w:eastAsia="Palatino Linotype" w:hAnsi="Palatino Linotype" w:cs="Palatino Linotype"/>
          <w:color w:val="000000"/>
        </w:rPr>
        <w:t>” (Sic)</w:t>
      </w:r>
    </w:p>
    <w:p w:rsidR="005E1990" w:rsidRDefault="002917DA">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Desde esta perspectiva, a través del currículum </w:t>
      </w:r>
      <w:r>
        <w:rPr>
          <w:rFonts w:ascii="Palatino Linotype" w:eastAsia="Palatino Linotype" w:hAnsi="Palatino Linotype" w:cs="Palatino Linotype"/>
        </w:rPr>
        <w:t>vitae</w:t>
      </w:r>
      <w:r>
        <w:rPr>
          <w:rFonts w:ascii="Palatino Linotype" w:eastAsia="Palatino Linotype" w:hAnsi="Palatino Linotype" w:cs="Palatino Linotype"/>
          <w:color w:val="000000"/>
        </w:rPr>
        <w:t xml:space="preserve"> el particular puede advertir los estudios realizados o bien el nivel académico, así como la experiencia laboral de los servidores públicos que se encuentran adscritos al sujeto obligado,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rsidR="005E1990" w:rsidRDefault="002917DA">
      <w:pP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Curriculum Vitae de servidores públicos. Es obligación de los sujetos obligados otorgar acceso a versiones públicas de los mismos ante una solicitud de acceso</w:t>
      </w:r>
      <w:r>
        <w:rPr>
          <w:rFonts w:ascii="Palatino Linotype" w:eastAsia="Palatino Linotype" w:hAnsi="Palatino Linotype" w:cs="Palatino Linotype"/>
          <w:i/>
          <w:color w:val="000000"/>
          <w:sz w:val="22"/>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w:t>
      </w:r>
      <w:r>
        <w:rPr>
          <w:rFonts w:ascii="Palatino Linotype" w:eastAsia="Palatino Linotype" w:hAnsi="Palatino Linotype" w:cs="Palatino Linotype"/>
          <w:i/>
          <w:color w:val="000000"/>
          <w:sz w:val="22"/>
          <w:szCs w:val="22"/>
        </w:rPr>
        <w:lastRenderedPageBreak/>
        <w:t>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Pr>
          <w:rFonts w:ascii="Palatino Linotype" w:eastAsia="Palatino Linotype" w:hAnsi="Palatino Linotype" w:cs="Palatino Linotype"/>
          <w:color w:val="000000"/>
          <w:sz w:val="22"/>
          <w:szCs w:val="22"/>
        </w:rPr>
        <w:t xml:space="preserve"> (Sic)</w:t>
      </w:r>
    </w:p>
    <w:p w:rsidR="005E1990" w:rsidRDefault="002917D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servició público sí es requisito, entre otros, presentar una solicitud del empleo, como se desprende del artículo 47 fracción I de la Ley del Trabajo para los Servidores Públicos del Estado y Municipios.</w:t>
      </w:r>
    </w:p>
    <w:p w:rsidR="005E1990" w:rsidRDefault="002917D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Así, la solicitud de empleo es el documento en el que se localiza información relativa a los datos personales, formación académica, formación extra académica, experiencia profesional, y hábitos personales; información que resulta coincidente con la que es asentada en un currículum vitae. De manera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podría atender el requerimiento a través de la entrega del currículum vitae de los servidores que refiere el recurrente, o en su defecto a través de la solicitud de empleo, en razón de que se trata de documentos que se encuentran en su posesión derivado de su facultad para establecer relaciones de trabajo, y que resulta ser el documento idóneo para satisfacer la solicitud planteada, de acuerdo a sus características y así como los documentos que sustenten la experiencia laboral.</w:t>
      </w:r>
    </w:p>
    <w:p w:rsidR="005E1990" w:rsidRDefault="002917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Razones por las cuales lo procedente es ordenar el documento o documentos en donde conste la capacidad y experiencia del </w:t>
      </w:r>
      <w:r>
        <w:rPr>
          <w:rFonts w:ascii="Palatino Linotype" w:eastAsia="Palatino Linotype" w:hAnsi="Palatino Linotype" w:cs="Palatino Linotype"/>
        </w:rPr>
        <w:t xml:space="preserve">Director General del Organismo Descentralizado para la prestación del servicio de Agua Potable, Alcantarillado y Saneamiento de Amecameca, referido en la solicitud de acceso a la información correspondiente a la administración pública 2019-2021, y en versión pública conforme a lo señalado en el considerando quinto del presente fallo. </w:t>
      </w:r>
    </w:p>
    <w:p w:rsidR="005E1990" w:rsidRDefault="002917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se procede al análisis de los puntos 2 y 3, que se describen a continuación de la siguiente manera:</w:t>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827"/>
        <w:gridCol w:w="2596"/>
      </w:tblGrid>
      <w:tr w:rsidR="005E1990">
        <w:tc>
          <w:tcPr>
            <w:tcW w:w="2405" w:type="dxa"/>
          </w:tcPr>
          <w:p w:rsidR="005E1990" w:rsidRDefault="002917DA">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rPr>
              <w:t>Solicitud</w:t>
            </w:r>
          </w:p>
        </w:tc>
        <w:tc>
          <w:tcPr>
            <w:tcW w:w="3827" w:type="dxa"/>
          </w:tcPr>
          <w:p w:rsidR="005E1990" w:rsidRDefault="002917DA">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rPr>
              <w:t>Respuesta</w:t>
            </w:r>
          </w:p>
        </w:tc>
        <w:tc>
          <w:tcPr>
            <w:tcW w:w="2596" w:type="dxa"/>
          </w:tcPr>
          <w:p w:rsidR="005E1990" w:rsidRDefault="002917DA">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rPr>
              <w:t>Colma</w:t>
            </w:r>
          </w:p>
        </w:tc>
      </w:tr>
      <w:tr w:rsidR="005E1990">
        <w:tc>
          <w:tcPr>
            <w:tcW w:w="2405" w:type="dxa"/>
          </w:tcPr>
          <w:p w:rsidR="005E1990" w:rsidRDefault="002917DA">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2. Respuesta por parte de la Contraloría Municipal, en cuanto sí dio seguimiento a las siguientes obras:</w:t>
            </w:r>
          </w:p>
          <w:p w:rsidR="005E1990" w:rsidRDefault="002917DA">
            <w:pPr>
              <w:numPr>
                <w:ilvl w:val="1"/>
                <w:numId w:val="5"/>
              </w:numPr>
              <w:pBdr>
                <w:top w:val="nil"/>
                <w:left w:val="nil"/>
                <w:bottom w:val="nil"/>
                <w:right w:val="nil"/>
                <w:between w:val="nil"/>
              </w:pBdr>
              <w:spacing w:before="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lastRenderedPageBreak/>
              <w:t>pozo Amecameca II cabecera municipal.</w:t>
            </w:r>
          </w:p>
          <w:p w:rsidR="005E1990" w:rsidRDefault="002917DA">
            <w:pPr>
              <w:numPr>
                <w:ilvl w:val="1"/>
                <w:numId w:val="5"/>
              </w:num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Construcción de caja de agua en la cascada del salto del agua.</w:t>
            </w:r>
          </w:p>
          <w:p w:rsidR="005E1990" w:rsidRDefault="002917DA">
            <w:pPr>
              <w:numPr>
                <w:ilvl w:val="1"/>
                <w:numId w:val="5"/>
              </w:num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Cambio de 1000 metros lineales de la red hidráulica del ramal principal salto del agua y calle Abasolo.</w:t>
            </w:r>
          </w:p>
          <w:p w:rsidR="005E1990" w:rsidRDefault="002917DA">
            <w:pPr>
              <w:numPr>
                <w:ilvl w:val="1"/>
                <w:numId w:val="5"/>
              </w:numPr>
              <w:pBdr>
                <w:top w:val="nil"/>
                <w:left w:val="nil"/>
                <w:bottom w:val="nil"/>
                <w:right w:val="nil"/>
                <w:between w:val="nil"/>
              </w:pBdr>
              <w:spacing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Cambio de red hidráulica y drenaje calle Ocampo con tubo ped ecológico.</w:t>
            </w:r>
          </w:p>
          <w:p w:rsidR="005E1990" w:rsidRDefault="002917DA">
            <w:pPr>
              <w:spacing w:before="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3. Respuesta del 5o. regidor, en cuanto a la supervisión de vigilancia que realizo en las obras mencionadas con anterioridad de acuerdo a la comisión que tiene de acuerdo al bando municipal de la administración pública municipal 2019-2021. </w:t>
            </w:r>
          </w:p>
          <w:p w:rsidR="005E1990" w:rsidRDefault="005E1990">
            <w:pPr>
              <w:spacing w:after="240"/>
              <w:jc w:val="both"/>
              <w:rPr>
                <w:rFonts w:ascii="Palatino Linotype" w:eastAsia="Palatino Linotype" w:hAnsi="Palatino Linotype" w:cs="Palatino Linotype"/>
              </w:rPr>
            </w:pPr>
          </w:p>
        </w:tc>
        <w:tc>
          <w:tcPr>
            <w:tcW w:w="3827" w:type="dxa"/>
          </w:tcPr>
          <w:p w:rsidR="005E1990" w:rsidRDefault="005E1990">
            <w:pPr>
              <w:spacing w:before="240"/>
              <w:jc w:val="both"/>
              <w:rPr>
                <w:rFonts w:ascii="Palatino Linotype" w:eastAsia="Palatino Linotype" w:hAnsi="Palatino Linotype" w:cs="Palatino Linotype"/>
                <w:sz w:val="18"/>
                <w:szCs w:val="18"/>
              </w:rPr>
            </w:pPr>
          </w:p>
          <w:p w:rsidR="005E1990" w:rsidRDefault="002917DA">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se pronunció Contraloría Municipal, Contraloría Interna del Organismo de Agua de Amecameca y Quinto Regidor, no obstante, el Director General del Organismo </w:t>
            </w:r>
            <w:r>
              <w:rPr>
                <w:rFonts w:ascii="Palatino Linotype" w:eastAsia="Palatino Linotype" w:hAnsi="Palatino Linotype" w:cs="Palatino Linotype"/>
                <w:sz w:val="18"/>
                <w:szCs w:val="18"/>
              </w:rPr>
              <w:lastRenderedPageBreak/>
              <w:t>Descentralizado para la prestación del servicio de Agua Potable, Alcantarillado y Saneamiento de Amecameca</w:t>
            </w:r>
            <w:r>
              <w:rPr>
                <w:rFonts w:ascii="Palatino Linotype" w:eastAsia="Palatino Linotype" w:hAnsi="Palatino Linotype" w:cs="Palatino Linotype"/>
                <w:b/>
                <w:sz w:val="18"/>
                <w:szCs w:val="18"/>
              </w:rPr>
              <w:t xml:space="preserve">, </w:t>
            </w:r>
            <w:r>
              <w:rPr>
                <w:rFonts w:ascii="Palatino Linotype" w:eastAsia="Palatino Linotype" w:hAnsi="Palatino Linotype" w:cs="Palatino Linotype"/>
                <w:sz w:val="18"/>
                <w:szCs w:val="18"/>
              </w:rPr>
              <w:t xml:space="preserve">indicó que la obra de Pozo Amecameca II cabecera Municipal, </w:t>
            </w:r>
            <w:r>
              <w:rPr>
                <w:rFonts w:ascii="Palatino Linotype" w:eastAsia="Palatino Linotype" w:hAnsi="Palatino Linotype" w:cs="Palatino Linotype"/>
                <w:b/>
                <w:sz w:val="18"/>
                <w:szCs w:val="18"/>
              </w:rPr>
              <w:t>fue realizada por la CONAGUA encargada del estudio, proyecto y ejecución de dicha obra</w:t>
            </w:r>
            <w:r>
              <w:rPr>
                <w:rFonts w:ascii="Palatino Linotype" w:eastAsia="Palatino Linotype" w:hAnsi="Palatino Linotype" w:cs="Palatino Linotype"/>
                <w:sz w:val="18"/>
                <w:szCs w:val="18"/>
              </w:rPr>
              <w:t xml:space="preserve">; </w:t>
            </w:r>
          </w:p>
          <w:p w:rsidR="005E1990" w:rsidRDefault="002917DA">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las obras de construcción de caja de agua en la cascada del Salto del Agua y cambio de 1000 metros lineales de la Red Hidráulica del ramal principal Salto del Agua y Calle Abasolo; no hay documentación ni evidencia de dichas obras por el organismo del agua de Amecameca, por lo tanto invitó a re direccionar su solicitud a la Dirección de Obras Públicas del Municipio de Amecameca y</w:t>
            </w:r>
          </w:p>
          <w:p w:rsidR="005E1990" w:rsidRDefault="002917DA">
            <w:pPr>
              <w:jc w:val="both"/>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 xml:space="preserve">Sobre la obra de cambio de red hidráulica y drenaje calle Ocampo con tubo “ped” ecológico, únicamente fue realizado el drenaje con tubería de 12´´ pad, anexando diversas fotografías. </w:t>
            </w:r>
          </w:p>
          <w:p w:rsidR="005E1990" w:rsidRDefault="005E1990">
            <w:pPr>
              <w:spacing w:after="240"/>
              <w:jc w:val="center"/>
              <w:rPr>
                <w:rFonts w:ascii="Palatino Linotype" w:eastAsia="Palatino Linotype" w:hAnsi="Palatino Linotype" w:cs="Palatino Linotype"/>
              </w:rPr>
            </w:pPr>
          </w:p>
        </w:tc>
        <w:tc>
          <w:tcPr>
            <w:tcW w:w="2596" w:type="dxa"/>
          </w:tcPr>
          <w:p w:rsidR="005E1990" w:rsidRDefault="002917DA">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rPr>
              <w:lastRenderedPageBreak/>
              <w:t>No</w:t>
            </w:r>
          </w:p>
          <w:p w:rsidR="005E1990" w:rsidRDefault="002917D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turno la solicitud a las áreas competentes.</w:t>
            </w:r>
          </w:p>
        </w:tc>
      </w:tr>
    </w:tbl>
    <w:p w:rsidR="005E1990" w:rsidRDefault="005E1990">
      <w:pPr>
        <w:spacing w:line="360" w:lineRule="auto"/>
        <w:jc w:val="both"/>
        <w:rPr>
          <w:rFonts w:ascii="Palatino Linotype" w:eastAsia="Palatino Linotype" w:hAnsi="Palatino Linotype" w:cs="Palatino Linotype"/>
        </w:rPr>
      </w:pPr>
    </w:p>
    <w:p w:rsidR="005E1990" w:rsidRDefault="002917DA">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lugar,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incumplió con  lo señalado por el artículo 162 de la Ley de Transparencia y Acceso a la Información Pública del Estado de México y Municipios, ya que, no se puede perder de vista que para otorgar respuesta a la solicitud inicial,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turnar la solicitud a las áreas en las que debe obrar la información de acuerdo a sus atribuciones, lo que no sucedió en el presente caso tal como se puede apreciar en el </w:t>
      </w:r>
      <w:r>
        <w:rPr>
          <w:rFonts w:ascii="Palatino Linotype" w:eastAsia="Palatino Linotype" w:hAnsi="Palatino Linotype" w:cs="Palatino Linotype"/>
        </w:rPr>
        <w:lastRenderedPageBreak/>
        <w:t xml:space="preserve">expediente electrónico, de conformidad con la fracción XXXIX del artículo tercero de la legislación local vigente en materia de transparencia, en donde señala que el Servidor Público Habilitado es el competente para apoyar, gestionar y entregar la información: </w:t>
      </w:r>
    </w:p>
    <w:p w:rsidR="005E1990" w:rsidRDefault="002917DA">
      <w:pPr>
        <w:spacing w:before="240" w:after="240"/>
        <w:ind w:left="709"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5E1990" w:rsidRDefault="002917D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En este orden de ideas, se advierte que efectivamente la Unidad de Transparencia no cumplió con lo expresado en el artículo 162 de la Ley </w:t>
      </w:r>
      <w:r>
        <w:rPr>
          <w:rFonts w:ascii="Palatino Linotype" w:eastAsia="Palatino Linotype" w:hAnsi="Palatino Linotype" w:cs="Palatino Linotype"/>
          <w:color w:val="000000"/>
        </w:rPr>
        <w:t>de Transparencia y Acceso a la Información Pública del Estado de México y Municipios, el cual menciona lo siguiente:</w:t>
      </w:r>
    </w:p>
    <w:p w:rsidR="005E1990" w:rsidRDefault="002917DA">
      <w:pPr>
        <w:shd w:val="clear" w:color="auto" w:fill="FFFFFF"/>
        <w:spacing w:after="240"/>
        <w:ind w:left="993" w:right="1041"/>
        <w:jc w:val="both"/>
        <w:rPr>
          <w:color w:val="222222"/>
        </w:rPr>
      </w:pPr>
      <w:r>
        <w:rPr>
          <w:rFonts w:ascii="Palatino Linotype" w:eastAsia="Palatino Linotype" w:hAnsi="Palatino Linotype" w:cs="Palatino Linotype"/>
          <w:b/>
          <w:i/>
          <w:color w:val="222222"/>
          <w:sz w:val="22"/>
          <w:szCs w:val="22"/>
        </w:rPr>
        <w:t>“Artículo 162.</w:t>
      </w:r>
      <w:r>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rsidR="005E1990" w:rsidRDefault="002917DA">
      <w:pPr>
        <w:shd w:val="clear" w:color="auto" w:fill="FFFFFF"/>
        <w:spacing w:before="240" w:line="360" w:lineRule="auto"/>
        <w:jc w:val="both"/>
        <w:rPr>
          <w:color w:val="222222"/>
        </w:rPr>
      </w:pPr>
      <w:r>
        <w:rPr>
          <w:rFonts w:ascii="Palatino Linotype" w:eastAsia="Palatino Linotype" w:hAnsi="Palatino Linotype" w:cs="Palatino Linotype"/>
          <w:color w:val="222222"/>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w:t>
      </w:r>
      <w:bookmarkStart w:id="2" w:name="bookmark=id.gjdgxs" w:colFirst="0" w:colLast="0"/>
      <w:bookmarkEnd w:id="2"/>
      <w:r>
        <w:rPr>
          <w:rFonts w:ascii="Palatino Linotype" w:eastAsia="Palatino Linotype" w:hAnsi="Palatino Linotype" w:cs="Palatino Linotype"/>
          <w:color w:val="222222"/>
        </w:rPr>
        <w:t>cción más amplia de éste derecho</w:t>
      </w:r>
      <w:r>
        <w:rPr>
          <w:rFonts w:ascii="Palatino Linotype" w:eastAsia="Palatino Linotype" w:hAnsi="Palatino Linotype" w:cs="Palatino Linotype"/>
          <w:color w:val="222222"/>
          <w:vertAlign w:val="superscript"/>
        </w:rPr>
        <w:footnoteReference w:id="1"/>
      </w:r>
      <w:r>
        <w:rPr>
          <w:rFonts w:ascii="Palatino Linotype" w:eastAsia="Palatino Linotype" w:hAnsi="Palatino Linotype" w:cs="Palatino Linotype"/>
          <w:color w:val="222222"/>
        </w:rPr>
        <w:t xml:space="preserve">, para ello la misma norma establece que los sujetos obligados deberán otorgar el acceso a los documentos que obren en sus archivos o que estén obligados a documentar de </w:t>
      </w:r>
      <w:r>
        <w:rPr>
          <w:rFonts w:ascii="Palatino Linotype" w:eastAsia="Palatino Linotype" w:hAnsi="Palatino Linotype" w:cs="Palatino Linotype"/>
          <w:color w:val="222222"/>
        </w:rPr>
        <w:lastRenderedPageBreak/>
        <w:t>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5E1990" w:rsidRDefault="005E1990">
      <w:pPr>
        <w:shd w:val="clear" w:color="auto" w:fill="FFFFFF"/>
        <w:ind w:left="993" w:right="1041"/>
        <w:jc w:val="both"/>
        <w:rPr>
          <w:rFonts w:ascii="Palatino Linotype" w:eastAsia="Palatino Linotype" w:hAnsi="Palatino Linotype" w:cs="Palatino Linotype"/>
          <w:b/>
          <w:i/>
          <w:color w:val="222222"/>
          <w:sz w:val="22"/>
          <w:szCs w:val="22"/>
        </w:rPr>
      </w:pPr>
    </w:p>
    <w:p w:rsidR="005E1990" w:rsidRDefault="002917DA">
      <w:pPr>
        <w:shd w:val="clear" w:color="auto" w:fill="FFFFFF"/>
        <w:ind w:left="993" w:right="1041"/>
        <w:jc w:val="both"/>
        <w:rPr>
          <w:color w:val="222222"/>
        </w:rPr>
      </w:pPr>
      <w:r>
        <w:rPr>
          <w:rFonts w:ascii="Palatino Linotype" w:eastAsia="Palatino Linotype" w:hAnsi="Palatino Linotype" w:cs="Palatino Linotype"/>
          <w:b/>
          <w:i/>
          <w:color w:val="222222"/>
          <w:sz w:val="22"/>
          <w:szCs w:val="22"/>
        </w:rPr>
        <w:t>“Artículo 160. </w:t>
      </w:r>
      <w:r>
        <w:rPr>
          <w:rFonts w:ascii="Palatino Linotype" w:eastAsia="Palatino Linotype" w:hAnsi="Palatino Linotype" w:cs="Palatino Linotype"/>
          <w:i/>
          <w:color w:val="222222"/>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5E1990" w:rsidRDefault="002917DA">
      <w:pPr>
        <w:shd w:val="clear" w:color="auto" w:fill="FFFFFF"/>
        <w:ind w:left="993" w:right="1041"/>
        <w:jc w:val="both"/>
        <w:rPr>
          <w:color w:val="222222"/>
        </w:rPr>
      </w:pPr>
      <w:r>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rsidR="005E1990" w:rsidRDefault="002917DA">
      <w:pPr>
        <w:shd w:val="clear" w:color="auto" w:fill="FFFFFF"/>
        <w:ind w:left="993" w:right="1041"/>
        <w:jc w:val="both"/>
        <w:rPr>
          <w:color w:val="222222"/>
        </w:rPr>
      </w:pPr>
      <w:r>
        <w:rPr>
          <w:rFonts w:ascii="Palatino Linotype" w:eastAsia="Palatino Linotype" w:hAnsi="Palatino Linotype" w:cs="Palatino Linotype"/>
          <w:b/>
          <w:i/>
          <w:color w:val="222222"/>
          <w:sz w:val="22"/>
          <w:szCs w:val="22"/>
        </w:rPr>
        <w:t>Artículo 163.</w:t>
      </w:r>
      <w:r>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rsidR="005E1990" w:rsidRDefault="002917DA">
      <w:pPr>
        <w:shd w:val="clear" w:color="auto" w:fill="FFFFFF"/>
        <w:ind w:left="993" w:right="1041"/>
        <w:jc w:val="both"/>
        <w:rPr>
          <w:color w:val="222222"/>
        </w:rPr>
      </w:pPr>
      <w:r>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5E1990" w:rsidRDefault="002917DA">
      <w:pPr>
        <w:shd w:val="clear" w:color="auto" w:fill="FFFFFF"/>
        <w:ind w:left="993" w:right="1041"/>
        <w:jc w:val="both"/>
        <w:rPr>
          <w:color w:val="222222"/>
        </w:rPr>
      </w:pPr>
      <w:r>
        <w:rPr>
          <w:rFonts w:ascii="Palatino Linotype" w:eastAsia="Palatino Linotype" w:hAnsi="Palatino Linotype" w:cs="Palatino Linotype"/>
          <w:b/>
          <w:i/>
          <w:color w:val="222222"/>
          <w:sz w:val="22"/>
          <w:szCs w:val="22"/>
        </w:rPr>
        <w:t>Artículo 165.</w:t>
      </w:r>
      <w:r>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rsidR="005E1990" w:rsidRDefault="002917DA">
      <w:pPr>
        <w:shd w:val="clear" w:color="auto" w:fill="FFFFFF"/>
        <w:ind w:left="993" w:right="1041"/>
        <w:jc w:val="both"/>
        <w:rPr>
          <w:color w:val="222222"/>
        </w:rPr>
      </w:pPr>
      <w:r>
        <w:rPr>
          <w:rFonts w:ascii="Palatino Linotype" w:eastAsia="Palatino Linotype" w:hAnsi="Palatino Linotype" w:cs="Palatino Linotype"/>
          <w:i/>
          <w:color w:val="222222"/>
          <w:sz w:val="22"/>
          <w:szCs w:val="22"/>
        </w:rPr>
        <w:t>La información que se entregue en versión pública, cuya modalidad de reproducción o envío tenga un costo, procederá una vez que se acredite el pago respectivo. No puede entenderse como reproducción la elaboración de la misma.</w:t>
      </w:r>
    </w:p>
    <w:p w:rsidR="005E1990" w:rsidRDefault="002917DA">
      <w:pPr>
        <w:shd w:val="clear" w:color="auto" w:fill="FFFFFF"/>
        <w:spacing w:after="240"/>
        <w:ind w:left="993" w:right="1041"/>
        <w:jc w:val="both"/>
        <w:rPr>
          <w:color w:val="222222"/>
        </w:rPr>
      </w:pPr>
      <w:r>
        <w:rPr>
          <w:rFonts w:ascii="Palatino Linotype" w:eastAsia="Palatino Linotype" w:hAnsi="Palatino Linotype" w:cs="Palatino Linotype"/>
          <w:i/>
          <w:color w:val="222222"/>
          <w:sz w:val="22"/>
          <w:szCs w:val="22"/>
        </w:rPr>
        <w:t>Ante la falta de respuesta a una solicitud en el plazo previsto y en caso de que proceda el acceso, los costos de reproducción y envío correrán a cargo del sujeto obligado.”(Sic)</w:t>
      </w:r>
    </w:p>
    <w:p w:rsidR="005E1990" w:rsidRDefault="002917DA">
      <w:pPr>
        <w:shd w:val="clear" w:color="auto" w:fill="FFFFFF"/>
        <w:spacing w:before="240" w:after="240" w:line="360" w:lineRule="auto"/>
        <w:jc w:val="both"/>
        <w:rPr>
          <w:color w:val="222222"/>
        </w:rPr>
      </w:pPr>
      <w:r>
        <w:rPr>
          <w:rFonts w:ascii="Palatino Linotype" w:eastAsia="Palatino Linotype" w:hAnsi="Palatino Linotype" w:cs="Palatino Linotype"/>
          <w:color w:val="222222"/>
        </w:rPr>
        <w:lastRenderedPageBreak/>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Pr>
          <w:rFonts w:ascii="Palatino Linotype" w:eastAsia="Palatino Linotype" w:hAnsi="Palatino Linotype" w:cs="Palatino Linotype"/>
          <w:color w:val="222222"/>
          <w:vertAlign w:val="superscript"/>
        </w:rPr>
        <w:footnoteReference w:id="2"/>
      </w:r>
      <w:r>
        <w:rPr>
          <w:rFonts w:ascii="Palatino Linotype" w:eastAsia="Palatino Linotype" w:hAnsi="Palatino Linotype" w:cs="Palatino Linotype"/>
          <w:color w:val="222222"/>
        </w:rPr>
        <w:t xml:space="preserve">, situación que no se advierte en el presente caso, toda vez que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rsidR="005E1990" w:rsidRDefault="002917DA">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222222"/>
        </w:rPr>
        <w:t xml:space="preserve">En mérito de lo anterior, se colige que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debió realizar una búsqueda exhaustiva y razonable de la información peticionada en todas las áreas competentes </w:t>
      </w:r>
      <w:r>
        <w:rPr>
          <w:rFonts w:ascii="Palatino Linotype" w:eastAsia="Palatino Linotype" w:hAnsi="Palatino Linotype" w:cs="Palatino Linotype"/>
        </w:rPr>
        <w:t>para que se pronunciaran respecto de la solicitud del particular.</w:t>
      </w:r>
    </w:p>
    <w:p w:rsidR="005E1990" w:rsidRDefault="002917DA">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segundo lugar, se advierte que la Contraloría Municipal tiene la atribución de vigilar los recursos federales y estatales que se apliquen y el de vigilar el cumplimiento de las obligaciones de proveedores y contratistas, de acuerdo a lo señalado por el artículo 112 de la Ley Orgánica Municipal del Estado de México, tiene las siguientes atribuciones:</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“Artículo 112. El órgano interno de control municipal, tendrá a su cargo las funciones siguientes: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I. Planear, programar, organizar y coordinar el sistema de control y evaluación municipal;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lastRenderedPageBreak/>
        <w:t xml:space="preserve">II. Fiscalizar el ingreso y ejercicio del gasto público municipal y su congruencia con el presupuesto de egresos;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III. Aplicar las normas y criterios en materia de control y evaluación; </w:t>
      </w:r>
    </w:p>
    <w:p w:rsidR="005E1990" w:rsidRDefault="002917DA">
      <w:pPr>
        <w:shd w:val="clear" w:color="auto" w:fill="FFFFFF"/>
        <w:ind w:left="993" w:right="1041"/>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u w:val="single"/>
        </w:rPr>
        <w:t>IV. Asesorar a los órganos de control interno de los organismos auxiliares y fideicomisos de la administración pública municipal</w:t>
      </w:r>
      <w:r>
        <w:rPr>
          <w:rFonts w:ascii="Palatino Linotype" w:eastAsia="Palatino Linotype" w:hAnsi="Palatino Linotype" w:cs="Palatino Linotype"/>
          <w:b/>
          <w:i/>
          <w:color w:val="222222"/>
          <w:sz w:val="22"/>
          <w:szCs w:val="22"/>
        </w:rPr>
        <w:t xml:space="preserve">; </w:t>
      </w:r>
    </w:p>
    <w:p w:rsidR="005E1990" w:rsidRDefault="002917DA">
      <w:pPr>
        <w:shd w:val="clear" w:color="auto" w:fill="FFFFFF"/>
        <w:ind w:left="993" w:right="1041"/>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 xml:space="preserve">V. Establecer las bases generales para la realización de auditorías e inspecciones;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VI. Vigilar que los recursos federales y estatales asignados a los ayuntamientos se apliquen en los términos estipulados en las leyes, los reglamentos y los convenios respectivos;</w:t>
      </w:r>
      <w:r>
        <w:rPr>
          <w:rFonts w:ascii="Palatino Linotype" w:eastAsia="Palatino Linotype" w:hAnsi="Palatino Linotype" w:cs="Palatino Linotype"/>
          <w:i/>
          <w:color w:val="222222"/>
          <w:sz w:val="22"/>
          <w:szCs w:val="22"/>
        </w:rPr>
        <w:t xml:space="preserve"> </w:t>
      </w:r>
    </w:p>
    <w:p w:rsidR="005E1990" w:rsidRDefault="002917DA">
      <w:pPr>
        <w:shd w:val="clear" w:color="auto" w:fill="FFFFFF"/>
        <w:ind w:left="993" w:right="1041"/>
        <w:jc w:val="both"/>
        <w:rPr>
          <w:rFonts w:ascii="Palatino Linotype" w:eastAsia="Palatino Linotype" w:hAnsi="Palatino Linotype" w:cs="Palatino Linotype"/>
          <w:b/>
          <w:i/>
          <w:color w:val="222222"/>
          <w:sz w:val="22"/>
          <w:szCs w:val="22"/>
        </w:rPr>
      </w:pPr>
      <w:r>
        <w:rPr>
          <w:rFonts w:ascii="Palatino Linotype" w:eastAsia="Palatino Linotype" w:hAnsi="Palatino Linotype" w:cs="Palatino Linotype"/>
          <w:b/>
          <w:i/>
          <w:color w:val="222222"/>
          <w:sz w:val="22"/>
          <w:szCs w:val="22"/>
        </w:rPr>
        <w:t xml:space="preserve">VII. Vigilar el cumplimiento de las obligaciones de proveedores y contratistas de la administración pública municipal;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VIII. Coordinarse con el Órgano Superior de Fiscalización del Estado de México y la Contraloría del Poder Legislativo y con la Secretaría de la Contraloría del Estado para el cumplimiento de sus funciones;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IX. Designar a los auditores externos y proponer al ayuntamiento, en su caso, a los Comisarios de los Organismos Auxiliares;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X. Establecer y operar un sistema de atención de quejas, denuncias y sugerencias;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XI. Realizar auditorías y evaluaciones e informar del resultado de las mismas al ayuntamiento</w:t>
      </w:r>
      <w:r>
        <w:rPr>
          <w:rFonts w:ascii="Palatino Linotype" w:eastAsia="Palatino Linotype" w:hAnsi="Palatino Linotype" w:cs="Palatino Linotype"/>
          <w:i/>
          <w:color w:val="222222"/>
          <w:sz w:val="22"/>
          <w:szCs w:val="22"/>
        </w:rPr>
        <w:t xml:space="preserve">;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XII. Participar en la entrega-recepción de las unidades administrativas de las dependencias, organismos auxiliares y fideicomisos del municipio;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XIII. Dictaminar los estados financieros de la tesorería municipal y verificar que se remitan los informes correspondientes al Órgano Superior de Fiscalización del Estado de México;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XIV. Vigilar que los ingresos municipales se enteren a la tesorería municipal conforme a los procedimientos contables y disposiciones legales aplicables;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XV. Participar en la elaboración y actualización del inventario general de los bienes muebles e inmuebles propiedad del municipio, que expresará las características de identificación y destino de los mismos;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XVI. Verificar que los servidores públicos municipales cumplan con la obligación de presentar oportunamente la manifestación de bienes, en términos de la Ley de Responsabilidades de los Servidores Públicos del Estado y Municipios;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w:t>
      </w:r>
      <w:r>
        <w:rPr>
          <w:rFonts w:ascii="Palatino Linotype" w:eastAsia="Palatino Linotype" w:hAnsi="Palatino Linotype" w:cs="Palatino Linotype"/>
          <w:i/>
          <w:color w:val="222222"/>
          <w:sz w:val="22"/>
          <w:szCs w:val="22"/>
        </w:rPr>
        <w:lastRenderedPageBreak/>
        <w:t xml:space="preserve">así sea solicitado por el Órgano Superior, en los plazos y términos que le sean indicados por éste;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XVIII. Supervisar el cumplimiento de los acuerdos tomados por el Consejo Municipal de Seguridad Pública;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XIX. Vigilar el cumplimiento de los programas y acciones para la prevención, atención y en su caso, el pago de las responsabilidades económicas de los Ayuntamientos por los conflictos laborales; y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XX. Las demás que le señalen las disposiciones relativas.” (Sic)</w:t>
      </w:r>
    </w:p>
    <w:p w:rsidR="005E1990" w:rsidRDefault="002917DA">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que se robustece con lo señalado por el artículo 22 del Reglamento Interno Organismo Público Descentralizado para la Prestación de servicios de Agua Potable, Alcantarillado y Saneamiento del Municipio de Amecameca 2019-2021, en el que se advierte que también cuenta con una contraloría, que señala lo siguiente:</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“DE LAS ATRIBUCIONES DE LA CONTRALORIA INTERNA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Artículo 22.- La Contraloría interna es la unidad responsable de llevar a cabo la inspección, vigilancia y fiscalización de las funciones que se desarrollan en las diferentes áreas del Organismo, así como promover la eficiencia y eficacia en el manejo de los recursos, a través del desarrollo de Programas de Auditorias y revisiones sistemáticas de los controles internos fomentando y coadyuvando en el cumplimiento de los objetivos del Organismo en apego a la normatividad aplicable. Estará a cargo de un titular cuyo puesto se denominará “Contralor Interno” y contará con las siguientes atribuciones y funciones genéricas relativas a su cargo</w:t>
      </w:r>
      <w:r>
        <w:rPr>
          <w:rFonts w:ascii="Palatino Linotype" w:eastAsia="Palatino Linotype" w:hAnsi="Palatino Linotype" w:cs="Palatino Linotype"/>
          <w:i/>
          <w:color w:val="222222"/>
          <w:sz w:val="22"/>
          <w:szCs w:val="22"/>
        </w:rPr>
        <w:t xml:space="preserve">: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I. Vigilar el cumplimiento de los programas y subprogramas de las unidades administrativas del Organismo y elaborar los reportes correspondientes;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 xml:space="preserve">II. Realizar revisiones administrativas, contables, operacionales, técnicas y jurídicas a las unidades administrativas del Organismo, tendientes a verificar el cumplimiento de las normas y disposiciones relacionadas con los sistemas de registro, contabilidad, contratación y pago de personal, contratación de servicios, </w:t>
      </w:r>
      <w:r>
        <w:rPr>
          <w:rFonts w:ascii="Palatino Linotype" w:eastAsia="Palatino Linotype" w:hAnsi="Palatino Linotype" w:cs="Palatino Linotype"/>
          <w:b/>
          <w:i/>
          <w:color w:val="222222"/>
          <w:sz w:val="22"/>
          <w:szCs w:val="22"/>
          <w:u w:val="single"/>
        </w:rPr>
        <w:t>obra pública</w:t>
      </w:r>
      <w:r>
        <w:rPr>
          <w:rFonts w:ascii="Palatino Linotype" w:eastAsia="Palatino Linotype" w:hAnsi="Palatino Linotype" w:cs="Palatino Linotype"/>
          <w:b/>
          <w:i/>
          <w:color w:val="222222"/>
          <w:sz w:val="22"/>
          <w:szCs w:val="22"/>
        </w:rPr>
        <w:t>, adquisiciones, arrendamiento, conservación, uso, destino, afectación, enajenación y baja de bienes y demás activos del patrimonio del Organismo</w:t>
      </w:r>
      <w:r>
        <w:rPr>
          <w:rFonts w:ascii="Palatino Linotype" w:eastAsia="Palatino Linotype" w:hAnsi="Palatino Linotype" w:cs="Palatino Linotype"/>
          <w:i/>
          <w:color w:val="222222"/>
          <w:sz w:val="22"/>
          <w:szCs w:val="22"/>
        </w:rPr>
        <w:t xml:space="preserve">;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lastRenderedPageBreak/>
        <w:t xml:space="preserve">III. Verificar el adecuado ejercicio del presupuesto del Organismo, atendiendo los principios de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IV. racionalidad, austeridad y disciplina presupuestaria que establece la normatividad en la materia;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V. Participar en los procesos de entrega y recepción de las unidades administrativas del Organismo, verificando su apego a la normatividad correspondiente;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VI. Recibir, tramitar y dar seguimiento a las quejas y denuncias que se interpongan en contra de los servidores públicos del Organismo, en términos de la ley en la materia;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VII. Verificar la presentación oportuna de las declaraciones de situación patrimonial de los servidores públicos del Organismo;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VIII. Informar a la Secretaría de la Contraloría sobre el resultado de las acciones o funciones que le encomiende;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IX. Difundir entre el personal del Organismo las disposiciones en materia de control que incidan en el desarrollo de sus labores;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X. Promover el control preventivo en el desarrollo de los programas y proyectos del Organismo;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XI. Participar en la identificación de áreas de oportunidad y proponer, en su caso, acciones de mejora que contribuyan al cumplimiento de las metas y objetivos del Organismo; y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XII. Las de más que le señalen otros ordenamientos aplicables y las que le encomiende el Director General” (Sic)</w:t>
      </w:r>
    </w:p>
    <w:p w:rsidR="005E1990" w:rsidRDefault="005E1990">
      <w:pPr>
        <w:shd w:val="clear" w:color="auto" w:fill="FFFFFF"/>
        <w:ind w:left="993" w:right="1041"/>
        <w:jc w:val="both"/>
        <w:rPr>
          <w:rFonts w:ascii="Palatino Linotype" w:eastAsia="Palatino Linotype" w:hAnsi="Palatino Linotype" w:cs="Palatino Linotype"/>
          <w:i/>
          <w:color w:val="222222"/>
          <w:sz w:val="22"/>
          <w:szCs w:val="22"/>
        </w:rPr>
      </w:pPr>
    </w:p>
    <w:p w:rsidR="005E1990" w:rsidRDefault="002917DA">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es pertinente señalar que la solicitante, no es una experta en materia de derecho de acceso a la información pública y conocedora de todas las áreas que conforman al </w:t>
      </w:r>
      <w:r>
        <w:rPr>
          <w:rFonts w:ascii="Palatino Linotype" w:eastAsia="Palatino Linotype" w:hAnsi="Palatino Linotype" w:cs="Palatino Linotype"/>
          <w:b/>
        </w:rPr>
        <w:t>SUJETO OBLIGADO</w:t>
      </w:r>
      <w:r>
        <w:rPr>
          <w:rFonts w:ascii="Palatino Linotype" w:eastAsia="Palatino Linotype" w:hAnsi="Palatino Linotype" w:cs="Palatino Linotype"/>
        </w:rPr>
        <w:t>; por consiguiente, se aplica la suplencia de la queja señalada en los artículos 13</w:t>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rPr>
        <w:t>y 181, párrafo cuarto</w:t>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rPr>
        <w:t xml:space="preserve">de la Ley de Transparencia y Acceso a la Información Pública de la entidad, a favor de la solicitante, determinando que se deberá turnar la solicitud a la Contraloría Municipal,  Contraloría Interna del Organismo Público Descentralizado para la Prestación de servicios de Agua Potable, Alcantarillado y Saneamiento del Municipio de Amecameca y al quinto regidor del Ayuntamiento de Amecameca </w:t>
      </w:r>
      <w:r>
        <w:rPr>
          <w:rFonts w:ascii="Palatino Linotype" w:eastAsia="Palatino Linotype" w:hAnsi="Palatino Linotype" w:cs="Palatino Linotype"/>
        </w:rPr>
        <w:lastRenderedPageBreak/>
        <w:t>para la administración pública 2019-2021, ya que a esté le correspondió la comisión de Obra Pública, Desarrollo Urbano, Alumbrado Público, Agua y Alcantarillado, conforme a lo señalado por los bandos municipales para la administración 2019-2021, artículos 28 y 31, respectivamente que señalan:</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“ARTÍCULO 31. </w:t>
      </w:r>
      <w:r>
        <w:rPr>
          <w:rFonts w:ascii="Palatino Linotype" w:eastAsia="Palatino Linotype" w:hAnsi="Palatino Linotype" w:cs="Palatino Linotype"/>
          <w:b/>
          <w:i/>
          <w:color w:val="222222"/>
          <w:sz w:val="22"/>
          <w:szCs w:val="22"/>
        </w:rPr>
        <w:t xml:space="preserve">Para el estudio, examen y resolución de los asuntos municipales, así como el buen desempeño del servicio público, el Ayuntamiento funcionará en </w:t>
      </w:r>
      <w:r>
        <w:rPr>
          <w:rFonts w:ascii="Palatino Linotype" w:eastAsia="Palatino Linotype" w:hAnsi="Palatino Linotype" w:cs="Palatino Linotype"/>
          <w:b/>
          <w:i/>
          <w:color w:val="222222"/>
          <w:sz w:val="22"/>
          <w:szCs w:val="22"/>
          <w:u w:val="single"/>
        </w:rPr>
        <w:t>comisiones permanentes</w:t>
      </w:r>
      <w:r>
        <w:rPr>
          <w:rFonts w:ascii="Palatino Linotype" w:eastAsia="Palatino Linotype" w:hAnsi="Palatino Linotype" w:cs="Palatino Linotype"/>
          <w:i/>
          <w:color w:val="222222"/>
          <w:sz w:val="22"/>
          <w:szCs w:val="22"/>
        </w:rPr>
        <w:t xml:space="preserve"> y transitorias. Las comisiones del Ayuntamiento serán responsables de estudiar, examinar y proponer a éste los acuerdos, acciones o normas tendientes a mejorar la administración pública municipal, así como de vigilar e informar sobre los asuntos a su cargo y sobre el cumplimiento de las disposiciones y acuerdos que dicte el cabildo.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I. Comisiones Permanentes se asignan de la siguiente manera:</w:t>
      </w:r>
      <w:r>
        <w:rPr>
          <w:rFonts w:ascii="Palatino Linotype" w:eastAsia="Palatino Linotype" w:hAnsi="Palatino Linotype" w:cs="Palatino Linotype"/>
          <w:i/>
          <w:color w:val="222222"/>
          <w:sz w:val="22"/>
          <w:szCs w:val="22"/>
        </w:rPr>
        <w:t xml:space="preserve"> Presidente Municipal: Gobernación, Seguridad Pública y Tránsito, Protección Civil y Planeación para el Desarrollo.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Síndico Municipal: Hacienda. Primer Regidor: Central de Abastos, Comercio y Rastros.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Segundo Regidor: Protección e Inclusión a Personas con Discapacidad, Movilidad y Participación Ciudadana.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Tercer Regidor: Turismo, Deporte, Cultura y Recreación.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Cuarto Regidor: Educación Pública, Revisión y Actualización de la Reglamentación Municipal.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Quinto Regidor: Obra Pública, Desarrollo Urbano, Alumbrado Público, Agua y Alcantarillado.</w:t>
      </w:r>
      <w:r>
        <w:rPr>
          <w:rFonts w:ascii="Palatino Linotype" w:eastAsia="Palatino Linotype" w:hAnsi="Palatino Linotype" w:cs="Palatino Linotype"/>
          <w:i/>
          <w:color w:val="222222"/>
          <w:sz w:val="22"/>
          <w:szCs w:val="22"/>
        </w:rPr>
        <w:t xml:space="preserve">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Sexto Regidor: Desarrollo Social, Atención al Adulto Mayor, Parques y Jardines, Panteones, Empleo y Atención a la No Violencia de la Mujer. Séptimo Regidor: Ecología, Fomento Agropecuario y Forestal.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Octavo Regidor: Asuntos Indígenas, Asuntos Internacionales, Apoyo al Migrante y Prevención Social a la Delincuencia.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Noveno Regidor: Derechos Humanos, Transparencia y Acceso a la Información Pública y Protección a los Datos Personales.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Décimo Regidor: Salud Pública y Población. </w:t>
      </w: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II. Comisiones Transitorias: Las cuales serán creadas para la atención de problemas especiales o situaciones emergentes o eventuales de diferente índole </w:t>
      </w:r>
      <w:r>
        <w:rPr>
          <w:rFonts w:ascii="Palatino Linotype" w:eastAsia="Palatino Linotype" w:hAnsi="Palatino Linotype" w:cs="Palatino Linotype"/>
          <w:i/>
          <w:color w:val="222222"/>
          <w:sz w:val="22"/>
          <w:szCs w:val="22"/>
        </w:rPr>
        <w:lastRenderedPageBreak/>
        <w:t>y quedarán integradas por los miembros que determine el Ayuntamiento, coordinadas por el responsable del área competente.” (Sic)</w:t>
      </w:r>
    </w:p>
    <w:p w:rsidR="005E1990" w:rsidRDefault="005E1990">
      <w:pPr>
        <w:spacing w:line="360" w:lineRule="auto"/>
        <w:ind w:right="-93"/>
        <w:jc w:val="both"/>
        <w:rPr>
          <w:rFonts w:ascii="Palatino Linotype" w:eastAsia="Palatino Linotype" w:hAnsi="Palatino Linotype" w:cs="Palatino Linotype"/>
        </w:rPr>
      </w:pPr>
    </w:p>
    <w:p w:rsidR="005E1990" w:rsidRDefault="002917DA">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Y que de acuerdo a lo señalado por el artículo 66 de la Ley Orgánica Municipal del Estado de México, las Comisiones tienen las siguientes atribuciones:</w:t>
      </w:r>
    </w:p>
    <w:p w:rsidR="005E1990" w:rsidRDefault="005E1990">
      <w:pPr>
        <w:spacing w:line="360" w:lineRule="auto"/>
        <w:ind w:right="-93"/>
        <w:jc w:val="both"/>
        <w:rPr>
          <w:rFonts w:ascii="Palatino Linotype" w:eastAsia="Palatino Linotype" w:hAnsi="Palatino Linotype" w:cs="Palatino Linotype"/>
        </w:rPr>
      </w:pPr>
    </w:p>
    <w:p w:rsidR="005E1990" w:rsidRDefault="002917DA">
      <w:pPr>
        <w:shd w:val="clear" w:color="auto" w:fill="FFFFFF"/>
        <w:ind w:left="993" w:right="1041"/>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“Artículo 66. </w:t>
      </w:r>
      <w:r>
        <w:rPr>
          <w:rFonts w:ascii="Palatino Linotype" w:eastAsia="Palatino Linotype" w:hAnsi="Palatino Linotype" w:cs="Palatino Linotype"/>
          <w:b/>
          <w:i/>
          <w:color w:val="222222"/>
          <w:sz w:val="22"/>
          <w:szCs w:val="22"/>
        </w:rPr>
        <w:t>Las comisiones del ayuntamiento serán responsables de</w:t>
      </w:r>
      <w:r>
        <w:rPr>
          <w:rFonts w:ascii="Palatino Linotype" w:eastAsia="Palatino Linotype" w:hAnsi="Palatino Linotype" w:cs="Palatino Linotype"/>
          <w:i/>
          <w:color w:val="222222"/>
          <w:sz w:val="22"/>
          <w:szCs w:val="22"/>
        </w:rPr>
        <w:t xml:space="preserve"> estudiar, examinar y proponer a éste los acuerdos, acciones o normas tendientes a mejorar la administración pública municipal, la solución de los litigios laborales en su contra, así como de </w:t>
      </w:r>
      <w:r>
        <w:rPr>
          <w:rFonts w:ascii="Palatino Linotype" w:eastAsia="Palatino Linotype" w:hAnsi="Palatino Linotype" w:cs="Palatino Linotype"/>
          <w:b/>
          <w:i/>
          <w:color w:val="222222"/>
          <w:sz w:val="22"/>
          <w:szCs w:val="22"/>
        </w:rPr>
        <w:t>vigilar</w:t>
      </w:r>
      <w:r>
        <w:rPr>
          <w:rFonts w:ascii="Palatino Linotype" w:eastAsia="Palatino Linotype" w:hAnsi="Palatino Linotype" w:cs="Palatino Linotype"/>
          <w:i/>
          <w:color w:val="222222"/>
          <w:sz w:val="22"/>
          <w:szCs w:val="22"/>
        </w:rPr>
        <w:t xml:space="preserve"> e informar </w:t>
      </w:r>
      <w:r>
        <w:rPr>
          <w:rFonts w:ascii="Palatino Linotype" w:eastAsia="Palatino Linotype" w:hAnsi="Palatino Linotype" w:cs="Palatino Linotype"/>
          <w:b/>
          <w:i/>
          <w:color w:val="222222"/>
          <w:sz w:val="22"/>
          <w:szCs w:val="22"/>
        </w:rPr>
        <w:t>sobre los asuntos a su cargo</w:t>
      </w:r>
      <w:r>
        <w:rPr>
          <w:rFonts w:ascii="Palatino Linotype" w:eastAsia="Palatino Linotype" w:hAnsi="Palatino Linotype" w:cs="Palatino Linotype"/>
          <w:i/>
          <w:color w:val="222222"/>
          <w:sz w:val="22"/>
          <w:szCs w:val="22"/>
        </w:rPr>
        <w:t xml:space="preserve"> y sobre el cumplimiento de las disposiciones y acuerdos que dicte el cabildo. Las comisiones, deberán entregar al ayuntamiento, en sesión ordinaria, un informe trimestral que permita conocer y transparentar el desarrollo de sus actividades, trabajo y gestiones realizadas.” (Sic)</w:t>
      </w:r>
    </w:p>
    <w:p w:rsidR="005E1990" w:rsidRDefault="005E1990">
      <w:pPr>
        <w:spacing w:line="360" w:lineRule="auto"/>
        <w:ind w:right="-93"/>
        <w:jc w:val="both"/>
        <w:rPr>
          <w:rFonts w:ascii="Palatino Linotype" w:eastAsia="Palatino Linotype" w:hAnsi="Palatino Linotype" w:cs="Palatino Linotype"/>
        </w:rPr>
      </w:pPr>
    </w:p>
    <w:p w:rsidR="005E1990" w:rsidRDefault="002917DA">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respecto de las obras que indica el particular en su solicitud de acceso a la información, si bien es cierto que el Director General del Organismo Descentralizado para la prestación del servicio de Agua Potable, Alcantarillado y Saneamiento de Amecameca, señaló que el realizó únicamente la obra de cambio de red hidráulica y drenaje calle Ocampo con tubo “ped” ecológico, únicamente fue realizado el drenaje con tubería de 12´´ pad, no así  las obras del Pozo Amecameca II cabecera Municipal, ya que fue realizada por la CONAGUA encargada del estudio, proyecto y ejecución de dicha obra, y sobre las obras de construcción de caja de agua en la cascada del Salto del Agua y cambio de 1000 metros lineales de la Red Hidráulica del ramal principal Salto del Agua y Calle Abasolo; no hay documentación ni evidencia de dichas obras por el organismo del agua de Amecameca, por lo tanto invitó a re direccionar su solicitud a la Dirección de Obras </w:t>
      </w:r>
      <w:r>
        <w:rPr>
          <w:rFonts w:ascii="Palatino Linotype" w:eastAsia="Palatino Linotype" w:hAnsi="Palatino Linotype" w:cs="Palatino Linotype"/>
        </w:rPr>
        <w:lastRenderedPageBreak/>
        <w:t xml:space="preserve">Públicas del Municipio de Amecameca, por lo que deberá turnar de igual forma la solicitud a la Dirección de Obras del Ayuntamiento de Amecameca. </w:t>
      </w:r>
    </w:p>
    <w:p w:rsidR="005E1990" w:rsidRDefault="005E1990">
      <w:pPr>
        <w:spacing w:line="360" w:lineRule="auto"/>
        <w:ind w:right="-93"/>
        <w:jc w:val="both"/>
        <w:rPr>
          <w:rFonts w:ascii="Palatino Linotype" w:eastAsia="Palatino Linotype" w:hAnsi="Palatino Linotype" w:cs="Palatino Linotype"/>
        </w:rPr>
      </w:pPr>
    </w:p>
    <w:p w:rsidR="005E1990" w:rsidRDefault="002917D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realice una búsqueda exhaustiva y razonable de la información solicitada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y entregarla en versión pública de ser procedente en términos del considerando quinto del presente fallo. </w:t>
      </w:r>
    </w:p>
    <w:p w:rsidR="005E1990" w:rsidRDefault="005E1990">
      <w:pPr>
        <w:spacing w:line="360" w:lineRule="auto"/>
        <w:ind w:right="49"/>
        <w:jc w:val="both"/>
        <w:rPr>
          <w:rFonts w:ascii="Palatino Linotype" w:eastAsia="Palatino Linotype" w:hAnsi="Palatino Linotype" w:cs="Palatino Linotype"/>
        </w:rPr>
      </w:pPr>
    </w:p>
    <w:p w:rsidR="005E1990" w:rsidRDefault="002917D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No pasa desapercibido, que si bien el Director General del Organismo Descentralizado para la prestación del servicio de Agua Potable, Alcantarillado y Saneamiento de Amecameca, señaló respecto de la obra Pozo Amecameca II cabecera Municipal, fue realizada por la CONAGUA (Comisión Nacional del Agua), encargada del estudio, proyecto y ejecución de dicha obra, lo cierto es que la solicitud no se turnó a la Dirección de Obras Públicas del Ayuntamiento Amecameca, para que se pronunciara al respecto, generando con ello una incertidumbre, es decir no se tiene certeza si en dicha obra haya participado o no el Ayuntamiento de Amecameca, ya que como lo dice el nombre de la obra se trata de Amecameca y pudo haber participado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ello, derivado de la búsqueda exhaustiva que se ordena no se encontrará la información, en razón de que dicha obra la realizó efectivamente la Comisión Nacional del Agua, el </w:t>
      </w:r>
      <w:r>
        <w:rPr>
          <w:rFonts w:ascii="Palatino Linotype" w:eastAsia="Palatino Linotype" w:hAnsi="Palatino Linotype" w:cs="Palatino Linotype"/>
          <w:b/>
        </w:rPr>
        <w:t>SUJETO OBLIGADO</w:t>
      </w:r>
      <w:r>
        <w:rPr>
          <w:rFonts w:ascii="Palatino Linotype" w:eastAsia="Palatino Linotype" w:hAnsi="Palatino Linotype" w:cs="Palatino Linotype"/>
        </w:rPr>
        <w:t>, deberá emitir el acuerdo de incompetencia a través de su Comité de Transparencia.</w:t>
      </w:r>
    </w:p>
    <w:p w:rsidR="005A00EB" w:rsidRDefault="005A00EB">
      <w:pPr>
        <w:spacing w:line="360" w:lineRule="auto"/>
        <w:ind w:right="49"/>
        <w:jc w:val="both"/>
        <w:rPr>
          <w:rFonts w:ascii="Palatino Linotype" w:eastAsia="Palatino Linotype" w:hAnsi="Palatino Linotype" w:cs="Palatino Linotype"/>
        </w:rPr>
      </w:pPr>
    </w:p>
    <w:p w:rsidR="005A00EB" w:rsidRDefault="005A00EB" w:rsidP="005A00EB">
      <w:pPr>
        <w:spacing w:line="360" w:lineRule="auto"/>
        <w:jc w:val="both"/>
        <w:rPr>
          <w:rFonts w:ascii="Palatino Linotype" w:hAnsi="Palatino Linotype" w:cs="Tahoma"/>
        </w:rPr>
      </w:pPr>
      <w:r>
        <w:rPr>
          <w:rFonts w:ascii="Palatino Linotype" w:eastAsia="Palatino Linotype" w:hAnsi="Palatino Linotype" w:cs="Palatino Linotype"/>
        </w:rPr>
        <w:lastRenderedPageBreak/>
        <w:t xml:space="preserve">Lo anterior es así, en razón </w:t>
      </w:r>
      <w:r w:rsidRPr="00BD5F90">
        <w:rPr>
          <w:rFonts w:ascii="Palatino Linotype" w:eastAsia="Calibri" w:hAnsi="Palatino Linotype" w:cs="Tahoma"/>
          <w:bCs/>
          <w:lang w:eastAsia="en-US"/>
        </w:rPr>
        <w:t xml:space="preserve">del </w:t>
      </w:r>
      <w:r w:rsidRPr="00BD5F90">
        <w:rPr>
          <w:rFonts w:ascii="Palatino Linotype" w:hAnsi="Palatino Linotype" w:cs="Tahoma"/>
        </w:rPr>
        <w:t xml:space="preserve">Padrón de Sujetos Obligados del Ámbito Federal, en términos de la Ley General de Transparencia y Acceso a la Información Pública, de veintiséis de mayo de dos mil veinte, en la liga </w:t>
      </w:r>
      <w:hyperlink r:id="rId14" w:history="1">
        <w:r w:rsidRPr="00BD5F90">
          <w:rPr>
            <w:rStyle w:val="Hipervnculo"/>
            <w:rFonts w:ascii="Palatino Linotype" w:hAnsi="Palatino Linotype" w:cs="Tahoma"/>
          </w:rPr>
          <w:t>https://www.fonacot.gob.mx/TransparenciaRendicionCuentas/Documents/Normatividad%20en%20Transparencia/Padron_Sujetos_Obligados%20INAI.pdf</w:t>
        </w:r>
      </w:hyperlink>
      <w:r>
        <w:rPr>
          <w:rFonts w:ascii="Palatino Linotype" w:hAnsi="Palatino Linotype" w:cs="Tahoma"/>
        </w:rPr>
        <w:t>), se advierte la Comisión Nacional del Agua, es un Sujeto Obligado diverso, como se observa en la siguiente imagen que se insertan a continuación de manera ilustrativa:</w:t>
      </w:r>
    </w:p>
    <w:p w:rsidR="005A00EB" w:rsidRDefault="005A00EB" w:rsidP="005A00EB">
      <w:pPr>
        <w:spacing w:line="360" w:lineRule="auto"/>
        <w:ind w:right="49"/>
        <w:jc w:val="both"/>
        <w:rPr>
          <w:noProof/>
          <w:lang w:val="es-MX" w:eastAsia="es-MX"/>
        </w:rPr>
      </w:pPr>
    </w:p>
    <w:p w:rsidR="005A00EB" w:rsidRDefault="005A00EB" w:rsidP="005A00EB">
      <w:pPr>
        <w:spacing w:line="360" w:lineRule="auto"/>
        <w:ind w:right="49"/>
        <w:jc w:val="both"/>
        <w:rPr>
          <w:rFonts w:ascii="Palatino Linotype" w:eastAsia="Calibri" w:hAnsi="Palatino Linotype"/>
          <w:lang w:val="es-ES_tradnl"/>
        </w:rPr>
      </w:pPr>
      <w:r>
        <w:rPr>
          <w:noProof/>
          <w:lang w:val="es-MX" w:eastAsia="es-MX"/>
        </w:rPr>
        <w:drawing>
          <wp:inline distT="0" distB="0" distL="0" distR="0" wp14:anchorId="75279D63" wp14:editId="0DD0BE88">
            <wp:extent cx="5693410" cy="90318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793" t="44430" r="25220" b="39212"/>
                    <a:stretch/>
                  </pic:blipFill>
                  <pic:spPr bwMode="auto">
                    <a:xfrm>
                      <a:off x="0" y="0"/>
                      <a:ext cx="5721960" cy="907709"/>
                    </a:xfrm>
                    <a:prstGeom prst="rect">
                      <a:avLst/>
                    </a:prstGeom>
                    <a:ln>
                      <a:noFill/>
                    </a:ln>
                    <a:extLst>
                      <a:ext uri="{53640926-AAD7-44D8-BBD7-CCE9431645EC}">
                        <a14:shadowObscured xmlns:a14="http://schemas.microsoft.com/office/drawing/2010/main"/>
                      </a:ext>
                    </a:extLst>
                  </pic:spPr>
                </pic:pic>
              </a:graphicData>
            </a:graphic>
          </wp:inline>
        </w:drawing>
      </w:r>
    </w:p>
    <w:p w:rsidR="005A00EB" w:rsidRDefault="005A00EB">
      <w:pPr>
        <w:spacing w:line="360" w:lineRule="auto"/>
        <w:ind w:right="49"/>
        <w:jc w:val="both"/>
        <w:rPr>
          <w:rFonts w:ascii="Palatino Linotype" w:eastAsia="Palatino Linotype" w:hAnsi="Palatino Linotype" w:cs="Palatino Linotype"/>
        </w:rPr>
      </w:pPr>
    </w:p>
    <w:p w:rsidR="005E1990" w:rsidRDefault="002917D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Respecto de la incompetencia,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deberá observar lo señalado por el artículo 167 y 149 de la Ley de la Materia, que indican:</w:t>
      </w:r>
    </w:p>
    <w:p w:rsidR="005E1990" w:rsidRDefault="002917DA">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rsidR="005E1990" w:rsidRDefault="002917D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rsidR="005E1990" w:rsidRDefault="002917D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transcurrido el plazo señalado en el primer párrafo de este artículo, el sujeto obligado no declina la competencia en los términos establecidos, podrá canalizar la solicitud ante el sujeto obligado competente.” (Sic)</w:t>
      </w:r>
    </w:p>
    <w:p w:rsidR="005E1990" w:rsidRDefault="002917DA">
      <w:pPr>
        <w:ind w:left="567"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w:t>
      </w:r>
    </w:p>
    <w:p w:rsidR="005E1990" w:rsidRDefault="002917D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rsidR="005E1990" w:rsidRDefault="002917D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I. </w:t>
      </w:r>
      <w:r>
        <w:rPr>
          <w:rFonts w:ascii="Palatino Linotype" w:eastAsia="Palatino Linotype" w:hAnsi="Palatino Linotype" w:cs="Palatino Linotype"/>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rsidR="005E1990" w:rsidRDefault="002917DA">
      <w:pPr>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II. Confirmar, modificar o revocar las determinaciones que, en materia</w:t>
      </w:r>
      <w:r>
        <w:rPr>
          <w:rFonts w:ascii="Palatino Linotype" w:eastAsia="Palatino Linotype" w:hAnsi="Palatino Linotype" w:cs="Palatino Linotype"/>
          <w:i/>
          <w:sz w:val="22"/>
          <w:szCs w:val="22"/>
        </w:rPr>
        <w:t xml:space="preserve"> de ampliación del plazo de respuesta, clasificación de la información y declaración de inexistencia </w:t>
      </w:r>
      <w:r>
        <w:rPr>
          <w:rFonts w:ascii="Palatino Linotype" w:eastAsia="Palatino Linotype" w:hAnsi="Palatino Linotype" w:cs="Palatino Linotype"/>
          <w:b/>
          <w:i/>
          <w:sz w:val="22"/>
          <w:szCs w:val="22"/>
        </w:rPr>
        <w:t xml:space="preserve">o </w:t>
      </w:r>
      <w:r>
        <w:rPr>
          <w:rFonts w:ascii="Palatino Linotype" w:eastAsia="Palatino Linotype" w:hAnsi="Palatino Linotype" w:cs="Palatino Linotype"/>
          <w:b/>
          <w:i/>
          <w:sz w:val="22"/>
          <w:szCs w:val="22"/>
          <w:u w:val="single"/>
        </w:rPr>
        <w:t xml:space="preserve">de incompetencia realicen los titulares de las áreas de los sujetos obligados…” </w:t>
      </w:r>
      <w:r>
        <w:rPr>
          <w:rFonts w:ascii="Palatino Linotype" w:eastAsia="Palatino Linotype" w:hAnsi="Palatino Linotype" w:cs="Palatino Linotype"/>
          <w:b/>
          <w:i/>
          <w:sz w:val="22"/>
          <w:szCs w:val="22"/>
        </w:rPr>
        <w:t>(Sic)</w:t>
      </w:r>
    </w:p>
    <w:p w:rsidR="005E1990" w:rsidRDefault="005E1990">
      <w:pPr>
        <w:spacing w:line="360" w:lineRule="auto"/>
        <w:ind w:right="49"/>
        <w:jc w:val="both"/>
        <w:rPr>
          <w:rFonts w:ascii="Palatino Linotype" w:eastAsia="Palatino Linotype" w:hAnsi="Palatino Linotype" w:cs="Palatino Linotype"/>
        </w:rPr>
      </w:pP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 menoscabar el derecho a la protección de los datos personales de terceros.</w:t>
      </w:r>
    </w:p>
    <w:p w:rsidR="005E1990" w:rsidRDefault="005E1990">
      <w:pPr>
        <w:spacing w:line="360" w:lineRule="auto"/>
        <w:jc w:val="both"/>
        <w:rPr>
          <w:rFonts w:ascii="Palatino Linotype" w:eastAsia="Palatino Linotype" w:hAnsi="Palatino Linotype" w:cs="Palatino Linotype"/>
        </w:rPr>
      </w:pPr>
    </w:p>
    <w:p w:rsidR="005E1990" w:rsidRDefault="002917DA">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5E1990" w:rsidRDefault="002917DA">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5E1990" w:rsidRDefault="002917D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5E1990" w:rsidRDefault="002917D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5E1990" w:rsidRDefault="002917D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5E1990" w:rsidRDefault="002917D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5E1990" w:rsidRDefault="005E1990">
      <w:pPr>
        <w:ind w:left="993" w:right="1041"/>
        <w:jc w:val="both"/>
        <w:rPr>
          <w:rFonts w:ascii="Palatino Linotype" w:eastAsia="Palatino Linotype" w:hAnsi="Palatino Linotype" w:cs="Palatino Linotype"/>
          <w:i/>
          <w:sz w:val="22"/>
          <w:szCs w:val="22"/>
        </w:rPr>
      </w:pPr>
    </w:p>
    <w:p w:rsidR="005E1990" w:rsidRDefault="002917D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5E1990" w:rsidRDefault="005E1990">
      <w:pPr>
        <w:ind w:left="993" w:right="1041"/>
        <w:jc w:val="both"/>
        <w:rPr>
          <w:rFonts w:ascii="Palatino Linotype" w:eastAsia="Palatino Linotype" w:hAnsi="Palatino Linotype" w:cs="Palatino Linotype"/>
          <w:i/>
          <w:sz w:val="22"/>
          <w:szCs w:val="22"/>
        </w:rPr>
      </w:pPr>
    </w:p>
    <w:p w:rsidR="005E1990" w:rsidRDefault="002917DA">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E1990" w:rsidRDefault="005E1990">
      <w:pPr>
        <w:ind w:left="993" w:right="1041"/>
        <w:jc w:val="both"/>
        <w:rPr>
          <w:rFonts w:ascii="Palatino Linotype" w:eastAsia="Palatino Linotype" w:hAnsi="Palatino Linotype" w:cs="Palatino Linotype"/>
          <w:b/>
          <w:i/>
          <w:sz w:val="22"/>
          <w:szCs w:val="22"/>
        </w:rPr>
      </w:pPr>
    </w:p>
    <w:p w:rsidR="005E1990" w:rsidRDefault="002917D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5E1990" w:rsidRDefault="002917D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5E1990" w:rsidRDefault="002917D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5E1990" w:rsidRDefault="002917D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5E1990" w:rsidRDefault="005E1990">
      <w:pPr>
        <w:spacing w:line="360" w:lineRule="auto"/>
        <w:ind w:right="51"/>
        <w:jc w:val="both"/>
        <w:rPr>
          <w:rFonts w:ascii="Palatino Linotype" w:eastAsia="Palatino Linotype" w:hAnsi="Palatino Linotype" w:cs="Palatino Linotype"/>
        </w:rPr>
      </w:pPr>
    </w:p>
    <w:p w:rsidR="005E1990" w:rsidRDefault="002917DA">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w:t>
      </w:r>
      <w:r>
        <w:rPr>
          <w:rFonts w:ascii="Palatino Linotype" w:eastAsia="Palatino Linotype" w:hAnsi="Palatino Linotype" w:cs="Palatino Linotype"/>
        </w:rPr>
        <w:lastRenderedPageBreak/>
        <w:t>mismo, testando las secciones o datos que deban ser clasificados; por ende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5E1990" w:rsidRDefault="005E1990">
      <w:pPr>
        <w:spacing w:line="360" w:lineRule="auto"/>
        <w:ind w:right="51"/>
        <w:jc w:val="both"/>
        <w:rPr>
          <w:rFonts w:ascii="Palatino Linotype" w:eastAsia="Palatino Linotype" w:hAnsi="Palatino Linotype" w:cs="Palatino Linotype"/>
        </w:rPr>
      </w:pPr>
    </w:p>
    <w:p w:rsidR="005E1990" w:rsidRDefault="002917DA">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5E1990" w:rsidRDefault="005E1990">
      <w:pPr>
        <w:spacing w:line="360" w:lineRule="auto"/>
        <w:ind w:right="50"/>
        <w:jc w:val="both"/>
        <w:rPr>
          <w:rFonts w:ascii="Palatino Linotype" w:eastAsia="Palatino Linotype" w:hAnsi="Palatino Linotype" w:cs="Palatino Linotype"/>
        </w:rPr>
      </w:pPr>
    </w:p>
    <w:p w:rsidR="005E1990" w:rsidRDefault="002917DA">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5E1990" w:rsidRDefault="005E1990">
      <w:pPr>
        <w:spacing w:line="360" w:lineRule="auto"/>
        <w:ind w:right="51"/>
        <w:jc w:val="both"/>
        <w:rPr>
          <w:rFonts w:ascii="Palatino Linotype" w:eastAsia="Palatino Linotype" w:hAnsi="Palatino Linotype" w:cs="Palatino Linotype"/>
        </w:rPr>
      </w:pPr>
    </w:p>
    <w:p w:rsidR="005E1990" w:rsidRDefault="002917DA">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5E1990" w:rsidRDefault="002917DA">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5E1990" w:rsidRDefault="002917DA">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5E1990" w:rsidRDefault="002917DA">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5E1990" w:rsidRDefault="002917DA">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5E1990" w:rsidRDefault="002917DA">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rsidR="005E1990" w:rsidRDefault="005E1990">
      <w:pPr>
        <w:ind w:left="992" w:right="1043"/>
        <w:jc w:val="both"/>
        <w:rPr>
          <w:rFonts w:ascii="Palatino Linotype" w:eastAsia="Palatino Linotype" w:hAnsi="Palatino Linotype" w:cs="Palatino Linotype"/>
          <w:i/>
          <w:sz w:val="22"/>
          <w:szCs w:val="22"/>
        </w:rPr>
      </w:pP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5E1990" w:rsidRDefault="005E1990">
      <w:pPr>
        <w:spacing w:line="360" w:lineRule="auto"/>
        <w:jc w:val="both"/>
        <w:rPr>
          <w:rFonts w:ascii="Palatino Linotype" w:eastAsia="Palatino Linotype" w:hAnsi="Palatino Linotype" w:cs="Palatino Linotype"/>
        </w:rPr>
      </w:pPr>
    </w:p>
    <w:p w:rsidR="005E1990" w:rsidRDefault="002917DA">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5E1990" w:rsidRDefault="005E1990">
      <w:pPr>
        <w:spacing w:before="240" w:after="240"/>
        <w:ind w:left="993" w:right="1041"/>
        <w:jc w:val="both"/>
        <w:rPr>
          <w:rFonts w:ascii="Palatino Linotype" w:eastAsia="Palatino Linotype" w:hAnsi="Palatino Linotype" w:cs="Palatino Linotype"/>
          <w:i/>
          <w:sz w:val="22"/>
          <w:szCs w:val="22"/>
        </w:rPr>
      </w:pPr>
    </w:p>
    <w:p w:rsidR="005E1990" w:rsidRDefault="002917D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5E1990" w:rsidRDefault="002917DA">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5E1990" w:rsidRDefault="005E1990">
      <w:pPr>
        <w:ind w:left="709" w:right="709"/>
        <w:jc w:val="both"/>
        <w:rPr>
          <w:rFonts w:ascii="Palatino Linotype" w:eastAsia="Palatino Linotype" w:hAnsi="Palatino Linotype" w:cs="Palatino Linotype"/>
          <w:b/>
          <w:i/>
          <w:sz w:val="22"/>
          <w:szCs w:val="22"/>
        </w:rPr>
      </w:pPr>
    </w:p>
    <w:p w:rsidR="005E1990" w:rsidRDefault="002917DA">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5E1990" w:rsidRDefault="002917DA">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5E1990" w:rsidRDefault="002917DA">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5E1990" w:rsidRDefault="002917DA">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5E1990" w:rsidRDefault="002917DA">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4"/>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5E1990">
        <w:trPr>
          <w:jc w:val="center"/>
        </w:trPr>
        <w:tc>
          <w:tcPr>
            <w:tcW w:w="1159" w:type="dxa"/>
            <w:tcBorders>
              <w:top w:val="nil"/>
              <w:left w:val="nil"/>
              <w:bottom w:val="single" w:sz="4" w:space="0" w:color="000000"/>
              <w:right w:val="single" w:sz="4" w:space="0" w:color="000000"/>
            </w:tcBorders>
          </w:tcPr>
          <w:p w:rsidR="005E1990" w:rsidRDefault="005E1990">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E1990" w:rsidRDefault="002917DA">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5E1990" w:rsidRDefault="002917DA">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5E1990">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5E1990" w:rsidRDefault="002917DA">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5E1990" w:rsidRDefault="002917DA">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5E1990" w:rsidRDefault="002917DA">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5E199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E1990" w:rsidRDefault="005E199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E1990" w:rsidRDefault="002917DA">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5E1990" w:rsidRDefault="002917DA">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5E199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E1990" w:rsidRDefault="005E199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E1990" w:rsidRDefault="002917DA">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5E1990" w:rsidRDefault="002917DA">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E199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E1990" w:rsidRDefault="005E199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E1990" w:rsidRDefault="002917DA">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5E1990" w:rsidRDefault="002917DA">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5E199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E1990" w:rsidRDefault="005E199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E1990" w:rsidRDefault="002917DA">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5E1990" w:rsidRDefault="002917DA">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5E199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E1990" w:rsidRDefault="005E199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E1990" w:rsidRDefault="002917DA">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5E1990" w:rsidRDefault="002917DA">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5E199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E1990" w:rsidRDefault="005E199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E1990" w:rsidRDefault="002917DA">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5E1990" w:rsidRDefault="002917DA">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5E199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E1990" w:rsidRDefault="005E199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E1990" w:rsidRDefault="002917DA">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5E1990" w:rsidRDefault="002917DA">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5E199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E1990" w:rsidRDefault="005E199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E1990" w:rsidRDefault="002917DA">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5E1990" w:rsidRDefault="002917DA">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5E199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E1990" w:rsidRDefault="005E199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E1990" w:rsidRDefault="002917DA">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5E1990" w:rsidRDefault="002917DA">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5E199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5E1990" w:rsidRDefault="005E199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5E1990" w:rsidRDefault="002917DA">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5E1990" w:rsidRDefault="002917DA">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5E1990" w:rsidRDefault="005E1990">
      <w:pPr>
        <w:spacing w:line="360" w:lineRule="auto"/>
        <w:jc w:val="both"/>
        <w:rPr>
          <w:rFonts w:ascii="Palatino Linotype" w:eastAsia="Palatino Linotype" w:hAnsi="Palatino Linotype" w:cs="Palatino Linotype"/>
        </w:rPr>
      </w:pP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5E1990" w:rsidRDefault="005E1990">
      <w:pPr>
        <w:spacing w:line="360" w:lineRule="auto"/>
        <w:jc w:val="both"/>
        <w:rPr>
          <w:rFonts w:ascii="Palatino Linotype" w:eastAsia="Palatino Linotype" w:hAnsi="Palatino Linotype" w:cs="Palatino Linotype"/>
        </w:rPr>
      </w:pPr>
    </w:p>
    <w:p w:rsidR="005E1990" w:rsidRDefault="002917DA">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5E1990" w:rsidRDefault="005E1990">
      <w:pPr>
        <w:spacing w:line="360" w:lineRule="auto"/>
        <w:jc w:val="both"/>
        <w:rPr>
          <w:rFonts w:ascii="Palatino Linotype" w:eastAsia="Palatino Linotype" w:hAnsi="Palatino Linotype" w:cs="Palatino Linotype"/>
        </w:rPr>
      </w:pP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5E1990" w:rsidRDefault="005E1990">
      <w:pPr>
        <w:shd w:val="clear" w:color="auto" w:fill="FFFFFF"/>
        <w:ind w:left="851" w:right="851"/>
        <w:jc w:val="both"/>
        <w:rPr>
          <w:rFonts w:ascii="Palatino Linotype" w:eastAsia="Palatino Linotype" w:hAnsi="Palatino Linotype" w:cs="Palatino Linotype"/>
        </w:rPr>
      </w:pPr>
    </w:p>
    <w:p w:rsidR="005E1990" w:rsidRDefault="002917D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5E1990" w:rsidRDefault="002917DA">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rsidR="005E1990" w:rsidRDefault="002917D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00364/INFOEM/IP/RR/2022,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5E1990" w:rsidRDefault="002917D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en términos del Considerando Cuarto y Quinto, haga entrega vía SAIMEX, previa búsqueda exhaustiva y razonable, y en versión pública de ser procedente, del documento o documentos en donde conste lo siguiente:</w:t>
      </w:r>
    </w:p>
    <w:p w:rsidR="005E1990" w:rsidRDefault="002917DA">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La certificación del Director General del Organismo Descentralizado para la prestación del servicio de Agua Potable, Alcantarillado y Saneamiento de Amecameca, referido en la solicitud de acceso a la información correspondiente a la administración pública 2019-2021.</w:t>
      </w:r>
    </w:p>
    <w:p w:rsidR="005E1990" w:rsidRDefault="002917DA">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documentos que den cuenta de la capacidad y experiencia del Director General del Organismo Descentralizado para la prestación del servicio de Agua Potable, Alcantarillado y Saneamiento de Amecameca, referido en la solicitud de acceso a la información correspondiente a la administración pública 2019-2021.</w:t>
      </w:r>
    </w:p>
    <w:p w:rsidR="005E1990" w:rsidRDefault="002917DA">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seguimiento de la Contraloría Municipal de las obras siguientes:</w:t>
      </w:r>
    </w:p>
    <w:p w:rsidR="005E1990" w:rsidRDefault="002917DA">
      <w:pPr>
        <w:numPr>
          <w:ilvl w:val="0"/>
          <w:numId w:val="6"/>
        </w:numPr>
        <w:pBdr>
          <w:top w:val="nil"/>
          <w:left w:val="nil"/>
          <w:bottom w:val="nil"/>
          <w:right w:val="nil"/>
          <w:between w:val="nil"/>
        </w:pBdr>
        <w:spacing w:before="240"/>
        <w:ind w:left="144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pozo Amecameca II cabecera municipal.</w:t>
      </w:r>
    </w:p>
    <w:p w:rsidR="005E1990" w:rsidRDefault="002917DA">
      <w:pPr>
        <w:numPr>
          <w:ilvl w:val="0"/>
          <w:numId w:val="6"/>
        </w:numPr>
        <w:pBdr>
          <w:top w:val="nil"/>
          <w:left w:val="nil"/>
          <w:bottom w:val="nil"/>
          <w:right w:val="nil"/>
          <w:between w:val="nil"/>
        </w:pBdr>
        <w:ind w:left="144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Construcción de caja de agua en la cascada del salto del agua.</w:t>
      </w:r>
    </w:p>
    <w:p w:rsidR="005E1990" w:rsidRDefault="002917DA">
      <w:pPr>
        <w:numPr>
          <w:ilvl w:val="0"/>
          <w:numId w:val="6"/>
        </w:numPr>
        <w:pBdr>
          <w:top w:val="nil"/>
          <w:left w:val="nil"/>
          <w:bottom w:val="nil"/>
          <w:right w:val="nil"/>
          <w:between w:val="nil"/>
        </w:pBdr>
        <w:ind w:left="144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Cambio de 1000 metros lineales de la red hidráulica del ramal principal salto del agua y calle Abasolo.</w:t>
      </w:r>
    </w:p>
    <w:p w:rsidR="005E1990" w:rsidRDefault="005E1990">
      <w:pPr>
        <w:pBdr>
          <w:top w:val="nil"/>
          <w:left w:val="nil"/>
          <w:bottom w:val="nil"/>
          <w:right w:val="nil"/>
          <w:between w:val="nil"/>
        </w:pBdr>
        <w:ind w:left="1440"/>
        <w:jc w:val="both"/>
        <w:rPr>
          <w:rFonts w:ascii="Palatino Linotype" w:eastAsia="Palatino Linotype" w:hAnsi="Palatino Linotype" w:cs="Palatino Linotype"/>
          <w:color w:val="000000"/>
          <w:sz w:val="18"/>
          <w:szCs w:val="18"/>
        </w:rPr>
      </w:pPr>
    </w:p>
    <w:p w:rsidR="005E1990" w:rsidRDefault="002917DA">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seguimiento de la Contraloría Interna del Organismo Descentralizado para la prestación del servicio de Agua Potable, Alcantarillado y Saneamiento de Amecameca de la obra siguiente:</w:t>
      </w:r>
    </w:p>
    <w:p w:rsidR="005E1990" w:rsidRDefault="002917DA">
      <w:pPr>
        <w:pBdr>
          <w:top w:val="nil"/>
          <w:left w:val="nil"/>
          <w:bottom w:val="nil"/>
          <w:right w:val="nil"/>
          <w:between w:val="nil"/>
        </w:pBdr>
        <w:spacing w:before="240"/>
        <w:ind w:left="141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-Cambio de red hidráulica y drenaje calle Ocampo con tubo ped ecológico.</w:t>
      </w:r>
    </w:p>
    <w:p w:rsidR="005E1990" w:rsidRDefault="005E1990">
      <w:pPr>
        <w:pBdr>
          <w:top w:val="nil"/>
          <w:left w:val="nil"/>
          <w:bottom w:val="nil"/>
          <w:right w:val="nil"/>
          <w:between w:val="nil"/>
        </w:pBdr>
        <w:spacing w:before="240"/>
        <w:ind w:left="1418"/>
        <w:jc w:val="both"/>
        <w:rPr>
          <w:rFonts w:ascii="Palatino Linotype" w:eastAsia="Palatino Linotype" w:hAnsi="Palatino Linotype" w:cs="Palatino Linotype"/>
          <w:sz w:val="22"/>
          <w:szCs w:val="22"/>
        </w:rPr>
      </w:pPr>
    </w:p>
    <w:p w:rsidR="005E1990" w:rsidRDefault="002917DA">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vigilancia que realizó el Quinto Regidor de las obras siguientes:</w:t>
      </w:r>
    </w:p>
    <w:p w:rsidR="005E1990" w:rsidRDefault="002917DA">
      <w:pPr>
        <w:numPr>
          <w:ilvl w:val="0"/>
          <w:numId w:val="4"/>
        </w:numPr>
        <w:pBdr>
          <w:top w:val="nil"/>
          <w:left w:val="nil"/>
          <w:bottom w:val="nil"/>
          <w:right w:val="nil"/>
          <w:between w:val="nil"/>
        </w:pBdr>
        <w:spacing w:before="240"/>
        <w:ind w:left="1134"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pozo Amecameca II cabecera municipal.</w:t>
      </w:r>
    </w:p>
    <w:p w:rsidR="005E1990" w:rsidRDefault="002917DA">
      <w:pPr>
        <w:numPr>
          <w:ilvl w:val="0"/>
          <w:numId w:val="4"/>
        </w:numPr>
        <w:pBdr>
          <w:top w:val="nil"/>
          <w:left w:val="nil"/>
          <w:bottom w:val="nil"/>
          <w:right w:val="nil"/>
          <w:between w:val="nil"/>
        </w:pBdr>
        <w:ind w:left="1134"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Construcción de caja de agua en la cascada del salto del agua.</w:t>
      </w:r>
    </w:p>
    <w:p w:rsidR="005E1990" w:rsidRDefault="002917DA">
      <w:pPr>
        <w:numPr>
          <w:ilvl w:val="0"/>
          <w:numId w:val="4"/>
        </w:numPr>
        <w:pBdr>
          <w:top w:val="nil"/>
          <w:left w:val="nil"/>
          <w:bottom w:val="nil"/>
          <w:right w:val="nil"/>
          <w:between w:val="nil"/>
        </w:pBdr>
        <w:ind w:left="1134"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Cambio de 1000 metros lineales de la red hidráulica del ramal principal salto del agua y calle Abasolo.</w:t>
      </w:r>
    </w:p>
    <w:p w:rsidR="005E1990" w:rsidRDefault="002917DA">
      <w:pPr>
        <w:numPr>
          <w:ilvl w:val="0"/>
          <w:numId w:val="4"/>
        </w:numPr>
        <w:pBdr>
          <w:top w:val="nil"/>
          <w:left w:val="nil"/>
          <w:bottom w:val="nil"/>
          <w:right w:val="nil"/>
          <w:between w:val="nil"/>
        </w:pBdr>
        <w:ind w:left="1134"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Cambio de red hidráulica y drenaje calle Ocampo con tubo ped ecológico.</w:t>
      </w:r>
    </w:p>
    <w:p w:rsidR="005E1990" w:rsidRDefault="005E1990">
      <w:pPr>
        <w:pBdr>
          <w:top w:val="nil"/>
          <w:left w:val="nil"/>
          <w:bottom w:val="nil"/>
          <w:right w:val="nil"/>
          <w:between w:val="nil"/>
        </w:pBdr>
        <w:spacing w:after="240"/>
        <w:ind w:left="720"/>
        <w:jc w:val="both"/>
        <w:rPr>
          <w:rFonts w:ascii="Palatino Linotype" w:eastAsia="Palatino Linotype" w:hAnsi="Palatino Linotype" w:cs="Palatino Linotype"/>
          <w:color w:val="000000"/>
          <w:sz w:val="22"/>
          <w:szCs w:val="22"/>
        </w:rPr>
      </w:pP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5E1990" w:rsidRDefault="005E1990">
      <w:pPr>
        <w:spacing w:line="360" w:lineRule="auto"/>
        <w:jc w:val="both"/>
        <w:rPr>
          <w:rFonts w:ascii="Palatino Linotype" w:eastAsia="Palatino Linotype" w:hAnsi="Palatino Linotype" w:cs="Palatino Linotype"/>
        </w:rPr>
      </w:pP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el caso que después de realizada la búsqueda exhaustiva y razonable, no localice la información de la obra del pozo Amecameca II cabecera Municipal, que se ordena en el punto 1 de los incisos “c” y “e”, por ser competencia de la CONAGUA (Comisión Nacional del Agua),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emitir el acuerdo de incompetencia debidamente fundado y motivado. </w:t>
      </w:r>
    </w:p>
    <w:p w:rsidR="005E1990" w:rsidRDefault="005E1990">
      <w:pPr>
        <w:spacing w:line="360" w:lineRule="auto"/>
        <w:jc w:val="both"/>
        <w:rPr>
          <w:rFonts w:ascii="Palatino Linotype" w:eastAsia="Palatino Linotype" w:hAnsi="Palatino Linotype" w:cs="Palatino Linotype"/>
        </w:rPr>
      </w:pPr>
    </w:p>
    <w:p w:rsidR="005E1990" w:rsidRDefault="002917D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ser el caso, para la información que ordena en los “c” y “e”  de los números 2 y 3, en virtud de no haberse realizado dichas obras,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así se lo hará saber 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 manera fundada y motivada.</w:t>
      </w:r>
    </w:p>
    <w:p w:rsidR="005E1990" w:rsidRDefault="002917DA">
      <w:pPr>
        <w:spacing w:before="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5E1990" w:rsidRDefault="005E1990">
      <w:pPr>
        <w:spacing w:line="360" w:lineRule="auto"/>
        <w:jc w:val="both"/>
        <w:rPr>
          <w:rFonts w:ascii="Palatino Linotype" w:eastAsia="Palatino Linotype" w:hAnsi="Palatino Linotype" w:cs="Palatino Linotype"/>
          <w:b/>
        </w:rPr>
      </w:pPr>
    </w:p>
    <w:p w:rsidR="005E1990" w:rsidRDefault="002917D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5E1990" w:rsidRDefault="005E1990">
      <w:pPr>
        <w:spacing w:line="360" w:lineRule="auto"/>
        <w:ind w:right="49"/>
        <w:jc w:val="both"/>
        <w:rPr>
          <w:rFonts w:ascii="Palatino Linotype" w:eastAsia="Palatino Linotype" w:hAnsi="Palatino Linotype" w:cs="Palatino Linotype"/>
        </w:rPr>
      </w:pPr>
    </w:p>
    <w:p w:rsidR="005E1990" w:rsidRDefault="002917DA">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C9284A" w:rsidRDefault="00C9284A">
      <w:pPr>
        <w:spacing w:before="240" w:after="240" w:line="360" w:lineRule="auto"/>
        <w:jc w:val="both"/>
        <w:rPr>
          <w:rFonts w:ascii="Palatino Linotype" w:eastAsia="Palatino Linotype" w:hAnsi="Palatino Linotype" w:cs="Palatino Linotype"/>
        </w:rPr>
        <w:sectPr w:rsidR="00C9284A">
          <w:headerReference w:type="default" r:id="rId16"/>
          <w:footerReference w:type="default" r:id="rId17"/>
          <w:headerReference w:type="first" r:id="rId18"/>
          <w:footerReference w:type="first" r:id="rId19"/>
          <w:pgSz w:w="12240" w:h="15840"/>
          <w:pgMar w:top="2041" w:right="1701" w:bottom="1701" w:left="1701" w:header="709" w:footer="709" w:gutter="0"/>
          <w:pgNumType w:start="1"/>
          <w:cols w:space="720"/>
          <w:titlePg/>
        </w:sectPr>
      </w:pPr>
      <w:r>
        <w:rPr>
          <w:rFonts w:ascii="Palatino Linotype" w:eastAsia="Palatino Linotype" w:hAnsi="Palatino Linotype" w:cs="Palatino Linotype"/>
          <w:noProof/>
          <w:color w:val="222222"/>
          <w:lang w:val="es-MX" w:eastAsia="es-MX"/>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2769869</wp:posOffset>
                </wp:positionV>
                <wp:extent cx="5524500" cy="14001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524500" cy="140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14336D"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218.1pt" to="436.95pt,3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" strokecolor="black [3200]" strokeweight=".5pt">
                <v:stroke joinstyle="miter"/>
              </v:line>
            </w:pict>
          </mc:Fallback>
        </mc:AlternateContent>
      </w:r>
      <w:r w:rsidR="002917DA">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VEINT</w:t>
      </w:r>
      <w:r w:rsidR="002917DA">
        <w:rPr>
          <w:rFonts w:ascii="Palatino Linotype" w:eastAsia="Palatino Linotype" w:hAnsi="Palatino Linotype" w:cs="Palatino Linotype"/>
          <w:color w:val="222222"/>
        </w:rPr>
        <w:t>E</w:t>
      </w:r>
      <w:r w:rsidR="002917DA">
        <w:rPr>
          <w:rFonts w:ascii="Palatino Linotype" w:eastAsia="Palatino Linotype" w:hAnsi="Palatino Linotype" w:cs="Palatino Linotype"/>
        </w:rPr>
        <w:t xml:space="preserve"> DE ABRIL DEL DOS MIL VEINTIDÓS, ANTE EL SECRETARIO TÉCNICO DEL PLENO ALEXIS TAPIA RAMÍREZ.</w:t>
      </w:r>
    </w:p>
    <w:p w:rsidR="005E1990" w:rsidRDefault="005E1990">
      <w:pPr>
        <w:spacing w:before="240" w:after="240" w:line="360" w:lineRule="auto"/>
        <w:jc w:val="both"/>
        <w:rPr>
          <w:rFonts w:ascii="Palatino Linotype" w:eastAsia="Palatino Linotype" w:hAnsi="Palatino Linotype" w:cs="Palatino Linotype"/>
        </w:rPr>
      </w:pPr>
    </w:p>
    <w:sectPr w:rsidR="005E1990">
      <w:headerReference w:type="first" r:id="rId20"/>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7DA" w:rsidRDefault="002917DA">
      <w:r>
        <w:separator/>
      </w:r>
    </w:p>
  </w:endnote>
  <w:endnote w:type="continuationSeparator" w:id="0">
    <w:p w:rsidR="002917DA" w:rsidRDefault="00291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990" w:rsidRDefault="002917D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60B0D">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60B0D">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rsidR="005E1990" w:rsidRDefault="005E1990">
    <w:pPr>
      <w:pBdr>
        <w:top w:val="nil"/>
        <w:left w:val="nil"/>
        <w:bottom w:val="nil"/>
        <w:right w:val="nil"/>
        <w:between w:val="nil"/>
      </w:pBdr>
      <w:tabs>
        <w:tab w:val="center" w:pos="4252"/>
        <w:tab w:val="right" w:pos="8504"/>
      </w:tabs>
      <w:rPr>
        <w:color w:val="000000"/>
      </w:rPr>
    </w:pPr>
  </w:p>
  <w:p w:rsidR="005E1990" w:rsidRDefault="005E199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990" w:rsidRDefault="002917D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60B0D">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60B0D">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rsidR="005E1990" w:rsidRDefault="005E199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7DA" w:rsidRDefault="002917DA">
      <w:r>
        <w:separator/>
      </w:r>
    </w:p>
  </w:footnote>
  <w:footnote w:type="continuationSeparator" w:id="0">
    <w:p w:rsidR="002917DA" w:rsidRDefault="002917DA">
      <w:r>
        <w:continuationSeparator/>
      </w:r>
    </w:p>
  </w:footnote>
  <w:footnote w:id="1">
    <w:p w:rsidR="005E1990" w:rsidRDefault="002917D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rsidR="005E1990" w:rsidRDefault="002917D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990" w:rsidRDefault="005E1990">
    <w:pPr>
      <w:widowControl w:val="0"/>
      <w:pBdr>
        <w:top w:val="nil"/>
        <w:left w:val="nil"/>
        <w:bottom w:val="nil"/>
        <w:right w:val="nil"/>
        <w:between w:val="nil"/>
      </w:pBdr>
      <w:spacing w:line="276" w:lineRule="auto"/>
      <w:rPr>
        <w:rFonts w:ascii="Calibri" w:eastAsia="Calibri" w:hAnsi="Calibri" w:cs="Calibri"/>
        <w:color w:val="000000"/>
      </w:rPr>
    </w:pPr>
  </w:p>
  <w:tbl>
    <w:tblPr>
      <w:tblStyle w:val="a6"/>
      <w:tblW w:w="5528" w:type="dxa"/>
      <w:tblInd w:w="3261" w:type="dxa"/>
      <w:tblLayout w:type="fixed"/>
      <w:tblLook w:val="0400" w:firstRow="0" w:lastRow="0" w:firstColumn="0" w:lastColumn="0" w:noHBand="0" w:noVBand="1"/>
    </w:tblPr>
    <w:tblGrid>
      <w:gridCol w:w="2551"/>
      <w:gridCol w:w="2977"/>
    </w:tblGrid>
    <w:tr w:rsidR="005E1990">
      <w:tc>
        <w:tcPr>
          <w:tcW w:w="2551" w:type="dxa"/>
          <w:vAlign w:val="center"/>
        </w:tcPr>
        <w:p w:rsidR="005E1990" w:rsidRDefault="002917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5E1990" w:rsidRDefault="002917D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00364/INFOEM/IP/RR/2022</w:t>
          </w:r>
        </w:p>
      </w:tc>
    </w:tr>
    <w:tr w:rsidR="005E1990">
      <w:trPr>
        <w:trHeight w:val="228"/>
      </w:trPr>
      <w:tc>
        <w:tcPr>
          <w:tcW w:w="2551" w:type="dxa"/>
          <w:vAlign w:val="center"/>
        </w:tcPr>
        <w:p w:rsidR="005E1990" w:rsidRDefault="002917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5E1990" w:rsidRDefault="002917D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Amecameca.</w:t>
          </w:r>
        </w:p>
      </w:tc>
    </w:tr>
    <w:tr w:rsidR="005E1990">
      <w:tc>
        <w:tcPr>
          <w:tcW w:w="2551" w:type="dxa"/>
          <w:vAlign w:val="center"/>
        </w:tcPr>
        <w:p w:rsidR="005E1990" w:rsidRDefault="002917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5E1990" w:rsidRDefault="002917D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E1990" w:rsidRDefault="002917D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-695769</wp:posOffset>
          </wp:positionH>
          <wp:positionV relativeFrom="paragraph">
            <wp:posOffset>-1200944</wp:posOffset>
          </wp:positionV>
          <wp:extent cx="7809876" cy="10165823"/>
          <wp:effectExtent l="0" t="0" r="0" b="0"/>
          <wp:wrapNone/>
          <wp:docPr id="1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990" w:rsidRDefault="002917DA">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-846159</wp:posOffset>
          </wp:positionH>
          <wp:positionV relativeFrom="paragraph">
            <wp:posOffset>-171230</wp:posOffset>
          </wp:positionV>
          <wp:extent cx="7809876" cy="10165823"/>
          <wp:effectExtent l="0" t="0" r="0" b="0"/>
          <wp:wrapNone/>
          <wp:docPr id="1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5"/>
      <w:tblW w:w="5670" w:type="dxa"/>
      <w:tblInd w:w="3119" w:type="dxa"/>
      <w:tblLayout w:type="fixed"/>
      <w:tblLook w:val="0400" w:firstRow="0" w:lastRow="0" w:firstColumn="0" w:lastColumn="0" w:noHBand="0" w:noVBand="1"/>
    </w:tblPr>
    <w:tblGrid>
      <w:gridCol w:w="2551"/>
      <w:gridCol w:w="3119"/>
    </w:tblGrid>
    <w:tr w:rsidR="005E1990">
      <w:tc>
        <w:tcPr>
          <w:tcW w:w="2551" w:type="dxa"/>
          <w:vAlign w:val="center"/>
        </w:tcPr>
        <w:p w:rsidR="005E1990" w:rsidRDefault="002917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5E1990" w:rsidRDefault="002917D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00364/INFOEM/IP/RR/2022. </w:t>
          </w:r>
        </w:p>
      </w:tc>
    </w:tr>
    <w:tr w:rsidR="005E1990">
      <w:tc>
        <w:tcPr>
          <w:tcW w:w="2551" w:type="dxa"/>
          <w:vAlign w:val="center"/>
        </w:tcPr>
        <w:p w:rsidR="005E1990" w:rsidRDefault="002917DA">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5E1990" w:rsidRDefault="00760B0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XXXXX</w:t>
          </w:r>
          <w:r w:rsidR="002917DA">
            <w:rPr>
              <w:rFonts w:ascii="Palatino Linotype" w:eastAsia="Palatino Linotype" w:hAnsi="Palatino Linotype" w:cs="Palatino Linotype"/>
              <w:b/>
              <w:sz w:val="22"/>
              <w:szCs w:val="22"/>
            </w:rPr>
            <w:t>.</w:t>
          </w:r>
        </w:p>
      </w:tc>
    </w:tr>
    <w:tr w:rsidR="005E1990">
      <w:trPr>
        <w:trHeight w:val="228"/>
      </w:trPr>
      <w:tc>
        <w:tcPr>
          <w:tcW w:w="2551" w:type="dxa"/>
          <w:vAlign w:val="center"/>
        </w:tcPr>
        <w:p w:rsidR="005E1990" w:rsidRDefault="002917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5E1990" w:rsidRDefault="002917D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Amecameca.</w:t>
          </w:r>
        </w:p>
      </w:tc>
    </w:tr>
    <w:tr w:rsidR="005E1990">
      <w:tc>
        <w:tcPr>
          <w:tcW w:w="2551" w:type="dxa"/>
          <w:vAlign w:val="center"/>
        </w:tcPr>
        <w:p w:rsidR="005E1990" w:rsidRDefault="002917D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5E1990" w:rsidRDefault="002917D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E1990" w:rsidRDefault="005E199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990" w:rsidRDefault="005E1990">
    <w:pPr>
      <w:pBdr>
        <w:top w:val="nil"/>
        <w:left w:val="nil"/>
        <w:bottom w:val="nil"/>
        <w:right w:val="nil"/>
        <w:between w:val="nil"/>
      </w:pBdr>
      <w:tabs>
        <w:tab w:val="center" w:pos="4252"/>
        <w:tab w:val="right" w:pos="8504"/>
      </w:tabs>
      <w:jc w:val="both"/>
      <w:rPr>
        <w:rFonts w:ascii="Calibri" w:eastAsia="Calibri" w:hAnsi="Calibri" w:cs="Calibri"/>
        <w:color w:val="000000"/>
      </w:rPr>
    </w:pPr>
  </w:p>
  <w:p w:rsidR="005E1990" w:rsidRDefault="005E199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17112"/>
    <w:multiLevelType w:val="multilevel"/>
    <w:tmpl w:val="F9887F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C1143E"/>
    <w:multiLevelType w:val="multilevel"/>
    <w:tmpl w:val="647C816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3FB24502"/>
    <w:multiLevelType w:val="multilevel"/>
    <w:tmpl w:val="2EC25004"/>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15:restartNumberingAfterBreak="0">
    <w:nsid w:val="4DFD17E6"/>
    <w:multiLevelType w:val="multilevel"/>
    <w:tmpl w:val="1E62FB18"/>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6D095150"/>
    <w:multiLevelType w:val="multilevel"/>
    <w:tmpl w:val="685056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A0720F8"/>
    <w:multiLevelType w:val="multilevel"/>
    <w:tmpl w:val="1164679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990"/>
    <w:rsid w:val="002917DA"/>
    <w:rsid w:val="005A00EB"/>
    <w:rsid w:val="005E1990"/>
    <w:rsid w:val="00760B0D"/>
    <w:rsid w:val="00C928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85DCE1-4BE0-4ED2-AA21-C52926CCC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character" w:customStyle="1" w:styleId="apple-tab-span">
    <w:name w:val="apple-tab-span"/>
    <w:basedOn w:val="Fuentedeprrafopredeter"/>
    <w:rsid w:val="00385E18"/>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5A00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02872.pag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302872.page" TargetMode="External"/><Relationship Id="rId14" Type="http://schemas.openxmlformats.org/officeDocument/2006/relationships/hyperlink" Target="https://www.fonacot.gob.mx/TransparenciaRendicionCuentas/Documents/Normatividad%20en%20Transparencia/Padron_Sujetos_Obligados%20INAI.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6Ci1zkyGGhwnCiLgMG+qPIuDbA==">AMUW2mXeRioahfoA408pLvRyreUKMSNFL4NXFRYRjiZuSjbV7VkJaiy2mYplcc46LnKs5IpSbZIbt+NooF7czIxzCZIXQSDwBVgLMIlbBDgJ10kcTFnDcwBRQshl0CzQeIP6VrcFM+Oo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13378</Words>
  <Characters>73582</Characters>
  <Application>Microsoft Office Word</Application>
  <DocSecurity>0</DocSecurity>
  <Lines>613</Lines>
  <Paragraphs>173</Paragraphs>
  <ScaleCrop>false</ScaleCrop>
  <Company>HP Inc.</Company>
  <LinksUpToDate>false</LinksUpToDate>
  <CharactersWithSpaces>86787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Jhancarlo</cp:lastModifiedBy>
  <cp:revision>4</cp:revision>
  <dcterms:created xsi:type="dcterms:W3CDTF">2022-04-04T16:30:00Z</dcterms:created>
  <dcterms:modified xsi:type="dcterms:W3CDTF">2022-05-04T22:35:00Z</dcterms:modified>
</cp:coreProperties>
</file>