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D0AC7" w:rsidR="00EC77D9" w:rsidP="00B21155" w:rsidRDefault="00EC77D9" w14:paraId="63E834DF" w14:textId="4F66A70C">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Estado de México, de fecha die</w:t>
      </w:r>
      <w:r w:rsidR="003D0090">
        <w:rPr>
          <w:rFonts w:eastAsia="Calibri" w:cs="Tahoma"/>
          <w:lang w:val="es-ES"/>
        </w:rPr>
        <w:t>cisiete</w:t>
      </w:r>
      <w:r w:rsidRPr="002D0AC7">
        <w:rPr>
          <w:rFonts w:eastAsia="Calibri" w:cs="Tahoma"/>
          <w:lang w:val="es-ES"/>
        </w:rPr>
        <w:t xml:space="preserve"> de agosto de dos mil veintidós. </w:t>
      </w:r>
    </w:p>
    <w:p w:rsidRPr="002D0AC7" w:rsidR="00EC77D9" w:rsidP="00B21155" w:rsidRDefault="00EC77D9" w14:paraId="5E4128C6" w14:textId="77777777">
      <w:pPr>
        <w:spacing w:after="0" w:line="360" w:lineRule="auto"/>
        <w:rPr>
          <w:rFonts w:eastAsia="Calibri" w:cs="Tahoma"/>
          <w:b/>
          <w:bCs/>
          <w:lang w:val="es-ES"/>
        </w:rPr>
      </w:pPr>
    </w:p>
    <w:p w:rsidRPr="002D0AC7" w:rsidR="00EC77D9" w:rsidP="00B21155" w:rsidRDefault="00EC77D9" w14:paraId="04C62500" w14:textId="2F65200C">
      <w:pPr>
        <w:spacing w:after="0" w:line="360" w:lineRule="auto"/>
        <w:rPr>
          <w:rFonts w:cs="Tahoma"/>
          <w:color w:val="0D0D0D" w:themeColor="text1" w:themeTint="F2"/>
        </w:rPr>
      </w:pPr>
      <w:r w:rsidRPr="4860FFCA" w:rsidR="4860FFCA">
        <w:rPr>
          <w:rFonts w:eastAsia="Calibri" w:cs="Tahoma"/>
          <w:b w:val="1"/>
          <w:bCs w:val="1"/>
          <w:lang w:val="es-ES"/>
        </w:rPr>
        <w:t xml:space="preserve">VISTO </w:t>
      </w:r>
      <w:r w:rsidRPr="4860FFCA" w:rsidR="4860FFCA">
        <w:rPr>
          <w:rFonts w:eastAsia="Calibri" w:cs="Tahoma"/>
          <w:lang w:val="es-ES"/>
        </w:rPr>
        <w:t xml:space="preserve">el expediente conformado con motivo del Recurso de Revisión </w:t>
      </w:r>
      <w:r w:rsidRPr="4860FFCA" w:rsidR="4860FFCA">
        <w:rPr>
          <w:rFonts w:eastAsia="Calibri" w:cs="Tahoma"/>
        </w:rPr>
        <w:t xml:space="preserve">12526/INFOEM/IP/RR/2022, interpuesto por </w:t>
      </w:r>
      <w:r w:rsidRPr="4860FFCA" w:rsidR="4860FFCA">
        <w:rPr>
          <w:rFonts w:eastAsia="Calibri" w:cs="Tahoma"/>
          <w:highlight w:val="black"/>
        </w:rPr>
        <w:t>XXXXXXXXXXXXXXXXXXXXXXXXX</w:t>
      </w:r>
      <w:r w:rsidRPr="4860FFCA" w:rsidR="4860FFCA">
        <w:rPr>
          <w:rFonts w:eastAsia="Calibri" w:cs="Tahoma"/>
        </w:rPr>
        <w:t>, en lo sucesivo,</w:t>
      </w:r>
      <w:r w:rsidRPr="4860FFCA" w:rsidR="4860FFCA">
        <w:rPr>
          <w:rFonts w:cs="Tahoma"/>
          <w:color w:val="0D0D0D" w:themeColor="text1" w:themeTint="F2" w:themeShade="FF"/>
        </w:rPr>
        <w:t xml:space="preserve"> Recurrente o Particular, en contra de la falta de respuesta del Sujeto Obligado, Ayuntamiento de Ixtapaluca, a la solicitud de acceso a la información pública</w:t>
      </w:r>
      <w:r w:rsidRPr="4860FFCA" w:rsidR="4860FFCA">
        <w:rPr>
          <w:b w:val="1"/>
          <w:bCs w:val="1"/>
          <w:color w:val="FF0000"/>
        </w:rPr>
        <w:t> </w:t>
      </w:r>
      <w:r w:rsidR="4860FFCA">
        <w:rPr/>
        <w:t>00260/IXTAPALU/IP/2022</w:t>
      </w:r>
      <w:r w:rsidRPr="4860FFCA" w:rsidR="4860FFCA">
        <w:rPr>
          <w:rFonts w:cs="Tahoma"/>
          <w:color w:val="0D0D0D" w:themeColor="text1" w:themeTint="F2" w:themeShade="FF"/>
        </w:rPr>
        <w:t>, se emite la presente Resolución, con base en los Antecedentes y Considerandos que se exponen a continuación:</w:t>
      </w:r>
    </w:p>
    <w:p w:rsidRPr="002D0AC7" w:rsidR="00EC77D9" w:rsidP="00B21155" w:rsidRDefault="00EC77D9" w14:paraId="40862826" w14:textId="77777777">
      <w:pPr>
        <w:spacing w:after="0" w:line="360" w:lineRule="auto"/>
        <w:rPr>
          <w:rFonts w:eastAsia="Calibri" w:cs="Tahoma"/>
          <w:b/>
          <w:bCs/>
          <w:lang w:val="es-ES"/>
        </w:rPr>
      </w:pPr>
    </w:p>
    <w:p w:rsidRPr="002D0AC7" w:rsidR="00EC77D9" w:rsidP="00B21155"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B21155" w:rsidRDefault="00EC77D9" w14:paraId="3C95874E" w14:textId="77777777">
      <w:pPr>
        <w:spacing w:after="0" w:line="360" w:lineRule="auto"/>
        <w:rPr>
          <w:lang w:val="es-ES"/>
        </w:rPr>
      </w:pPr>
    </w:p>
    <w:p w:rsidRPr="002D0AC7" w:rsidR="00EC77D9" w:rsidP="00B21155"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B21155" w:rsidRDefault="00EC77D9" w14:paraId="4794251F" w14:textId="77777777">
      <w:pPr>
        <w:spacing w:after="0" w:line="360" w:lineRule="auto"/>
        <w:rPr>
          <w:rFonts w:eastAsia="Calibri" w:cs="Tahoma"/>
          <w:b/>
          <w:bCs/>
          <w:lang w:val="es-ES"/>
        </w:rPr>
      </w:pPr>
    </w:p>
    <w:p w:rsidRPr="002D0AC7" w:rsidR="00EC77D9" w:rsidP="00B21155" w:rsidRDefault="00EC77D9" w14:paraId="1960F426" w14:textId="14CB2B11">
      <w:pPr>
        <w:spacing w:after="0" w:line="360" w:lineRule="auto"/>
        <w:rPr>
          <w:rFonts w:cs="Tahoma"/>
        </w:rPr>
      </w:pPr>
      <w:r w:rsidRPr="002D0AC7">
        <w:rPr>
          <w:rFonts w:eastAsia="Calibri" w:cs="Tahoma"/>
          <w:lang w:val="es-ES"/>
        </w:rPr>
        <w:t xml:space="preserve">Con fecha </w:t>
      </w:r>
      <w:r w:rsidR="00C47955">
        <w:rPr>
          <w:rFonts w:eastAsia="Calibri" w:cs="Tahoma"/>
          <w:lang w:val="es-ES"/>
        </w:rPr>
        <w:t>ocho de junio</w:t>
      </w:r>
      <w:r w:rsidRPr="002D0AC7">
        <w:rPr>
          <w:rFonts w:eastAsia="Calibri" w:cs="Tahoma"/>
          <w:lang w:val="es-ES"/>
        </w:rPr>
        <w:t xml:space="preserve"> 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 </w:t>
      </w:r>
      <w:r w:rsidR="00E40057">
        <w:rPr>
          <w:rFonts w:eastAsia="Calibri" w:cs="Tahoma"/>
        </w:rPr>
        <w:t xml:space="preserve">Ayuntamiento de </w:t>
      </w:r>
      <w:r w:rsidR="00B61BF0">
        <w:rPr>
          <w:rFonts w:eastAsia="Calibri" w:cs="Tahoma"/>
        </w:rPr>
        <w:t>Ixtapaluca</w:t>
      </w:r>
      <w:r w:rsidR="003D0090">
        <w:rPr>
          <w:rFonts w:eastAsia="Calibri" w:cs="Tahoma"/>
        </w:rPr>
        <w:t xml:space="preserve">, </w:t>
      </w:r>
      <w:r w:rsidRPr="002D0AC7">
        <w:rPr>
          <w:rFonts w:cs="Tahoma"/>
        </w:rPr>
        <w:t>en los siguientes términos:</w:t>
      </w:r>
    </w:p>
    <w:p w:rsidRPr="002D0AC7" w:rsidR="003D0090" w:rsidP="00B21155" w:rsidRDefault="003D0090" w14:paraId="53516530" w14:textId="77777777">
      <w:pPr>
        <w:spacing w:after="0" w:line="360" w:lineRule="auto"/>
        <w:rPr>
          <w:rFonts w:cs="Tahoma"/>
        </w:rPr>
      </w:pPr>
    </w:p>
    <w:p w:rsidRPr="009019A4" w:rsidR="00EC77D9" w:rsidP="00B21155"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rsidRPr="003D0090" w:rsidR="00EC77D9" w:rsidP="00B21155" w:rsidRDefault="00C47955" w14:paraId="602D270E" w14:textId="49B6C449">
      <w:pPr>
        <w:spacing w:after="0" w:line="360" w:lineRule="auto"/>
        <w:ind w:left="567"/>
        <w:rPr>
          <w:rFonts w:eastAsia="Times New Roman" w:cs="Arial"/>
          <w:bCs/>
          <w:i/>
          <w:iCs/>
          <w:sz w:val="20"/>
          <w:szCs w:val="20"/>
          <w:lang w:eastAsia="es-ES"/>
        </w:rPr>
      </w:pPr>
      <w:r w:rsidRPr="00C47955">
        <w:rPr>
          <w:i/>
          <w:iCs/>
          <w:color w:val="000000"/>
          <w:sz w:val="20"/>
          <w:szCs w:val="20"/>
        </w:rPr>
        <w:t>1.- Total de boletos de "Acceso VIP" vendidos para el acceso a algunos eventos de la Feria Nacional de Ixtapaluca 2022. 2.- Total de monto monetario recaudado en la venta de dichas entradas. 3.- Desglosar cantidad de boletos de "Acceso VIP" vendidos para cada uno de los eventos. Favor de indicar cantidad de boletos de este tipo vendidos de acuerdo a cada evento correspondiente. 4.- Indicar vías y lugares que fungieron como puntos de venta.</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p>
    <w:p w:rsidR="00EC77D9" w:rsidP="00B21155" w:rsidRDefault="00EC77D9" w14:paraId="3F4037DA" w14:textId="0A19B38F">
      <w:pPr>
        <w:tabs>
          <w:tab w:val="left" w:pos="4667"/>
        </w:tabs>
        <w:spacing w:after="0" w:line="360" w:lineRule="auto"/>
        <w:ind w:left="567" w:right="567"/>
        <w:rPr>
          <w:rFonts w:cs="Tahoma"/>
          <w:bCs/>
          <w:i/>
          <w:sz w:val="20"/>
          <w:szCs w:val="20"/>
        </w:rPr>
      </w:pPr>
    </w:p>
    <w:p w:rsidR="00C47955" w:rsidP="00B21155" w:rsidRDefault="00C47955" w14:paraId="7B3D5E3C" w14:textId="77777777">
      <w:pPr>
        <w:tabs>
          <w:tab w:val="left" w:pos="4667"/>
        </w:tabs>
        <w:spacing w:after="0" w:line="360" w:lineRule="auto"/>
        <w:ind w:left="567" w:right="567"/>
        <w:rPr>
          <w:rFonts w:eastAsia="Times New Roman" w:cs="Tahoma"/>
          <w:b/>
          <w:bCs/>
          <w:i/>
          <w:iCs/>
          <w:color w:val="auto"/>
          <w:sz w:val="20"/>
          <w:szCs w:val="20"/>
          <w:lang w:eastAsia="es-ES"/>
        </w:rPr>
      </w:pPr>
    </w:p>
    <w:p w:rsidRPr="009019A4" w:rsidR="00EC77D9" w:rsidP="00B21155"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lastRenderedPageBreak/>
        <w:t>“MODALIDAD DE ENTREGA</w:t>
      </w:r>
    </w:p>
    <w:p w:rsidRPr="009019A4" w:rsidR="00EC77D9" w:rsidP="00B21155" w:rsidRDefault="00EC77D9" w14:paraId="55422320" w14:textId="7777777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rsidRPr="002D0AC7" w:rsidR="00EC77D9" w:rsidP="00B21155" w:rsidRDefault="00EC77D9" w14:paraId="654A5F62" w14:textId="77777777">
      <w:pPr>
        <w:spacing w:after="0" w:line="360" w:lineRule="auto"/>
        <w:ind w:left="567" w:right="567"/>
        <w:rPr>
          <w:rFonts w:eastAsia="Times New Roman" w:cs="Arial"/>
          <w:bCs/>
          <w:i/>
          <w:iCs/>
          <w:color w:val="auto"/>
          <w:lang w:eastAsia="es-ES"/>
        </w:rPr>
      </w:pPr>
    </w:p>
    <w:p w:rsidRPr="002D0AC7" w:rsidR="00EC77D9" w:rsidP="00B21155" w:rsidRDefault="00EC77D9" w14:paraId="713A2DDB" w14:textId="407477EB">
      <w:pPr>
        <w:tabs>
          <w:tab w:val="left" w:pos="4667"/>
        </w:tabs>
        <w:spacing w:after="0" w:line="360" w:lineRule="auto"/>
        <w:ind w:right="567"/>
        <w:rPr>
          <w:rFonts w:eastAsia="Calibri" w:cs="Tahoma"/>
          <w:b/>
          <w:bCs/>
        </w:rPr>
      </w:pPr>
      <w:r w:rsidRPr="002D0AC7">
        <w:rPr>
          <w:rFonts w:eastAsia="Calibri" w:cs="Tahoma"/>
          <w:b/>
          <w:bCs/>
        </w:rPr>
        <w:t xml:space="preserve">II. </w:t>
      </w:r>
      <w:r w:rsidRPr="002D0AC7">
        <w:rPr>
          <w:rFonts w:eastAsia="Calibri" w:cs="Tahoma"/>
          <w:b/>
        </w:rPr>
        <w:t>Respuesta</w:t>
      </w:r>
      <w:r w:rsidRPr="002D0AC7">
        <w:rPr>
          <w:rFonts w:eastAsia="Calibri" w:cs="Tahoma"/>
          <w:b/>
          <w:bCs/>
        </w:rPr>
        <w:t xml:space="preserve"> del Sujeto Obligado.</w:t>
      </w:r>
    </w:p>
    <w:p w:rsidRPr="002D0AC7" w:rsidR="00EC77D9" w:rsidP="00B21155" w:rsidRDefault="00EC77D9" w14:paraId="5FFE230B" w14:textId="77777777">
      <w:pPr>
        <w:spacing w:after="0" w:line="360" w:lineRule="auto"/>
        <w:rPr>
          <w:rFonts w:eastAsia="Calibri" w:cs="Tahoma"/>
          <w:b/>
          <w:bCs/>
        </w:rPr>
      </w:pPr>
    </w:p>
    <w:p w:rsidRPr="002D0AC7" w:rsidR="00EC77D9" w:rsidP="00B21155" w:rsidRDefault="00EC77D9" w14:paraId="339339D5" w14:textId="599BD3A1">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00E40057">
        <w:rPr>
          <w:rFonts w:eastAsia="Calibri" w:cs="Tahoma"/>
          <w:b/>
          <w:bCs/>
        </w:rPr>
        <w:t xml:space="preserve">Ayuntamiento de </w:t>
      </w:r>
      <w:r w:rsidR="00B61BF0">
        <w:rPr>
          <w:rFonts w:eastAsia="Calibri" w:cs="Tahoma"/>
          <w:b/>
          <w:bCs/>
        </w:rPr>
        <w:t>Ixtapaluca</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B21155"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B21155" w:rsidRDefault="00EC77D9" w14:paraId="56912486" w14:textId="61209640">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rsidRPr="002D0AC7" w:rsidR="00EC77D9" w:rsidP="00B21155" w:rsidRDefault="00EC77D9" w14:paraId="193305E5" w14:textId="77777777">
      <w:pPr>
        <w:spacing w:after="0" w:line="360" w:lineRule="auto"/>
        <w:rPr>
          <w:rFonts w:eastAsia="Times New Roman" w:cs="Tahoma"/>
          <w:bCs/>
          <w:color w:val="auto"/>
          <w:lang w:eastAsia="es-ES"/>
        </w:rPr>
      </w:pPr>
    </w:p>
    <w:p w:rsidRPr="002D0AC7" w:rsidR="00EC77D9" w:rsidP="00B21155" w:rsidRDefault="00EC77D9" w14:paraId="5575D42B" w14:textId="62202805">
      <w:pPr>
        <w:spacing w:after="0" w:line="360" w:lineRule="auto"/>
        <w:rPr>
          <w:rFonts w:eastAsia="Times New Roman" w:cs="Tahoma"/>
          <w:bCs/>
          <w:color w:val="auto"/>
          <w:lang w:val="es-ES" w:eastAsia="es-ES"/>
        </w:rPr>
      </w:pPr>
      <w:r w:rsidRPr="002D0AC7">
        <w:rPr>
          <w:rFonts w:eastAsia="Times New Roman" w:cs="Tahoma"/>
          <w:bCs/>
          <w:color w:val="auto"/>
          <w:lang w:val="es-ES" w:eastAsia="es-ES"/>
        </w:rPr>
        <w:t xml:space="preserve">Con fecha </w:t>
      </w:r>
      <w:r w:rsidR="00C47955">
        <w:rPr>
          <w:rFonts w:eastAsia="Times New Roman" w:cs="Tahoma"/>
          <w:bCs/>
          <w:color w:val="auto"/>
          <w:lang w:val="es-ES" w:eastAsia="es-ES"/>
        </w:rPr>
        <w:t>siete de julio</w:t>
      </w:r>
      <w:r w:rsidRPr="002D0AC7">
        <w:rPr>
          <w:rFonts w:eastAsia="Times New Roman" w:cs="Tahoma"/>
          <w:bCs/>
          <w:color w:val="auto"/>
          <w:lang w:val="es-ES" w:eastAsia="es-ES"/>
        </w:rPr>
        <w:t xml:space="preserve"> 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 en los siguientes términos:</w:t>
      </w:r>
    </w:p>
    <w:p w:rsidRPr="002D0AC7" w:rsidR="00EC77D9" w:rsidP="00B21155" w:rsidRDefault="00EC77D9" w14:paraId="24595562" w14:textId="77777777">
      <w:pPr>
        <w:spacing w:after="0" w:line="360" w:lineRule="auto"/>
        <w:rPr>
          <w:rFonts w:eastAsia="Times New Roman" w:cs="Tahoma"/>
          <w:bCs/>
          <w:color w:val="auto"/>
          <w:lang w:eastAsia="es-ES"/>
        </w:rPr>
      </w:pPr>
    </w:p>
    <w:p w:rsidRPr="009019A4" w:rsidR="00EC77D9" w:rsidP="00B21155"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B21155" w:rsidRDefault="006607EA" w14:paraId="6E62BBE2" w14:textId="44416E52">
      <w:pPr>
        <w:spacing w:after="0" w:line="360" w:lineRule="auto"/>
        <w:ind w:left="567" w:right="567"/>
        <w:rPr>
          <w:rFonts w:eastAsia="Times New Roman" w:cs="Tahoma"/>
          <w:bCs/>
          <w:i/>
          <w:iCs/>
          <w:color w:val="auto"/>
          <w:sz w:val="20"/>
          <w:szCs w:val="20"/>
          <w:lang w:eastAsia="es-ES"/>
        </w:rPr>
      </w:pPr>
      <w:r w:rsidRPr="006607EA">
        <w:rPr>
          <w:i/>
          <w:iCs/>
          <w:color w:val="000000"/>
          <w:sz w:val="20"/>
          <w:szCs w:val="20"/>
        </w:rPr>
        <w:t>No atiende a ninguna de las solicitudes de información. No brinda respuestas. Excedió el periodo para ofrecer respuesta.</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00EC77D9" w:rsidP="00B21155" w:rsidRDefault="00EC77D9" w14:paraId="5CCEB8EC" w14:textId="200EAB7C">
      <w:pPr>
        <w:spacing w:after="0" w:line="360" w:lineRule="auto"/>
        <w:ind w:left="567" w:right="567"/>
        <w:rPr>
          <w:rFonts w:eastAsia="Times New Roman" w:cs="Tahoma"/>
          <w:bCs/>
          <w:i/>
          <w:color w:val="auto"/>
          <w:sz w:val="20"/>
          <w:szCs w:val="20"/>
          <w:lang w:eastAsia="es-ES"/>
        </w:rPr>
      </w:pPr>
    </w:p>
    <w:p w:rsidR="006607EA" w:rsidP="00B21155" w:rsidRDefault="006607EA" w14:paraId="6DD56F3D" w14:textId="30196408">
      <w:pPr>
        <w:spacing w:after="0" w:line="360" w:lineRule="auto"/>
        <w:ind w:left="567" w:right="567"/>
        <w:rPr>
          <w:rFonts w:eastAsia="Times New Roman" w:cs="Tahoma"/>
          <w:bCs/>
          <w:i/>
          <w:color w:val="auto"/>
          <w:sz w:val="20"/>
          <w:szCs w:val="20"/>
          <w:lang w:eastAsia="es-ES"/>
        </w:rPr>
      </w:pPr>
    </w:p>
    <w:p w:rsidRPr="009019A4" w:rsidR="006607EA" w:rsidP="00B21155" w:rsidRDefault="006607EA" w14:paraId="591F5DE6" w14:textId="77777777">
      <w:pPr>
        <w:spacing w:after="0" w:line="360" w:lineRule="auto"/>
        <w:ind w:left="567" w:right="567"/>
        <w:rPr>
          <w:rFonts w:eastAsia="Times New Roman" w:cs="Tahoma"/>
          <w:bCs/>
          <w:i/>
          <w:color w:val="auto"/>
          <w:sz w:val="20"/>
          <w:szCs w:val="20"/>
          <w:lang w:eastAsia="es-ES"/>
        </w:rPr>
      </w:pPr>
    </w:p>
    <w:p w:rsidRPr="009019A4" w:rsidR="00EC77D9" w:rsidP="00B21155"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lastRenderedPageBreak/>
        <w:t>“RAZONES O MOTIVOS DE LA INCONFORMIDAD</w:t>
      </w:r>
    </w:p>
    <w:p w:rsidRPr="009019A4" w:rsidR="00EC77D9" w:rsidP="00B21155" w:rsidRDefault="006607EA" w14:paraId="6A2AB2B9" w14:textId="11D96E9B">
      <w:pPr>
        <w:spacing w:after="0" w:line="360" w:lineRule="auto"/>
        <w:ind w:left="567" w:right="567"/>
        <w:rPr>
          <w:rFonts w:eastAsia="Times New Roman" w:cs="Tahoma"/>
          <w:bCs/>
          <w:color w:val="auto"/>
          <w:sz w:val="20"/>
          <w:szCs w:val="20"/>
          <w:lang w:eastAsia="es-ES"/>
        </w:rPr>
      </w:pPr>
      <w:r w:rsidRPr="006607EA">
        <w:rPr>
          <w:i/>
          <w:iCs/>
          <w:color w:val="000000"/>
          <w:sz w:val="20"/>
          <w:szCs w:val="20"/>
        </w:rPr>
        <w:t>No atiende a las solicitudes de información. No brinda respuestas. Excedió el periodo para ofrecer respuesta.</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000823E5" w:rsidP="00B21155" w:rsidRDefault="000823E5" w14:paraId="2EF5CAAD" w14:textId="77777777">
      <w:pPr>
        <w:spacing w:after="0" w:line="360" w:lineRule="auto"/>
        <w:rPr>
          <w:rFonts w:eastAsia="Calibri" w:cs="Tahoma"/>
          <w:b/>
          <w:color w:val="000000"/>
        </w:rPr>
      </w:pPr>
    </w:p>
    <w:p w:rsidRPr="002D0AC7" w:rsidR="00EC77D9" w:rsidP="00B21155" w:rsidRDefault="00EC77D9" w14:paraId="32EBD4AE" w14:textId="42F90B73">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EC77D9" w:rsidP="00B21155" w:rsidRDefault="00EC77D9" w14:paraId="1C4ADB40" w14:textId="77777777">
      <w:pPr>
        <w:spacing w:after="0" w:line="360" w:lineRule="auto"/>
        <w:rPr>
          <w:rFonts w:eastAsia="Batang" w:cs="Tahoma"/>
          <w:bCs/>
          <w:color w:val="000000"/>
        </w:rPr>
      </w:pPr>
    </w:p>
    <w:p w:rsidRPr="002D0AC7" w:rsidR="00EC77D9" w:rsidP="00B21155" w:rsidRDefault="00EC77D9" w14:paraId="7EC9EE07" w14:textId="2DFD09C4">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6607EA">
        <w:rPr>
          <w:rFonts w:eastAsia="Batang" w:cs="Tahoma"/>
          <w:bCs/>
          <w:color w:val="000000"/>
        </w:rPr>
        <w:t>siete</w:t>
      </w:r>
      <w:r w:rsidR="00494ADB">
        <w:rPr>
          <w:rFonts w:eastAsia="Batang" w:cs="Tahoma"/>
          <w:bCs/>
          <w:color w:val="000000"/>
        </w:rPr>
        <w:t xml:space="preserve"> de julio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2D0AC7">
        <w:rPr>
          <w:rFonts w:eastAsia="Batang" w:cs="Tahoma"/>
          <w:color w:val="000000"/>
        </w:rPr>
        <w:t>0</w:t>
      </w:r>
      <w:r w:rsidR="00C47955">
        <w:rPr>
          <w:rFonts w:eastAsia="Batang" w:cs="Tahoma"/>
          <w:color w:val="000000"/>
        </w:rPr>
        <w:t>12526</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B21155" w:rsidRDefault="00EC77D9" w14:paraId="23BD8332" w14:textId="77777777">
      <w:pPr>
        <w:spacing w:after="0" w:line="360" w:lineRule="auto"/>
        <w:rPr>
          <w:rFonts w:eastAsia="Batang" w:cs="Tahoma"/>
          <w:bCs/>
          <w:color w:val="000000"/>
        </w:rPr>
      </w:pPr>
    </w:p>
    <w:p w:rsidRPr="002D0AC7" w:rsidR="00EC77D9" w:rsidP="00B21155" w:rsidRDefault="00EC77D9" w14:paraId="385EEA5C" w14:textId="0F3B324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6607EA">
        <w:rPr>
          <w:rFonts w:eastAsia="Batang" w:cs="Tahoma"/>
          <w:bCs/>
          <w:color w:val="000000"/>
        </w:rPr>
        <w:t>doce de julio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mismo día,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B21155" w:rsidRDefault="00EC77D9" w14:paraId="2C51930E" w14:textId="77777777">
      <w:pPr>
        <w:spacing w:after="0" w:line="360" w:lineRule="auto"/>
        <w:rPr>
          <w:rFonts w:cs="Tahoma"/>
        </w:rPr>
      </w:pPr>
    </w:p>
    <w:p w:rsidRPr="002D0AC7" w:rsidR="00EC77D9" w:rsidP="00B21155" w:rsidRDefault="00EC77D9" w14:paraId="50834C70" w14:textId="7777777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rsidRPr="002D0AC7" w:rsidR="00EC77D9" w:rsidP="00B21155" w:rsidRDefault="00EC77D9" w14:paraId="5818420C" w14:textId="77777777">
      <w:pPr>
        <w:widowControl w:val="0"/>
        <w:spacing w:after="0" w:line="360" w:lineRule="auto"/>
        <w:rPr>
          <w:rFonts w:eastAsia="Times New Roman" w:cs="Tahoma"/>
          <w:b/>
          <w:color w:val="auto"/>
          <w:lang w:eastAsia="es-ES"/>
        </w:rPr>
      </w:pPr>
    </w:p>
    <w:p w:rsidRPr="002D0AC7" w:rsidR="00EC77D9" w:rsidP="00B21155" w:rsidRDefault="00EC77D9" w14:paraId="35AAACA3" w14:textId="4363FE7D">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0823E5">
        <w:rPr>
          <w:rFonts w:eastAsia="Times New Roman" w:cs="Tahoma"/>
          <w:color w:val="auto"/>
          <w:lang w:eastAsia="es-ES"/>
        </w:rPr>
        <w:t xml:space="preserve">doce </w:t>
      </w:r>
      <w:r w:rsidRPr="002D0AC7">
        <w:rPr>
          <w:rFonts w:eastAsia="Times New Roman" w:cs="Tahoma"/>
          <w:color w:val="auto"/>
          <w:lang w:eastAsia="es-ES"/>
        </w:rPr>
        <w:t xml:space="preserve">de agosto de dos mil veintidós, al no existir diligencias pendientes por desahogar, se emitió el acuerdo por medio del cual se declaró cerrada la instrucción y se determinó pasar los expedientes a resolución, en términos de lo dispuesto </w:t>
      </w:r>
      <w:r w:rsidRPr="002D0AC7">
        <w:rPr>
          <w:rFonts w:eastAsia="Times New Roman" w:cs="Tahoma"/>
          <w:color w:val="auto"/>
          <w:lang w:eastAsia="es-ES"/>
        </w:rPr>
        <w:lastRenderedPageBreak/>
        <w:t xml:space="preserve">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Pr="002D0AC7" w:rsidR="00EC77D9" w:rsidP="00B21155" w:rsidRDefault="00EC77D9" w14:paraId="6FADC0BA" w14:textId="77777777">
      <w:pPr>
        <w:spacing w:after="0" w:line="360" w:lineRule="auto"/>
        <w:rPr>
          <w:rFonts w:eastAsia="Times New Roman" w:cs="Tahoma"/>
          <w:color w:val="auto"/>
          <w:lang w:eastAsia="es-ES"/>
        </w:rPr>
      </w:pPr>
    </w:p>
    <w:p w:rsidRPr="002D0AC7" w:rsidR="00EC77D9" w:rsidP="00B21155"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B21155" w:rsidRDefault="00EC77D9" w14:paraId="412F3655" w14:textId="77777777">
      <w:pPr>
        <w:spacing w:after="0" w:line="360" w:lineRule="auto"/>
        <w:rPr>
          <w:rFonts w:eastAsia="Times New Roman" w:cs="Tahoma"/>
          <w:bCs/>
          <w:iCs/>
          <w:color w:val="auto"/>
          <w:lang w:val="es-ES" w:eastAsia="es-ES"/>
        </w:rPr>
      </w:pPr>
    </w:p>
    <w:p w:rsidRPr="002D0AC7" w:rsidR="00EC77D9" w:rsidP="00B21155" w:rsidRDefault="00EC77D9" w14:paraId="4B442488" w14:textId="7777777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EC77D9" w:rsidP="00B21155" w:rsidRDefault="00EC77D9" w14:paraId="103A6474" w14:textId="77777777">
      <w:pPr>
        <w:spacing w:after="0" w:line="360" w:lineRule="auto"/>
        <w:jc w:val="center"/>
        <w:rPr>
          <w:rFonts w:eastAsia="Times New Roman" w:cs="Tahoma"/>
          <w:b/>
          <w:color w:val="auto"/>
          <w:lang w:val="es-ES" w:eastAsia="es-ES"/>
        </w:rPr>
      </w:pPr>
    </w:p>
    <w:p w:rsidRPr="002D0AC7" w:rsidR="00EC77D9" w:rsidP="00B21155"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B21155"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B21155" w:rsidRDefault="00EC77D9" w14:paraId="1F83A937" w14:textId="77777777">
      <w:pPr>
        <w:spacing w:after="0" w:line="360" w:lineRule="auto"/>
        <w:rPr>
          <w:rFonts w:eastAsia="Times New Roman" w:cs="Tahoma"/>
          <w:bCs/>
          <w:color w:val="auto"/>
          <w:lang w:eastAsia="es-ES"/>
        </w:rPr>
      </w:pPr>
      <w:bookmarkStart w:name="_Hlk63334754" w:id="0"/>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2D0AC7" w:rsidR="00EC77D9" w:rsidP="00B21155" w:rsidRDefault="00EC77D9" w14:paraId="18FF6F8F" w14:textId="77777777">
      <w:pPr>
        <w:spacing w:after="0" w:line="360" w:lineRule="auto"/>
      </w:pPr>
    </w:p>
    <w:p w:rsidRPr="002D0AC7" w:rsidR="00EC77D9" w:rsidP="00B21155" w:rsidRDefault="00EC77D9" w14:paraId="1A678CDB" w14:textId="7777777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Pr="002D0AC7" w:rsidR="00EC77D9" w:rsidP="00B21155"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C77D9" w:rsidP="00B21155"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3B9478FB" w14:textId="77777777">
      <w:pPr>
        <w:spacing w:after="0" w:line="360" w:lineRule="auto"/>
        <w:rPr>
          <w:b/>
          <w:lang w:val="es-ES"/>
        </w:rPr>
      </w:pPr>
      <w:r w:rsidRPr="002D0AC7">
        <w:rPr>
          <w:b/>
          <w:lang w:val="es-ES"/>
        </w:rPr>
        <w:t>Causales de improcedencia</w:t>
      </w:r>
    </w:p>
    <w:p w:rsidRPr="002D0AC7" w:rsidR="00EC77D9" w:rsidP="00B21155" w:rsidRDefault="00EC77D9" w14:paraId="49F1FD7D" w14:textId="77777777">
      <w:pPr>
        <w:spacing w:after="0" w:line="360" w:lineRule="auto"/>
      </w:pPr>
    </w:p>
    <w:p w:rsidRPr="002D0AC7" w:rsidR="00EC77D9" w:rsidP="00B21155"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B21155" w:rsidRDefault="00EC77D9" w14:paraId="2116FC2C" w14:textId="77777777">
      <w:pPr>
        <w:spacing w:after="0" w:line="360" w:lineRule="auto"/>
        <w:rPr>
          <w:rFonts w:eastAsia="Times New Roman" w:cs="Tahoma"/>
          <w:color w:val="auto"/>
          <w:lang w:eastAsia="es-ES"/>
        </w:rPr>
      </w:pPr>
    </w:p>
    <w:p w:rsidRPr="002D0AC7" w:rsidR="00EC77D9" w:rsidP="00B21155" w:rsidRDefault="00EC77D9" w14:paraId="09D4E746" w14:textId="1C095575">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EC77D9" w:rsidP="00B21155" w:rsidRDefault="00EC77D9" w14:paraId="47B92040" w14:textId="77777777">
      <w:pPr>
        <w:spacing w:after="0" w:line="360" w:lineRule="auto"/>
        <w:rPr>
          <w:rFonts w:eastAsia="Times New Roman" w:cs="Tahoma"/>
          <w:color w:val="auto"/>
          <w:lang w:eastAsia="es-ES"/>
        </w:rPr>
      </w:pPr>
    </w:p>
    <w:p w:rsidRPr="002D0AC7" w:rsidR="00EC77D9" w:rsidP="00B21155" w:rsidRDefault="00EC77D9" w14:paraId="24171D74" w14:textId="7777777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w:t>
      </w:r>
      <w:r w:rsidRPr="002D0AC7">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rsidRPr="002D0AC7" w:rsidR="00EC77D9" w:rsidP="00B21155" w:rsidRDefault="00EC77D9" w14:paraId="25D1BBB1" w14:textId="77777777">
      <w:pPr>
        <w:spacing w:after="0" w:line="360" w:lineRule="auto"/>
        <w:rPr>
          <w:rFonts w:eastAsia="Times New Roman" w:cs="Tahoma"/>
          <w:color w:val="auto"/>
          <w:lang w:val="es-ES" w:eastAsia="es-ES"/>
        </w:rPr>
      </w:pPr>
    </w:p>
    <w:p w:rsidRPr="002D0AC7" w:rsidR="00EC77D9" w:rsidP="00B21155" w:rsidRDefault="00EC77D9" w14:paraId="7A1A32E3" w14:textId="7777777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EC77D9" w:rsidP="00B21155" w:rsidRDefault="00EC77D9" w14:paraId="5A1F3A81" w14:textId="77777777">
      <w:pPr>
        <w:spacing w:after="0" w:line="360" w:lineRule="auto"/>
        <w:rPr>
          <w:rFonts w:eastAsia="Times New Roman" w:cs="Tahoma"/>
          <w:bCs/>
          <w:color w:val="auto"/>
          <w:lang w:val="es-ES" w:eastAsia="es-ES"/>
        </w:rPr>
      </w:pPr>
    </w:p>
    <w:p w:rsidR="00EC77D9" w:rsidP="00B21155" w:rsidRDefault="00EC77D9" w14:paraId="7B14536E" w14:textId="0D9B7EFF">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Pr="002D0AC7" w:rsidR="007D64DF" w:rsidP="00B21155" w:rsidRDefault="007D64DF" w14:paraId="2163A95F" w14:textId="77777777">
      <w:pPr>
        <w:spacing w:after="0" w:line="360" w:lineRule="auto"/>
        <w:rPr>
          <w:rFonts w:eastAsia="Times New Roman" w:cs="Tahoma"/>
          <w:bCs/>
          <w:color w:val="0D0D0D" w:themeColor="text1" w:themeTint="F2"/>
          <w:lang w:eastAsia="es-ES"/>
        </w:rPr>
      </w:pPr>
    </w:p>
    <w:p w:rsidR="006607EA" w:rsidP="00B21155" w:rsidRDefault="00EC77D9" w14:paraId="63CB641D"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rsidR="006607EA" w:rsidP="00B21155" w:rsidRDefault="006607EA" w14:paraId="1DA7DE69" w14:textId="77777777">
      <w:pPr>
        <w:spacing w:after="0" w:line="360" w:lineRule="auto"/>
        <w:rPr>
          <w:rFonts w:eastAsia="Times New Roman" w:cs="Tahoma"/>
          <w:bCs/>
          <w:color w:val="0D0D0D" w:themeColor="text1" w:themeTint="F2"/>
          <w:lang w:eastAsia="es-ES"/>
        </w:rPr>
      </w:pPr>
    </w:p>
    <w:p w:rsidRPr="002D0AC7" w:rsidR="00EC77D9" w:rsidP="00B21155" w:rsidRDefault="00EC77D9" w14:paraId="0D0171D0" w14:textId="0CCC88C6">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2D0AC7" w:rsidR="00EC77D9" w:rsidP="00B21155" w:rsidRDefault="00EC77D9" w14:paraId="0B77DFE7" w14:textId="77777777">
      <w:pPr>
        <w:spacing w:after="0" w:line="360" w:lineRule="auto"/>
        <w:rPr>
          <w:rFonts w:eastAsia="Times New Roman" w:cs="Tahoma"/>
          <w:color w:val="auto"/>
          <w:lang w:eastAsia="es-ES"/>
        </w:rPr>
      </w:pPr>
    </w:p>
    <w:p w:rsidRPr="002D0AC7" w:rsidR="00EC77D9" w:rsidP="00B21155" w:rsidRDefault="00EC77D9" w14:paraId="10D56242"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EC77D9" w:rsidP="00B21155" w:rsidRDefault="00EC77D9" w14:paraId="65274070"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2DDFE6F3" w14:textId="7777777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rsidR="00B61BF0" w:rsidP="00B21155" w:rsidRDefault="00B61BF0" w14:paraId="78E463DE" w14:textId="77777777">
      <w:pPr>
        <w:autoSpaceDE w:val="0"/>
        <w:autoSpaceDN w:val="0"/>
        <w:adjustRightInd w:val="0"/>
        <w:spacing w:after="0" w:line="360" w:lineRule="auto"/>
        <w:rPr>
          <w:rFonts w:eastAsia="Calibri" w:cs="Tahoma"/>
          <w:color w:val="000000"/>
          <w:lang w:val="es-ES" w:eastAsia="es-MX"/>
        </w:rPr>
      </w:pPr>
    </w:p>
    <w:p w:rsidR="007D64DF" w:rsidP="006607EA" w:rsidRDefault="00EC77D9" w14:paraId="5801027C" w14:textId="5C07E60F">
      <w:pPr>
        <w:autoSpaceDE w:val="0"/>
        <w:autoSpaceDN w:val="0"/>
        <w:adjustRightInd w:val="0"/>
        <w:spacing w:after="0" w:line="360" w:lineRule="auto"/>
        <w:rPr>
          <w:rFonts w:cs="Tahoma"/>
        </w:rPr>
      </w:pPr>
      <w:r w:rsidRPr="002D0AC7">
        <w:rPr>
          <w:rFonts w:eastAsia="Calibri" w:cs="Tahoma"/>
          <w:color w:val="000000"/>
          <w:lang w:val="es-ES" w:eastAsia="es-MX"/>
        </w:rPr>
        <w:lastRenderedPageBreak/>
        <w:t xml:space="preserve">Con el objeto de ilustrar la controversia planteada, resulta conveniente precisar, que una vez realizado el estudio de las constancias que integran el expediente en que se actúa, se desprende que el Particular </w:t>
      </w:r>
      <w:r w:rsidRPr="002D0AC7">
        <w:rPr>
          <w:rFonts w:cs="Tahoma"/>
        </w:rPr>
        <w:t>requirió</w:t>
      </w:r>
      <w:r w:rsidR="000823E5">
        <w:rPr>
          <w:rFonts w:cs="Tahoma"/>
        </w:rPr>
        <w:t xml:space="preserve"> </w:t>
      </w:r>
      <w:r w:rsidR="006607EA">
        <w:rPr>
          <w:rFonts w:cs="Tahoma"/>
        </w:rPr>
        <w:t>conocer respecto a la Feria Nacional de Ixtapaluca, el número total de boletos “Acceso VIP” vendidos para cada uno de los eventos, así como, el monto recaudado, vías y lugares que fungieron como puntos de venta.</w:t>
      </w:r>
    </w:p>
    <w:p w:rsidRPr="005F71FE" w:rsidR="006607EA" w:rsidP="006607EA" w:rsidRDefault="006607EA" w14:paraId="2B142EB5" w14:textId="77777777">
      <w:pPr>
        <w:autoSpaceDE w:val="0"/>
        <w:autoSpaceDN w:val="0"/>
        <w:adjustRightInd w:val="0"/>
        <w:spacing w:after="0" w:line="360" w:lineRule="auto"/>
        <w:rPr>
          <w:rFonts w:eastAsia="Calibri" w:cs="Tahoma"/>
          <w:lang w:val="es-ES" w:eastAsia="es-MX"/>
        </w:rPr>
      </w:pPr>
    </w:p>
    <w:p w:rsidRPr="002D0AC7" w:rsidR="00EC77D9" w:rsidP="00B21155" w:rsidRDefault="00EC77D9" w14:paraId="6BB249AF" w14:textId="7777777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C77D9" w:rsidP="00B21155" w:rsidRDefault="00EC77D9" w14:paraId="31C1B3D7" w14:textId="77777777">
      <w:pPr>
        <w:tabs>
          <w:tab w:val="left" w:pos="4962"/>
        </w:tabs>
        <w:spacing w:after="0" w:line="360" w:lineRule="auto"/>
        <w:rPr>
          <w:rFonts w:eastAsia="Calibri" w:cs="Tahoma"/>
          <w:iCs/>
          <w:lang w:val="es-ES"/>
        </w:rPr>
      </w:pPr>
    </w:p>
    <w:p w:rsidRPr="002D0AC7" w:rsidR="00EC77D9" w:rsidP="00B21155"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B21155" w:rsidRDefault="00EC77D9" w14:paraId="461FBDF4" w14:textId="77777777">
      <w:pPr>
        <w:spacing w:after="0" w:line="360" w:lineRule="auto"/>
        <w:rPr>
          <w:rFonts w:eastAsia="Calibri" w:cs="Tahoma"/>
          <w:color w:val="auto"/>
          <w:lang w:eastAsia="es-ES_tradnl"/>
        </w:rPr>
      </w:pPr>
    </w:p>
    <w:p w:rsidRPr="002D0AC7" w:rsidR="00EC77D9" w:rsidP="00B21155" w:rsidRDefault="00EC77D9" w14:paraId="4AC719C6" w14:textId="7777777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Pr="002D0AC7" w:rsidR="00EC77D9" w:rsidP="00B21155"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2D0AC7" w:rsidR="00EC77D9" w:rsidP="00B21155" w:rsidRDefault="00EC77D9" w14:paraId="24646644"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61BF0" w:rsidP="00B21155" w:rsidRDefault="00B61BF0" w14:paraId="3F9F3ECE" w14:textId="77777777">
      <w:pPr>
        <w:spacing w:after="0" w:line="360" w:lineRule="auto"/>
        <w:rPr>
          <w:rFonts w:eastAsia="Times New Roman" w:cs="Tahoma"/>
          <w:bCs/>
          <w:iCs/>
          <w:color w:val="auto"/>
          <w:lang w:eastAsia="es-ES"/>
        </w:rPr>
      </w:pPr>
    </w:p>
    <w:p w:rsidRPr="002D0AC7" w:rsidR="00EC77D9" w:rsidP="00B21155" w:rsidRDefault="00EC77D9" w14:paraId="27585E1D" w14:textId="6CD8436B">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C77D9" w:rsidP="00B21155" w:rsidRDefault="00EC77D9" w14:paraId="041F4605" w14:textId="77777777">
      <w:pPr>
        <w:spacing w:after="0" w:line="360" w:lineRule="auto"/>
        <w:rPr>
          <w:rFonts w:eastAsia="Times New Roman" w:cs="Tahoma"/>
          <w:bCs/>
          <w:iCs/>
          <w:color w:val="auto"/>
          <w:lang w:eastAsia="es-ES"/>
        </w:rPr>
      </w:pPr>
    </w:p>
    <w:p w:rsidRPr="002D0AC7" w:rsidR="00EC77D9" w:rsidP="00B21155" w:rsidRDefault="00EC77D9" w14:paraId="3ECDEC3B"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C77D9" w:rsidP="00B21155" w:rsidRDefault="00EC77D9" w14:paraId="7CEC7908" w14:textId="77777777">
      <w:pPr>
        <w:spacing w:after="0" w:line="360" w:lineRule="auto"/>
        <w:rPr>
          <w:rFonts w:eastAsia="Times New Roman" w:cs="Tahoma"/>
          <w:bCs/>
          <w:iCs/>
          <w:color w:val="auto"/>
          <w:lang w:eastAsia="es-ES"/>
        </w:rPr>
      </w:pPr>
    </w:p>
    <w:p w:rsidRPr="002D0AC7" w:rsidR="00EC77D9" w:rsidP="00B21155" w:rsidRDefault="00EC77D9" w14:paraId="16EC33C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C77D9" w:rsidP="00B21155" w:rsidRDefault="00EC77D9" w14:paraId="7E8BF7BE" w14:textId="77777777">
      <w:pPr>
        <w:spacing w:after="0" w:line="360" w:lineRule="auto"/>
        <w:rPr>
          <w:rFonts w:eastAsia="Times New Roman" w:cs="Tahoma"/>
          <w:bCs/>
          <w:iCs/>
          <w:color w:val="auto"/>
          <w:lang w:eastAsia="es-ES"/>
        </w:rPr>
      </w:pPr>
    </w:p>
    <w:p w:rsidRPr="002D0AC7" w:rsidR="00EC77D9" w:rsidP="00B21155" w:rsidRDefault="00EC77D9" w14:paraId="5AAC1DAC"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C77D9" w:rsidP="00B21155" w:rsidRDefault="00EC77D9" w14:paraId="17FB2DD2" w14:textId="77777777">
      <w:pPr>
        <w:spacing w:after="0" w:line="360" w:lineRule="auto"/>
        <w:rPr>
          <w:rFonts w:eastAsia="Times New Roman" w:cs="Tahoma"/>
          <w:bCs/>
          <w:iCs/>
          <w:color w:val="auto"/>
          <w:lang w:eastAsia="es-ES"/>
        </w:rPr>
      </w:pPr>
    </w:p>
    <w:p w:rsidRPr="002D0AC7" w:rsidR="00EC77D9" w:rsidP="00B21155" w:rsidRDefault="00EC77D9" w14:paraId="1A199F11" w14:textId="7777777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D0AC7" w:rsidR="00EC77D9" w:rsidP="00B21155" w:rsidRDefault="00EC77D9" w14:paraId="63F8177B" w14:textId="77777777">
      <w:pPr>
        <w:spacing w:after="0" w:line="360" w:lineRule="auto"/>
        <w:rPr>
          <w:rFonts w:eastAsia="Times New Roman" w:cs="Tahoma"/>
          <w:bCs/>
          <w:iCs/>
          <w:color w:val="auto"/>
          <w:lang w:eastAsia="es-ES"/>
        </w:rPr>
      </w:pPr>
    </w:p>
    <w:p w:rsidRPr="002D0AC7" w:rsidR="00EC77D9" w:rsidP="00B21155" w:rsidRDefault="00EC77D9" w14:paraId="3FA9AE6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D0AC7" w:rsidR="00EC77D9" w:rsidP="00B21155" w:rsidRDefault="00EC77D9" w14:paraId="6B93EA99" w14:textId="77777777">
      <w:pPr>
        <w:spacing w:after="0" w:line="360" w:lineRule="auto"/>
        <w:rPr>
          <w:rFonts w:eastAsia="Times New Roman" w:cs="Tahoma"/>
          <w:bCs/>
          <w:iCs/>
          <w:color w:val="auto"/>
          <w:lang w:eastAsia="es-ES"/>
        </w:rPr>
      </w:pPr>
    </w:p>
    <w:p w:rsidR="00EC77D9" w:rsidP="00B21155" w:rsidRDefault="00EC77D9" w14:paraId="5F7D7557" w14:textId="09502B95">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rsidRPr="002D0AC7" w:rsidR="00EC77D9" w:rsidP="00B21155" w:rsidRDefault="00EC77D9" w14:paraId="32385722" w14:textId="496D520C">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sidRPr="000F5705" w:rsidR="00E40057">
        <w:rPr>
          <w:rFonts w:eastAsia="Calibri" w:cs="Tahoma"/>
        </w:rPr>
        <w:t xml:space="preserve">Ayuntamiento de </w:t>
      </w:r>
      <w:r w:rsidR="00B61BF0">
        <w:rPr>
          <w:rFonts w:eastAsia="Calibri" w:cs="Tahoma"/>
        </w:rPr>
        <w:t>Ixtapaluca</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B21155" w:rsidRDefault="00EC77D9" w14:paraId="367391FD" w14:textId="77777777">
      <w:pPr>
        <w:spacing w:after="0" w:line="360" w:lineRule="auto"/>
        <w:rPr>
          <w:rFonts w:eastAsia="Times New Roman" w:cs="Tahoma"/>
          <w:bCs/>
          <w:iCs/>
          <w:color w:val="auto"/>
          <w:lang w:eastAsia="es-ES"/>
        </w:rPr>
      </w:pPr>
    </w:p>
    <w:p w:rsidRPr="002D0AC7" w:rsidR="00EC77D9" w:rsidP="00B21155"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B21155" w:rsidRDefault="00EC77D9" w14:paraId="43F50E59" w14:textId="77777777">
      <w:pPr>
        <w:spacing w:after="0" w:line="360" w:lineRule="auto"/>
        <w:rPr>
          <w:rFonts w:eastAsia="Times New Roman" w:cs="Tahoma"/>
          <w:bCs/>
          <w:iCs/>
          <w:color w:val="auto"/>
          <w:lang w:eastAsia="es-ES"/>
        </w:rPr>
      </w:pPr>
    </w:p>
    <w:p w:rsidRPr="002D0AC7" w:rsidR="00EC77D9" w:rsidP="00B21155"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EC77D9" w:rsidP="00B21155" w:rsidRDefault="00EC77D9" w14:paraId="114F2252" w14:textId="77777777">
      <w:pPr>
        <w:spacing w:after="0" w:line="360" w:lineRule="auto"/>
        <w:ind w:left="720"/>
        <w:rPr>
          <w:rFonts w:eastAsia="Times New Roman" w:cs="Tahoma"/>
          <w:bCs/>
          <w:iCs/>
          <w:color w:val="auto"/>
          <w:lang w:eastAsia="es-ES"/>
        </w:rPr>
      </w:pPr>
    </w:p>
    <w:p w:rsidRPr="002D0AC7" w:rsidR="00EC77D9" w:rsidP="00B21155"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Pr="002D0AC7" w:rsidR="00EC77D9" w:rsidP="00B21155" w:rsidRDefault="00EC77D9" w14:paraId="0B78ABEB" w14:textId="77777777">
      <w:pPr>
        <w:spacing w:after="0" w:line="360" w:lineRule="auto"/>
        <w:ind w:left="720"/>
        <w:rPr>
          <w:rFonts w:eastAsia="Times New Roman" w:cs="Tahoma"/>
          <w:bCs/>
          <w:iCs/>
          <w:color w:val="auto"/>
          <w:lang w:eastAsia="es-ES"/>
        </w:rPr>
      </w:pPr>
    </w:p>
    <w:p w:rsidRPr="002D0AC7" w:rsidR="00EC77D9" w:rsidP="00B21155"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B21155" w:rsidRDefault="00EC77D9" w14:paraId="481A5B4D" w14:textId="77777777">
      <w:pPr>
        <w:spacing w:after="0" w:line="360" w:lineRule="auto"/>
        <w:rPr>
          <w:rFonts w:eastAsia="Times New Roman" w:cs="Tahoma"/>
          <w:bCs/>
          <w:iCs/>
          <w:color w:val="auto"/>
          <w:lang w:eastAsia="es-ES"/>
        </w:rPr>
      </w:pPr>
    </w:p>
    <w:p w:rsidRPr="002D0AC7" w:rsidR="00EC77D9" w:rsidP="00B21155"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D0AC7" w:rsidR="00EC77D9" w:rsidP="00B21155" w:rsidRDefault="00EC77D9" w14:paraId="09FBF755" w14:textId="77777777">
      <w:pPr>
        <w:spacing w:after="0" w:line="360" w:lineRule="auto"/>
        <w:rPr>
          <w:rFonts w:eastAsia="Times New Roman" w:cs="Tahoma"/>
          <w:bCs/>
          <w:iCs/>
          <w:color w:val="auto"/>
          <w:lang w:eastAsia="es-ES"/>
        </w:rPr>
      </w:pPr>
    </w:p>
    <w:p w:rsidRPr="002D0AC7" w:rsidR="00EC77D9" w:rsidP="00B21155"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0AC7" w:rsidR="00EC77D9" w:rsidP="00B21155" w:rsidRDefault="00EC77D9" w14:paraId="5DDD829A" w14:textId="77777777">
      <w:pPr>
        <w:spacing w:after="0" w:line="360" w:lineRule="auto"/>
        <w:rPr>
          <w:rFonts w:eastAsia="Times New Roman" w:cs="Tahoma"/>
          <w:bCs/>
          <w:iCs/>
          <w:color w:val="auto"/>
          <w:lang w:eastAsia="es-ES"/>
        </w:rPr>
      </w:pPr>
    </w:p>
    <w:p w:rsidRPr="002D0AC7" w:rsidR="00EC77D9" w:rsidP="00B21155"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EC77D9" w:rsidP="00B21155" w:rsidRDefault="00EC77D9" w14:paraId="08422510" w14:textId="77777777">
      <w:pPr>
        <w:spacing w:after="0" w:line="360" w:lineRule="auto"/>
        <w:rPr>
          <w:rFonts w:eastAsia="Times New Roman" w:cs="Tahoma"/>
          <w:bCs/>
          <w:iCs/>
          <w:color w:val="auto"/>
          <w:lang w:eastAsia="es-ES"/>
        </w:rPr>
      </w:pPr>
    </w:p>
    <w:p w:rsidRPr="002D0AC7" w:rsidR="00EC77D9" w:rsidP="00B21155" w:rsidRDefault="00EC77D9" w14:paraId="6C94918E"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2D0AC7" w:rsidR="00EC77D9" w:rsidP="00B21155" w:rsidRDefault="00EC77D9" w14:paraId="1AA0DE03" w14:textId="77777777">
      <w:pPr>
        <w:spacing w:after="0" w:line="360" w:lineRule="auto"/>
        <w:ind w:left="720"/>
        <w:rPr>
          <w:rFonts w:eastAsia="Times New Roman" w:cs="Tahoma"/>
          <w:bCs/>
          <w:iCs/>
          <w:color w:val="auto"/>
          <w:lang w:eastAsia="es-ES"/>
        </w:rPr>
      </w:pPr>
    </w:p>
    <w:p w:rsidRPr="002D0AC7" w:rsidR="00EC77D9" w:rsidP="00B21155" w:rsidRDefault="00EC77D9" w14:paraId="2871E272"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D0AC7" w:rsidR="00EC77D9" w:rsidP="00B21155" w:rsidRDefault="00EC77D9" w14:paraId="34090296" w14:textId="77777777">
      <w:pPr>
        <w:spacing w:after="0" w:line="360" w:lineRule="auto"/>
        <w:rPr>
          <w:rFonts w:eastAsia="Times New Roman" w:cs="Tahoma"/>
          <w:bCs/>
          <w:iCs/>
          <w:color w:val="auto"/>
          <w:lang w:eastAsia="es-ES"/>
        </w:rPr>
      </w:pPr>
    </w:p>
    <w:p w:rsidRPr="002D0AC7" w:rsidR="00EC77D9" w:rsidP="00B21155"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 xml:space="preserve">quince días, contados a partir del día </w:t>
      </w:r>
      <w:r w:rsidRPr="002D0AC7">
        <w:rPr>
          <w:rFonts w:eastAsia="Times New Roman" w:cs="Tahoma"/>
          <w:b/>
          <w:bCs/>
          <w:iCs/>
          <w:color w:val="auto"/>
          <w:lang w:eastAsia="es-ES"/>
        </w:rPr>
        <w:lastRenderedPageBreak/>
        <w:t>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D0AC7" w:rsidR="00EC77D9" w:rsidP="00B21155" w:rsidRDefault="00EC77D9" w14:paraId="32C5FDA4" w14:textId="77777777">
      <w:pPr>
        <w:spacing w:after="0" w:line="360" w:lineRule="auto"/>
        <w:rPr>
          <w:rFonts w:eastAsia="Times New Roman" w:cs="Tahoma"/>
          <w:bCs/>
          <w:iCs/>
          <w:color w:val="auto"/>
          <w:lang w:eastAsia="es-ES"/>
        </w:rPr>
      </w:pPr>
    </w:p>
    <w:p w:rsidRPr="002D0AC7" w:rsidR="00EC77D9" w:rsidP="00B21155"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B21155" w:rsidRDefault="00EC77D9" w14:paraId="512323EC" w14:textId="77777777">
      <w:pPr>
        <w:spacing w:after="0" w:line="360" w:lineRule="auto"/>
        <w:rPr>
          <w:rFonts w:eastAsia="Times New Roman" w:cs="Tahoma"/>
          <w:b/>
          <w:bCs/>
          <w:iCs/>
          <w:color w:val="auto"/>
          <w:lang w:eastAsia="es-ES"/>
        </w:rPr>
      </w:pPr>
    </w:p>
    <w:p w:rsidRPr="002D0AC7" w:rsidR="00EC77D9" w:rsidP="00B21155" w:rsidRDefault="00EC77D9" w14:paraId="4C25FFA8"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2D0AC7" w:rsidR="00EC77D9" w:rsidP="00B21155" w:rsidRDefault="00EC77D9" w14:paraId="68CDB196" w14:textId="77777777">
      <w:pPr>
        <w:pStyle w:val="Prrafodelista"/>
        <w:spacing w:after="0" w:line="360" w:lineRule="auto"/>
        <w:rPr>
          <w:rFonts w:eastAsia="Times New Roman" w:cs="Tahoma"/>
          <w:b/>
          <w:bCs/>
          <w:iCs/>
          <w:color w:val="auto"/>
          <w:lang w:eastAsia="es-ES"/>
        </w:rPr>
      </w:pPr>
    </w:p>
    <w:p w:rsidRPr="002D0AC7" w:rsidR="00EC77D9" w:rsidP="00B21155" w:rsidRDefault="00EC77D9" w14:paraId="3622B45D"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B61BF0" w:rsidP="00B21155" w:rsidRDefault="00B61BF0" w14:paraId="210DC243" w14:textId="77777777">
      <w:pPr>
        <w:spacing w:after="0" w:line="360" w:lineRule="auto"/>
        <w:rPr>
          <w:rFonts w:eastAsia="Calibri" w:cs="Tahoma"/>
        </w:rPr>
      </w:pPr>
    </w:p>
    <w:p w:rsidRPr="000F5705" w:rsidR="000F5705" w:rsidP="00B21155" w:rsidRDefault="000F5705" w14:paraId="60F87A85" w14:textId="02D5654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0F5705">
        <w:rPr>
          <w:rFonts w:eastAsia="Calibri" w:cs="Tahoma"/>
          <w:b/>
        </w:rPr>
        <w:t xml:space="preserve">el Ayuntamiento de </w:t>
      </w:r>
      <w:r w:rsidR="00B61BF0">
        <w:rPr>
          <w:rFonts w:eastAsia="Calibri" w:cs="Tahoma"/>
          <w:b/>
        </w:rPr>
        <w:t>Ixtapaluca</w:t>
      </w:r>
      <w:r w:rsidRPr="000F5705">
        <w:rPr>
          <w:rFonts w:eastAsia="Calibri" w:cs="Tahoma"/>
        </w:rPr>
        <w:t xml:space="preserve">, no había </w:t>
      </w:r>
      <w:r w:rsidRPr="000F5705">
        <w:rPr>
          <w:rFonts w:eastAsia="Calibri" w:cs="Tahoma"/>
        </w:rPr>
        <w:lastRenderedPageBreak/>
        <w:t xml:space="preserve">registrado respuesta al requerimiento de acceso a la información, el cual se presentó, el </w:t>
      </w:r>
      <w:r w:rsidR="006607EA">
        <w:rPr>
          <w:rFonts w:eastAsia="Calibri" w:cs="Tahoma"/>
        </w:rPr>
        <w:t>ocho de junio</w:t>
      </w:r>
      <w:r w:rsidRPr="000F5705">
        <w:rPr>
          <w:rFonts w:eastAsia="Calibri" w:cs="Tahoma"/>
        </w:rPr>
        <w:t xml:space="preserve"> de dos mil veintidós.</w:t>
      </w:r>
    </w:p>
    <w:p w:rsidRPr="000F5705" w:rsidR="000F5705" w:rsidP="00B21155" w:rsidRDefault="000F5705" w14:paraId="37813AFA" w14:textId="77777777">
      <w:pPr>
        <w:spacing w:after="0" w:line="360" w:lineRule="auto"/>
        <w:rPr>
          <w:rFonts w:eastAsia="Calibri" w:cs="Tahoma"/>
        </w:rPr>
      </w:pPr>
    </w:p>
    <w:p w:rsidRPr="000F5705" w:rsidR="000F5705" w:rsidP="00B21155" w:rsidRDefault="000F5705" w14:paraId="73C0498E" w14:textId="1AB444E0">
      <w:pPr>
        <w:spacing w:after="0" w:line="360" w:lineRule="auto"/>
        <w:rPr>
          <w:rFonts w:eastAsia="Calibri" w:cs="Tahoma"/>
        </w:rPr>
      </w:pPr>
      <w:r w:rsidRPr="000F5705">
        <w:rPr>
          <w:rFonts w:eastAsia="Calibri" w:cs="Tahoma"/>
          <w:bCs/>
        </w:rPr>
        <w:t xml:space="preserve">En ese orden de ideas, el plazo con el que contaba el Sujeto Obligado para emitir contestación al requerimiento informativo comenzó a correr el </w:t>
      </w:r>
      <w:r w:rsidR="00BB3910">
        <w:rPr>
          <w:rFonts w:eastAsia="Calibri" w:cs="Tahoma"/>
        </w:rPr>
        <w:t>nueve</w:t>
      </w:r>
      <w:r>
        <w:rPr>
          <w:rFonts w:eastAsia="Calibri" w:cs="Tahoma"/>
        </w:rPr>
        <w:t xml:space="preserve"> </w:t>
      </w:r>
      <w:r w:rsidRPr="000F5705">
        <w:rPr>
          <w:rFonts w:eastAsia="Calibri" w:cs="Tahoma"/>
        </w:rPr>
        <w:t xml:space="preserve">y feneció el </w:t>
      </w:r>
      <w:r w:rsidR="00BB3910">
        <w:rPr>
          <w:rFonts w:eastAsia="Calibri" w:cs="Tahoma"/>
        </w:rPr>
        <w:t>veintinueve</w:t>
      </w:r>
      <w:r w:rsidRPr="000F5705">
        <w:rPr>
          <w:rFonts w:eastAsia="Calibri" w:cs="Tahoma"/>
        </w:rPr>
        <w:t xml:space="preserve"> ambos de </w:t>
      </w:r>
      <w:r w:rsidR="00BB3910">
        <w:rPr>
          <w:rFonts w:eastAsia="Calibri" w:cs="Tahoma"/>
        </w:rPr>
        <w:t xml:space="preserve">junio de </w:t>
      </w:r>
      <w:r w:rsidRPr="000F5705">
        <w:rPr>
          <w:rFonts w:eastAsia="Calibri" w:cs="Tahoma"/>
        </w:rPr>
        <w:t xml:space="preserve">la presente anualidad; lo anterior, sin contar los días </w:t>
      </w:r>
      <w:r w:rsidR="00BB3910">
        <w:rPr>
          <w:rFonts w:eastAsia="Calibri" w:cs="Tahoma"/>
        </w:rPr>
        <w:t>once, doce, dieciocho, diecinueve, veinticinco y veintiséis de dicho mes y año</w:t>
      </w:r>
      <w:r w:rsidRPr="000F5705">
        <w:rPr>
          <w:rFonts w:eastAsia="Calibri" w:cs="Tahoma"/>
        </w:rPr>
        <w:t xml:space="preserve">, al ser inhábiles, </w:t>
      </w:r>
      <w:r w:rsidRPr="000F5705">
        <w:rPr>
          <w:rFonts w:eastAsia="Batang" w:cs="Tahoma"/>
          <w:bCs/>
        </w:rPr>
        <w:t xml:space="preserve">de conformidad con los artículos 3°, fracción X, de la Ley de Transparencia y Acceso a la Información Pública del Estado de México y Municipios y el </w:t>
      </w:r>
      <w:r w:rsidRPr="000F5705">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0F5705" w:rsidR="000F5705" w:rsidP="00B21155" w:rsidRDefault="000F5705" w14:paraId="32D2CA64" w14:textId="77777777">
      <w:pPr>
        <w:spacing w:after="0" w:line="360" w:lineRule="auto"/>
        <w:rPr>
          <w:rFonts w:eastAsia="Calibri" w:cs="Tahoma"/>
        </w:rPr>
      </w:pPr>
    </w:p>
    <w:p w:rsidRPr="000F5705" w:rsidR="000F5705" w:rsidP="00B21155" w:rsidRDefault="000F5705" w14:paraId="5BAB3744" w14:textId="77777777">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rsidRPr="000F5705" w:rsidR="000F5705" w:rsidP="00B21155" w:rsidRDefault="000F5705" w14:paraId="52741CD8" w14:textId="77777777">
      <w:pPr>
        <w:spacing w:after="0" w:line="360" w:lineRule="auto"/>
        <w:rPr>
          <w:rFonts w:eastAsia="Calibri" w:cs="Tahoma"/>
          <w:lang w:val="es-ES"/>
        </w:rPr>
      </w:pPr>
    </w:p>
    <w:p w:rsidRPr="000F5705" w:rsidR="000F5705" w:rsidP="00B21155" w:rsidRDefault="00BB3910" w14:paraId="4B836EF2" w14:textId="6EC6744F">
      <w:pPr>
        <w:spacing w:after="0" w:line="360" w:lineRule="auto"/>
        <w:jc w:val="center"/>
        <w:rPr>
          <w:rFonts w:eastAsia="Calibri" w:cs="Tahoma"/>
          <w:bCs/>
        </w:rPr>
      </w:pPr>
      <w:r>
        <w:rPr>
          <w:noProof/>
        </w:rPr>
        <w:drawing>
          <wp:inline distT="0" distB="0" distL="0" distR="0" wp14:anchorId="4E68F582" wp14:editId="385CB763">
            <wp:extent cx="3002120" cy="204787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6952" cy="2051171"/>
                    </a:xfrm>
                    <a:prstGeom prst="rect">
                      <a:avLst/>
                    </a:prstGeom>
                  </pic:spPr>
                </pic:pic>
              </a:graphicData>
            </a:graphic>
          </wp:inline>
        </w:drawing>
      </w:r>
    </w:p>
    <w:p w:rsidR="000F5705" w:rsidP="00B21155" w:rsidRDefault="000F5705" w14:paraId="0C442A03" w14:textId="57F41513">
      <w:pPr>
        <w:spacing w:after="0" w:line="360" w:lineRule="auto"/>
        <w:jc w:val="center"/>
        <w:rPr>
          <w:rFonts w:eastAsia="Calibri" w:cs="Tahoma"/>
        </w:rPr>
      </w:pPr>
    </w:p>
    <w:p w:rsidRPr="000F5705" w:rsidR="00172038" w:rsidP="00B21155" w:rsidRDefault="00172038" w14:paraId="49D95803" w14:textId="77777777">
      <w:pPr>
        <w:spacing w:after="0" w:line="360" w:lineRule="auto"/>
        <w:jc w:val="center"/>
        <w:rPr>
          <w:rFonts w:eastAsia="Calibri" w:cs="Tahoma"/>
        </w:rPr>
      </w:pPr>
    </w:p>
    <w:p w:rsidRPr="000F5705" w:rsidR="000F5705" w:rsidP="00B21155" w:rsidRDefault="000F5705" w14:paraId="2E0C5E60" w14:textId="3564CB0A">
      <w:pPr>
        <w:spacing w:after="0" w:line="360" w:lineRule="auto"/>
        <w:rPr>
          <w:rFonts w:eastAsia="Calibri" w:cs="Tahoma"/>
          <w:bCs/>
        </w:rPr>
      </w:pPr>
      <w:r w:rsidRPr="000F5705">
        <w:rPr>
          <w:rFonts w:eastAsia="Calibri" w:cs="Tahoma"/>
          <w:bCs/>
        </w:rPr>
        <w:t xml:space="preserve">Así, se colige que, tal como lo precisó el Particular, </w:t>
      </w:r>
      <w:r w:rsidRPr="000F5705">
        <w:rPr>
          <w:rFonts w:eastAsia="Calibri" w:cs="Tahoma"/>
          <w:b/>
          <w:bCs/>
        </w:rPr>
        <w:t xml:space="preserve">el </w:t>
      </w:r>
      <w:r w:rsidRPr="000F5705">
        <w:rPr>
          <w:rFonts w:eastAsia="Calibri" w:cs="Tahoma"/>
          <w:b/>
        </w:rPr>
        <w:t xml:space="preserve">Ayuntamiento de </w:t>
      </w:r>
      <w:r w:rsidR="00B61BF0">
        <w:rPr>
          <w:rFonts w:eastAsia="Calibri" w:cs="Tahoma"/>
          <w:b/>
        </w:rPr>
        <w:t>Ixtapaluca</w:t>
      </w:r>
      <w:r w:rsidRPr="000F5705">
        <w:rPr>
          <w:rFonts w:eastAsia="Calibri" w:cs="Tahoma"/>
          <w:bCs/>
        </w:rPr>
        <w:t xml:space="preserve">, no emitió respuesta para dar contestación a la solicitud de información, dentro de los plazos establecidos en el artículo 163, de la Ley de la materia, pues </w:t>
      </w:r>
      <w:r w:rsidRPr="000F5705">
        <w:rPr>
          <w:rFonts w:eastAsia="Calibri" w:cs="Tahoma"/>
          <w:b/>
          <w:bCs/>
        </w:rPr>
        <w:t xml:space="preserve">tenía hasta el </w:t>
      </w:r>
      <w:proofErr w:type="spellStart"/>
      <w:r w:rsidR="00BB3910">
        <w:rPr>
          <w:rFonts w:eastAsia="Calibri" w:cs="Tahoma"/>
          <w:b/>
          <w:bCs/>
        </w:rPr>
        <w:t>veininueve</w:t>
      </w:r>
      <w:proofErr w:type="spellEnd"/>
      <w:r w:rsidR="00B21155">
        <w:rPr>
          <w:rFonts w:eastAsia="Calibri" w:cs="Tahoma"/>
          <w:b/>
          <w:bCs/>
        </w:rPr>
        <w:t xml:space="preserve"> de junio</w:t>
      </w:r>
      <w:r w:rsidRPr="000F5705">
        <w:rPr>
          <w:rFonts w:eastAsia="Calibri" w:cs="Tahoma"/>
          <w:b/>
          <w:bCs/>
        </w:rPr>
        <w:t xml:space="preserve"> de dos mil veintidós</w:t>
      </w:r>
      <w:r w:rsidRPr="000F5705">
        <w:rPr>
          <w:rFonts w:eastAsia="Calibri" w:cs="Tahoma"/>
          <w:bCs/>
        </w:rPr>
        <w:t xml:space="preserve">, para realizar dicha situación, inclusive a la presente fecha, dicho ente no ha emitido contestación alguna; por lo que, resulta evidente que </w:t>
      </w:r>
      <w:r w:rsidRPr="000F5705">
        <w:rPr>
          <w:rFonts w:eastAsia="Calibri" w:cs="Tahoma"/>
          <w:b/>
          <w:bCs/>
        </w:rPr>
        <w:t>el agravio hecho valer por el Recurrente resulta FUNDADO.</w:t>
      </w:r>
    </w:p>
    <w:p w:rsidRPr="000F5705" w:rsidR="000F5705" w:rsidP="00B21155" w:rsidRDefault="000F5705" w14:paraId="2B8D65F0" w14:textId="77777777">
      <w:pPr>
        <w:spacing w:after="0" w:line="360" w:lineRule="auto"/>
        <w:rPr>
          <w:rFonts w:eastAsia="Calibri" w:cs="Tahoma"/>
          <w:bCs/>
        </w:rPr>
      </w:pPr>
    </w:p>
    <w:p w:rsidRPr="000F5705" w:rsidR="000F5705" w:rsidP="00B21155" w:rsidRDefault="000F5705" w14:paraId="6A8C7297" w14:textId="3FD1F539">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a los </w:t>
      </w:r>
      <w:r w:rsidR="00BB3910">
        <w:rPr>
          <w:rFonts w:eastAsia="Calibri" w:cs="Tahoma"/>
          <w:bCs/>
        </w:rPr>
        <w:t>boletos “VIP”, vendidos para el acceso a la Feria Nacional de Ixtapaluca.</w:t>
      </w:r>
    </w:p>
    <w:p w:rsidRPr="000F5705" w:rsidR="000F5705" w:rsidP="00B21155" w:rsidRDefault="000F5705" w14:paraId="2914F2DC" w14:textId="77777777">
      <w:pPr>
        <w:spacing w:after="0" w:line="360" w:lineRule="auto"/>
        <w:rPr>
          <w:rFonts w:eastAsia="Calibri" w:cs="Tahoma"/>
          <w:bCs/>
        </w:rPr>
      </w:pPr>
    </w:p>
    <w:p w:rsidR="00077B14" w:rsidP="00B21155" w:rsidRDefault="000F5705" w14:paraId="3B231037" w14:textId="4A74DE5A">
      <w:pPr>
        <w:spacing w:after="0" w:line="360" w:lineRule="auto"/>
        <w:rPr>
          <w:rFonts w:eastAsia="Calibri" w:cs="Tahoma"/>
        </w:rPr>
      </w:pPr>
      <w:r w:rsidRPr="000F5705">
        <w:rPr>
          <w:rFonts w:eastAsia="Calibri" w:cs="Times New Roman"/>
        </w:rPr>
        <w:t xml:space="preserve">Sobre el tema, </w:t>
      </w:r>
      <w:r w:rsidRPr="000F5705">
        <w:rPr>
          <w:rFonts w:eastAsia="Calibri" w:cs="Tahoma"/>
        </w:rPr>
        <w:t xml:space="preserve">los artículos </w:t>
      </w:r>
      <w:r w:rsidR="00077B14">
        <w:rPr>
          <w:rFonts w:eastAsia="Calibri" w:cs="Tahoma"/>
        </w:rPr>
        <w:t>28 y</w:t>
      </w:r>
      <w:r w:rsidR="006A271A">
        <w:rPr>
          <w:rFonts w:eastAsia="Calibri" w:cs="Tahoma"/>
        </w:rPr>
        <w:t xml:space="preserve"> 40</w:t>
      </w:r>
      <w:r w:rsidR="00077B14">
        <w:rPr>
          <w:rFonts w:eastAsia="Calibri" w:cs="Tahoma"/>
        </w:rPr>
        <w:t xml:space="preserve"> del Reglamento Orgánico de la Administración Pública Municipal de Ixtapaluca 2022-2024, establecen que el Sujeto Obligado cuenta con diversas unidades administrativas para el ejercicio de sus funciones, entre las cuales se encuentra las siguientes:</w:t>
      </w:r>
    </w:p>
    <w:p w:rsidR="00077B14" w:rsidP="00B21155" w:rsidRDefault="00077B14" w14:paraId="62F85F38" w14:textId="6D69C321">
      <w:pPr>
        <w:spacing w:after="0" w:line="360" w:lineRule="auto"/>
        <w:rPr>
          <w:rFonts w:eastAsia="Calibri" w:cs="Tahoma"/>
        </w:rPr>
      </w:pPr>
    </w:p>
    <w:p w:rsidRPr="00172038" w:rsidR="00077B14" w:rsidP="00077B14" w:rsidRDefault="00077B14" w14:paraId="0D6FB663" w14:textId="7DD9F37B">
      <w:pPr>
        <w:pStyle w:val="Prrafodelista"/>
        <w:numPr>
          <w:ilvl w:val="0"/>
          <w:numId w:val="3"/>
        </w:numPr>
        <w:spacing w:after="0" w:line="360" w:lineRule="auto"/>
        <w:rPr>
          <w:rFonts w:eastAsia="Calibri" w:cs="Tahoma"/>
          <w:b/>
          <w:bCs/>
        </w:rPr>
      </w:pPr>
      <w:r w:rsidRPr="00077B14">
        <w:rPr>
          <w:rFonts w:eastAsia="Calibri" w:cs="Tahoma"/>
          <w:b/>
          <w:bCs/>
        </w:rPr>
        <w:t>Dirección de Administración y Finanzas:</w:t>
      </w:r>
      <w:r>
        <w:rPr>
          <w:rFonts w:eastAsia="Calibri" w:cs="Tahoma"/>
          <w:b/>
          <w:bCs/>
        </w:rPr>
        <w:t xml:space="preserve"> </w:t>
      </w:r>
      <w:r>
        <w:rPr>
          <w:rFonts w:eastAsia="Calibri" w:cs="Tahoma"/>
        </w:rPr>
        <w:t>Que determina, liquida, recauda, fiscaliza y administra las contribuciones, aprovechamientos, productos, derechos y cualquier ingreso municipal</w:t>
      </w:r>
      <w:r w:rsidR="006A271A">
        <w:rPr>
          <w:rFonts w:eastAsia="Calibri" w:cs="Tahoma"/>
        </w:rPr>
        <w:t>; además, vigila que se recauden estos por los distintos conceptos.</w:t>
      </w:r>
    </w:p>
    <w:p w:rsidRPr="006A271A" w:rsidR="00172038" w:rsidP="00172038" w:rsidRDefault="00172038" w14:paraId="2D5EA94D" w14:textId="77777777">
      <w:pPr>
        <w:pStyle w:val="Prrafodelista"/>
        <w:spacing w:after="0" w:line="360" w:lineRule="auto"/>
        <w:rPr>
          <w:rFonts w:eastAsia="Calibri" w:cs="Tahoma"/>
          <w:b/>
          <w:bCs/>
        </w:rPr>
      </w:pPr>
    </w:p>
    <w:p w:rsidRPr="006A271A" w:rsidR="006A271A" w:rsidP="00077B14" w:rsidRDefault="006A271A" w14:paraId="3E552BF7" w14:textId="25E34E06">
      <w:pPr>
        <w:pStyle w:val="Prrafodelista"/>
        <w:numPr>
          <w:ilvl w:val="0"/>
          <w:numId w:val="3"/>
        </w:numPr>
        <w:spacing w:after="0" w:line="360" w:lineRule="auto"/>
        <w:rPr>
          <w:rFonts w:eastAsia="Calibri" w:cs="Tahoma"/>
          <w:b/>
          <w:bCs/>
        </w:rPr>
      </w:pPr>
      <w:r>
        <w:rPr>
          <w:rFonts w:eastAsia="Calibri" w:cs="Tahoma"/>
          <w:b/>
          <w:bCs/>
        </w:rPr>
        <w:t xml:space="preserve">Dirección de Fomento y Desarrollo Económico: </w:t>
      </w:r>
      <w:r>
        <w:rPr>
          <w:rFonts w:eastAsia="Calibri" w:cs="Tahoma"/>
        </w:rPr>
        <w:t>Que fomenta y promueve la realización de ferias y exposiciones comerciales, artesanales e industriales en el territorio nacional.</w:t>
      </w:r>
    </w:p>
    <w:p w:rsidR="00172038" w:rsidP="006A271A" w:rsidRDefault="00172038" w14:paraId="0BC774D6" w14:textId="1D93210F">
      <w:pPr>
        <w:spacing w:after="0" w:line="360" w:lineRule="auto"/>
        <w:rPr>
          <w:rFonts w:eastAsia="Calibri" w:cs="Tahoma"/>
        </w:rPr>
      </w:pPr>
    </w:p>
    <w:p w:rsidR="00172038" w:rsidP="006A271A" w:rsidRDefault="00172038" w14:paraId="306801AF" w14:textId="77777777">
      <w:pPr>
        <w:spacing w:after="0" w:line="360" w:lineRule="auto"/>
        <w:rPr>
          <w:rFonts w:eastAsia="Calibri" w:cs="Tahoma"/>
        </w:rPr>
      </w:pPr>
    </w:p>
    <w:p w:rsidR="006A271A" w:rsidP="006A271A" w:rsidRDefault="006A271A" w14:paraId="3749CA72" w14:textId="57EF20BA">
      <w:pPr>
        <w:spacing w:after="0" w:line="360" w:lineRule="auto"/>
        <w:rPr>
          <w:rFonts w:eastAsia="Calibri" w:cs="Tahoma"/>
        </w:rPr>
      </w:pPr>
      <w:r>
        <w:rPr>
          <w:rFonts w:eastAsia="Calibri" w:cs="Tahoma"/>
        </w:rPr>
        <w:t>Además, se localizó en la red oficial de Facebook, del Ayuntamiento de Ixtapaluca, que el Ente Recurrido estuvo promocionando la Feria Nacional de Ixtapaluca, dos mil veintidós, así como, costos y lugar de venta de boletos, tal como se observa en los siguientes ejemplos:</w:t>
      </w:r>
    </w:p>
    <w:p w:rsidR="006A271A" w:rsidP="006A271A" w:rsidRDefault="006A271A" w14:paraId="6C26AE92" w14:textId="32124A53">
      <w:pPr>
        <w:spacing w:after="0" w:line="360" w:lineRule="auto"/>
        <w:rPr>
          <w:rFonts w:eastAsia="Calibri" w:cs="Tahoma"/>
        </w:rPr>
      </w:pPr>
    </w:p>
    <w:p w:rsidR="00172038" w:rsidP="00172038" w:rsidRDefault="00172038" w14:paraId="02BA26D3" w14:textId="1666BA22">
      <w:pPr>
        <w:spacing w:after="0" w:line="360" w:lineRule="auto"/>
        <w:jc w:val="center"/>
        <w:rPr>
          <w:rFonts w:eastAsia="Calibri" w:cs="Tahoma"/>
        </w:rPr>
      </w:pPr>
      <w:r>
        <w:rPr>
          <w:noProof/>
        </w:rPr>
        <w:drawing>
          <wp:inline distT="0" distB="0" distL="0" distR="0" wp14:anchorId="7DFF7833" wp14:editId="02D0D475">
            <wp:extent cx="4098406" cy="5486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04624" cy="5494724"/>
                    </a:xfrm>
                    <a:prstGeom prst="rect">
                      <a:avLst/>
                    </a:prstGeom>
                  </pic:spPr>
                </pic:pic>
              </a:graphicData>
            </a:graphic>
          </wp:inline>
        </w:drawing>
      </w:r>
    </w:p>
    <w:p w:rsidRPr="006A271A" w:rsidR="006A271A" w:rsidP="006A271A" w:rsidRDefault="006A271A" w14:paraId="6DEE436D" w14:textId="6C00DDAA">
      <w:pPr>
        <w:spacing w:after="0" w:line="360" w:lineRule="auto"/>
        <w:jc w:val="center"/>
        <w:rPr>
          <w:rFonts w:eastAsia="Calibri" w:cs="Tahoma"/>
        </w:rPr>
      </w:pPr>
      <w:r>
        <w:rPr>
          <w:noProof/>
        </w:rPr>
        <w:lastRenderedPageBreak/>
        <w:drawing>
          <wp:inline distT="0" distB="0" distL="0" distR="0" wp14:anchorId="7844BADD" wp14:editId="1DBEA2A9">
            <wp:extent cx="3105150" cy="29381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7849" cy="2950157"/>
                    </a:xfrm>
                    <a:prstGeom prst="rect">
                      <a:avLst/>
                    </a:prstGeom>
                  </pic:spPr>
                </pic:pic>
              </a:graphicData>
            </a:graphic>
          </wp:inline>
        </w:drawing>
      </w:r>
    </w:p>
    <w:p w:rsidR="00077B14" w:rsidP="00B21155" w:rsidRDefault="00077B14" w14:paraId="388244F0" w14:textId="60856121">
      <w:pPr>
        <w:spacing w:after="0" w:line="360" w:lineRule="auto"/>
        <w:rPr>
          <w:rFonts w:eastAsia="Calibri" w:cs="Tahoma"/>
        </w:rPr>
      </w:pPr>
    </w:p>
    <w:p w:rsidRPr="000F5705" w:rsidR="000F5705" w:rsidP="00172038" w:rsidRDefault="000F5705" w14:paraId="2A1113DD" w14:textId="4727E657">
      <w:pPr>
        <w:spacing w:after="0" w:line="360" w:lineRule="auto"/>
        <w:rPr>
          <w:rFonts w:eastAsia="Times New Roman" w:cs="Tahoma"/>
          <w:bCs/>
          <w:color w:val="auto"/>
          <w:lang w:val="es-ES_tradnl" w:eastAsia="es-ES"/>
        </w:rPr>
      </w:pPr>
      <w:r w:rsidRPr="000F5705">
        <w:rPr>
          <w:rFonts w:eastAsia="Times New Roman" w:cs="Tahoma"/>
          <w:bCs/>
          <w:color w:val="auto"/>
          <w:lang w:val="es-ES_tradnl" w:eastAsia="es-ES"/>
        </w:rPr>
        <w:t xml:space="preserve">Como se logra observar, el Sujeto Obligado cuenta con atribuciones para pronunciarse de la información solicitada, pues </w:t>
      </w:r>
      <w:r w:rsidR="00172038">
        <w:rPr>
          <w:rFonts w:eastAsia="Times New Roman" w:cs="Tahoma"/>
          <w:bCs/>
          <w:color w:val="auto"/>
          <w:lang w:val="es-ES_tradnl" w:eastAsia="es-ES"/>
        </w:rPr>
        <w:t xml:space="preserve">se llevó a cabo la Feria Nacional de Ixtapaluca dos mil veintidós y la estuvo </w:t>
      </w:r>
      <w:proofErr w:type="spellStart"/>
      <w:r w:rsidR="00172038">
        <w:rPr>
          <w:rFonts w:eastAsia="Times New Roman" w:cs="Tahoma"/>
          <w:bCs/>
          <w:color w:val="auto"/>
          <w:lang w:val="es-ES_tradnl" w:eastAsia="es-ES"/>
        </w:rPr>
        <w:t>promocinando</w:t>
      </w:r>
      <w:proofErr w:type="spellEnd"/>
      <w:r w:rsidR="00172038">
        <w:rPr>
          <w:rFonts w:eastAsia="Times New Roman" w:cs="Tahoma"/>
          <w:bCs/>
          <w:color w:val="auto"/>
          <w:lang w:val="es-ES_tradnl" w:eastAsia="es-ES"/>
        </w:rPr>
        <w:t>,</w:t>
      </w:r>
      <w:r w:rsidRPr="000F5705">
        <w:rPr>
          <w:rFonts w:eastAsia="Calibri" w:cs="Tahoma"/>
          <w:bCs/>
          <w:lang w:val="es-ES_tradnl"/>
        </w:rPr>
        <w:t xml:space="preserve"> por lo que</w:t>
      </w:r>
      <w:r w:rsidRPr="000F5705">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0F5705">
        <w:rPr>
          <w:rFonts w:eastAsia="Calibri" w:cs="Tahoma"/>
          <w:bCs/>
        </w:rPr>
        <w:t xml:space="preserve"> a efecto de que dé la respuesta que a derecho corresponda y, en su caso, proporcione los documentos que den cuenta de la información solicitada.</w:t>
      </w:r>
    </w:p>
    <w:p w:rsidRPr="000F5705" w:rsidR="000F5705" w:rsidP="00B21155" w:rsidRDefault="000F5705" w14:paraId="6C33C0AA" w14:textId="77777777">
      <w:pPr>
        <w:spacing w:after="0" w:line="360" w:lineRule="auto"/>
        <w:rPr>
          <w:rFonts w:eastAsia="Calibri" w:cs="Tahoma"/>
          <w:bCs/>
        </w:rPr>
      </w:pPr>
    </w:p>
    <w:p w:rsidRPr="000F5705" w:rsidR="000F5705" w:rsidP="00B21155" w:rsidRDefault="000F5705" w14:paraId="187324DF" w14:textId="77777777">
      <w:pPr>
        <w:spacing w:after="0" w:line="360" w:lineRule="auto"/>
        <w:rPr>
          <w:rFonts w:eastAsia="Times New Roman" w:cs="Tahoma"/>
          <w:bCs/>
          <w:iCs/>
          <w:lang w:val="es-ES" w:eastAsia="es-ES"/>
        </w:rPr>
      </w:pPr>
      <w:bookmarkStart w:name="_Hlk76480431" w:id="1"/>
      <w:r w:rsidRPr="000F5705">
        <w:rPr>
          <w:rFonts w:eastAsia="Times New Roman" w:cs="Tahoma"/>
          <w:bCs/>
          <w:iCs/>
          <w:lang w:val="es-ES_tradnl" w:eastAsia="es-ES"/>
        </w:rPr>
        <w:t>No pasa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0F5705">
        <w:rPr>
          <w:rFonts w:eastAsia="Times New Roman" w:cs="Tahoma"/>
          <w:bCs/>
          <w:iCs/>
          <w:lang w:val="es-ES" w:eastAsia="es-ES"/>
        </w:rPr>
        <w:lastRenderedPageBreak/>
        <w:t xml:space="preserve">las partes o secciones clasificadas, indicando su contenido de manera genérica y fundando y motivando su clasificación. </w:t>
      </w:r>
    </w:p>
    <w:p w:rsidRPr="000F5705" w:rsidR="000F5705" w:rsidP="00B21155" w:rsidRDefault="000F5705" w14:paraId="145A387C" w14:textId="77777777">
      <w:pPr>
        <w:spacing w:after="0" w:line="360" w:lineRule="auto"/>
        <w:rPr>
          <w:rFonts w:eastAsia="Times New Roman" w:cs="Tahoma"/>
          <w:bCs/>
          <w:iCs/>
          <w:lang w:val="es-ES" w:eastAsia="es-ES"/>
        </w:rPr>
      </w:pPr>
    </w:p>
    <w:p w:rsidRPr="000F5705" w:rsidR="000F5705" w:rsidP="00B21155" w:rsidRDefault="000F5705" w14:paraId="7A309145" w14:textId="77777777">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Pr="00597EA8" w:rsidR="00B24607" w:rsidP="00B21155" w:rsidRDefault="00B24607" w14:paraId="781891D9" w14:textId="77777777">
      <w:pPr>
        <w:spacing w:after="0" w:line="360" w:lineRule="auto"/>
        <w:rPr>
          <w:rFonts w:eastAsia="Times New Roman" w:cs="Tahoma"/>
          <w:bCs/>
          <w:iCs/>
          <w:color w:val="auto"/>
          <w:lang w:val="es-ES" w:eastAsia="es-ES"/>
        </w:rPr>
      </w:pPr>
    </w:p>
    <w:p w:rsidRPr="002D0AC7" w:rsidR="00EC77D9" w:rsidP="00B21155"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Pr="002D0AC7" w:rsidR="00EC77D9" w:rsidP="00B21155" w:rsidRDefault="00EC77D9" w14:paraId="586979DD" w14:textId="77777777">
      <w:pPr>
        <w:spacing w:after="0" w:line="360" w:lineRule="auto"/>
        <w:contextualSpacing/>
        <w:rPr>
          <w:rFonts w:eastAsia="Calibri" w:cs="Tahoma"/>
          <w:b/>
          <w:color w:val="000000"/>
          <w:highlight w:val="yellow"/>
        </w:rPr>
      </w:pPr>
    </w:p>
    <w:p w:rsidRPr="002D0AC7" w:rsidR="00EC77D9" w:rsidP="00B21155" w:rsidRDefault="00EC77D9" w14:paraId="6174FFA1" w14:textId="1F7E26DA">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E40057">
        <w:t>0</w:t>
      </w:r>
      <w:r w:rsidR="00C47955">
        <w:t>0260</w:t>
      </w:r>
      <w:r w:rsidR="00E40057">
        <w:t>/IXTAPALU/IP/2022</w:t>
      </w:r>
      <w:r w:rsidRPr="002D0AC7">
        <w:rPr>
          <w:rFonts w:eastAsia="Times New Roman" w:cs="Tahoma"/>
          <w:b/>
          <w:bCs/>
          <w:iCs/>
          <w:color w:val="auto"/>
          <w:lang w:eastAsia="es-ES"/>
        </w:rPr>
        <w:t>.</w:t>
      </w:r>
    </w:p>
    <w:p w:rsidRPr="002D0AC7" w:rsidR="00EC77D9" w:rsidP="00B21155" w:rsidRDefault="00EC77D9" w14:paraId="607FB65A" w14:textId="77777777">
      <w:pPr>
        <w:spacing w:after="0" w:line="360" w:lineRule="auto"/>
        <w:rPr>
          <w:rFonts w:eastAsia="Times New Roman" w:cs="Tahoma"/>
          <w:b/>
          <w:bCs/>
          <w:iCs/>
          <w:color w:val="auto"/>
          <w:lang w:eastAsia="es-ES"/>
        </w:rPr>
      </w:pPr>
    </w:p>
    <w:p w:rsidRPr="002D0AC7" w:rsidR="00EC77D9" w:rsidP="00B21155"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Pr="002D0AC7" w:rsidR="00EC77D9" w:rsidP="00B21155" w:rsidRDefault="00EC77D9" w14:paraId="36B83F4F" w14:textId="77777777">
      <w:pPr>
        <w:autoSpaceDE w:val="0"/>
        <w:autoSpaceDN w:val="0"/>
        <w:adjustRightInd w:val="0"/>
        <w:spacing w:after="0" w:line="360" w:lineRule="auto"/>
        <w:rPr>
          <w:rFonts w:eastAsia="Calibri" w:cs="Tahoma"/>
          <w:b/>
          <w:bCs/>
          <w:iCs/>
          <w:color w:val="auto"/>
          <w:lang w:val="es-ES"/>
        </w:rPr>
      </w:pPr>
    </w:p>
    <w:p w:rsidRPr="002D0AC7" w:rsidR="00EC77D9" w:rsidP="00B21155" w:rsidRDefault="00EC77D9" w14:paraId="556191F7" w14:textId="6EE01ADF">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E40057">
        <w:rPr>
          <w:rFonts w:eastAsia="Calibri" w:cs="Tahoma"/>
          <w:bCs/>
          <w:iCs/>
          <w:color w:val="auto"/>
          <w:lang w:val="es-ES"/>
        </w:rPr>
        <w:t xml:space="preserve">Ayuntamiento de </w:t>
      </w:r>
      <w:r w:rsidR="00B61BF0">
        <w:rPr>
          <w:rFonts w:eastAsia="Calibri" w:cs="Tahoma"/>
          <w:bCs/>
          <w:iCs/>
          <w:color w:val="auto"/>
          <w:lang w:val="es-ES"/>
        </w:rPr>
        <w:t>Ixtapaluca</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que de cuenta de lo peticionado.</w:t>
      </w:r>
    </w:p>
    <w:p w:rsidRPr="002D0AC7" w:rsidR="00EC77D9" w:rsidP="00B21155" w:rsidRDefault="00EC77D9" w14:paraId="1B298986" w14:textId="77777777">
      <w:pPr>
        <w:widowControl w:val="0"/>
        <w:autoSpaceDE w:val="0"/>
        <w:autoSpaceDN w:val="0"/>
        <w:adjustRightInd w:val="0"/>
        <w:spacing w:after="0" w:line="360" w:lineRule="auto"/>
        <w:rPr>
          <w:rFonts w:eastAsia="Calibri" w:cs="Tahoma"/>
          <w:bCs/>
          <w:iCs/>
          <w:color w:val="auto"/>
          <w:lang w:val="es-ES"/>
        </w:rPr>
      </w:pPr>
    </w:p>
    <w:p w:rsidR="00B24607" w:rsidP="00B21155" w:rsidRDefault="00EC77D9" w14:paraId="348A2D28" w14:textId="29AF4508">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B24607">
        <w:rPr>
          <w:rFonts w:eastAsia="Calibri" w:cs="Tahoma"/>
          <w:bCs/>
          <w:iCs/>
          <w:color w:val="auto"/>
        </w:rPr>
        <w:t xml:space="preserve">Finalmente, </w:t>
      </w:r>
      <w:r w:rsidR="00B24607">
        <w:rPr>
          <w:rFonts w:eastAsia="Calibri" w:cs="Tahoma"/>
          <w:bCs/>
          <w:iCs/>
          <w:color w:val="auto"/>
        </w:rPr>
        <w:lastRenderedPageBreak/>
        <w:t>la labor del 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rsidRPr="002D0AC7" w:rsidR="00EC77D9" w:rsidP="00B21155" w:rsidRDefault="00EC77D9" w14:paraId="09D4590A" w14:textId="77777777">
      <w:pPr>
        <w:spacing w:after="0" w:line="360" w:lineRule="auto"/>
        <w:rPr>
          <w:rFonts w:eastAsia="Times New Roman" w:cs="Tahoma"/>
          <w:bCs/>
          <w:iCs/>
          <w:color w:val="auto"/>
          <w:lang w:eastAsia="es-ES"/>
        </w:rPr>
      </w:pPr>
    </w:p>
    <w:p w:rsidRPr="002D0AC7" w:rsidR="00EC77D9" w:rsidP="00B21155" w:rsidRDefault="00EC77D9" w14:paraId="32689D9D" w14:textId="7777777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Pr="002D0AC7" w:rsidR="00B24607" w:rsidP="00B21155" w:rsidRDefault="00B24607" w14:paraId="6AB86EED" w14:textId="77777777">
      <w:pPr>
        <w:spacing w:after="0" w:line="360" w:lineRule="auto"/>
        <w:rPr>
          <w:rFonts w:eastAsia="Times New Roman" w:cs="Tahoma"/>
          <w:bCs/>
          <w:color w:val="auto"/>
          <w:lang w:eastAsia="es-ES"/>
        </w:rPr>
      </w:pPr>
    </w:p>
    <w:p w:rsidRPr="002D0AC7" w:rsidR="00EC77D9" w:rsidP="00B21155" w:rsidRDefault="00EC77D9" w14:paraId="5038CD7A" w14:textId="4C054CF5">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E40057">
        <w:rPr>
          <w:rFonts w:eastAsia="Times New Roman" w:cs="Tahoma"/>
          <w:bCs/>
          <w:color w:val="auto"/>
          <w:lang w:eastAsia="es-ES"/>
        </w:rPr>
        <w:t xml:space="preserve">Ayuntamiento de </w:t>
      </w:r>
      <w:r w:rsidR="00B61BF0">
        <w:rPr>
          <w:rFonts w:eastAsia="Times New Roman" w:cs="Tahoma"/>
          <w:bCs/>
          <w:color w:val="auto"/>
          <w:lang w:eastAsia="es-ES"/>
        </w:rPr>
        <w:t>Ixtapaluca</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p>
    <w:p w:rsidRPr="002D0AC7" w:rsidR="00EC77D9" w:rsidP="00B21155" w:rsidRDefault="00EC77D9" w14:paraId="2E2FAE58" w14:textId="77777777">
      <w:pPr>
        <w:spacing w:after="0" w:line="360" w:lineRule="auto"/>
        <w:rPr>
          <w:rFonts w:eastAsia="Times New Roman" w:cs="Tahoma"/>
          <w:bCs/>
          <w:color w:val="auto"/>
          <w:lang w:eastAsia="es-ES"/>
        </w:rPr>
      </w:pPr>
    </w:p>
    <w:p w:rsidR="00EC77D9" w:rsidP="00B21155" w:rsidRDefault="00EC77D9" w14:paraId="76402475" w14:textId="60BC6CF2">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2D0AC7" w:rsidR="00172038" w:rsidP="00B21155" w:rsidRDefault="00172038" w14:paraId="37AC7BD9" w14:textId="77777777">
      <w:pPr>
        <w:spacing w:after="0" w:line="360" w:lineRule="auto"/>
        <w:rPr>
          <w:rFonts w:eastAsia="Times New Roman" w:cs="Tahoma"/>
          <w:bCs/>
          <w:color w:val="auto"/>
          <w:lang w:eastAsia="es-ES"/>
        </w:rPr>
      </w:pPr>
    </w:p>
    <w:p w:rsidRPr="002D0AC7" w:rsidR="00EC77D9" w:rsidP="00B21155" w:rsidRDefault="00EC77D9" w14:paraId="48C807E7" w14:textId="699A988B">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Pr="002D0AC7" w:rsidR="00EC77D9" w:rsidP="00B21155" w:rsidRDefault="00EC77D9" w14:paraId="3CE3F712" w14:textId="77777777">
      <w:pPr>
        <w:spacing w:after="0" w:line="360" w:lineRule="auto"/>
        <w:rPr>
          <w:rFonts w:eastAsia="Times New Roman" w:cs="Tahoma"/>
          <w:bCs/>
          <w:color w:val="auto"/>
          <w:lang w:eastAsia="es-ES"/>
        </w:rPr>
      </w:pPr>
    </w:p>
    <w:p w:rsidRPr="002D0AC7" w:rsidR="00EC77D9" w:rsidP="00B21155" w:rsidRDefault="00EC77D9" w14:paraId="108A3254"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683E00" w:rsidP="00B21155" w:rsidRDefault="00683E00" w14:paraId="5B5F7716" w14:textId="77777777">
      <w:pPr>
        <w:spacing w:after="0" w:line="360" w:lineRule="auto"/>
        <w:jc w:val="center"/>
        <w:rPr>
          <w:rFonts w:eastAsia="Times New Roman" w:cs="Tahoma"/>
          <w:b/>
          <w:bCs/>
          <w:color w:val="auto"/>
          <w:lang w:eastAsia="es-ES"/>
        </w:rPr>
      </w:pPr>
    </w:p>
    <w:p w:rsidRPr="002D0AC7" w:rsidR="00EC77D9" w:rsidP="00B21155"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C77D9" w:rsidP="00B21155" w:rsidRDefault="00EC77D9" w14:paraId="72D35F84" w14:textId="77777777">
      <w:pPr>
        <w:spacing w:after="0" w:line="360" w:lineRule="auto"/>
        <w:ind w:right="113"/>
        <w:rPr>
          <w:rFonts w:eastAsia="Times New Roman" w:cs="Arial"/>
          <w:b/>
          <w:color w:val="auto"/>
          <w:lang w:eastAsia="es-ES"/>
        </w:rPr>
      </w:pPr>
    </w:p>
    <w:p w:rsidRPr="002D0AC7" w:rsidR="00EC77D9" w:rsidP="00B21155" w:rsidRDefault="00EC77D9" w14:paraId="32043534" w14:textId="07F8A5AB">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Pr="002D0AC7" w:rsidR="00E511FA">
        <w:rPr>
          <w:rFonts w:eastAsia="Calibri" w:cs="Tahoma"/>
        </w:rPr>
        <w:t>0</w:t>
      </w:r>
      <w:r w:rsidR="00C47955">
        <w:rPr>
          <w:rFonts w:eastAsia="Calibri" w:cs="Tahoma"/>
        </w:rPr>
        <w:t>12526</w:t>
      </w:r>
      <w:r w:rsidRPr="002D0AC7" w:rsidR="00E511FA">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rsidRPr="002D0AC7" w:rsidR="00EC77D9" w:rsidP="00B21155" w:rsidRDefault="00EC77D9" w14:paraId="6679D53E" w14:textId="77777777">
      <w:pPr>
        <w:spacing w:after="0" w:line="360" w:lineRule="auto"/>
        <w:rPr>
          <w:rFonts w:eastAsia="Times New Roman" w:cs="Tahoma"/>
          <w:b/>
          <w:bCs/>
          <w:color w:val="auto"/>
          <w:lang w:eastAsia="es-ES"/>
        </w:rPr>
      </w:pPr>
    </w:p>
    <w:p w:rsidRPr="002D0AC7" w:rsidR="00EC77D9" w:rsidP="00B21155" w:rsidRDefault="00EC77D9" w14:paraId="6AF6A50E" w14:textId="6EBDA7FD">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E40057">
        <w:t>0</w:t>
      </w:r>
      <w:r w:rsidR="00C47955">
        <w:t>0260</w:t>
      </w:r>
      <w:r w:rsidR="00E40057">
        <w:t>/IXTAPALU/IP/2022</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rsidRPr="002D0AC7" w:rsidR="00EC77D9" w:rsidP="00B21155" w:rsidRDefault="00EC77D9" w14:paraId="1326FBC1" w14:textId="77777777">
      <w:pPr>
        <w:spacing w:after="0" w:line="360" w:lineRule="auto"/>
        <w:ind w:right="-93"/>
        <w:rPr>
          <w:rFonts w:eastAsia="Calibri" w:cs="Tahoma"/>
          <w:bCs/>
          <w:color w:val="auto"/>
        </w:rPr>
      </w:pPr>
    </w:p>
    <w:p w:rsidRPr="002D0AC7" w:rsidR="00EC77D9" w:rsidP="00B21155" w:rsidRDefault="00EC77D9" w14:paraId="5994E3B8" w14:textId="7777777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2D0AC7" w:rsidR="00EC77D9" w:rsidP="00B21155" w:rsidRDefault="00EC77D9" w14:paraId="3FF0E40F" w14:textId="77777777">
      <w:pPr>
        <w:spacing w:after="0" w:line="360" w:lineRule="auto"/>
        <w:rPr>
          <w:rFonts w:eastAsia="Calibri" w:cs="Tahoma"/>
          <w:b/>
          <w:bCs/>
          <w:color w:val="auto"/>
        </w:rPr>
      </w:pPr>
    </w:p>
    <w:p w:rsidRPr="002D0AC7" w:rsidR="00EC77D9" w:rsidP="00B21155" w:rsidRDefault="00EC77D9" w14:paraId="1769E19A" w14:textId="7777777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C77D9" w:rsidP="00B21155" w:rsidRDefault="00EC77D9" w14:paraId="540095BB" w14:textId="6ADAF791">
      <w:pPr>
        <w:spacing w:after="0" w:line="360" w:lineRule="auto"/>
        <w:rPr>
          <w:rFonts w:eastAsia="Calibri" w:cs="Tahoma"/>
          <w:color w:val="auto"/>
          <w:lang w:eastAsia="es-MX"/>
        </w:rPr>
      </w:pPr>
    </w:p>
    <w:p w:rsidRPr="002D0AC7" w:rsidR="00172038" w:rsidP="00B21155" w:rsidRDefault="00172038" w14:paraId="6D58652B" w14:textId="77777777">
      <w:pPr>
        <w:spacing w:after="0" w:line="360" w:lineRule="auto"/>
        <w:rPr>
          <w:rFonts w:eastAsia="Calibri" w:cs="Tahoma"/>
          <w:color w:val="auto"/>
          <w:lang w:eastAsia="es-MX"/>
        </w:rPr>
      </w:pPr>
    </w:p>
    <w:p w:rsidRPr="002D0AC7" w:rsidR="00EC77D9" w:rsidP="00B21155" w:rsidRDefault="00EC77D9" w14:paraId="357CF708" w14:textId="7777777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2D0AC7" w:rsidR="00EC77D9" w:rsidP="00B21155" w:rsidRDefault="00EC77D9" w14:paraId="161DCE6B" w14:textId="77777777">
      <w:pPr>
        <w:spacing w:after="0" w:line="360" w:lineRule="auto"/>
        <w:rPr>
          <w:rFonts w:eastAsia="Times New Roman" w:cs="Tahoma"/>
          <w:color w:val="auto"/>
          <w:lang w:eastAsia="es-ES"/>
        </w:rPr>
      </w:pPr>
    </w:p>
    <w:p w:rsidRPr="002D0AC7" w:rsidR="00EC77D9" w:rsidP="00B21155" w:rsidRDefault="00EC77D9" w14:paraId="1084908D" w14:textId="7777777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2D0AC7" w:rsidR="00EC77D9" w:rsidP="00B21155" w:rsidRDefault="00EC77D9" w14:paraId="48AA351C" w14:textId="77777777">
      <w:pPr>
        <w:spacing w:after="0" w:line="360" w:lineRule="auto"/>
        <w:ind w:right="-93"/>
        <w:rPr>
          <w:rFonts w:eastAsia="Times New Roman" w:cs="Times New Roman"/>
          <w:color w:val="000000"/>
          <w:shd w:val="clear" w:color="auto" w:fill="FFFFFF"/>
          <w:lang w:eastAsia="es-ES"/>
        </w:rPr>
      </w:pPr>
    </w:p>
    <w:p w:rsidR="00EC77D9" w:rsidP="00B21155" w:rsidRDefault="00EC77D9" w14:paraId="44C43C60" w14:textId="6F17F7F0">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B19C3">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172038" w:rsidP="00B21155" w:rsidRDefault="00172038" w14:paraId="058FB6AA" w14:textId="77777777">
      <w:pPr>
        <w:spacing w:after="0" w:line="360" w:lineRule="auto"/>
        <w:ind w:right="-93"/>
        <w:rPr>
          <w:rFonts w:eastAsia="Calibri" w:cs="Tahoma"/>
          <w:bCs/>
          <w:color w:val="auto"/>
        </w:rPr>
      </w:pPr>
    </w:p>
    <w:p w:rsidRPr="002D0AC7" w:rsidR="00EC77D9" w:rsidP="00B21155" w:rsidRDefault="00EC77D9" w14:paraId="23FD6781" w14:textId="74FDC402">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9167D">
        <w:rPr>
          <w:rFonts w:eastAsia="Calibri" w:cs="Tahoma"/>
          <w:lang w:val="es-ES" w:eastAsia="es-ES_tradnl"/>
        </w:rPr>
        <w:t>VIGÉSIMA</w:t>
      </w:r>
      <w:r w:rsidRPr="002D0AC7">
        <w:rPr>
          <w:rFonts w:eastAsia="Calibri" w:cs="Tahoma"/>
          <w:lang w:val="es-ES" w:eastAsia="es-ES_tradnl"/>
        </w:rPr>
        <w:t xml:space="preserve"> </w:t>
      </w:r>
      <w:r w:rsidR="00E511FA">
        <w:rPr>
          <w:rFonts w:eastAsia="Calibri" w:cs="Tahoma"/>
          <w:lang w:val="es-ES" w:eastAsia="es-ES_tradnl"/>
        </w:rPr>
        <w:t>NOVEN</w:t>
      </w:r>
      <w:r w:rsidRPr="002D0AC7">
        <w:rPr>
          <w:rFonts w:eastAsia="Calibri" w:cs="Tahoma"/>
          <w:lang w:val="es-ES" w:eastAsia="es-ES_tradnl"/>
        </w:rPr>
        <w:t>A SESIÓN ORDINARIA, CELEBRADA EL DI</w:t>
      </w:r>
      <w:r w:rsidR="00E511FA">
        <w:rPr>
          <w:rFonts w:eastAsia="Calibri" w:cs="Tahoma"/>
          <w:lang w:val="es-ES" w:eastAsia="es-ES_tradnl"/>
        </w:rPr>
        <w:t xml:space="preserve">ECISIETE </w:t>
      </w:r>
      <w:r w:rsidRPr="002D0AC7">
        <w:rPr>
          <w:rFonts w:eastAsia="Calibri" w:cs="Tahoma"/>
          <w:lang w:val="es-ES" w:eastAsia="es-ES_tradnl"/>
        </w:rPr>
        <w:t>DE AGOSTO DE DOS MIL VEINTIDÓS, ANTE EL SECRETARIO TÉCNICO DEL PLENO, ALEXIS TAPIA RAMÍREZ</w:t>
      </w:r>
      <w:r w:rsidRPr="002D0AC7">
        <w:br w:type="page"/>
      </w:r>
    </w:p>
    <w:p w:rsidRPr="002D0AC7" w:rsidR="00EC77D9" w:rsidP="00B21155" w:rsidRDefault="00EC77D9" w14:paraId="4B7887A5" w14:textId="77777777">
      <w:pPr>
        <w:spacing w:after="0" w:line="360" w:lineRule="auto"/>
      </w:pPr>
    </w:p>
    <w:p w:rsidR="00C50842" w:rsidP="00B21155" w:rsidRDefault="00C50842" w14:paraId="1950A4FE" w14:textId="77777777">
      <w:pPr>
        <w:spacing w:after="0"/>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97D" w:rsidP="00EC77D9" w:rsidRDefault="0031297D" w14:paraId="621FF264" w14:textId="77777777">
      <w:pPr>
        <w:spacing w:after="0" w:line="240" w:lineRule="auto"/>
      </w:pPr>
      <w:r>
        <w:separator/>
      </w:r>
    </w:p>
  </w:endnote>
  <w:endnote w:type="continuationSeparator" w:id="0">
    <w:p w:rsidR="0031297D" w:rsidP="00EC77D9" w:rsidRDefault="0031297D" w14:paraId="493C4F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000000"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rsidR="00881E53"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000000"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000000"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97D" w:rsidP="00EC77D9" w:rsidRDefault="0031297D" w14:paraId="551E1600" w14:textId="77777777">
      <w:pPr>
        <w:spacing w:after="0" w:line="240" w:lineRule="auto"/>
      </w:pPr>
      <w:r>
        <w:separator/>
      </w:r>
    </w:p>
  </w:footnote>
  <w:footnote w:type="continuationSeparator" w:id="0">
    <w:p w:rsidR="0031297D" w:rsidP="00EC77D9" w:rsidRDefault="0031297D" w14:paraId="4D3B75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4A0009A6" w14:textId="77777777">
      <w:trPr>
        <w:trHeight w:val="132"/>
      </w:trPr>
      <w:tc>
        <w:tcPr>
          <w:tcW w:w="2691" w:type="dxa"/>
        </w:tcPr>
        <w:p w:rsidRPr="00E152D8" w:rsidR="00881E53" w:rsidP="00881E53"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4AB4C711" w14:textId="77777777">
      <w:trPr>
        <w:trHeight w:val="261"/>
      </w:trPr>
      <w:tc>
        <w:tcPr>
          <w:tcW w:w="2691" w:type="dxa"/>
        </w:tcPr>
        <w:p w:rsidRPr="00E152D8" w:rsidR="00881E53" w:rsidP="00881E53"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9167D" w14:paraId="66E718F1"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4659C8A1" w14:textId="77777777">
      <w:trPr>
        <w:trHeight w:val="261"/>
      </w:trPr>
      <w:tc>
        <w:tcPr>
          <w:tcW w:w="2691" w:type="dxa"/>
        </w:tcPr>
        <w:p w:rsidRPr="00E152D8" w:rsidR="00881E53" w:rsidP="00881E53"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000000"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1BF0" w:rsidR="00B61BF0" w:rsidRDefault="00B61BF0" w14:paraId="6E695D1C" w14:textId="77777777">
    <w:pPr>
      <w:rPr>
        <w:sz w:val="20"/>
        <w:szCs w:val="20"/>
      </w:rPr>
    </w:pPr>
  </w:p>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976"/>
    </w:tblGrid>
    <w:tr w:rsidRPr="00E152D8" w:rsidR="00881E53" w:rsidTr="00494ADB" w14:paraId="62A5EE36" w14:textId="77777777">
      <w:trPr>
        <w:trHeight w:val="138"/>
      </w:trPr>
      <w:tc>
        <w:tcPr>
          <w:tcW w:w="2552" w:type="dxa"/>
          <w:vAlign w:val="center"/>
        </w:tcPr>
        <w:p w:rsidRPr="00E152D8" w:rsidR="00881E53" w:rsidP="00756312"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rsidRPr="00051642" w:rsidR="00881E53" w:rsidP="00B93061" w:rsidRDefault="00C47955" w14:paraId="1A41A00E" w14:textId="1A777036">
          <w:pPr>
            <w:tabs>
              <w:tab w:val="right" w:pos="8838"/>
            </w:tabs>
            <w:ind w:right="-32"/>
            <w:rPr>
              <w:rFonts w:eastAsia="Calibri" w:cs="Tahoma"/>
            </w:rPr>
          </w:pPr>
          <w:r>
            <w:rPr>
              <w:rFonts w:eastAsia="Calibri" w:cs="Tahoma"/>
              <w:lang w:val="es-MX"/>
            </w:rPr>
            <w:t>12526</w:t>
          </w:r>
          <w:r w:rsidR="00A9167D">
            <w:rPr>
              <w:rFonts w:eastAsia="Calibri" w:cs="Tahoma"/>
              <w:lang w:val="es-MX"/>
            </w:rPr>
            <w:t>/INFOEM/IP/RR/2022</w:t>
          </w:r>
        </w:p>
      </w:tc>
    </w:tr>
    <w:tr w:rsidRPr="00E152D8" w:rsidR="00881E53" w:rsidTr="00494ADB" w14:paraId="25EB3B4F" w14:textId="77777777">
      <w:trPr>
        <w:trHeight w:val="273"/>
      </w:trPr>
      <w:tc>
        <w:tcPr>
          <w:tcW w:w="2552" w:type="dxa"/>
        </w:tcPr>
        <w:p w:rsidRPr="00E152D8" w:rsidR="00881E53" w:rsidP="00881E53" w:rsidRDefault="00A9167D"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rsidRPr="00051642" w:rsidR="00881E53" w:rsidP="00881E53" w:rsidRDefault="00E40057" w14:paraId="16B12BD5" w14:textId="064DB6C5">
          <w:pPr>
            <w:tabs>
              <w:tab w:val="right" w:pos="8838"/>
            </w:tabs>
            <w:ind w:left="-28" w:right="-32"/>
            <w:rPr>
              <w:rFonts w:eastAsia="Calibri" w:cs="Tahoma"/>
              <w:lang w:val="es-MX"/>
            </w:rPr>
          </w:pPr>
          <w:r>
            <w:rPr>
              <w:rFonts w:eastAsia="Calibri" w:cs="Tahoma"/>
              <w:lang w:val="es-MX"/>
            </w:rPr>
            <w:t xml:space="preserve">Ayuntamiento de </w:t>
          </w:r>
          <w:r w:rsidR="00B61BF0">
            <w:rPr>
              <w:rFonts w:eastAsia="Calibri" w:cs="Tahoma"/>
              <w:lang w:val="es-MX"/>
            </w:rPr>
            <w:t>Ixtapaluca</w:t>
          </w:r>
        </w:p>
      </w:tc>
    </w:tr>
    <w:tr w:rsidRPr="00E152D8" w:rsidR="00881E53" w:rsidTr="00494ADB" w14:paraId="2B76E1FC" w14:textId="77777777">
      <w:trPr>
        <w:trHeight w:val="273"/>
      </w:trPr>
      <w:tc>
        <w:tcPr>
          <w:tcW w:w="2552" w:type="dxa"/>
        </w:tcPr>
        <w:p w:rsidRPr="00E152D8" w:rsidR="00881E53" w:rsidP="00881E53" w:rsidRDefault="00A9167D"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rsidRPr="00E152D8" w:rsidR="00881E53" w:rsidP="00881E53" w:rsidRDefault="00A9167D"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000000"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4252"/>
    </w:tblGrid>
    <w:tr w:rsidRPr="00E152D8" w:rsidR="00881E53" w:rsidTr="4860FFCA" w14:paraId="03E85E0E" w14:textId="77777777">
      <w:trPr>
        <w:trHeight w:val="132"/>
      </w:trPr>
      <w:tc>
        <w:tcPr>
          <w:tcW w:w="2552" w:type="dxa"/>
          <w:tcMar/>
        </w:tcPr>
        <w:p w:rsidRPr="00E152D8" w:rsidR="00881E53" w:rsidP="00881E53" w:rsidRDefault="00A9167D" w14:paraId="67360501" w14:textId="1775C71D">
          <w:pPr>
            <w:tabs>
              <w:tab w:val="right" w:pos="8838"/>
            </w:tabs>
            <w:ind w:right="-105"/>
            <w:rPr>
              <w:rFonts w:eastAsia="Calibri" w:cs="Tahoma"/>
              <w:b/>
              <w:lang w:val="es-MX"/>
            </w:rPr>
          </w:pPr>
          <w:r w:rsidRPr="00E152D8">
            <w:rPr>
              <w:rFonts w:eastAsia="Calibri" w:cs="Tahoma"/>
              <w:b/>
              <w:lang w:val="es-MX"/>
            </w:rPr>
            <w:t>Recurso de Revisión:</w:t>
          </w:r>
        </w:p>
      </w:tc>
      <w:tc>
        <w:tcPr>
          <w:tcW w:w="4252" w:type="dxa"/>
          <w:tcMar/>
        </w:tcPr>
        <w:p w:rsidRPr="00051642" w:rsidR="00881E53" w:rsidP="00881E53" w:rsidRDefault="00C47955" w14:paraId="1E6AD7E0" w14:textId="0C82018B">
          <w:pPr>
            <w:tabs>
              <w:tab w:val="right" w:pos="8838"/>
            </w:tabs>
            <w:ind w:left="-111" w:right="-32"/>
            <w:rPr>
              <w:rFonts w:eastAsia="Calibri" w:cs="Tahoma"/>
            </w:rPr>
          </w:pPr>
          <w:r>
            <w:rPr>
              <w:rFonts w:eastAsia="Calibri" w:cs="Tahoma"/>
              <w:lang w:val="es-MX"/>
            </w:rPr>
            <w:t>12526</w:t>
          </w:r>
          <w:r w:rsidR="00A9167D">
            <w:rPr>
              <w:rFonts w:eastAsia="Calibri" w:cs="Tahoma"/>
              <w:lang w:val="es-MX"/>
            </w:rPr>
            <w:t>/INFOEM/IP/RR/2022</w:t>
          </w:r>
        </w:p>
      </w:tc>
    </w:tr>
    <w:tr w:rsidRPr="00E152D8" w:rsidR="00881E53" w:rsidTr="4860FFCA" w14:paraId="5E1FE5FD" w14:textId="77777777">
      <w:trPr>
        <w:trHeight w:val="132"/>
      </w:trPr>
      <w:tc>
        <w:tcPr>
          <w:tcW w:w="2552" w:type="dxa"/>
          <w:tcMar/>
        </w:tcPr>
        <w:p w:rsidRPr="00E152D8" w:rsidR="00881E53" w:rsidP="00712E99"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Mar/>
        </w:tcPr>
        <w:p w:rsidRPr="00E152D8" w:rsidR="00881E53" w:rsidP="4860FFCA" w:rsidRDefault="00C47955" w14:paraId="6517D3A9" w14:textId="4A8E4BF7">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4860FFCA" w:rsidR="4860FFCA">
            <w:rPr>
              <w:rFonts w:eastAsia="Calibri" w:cs="Tahoma"/>
              <w:highlight w:val="black"/>
              <w:lang w:val="es-MX"/>
            </w:rPr>
            <w:t>XXXXXXXXXXXXXXXXXXXXXXXX</w:t>
          </w:r>
        </w:p>
      </w:tc>
    </w:tr>
    <w:tr w:rsidRPr="00E152D8" w:rsidR="00881E53" w:rsidTr="4860FFCA" w14:paraId="55B580D4" w14:textId="77777777">
      <w:trPr>
        <w:trHeight w:val="261"/>
      </w:trPr>
      <w:tc>
        <w:tcPr>
          <w:tcW w:w="2552" w:type="dxa"/>
          <w:tcMar/>
        </w:tcPr>
        <w:p w:rsidRPr="00E152D8" w:rsidR="00881E53" w:rsidP="00881E53"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Mar/>
        </w:tcPr>
        <w:p w:rsidRPr="00051642" w:rsidR="00881E53" w:rsidP="005E139E" w:rsidRDefault="00E40057" w14:paraId="58768412" w14:textId="7366DA24">
          <w:pPr>
            <w:tabs>
              <w:tab w:val="right" w:pos="8838"/>
            </w:tabs>
            <w:ind w:left="-111" w:right="-32"/>
            <w:rPr>
              <w:rFonts w:eastAsia="Calibri" w:cs="Tahoma"/>
              <w:lang w:val="es-MX"/>
            </w:rPr>
          </w:pPr>
          <w:r>
            <w:rPr>
              <w:rFonts w:eastAsia="Calibri" w:cs="Tahoma"/>
              <w:lang w:val="es-MX"/>
            </w:rPr>
            <w:t>Ayuntamiento de Ixtlahuaca</w:t>
          </w:r>
        </w:p>
      </w:tc>
    </w:tr>
    <w:tr w:rsidRPr="00E152D8" w:rsidR="00881E53" w:rsidTr="4860FFCA" w14:paraId="3EC166B6" w14:textId="77777777">
      <w:trPr>
        <w:trHeight w:val="261"/>
      </w:trPr>
      <w:tc>
        <w:tcPr>
          <w:tcW w:w="2552" w:type="dxa"/>
          <w:tcMar/>
        </w:tcPr>
        <w:p w:rsidRPr="00E152D8" w:rsidR="00881E53" w:rsidP="00881E53"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2" w:type="dxa"/>
          <w:tcMar/>
        </w:tcPr>
        <w:p w:rsidRPr="00E152D8" w:rsidR="00881E53" w:rsidP="00881E53"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000000"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51603388">
    <w:abstractNumId w:val="0"/>
  </w:num>
  <w:num w:numId="2" w16cid:durableId="433749670">
    <w:abstractNumId w:val="2"/>
  </w:num>
  <w:num w:numId="3" w16cid:durableId="170571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77B14"/>
    <w:rsid w:val="000823E5"/>
    <w:rsid w:val="000F5705"/>
    <w:rsid w:val="00172038"/>
    <w:rsid w:val="001952CF"/>
    <w:rsid w:val="00196794"/>
    <w:rsid w:val="003044BA"/>
    <w:rsid w:val="0031297D"/>
    <w:rsid w:val="003D0090"/>
    <w:rsid w:val="00494ADB"/>
    <w:rsid w:val="004E44D2"/>
    <w:rsid w:val="0058579C"/>
    <w:rsid w:val="005F71FE"/>
    <w:rsid w:val="006607EA"/>
    <w:rsid w:val="006724BD"/>
    <w:rsid w:val="00683E00"/>
    <w:rsid w:val="006A271A"/>
    <w:rsid w:val="006B19C3"/>
    <w:rsid w:val="006C35BB"/>
    <w:rsid w:val="007202EE"/>
    <w:rsid w:val="007D64DF"/>
    <w:rsid w:val="00842C30"/>
    <w:rsid w:val="00A9167D"/>
    <w:rsid w:val="00AE68A4"/>
    <w:rsid w:val="00B0253B"/>
    <w:rsid w:val="00B21155"/>
    <w:rsid w:val="00B24607"/>
    <w:rsid w:val="00B61BF0"/>
    <w:rsid w:val="00BB2153"/>
    <w:rsid w:val="00BB3910"/>
    <w:rsid w:val="00BB7194"/>
    <w:rsid w:val="00C47955"/>
    <w:rsid w:val="00C50842"/>
    <w:rsid w:val="00CB7980"/>
    <w:rsid w:val="00E40057"/>
    <w:rsid w:val="00E511FA"/>
    <w:rsid w:val="00EC77D9"/>
    <w:rsid w:val="00F27576"/>
    <w:rsid w:val="00F84FF3"/>
    <w:rsid w:val="00FA65FF"/>
    <w:rsid w:val="4860F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3.xml" Id="rId14" /><Relationship Type="http://schemas.openxmlformats.org/officeDocument/2006/relationships/glossaryDocument" Target="glossary/document.xml" Id="R82b03de707544d6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23694c7-5378-46cc-834d-d9d27f63e75d}"/>
      </w:docPartPr>
      <w:docPartBody>
        <w:p w14:paraId="4860FFC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2022-08-11T14:49:00.0000000Z</dcterms:created>
  <dcterms:modified xsi:type="dcterms:W3CDTF">2022-09-08T12:43:53.7675154Z</dcterms:modified>
</coreProperties>
</file>