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rtl w:val="0"/>
        </w:rPr>
        <w:t xml:space="preserve">veintiuno de junio de dos mil veintidós</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Vistos</w:t>
      </w:r>
      <w:r w:rsidDel="00000000" w:rsidR="00000000" w:rsidRPr="00000000">
        <w:rPr>
          <w:rFonts w:ascii="Palatino Linotype" w:cs="Palatino Linotype" w:eastAsia="Palatino Linotype" w:hAnsi="Palatino Linotype"/>
          <w:rtl w:val="0"/>
        </w:rPr>
        <w:t xml:space="preserve"> los expedientes formado con motivo de los recursos de revisión </w:t>
      </w:r>
      <w:r w:rsidDel="00000000" w:rsidR="00000000" w:rsidRPr="00000000">
        <w:rPr>
          <w:rFonts w:ascii="Palatino Linotype" w:cs="Palatino Linotype" w:eastAsia="Palatino Linotype" w:hAnsi="Palatino Linotype"/>
          <w:b w:val="1"/>
          <w:rtl w:val="0"/>
        </w:rPr>
        <w:t xml:space="preserve">03354/INFOEM/IP/RR/2022, 03355/INFOEM/IP/RR/2022, 03356/INFOEM/IP/RR/2022, 03357/INFOEM/IP/RR/2022,  03358/INFOEM/IP/RR/2022,  03359/INFOEM/IP/RR/2022,  03360/INFOEM/IP/RR/2022, 03361/INFOEM/IP/RR/2022,  03362/INFOEM/IP/RR/2022,  03363/INFOEM/IP/RR/2022,  03364/INFOEM/IP/RR/2022,  03365/INFOEM/IP/RR/2022,  03366/INFOEM/IP/RR/2022 y 03367/INFOEM/IP/RR/2022 acumulados, </w:t>
      </w:r>
      <w:r w:rsidDel="00000000" w:rsidR="00000000" w:rsidRPr="00000000">
        <w:rPr>
          <w:rFonts w:ascii="Palatino Linotype" w:cs="Palatino Linotype" w:eastAsia="Palatino Linotype" w:hAnsi="Palatino Linotype"/>
          <w:rtl w:val="0"/>
        </w:rPr>
        <w:t xml:space="preserve">interpuestos por</w:t>
      </w:r>
      <w:r w:rsidDel="00000000" w:rsidR="00000000" w:rsidRPr="00000000">
        <w:rPr>
          <w:rFonts w:ascii="Palatino Linotype" w:cs="Palatino Linotype" w:eastAsia="Palatino Linotype" w:hAnsi="Palatino Linotype"/>
          <w:b w:val="1"/>
          <w:rtl w:val="0"/>
        </w:rPr>
        <w:t xml:space="preserve"> un particular de manera anónima, </w:t>
      </w:r>
      <w:r w:rsidDel="00000000" w:rsidR="00000000" w:rsidRPr="00000000">
        <w:rPr>
          <w:rFonts w:ascii="Palatino Linotype" w:cs="Palatino Linotype" w:eastAsia="Palatino Linotype" w:hAnsi="Palatino Linotype"/>
          <w:rtl w:val="0"/>
        </w:rPr>
        <w:t xml:space="preserve">quien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será identificado como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ante la falta de respuestas en las solicitudes de información con números de folio </w:t>
      </w:r>
      <w:r w:rsidDel="00000000" w:rsidR="00000000" w:rsidRPr="00000000">
        <w:rPr>
          <w:rFonts w:ascii="Palatino Linotype" w:cs="Palatino Linotype" w:eastAsia="Palatino Linotype" w:hAnsi="Palatino Linotype"/>
          <w:b w:val="1"/>
          <w:rtl w:val="0"/>
        </w:rPr>
        <w:t xml:space="preserve">01449/METEPEC/IP/2022, 01450/METEPEC/IP/2022, 01451/METEPEC/IP/2022, 01452/METEPEC/IP/2022, 01453/METEPEC/IP/2022, 01454/METEPEC/IP/2022, 01455/METEPEC/IP/2022, 01456/METEPEC/IP/2022, 01457/METEPEC/IP/2022, 01458/METEPEC/IP/2022, 01459/METEPEC/IP/2022, 01460/METEPEC/IP/2022, 01461/METEPEC/IP/2022 y 01462/METEPEC/IP/2022, </w:t>
      </w:r>
      <w:r w:rsidDel="00000000" w:rsidR="00000000" w:rsidRPr="00000000">
        <w:rPr>
          <w:rFonts w:ascii="Palatino Linotype" w:cs="Palatino Linotype" w:eastAsia="Palatino Linotype" w:hAnsi="Palatino Linotype"/>
          <w:rtl w:val="0"/>
        </w:rPr>
        <w:t xml:space="preserve">por parte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Ayuntamiento de Metepec,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both"/>
        <w:rPr>
          <w:rFonts w:ascii="Palatino Linotype" w:cs="Palatino Linotype" w:eastAsia="Palatino Linotype" w:hAnsi="Palatino Linotype"/>
          <w:b w:val="1"/>
          <w:highlight w:val="yellow"/>
        </w:rPr>
      </w:pPr>
      <w:r w:rsidDel="00000000" w:rsidR="00000000" w:rsidRPr="00000000">
        <w:rPr>
          <w:rtl w:val="0"/>
        </w:rPr>
      </w:r>
    </w:p>
    <w:p w:rsidR="00000000" w:rsidDel="00000000" w:rsidP="00000000" w:rsidRDefault="00000000" w:rsidRPr="00000000" w14:paraId="00000004">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5">
      <w:pPr>
        <w:spacing w:after="240" w:before="240"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b w:val="1"/>
          <w:rtl w:val="0"/>
        </w:rPr>
        <w:t xml:space="preserve">1. Solicitudes de acceso a la información.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dieciocho de enero de dos mil veintidós,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formuló solicitudes de acceso a información pública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 las que requirió lo siguiente:</w:t>
      </w:r>
    </w:p>
    <w:tbl>
      <w:tblPr>
        <w:tblStyle w:val="Table1"/>
        <w:tblW w:w="892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0"/>
        <w:gridCol w:w="4461"/>
        <w:tblGridChange w:id="0">
          <w:tblGrid>
            <w:gridCol w:w="4460"/>
            <w:gridCol w:w="4461"/>
          </w:tblGrid>
        </w:tblGridChange>
      </w:tblGrid>
      <w:tr>
        <w:trPr>
          <w:cantSplit w:val="0"/>
          <w:tblHeader w:val="0"/>
        </w:trPr>
        <w:tc>
          <w:tcPr>
            <w:shd w:fill="bfbfbf" w:val="clear"/>
          </w:tcPr>
          <w:p w:rsidR="00000000" w:rsidDel="00000000" w:rsidP="00000000" w:rsidRDefault="00000000" w:rsidRPr="00000000" w14:paraId="00000006">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Número de solicitud y recurso</w:t>
            </w:r>
          </w:p>
        </w:tc>
        <w:tc>
          <w:tcPr>
            <w:shd w:fill="bfbfbf" w:val="clear"/>
          </w:tcPr>
          <w:p w:rsidR="00000000" w:rsidDel="00000000" w:rsidP="00000000" w:rsidRDefault="00000000" w:rsidRPr="00000000" w14:paraId="00000007">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Requerimientos</w:t>
            </w:r>
          </w:p>
        </w:tc>
      </w:tr>
      <w:tr>
        <w:trPr>
          <w:cantSplit w:val="0"/>
          <w:trHeight w:val="1110" w:hRule="atLeast"/>
          <w:tblHeader w:val="0"/>
        </w:trPr>
        <w:tc>
          <w:tcPr/>
          <w:p w:rsidR="00000000" w:rsidDel="00000000" w:rsidP="00000000" w:rsidRDefault="00000000" w:rsidRPr="00000000" w14:paraId="00000008">
            <w:pPr>
              <w:spacing w:after="240" w:befor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01462/METEPEC/IP/2022, </w:t>
            </w:r>
            <w:r w:rsidDel="00000000" w:rsidR="00000000" w:rsidRPr="00000000">
              <w:rPr>
                <w:rFonts w:ascii="Palatino Linotype" w:cs="Palatino Linotype" w:eastAsia="Palatino Linotype" w:hAnsi="Palatino Linotype"/>
                <w:sz w:val="20"/>
                <w:szCs w:val="20"/>
                <w:rtl w:val="0"/>
              </w:rPr>
              <w:t xml:space="preserve">correspondiente al Recurso de Revisión</w:t>
            </w:r>
            <w:r w:rsidDel="00000000" w:rsidR="00000000" w:rsidRPr="00000000">
              <w:rPr>
                <w:rFonts w:ascii="Palatino Linotype" w:cs="Palatino Linotype" w:eastAsia="Palatino Linotype" w:hAnsi="Palatino Linotype"/>
                <w:b w:val="1"/>
                <w:sz w:val="20"/>
                <w:szCs w:val="20"/>
                <w:rtl w:val="0"/>
              </w:rPr>
              <w:t xml:space="preserve"> 03354/INFOEM/IP/RR/2022</w:t>
            </w:r>
          </w:p>
        </w:tc>
        <w:tc>
          <w:tcPr/>
          <w:p w:rsidR="00000000" w:rsidDel="00000000" w:rsidP="00000000" w:rsidRDefault="00000000" w:rsidRPr="00000000" w14:paraId="00000009">
            <w:pPr>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“Se solicitan los documentos que den cuenta de Las demás que les atribuyan las disposiciones jurídicas aplicables o las que le instruya la Dirección de Administración o la Subdirección de Servicios Generales; a cargo de la Jefatura del Taller Mecánico de la Subdirección de Servicios Generales de la Dirección de Administración de lo que va del 2022.” (Sic)</w:t>
            </w:r>
          </w:p>
        </w:tc>
      </w:tr>
      <w:tr>
        <w:trPr>
          <w:cantSplit w:val="0"/>
          <w:tblHeader w:val="0"/>
        </w:trPr>
        <w:tc>
          <w:tcPr/>
          <w:p w:rsidR="00000000" w:rsidDel="00000000" w:rsidP="00000000" w:rsidRDefault="00000000" w:rsidRPr="00000000" w14:paraId="0000000A">
            <w:pPr>
              <w:spacing w:after="240" w:befor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0"/>
                <w:szCs w:val="20"/>
                <w:rtl w:val="0"/>
              </w:rPr>
              <w:t xml:space="preserve">01461/METEPEC/IP/2022, </w:t>
            </w:r>
            <w:r w:rsidDel="00000000" w:rsidR="00000000" w:rsidRPr="00000000">
              <w:rPr>
                <w:rFonts w:ascii="Palatino Linotype" w:cs="Palatino Linotype" w:eastAsia="Palatino Linotype" w:hAnsi="Palatino Linotype"/>
                <w:sz w:val="20"/>
                <w:szCs w:val="20"/>
                <w:rtl w:val="0"/>
              </w:rPr>
              <w:t xml:space="preserve">correspondiente al Recurso de Revisión</w:t>
            </w:r>
            <w:r w:rsidDel="00000000" w:rsidR="00000000" w:rsidRPr="00000000">
              <w:rPr>
                <w:rFonts w:ascii="Palatino Linotype" w:cs="Palatino Linotype" w:eastAsia="Palatino Linotype" w:hAnsi="Palatino Linotype"/>
                <w:b w:val="1"/>
                <w:sz w:val="20"/>
                <w:szCs w:val="20"/>
                <w:rtl w:val="0"/>
              </w:rPr>
              <w:t xml:space="preserve"> 03355/INFOEM/IP/RR/2022</w:t>
            </w:r>
            <w:r w:rsidDel="00000000" w:rsidR="00000000" w:rsidRPr="00000000">
              <w:rPr>
                <w:rtl w:val="0"/>
              </w:rPr>
            </w:r>
          </w:p>
        </w:tc>
        <w:tc>
          <w:tcPr/>
          <w:p w:rsidR="00000000" w:rsidDel="00000000" w:rsidP="00000000" w:rsidRDefault="00000000" w:rsidRPr="00000000" w14:paraId="0000000B">
            <w:pPr>
              <w:spacing w:after="240" w:befor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“Se solicitan los documentos que den cuenta de Verificar el cumplimiento de las garantías en refacciones con los servicios realizados en talleres externos; a cargo de la Jefatura del Taller Mecánico de la Subdirección de Servicios Generales de la Dirección de Administración de lo que va del 2022.” (Sic)</w:t>
            </w:r>
          </w:p>
        </w:tc>
      </w:tr>
      <w:tr>
        <w:trPr>
          <w:cantSplit w:val="0"/>
          <w:tblHeader w:val="0"/>
        </w:trPr>
        <w:tc>
          <w:tcPr/>
          <w:p w:rsidR="00000000" w:rsidDel="00000000" w:rsidP="00000000" w:rsidRDefault="00000000" w:rsidRPr="00000000" w14:paraId="0000000C">
            <w:pPr>
              <w:spacing w:after="240" w:befor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01460/METEPEC/IP/2022, </w:t>
            </w:r>
            <w:r w:rsidDel="00000000" w:rsidR="00000000" w:rsidRPr="00000000">
              <w:rPr>
                <w:rFonts w:ascii="Palatino Linotype" w:cs="Palatino Linotype" w:eastAsia="Palatino Linotype" w:hAnsi="Palatino Linotype"/>
                <w:sz w:val="20"/>
                <w:szCs w:val="20"/>
                <w:rtl w:val="0"/>
              </w:rPr>
              <w:t xml:space="preserve">correspondiente al Recurso de Revisión</w:t>
            </w:r>
            <w:r w:rsidDel="00000000" w:rsidR="00000000" w:rsidRPr="00000000">
              <w:rPr>
                <w:rFonts w:ascii="Palatino Linotype" w:cs="Palatino Linotype" w:eastAsia="Palatino Linotype" w:hAnsi="Palatino Linotype"/>
                <w:b w:val="1"/>
                <w:sz w:val="20"/>
                <w:szCs w:val="20"/>
                <w:rtl w:val="0"/>
              </w:rPr>
              <w:t xml:space="preserve"> 03356/INFOEM/IP/RR/2022</w:t>
            </w:r>
          </w:p>
        </w:tc>
        <w:tc>
          <w:tcPr/>
          <w:p w:rsidR="00000000" w:rsidDel="00000000" w:rsidP="00000000" w:rsidRDefault="00000000" w:rsidRPr="00000000" w14:paraId="0000000D">
            <w:pPr>
              <w:spacing w:after="240" w:befor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“Se solicitan los documentos que den cuenta de Revisar los servicios realizados tanto en el taller mecánico municipal como en talleres externos, verificando que cumplan con las reparaciones programadas; a cargo de la Jefatura del Taller Mecánico de la Subdirección de Servicios Generales de la Dirección de Administración de lo que va del 2022.” (Sic)</w:t>
            </w:r>
          </w:p>
        </w:tc>
      </w:tr>
      <w:tr>
        <w:trPr>
          <w:cantSplit w:val="0"/>
          <w:tblHeader w:val="0"/>
        </w:trPr>
        <w:tc>
          <w:tcPr/>
          <w:p w:rsidR="00000000" w:rsidDel="00000000" w:rsidP="00000000" w:rsidRDefault="00000000" w:rsidRPr="00000000" w14:paraId="0000000E">
            <w:pPr>
              <w:spacing w:after="240" w:befor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01459/METEPEC/IP/2022, </w:t>
            </w:r>
            <w:r w:rsidDel="00000000" w:rsidR="00000000" w:rsidRPr="00000000">
              <w:rPr>
                <w:rFonts w:ascii="Palatino Linotype" w:cs="Palatino Linotype" w:eastAsia="Palatino Linotype" w:hAnsi="Palatino Linotype"/>
                <w:sz w:val="20"/>
                <w:szCs w:val="20"/>
                <w:rtl w:val="0"/>
              </w:rPr>
              <w:t xml:space="preserve">correspondiente al Recurso de Revisión</w:t>
            </w:r>
            <w:r w:rsidDel="00000000" w:rsidR="00000000" w:rsidRPr="00000000">
              <w:rPr>
                <w:rFonts w:ascii="Palatino Linotype" w:cs="Palatino Linotype" w:eastAsia="Palatino Linotype" w:hAnsi="Palatino Linotype"/>
                <w:b w:val="1"/>
                <w:sz w:val="20"/>
                <w:szCs w:val="20"/>
                <w:rtl w:val="0"/>
              </w:rPr>
              <w:t xml:space="preserve"> 03357/INFOEM/IP/RR/2022</w:t>
            </w:r>
          </w:p>
        </w:tc>
        <w:tc>
          <w:tcPr/>
          <w:p w:rsidR="00000000" w:rsidDel="00000000" w:rsidP="00000000" w:rsidRDefault="00000000" w:rsidRPr="00000000" w14:paraId="0000000F">
            <w:pPr>
              <w:spacing w:after="240" w:befor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“Se solicitan los documentos que den cuenta de Elaborar y dar seguimiento de los controles y reportes establecidos. (reporte diario, reporte de actividades, reporte de vehículos en piso y taller externo); a cargo de la Jefatura del Taller Mecánico de la Subdirección de Servicios Generales de la Dirección de Administración de lo que va del 2022.” (Sic)</w:t>
            </w:r>
          </w:p>
        </w:tc>
      </w:tr>
      <w:tr>
        <w:trPr>
          <w:cantSplit w:val="0"/>
          <w:tblHeader w:val="0"/>
        </w:trPr>
        <w:tc>
          <w:tcPr/>
          <w:p w:rsidR="00000000" w:rsidDel="00000000" w:rsidP="00000000" w:rsidRDefault="00000000" w:rsidRPr="00000000" w14:paraId="00000010">
            <w:pPr>
              <w:spacing w:after="240" w:befor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01458/METEPEC/IP/2022, </w:t>
            </w:r>
            <w:r w:rsidDel="00000000" w:rsidR="00000000" w:rsidRPr="00000000">
              <w:rPr>
                <w:rFonts w:ascii="Palatino Linotype" w:cs="Palatino Linotype" w:eastAsia="Palatino Linotype" w:hAnsi="Palatino Linotype"/>
                <w:sz w:val="20"/>
                <w:szCs w:val="20"/>
                <w:rtl w:val="0"/>
              </w:rPr>
              <w:t xml:space="preserve">correspondiente al Recurso de Revisión</w:t>
            </w:r>
            <w:r w:rsidDel="00000000" w:rsidR="00000000" w:rsidRPr="00000000">
              <w:rPr>
                <w:rFonts w:ascii="Palatino Linotype" w:cs="Palatino Linotype" w:eastAsia="Palatino Linotype" w:hAnsi="Palatino Linotype"/>
                <w:b w:val="1"/>
                <w:sz w:val="20"/>
                <w:szCs w:val="20"/>
                <w:rtl w:val="0"/>
              </w:rPr>
              <w:t xml:space="preserve"> 03358/INFOEM/IP/RR/2022</w:t>
            </w:r>
          </w:p>
        </w:tc>
        <w:tc>
          <w:tcPr/>
          <w:p w:rsidR="00000000" w:rsidDel="00000000" w:rsidP="00000000" w:rsidRDefault="00000000" w:rsidRPr="00000000" w14:paraId="00000011">
            <w:pPr>
              <w:spacing w:after="240" w:befor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“Se solicitan los documentos que den cuenta de Elaborar y actualizar el programa de verificación y cambio de llantas del parque vehicular municipal; a cargo de la Jefatura del Taller Mecánico de la Subdirección de Servicios Generales de la Dirección de Administración de lo que va del 2022.” (Sic)</w:t>
            </w:r>
          </w:p>
        </w:tc>
      </w:tr>
      <w:tr>
        <w:trPr>
          <w:cantSplit w:val="0"/>
          <w:tblHeader w:val="0"/>
        </w:trPr>
        <w:tc>
          <w:tcPr/>
          <w:p w:rsidR="00000000" w:rsidDel="00000000" w:rsidP="00000000" w:rsidRDefault="00000000" w:rsidRPr="00000000" w14:paraId="00000012">
            <w:pPr>
              <w:spacing w:after="240" w:befor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01457/METEPEC/IP/2022, </w:t>
            </w:r>
            <w:r w:rsidDel="00000000" w:rsidR="00000000" w:rsidRPr="00000000">
              <w:rPr>
                <w:rFonts w:ascii="Palatino Linotype" w:cs="Palatino Linotype" w:eastAsia="Palatino Linotype" w:hAnsi="Palatino Linotype"/>
                <w:sz w:val="20"/>
                <w:szCs w:val="20"/>
                <w:rtl w:val="0"/>
              </w:rPr>
              <w:t xml:space="preserve">correspondiente al Recurso de Revisión</w:t>
            </w:r>
            <w:r w:rsidDel="00000000" w:rsidR="00000000" w:rsidRPr="00000000">
              <w:rPr>
                <w:rFonts w:ascii="Palatino Linotype" w:cs="Palatino Linotype" w:eastAsia="Palatino Linotype" w:hAnsi="Palatino Linotype"/>
                <w:b w:val="1"/>
                <w:sz w:val="20"/>
                <w:szCs w:val="20"/>
                <w:rtl w:val="0"/>
              </w:rPr>
              <w:t xml:space="preserve"> 03359/INFOEM/IP/RR/2022</w:t>
            </w:r>
          </w:p>
        </w:tc>
        <w:tc>
          <w:tcPr/>
          <w:p w:rsidR="00000000" w:rsidDel="00000000" w:rsidP="00000000" w:rsidRDefault="00000000" w:rsidRPr="00000000" w14:paraId="00000013">
            <w:pPr>
              <w:spacing w:after="240" w:befor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“Se solicitan los documentos que den cuenta de Recibir en el almacén general las refacciones entregadas por los proveedores asignados por la Subdirección de Adquisiciones y Contratación de Servicios; a cargo de la Jefatura del Taller Mecánico de la Subdirección de Servicios Generales de la Dirección de Administración de lo que va del 2022.” (Sic)</w:t>
            </w:r>
          </w:p>
        </w:tc>
      </w:tr>
      <w:tr>
        <w:trPr>
          <w:cantSplit w:val="0"/>
          <w:tblHeader w:val="0"/>
        </w:trPr>
        <w:tc>
          <w:tcPr/>
          <w:p w:rsidR="00000000" w:rsidDel="00000000" w:rsidP="00000000" w:rsidRDefault="00000000" w:rsidRPr="00000000" w14:paraId="00000014">
            <w:pPr>
              <w:spacing w:after="240" w:befor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01456/METEPEC/IP/2022, </w:t>
            </w:r>
            <w:r w:rsidDel="00000000" w:rsidR="00000000" w:rsidRPr="00000000">
              <w:rPr>
                <w:rFonts w:ascii="Palatino Linotype" w:cs="Palatino Linotype" w:eastAsia="Palatino Linotype" w:hAnsi="Palatino Linotype"/>
                <w:sz w:val="20"/>
                <w:szCs w:val="20"/>
                <w:rtl w:val="0"/>
              </w:rPr>
              <w:t xml:space="preserve">correspondiente al Recurso de Revisión</w:t>
            </w:r>
            <w:r w:rsidDel="00000000" w:rsidR="00000000" w:rsidRPr="00000000">
              <w:rPr>
                <w:rFonts w:ascii="Palatino Linotype" w:cs="Palatino Linotype" w:eastAsia="Palatino Linotype" w:hAnsi="Palatino Linotype"/>
                <w:b w:val="1"/>
                <w:sz w:val="20"/>
                <w:szCs w:val="20"/>
                <w:rtl w:val="0"/>
              </w:rPr>
              <w:t xml:space="preserve"> 03360/INFOEM/IP/RR/2022</w:t>
            </w:r>
          </w:p>
        </w:tc>
        <w:tc>
          <w:tcPr/>
          <w:p w:rsidR="00000000" w:rsidDel="00000000" w:rsidP="00000000" w:rsidRDefault="00000000" w:rsidRPr="00000000" w14:paraId="00000015">
            <w:pPr>
              <w:spacing w:after="240" w:befor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“Se solicitan los documentos que den cuenta de Informar los trabajos realizados y fechas de entrega de los talleres externos; a cargo de la Jefatura del Taller Mecánico de la Subdirección de Servicios Generales de la Dirección de Administración de lo que va del 2022.” (Sic)</w:t>
            </w:r>
          </w:p>
        </w:tc>
      </w:tr>
      <w:tr>
        <w:trPr>
          <w:cantSplit w:val="0"/>
          <w:tblHeader w:val="0"/>
        </w:trPr>
        <w:tc>
          <w:tcPr/>
          <w:p w:rsidR="00000000" w:rsidDel="00000000" w:rsidP="00000000" w:rsidRDefault="00000000" w:rsidRPr="00000000" w14:paraId="00000016">
            <w:pPr>
              <w:spacing w:after="240" w:befor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01455/METEPEC/IP/2022, </w:t>
            </w:r>
            <w:r w:rsidDel="00000000" w:rsidR="00000000" w:rsidRPr="00000000">
              <w:rPr>
                <w:rFonts w:ascii="Palatino Linotype" w:cs="Palatino Linotype" w:eastAsia="Palatino Linotype" w:hAnsi="Palatino Linotype"/>
                <w:sz w:val="20"/>
                <w:szCs w:val="20"/>
                <w:rtl w:val="0"/>
              </w:rPr>
              <w:t xml:space="preserve">correspondiente al Recurso de Revisión</w:t>
            </w:r>
            <w:r w:rsidDel="00000000" w:rsidR="00000000" w:rsidRPr="00000000">
              <w:rPr>
                <w:rFonts w:ascii="Palatino Linotype" w:cs="Palatino Linotype" w:eastAsia="Palatino Linotype" w:hAnsi="Palatino Linotype"/>
                <w:b w:val="1"/>
                <w:sz w:val="20"/>
                <w:szCs w:val="20"/>
                <w:rtl w:val="0"/>
              </w:rPr>
              <w:t xml:space="preserve"> 03361/INFOEM/IP/RR/2022</w:t>
            </w:r>
          </w:p>
        </w:tc>
        <w:tc>
          <w:tcPr/>
          <w:p w:rsidR="00000000" w:rsidDel="00000000" w:rsidP="00000000" w:rsidRDefault="00000000" w:rsidRPr="00000000" w14:paraId="00000017">
            <w:pPr>
              <w:spacing w:after="240" w:befor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“Se solicitan los documentos que den cuenta de Elaborar las bitácoras vehiculares, así como su permanente actualización; a cargo de la Jefatura del Taller Mecánico de la Subdirección de Servicios Generales de la Dirección de Administración de lo que va del 2022.” (Sic)</w:t>
            </w:r>
          </w:p>
        </w:tc>
      </w:tr>
      <w:tr>
        <w:trPr>
          <w:cantSplit w:val="0"/>
          <w:tblHeader w:val="0"/>
        </w:trPr>
        <w:tc>
          <w:tcPr/>
          <w:p w:rsidR="00000000" w:rsidDel="00000000" w:rsidP="00000000" w:rsidRDefault="00000000" w:rsidRPr="00000000" w14:paraId="00000018">
            <w:pPr>
              <w:spacing w:after="240" w:befor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01454/METEPEC/IP/2022, </w:t>
            </w:r>
            <w:r w:rsidDel="00000000" w:rsidR="00000000" w:rsidRPr="00000000">
              <w:rPr>
                <w:rFonts w:ascii="Palatino Linotype" w:cs="Palatino Linotype" w:eastAsia="Palatino Linotype" w:hAnsi="Palatino Linotype"/>
                <w:sz w:val="20"/>
                <w:szCs w:val="20"/>
                <w:rtl w:val="0"/>
              </w:rPr>
              <w:t xml:space="preserve">correspondiente al Recurso de Revisión</w:t>
            </w:r>
            <w:r w:rsidDel="00000000" w:rsidR="00000000" w:rsidRPr="00000000">
              <w:rPr>
                <w:rFonts w:ascii="Palatino Linotype" w:cs="Palatino Linotype" w:eastAsia="Palatino Linotype" w:hAnsi="Palatino Linotype"/>
                <w:b w:val="1"/>
                <w:sz w:val="20"/>
                <w:szCs w:val="20"/>
                <w:rtl w:val="0"/>
              </w:rPr>
              <w:t xml:space="preserve"> 03362/INFOEM/IP/RR/2022</w:t>
            </w:r>
          </w:p>
        </w:tc>
        <w:tc>
          <w:tcPr/>
          <w:p w:rsidR="00000000" w:rsidDel="00000000" w:rsidP="00000000" w:rsidRDefault="00000000" w:rsidRPr="00000000" w14:paraId="00000019">
            <w:pPr>
              <w:spacing w:after="240" w:befor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“Se solicitan los documentos que den cuenta de Informar y verificar que las operaciones vehiculares estén debidamente integrados y actualizados; a cargo de la Jefatura del Taller Mecánico de la Subdirección de Servicios Generales de la Dirección de Administración de lo que va del 2022.” (Sic)</w:t>
            </w:r>
          </w:p>
        </w:tc>
      </w:tr>
      <w:tr>
        <w:trPr>
          <w:cantSplit w:val="0"/>
          <w:tblHeader w:val="0"/>
        </w:trPr>
        <w:tc>
          <w:tcPr/>
          <w:p w:rsidR="00000000" w:rsidDel="00000000" w:rsidP="00000000" w:rsidRDefault="00000000" w:rsidRPr="00000000" w14:paraId="0000001A">
            <w:pPr>
              <w:spacing w:after="240" w:befor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01453/METEPEC/IP/2022, </w:t>
            </w:r>
            <w:r w:rsidDel="00000000" w:rsidR="00000000" w:rsidRPr="00000000">
              <w:rPr>
                <w:rFonts w:ascii="Palatino Linotype" w:cs="Palatino Linotype" w:eastAsia="Palatino Linotype" w:hAnsi="Palatino Linotype"/>
                <w:sz w:val="20"/>
                <w:szCs w:val="20"/>
                <w:rtl w:val="0"/>
              </w:rPr>
              <w:t xml:space="preserve">correspondiente al Recurso de Revisión</w:t>
            </w:r>
            <w:r w:rsidDel="00000000" w:rsidR="00000000" w:rsidRPr="00000000">
              <w:rPr>
                <w:rFonts w:ascii="Palatino Linotype" w:cs="Palatino Linotype" w:eastAsia="Palatino Linotype" w:hAnsi="Palatino Linotype"/>
                <w:b w:val="1"/>
                <w:sz w:val="20"/>
                <w:szCs w:val="20"/>
                <w:rtl w:val="0"/>
              </w:rPr>
              <w:t xml:space="preserve"> 03363/INFOEM/IP/RR/2022</w:t>
            </w:r>
          </w:p>
        </w:tc>
        <w:tc>
          <w:tcPr/>
          <w:p w:rsidR="00000000" w:rsidDel="00000000" w:rsidP="00000000" w:rsidRDefault="00000000" w:rsidRPr="00000000" w14:paraId="0000001B">
            <w:pPr>
              <w:spacing w:after="240" w:befor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“Se solicitan los documentos que den cuenta de Ejecutar las acciones y trabajos del taller mecánico municipal; a cargo de la Jefatura del Taller Mecánico de la Subdirección de Servicios Generales de la Dirección de Administración de lo que va del 2022.” (Sic)</w:t>
            </w:r>
          </w:p>
        </w:tc>
      </w:tr>
      <w:tr>
        <w:trPr>
          <w:cantSplit w:val="0"/>
          <w:tblHeader w:val="0"/>
        </w:trPr>
        <w:tc>
          <w:tcPr/>
          <w:p w:rsidR="00000000" w:rsidDel="00000000" w:rsidP="00000000" w:rsidRDefault="00000000" w:rsidRPr="00000000" w14:paraId="0000001C">
            <w:pPr>
              <w:spacing w:after="240" w:befor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01452/METEPEC/IP/2022, </w:t>
            </w:r>
            <w:r w:rsidDel="00000000" w:rsidR="00000000" w:rsidRPr="00000000">
              <w:rPr>
                <w:rFonts w:ascii="Palatino Linotype" w:cs="Palatino Linotype" w:eastAsia="Palatino Linotype" w:hAnsi="Palatino Linotype"/>
                <w:sz w:val="20"/>
                <w:szCs w:val="20"/>
                <w:rtl w:val="0"/>
              </w:rPr>
              <w:t xml:space="preserve">correspondiente al Recurso de Revisión</w:t>
            </w:r>
            <w:r w:rsidDel="00000000" w:rsidR="00000000" w:rsidRPr="00000000">
              <w:rPr>
                <w:rFonts w:ascii="Palatino Linotype" w:cs="Palatino Linotype" w:eastAsia="Palatino Linotype" w:hAnsi="Palatino Linotype"/>
                <w:b w:val="1"/>
                <w:sz w:val="20"/>
                <w:szCs w:val="20"/>
                <w:rtl w:val="0"/>
              </w:rPr>
              <w:t xml:space="preserve"> 03364/INFOEM/IP/RR/2022</w:t>
            </w:r>
          </w:p>
        </w:tc>
        <w:tc>
          <w:tcPr/>
          <w:p w:rsidR="00000000" w:rsidDel="00000000" w:rsidP="00000000" w:rsidRDefault="00000000" w:rsidRPr="00000000" w14:paraId="0000001D">
            <w:pPr>
              <w:spacing w:after="240" w:befor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“Se solicitan los documentos que den cuenta de Elaborar el Plan Anual de Mantenimiento al Parque Vehicular; a cargo de la Jefatura del Taller Mecánico de la Subdirección de Servicios Generales de la Dirección de Administración de lo que va del 2022.” (Sic)</w:t>
            </w:r>
          </w:p>
        </w:tc>
      </w:tr>
      <w:tr>
        <w:trPr>
          <w:cantSplit w:val="0"/>
          <w:tblHeader w:val="0"/>
        </w:trPr>
        <w:tc>
          <w:tcPr/>
          <w:p w:rsidR="00000000" w:rsidDel="00000000" w:rsidP="00000000" w:rsidRDefault="00000000" w:rsidRPr="00000000" w14:paraId="0000001E">
            <w:pPr>
              <w:spacing w:after="240" w:befor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01451/METEPEC/IP/2022, </w:t>
            </w:r>
            <w:r w:rsidDel="00000000" w:rsidR="00000000" w:rsidRPr="00000000">
              <w:rPr>
                <w:rFonts w:ascii="Palatino Linotype" w:cs="Palatino Linotype" w:eastAsia="Palatino Linotype" w:hAnsi="Palatino Linotype"/>
                <w:sz w:val="20"/>
                <w:szCs w:val="20"/>
                <w:rtl w:val="0"/>
              </w:rPr>
              <w:t xml:space="preserve">correspondiente al Recurso de Revisión</w:t>
            </w:r>
            <w:r w:rsidDel="00000000" w:rsidR="00000000" w:rsidRPr="00000000">
              <w:rPr>
                <w:rFonts w:ascii="Palatino Linotype" w:cs="Palatino Linotype" w:eastAsia="Palatino Linotype" w:hAnsi="Palatino Linotype"/>
                <w:b w:val="1"/>
                <w:sz w:val="20"/>
                <w:szCs w:val="20"/>
                <w:rtl w:val="0"/>
              </w:rPr>
              <w:t xml:space="preserve"> 03365/INFOEM/IP/RR/2022</w:t>
            </w:r>
          </w:p>
        </w:tc>
        <w:tc>
          <w:tcPr/>
          <w:p w:rsidR="00000000" w:rsidDel="00000000" w:rsidP="00000000" w:rsidRDefault="00000000" w:rsidRPr="00000000" w14:paraId="0000001F">
            <w:pPr>
              <w:spacing w:after="240" w:befor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“Se solicitan los documentos que den cuenta de Registrar el proceso de ingreso y salida de las unidades en el taller mecánico municipal. (inventario, entrada y salida, evaluación y hoja de servicio y carta responsiva); a cargo de la Jefatura del Taller Mecánico de la Subdirección de Servicios Generales de la Dirección de Administración de lo que va del 2022.” (Sic)</w:t>
            </w:r>
          </w:p>
        </w:tc>
      </w:tr>
      <w:tr>
        <w:trPr>
          <w:cantSplit w:val="0"/>
          <w:tblHeader w:val="0"/>
        </w:trPr>
        <w:tc>
          <w:tcPr/>
          <w:p w:rsidR="00000000" w:rsidDel="00000000" w:rsidP="00000000" w:rsidRDefault="00000000" w:rsidRPr="00000000" w14:paraId="00000020">
            <w:pPr>
              <w:spacing w:after="240" w:befor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01450/METEPEC/IP/2022, </w:t>
            </w:r>
            <w:r w:rsidDel="00000000" w:rsidR="00000000" w:rsidRPr="00000000">
              <w:rPr>
                <w:rFonts w:ascii="Palatino Linotype" w:cs="Palatino Linotype" w:eastAsia="Palatino Linotype" w:hAnsi="Palatino Linotype"/>
                <w:sz w:val="20"/>
                <w:szCs w:val="20"/>
                <w:rtl w:val="0"/>
              </w:rPr>
              <w:t xml:space="preserve">correspondiente al Recurso de Revisión</w:t>
            </w:r>
            <w:r w:rsidDel="00000000" w:rsidR="00000000" w:rsidRPr="00000000">
              <w:rPr>
                <w:rFonts w:ascii="Palatino Linotype" w:cs="Palatino Linotype" w:eastAsia="Palatino Linotype" w:hAnsi="Palatino Linotype"/>
                <w:b w:val="1"/>
                <w:sz w:val="20"/>
                <w:szCs w:val="20"/>
                <w:rtl w:val="0"/>
              </w:rPr>
              <w:t xml:space="preserve"> 03366/INFOEM/IP/RR/2022</w:t>
            </w:r>
          </w:p>
        </w:tc>
        <w:tc>
          <w:tcPr/>
          <w:p w:rsidR="00000000" w:rsidDel="00000000" w:rsidP="00000000" w:rsidRDefault="00000000" w:rsidRPr="00000000" w14:paraId="00000021">
            <w:pPr>
              <w:spacing w:after="240" w:befor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“Se solicitan los documentos que den cuenta de Proponer la elaboración de diagnósticos; a cargo de la Jefatura del Taller Mecánico de la Subdirección de Servicios Generales de la Dirección de Administración de lo que va del 2022.” (Sic)</w:t>
            </w:r>
          </w:p>
        </w:tc>
      </w:tr>
      <w:tr>
        <w:trPr>
          <w:cantSplit w:val="0"/>
          <w:tblHeader w:val="0"/>
        </w:trPr>
        <w:tc>
          <w:tcPr/>
          <w:p w:rsidR="00000000" w:rsidDel="00000000" w:rsidP="00000000" w:rsidRDefault="00000000" w:rsidRPr="00000000" w14:paraId="00000022">
            <w:pPr>
              <w:spacing w:after="240" w:befor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01449/METEPEC/IP/2022, </w:t>
            </w:r>
            <w:r w:rsidDel="00000000" w:rsidR="00000000" w:rsidRPr="00000000">
              <w:rPr>
                <w:rFonts w:ascii="Palatino Linotype" w:cs="Palatino Linotype" w:eastAsia="Palatino Linotype" w:hAnsi="Palatino Linotype"/>
                <w:sz w:val="20"/>
                <w:szCs w:val="20"/>
                <w:rtl w:val="0"/>
              </w:rPr>
              <w:t xml:space="preserve">correspondiente al Recurso de Revisión</w:t>
            </w:r>
            <w:r w:rsidDel="00000000" w:rsidR="00000000" w:rsidRPr="00000000">
              <w:rPr>
                <w:rFonts w:ascii="Palatino Linotype" w:cs="Palatino Linotype" w:eastAsia="Palatino Linotype" w:hAnsi="Palatino Linotype"/>
                <w:b w:val="1"/>
                <w:sz w:val="20"/>
                <w:szCs w:val="20"/>
                <w:rtl w:val="0"/>
              </w:rPr>
              <w:t xml:space="preserve"> 03367/INFOEM/IP/RR/2022</w:t>
            </w:r>
          </w:p>
        </w:tc>
        <w:tc>
          <w:tcPr/>
          <w:p w:rsidR="00000000" w:rsidDel="00000000" w:rsidP="00000000" w:rsidRDefault="00000000" w:rsidRPr="00000000" w14:paraId="00000023">
            <w:pPr>
              <w:spacing w:after="240" w:befor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“Se solicitan los documentos que den cuenta de Atender y ejecutar los servicios preventivos, correctivos, legales y documentales del parque vehicular; a cargo de la Jefatura del Taller Mecánico de la Subdirección de Servicios Generales de la Dirección de Administración de lo que va del 2022.” (Sic)</w:t>
            </w:r>
          </w:p>
        </w:tc>
      </w:tr>
    </w:tbl>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Prórrogas.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cuatro de febrero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requirió prórrogas para dar respuesta a las solicitudes de información, a través de las cuales, indicó lo siguiente:</w:t>
      </w:r>
    </w:p>
    <w:p w:rsidR="00000000" w:rsidDel="00000000" w:rsidP="00000000" w:rsidRDefault="00000000" w:rsidRPr="00000000" w14:paraId="00000026">
      <w:pPr>
        <w:spacing w:after="240" w:before="240" w:line="276"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27">
      <w:pPr>
        <w:spacing w:after="240" w:before="240" w:line="276"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rsidR="00000000" w:rsidDel="00000000" w:rsidP="00000000" w:rsidRDefault="00000000" w:rsidRPr="00000000" w14:paraId="00000028">
      <w:pPr>
        <w:spacing w:after="240" w:before="240" w:line="276"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Gerardo Arturo Ozuna Martínez</w:t>
      </w:r>
    </w:p>
    <w:p w:rsidR="00000000" w:rsidDel="00000000" w:rsidP="00000000" w:rsidRDefault="00000000" w:rsidRPr="00000000" w14:paraId="00000029">
      <w:pPr>
        <w:spacing w:after="240" w:before="240" w:line="276"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Responsable de la Unidad de Transparencia” (Sic)</w:t>
      </w:r>
    </w:p>
    <w:p w:rsidR="00000000" w:rsidDel="00000000" w:rsidP="00000000" w:rsidRDefault="00000000" w:rsidRPr="00000000" w14:paraId="0000002A">
      <w:pPr>
        <w:spacing w:after="240" w:before="240" w:line="360" w:lineRule="auto"/>
        <w:ind w:right="49"/>
        <w:jc w:val="both"/>
        <w:rPr>
          <w:rFonts w:ascii="Palatino Linotype" w:cs="Palatino Linotype" w:eastAsia="Palatino Linotype" w:hAnsi="Palatino Linotype"/>
        </w:rPr>
      </w:pPr>
      <w:bookmarkStart w:colFirst="0" w:colLast="0" w:name="_heading=h.1fob9te" w:id="1"/>
      <w:bookmarkEnd w:id="1"/>
      <w:r w:rsidDel="00000000" w:rsidR="00000000" w:rsidRPr="00000000">
        <w:rPr>
          <w:rFonts w:ascii="Palatino Linotype" w:cs="Palatino Linotype" w:eastAsia="Palatino Linotype" w:hAnsi="Palatino Linotype"/>
          <w:rtl w:val="0"/>
        </w:rPr>
        <w:t xml:space="preserve">El Sujeto Obligado agregó  el documento “</w:t>
      </w:r>
      <w:r w:rsidDel="00000000" w:rsidR="00000000" w:rsidRPr="00000000">
        <w:rPr>
          <w:rFonts w:ascii="Palatino Linotype" w:cs="Palatino Linotype" w:eastAsia="Palatino Linotype" w:hAnsi="Palatino Linotype"/>
          <w:b w:val="1"/>
          <w:i w:val="1"/>
          <w:rtl w:val="0"/>
        </w:rPr>
        <w:t xml:space="preserve">acta primera sesion extraordinaria.pdf”</w:t>
      </w:r>
      <w:r w:rsidDel="00000000" w:rsidR="00000000" w:rsidRPr="00000000">
        <w:rPr>
          <w:rFonts w:ascii="Palatino Linotype" w:cs="Palatino Linotype" w:eastAsia="Palatino Linotype" w:hAnsi="Palatino Linotype"/>
          <w:rtl w:val="0"/>
        </w:rPr>
        <w:t xml:space="preserve"> mediante la cual  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autoriza dichas prórrogas.</w:t>
      </w:r>
    </w:p>
    <w:p w:rsidR="00000000" w:rsidDel="00000000" w:rsidP="00000000" w:rsidRDefault="00000000" w:rsidRPr="00000000" w14:paraId="0000002B">
      <w:pPr>
        <w:spacing w:after="240" w:before="240" w:line="360" w:lineRule="auto"/>
        <w:jc w:val="both"/>
        <w:rPr/>
      </w:pPr>
      <w:r w:rsidDel="00000000" w:rsidR="00000000" w:rsidRPr="00000000">
        <w:rPr>
          <w:rFonts w:ascii="Palatino Linotype" w:cs="Palatino Linotype" w:eastAsia="Palatino Linotype" w:hAnsi="Palatino Linotype"/>
          <w:b w:val="1"/>
          <w:rtl w:val="0"/>
        </w:rPr>
        <w:t xml:space="preserve">3. Respuestas. </w:t>
      </w:r>
      <w:r w:rsidDel="00000000" w:rsidR="00000000" w:rsidRPr="00000000">
        <w:rPr>
          <w:rFonts w:ascii="Palatino Linotype" w:cs="Palatino Linotype" w:eastAsia="Palatino Linotype" w:hAnsi="Palatino Linotype"/>
          <w:rtl w:val="0"/>
        </w:rPr>
        <w:t xml:space="preserve"> De las constancias que obran en el SAIMEX, se observa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no emitió respuesta alguna a las solicitudes de información.</w:t>
      </w:r>
      <w:r w:rsidDel="00000000" w:rsidR="00000000" w:rsidRPr="00000000">
        <w:rPr>
          <w:rtl w:val="0"/>
        </w:rPr>
      </w:r>
    </w:p>
    <w:p w:rsidR="00000000" w:rsidDel="00000000" w:rsidP="00000000" w:rsidRDefault="00000000" w:rsidRPr="00000000" w14:paraId="0000002C">
      <w:pPr>
        <w:spacing w:after="240" w:before="240" w:line="360" w:lineRule="auto"/>
        <w:ind w:right="49"/>
        <w:jc w:val="both"/>
        <w:rPr>
          <w:rFonts w:ascii="Palatino Linotype" w:cs="Palatino Linotype" w:eastAsia="Palatino Linotype" w:hAnsi="Palatino Linotype"/>
          <w:i w:val="1"/>
          <w:sz w:val="2"/>
          <w:szCs w:val="2"/>
        </w:rPr>
      </w:pPr>
      <w:r w:rsidDel="00000000" w:rsidR="00000000" w:rsidRPr="00000000">
        <w:rPr>
          <w:rFonts w:ascii="Palatino Linotype" w:cs="Palatino Linotype" w:eastAsia="Palatino Linotype" w:hAnsi="Palatino Linotype"/>
          <w:b w:val="1"/>
          <w:rtl w:val="0"/>
        </w:rPr>
        <w:t xml:space="preserve">4. Interposición de los recursos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cuatro de marzo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dos mil veintidós, la parte Recurrente </w:t>
      </w:r>
      <w:r w:rsidDel="00000000" w:rsidR="00000000" w:rsidRPr="00000000">
        <w:rPr>
          <w:rFonts w:ascii="Palatino Linotype" w:cs="Palatino Linotype" w:eastAsia="Palatino Linotype" w:hAnsi="Palatino Linotype"/>
          <w:rtl w:val="0"/>
        </w:rPr>
        <w:t xml:space="preserve">inconforme con la falta de respuestas, interpuso los recursos de revisión que nos ocupan, expresando en la totalidad de los expedientes, las siguientes manifestaciones:</w:t>
      </w:r>
      <w:r w:rsidDel="00000000" w:rsidR="00000000" w:rsidRPr="00000000">
        <w:rPr>
          <w:rtl w:val="0"/>
        </w:rPr>
      </w:r>
    </w:p>
    <w:p w:rsidR="00000000" w:rsidDel="00000000" w:rsidP="00000000" w:rsidRDefault="00000000" w:rsidRPr="00000000" w14:paraId="0000002D">
      <w:pPr>
        <w:spacing w:line="360" w:lineRule="auto"/>
        <w:ind w:left="567"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2E">
      <w:pPr>
        <w:spacing w:after="240"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 falta de respuesta del Sujeto Obligado.” (Sic)</w:t>
      </w:r>
    </w:p>
    <w:p w:rsidR="00000000" w:rsidDel="00000000" w:rsidP="00000000" w:rsidRDefault="00000000" w:rsidRPr="00000000" w14:paraId="0000002F">
      <w:pPr>
        <w:spacing w:line="360" w:lineRule="auto"/>
        <w:ind w:left="567"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30">
      <w:pPr>
        <w:spacing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 “La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w:t>
      </w:r>
      <w:r w:rsidDel="00000000" w:rsidR="00000000" w:rsidRPr="00000000">
        <w:rPr>
          <w:rtl w:val="0"/>
        </w:rPr>
      </w:r>
    </w:p>
    <w:p w:rsidR="00000000" w:rsidDel="00000000" w:rsidP="00000000" w:rsidRDefault="00000000" w:rsidRPr="00000000" w14:paraId="00000031">
      <w:pPr>
        <w:spacing w:line="360" w:lineRule="auto"/>
        <w:jc w:val="both"/>
        <w:rPr>
          <w:rFonts w:ascii="Palatino Linotype" w:cs="Palatino Linotype" w:eastAsia="Palatino Linotype" w:hAnsi="Palatino Linotype"/>
          <w:sz w:val="2"/>
          <w:szCs w:val="2"/>
        </w:rPr>
      </w:pP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sz w:val="2"/>
          <w:szCs w:val="2"/>
        </w:rPr>
      </w:pPr>
      <w:r w:rsidDel="00000000" w:rsidR="00000000" w:rsidRPr="00000000">
        <w:rPr>
          <w:rtl w:val="0"/>
        </w:rPr>
      </w:r>
    </w:p>
    <w:p w:rsidR="00000000" w:rsidDel="00000000" w:rsidP="00000000" w:rsidRDefault="00000000" w:rsidRPr="00000000" w14:paraId="00000033">
      <w:pPr>
        <w:spacing w:line="360" w:lineRule="auto"/>
        <w:jc w:val="both"/>
        <w:rPr>
          <w:rFonts w:ascii="Palatino Linotype" w:cs="Palatino Linotype" w:eastAsia="Palatino Linotype" w:hAnsi="Palatino Linotype"/>
          <w:sz w:val="2"/>
          <w:szCs w:val="2"/>
        </w:rPr>
      </w:pPr>
      <w:r w:rsidDel="00000000" w:rsidR="00000000" w:rsidRPr="00000000">
        <w:rPr>
          <w:rtl w:val="0"/>
        </w:rPr>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Turno. </w:t>
      </w:r>
      <w:r w:rsidDel="00000000" w:rsidR="00000000" w:rsidRPr="00000000">
        <w:rPr>
          <w:rFonts w:ascii="Palatino Linotype" w:cs="Palatino Linotype" w:eastAsia="Palatino Linotype" w:hAnsi="Palatino Linotype"/>
          <w:rtl w:val="0"/>
        </w:rPr>
        <w:t xml:space="preserve">De conformidad con el artículo 185 fracción I, de la Ley Transparencia y Acceso a la Información Pública, los recursos de revisión fueron</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turnados a los Comisionados José Martínez Vilchis, María Del Rosario Mejía Ayala, Sharon Cristina Morales Martínez, Luis Gustavo Parra Noriega y Guadalupe Ramírez Peña; a efecto de presentar al Pleno los proyectos de resolución correspondientes. </w:t>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Admisiones. </w:t>
      </w:r>
      <w:r w:rsidDel="00000000" w:rsidR="00000000" w:rsidRPr="00000000">
        <w:rPr>
          <w:rFonts w:ascii="Palatino Linotype" w:cs="Palatino Linotype" w:eastAsia="Palatino Linotype" w:hAnsi="Palatino Linotype"/>
          <w:rtl w:val="0"/>
        </w:rPr>
        <w:t xml:space="preserve">En fechas, </w:t>
      </w:r>
      <w:r w:rsidDel="00000000" w:rsidR="00000000" w:rsidRPr="00000000">
        <w:rPr>
          <w:rFonts w:ascii="Palatino Linotype" w:cs="Palatino Linotype" w:eastAsia="Palatino Linotype" w:hAnsi="Palatino Linotype"/>
          <w:b w:val="1"/>
          <w:rtl w:val="0"/>
        </w:rPr>
        <w:t xml:space="preserve">siete, ocho, nueve y diez de marzo de dos mil veintidós,</w:t>
      </w:r>
      <w:r w:rsidDel="00000000" w:rsidR="00000000" w:rsidRPr="00000000">
        <w:rPr>
          <w:rFonts w:ascii="Palatino Linotype" w:cs="Palatino Linotype" w:eastAsia="Palatino Linotype" w:hAnsi="Palatino Linotype"/>
          <w:rtl w:val="0"/>
        </w:rPr>
        <w:t xml:space="preserve"> en términos de lo dispuesto en el artículo 185 fracciones I, II y IV de la Ley de Transparencia y Acceso a la Información Pública del Estado de México y Municipios, se admitieron a trámite los recursos de revisión.</w:t>
      </w:r>
    </w:p>
    <w:p w:rsidR="00000000" w:rsidDel="00000000" w:rsidP="00000000" w:rsidRDefault="00000000" w:rsidRPr="00000000" w14:paraId="0000003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Acumulación. </w:t>
      </w:r>
      <w:r w:rsidDel="00000000" w:rsidR="00000000" w:rsidRPr="00000000">
        <w:rPr>
          <w:rFonts w:ascii="Palatino Linotype" w:cs="Palatino Linotype" w:eastAsia="Palatino Linotype" w:hAnsi="Palatino Linotype"/>
          <w:rtl w:val="0"/>
        </w:rPr>
        <w:t xml:space="preserve">En la </w:t>
      </w:r>
      <w:r w:rsidDel="00000000" w:rsidR="00000000" w:rsidRPr="00000000">
        <w:rPr>
          <w:rFonts w:ascii="Palatino Linotype" w:cs="Palatino Linotype" w:eastAsia="Palatino Linotype" w:hAnsi="Palatino Linotype"/>
          <w:b w:val="1"/>
          <w:rtl w:val="0"/>
        </w:rPr>
        <w:t xml:space="preserve">Décima Sesión Ordinaria</w:t>
      </w:r>
      <w:r w:rsidDel="00000000" w:rsidR="00000000" w:rsidRPr="00000000">
        <w:rPr>
          <w:rFonts w:ascii="Palatino Linotype" w:cs="Palatino Linotype" w:eastAsia="Palatino Linotype" w:hAnsi="Palatino Linotype"/>
          <w:rtl w:val="0"/>
        </w:rPr>
        <w:t xml:space="preserve"> celebrada el </w:t>
      </w:r>
      <w:r w:rsidDel="00000000" w:rsidR="00000000" w:rsidRPr="00000000">
        <w:rPr>
          <w:rFonts w:ascii="Palatino Linotype" w:cs="Palatino Linotype" w:eastAsia="Palatino Linotype" w:hAnsi="Palatino Linotype"/>
          <w:b w:val="1"/>
          <w:rtl w:val="0"/>
        </w:rPr>
        <w:t xml:space="preserve">dieciséis de marzo de dos mil veintidós</w:t>
      </w:r>
      <w:r w:rsidDel="00000000" w:rsidR="00000000" w:rsidRPr="00000000">
        <w:rPr>
          <w:rFonts w:ascii="Palatino Linotype" w:cs="Palatino Linotype" w:eastAsia="Palatino Linotype" w:hAnsi="Palatino Linotype"/>
          <w:rtl w:val="0"/>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Del="00000000" w:rsidR="00000000" w:rsidRPr="00000000">
        <w:rPr>
          <w:rFonts w:ascii="Palatino Linotype" w:cs="Palatino Linotype" w:eastAsia="Palatino Linotype" w:hAnsi="Palatino Linotype"/>
          <w:b w:val="1"/>
          <w:rtl w:val="0"/>
        </w:rPr>
        <w:t xml:space="preserve">Comisionada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Manifestaciones. </w:t>
      </w:r>
      <w:r w:rsidDel="00000000" w:rsidR="00000000" w:rsidRPr="00000000">
        <w:rPr>
          <w:rFonts w:ascii="Palatino Linotype" w:cs="Palatino Linotype" w:eastAsia="Palatino Linotype" w:hAnsi="Palatino Linotype"/>
          <w:rtl w:val="0"/>
        </w:rPr>
        <w:t xml:space="preserve">De las constancias que obran en los expedientes electrónicos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rindió informes justificados en fechas trece, dieciocho, veinte, veintiuno, veintidós y veinticinco de abril de dos mil veintidós, en términos idénticos, mediante los cuales se observa lo siguiente:</w:t>
      </w:r>
    </w:p>
    <w:p w:rsidR="00000000" w:rsidDel="00000000" w:rsidP="00000000" w:rsidRDefault="00000000" w:rsidRPr="00000000" w14:paraId="00000038">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82852" cy="5701101"/>
            <wp:effectExtent b="0" l="0" r="0" t="0"/>
            <wp:docPr id="6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082852" cy="5701101"/>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D">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795047" cy="6263183"/>
            <wp:effectExtent b="0" l="0" r="0" t="0"/>
            <wp:docPr id="63"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4795047" cy="6263183"/>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888367" cy="6604108"/>
            <wp:effectExtent b="0" l="0" r="0" t="0"/>
            <wp:docPr id="62"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4888367" cy="6604108"/>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213510" cy="6710081"/>
            <wp:effectExtent b="0" l="0" r="0" t="0"/>
            <wp:docPr id="65"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5213510" cy="6710081"/>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3">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546022" cy="6294413"/>
            <wp:effectExtent b="0" l="0" r="0" t="0"/>
            <wp:docPr id="6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546022" cy="629441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240" w:before="240"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6">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925973" cy="6547900"/>
            <wp:effectExtent b="0" l="0" r="0" t="0"/>
            <wp:docPr id="6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925973" cy="65479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948188" cy="7017535"/>
            <wp:effectExtent b="0" l="0" r="0" t="0"/>
            <wp:docPr id="6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948188" cy="701753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9">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811385" cy="6874862"/>
            <wp:effectExtent b="0" l="0" r="0" t="0"/>
            <wp:docPr id="69"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4811385" cy="6874862"/>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138529" cy="6664738"/>
            <wp:effectExtent b="0" l="0" r="0" t="0"/>
            <wp:docPr id="68"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138529" cy="6664738"/>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40" w:before="240"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C">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Pr>
        <w:drawing>
          <wp:inline distB="0" distT="0" distL="0" distR="0">
            <wp:extent cx="5612130" cy="6714490"/>
            <wp:effectExtent b="0" l="0" r="0" t="0"/>
            <wp:docPr id="72"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612130" cy="671449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también, en los recursos </w:t>
      </w:r>
      <w:r w:rsidDel="00000000" w:rsidR="00000000" w:rsidRPr="00000000">
        <w:rPr>
          <w:rFonts w:ascii="Palatino Linotype" w:cs="Palatino Linotype" w:eastAsia="Palatino Linotype" w:hAnsi="Palatino Linotype"/>
          <w:b w:val="1"/>
          <w:rtl w:val="0"/>
        </w:rPr>
        <w:t xml:space="preserve">03354/INFOEM/IP/RR/2022, 03355/INFOEM/IP/RR/2022, 03356/INFOEM/IP/RR/2022, 03357/INFOEM/IP/RR/2022,  03358/INFOEM/IP/RR/2022,  03359/INFOEM/IP/RR/2022,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agregó la documental siguiente:</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Número: DA/0763/2022, de fecha ocho de febrero de dos mil veintidós, a través del cual el Director de Administración, remite respuesta a diversas solicitudes de información, en el que destaca:</w:t>
      </w:r>
    </w:p>
    <w:p w:rsidR="00000000" w:rsidDel="00000000" w:rsidP="00000000" w:rsidRDefault="00000000" w:rsidRPr="00000000" w14:paraId="0000004F">
      <w:pPr>
        <w:spacing w:after="240" w:before="240" w:line="276" w:lineRule="auto"/>
        <w:ind w:left="1134"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sz w:val="22"/>
          <w:szCs w:val="22"/>
          <w:rtl w:val="0"/>
        </w:rPr>
        <w:t xml:space="preserve">Como es evidente que todas y cada una de las solicitudes antes referidas versan sobre una misma función: "funciones y atribuciones", esta Dirección, considera pertinente la ACUMULACIÓN de las mismas, al determinar que son solicitudes iguales y conexas, resultando conveniente el trámite unificado de las mismas, para evitar respuestas contradictorias; con lo que se garantiza el derecho de acceso a la información pública al solicitante, otorgándole certeza jurídica; esto de conformidad en lo dispuesto en el artículo 6 de la Constitución Política, del Estado Libre y Soberano de México, así como lo señalado en el artículo 18 del Código de Procedimientos Administrativos del Estado de México. </w:t>
      </w:r>
    </w:p>
    <w:p w:rsidR="00000000" w:rsidDel="00000000" w:rsidP="00000000" w:rsidRDefault="00000000" w:rsidRPr="00000000" w14:paraId="00000050">
      <w:pPr>
        <w:spacing w:after="240" w:before="240" w:line="276" w:lineRule="auto"/>
        <w:ind w:left="1134"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1">
      <w:pPr>
        <w:spacing w:after="240" w:before="240" w:line="276" w:lineRule="auto"/>
        <w:ind w:left="1134"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solicitudes arriba enlistadas, fueron analizadas. Por lo que me permito manifestar lo siguiente: </w:t>
      </w:r>
    </w:p>
    <w:p w:rsidR="00000000" w:rsidDel="00000000" w:rsidP="00000000" w:rsidRDefault="00000000" w:rsidRPr="00000000" w14:paraId="00000052">
      <w:pPr>
        <w:spacing w:after="240" w:before="240" w:line="276" w:lineRule="auto"/>
        <w:ind w:left="1134"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documento donde "se da cuenta" o lo que es lo mismo, donde se notifica, advierten o se hacen saber las funciones y atribuciones que señala el ciudadano se encuentran previstas en el: Código de Reglamentación Municipal de Metepec, Estado de México. </w:t>
      </w:r>
    </w:p>
    <w:p w:rsidR="00000000" w:rsidDel="00000000" w:rsidP="00000000" w:rsidRDefault="00000000" w:rsidRPr="00000000" w14:paraId="00000053">
      <w:pPr>
        <w:spacing w:after="240" w:before="240" w:line="276" w:lineRule="auto"/>
        <w:ind w:left="1134"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omito mencionar que a la fecha sigue vigente el documento en comento del año inmediato anterior y el ciudadano </w:t>
      </w:r>
      <w:r w:rsidDel="00000000" w:rsidR="00000000" w:rsidRPr="00000000">
        <w:rPr>
          <w:rFonts w:ascii="Palatino Linotype" w:cs="Palatino Linotype" w:eastAsia="Palatino Linotype" w:hAnsi="Palatino Linotype"/>
          <w:b w:val="1"/>
          <w:i w:val="1"/>
          <w:sz w:val="22"/>
          <w:szCs w:val="22"/>
          <w:u w:val="single"/>
          <w:rtl w:val="0"/>
        </w:rPr>
        <w:t xml:space="preserve">podrá consultarlo en el siguiente link: Archivo Municipal (metepec.gob.mx)</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(Sic)</w:t>
      </w:r>
      <w:r w:rsidDel="00000000" w:rsidR="00000000" w:rsidRPr="00000000">
        <w:rPr>
          <w:rtl w:val="0"/>
        </w:rPr>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pertinente señalar que las manifestaciones realizadas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fueron puestas a la vista de la parte Recurrente en fecha ocho de junio de dos mil veintidós, por su parte, </w:t>
      </w:r>
      <w:r w:rsidDel="00000000" w:rsidR="00000000" w:rsidRPr="00000000">
        <w:rPr>
          <w:rFonts w:ascii="Palatino Linotype" w:cs="Palatino Linotype" w:eastAsia="Palatino Linotype" w:hAnsi="Palatino Linotype"/>
          <w:b w:val="1"/>
          <w:rtl w:val="0"/>
        </w:rPr>
        <w:t xml:space="preserve">la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parte Recurrente </w:t>
      </w:r>
      <w:r w:rsidDel="00000000" w:rsidR="00000000" w:rsidRPr="00000000">
        <w:rPr>
          <w:rFonts w:ascii="Palatino Linotype" w:cs="Palatino Linotype" w:eastAsia="Palatino Linotype" w:hAnsi="Palatino Linotype"/>
          <w:rtl w:val="0"/>
        </w:rPr>
        <w:t xml:space="preserve">omitió realizar manifestaciones, formular alegatos y ofrecer algún medio de prueba. </w:t>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 Ampliación del plazo para emitir resolución.</w:t>
      </w:r>
      <w:r w:rsidDel="00000000" w:rsidR="00000000" w:rsidRPr="00000000">
        <w:rPr>
          <w:rFonts w:ascii="Palatino Linotype" w:cs="Palatino Linotype" w:eastAsia="Palatino Linotype" w:hAnsi="Palatino Linotype"/>
          <w:rtl w:val="0"/>
        </w:rPr>
        <w:t xml:space="preserve"> En fechas </w:t>
      </w:r>
      <w:r w:rsidDel="00000000" w:rsidR="00000000" w:rsidRPr="00000000">
        <w:rPr>
          <w:rFonts w:ascii="Palatino Linotype" w:cs="Palatino Linotype" w:eastAsia="Palatino Linotype" w:hAnsi="Palatino Linotype"/>
          <w:b w:val="1"/>
          <w:rtl w:val="0"/>
        </w:rPr>
        <w:t xml:space="preserve">dieciséis de mayo de dos mil veintidós</w:t>
      </w:r>
      <w:r w:rsidDel="00000000" w:rsidR="00000000" w:rsidRPr="00000000">
        <w:rPr>
          <w:rFonts w:ascii="Palatino Linotype" w:cs="Palatino Linotype" w:eastAsia="Palatino Linotype" w:hAnsi="Palatino Linotype"/>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5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10.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rtl w:val="0"/>
        </w:rPr>
        <w:t xml:space="preserve">catorce de junio</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b w:val="1"/>
          <w:rtl w:val="0"/>
        </w:rPr>
        <w:t xml:space="preserve">de dos mil veintidós</w:t>
      </w:r>
      <w:r w:rsidDel="00000000" w:rsidR="00000000" w:rsidRPr="00000000">
        <w:rPr>
          <w:rFonts w:ascii="Palatino Linotype" w:cs="Palatino Linotype" w:eastAsia="Palatino Linotype" w:hAnsi="Palatino Linotype"/>
          <w:rtl w:val="0"/>
        </w:rPr>
        <w:t xml:space="preserve">, la Comisionada Ponente notificó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058">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w:t>
      </w:r>
    </w:p>
    <w:p w:rsidR="00000000" w:rsidDel="00000000" w:rsidP="00000000" w:rsidRDefault="00000000" w:rsidRPr="00000000" w14:paraId="0000005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los presentes recursos de revisión interpuestos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240" w:before="240" w:line="360" w:lineRule="auto"/>
        <w:jc w:val="both"/>
        <w:rPr>
          <w:color w:val="000000"/>
        </w:rPr>
      </w:pPr>
      <w:bookmarkStart w:colFirst="0" w:colLast="0" w:name="_heading=h.30j0zll" w:id="2"/>
      <w:bookmarkEnd w:id="2"/>
      <w:r w:rsidDel="00000000" w:rsidR="00000000" w:rsidRPr="00000000">
        <w:rPr>
          <w:rFonts w:ascii="Palatino Linotype" w:cs="Palatino Linotype" w:eastAsia="Palatino Linotype" w:hAnsi="Palatino Linotype"/>
          <w:b w:val="1"/>
          <w:color w:val="000000"/>
          <w:rtl w:val="0"/>
        </w:rPr>
        <w:t xml:space="preserve">Segundo. Oportunidad y Procedibilidad del Recurso de Revisión</w:t>
      </w:r>
      <w:r w:rsidDel="00000000" w:rsidR="00000000" w:rsidRPr="00000000">
        <w:rPr>
          <w:rFonts w:ascii="Palatino Linotype" w:cs="Palatino Linotype" w:eastAsia="Palatino Linotype" w:hAnsi="Palatino Linotype"/>
          <w:color w:val="000000"/>
          <w:rtl w:val="0"/>
        </w:rPr>
        <w:t xml:space="preserve">. Es de precisar que la</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Ley de Transparencia y Acceso a la Información Pública del Estado de México y Municipios, describe el mecanismo de procedencia de los recursos de revisión, como se dispone en los artículos 163 y 166, del tenor literal siguiente: </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76"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163. </w:t>
      </w:r>
      <w:r w:rsidDel="00000000" w:rsidR="00000000" w:rsidRPr="00000000">
        <w:rPr>
          <w:rFonts w:ascii="Palatino Linotype" w:cs="Palatino Linotype" w:eastAsia="Palatino Linotype" w:hAnsi="Palatino Linotype"/>
          <w:i w:val="1"/>
          <w:color w:val="000000"/>
          <w:sz w:val="22"/>
          <w:szCs w:val="22"/>
          <w:rtl w:val="0"/>
        </w:rPr>
        <w:t xml:space="preserve">La Unidad de Transparencia deberá notificar la respuesta a la solicitud al interesado en el menor tiempo posible, que no podrá exceder de quince días hábiles, contados a partir del día siguiente a la presentación de aquélla. </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76"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76" w:lineRule="auto"/>
        <w:ind w:left="851" w:right="851"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Artículo 166.</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76"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Cuando el sujeto obligado no entregue la respuesta a la solicitud dentro del plazo previsto en la Ley, la solicitud se entenderá negada y el solicitante podrá interponer el recurso de revisión previsto en este ordenamiento.” </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w:t>
      </w:r>
      <w:r w:rsidDel="00000000" w:rsidR="00000000" w:rsidRPr="00000000">
        <w:rPr>
          <w:rFonts w:ascii="Palatino Linotype" w:cs="Palatino Linotype" w:eastAsia="Palatino Linotype" w:hAnsi="Palatino Linotype"/>
          <w:rtl w:val="0"/>
        </w:rPr>
        <w:t xml:space="preserve">e</w:t>
      </w:r>
      <w:r w:rsidDel="00000000" w:rsidR="00000000" w:rsidRPr="00000000">
        <w:rPr>
          <w:rFonts w:ascii="Palatino Linotype" w:cs="Palatino Linotype" w:eastAsia="Palatino Linotype" w:hAnsi="Palatino Linotype"/>
          <w:color w:val="000000"/>
          <w:rtl w:val="0"/>
        </w:rPr>
        <w:t xml:space="preserve">sta se considera negada; por lo que al solicitante le asiste el derecho para presentar el recurso de revisión.</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Derivado de lo anterior, se constituye lo que en la doctrina se conoce como negativa ficta, figura jurídica cuya esencia consiste en atribuir un efecto negativo al silencio de la autoridad administrativa frente a las instancias y solicitudes que hagan los particulares.</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Por su parte, el artículo 178 del citado ordenamiento, establece:</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76"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178. </w:t>
      </w:r>
      <w:r w:rsidDel="00000000" w:rsidR="00000000" w:rsidRPr="00000000">
        <w:rPr>
          <w:rFonts w:ascii="Palatino Linotype" w:cs="Palatino Linotype" w:eastAsia="Palatino Linotype" w:hAnsi="Palatino Linotype"/>
          <w:i w:val="1"/>
          <w:color w:val="000000"/>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De lo anterior, se advierte que el recurso de revisión se ha de interponer dentro del plazo de quince días hábiles, a partir de la fecha en que 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La negativa ficta constituye una presunción legal, en el entendido de que donde no hubo respuesta por parte del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desechamiento del mismo.</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Por lo tanto, con la finalidad de no reducir ni limitar el derecho de acceso a la información y concederle una protección más eficaz al solicitante para impugnar el silencio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e</w:t>
      </w:r>
      <w:r w:rsidDel="00000000" w:rsidR="00000000" w:rsidRPr="00000000">
        <w:rPr>
          <w:rFonts w:ascii="Palatino Linotype" w:cs="Palatino Linotype" w:eastAsia="Palatino Linotype" w:hAnsi="Palatino Linotype"/>
          <w:color w:val="000000"/>
          <w:rtl w:val="0"/>
        </w:rPr>
        <w:t xml:space="preserv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76" w:lineRule="auto"/>
        <w:ind w:left="851" w:right="851"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“CRITERIO 0001-15. NEGATIVA FICTA. PLAZO PARA INTERPONER EL RECURSO DE REVISIÓN TRATÁNDOSE DE</w:t>
      </w:r>
      <w:r w:rsidDel="00000000" w:rsidR="00000000" w:rsidRPr="00000000">
        <w:rPr>
          <w:rFonts w:ascii="Palatino Linotype" w:cs="Palatino Linotype" w:eastAsia="Palatino Linotype" w:hAnsi="Palatino Linotype"/>
          <w:i w:val="1"/>
          <w:color w:val="000000"/>
          <w:sz w:val="22"/>
          <w:szCs w:val="22"/>
          <w:rtl w:val="0"/>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000000"/>
          <w:rtl w:val="0"/>
        </w:rPr>
        <w:t xml:space="preserve">Asimismo, por cuanto hace a la procedibilidad de los recursos de revisión, es de suma importancia señalar que </w:t>
      </w:r>
      <w:r w:rsidDel="00000000" w:rsidR="00000000" w:rsidRPr="00000000">
        <w:rPr>
          <w:rFonts w:ascii="Palatino Linotype" w:cs="Palatino Linotype" w:eastAsia="Palatino Linotype" w:hAnsi="Palatino Linotype"/>
          <w:b w:val="1"/>
          <w:color w:val="000000"/>
          <w:rtl w:val="0"/>
        </w:rPr>
        <w:t xml:space="preserve">la parte Recurrente</w:t>
      </w:r>
      <w:r w:rsidDel="00000000" w:rsidR="00000000" w:rsidRPr="00000000">
        <w:rPr>
          <w:rFonts w:ascii="Palatino Linotype" w:cs="Palatino Linotype" w:eastAsia="Palatino Linotype" w:hAnsi="Palatino Linotype"/>
          <w:color w:val="000000"/>
          <w:rtl w:val="0"/>
        </w:rPr>
        <w:t xml:space="preserve">,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240" w:before="240" w:line="276" w:lineRule="auto"/>
        <w:ind w:left="567"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6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rsidR="00000000" w:rsidDel="00000000" w:rsidP="00000000" w:rsidRDefault="00000000" w:rsidRPr="00000000" w14:paraId="0000006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 los recursos, según lo manifestado por el recurrente en sus motivos de inconformidad, de acuerdo al artículo 179, fracción VII del ordenamiento legal citado, que a la letra dice: </w:t>
      </w:r>
    </w:p>
    <w:p w:rsidR="00000000" w:rsidDel="00000000" w:rsidP="00000000" w:rsidRDefault="00000000" w:rsidRPr="00000000" w14:paraId="0000006C">
      <w:pPr>
        <w:tabs>
          <w:tab w:val="left" w:pos="7088"/>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6D">
      <w:pPr>
        <w:tabs>
          <w:tab w:val="left" w:pos="7088"/>
        </w:tabs>
        <w:spacing w:after="120" w:before="120"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falta de respuesta a una solicitud de acceso a la información;</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6E">
      <w:pPr>
        <w:tabs>
          <w:tab w:val="left" w:pos="7088"/>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6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precepto legal citado, establece como supuesto de procedencia del recurso de revisión, en aquellos casos en que la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estime negado el acceso a la información por la falta de respuesta; en este asunto se actualiza la hipótesis jurídica citada, en atención a que la particular combate la omisión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expresa motivos de inconformidad en contra de esa circunstancia.</w:t>
      </w:r>
    </w:p>
    <w:p w:rsidR="00000000" w:rsidDel="00000000" w:rsidP="00000000" w:rsidRDefault="00000000" w:rsidRPr="00000000" w14:paraId="00000070">
      <w:pPr>
        <w:spacing w:after="280" w:before="28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Este Organismo Garante procede del análisis de los agravios hechos valer por la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 fin de determinar si se violenta en perjuicio de éste, el derecho de acceso a la información previsto en la Constitución Política de los Estados Unidos Mexicanos y en la Constitución Política del Estado Libre y Soberano de México. </w:t>
      </w:r>
      <w:r w:rsidDel="00000000" w:rsidR="00000000" w:rsidRPr="00000000">
        <w:rPr>
          <w:rtl w:val="0"/>
        </w:rPr>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Una vez determinada la vía sobre la que versará la presente resolución, y previa revisión de los expedientes del recurso de revisión materia de la presente resolución, se advierte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no dio respuesta a las solicitudes de información planteadas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lo que se traduce como la configuración de la Negativa Ficta, situación que demuestra la existencia del acto impugnado y procedencia del motivo de inconformidad, que en términos generales consistente en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emitió respuestas a las solicitudes dentro del plazo legal previsto para ello;  sin embargo, es importante referir que haciendo uso de su derecho y con el objeto de resarcir la afectación al derecho de acceso a la información pública del particular, a través del informe justificado remitió las documentales previamente descritas. </w:t>
      </w:r>
    </w:p>
    <w:p w:rsidR="00000000" w:rsidDel="00000000" w:rsidP="00000000" w:rsidRDefault="00000000" w:rsidRPr="00000000" w14:paraId="0000007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una vez precisado lo anterior, se procede al análisis de los presentes recursos, así como al contenido íntegro de las actuaciones que obran en el expediente electrónico, para así estar en posibilidad este Organismo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000000" w:rsidDel="00000000" w:rsidP="00000000" w:rsidRDefault="00000000" w:rsidRPr="00000000" w14:paraId="0000007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74">
      <w:pPr>
        <w:tabs>
          <w:tab w:val="left"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75">
      <w:pPr>
        <w:tabs>
          <w:tab w:val="left" w:pos="709"/>
        </w:tabs>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76">
      <w:pPr>
        <w:tabs>
          <w:tab w:val="left"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77">
      <w:pPr>
        <w:tabs>
          <w:tab w:val="left"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8">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79">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7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7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E">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7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8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83">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8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87">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89">
      <w:pPr>
        <w:ind w:right="85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A">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 cumplir con dichos dispositivos legales.</w:t>
      </w:r>
    </w:p>
    <w:p w:rsidR="00000000" w:rsidDel="00000000" w:rsidP="00000000" w:rsidRDefault="00000000" w:rsidRPr="00000000" w14:paraId="0000008B">
      <w:pPr>
        <w:spacing w:after="280" w:before="280" w:line="360" w:lineRule="auto"/>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rtl w:val="0"/>
        </w:rPr>
        <w:t xml:space="preserve">En ese orden de ideas, la Ley de Transparencia y Acceso a la Información Pública del Estado de México y Municipios, prevé en su artículo 23, lo siguiente:</w:t>
      </w:r>
      <w:r w:rsidDel="00000000" w:rsidR="00000000" w:rsidRPr="00000000">
        <w:rPr>
          <w:rtl w:val="0"/>
        </w:rPr>
      </w:r>
    </w:p>
    <w:p w:rsidR="00000000" w:rsidDel="00000000" w:rsidP="00000000" w:rsidRDefault="00000000" w:rsidRPr="00000000" w14:paraId="0000008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23.</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Son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sujetos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obligados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transparentar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permitir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acceso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información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proteger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datos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personales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obren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poder</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D">
      <w:pPr>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Ejecutivo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Estado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México,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dependencias,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auxiliares,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fideicomisos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fondos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así</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Procuraduría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General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Justicia;</w:t>
      </w:r>
      <w:r w:rsidDel="00000000" w:rsidR="00000000" w:rsidRPr="00000000">
        <w:rPr>
          <w:rtl w:val="0"/>
        </w:rPr>
      </w:r>
    </w:p>
    <w:p w:rsidR="00000000" w:rsidDel="00000000" w:rsidP="00000000" w:rsidRDefault="00000000" w:rsidRPr="00000000" w14:paraId="0000008E">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Legislativo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Estado,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Legislatura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sus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dependencias;</w:t>
      </w:r>
    </w:p>
    <w:p w:rsidR="00000000" w:rsidDel="00000000" w:rsidP="00000000" w:rsidRDefault="00000000" w:rsidRPr="00000000" w14:paraId="0000008F">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Judicial,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sus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así</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Consejo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Judicatura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Estado;</w:t>
      </w:r>
    </w:p>
    <w:p w:rsidR="00000000" w:rsidDel="00000000" w:rsidP="00000000" w:rsidRDefault="00000000" w:rsidRPr="00000000" w14:paraId="00000090">
      <w:pPr>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ayuntamientos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dependencias,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organismos,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órganos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entidades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administración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municipal;</w:t>
      </w:r>
    </w:p>
    <w:p w:rsidR="00000000" w:rsidDel="00000000" w:rsidP="00000000" w:rsidRDefault="00000000" w:rsidRPr="00000000" w14:paraId="00000091">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autónomos;</w:t>
      </w:r>
    </w:p>
    <w:p w:rsidR="00000000" w:rsidDel="00000000" w:rsidP="00000000" w:rsidRDefault="00000000" w:rsidRPr="00000000" w14:paraId="00000092">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tribunales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administrativos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autoridades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jurisdiccionales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materia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laboral;</w:t>
      </w:r>
    </w:p>
    <w:p w:rsidR="00000000" w:rsidDel="00000000" w:rsidP="00000000" w:rsidRDefault="00000000" w:rsidRPr="00000000" w14:paraId="00000093">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partidos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políticos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agrupaciones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políticas,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términos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disposiciones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aplicables;</w:t>
      </w:r>
    </w:p>
    <w:p w:rsidR="00000000" w:rsidDel="00000000" w:rsidP="00000000" w:rsidRDefault="00000000" w:rsidRPr="00000000" w14:paraId="00000094">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fideicomisos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fondos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cuenten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financiamiento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parcial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total,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participación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gobierno;</w:t>
      </w:r>
    </w:p>
    <w:p w:rsidR="00000000" w:rsidDel="00000000" w:rsidP="00000000" w:rsidRDefault="00000000" w:rsidRPr="00000000" w14:paraId="00000095">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sindicatos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reciban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ejerzan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ámbito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municipal;</w:t>
      </w:r>
    </w:p>
    <w:p w:rsidR="00000000" w:rsidDel="00000000" w:rsidP="00000000" w:rsidRDefault="00000000" w:rsidRPr="00000000" w14:paraId="00000096">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Cualquier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persona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física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jurídico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colectiva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reciba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ejerza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ámbito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municipal;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p>
    <w:p w:rsidR="00000000" w:rsidDel="00000000" w:rsidP="00000000" w:rsidRDefault="00000000" w:rsidRPr="00000000" w14:paraId="00000097">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Cualquier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otra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autoridad,</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u</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municipal,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reciba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p>
    <w:p w:rsidR="00000000" w:rsidDel="00000000" w:rsidP="00000000" w:rsidRDefault="00000000" w:rsidRPr="00000000" w14:paraId="00000098">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sujetos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obligados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deberán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hacer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toda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aquella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información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relativa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montos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personas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quienes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entreguen,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cualquier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motivo,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así</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informes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dichas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personas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entreguen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sobre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uso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destino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dichos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p>
    <w:p w:rsidR="00000000" w:rsidDel="00000000" w:rsidP="00000000" w:rsidRDefault="00000000" w:rsidRPr="00000000" w14:paraId="00000099">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servidores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públicos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deberán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transparentar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acciones,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así</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como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garantizar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respetar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derecho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acceso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información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pública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A">
      <w:pPr>
        <w:ind w:left="1134"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B">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es conveniente analizar si los documentos enviados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través de los informes justificados cumplen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9C">
      <w:pPr>
        <w:spacing w:before="240"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9D">
      <w:pPr>
        <w:spacing w:line="276" w:lineRule="auto"/>
        <w:ind w:left="709" w:right="76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9E">
      <w:pPr>
        <w:spacing w:line="276" w:lineRule="auto"/>
        <w:ind w:left="709" w:right="76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9F">
      <w:pPr>
        <w:spacing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solicitantes.”(Sic)</w:t>
      </w:r>
    </w:p>
    <w:p w:rsidR="00000000" w:rsidDel="00000000" w:rsidP="00000000" w:rsidRDefault="00000000" w:rsidRPr="00000000" w14:paraId="000000A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Del="00000000" w:rsidR="00000000" w:rsidRPr="00000000">
        <w:rPr>
          <w:rFonts w:ascii="Palatino Linotype" w:cs="Palatino Linotype" w:eastAsia="Palatino Linotype" w:hAnsi="Palatino Linotype"/>
          <w:b w:val="1"/>
          <w:rtl w:val="0"/>
        </w:rPr>
        <w:t xml:space="preserve">artículo 12</w:t>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el cual a la letra dice:</w:t>
      </w:r>
    </w:p>
    <w:p w:rsidR="00000000" w:rsidDel="00000000" w:rsidP="00000000" w:rsidRDefault="00000000" w:rsidRPr="00000000" w14:paraId="000000A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3">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A4">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5">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000000" w:rsidDel="00000000" w:rsidP="00000000" w:rsidRDefault="00000000" w:rsidRPr="00000000" w14:paraId="000000A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rtl w:val="0"/>
        </w:rPr>
        <w:t xml:space="preserve">ad hoc</w:t>
      </w:r>
      <w:r w:rsidDel="00000000" w:rsidR="00000000" w:rsidRPr="00000000">
        <w:rPr>
          <w:rFonts w:ascii="Palatino Linotype" w:cs="Palatino Linotype" w:eastAsia="Palatino Linotype" w:hAnsi="Palatino Linotype"/>
          <w:rtl w:val="0"/>
        </w:rPr>
        <w:t xml:space="preserve">, para satisfacer el derecho de acceso a la información pública, como así lo establece el criterio 03/17 emitidos por el Instituto Nacional de Transparencia, Acceso a la Información Pública y Protección de Datos Personales, los cuales señalan lo siguiente:</w:t>
      </w:r>
    </w:p>
    <w:p w:rsidR="00000000" w:rsidDel="00000000" w:rsidP="00000000" w:rsidRDefault="00000000" w:rsidRPr="00000000" w14:paraId="000000A8">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A9">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03/17</w:t>
      </w:r>
    </w:p>
    <w:p w:rsidR="00000000" w:rsidDel="00000000" w:rsidP="00000000" w:rsidRDefault="00000000" w:rsidRPr="00000000" w14:paraId="000000AA">
      <w:pPr>
        <w:spacing w:line="276"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 ACIÓN.</w:t>
      </w:r>
    </w:p>
    <w:p w:rsidR="00000000" w:rsidDel="00000000" w:rsidP="00000000" w:rsidRDefault="00000000" w:rsidRPr="00000000" w14:paraId="000000AB">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A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000000" w:rsidDel="00000000" w:rsidP="00000000" w:rsidRDefault="00000000" w:rsidRPr="00000000" w14:paraId="000000A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F">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B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conviene mencionar que la Ley de Transparencia vigente en el Estado de México refiere: </w:t>
      </w:r>
    </w:p>
    <w:p w:rsidR="00000000" w:rsidDel="00000000" w:rsidP="00000000" w:rsidRDefault="00000000" w:rsidRPr="00000000" w14:paraId="000000B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3">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deberán documentar todo acto que derive del ejercicio de sus facultades, competencias o funciones, considerando desde su origen la eventual publicidad</w:t>
      </w:r>
      <w:r w:rsidDel="00000000" w:rsidR="00000000" w:rsidRPr="00000000">
        <w:rPr>
          <w:rFonts w:ascii="Palatino Linotype" w:cs="Palatino Linotype" w:eastAsia="Palatino Linotype" w:hAnsi="Palatino Linotype"/>
          <w:i w:val="1"/>
          <w:sz w:val="22"/>
          <w:szCs w:val="22"/>
          <w:rtl w:val="0"/>
        </w:rPr>
        <w:t xml:space="preserve"> y reutilización de la información que generen.</w:t>
      </w:r>
    </w:p>
    <w:p w:rsidR="00000000" w:rsidDel="00000000" w:rsidP="00000000" w:rsidRDefault="00000000" w:rsidRPr="00000000" w14:paraId="000000B4">
      <w:pPr>
        <w:spacing w:line="276"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B5">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 </w:t>
      </w:r>
      <w:r w:rsidDel="00000000" w:rsidR="00000000" w:rsidRPr="00000000">
        <w:rPr>
          <w:rFonts w:ascii="Palatino Linotype" w:cs="Palatino Linotype" w:eastAsia="Palatino Linotype" w:hAnsi="Palatino Linotype"/>
          <w:b w:val="1"/>
          <w:i w:val="1"/>
          <w:sz w:val="22"/>
          <w:szCs w:val="22"/>
          <w:u w:val="single"/>
          <w:rtl w:val="0"/>
        </w:rPr>
        <w:t xml:space="preserve">Se presume que la información debe existir si se refiere a las facultades, competencias y funciones que los ordenamientos jurídicos aplicables otorgan a los sujetos obligados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6">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7">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 </w:t>
      </w:r>
    </w:p>
    <w:p w:rsidR="00000000" w:rsidDel="00000000" w:rsidP="00000000" w:rsidRDefault="00000000" w:rsidRPr="00000000" w14:paraId="000000B8">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9">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000000" w:rsidDel="00000000" w:rsidP="00000000" w:rsidRDefault="00000000" w:rsidRPr="00000000" w14:paraId="000000BA">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B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000000" w:rsidDel="00000000" w:rsidP="00000000" w:rsidRDefault="00000000" w:rsidRPr="00000000" w14:paraId="000000B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Del="00000000" w:rsidR="00000000" w:rsidRPr="00000000">
        <w:rPr>
          <w:rFonts w:ascii="Palatino Linotype" w:cs="Palatino Linotype" w:eastAsia="Palatino Linotype" w:hAnsi="Palatino Linotype"/>
          <w:b w:val="1"/>
          <w:rtl w:val="0"/>
        </w:rPr>
        <w:t xml:space="preserve">cualquier otro registro que documente el ejercicio de las facultades, funciones, obligaciones y competencias de los Sujetos Obligados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los que, podrán estar en cualquier medio</w:t>
      </w:r>
      <w:r w:rsidDel="00000000" w:rsidR="00000000" w:rsidRPr="00000000">
        <w:rPr>
          <w:rFonts w:ascii="Palatino Linotype" w:cs="Palatino Linotype" w:eastAsia="Palatino Linotype" w:hAnsi="Palatino Linotype"/>
          <w:rtl w:val="0"/>
        </w:rPr>
        <w:t xml:space="preserve">, sea escrito, impreso, sonoro, visual, </w:t>
      </w:r>
      <w:r w:rsidDel="00000000" w:rsidR="00000000" w:rsidRPr="00000000">
        <w:rPr>
          <w:rFonts w:ascii="Palatino Linotype" w:cs="Palatino Linotype" w:eastAsia="Palatino Linotype" w:hAnsi="Palatino Linotype"/>
          <w:b w:val="1"/>
          <w:rtl w:val="0"/>
        </w:rPr>
        <w:t xml:space="preserve">electrónico</w:t>
      </w:r>
      <w:r w:rsidDel="00000000" w:rsidR="00000000" w:rsidRPr="00000000">
        <w:rPr>
          <w:rFonts w:ascii="Palatino Linotype" w:cs="Palatino Linotype" w:eastAsia="Palatino Linotype" w:hAnsi="Palatino Linotype"/>
          <w:rtl w:val="0"/>
        </w:rPr>
        <w:t xml:space="preserve">, informático u holográfico, esto es, </w:t>
      </w:r>
      <w:r w:rsidDel="00000000" w:rsidR="00000000" w:rsidRPr="00000000">
        <w:rPr>
          <w:rFonts w:ascii="Palatino Linotype" w:cs="Palatino Linotype" w:eastAsia="Palatino Linotype" w:hAnsi="Palatino Linotype"/>
          <w:b w:val="1"/>
          <w:rtl w:val="0"/>
        </w:rPr>
        <w:t xml:space="preserve">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BE">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como pudiera tratarse de aquella relacionada con las obligaciones de transparencia señaladas en los artículos 92 y 100 de la Ley de la Materia.</w:t>
      </w:r>
    </w:p>
    <w:p w:rsidR="00000000" w:rsidDel="00000000" w:rsidP="00000000" w:rsidRDefault="00000000" w:rsidRPr="00000000" w14:paraId="000000B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este contexto, es necesario precisar que, del análisis realizado a la solicitud formulada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 advierte que requirió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le proporcionara la siguiente información: </w:t>
      </w:r>
    </w:p>
    <w:p w:rsidR="00000000" w:rsidDel="00000000" w:rsidP="00000000" w:rsidRDefault="00000000" w:rsidRPr="00000000" w14:paraId="000000C0">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C1">
      <w:pPr>
        <w:numPr>
          <w:ilvl w:val="0"/>
          <w:numId w:val="2"/>
        </w:numPr>
        <w:pBdr>
          <w:top w:space="0" w:sz="0" w:val="nil"/>
          <w:left w:space="0" w:sz="0" w:val="nil"/>
          <w:bottom w:space="0" w:sz="0" w:val="nil"/>
          <w:right w:space="0" w:sz="0" w:val="nil"/>
          <w:between w:space="0" w:sz="0" w:val="nil"/>
        </w:pBdr>
        <w:tabs>
          <w:tab w:val="left" w:pos="709"/>
        </w:tabs>
        <w:spacing w:before="240" w:line="360" w:lineRule="auto"/>
        <w:ind w:left="720"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“Se solicitan los documentos que den cuenta de Las demás que les atribuyan las disposiciones jurídicas aplicables o las que le instruya la Dirección de Administración o la Subdirección de Servicios Generales; a cargo de la Jefatura del Taller Mecánico de la Subdirección de Servicios Generales de la Dirección de Administración de lo que va del 2022.” (Sic)</w:t>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pos="709"/>
        </w:tabs>
        <w:spacing w:line="360" w:lineRule="auto"/>
        <w:ind w:left="720"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C3">
      <w:pPr>
        <w:numPr>
          <w:ilvl w:val="0"/>
          <w:numId w:val="2"/>
        </w:numPr>
        <w:pBdr>
          <w:top w:space="0" w:sz="0" w:val="nil"/>
          <w:left w:space="0" w:sz="0" w:val="nil"/>
          <w:bottom w:space="0" w:sz="0" w:val="nil"/>
          <w:right w:space="0" w:sz="0" w:val="nil"/>
          <w:between w:space="0" w:sz="0" w:val="nil"/>
        </w:pBdr>
        <w:tabs>
          <w:tab w:val="left" w:pos="709"/>
        </w:tabs>
        <w:spacing w:line="360" w:lineRule="auto"/>
        <w:ind w:left="720"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“Se solicitan los documentos que den cuenta de Verificar el cumplimiento de las garantías en refacciones con los servicios realizados en talleres externos; a cargo de la Jefatura del Taller Mecánico de la Subdirección de Servicios Generales de la Dirección de Administración de lo que va del 2022.” (Sic)</w:t>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pos="709"/>
        </w:tabs>
        <w:spacing w:line="360" w:lineRule="auto"/>
        <w:ind w:left="720"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C5">
      <w:pPr>
        <w:numPr>
          <w:ilvl w:val="0"/>
          <w:numId w:val="2"/>
        </w:numPr>
        <w:pBdr>
          <w:top w:space="0" w:sz="0" w:val="nil"/>
          <w:left w:space="0" w:sz="0" w:val="nil"/>
          <w:bottom w:space="0" w:sz="0" w:val="nil"/>
          <w:right w:space="0" w:sz="0" w:val="nil"/>
          <w:between w:space="0" w:sz="0" w:val="nil"/>
        </w:pBdr>
        <w:tabs>
          <w:tab w:val="left" w:pos="709"/>
        </w:tabs>
        <w:spacing w:line="360" w:lineRule="auto"/>
        <w:ind w:left="720"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“Se solicitan los documentos que den cuenta de Revisar los servicios realizados tanto en el taller mecánico municipal como en talleres externos, verificando que cumplan con las reparaciones programadas; a cargo de la Jefatura del Taller Mecánico de la Subdirección de Servicios Generales de la Dirección de Administración de lo que va del 2022.” (Sic)</w:t>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pos="709"/>
        </w:tabs>
        <w:spacing w:line="360" w:lineRule="auto"/>
        <w:ind w:left="720"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C7">
      <w:pPr>
        <w:numPr>
          <w:ilvl w:val="0"/>
          <w:numId w:val="2"/>
        </w:numPr>
        <w:pBdr>
          <w:top w:space="0" w:sz="0" w:val="nil"/>
          <w:left w:space="0" w:sz="0" w:val="nil"/>
          <w:bottom w:space="0" w:sz="0" w:val="nil"/>
          <w:right w:space="0" w:sz="0" w:val="nil"/>
          <w:between w:space="0" w:sz="0" w:val="nil"/>
        </w:pBdr>
        <w:tabs>
          <w:tab w:val="left" w:pos="709"/>
        </w:tabs>
        <w:spacing w:line="360" w:lineRule="auto"/>
        <w:ind w:left="720"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“Se solicitan los documentos que den cuenta de Elaborar y dar seguimiento de los controles y reportes establecidos. (reporte diario, reporte de actividades, reporte de vehículos en piso y taller externo); a cargo de la Jefatura del Taller Mecánico de la Subdirección de Servicios Generales de la Dirección de Administración de lo que va del 2022.” (Sic)</w:t>
      </w:r>
    </w:p>
    <w:p w:rsidR="00000000" w:rsidDel="00000000" w:rsidP="00000000" w:rsidRDefault="00000000" w:rsidRPr="00000000" w14:paraId="000000C8">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pos="709"/>
        </w:tabs>
        <w:spacing w:line="360" w:lineRule="auto"/>
        <w:ind w:left="720"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CA">
      <w:pPr>
        <w:numPr>
          <w:ilvl w:val="0"/>
          <w:numId w:val="2"/>
        </w:numPr>
        <w:pBdr>
          <w:top w:space="0" w:sz="0" w:val="nil"/>
          <w:left w:space="0" w:sz="0" w:val="nil"/>
          <w:bottom w:space="0" w:sz="0" w:val="nil"/>
          <w:right w:space="0" w:sz="0" w:val="nil"/>
          <w:between w:space="0" w:sz="0" w:val="nil"/>
        </w:pBdr>
        <w:tabs>
          <w:tab w:val="left" w:pos="709"/>
        </w:tabs>
        <w:spacing w:line="360" w:lineRule="auto"/>
        <w:ind w:left="720"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“Se solicitan los documentos que den cuenta de Elaborar y actualizar el programa de verificación y cambio de llantas del parque vehicular municipal; a cargo de la Jefatura del Taller Mecánico de la Subdirección de Servicios Generales de la Dirección de Administración de lo que va del 2022.” (Sic)</w:t>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pos="709"/>
        </w:tabs>
        <w:spacing w:line="360" w:lineRule="auto"/>
        <w:ind w:left="720"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CC">
      <w:pPr>
        <w:numPr>
          <w:ilvl w:val="0"/>
          <w:numId w:val="2"/>
        </w:numPr>
        <w:pBdr>
          <w:top w:space="0" w:sz="0" w:val="nil"/>
          <w:left w:space="0" w:sz="0" w:val="nil"/>
          <w:bottom w:space="0" w:sz="0" w:val="nil"/>
          <w:right w:space="0" w:sz="0" w:val="nil"/>
          <w:between w:space="0" w:sz="0" w:val="nil"/>
        </w:pBdr>
        <w:tabs>
          <w:tab w:val="left" w:pos="709"/>
        </w:tabs>
        <w:spacing w:line="360" w:lineRule="auto"/>
        <w:ind w:left="720"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“Se solicitan los documentos que den cuenta de Recibir en el almacén general las refacciones entregadas por los proveedores asignados por la Subdirección de Adquisiciones y Contratación de Servicios; a cargo de la Jefatura del Taller Mecánico de la Subdirección de Servicios Generales de la Dirección de Administración de lo que va del 2022.” (Sic)</w:t>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pos="709"/>
        </w:tabs>
        <w:spacing w:line="360" w:lineRule="auto"/>
        <w:ind w:left="720"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CE">
      <w:pPr>
        <w:numPr>
          <w:ilvl w:val="0"/>
          <w:numId w:val="2"/>
        </w:numPr>
        <w:pBdr>
          <w:top w:space="0" w:sz="0" w:val="nil"/>
          <w:left w:space="0" w:sz="0" w:val="nil"/>
          <w:bottom w:space="0" w:sz="0" w:val="nil"/>
          <w:right w:space="0" w:sz="0" w:val="nil"/>
          <w:between w:space="0" w:sz="0" w:val="nil"/>
        </w:pBdr>
        <w:tabs>
          <w:tab w:val="left" w:pos="709"/>
        </w:tabs>
        <w:spacing w:line="360" w:lineRule="auto"/>
        <w:ind w:left="720"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“Se solicitan los documentos que den cuenta de Informar los trabajos realizados y fechas de entrega de los talleres externos; a cargo de la Jefatura del Taller Mecánico de la Subdirección de Servicios Generales de la Dirección de Administración de lo que va del 2022.” (Sic)</w:t>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pos="709"/>
        </w:tabs>
        <w:spacing w:line="360" w:lineRule="auto"/>
        <w:ind w:left="720"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D0">
      <w:pPr>
        <w:numPr>
          <w:ilvl w:val="0"/>
          <w:numId w:val="2"/>
        </w:numPr>
        <w:pBdr>
          <w:top w:space="0" w:sz="0" w:val="nil"/>
          <w:left w:space="0" w:sz="0" w:val="nil"/>
          <w:bottom w:space="0" w:sz="0" w:val="nil"/>
          <w:right w:space="0" w:sz="0" w:val="nil"/>
          <w:between w:space="0" w:sz="0" w:val="nil"/>
        </w:pBdr>
        <w:tabs>
          <w:tab w:val="left" w:pos="709"/>
        </w:tabs>
        <w:spacing w:line="360" w:lineRule="auto"/>
        <w:ind w:left="720"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“Se solicitan los documentos que den cuenta de Elaborar las bitácoras vehiculares, así como su permanente actualización; a cargo de la Jefatura del Taller Mecánico de la Subdirección de Servicios Generales de la Dirección de Administración de lo que va del 2022.” (Sic)</w:t>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left" w:pos="709"/>
        </w:tabs>
        <w:spacing w:line="360" w:lineRule="auto"/>
        <w:ind w:left="720"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D2">
      <w:pPr>
        <w:numPr>
          <w:ilvl w:val="0"/>
          <w:numId w:val="2"/>
        </w:numPr>
        <w:pBdr>
          <w:top w:space="0" w:sz="0" w:val="nil"/>
          <w:left w:space="0" w:sz="0" w:val="nil"/>
          <w:bottom w:space="0" w:sz="0" w:val="nil"/>
          <w:right w:space="0" w:sz="0" w:val="nil"/>
          <w:between w:space="0" w:sz="0" w:val="nil"/>
        </w:pBdr>
        <w:tabs>
          <w:tab w:val="left" w:pos="709"/>
        </w:tabs>
        <w:spacing w:line="360" w:lineRule="auto"/>
        <w:ind w:left="720"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“Se solicitan los documentos que den cuenta de Informar y verificar que las operaciones vehiculares estén debidamente integrados y actualizados; a cargo de la Jefatura del Taller Mecánico de la Subdirección de Servicios Generales de la Dirección de Administración de lo que va del 2022.” (Sic)</w:t>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pos="709"/>
        </w:tabs>
        <w:spacing w:line="360" w:lineRule="auto"/>
        <w:ind w:left="720"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D4">
      <w:pPr>
        <w:numPr>
          <w:ilvl w:val="0"/>
          <w:numId w:val="2"/>
        </w:numPr>
        <w:pBdr>
          <w:top w:space="0" w:sz="0" w:val="nil"/>
          <w:left w:space="0" w:sz="0" w:val="nil"/>
          <w:bottom w:space="0" w:sz="0" w:val="nil"/>
          <w:right w:space="0" w:sz="0" w:val="nil"/>
          <w:between w:space="0" w:sz="0" w:val="nil"/>
        </w:pBdr>
        <w:tabs>
          <w:tab w:val="left" w:pos="709"/>
        </w:tabs>
        <w:spacing w:line="360" w:lineRule="auto"/>
        <w:ind w:left="720"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“Se solicitan los documentos que den cuenta de Ejecutar las acciones y trabajos del taller mecánico municipal; a cargo de la Jefatura del Taller Mecánico de la Subdirección de Servicios Generales de la Dirección de Administración de lo que va del 2022.” (Sic)</w:t>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pos="709"/>
        </w:tabs>
        <w:spacing w:line="360" w:lineRule="auto"/>
        <w:ind w:left="720"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D6">
      <w:pPr>
        <w:numPr>
          <w:ilvl w:val="0"/>
          <w:numId w:val="2"/>
        </w:numPr>
        <w:pBdr>
          <w:top w:space="0" w:sz="0" w:val="nil"/>
          <w:left w:space="0" w:sz="0" w:val="nil"/>
          <w:bottom w:space="0" w:sz="0" w:val="nil"/>
          <w:right w:space="0" w:sz="0" w:val="nil"/>
          <w:between w:space="0" w:sz="0" w:val="nil"/>
        </w:pBdr>
        <w:tabs>
          <w:tab w:val="left" w:pos="709"/>
        </w:tabs>
        <w:spacing w:line="360" w:lineRule="auto"/>
        <w:ind w:left="720"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“Se solicitan los documentos que den cuenta de Elaborar el Plan Anual de Mantenimiento al Parque Vehicular; a cargo de la Jefatura del Taller Mecánico de la Subdirección de Servicios Generales de la Dirección de Administración de lo que va del 2022.” (Sic)</w:t>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left" w:pos="709"/>
        </w:tabs>
        <w:spacing w:line="360" w:lineRule="auto"/>
        <w:ind w:left="720"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D8">
      <w:pPr>
        <w:numPr>
          <w:ilvl w:val="0"/>
          <w:numId w:val="2"/>
        </w:numPr>
        <w:pBdr>
          <w:top w:space="0" w:sz="0" w:val="nil"/>
          <w:left w:space="0" w:sz="0" w:val="nil"/>
          <w:bottom w:space="0" w:sz="0" w:val="nil"/>
          <w:right w:space="0" w:sz="0" w:val="nil"/>
          <w:between w:space="0" w:sz="0" w:val="nil"/>
        </w:pBdr>
        <w:tabs>
          <w:tab w:val="left" w:pos="709"/>
        </w:tabs>
        <w:spacing w:line="360" w:lineRule="auto"/>
        <w:ind w:left="720"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“Se solicitan los documentos que den cuenta de Registrar el proceso de ingreso y salida de las unidades en el taller mecánico municipal. (inventario, entrada y salida, evaluación y hoja de servicio y carta responsiva); a cargo de la Jefatura del Taller Mecánico de la Subdirección de Servicios Generales de la Dirección de Administración de lo que va del 2022.” (Sic)</w:t>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left" w:pos="709"/>
        </w:tabs>
        <w:spacing w:line="360" w:lineRule="auto"/>
        <w:ind w:left="720"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DA">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“Se solicitan los documentos que den cuenta de Proponer la elaboración de diagnósticos; a cargo de la Jefatura del Taller Mecánico de la Subdirección de Servicios Generales de la Dirección de Administración de lo que va del 2022.” (Sic)</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DC">
      <w:pPr>
        <w:numPr>
          <w:ilvl w:val="0"/>
          <w:numId w:val="2"/>
        </w:numPr>
        <w:pBdr>
          <w:top w:space="0" w:sz="0" w:val="nil"/>
          <w:left w:space="0" w:sz="0" w:val="nil"/>
          <w:bottom w:space="0" w:sz="0" w:val="nil"/>
          <w:right w:space="0" w:sz="0" w:val="nil"/>
          <w:between w:space="0" w:sz="0" w:val="nil"/>
        </w:pBdr>
        <w:spacing w:line="360" w:lineRule="auto"/>
        <w:ind w:left="720" w:hanging="360"/>
        <w:jc w:val="both"/>
        <w:rPr>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“Se solicitan los documentos que den cuenta de Atender y ejecutar los servicios preventivos, correctivos, legales y documentales del parque vehicular; a cargo de la Jefatura del Taller Mecánico de la Subdirección de Servicios Generales de la Dirección de Administración de lo que va del 2022.” (Sic) </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left" w:pos="709"/>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pos="709"/>
        </w:tabs>
        <w:spacing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Sujeto Obligado fue omiso en proporcionar respuesta, ante la negativa de respuesta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la parte</w:t>
      </w:r>
      <w:r w:rsidDel="00000000" w:rsidR="00000000" w:rsidRPr="00000000">
        <w:rPr>
          <w:rFonts w:ascii="Palatino Linotype" w:cs="Palatino Linotype" w:eastAsia="Palatino Linotype" w:hAnsi="Palatino Linotype"/>
          <w:b w:val="1"/>
          <w:rtl w:val="0"/>
        </w:rPr>
        <w:t xml:space="preserve"> Recurrente  </w:t>
      </w:r>
      <w:r w:rsidDel="00000000" w:rsidR="00000000" w:rsidRPr="00000000">
        <w:rPr>
          <w:rFonts w:ascii="Palatino Linotype" w:cs="Palatino Linotype" w:eastAsia="Palatino Linotype" w:hAnsi="Palatino Linotype"/>
          <w:color w:val="000000"/>
          <w:rtl w:val="0"/>
        </w:rPr>
        <w:t xml:space="preserve">interpuso los recursos de revisión que nos ocupan, donde señaló como motivos de inconformidad: </w:t>
      </w:r>
      <w:r w:rsidDel="00000000" w:rsidR="00000000" w:rsidRPr="00000000">
        <w:rPr>
          <w:rFonts w:ascii="Palatino Linotype" w:cs="Palatino Linotype" w:eastAsia="Palatino Linotype" w:hAnsi="Palatino Linotype"/>
          <w:i w:val="1"/>
          <w:color w:val="000000"/>
          <w:rtl w:val="0"/>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 (Énfasis añadido)</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las cosas, durante la etapa de manifestaciones,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rindió informes justificados, en los que destaca:</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240" w:before="240" w:line="276" w:lineRule="auto"/>
        <w:ind w:left="566" w:right="6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“…PRIMERA.- Se concluye que el sujeto obligado denominado Ayuntamiento de Metepec 2022-2024, </w:t>
      </w:r>
      <w:r w:rsidDel="00000000" w:rsidR="00000000" w:rsidRPr="00000000">
        <w:rPr>
          <w:rFonts w:ascii="Palatino Linotype" w:cs="Palatino Linotype" w:eastAsia="Palatino Linotype" w:hAnsi="Palatino Linotype"/>
          <w:b w:val="1"/>
          <w:i w:val="1"/>
          <w:color w:val="000000"/>
          <w:sz w:val="22"/>
          <w:szCs w:val="22"/>
          <w:rtl w:val="0"/>
        </w:rPr>
        <w:t xml:space="preserve">de manera excepcional no se encontró en condiciones de dar respuesta a las solicitudes de acceso a la información  en los plazos establecidos (a través de SAIMEX) derivado al número excesivo de estas, mismas que sobrepasan las capacidades técnicas, administrativas y humanas del sujeto obligado, para cumplir con las solicitudes en  los plazos establecidos  por la ley sustantiva en la materia</w:t>
      </w:r>
      <w:r w:rsidDel="00000000" w:rsidR="00000000" w:rsidRPr="00000000">
        <w:rPr>
          <w:rFonts w:ascii="Palatino Linotype" w:cs="Palatino Linotype" w:eastAsia="Palatino Linotype" w:hAnsi="Palatino Linotype"/>
          <w:i w:val="1"/>
          <w:color w:val="000000"/>
          <w:sz w:val="22"/>
          <w:szCs w:val="22"/>
          <w:rtl w:val="0"/>
        </w:rPr>
        <w:t xml:space="preserve">, ya que de acuerdo al principio general del derecho “nadie está obligado a lo imposible”, pues como lo hemos manifestado en los precedentes, el sujeto obligado no se encuentra en condiciones de dar respuesta a las solicitudes, toda vez que como lo refiere el artículo 115, fracción III, de la Constitución Política de los Estados Unidos Mexicanos, …</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280" w:before="280" w:line="276" w:lineRule="auto"/>
        <w:ind w:left="566" w:right="6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este sentido y de acuerdo al censo de población realizado por el Instituto Nacional de Estadística y Geografía (INEGI) en el 2020, podemos observar que el municipio de Metepec, cuenta con más 242,307 (doscientos cuarenta y dos mil trescientos siete) habitantes, a los cuales se les deben  garantizar sus derechos humanos relacionados a servicios públicos, establecidos en el artículo antes expuesto.   </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280" w:before="280" w:line="276" w:lineRule="auto"/>
        <w:ind w:left="566" w:right="6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Circunstancia que nos permite demostrar que el sujeto obligado aunado a la obligación que tiene de dar contestación a las solicitudes de información emitidas por los particulares, de acuerdo al artículo mencionado tiene que priorizar el interés público en cuanto a sus funciones y servicios públicos, hecho que determina la aplicación del principio general del derecho  “la utilidad de muchos debe preferirse sin duda alguna a la utilidad de uno solo” pues si bien es cierto existe la obligación de dar cumplimiento al  derecho humano de acceso a la información, también lo es cierto es que el hecho de dar respuesta en tiempo y forma al excesivo e histórico cumulo de solicitudes de acceso a la información no permite realizar a las áreas dependientes de la administración municipal, sus funciones establecidas en el artículo expuesto en el párrafo anterior, pues como lo hemos mencionado el sujeto obligado no cuenta con las capacidades técnicas, administrativas y humanas para dar contestación en los términos establecidos a las solicitudes de acceso a la información, siendo importante destacar que este sujeto obligado no realiza una negativa u omisión a dar cumplimiento al derecho humano de acceso a la información, sino que al contrario hace del conocimiento que se encuentra imposibilitado de hacerlo en tiempo y forma.  </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280" w:before="280" w:line="276" w:lineRule="auto"/>
        <w:ind w:left="566" w:right="6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SEGUNDO.- Solicito a usted quede sin materia la inconformidad planteada, ya que, se considera, que se actualiza la causal de que el recurso sea sobreseído, prevista en la fracción V del artículo 192 de la Ley de Transparencia y Acceso a la Información Pública del Estado de México y Municipios.  </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280" w:before="280" w:line="276" w:lineRule="auto"/>
        <w:ind w:left="566" w:right="6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De conformidad por lo dispuesto por el artículo 179 de la Ley de Transparencia y Acceso a la Información Pública del Estado de México y Municipios, el recurso de revisión no se ajusta a ninguna de las hipótesis de procedencia ahí enmarcadas, ya que del sujeto obligado denominado Ayuntamiento de Metepec 2022-2024, no ha negado el acceso a la información pública ni trasgredió los derechos de los solicitantes, lo cual ha quedado demostrado con lo expuesto en el presente ocurso.  </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240" w:before="240" w:line="276" w:lineRule="auto"/>
        <w:ind w:left="566" w:right="6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TERCERO.- Asimismo con fundamento en los artículos 191 y 192 fracción V, de la Ley de Transparencia y Acceso a la Información Pública del Estado de México y Municipios, solicito respetuosamente que el recurso …  se SOBRESEA y DESECHE y en su caso nos pueda conceder el termino prudente, por los motivos ya manifestado en el presente ocurso, para dar cumplimiento al derecho humano que tiene el solicitante al acceso a la información pública, así mismo en este acto solicito de igual forma se abstenga de toda medida de apremio y/o responsabilidad administrativa en perjuicio de este sujeto obligado…” (Sic) </w:t>
      </w:r>
    </w:p>
    <w:p w:rsidR="00000000" w:rsidDel="00000000" w:rsidP="00000000" w:rsidRDefault="00000000" w:rsidRPr="00000000" w14:paraId="000000E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también, en los recursos de revisión </w:t>
      </w:r>
      <w:r w:rsidDel="00000000" w:rsidR="00000000" w:rsidRPr="00000000">
        <w:rPr>
          <w:rFonts w:ascii="Palatino Linotype" w:cs="Palatino Linotype" w:eastAsia="Palatino Linotype" w:hAnsi="Palatino Linotype"/>
          <w:b w:val="1"/>
          <w:rtl w:val="0"/>
        </w:rPr>
        <w:t xml:space="preserve">03354/INFOEM/IP/RR/2022, 03355/INFOEM/IP/RR/2022, 03356/INFOEM/IP/RR/2022, 03357/INFOEM/IP/RR/2022,  03358/INFOEM/IP/RR/2022,  03359/INFOEM/IP/RR/2022,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agregó la documental que se describe:</w:t>
      </w:r>
    </w:p>
    <w:p w:rsidR="00000000" w:rsidDel="00000000" w:rsidP="00000000" w:rsidRDefault="00000000" w:rsidRPr="00000000" w14:paraId="000000E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Oficio Número: DA/0763/2022</w:t>
      </w:r>
      <w:r w:rsidDel="00000000" w:rsidR="00000000" w:rsidRPr="00000000">
        <w:rPr>
          <w:rFonts w:ascii="Palatino Linotype" w:cs="Palatino Linotype" w:eastAsia="Palatino Linotype" w:hAnsi="Palatino Linotype"/>
          <w:rtl w:val="0"/>
        </w:rPr>
        <w:t xml:space="preserve">, de fecha ocho de febrero de dos mil veintidós, a través del cual el Director de Administración, remite respuesta a diversas solicitudes de información, en el que señala:</w:t>
      </w:r>
    </w:p>
    <w:p w:rsidR="00000000" w:rsidDel="00000000" w:rsidP="00000000" w:rsidRDefault="00000000" w:rsidRPr="00000000" w14:paraId="000000E8">
      <w:pPr>
        <w:spacing w:after="240" w:before="240" w:line="276" w:lineRule="auto"/>
        <w:ind w:left="1134"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sz w:val="22"/>
          <w:szCs w:val="22"/>
          <w:rtl w:val="0"/>
        </w:rPr>
        <w:t xml:space="preserve">Como es evidente que todas y cada una de las solicitudes antes referidas versan sobre una misma función: "funciones y atribuciones", esta Dirección, </w:t>
      </w:r>
      <w:r w:rsidDel="00000000" w:rsidR="00000000" w:rsidRPr="00000000">
        <w:rPr>
          <w:rFonts w:ascii="Palatino Linotype" w:cs="Palatino Linotype" w:eastAsia="Palatino Linotype" w:hAnsi="Palatino Linotype"/>
          <w:b w:val="1"/>
          <w:i w:val="1"/>
          <w:sz w:val="22"/>
          <w:szCs w:val="22"/>
          <w:rtl w:val="0"/>
        </w:rPr>
        <w:t xml:space="preserve">considera pertinente la ACUMULACIÓN de las mismas, al determinar que son solicitudes iguales y conexas, resultando conveniente el trámite unificado de las mismas, para evitar respuestas contradictorias</w:t>
      </w:r>
      <w:r w:rsidDel="00000000" w:rsidR="00000000" w:rsidRPr="00000000">
        <w:rPr>
          <w:rFonts w:ascii="Palatino Linotype" w:cs="Palatino Linotype" w:eastAsia="Palatino Linotype" w:hAnsi="Palatino Linotype"/>
          <w:i w:val="1"/>
          <w:sz w:val="22"/>
          <w:szCs w:val="22"/>
          <w:rtl w:val="0"/>
        </w:rPr>
        <w:t xml:space="preserve">; con lo que se garantiza el derecho de acceso a la información pública al solicitante, otorgándole certeza jurídica; esto de conformidad en lo dispuesto en el artículo 6 de la Constitución Política, del Estado Libre y Soberano de México, así como lo señalado en el artículo 18 del Código de Procedimientos Administrativos del Estado de México.</w:t>
      </w:r>
    </w:p>
    <w:p w:rsidR="00000000" w:rsidDel="00000000" w:rsidP="00000000" w:rsidRDefault="00000000" w:rsidRPr="00000000" w14:paraId="000000E9">
      <w:pPr>
        <w:spacing w:after="240" w:before="240" w:line="276" w:lineRule="auto"/>
        <w:ind w:left="1134"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EA">
      <w:pPr>
        <w:spacing w:after="240" w:before="240" w:line="276" w:lineRule="auto"/>
        <w:ind w:left="1134"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solicitudes arriba enlistadas, fueron analizadas. Por lo que me permito manifestar lo siguiente: </w:t>
      </w:r>
    </w:p>
    <w:p w:rsidR="00000000" w:rsidDel="00000000" w:rsidP="00000000" w:rsidRDefault="00000000" w:rsidRPr="00000000" w14:paraId="000000EB">
      <w:pPr>
        <w:spacing w:after="240" w:before="240" w:line="276" w:lineRule="auto"/>
        <w:ind w:left="1134"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documento donde "se da cuenta" o lo que es lo mismo, donde se notifica, advierten o se hacen saber las funciones y atribuciones que señala el ciudadano se encuentran previstas en el: Código de Reglamentación Municipal de Metepec, Estado de México. </w:t>
      </w:r>
    </w:p>
    <w:p w:rsidR="00000000" w:rsidDel="00000000" w:rsidP="00000000" w:rsidRDefault="00000000" w:rsidRPr="00000000" w14:paraId="000000EC">
      <w:pPr>
        <w:spacing w:after="240" w:before="240" w:line="276" w:lineRule="auto"/>
        <w:ind w:left="1134"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omito mencionar que a la fecha sigue vigente el documento en comento del año inmediato anterior y el ciudadano podrá consultarlo en el siguiente link: Archivo Municipal (metepec.gob.mx)” </w:t>
      </w:r>
      <w:r w:rsidDel="00000000" w:rsidR="00000000" w:rsidRPr="00000000">
        <w:rPr>
          <w:rFonts w:ascii="Palatino Linotype" w:cs="Palatino Linotype" w:eastAsia="Palatino Linotype" w:hAnsi="Palatino Linotype"/>
          <w:sz w:val="22"/>
          <w:szCs w:val="22"/>
          <w:rtl w:val="0"/>
        </w:rPr>
        <w:t xml:space="preserve">(Sic)</w:t>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Asimismo, se tiene que </w:t>
      </w:r>
      <w:r w:rsidDel="00000000" w:rsidR="00000000" w:rsidRPr="00000000">
        <w:rPr>
          <w:rFonts w:ascii="Palatino Linotype" w:cs="Palatino Linotype" w:eastAsia="Palatino Linotype" w:hAnsi="Palatino Linotype"/>
          <w:b w:val="1"/>
          <w:color w:val="000000"/>
          <w:rtl w:val="0"/>
        </w:rPr>
        <w:t xml:space="preserve">la parte Recurrente</w:t>
      </w:r>
      <w:r w:rsidDel="00000000" w:rsidR="00000000" w:rsidRPr="00000000">
        <w:rPr>
          <w:rFonts w:ascii="Palatino Linotype" w:cs="Palatino Linotype" w:eastAsia="Palatino Linotype" w:hAnsi="Palatino Linotype"/>
          <w:color w:val="000000"/>
          <w:rtl w:val="0"/>
        </w:rPr>
        <w:t xml:space="preserve"> no emitió alegatos, manifestaciones o pronunciamiento alguno que a su derecho conviniera, luego entonces, se tiene por precluido su derecho para tal efecto.</w:t>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Ahora bien, a efecto de garantizar el efectivo ejercicio del derecho de acceso a la información pública que asiste al particular, resulta conveniente entrar al estudio de las siguientes consideraciones de hecho y derecho: </w:t>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las constancias que integran los expedientes se advierte que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remitió en algunos informes justificados, precisados en los antecedentes, por conducto de la Dirección de Administración, a través de l</w:t>
      </w:r>
      <w:r w:rsidDel="00000000" w:rsidR="00000000" w:rsidRPr="00000000">
        <w:rPr>
          <w:rFonts w:ascii="Palatino Linotype" w:cs="Palatino Linotype" w:eastAsia="Palatino Linotype" w:hAnsi="Palatino Linotype"/>
          <w:rtl w:val="0"/>
        </w:rPr>
        <w:t xml:space="preserve">a</w:t>
      </w:r>
      <w:r w:rsidDel="00000000" w:rsidR="00000000" w:rsidRPr="00000000">
        <w:rPr>
          <w:rFonts w:ascii="Palatino Linotype" w:cs="Palatino Linotype" w:eastAsia="Palatino Linotype" w:hAnsi="Palatino Linotype"/>
          <w:color w:val="000000"/>
          <w:rtl w:val="0"/>
        </w:rPr>
        <w:t xml:space="preserve"> liga electrónica señalada: </w:t>
      </w:r>
      <w:r w:rsidDel="00000000" w:rsidR="00000000" w:rsidRPr="00000000">
        <w:rPr>
          <w:rFonts w:ascii="Palatino Linotype" w:cs="Palatino Linotype" w:eastAsia="Palatino Linotype" w:hAnsi="Palatino Linotype"/>
          <w:i w:val="1"/>
          <w:color w:val="000000"/>
          <w:rtl w:val="0"/>
        </w:rPr>
        <w:t xml:space="preserve">metepec.gob.mx</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color w:val="000000"/>
          <w:rtl w:val="0"/>
        </w:rPr>
        <w:t xml:space="preserve"> despliega lo siguiente:</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240" w:line="360" w:lineRule="auto"/>
        <w:jc w:val="center"/>
        <w:rPr>
          <w:rFonts w:ascii="Palatino Linotype" w:cs="Palatino Linotype" w:eastAsia="Palatino Linotype" w:hAnsi="Palatino Linotype"/>
          <w:color w:val="000000"/>
        </w:rPr>
      </w:pPr>
      <w:r w:rsidDel="00000000" w:rsidR="00000000" w:rsidRPr="00000000">
        <w:rPr>
          <w:color w:val="000000"/>
        </w:rPr>
        <w:drawing>
          <wp:inline distB="0" distT="0" distL="0" distR="0">
            <wp:extent cx="4457833" cy="3744694"/>
            <wp:effectExtent b="0" l="0" r="0" t="0"/>
            <wp:docPr id="70" name="image14.png"/>
            <a:graphic>
              <a:graphicData uri="http://schemas.openxmlformats.org/drawingml/2006/picture">
                <pic:pic>
                  <pic:nvPicPr>
                    <pic:cNvPr id="0" name="image14.png"/>
                    <pic:cNvPicPr preferRelativeResize="0"/>
                  </pic:nvPicPr>
                  <pic:blipFill>
                    <a:blip r:embed="rId18"/>
                    <a:srcRect b="13098" l="47842" r="1336" t="4792"/>
                    <a:stretch>
                      <a:fillRect/>
                    </a:stretch>
                  </pic:blipFill>
                  <pic:spPr>
                    <a:xfrm>
                      <a:off x="0" y="0"/>
                      <a:ext cx="4457833" cy="3744694"/>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Sin embargo, ni el informe justificado, ni el oficio remitido por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colma lo requerido p</w:t>
      </w:r>
      <w:r w:rsidDel="00000000" w:rsidR="00000000" w:rsidRPr="00000000">
        <w:rPr>
          <w:rFonts w:ascii="Palatino Linotype" w:cs="Palatino Linotype" w:eastAsia="Palatino Linotype" w:hAnsi="Palatino Linotype"/>
          <w:rtl w:val="0"/>
        </w:rPr>
        <w:t xml:space="preserve">uesto que pretende justificar su falta de respuesta y solicita sobreser los recursos derivado del número excesivo de solicitudes, y por otra parte señala que la información solicitada se encuentra contenida en el propio </w:t>
      </w:r>
      <w:r w:rsidDel="00000000" w:rsidR="00000000" w:rsidRPr="00000000">
        <w:rPr>
          <w:rFonts w:ascii="Palatino Linotype" w:cs="Palatino Linotype" w:eastAsia="Palatino Linotype" w:hAnsi="Palatino Linotype"/>
          <w:b w:val="1"/>
          <w:i w:val="1"/>
          <w:sz w:val="22"/>
          <w:szCs w:val="22"/>
          <w:rtl w:val="0"/>
        </w:rPr>
        <w:t xml:space="preserve">Código de Reglamentación Municipal de Metepec, Estado de México, </w:t>
      </w:r>
      <w:r w:rsidDel="00000000" w:rsidR="00000000" w:rsidRPr="00000000">
        <w:rPr>
          <w:rFonts w:ascii="Palatino Linotype" w:cs="Palatino Linotype" w:eastAsia="Palatino Linotype" w:hAnsi="Palatino Linotype"/>
          <w:sz w:val="22"/>
          <w:szCs w:val="22"/>
          <w:rtl w:val="0"/>
        </w:rPr>
        <w:t xml:space="preserve">información que no colma con los requerimientos del particular</w:t>
      </w:r>
      <w:r w:rsidDel="00000000" w:rsidR="00000000" w:rsidRPr="00000000">
        <w:rPr>
          <w:rFonts w:ascii="Palatino Linotype" w:cs="Palatino Linotype" w:eastAsia="Palatino Linotype" w:hAnsi="Palatino Linotype"/>
          <w:color w:val="000000"/>
          <w:rtl w:val="0"/>
        </w:rPr>
        <w:t xml:space="preserve">, ya q</w:t>
      </w:r>
      <w:r w:rsidDel="00000000" w:rsidR="00000000" w:rsidRPr="00000000">
        <w:rPr>
          <w:rFonts w:ascii="Palatino Linotype" w:cs="Palatino Linotype" w:eastAsia="Palatino Linotype" w:hAnsi="Palatino Linotype"/>
          <w:rtl w:val="0"/>
        </w:rPr>
        <w:t xml:space="preserve">ue</w:t>
      </w:r>
      <w:r w:rsidDel="00000000" w:rsidR="00000000" w:rsidRPr="00000000">
        <w:rPr>
          <w:rFonts w:ascii="Palatino Linotype" w:cs="Palatino Linotype" w:eastAsia="Palatino Linotype" w:hAnsi="Palatino Linotype"/>
          <w:color w:val="222222"/>
          <w:rtl w:val="0"/>
        </w:rPr>
        <w:t xml:space="preserve"> de la lectura a las solicitudes de información se advierte que el particular requiere oficios, circulares, correos, memorándums y cualquier otro tipo de documentación que se relacione con el cumplimiento de sus atribuciones o funciones, específicamente de algunas áreas del Sujeto Obligado, de acuerdo a lo señalado</w:t>
      </w:r>
      <w:r w:rsidDel="00000000" w:rsidR="00000000" w:rsidRPr="00000000">
        <w:rPr>
          <w:rFonts w:ascii="Palatino Linotype" w:cs="Palatino Linotype" w:eastAsia="Palatino Linotype" w:hAnsi="Palatino Linotype"/>
          <w:rtl w:val="0"/>
        </w:rPr>
        <w:t xml:space="preserve"> en el</w:t>
      </w:r>
      <w:r w:rsidDel="00000000" w:rsidR="00000000" w:rsidRPr="00000000">
        <w:rPr>
          <w:rFonts w:ascii="Palatino Linotype" w:cs="Palatino Linotype" w:eastAsia="Palatino Linotype" w:hAnsi="Palatino Linotype"/>
          <w:b w:val="1"/>
          <w:color w:val="000000"/>
          <w:u w:val="single"/>
          <w:rtl w:val="0"/>
        </w:rPr>
        <w:t xml:space="preserve"> artículo 3.95 del Código de Reglamentación Municipal de Metepec, Estado de México</w:t>
      </w:r>
      <w:r w:rsidDel="00000000" w:rsidR="00000000" w:rsidRPr="00000000">
        <w:rPr>
          <w:rFonts w:ascii="Palatino Linotype" w:cs="Palatino Linotype" w:eastAsia="Palatino Linotype" w:hAnsi="Palatino Linotype"/>
          <w:color w:val="000000"/>
          <w:rtl w:val="0"/>
        </w:rPr>
        <w:t xml:space="preserve">, a saber: </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280" w:before="280" w:line="276"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Artículo 3.95.- La Jefatura del Taller Mecánico, tendrá las siguientes funciones:</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280" w:before="280" w:line="276" w:lineRule="auto"/>
        <w:ind w:left="1134"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 Atender y ejecutar los servicios preventivos, correctivos, legales y documentales del parque vehicular;</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280" w:before="280" w:line="276" w:lineRule="auto"/>
        <w:ind w:left="1134"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II. Proponer la elaboración de diagnósticos;</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280" w:before="280" w:line="276" w:lineRule="auto"/>
        <w:ind w:left="1134"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III. Registrar el proceso de ingreso y salida de las unidades en el taller mecánico municipal. (inventario, entrada y salida, evaluación y hoja de servicio y carta responsiva);</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280" w:before="280" w:line="276" w:lineRule="auto"/>
        <w:ind w:left="1134"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IV. Elaborar el Plan Anual de Mantenimiento al Parque Vehicular;</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280" w:before="280" w:line="276" w:lineRule="auto"/>
        <w:ind w:left="1134"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V. Ejecutar las acciones y trabajos del taller mecánico municipal;</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280" w:before="280" w:line="276" w:lineRule="auto"/>
        <w:ind w:left="1134"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VI. Informar y verificar que las operaciones vehiculares estén debidamente integrados y actualizados;</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280" w:before="280" w:line="276" w:lineRule="auto"/>
        <w:ind w:left="1134"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VII. Elaborar las bitácoras vehiculares, así como su permanente actualización;</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280" w:before="280" w:line="276" w:lineRule="auto"/>
        <w:ind w:left="1134"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VIII. Informar los trabajos realizados y fechas de entrega de los talleres externos;</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280" w:before="280" w:line="276" w:lineRule="auto"/>
        <w:ind w:left="1134"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IX. Recibir en el almacén general las refacciones entregadas por los proveedores asignados por la Subdirección de Adquisiciones y Contratación de Servicios;</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280" w:before="280" w:line="276" w:lineRule="auto"/>
        <w:ind w:left="1134"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 Elaborar y actualizar el programa de verificación y cambio de llantas del parque vehicular municipal;</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280" w:before="280" w:line="276" w:lineRule="auto"/>
        <w:ind w:left="1134"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 Elaborar y dar seguimiento de los controles y reportes establecidos. (reporte diario, reporte de actividades, reporte de vehículos en piso y taller externo);</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280" w:before="280" w:line="276" w:lineRule="auto"/>
        <w:ind w:left="1134"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XII. Revisar los servicios realizados tanto en el taller mecánico municipal como en talleres externos, verificando que cumplan con las reparaciones programadas;</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280" w:before="280" w:line="276" w:lineRule="auto"/>
        <w:ind w:left="1134"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XIII. Verificar el cumplimiento de las garantías en refacciones con los servicios realizados en talleres externos; y</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280" w:before="280" w:line="276" w:lineRule="auto"/>
        <w:ind w:left="1134"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XIV. Las demás que les atribuyan las disposiciones jurídicas aplicables o las que le instruya la Dirección de Administración o la Subdirección de Servicios Generales.”  (Sic) </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280" w:before="280" w:line="276"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(Énfasis añadido)</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Bajo este orden de ideas, se confirma que dichas atribuciones competen a la Jefatura del Taller Mecánico, de la Subdirección de Servicios Generales, a cargo de la Coordinación de Administración, ya que el mismo Código refiere lo siguiente: </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“Artículo 3.93.- Para el eficiente ejercicio de sus funciones, </w:t>
      </w:r>
      <w:r w:rsidDel="00000000" w:rsidR="00000000" w:rsidRPr="00000000">
        <w:rPr>
          <w:rFonts w:ascii="Palatino Linotype" w:cs="Palatino Linotype" w:eastAsia="Palatino Linotype" w:hAnsi="Palatino Linotype"/>
          <w:b w:val="1"/>
          <w:i w:val="1"/>
          <w:color w:val="000000"/>
          <w:sz w:val="22"/>
          <w:szCs w:val="22"/>
          <w:rtl w:val="0"/>
        </w:rPr>
        <w:t xml:space="preserve">la Subdirección de Servicios Generales,</w:t>
      </w:r>
      <w:r w:rsidDel="00000000" w:rsidR="00000000" w:rsidRPr="00000000">
        <w:rPr>
          <w:rFonts w:ascii="Palatino Linotype" w:cs="Palatino Linotype" w:eastAsia="Palatino Linotype" w:hAnsi="Palatino Linotype"/>
          <w:i w:val="1"/>
          <w:color w:val="000000"/>
          <w:sz w:val="22"/>
          <w:szCs w:val="22"/>
          <w:rtl w:val="0"/>
        </w:rPr>
        <w:t xml:space="preserve"> se auxiliará de las siguientes unidades administrativas:</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 Departamento de Apoyo a Eventos; y</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240" w:lineRule="auto"/>
        <w:ind w:left="1134" w:right="900" w:firstLine="0"/>
        <w:jc w:val="both"/>
        <w:rPr>
          <w:rFonts w:ascii="Palatino Linotype" w:cs="Palatino Linotype" w:eastAsia="Palatino Linotype" w:hAnsi="Palatino Linotype"/>
          <w:b w:val="1"/>
          <w:i w:val="1"/>
          <w:color w:val="000000"/>
          <w:sz w:val="22"/>
          <w:szCs w:val="22"/>
          <w:u w:val="single"/>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II. Jefatura del Taller Mecánico.</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otra parte, el Manual de Organización del Ayuntamiento de Metepec, dispone lo siguiente:</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240" w:lineRule="auto"/>
        <w:jc w:val="both"/>
        <w:rPr>
          <w:rFonts w:ascii="Palatino Linotype" w:cs="Palatino Linotype" w:eastAsia="Palatino Linotype" w:hAnsi="Palatino Linotype"/>
          <w:color w:val="000000"/>
        </w:rPr>
      </w:pPr>
      <w:r w:rsidDel="00000000" w:rsidR="00000000" w:rsidRPr="00000000">
        <w:rPr>
          <w:color w:val="000000"/>
        </w:rPr>
        <w:drawing>
          <wp:inline distB="0" distT="0" distL="0" distR="0">
            <wp:extent cx="5661820" cy="5300427"/>
            <wp:effectExtent b="0" l="0" r="0" t="0"/>
            <wp:docPr id="71" name="image17.png"/>
            <a:graphic>
              <a:graphicData uri="http://schemas.openxmlformats.org/drawingml/2006/picture">
                <pic:pic>
                  <pic:nvPicPr>
                    <pic:cNvPr id="0" name="image17.png"/>
                    <pic:cNvPicPr preferRelativeResize="0"/>
                  </pic:nvPicPr>
                  <pic:blipFill>
                    <a:blip r:embed="rId19"/>
                    <a:srcRect b="28485" l="64491" r="3599" t="18407"/>
                    <a:stretch>
                      <a:fillRect/>
                    </a:stretch>
                  </pic:blipFill>
                  <pic:spPr>
                    <a:xfrm>
                      <a:off x="0" y="0"/>
                      <a:ext cx="5661820" cy="530042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4051300</wp:posOffset>
                </wp:positionH>
                <wp:positionV relativeFrom="paragraph">
                  <wp:posOffset>4127500</wp:posOffset>
                </wp:positionV>
                <wp:extent cx="1381125" cy="1123950"/>
                <wp:effectExtent b="0" l="0" r="0" t="0"/>
                <wp:wrapNone/>
                <wp:docPr id="58" name=""/>
                <a:graphic>
                  <a:graphicData uri="http://schemas.microsoft.com/office/word/2010/wordprocessingShape">
                    <wps:wsp>
                      <wps:cNvSpPr/>
                      <wps:cNvPr id="3" name="Shape 3"/>
                      <wps:spPr>
                        <a:xfrm>
                          <a:off x="4684013" y="3246600"/>
                          <a:ext cx="1323975" cy="1066800"/>
                        </a:xfrm>
                        <a:prstGeom prst="ellipse">
                          <a:avLst/>
                        </a:prstGeom>
                        <a:noFill/>
                        <a:ln cap="flat" cmpd="sng" w="28575">
                          <a:solidFill>
                            <a:srgbClr val="8CB3E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4051300</wp:posOffset>
                </wp:positionH>
                <wp:positionV relativeFrom="paragraph">
                  <wp:posOffset>4127500</wp:posOffset>
                </wp:positionV>
                <wp:extent cx="1381125" cy="1123950"/>
                <wp:effectExtent b="0" l="0" r="0" t="0"/>
                <wp:wrapNone/>
                <wp:docPr id="58" name="image19.png"/>
                <a:graphic>
                  <a:graphicData uri="http://schemas.openxmlformats.org/drawingml/2006/picture">
                    <pic:pic>
                      <pic:nvPicPr>
                        <pic:cNvPr id="0" name="image19.png"/>
                        <pic:cNvPicPr preferRelativeResize="0"/>
                      </pic:nvPicPr>
                      <pic:blipFill>
                        <a:blip r:embed="rId20"/>
                        <a:srcRect/>
                        <a:stretch>
                          <a:fillRect/>
                        </a:stretch>
                      </pic:blipFill>
                      <pic:spPr>
                        <a:xfrm>
                          <a:off x="0" y="0"/>
                          <a:ext cx="1381125" cy="1123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4241800</wp:posOffset>
                </wp:positionH>
                <wp:positionV relativeFrom="paragraph">
                  <wp:posOffset>2387600</wp:posOffset>
                </wp:positionV>
                <wp:extent cx="1381125" cy="1123950"/>
                <wp:effectExtent b="0" l="0" r="0" t="0"/>
                <wp:wrapNone/>
                <wp:docPr id="57" name=""/>
                <a:graphic>
                  <a:graphicData uri="http://schemas.microsoft.com/office/word/2010/wordprocessingShape">
                    <wps:wsp>
                      <wps:cNvSpPr/>
                      <wps:cNvPr id="2" name="Shape 2"/>
                      <wps:spPr>
                        <a:xfrm>
                          <a:off x="4684013" y="3246600"/>
                          <a:ext cx="1323975" cy="1066800"/>
                        </a:xfrm>
                        <a:prstGeom prst="ellipse">
                          <a:avLst/>
                        </a:prstGeom>
                        <a:noFill/>
                        <a:ln cap="flat" cmpd="sng" w="28575">
                          <a:solidFill>
                            <a:srgbClr val="8CB3E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4241800</wp:posOffset>
                </wp:positionH>
                <wp:positionV relativeFrom="paragraph">
                  <wp:posOffset>2387600</wp:posOffset>
                </wp:positionV>
                <wp:extent cx="1381125" cy="1123950"/>
                <wp:effectExtent b="0" l="0" r="0" t="0"/>
                <wp:wrapNone/>
                <wp:docPr id="57" name="image18.png"/>
                <a:graphic>
                  <a:graphicData uri="http://schemas.openxmlformats.org/drawingml/2006/picture">
                    <pic:pic>
                      <pic:nvPicPr>
                        <pic:cNvPr id="0" name="image18.png"/>
                        <pic:cNvPicPr preferRelativeResize="0"/>
                      </pic:nvPicPr>
                      <pic:blipFill>
                        <a:blip r:embed="rId21"/>
                        <a:srcRect/>
                        <a:stretch>
                          <a:fillRect/>
                        </a:stretch>
                      </pic:blipFill>
                      <pic:spPr>
                        <a:xfrm>
                          <a:off x="0" y="0"/>
                          <a:ext cx="1381125" cy="1123950"/>
                        </a:xfrm>
                        <a:prstGeom prst="rect"/>
                        <a:ln/>
                      </pic:spPr>
                    </pic:pic>
                  </a:graphicData>
                </a:graphic>
              </wp:anchor>
            </w:drawing>
          </mc:Fallback>
        </mc:AlternateConten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1.4.2. JEFE DEL TALLER MECÁNICO</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OBJETIVO:</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Atender y ejecutar los servicios mecánicos preventivos y correctivos, así como de hojalatería y pintura del parque vehicular, de acuerdo a las solicitudes debidamente presentadas por las dependencias de la administración pública municipal.</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FUNCIONES:</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1. Registra el ingreso y salida de las unidades en el taller mecánico municipal. (inventario, entrada y salida, evaluación y hoja de servicio);</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 Elabora diagnósticos de los vehículos oficiales de la Administración Pública, que ingresan al Taller Municipal;</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3. Ejecutar las acciones y trabajos del taller mecánico municipal;</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4. Informa y verifica que las operaciones vehiculares estén debidamente integradas y actualizadas;</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5. Elabora las bitácoras vehiculares, así como su permanente actualización;</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6. Informa los trabajos realizados y fechas de entrega de los talleres externos;</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7. Recibe en el almacén general las refacciones entregadas por los proveedores asignados por la Subdirección de Adquisiciones;</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8. Elabora y da seguimiento de los controles y reportes establecidos. (reporte de actividades, reporte de vehículos en piso y taller externo);</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9. Revisa los servicios realizados tanto en el taller mecánico municipal como en talleres externos, verificando que cumplan con las reparaciones programadas;</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10. Verifica el cumplimiento de las garantías en refacciones con los servicios realizados en talleres externos; y</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24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11. Desarrolla las demás funciones inherentes al área de su competencia.</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lo antes expuesto, se confirma que compete a la </w:t>
      </w:r>
      <w:r w:rsidDel="00000000" w:rsidR="00000000" w:rsidRPr="00000000">
        <w:rPr>
          <w:rFonts w:ascii="Palatino Linotype" w:cs="Palatino Linotype" w:eastAsia="Palatino Linotype" w:hAnsi="Palatino Linotype"/>
          <w:color w:val="000000"/>
          <w:sz w:val="22"/>
          <w:szCs w:val="22"/>
          <w:rtl w:val="0"/>
        </w:rPr>
        <w:t xml:space="preserve">Subdirección de Servicios Generales y a la</w:t>
      </w:r>
      <w:r w:rsidDel="00000000" w:rsidR="00000000" w:rsidRPr="00000000">
        <w:rPr>
          <w:rFonts w:ascii="Palatino Linotype" w:cs="Palatino Linotype" w:eastAsia="Palatino Linotype" w:hAnsi="Palatino Linotype"/>
          <w:color w:val="000000"/>
          <w:rtl w:val="0"/>
        </w:rPr>
        <w:t xml:space="preserve"> Jefatura de Taller Mecánico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generar, poseer y administrar la información requerida, más aún cuando existe procedimiento que deberán de seguir para el cumplimiento de sus atribuciones, al respecto el Manual de Procedimientos de la Dirección de Administración del Ayuntamiento de Metepec, dispone lo siguiente:</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 PROCEDIMIENTO: MET-DDA-SSG-07-2021: </w:t>
      </w:r>
      <w:r w:rsidDel="00000000" w:rsidR="00000000" w:rsidRPr="00000000">
        <w:rPr>
          <w:rFonts w:ascii="Palatino Linotype" w:cs="Palatino Linotype" w:eastAsia="Palatino Linotype" w:hAnsi="Palatino Linotype"/>
          <w:b w:val="1"/>
          <w:i w:val="1"/>
          <w:color w:val="000000"/>
          <w:sz w:val="22"/>
          <w:szCs w:val="22"/>
          <w:u w:val="single"/>
          <w:rtl w:val="0"/>
        </w:rPr>
        <w:t xml:space="preserve">ATENCIÓN DE SOLICITUDES DE REPARACIÓN Y O DIAGNÓSTICO DE UNIDADES OFICIALES EN TALLER MECÁNICO MUNICIPAL</w:t>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2.7.1. OBJETIVO:</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Mantener en condiciones adecuadas para su debido uso y funcionamiento el parque vehicular oficial de la administración pública municipal, a través del mantenimiento preventivo y correctivo, a solicitud de las áreas usuarias.</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2.7.2. ALCANCE:</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Aplica al titular de la </w:t>
      </w:r>
      <w:r w:rsidDel="00000000" w:rsidR="00000000" w:rsidRPr="00000000">
        <w:rPr>
          <w:rFonts w:ascii="Palatino Linotype" w:cs="Palatino Linotype" w:eastAsia="Palatino Linotype" w:hAnsi="Palatino Linotype"/>
          <w:b w:val="1"/>
          <w:i w:val="1"/>
          <w:color w:val="000000"/>
          <w:sz w:val="22"/>
          <w:szCs w:val="22"/>
          <w:rtl w:val="0"/>
        </w:rPr>
        <w:t xml:space="preserve">Subdirección de Servicios Generales, al Jefe del Taller Mecánico, personal operativo y administrativo de la subdirección y otros servidores públicos involucrados dependiendo del área usuaria.</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2.7.3. REFERENCIAS:</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2.7.3.1. </w:t>
      </w:r>
      <w:r w:rsidDel="00000000" w:rsidR="00000000" w:rsidRPr="00000000">
        <w:rPr>
          <w:rFonts w:ascii="Palatino Linotype" w:cs="Palatino Linotype" w:eastAsia="Palatino Linotype" w:hAnsi="Palatino Linotype"/>
          <w:b w:val="1"/>
          <w:i w:val="1"/>
          <w:color w:val="000000"/>
          <w:sz w:val="22"/>
          <w:szCs w:val="22"/>
          <w:rtl w:val="0"/>
        </w:rPr>
        <w:t xml:space="preserve">Bando Municipal de Metepec</w:t>
      </w:r>
      <w:r w:rsidDel="00000000" w:rsidR="00000000" w:rsidRPr="00000000">
        <w:rPr>
          <w:rFonts w:ascii="Palatino Linotype" w:cs="Palatino Linotype" w:eastAsia="Palatino Linotype" w:hAnsi="Palatino Linotype"/>
          <w:i w:val="1"/>
          <w:color w:val="000000"/>
          <w:sz w:val="22"/>
          <w:szCs w:val="22"/>
          <w:rtl w:val="0"/>
        </w:rPr>
        <w:t xml:space="preserve">, Estado de México, 2019. Título cuarto, capítulo I, artículos 35 y 36.</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2.7.3.2. </w:t>
      </w:r>
      <w:r w:rsidDel="00000000" w:rsidR="00000000" w:rsidRPr="00000000">
        <w:rPr>
          <w:rFonts w:ascii="Palatino Linotype" w:cs="Palatino Linotype" w:eastAsia="Palatino Linotype" w:hAnsi="Palatino Linotype"/>
          <w:b w:val="1"/>
          <w:i w:val="1"/>
          <w:color w:val="000000"/>
          <w:sz w:val="22"/>
          <w:szCs w:val="22"/>
          <w:rtl w:val="0"/>
        </w:rPr>
        <w:t xml:space="preserve">Código de Reglamentación Municipal de Metepec Estado de México</w:t>
      </w:r>
      <w:r w:rsidDel="00000000" w:rsidR="00000000" w:rsidRPr="00000000">
        <w:rPr>
          <w:rFonts w:ascii="Palatino Linotype" w:cs="Palatino Linotype" w:eastAsia="Palatino Linotype" w:hAnsi="Palatino Linotype"/>
          <w:i w:val="1"/>
          <w:color w:val="000000"/>
          <w:sz w:val="22"/>
          <w:szCs w:val="22"/>
          <w:rtl w:val="0"/>
        </w:rPr>
        <w:t xml:space="preserve"> 2010. Libro tercero, Título Tercero, Capítulo V, Artículos 3.92, 3.93 y 3.95</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2.7.4. RESPONSABILIDADES:</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 o el titular de la </w:t>
      </w:r>
      <w:r w:rsidDel="00000000" w:rsidR="00000000" w:rsidRPr="00000000">
        <w:rPr>
          <w:rFonts w:ascii="Palatino Linotype" w:cs="Palatino Linotype" w:eastAsia="Palatino Linotype" w:hAnsi="Palatino Linotype"/>
          <w:b w:val="1"/>
          <w:i w:val="1"/>
          <w:color w:val="000000"/>
          <w:sz w:val="22"/>
          <w:szCs w:val="22"/>
          <w:rtl w:val="0"/>
        </w:rPr>
        <w:t xml:space="preserve">Subdirección de Servicios Generales deberá</w:t>
      </w: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2.7.4.1 Supervisar responsablemente que el Jefe de Taller Mecánico atienda oportunamente las solicitudes de diagnósticos, reparaciones y mantenimiento a vehículos oficiales.</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2.7.4.2 Instruir al personal administrativo correspondiente, de la Subdirección, para el debido </w:t>
      </w:r>
      <w:r w:rsidDel="00000000" w:rsidR="00000000" w:rsidRPr="00000000">
        <w:rPr>
          <w:rFonts w:ascii="Palatino Linotype" w:cs="Palatino Linotype" w:eastAsia="Palatino Linotype" w:hAnsi="Palatino Linotype"/>
          <w:b w:val="1"/>
          <w:i w:val="1"/>
          <w:color w:val="000000"/>
          <w:sz w:val="22"/>
          <w:szCs w:val="22"/>
          <w:rtl w:val="0"/>
        </w:rPr>
        <w:t xml:space="preserve">seguimiento de las solicitudes de diagnósticos, reparaciones y mantenimiento. </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 o el Titular del Taller Mecánico Municipal deberá:</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2.7.4.3. </w:t>
      </w:r>
      <w:r w:rsidDel="00000000" w:rsidR="00000000" w:rsidRPr="00000000">
        <w:rPr>
          <w:rFonts w:ascii="Palatino Linotype" w:cs="Palatino Linotype" w:eastAsia="Palatino Linotype" w:hAnsi="Palatino Linotype"/>
          <w:b w:val="1"/>
          <w:i w:val="1"/>
          <w:color w:val="000000"/>
          <w:sz w:val="22"/>
          <w:szCs w:val="22"/>
          <w:rtl w:val="0"/>
        </w:rPr>
        <w:t xml:space="preserve">Planificar, programar y ejecutar eficazmente los diagnósticos, reparaciones y servicios de mantenimiento preventivo y correctivo del parque vehicular municipal en virtud de las solicitudes de las áreas usuarias</w:t>
      </w: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2.7.5. DEFINICIONES:</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2.7.5.1. Diagnóstico: Evaluación que se realiza al vehículo, respecto del estado mecánico y de funcionamiento en el que se encuentra. Se entrega por escrito en un formato preestablecido.</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2.7.5.2. Mantenimiento preventivo: Acción o serie de acciones necesarias para alargar la vida útil del vehículo.</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2.7.5.3. Mantenimiento correctivo: Consiste en detectar averías o defectos y corregirlos o repararlos.</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2.7.6. INSUMOS:</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2.7.6.1. Documentales: </w:t>
      </w:r>
      <w:r w:rsidDel="00000000" w:rsidR="00000000" w:rsidRPr="00000000">
        <w:rPr>
          <w:rFonts w:ascii="Palatino Linotype" w:cs="Palatino Linotype" w:eastAsia="Palatino Linotype" w:hAnsi="Palatino Linotype"/>
          <w:b w:val="1"/>
          <w:i w:val="1"/>
          <w:color w:val="000000"/>
          <w:sz w:val="22"/>
          <w:szCs w:val="22"/>
          <w:rtl w:val="0"/>
        </w:rPr>
        <w:t xml:space="preserve">Oficio de solicitud de diagnóstico y/o reparación del área usuaria dirigido a la Directora de Administración. En el caso de las reparaciones: las refacciones requeridas.</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2.7.6.2. Herramientas: Herramienta y equipo especializado de mecánica automotriz.</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2.7.6.3. Recursos Humanos: Servidoras o servidores públicos con conocimientos en mecánica.</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2.7.6.4. Materiales: Material de oficina. (Escritorio, computadora, silla y papelería), teléfono fijo y herramienta de electricidad.</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2.7.7. RESULTADOS:</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Unidades del parque vehicular de la administración pública municipal funcionando correctamente, eficientando costos y recursos.</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2.7.8. INTERACCIÓN CON OTROS PROCEDIMIENTOS:</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2.7.8.1 PROCEDIMIENTO MET-DDA-SSG-05-2021: SUPERVISIÓN A LOS SERVICIOS GENERALES</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2.7.9. POLÍTICAS:</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2.7.9.1. Los oficios de solicitud de reparación y/o diagnóstico deberán entregarse directamente a la Dirección de Administración.</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2.7.9.2. </w:t>
      </w:r>
      <w:r w:rsidDel="00000000" w:rsidR="00000000" w:rsidRPr="00000000">
        <w:rPr>
          <w:rFonts w:ascii="Palatino Linotype" w:cs="Palatino Linotype" w:eastAsia="Palatino Linotype" w:hAnsi="Palatino Linotype"/>
          <w:b w:val="1"/>
          <w:i w:val="1"/>
          <w:color w:val="000000"/>
          <w:sz w:val="22"/>
          <w:szCs w:val="22"/>
          <w:rtl w:val="0"/>
        </w:rPr>
        <w:t xml:space="preserve">Todo servicio requiere de un oficio de solicitud</w:t>
      </w:r>
      <w:r w:rsidDel="00000000" w:rsidR="00000000" w:rsidRPr="00000000">
        <w:rPr>
          <w:rFonts w:ascii="Palatino Linotype" w:cs="Palatino Linotype" w:eastAsia="Palatino Linotype" w:hAnsi="Palatino Linotype"/>
          <w:i w:val="1"/>
          <w:color w:val="000000"/>
          <w:sz w:val="22"/>
          <w:szCs w:val="22"/>
          <w:rtl w:val="0"/>
        </w:rPr>
        <w:t xml:space="preserve"> y es indispensable indicar el número económico de la unidad.” </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2.7.7. RESULTADOS:</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Unidades del parque vehicular de la administración pública municipal funcionando  correctamente, eficientando costos y recursos.</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2.7.8. INTERACCIÓN CON OTROS PROCEDIMIENTOS:</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2.7.8.1 PROCEDIMIENTO MET-DDA-SSG-05-2021: SUPERVISIÓN A LOS  SERVICIOS GENERALES</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2.7.9. POLÍTICAS:</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2.7.9.1. Los oficios de solicitud de reparación y/o diagnóstico deberán  entregarse directamente a la Dirección de Administración.</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2.7.9.2. Todo servicio requiere de un oficio de solicitud y es indispensable  indicar el número económico de la unidad.</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280" w:before="280" w:lineRule="auto"/>
        <w:ind w:left="1134" w:right="900"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240" w:lineRule="auto"/>
        <w:jc w:val="center"/>
        <w:rPr>
          <w:rFonts w:ascii="Palatino Linotype" w:cs="Palatino Linotype" w:eastAsia="Palatino Linotype" w:hAnsi="Palatino Linotype"/>
          <w:color w:val="000000"/>
        </w:rPr>
      </w:pPr>
      <w:r w:rsidDel="00000000" w:rsidR="00000000" w:rsidRPr="00000000">
        <w:rPr>
          <w:color w:val="000000"/>
        </w:rPr>
        <w:drawing>
          <wp:inline distB="0" distT="0" distL="0" distR="0">
            <wp:extent cx="4395374" cy="1487957"/>
            <wp:effectExtent b="0" l="0" r="0" t="0"/>
            <wp:docPr id="73" name="image4.png"/>
            <a:graphic>
              <a:graphicData uri="http://schemas.openxmlformats.org/drawingml/2006/picture">
                <pic:pic>
                  <pic:nvPicPr>
                    <pic:cNvPr id="0" name="image4.png"/>
                    <pic:cNvPicPr preferRelativeResize="0"/>
                  </pic:nvPicPr>
                  <pic:blipFill>
                    <a:blip r:embed="rId22"/>
                    <a:srcRect b="17019" l="51595" r="12761" t="60652"/>
                    <a:stretch>
                      <a:fillRect/>
                    </a:stretch>
                  </pic:blipFill>
                  <pic:spPr>
                    <a:xfrm>
                      <a:off x="0" y="0"/>
                      <a:ext cx="4395374" cy="1487957"/>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240" w:lineRule="auto"/>
        <w:jc w:val="center"/>
        <w:rPr>
          <w:rFonts w:ascii="Palatino Linotype" w:cs="Palatino Linotype" w:eastAsia="Palatino Linotype" w:hAnsi="Palatino Linotype"/>
          <w:color w:val="000000"/>
        </w:rPr>
      </w:pPr>
      <w:r w:rsidDel="00000000" w:rsidR="00000000" w:rsidRPr="00000000">
        <w:rPr>
          <w:color w:val="000000"/>
        </w:rPr>
        <w:drawing>
          <wp:inline distB="0" distT="0" distL="0" distR="0">
            <wp:extent cx="4043782" cy="5203701"/>
            <wp:effectExtent b="0" l="0" r="0" t="0"/>
            <wp:docPr id="74" name="image5.png"/>
            <a:graphic>
              <a:graphicData uri="http://schemas.openxmlformats.org/drawingml/2006/picture">
                <pic:pic>
                  <pic:nvPicPr>
                    <pic:cNvPr id="0" name="image5.png"/>
                    <pic:cNvPicPr preferRelativeResize="0"/>
                  </pic:nvPicPr>
                  <pic:blipFill>
                    <a:blip r:embed="rId23"/>
                    <a:srcRect b="10379" l="54989" r="14629" t="17200"/>
                    <a:stretch>
                      <a:fillRect/>
                    </a:stretch>
                  </pic:blipFill>
                  <pic:spPr>
                    <a:xfrm>
                      <a:off x="0" y="0"/>
                      <a:ext cx="4043782" cy="5203701"/>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240" w:lineRule="auto"/>
        <w:jc w:val="center"/>
        <w:rPr>
          <w:rFonts w:ascii="Palatino Linotype" w:cs="Palatino Linotype" w:eastAsia="Palatino Linotype" w:hAnsi="Palatino Linotype"/>
          <w:color w:val="000000"/>
        </w:rPr>
      </w:pPr>
      <w:r w:rsidDel="00000000" w:rsidR="00000000" w:rsidRPr="00000000">
        <w:rPr>
          <w:color w:val="000000"/>
        </w:rPr>
        <w:drawing>
          <wp:inline distB="0" distT="0" distL="0" distR="0">
            <wp:extent cx="4148686" cy="5274682"/>
            <wp:effectExtent b="0" l="0" r="0" t="0"/>
            <wp:docPr id="75" name="image11.png"/>
            <a:graphic>
              <a:graphicData uri="http://schemas.openxmlformats.org/drawingml/2006/picture">
                <pic:pic>
                  <pic:nvPicPr>
                    <pic:cNvPr id="0" name="image11.png"/>
                    <pic:cNvPicPr preferRelativeResize="0"/>
                  </pic:nvPicPr>
                  <pic:blipFill>
                    <a:blip r:embed="rId24"/>
                    <a:srcRect b="9776" l="54480" r="14970" t="21165"/>
                    <a:stretch>
                      <a:fillRect/>
                    </a:stretch>
                  </pic:blipFill>
                  <pic:spPr>
                    <a:xfrm>
                      <a:off x="0" y="0"/>
                      <a:ext cx="4148686" cy="5274682"/>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240" w:lineRule="auto"/>
        <w:jc w:val="center"/>
        <w:rPr>
          <w:rFonts w:ascii="Palatino Linotype" w:cs="Palatino Linotype" w:eastAsia="Palatino Linotype" w:hAnsi="Palatino Linotype"/>
          <w:color w:val="000000"/>
        </w:rPr>
      </w:pPr>
      <w:r w:rsidDel="00000000" w:rsidR="00000000" w:rsidRPr="00000000">
        <w:rPr>
          <w:color w:val="000000"/>
        </w:rPr>
        <w:drawing>
          <wp:inline distB="0" distT="0" distL="0" distR="0">
            <wp:extent cx="4404974" cy="5653049"/>
            <wp:effectExtent b="0" l="0" r="0" t="0"/>
            <wp:docPr id="76" name="image16.png"/>
            <a:graphic>
              <a:graphicData uri="http://schemas.openxmlformats.org/drawingml/2006/picture">
                <pic:pic>
                  <pic:nvPicPr>
                    <pic:cNvPr id="0" name="image16.png"/>
                    <pic:cNvPicPr preferRelativeResize="0"/>
                  </pic:nvPicPr>
                  <pic:blipFill>
                    <a:blip r:embed="rId25"/>
                    <a:srcRect b="14604" l="54648" r="14798" t="15692"/>
                    <a:stretch>
                      <a:fillRect/>
                    </a:stretch>
                  </pic:blipFill>
                  <pic:spPr>
                    <a:xfrm>
                      <a:off x="0" y="0"/>
                      <a:ext cx="4404974" cy="5653049"/>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color w:val="000000"/>
        </w:rPr>
      </w:pPr>
      <w:r w:rsidDel="00000000" w:rsidR="00000000" w:rsidRPr="00000000">
        <w:rPr>
          <w:color w:val="000000"/>
        </w:rPr>
        <w:drawing>
          <wp:inline distB="0" distT="0" distL="0" distR="0">
            <wp:extent cx="4506521" cy="3714166"/>
            <wp:effectExtent b="0" l="0" r="0" t="0"/>
            <wp:docPr id="77" name="image15.png"/>
            <a:graphic>
              <a:graphicData uri="http://schemas.openxmlformats.org/drawingml/2006/picture">
                <pic:pic>
                  <pic:nvPicPr>
                    <pic:cNvPr id="0" name="image15.png"/>
                    <pic:cNvPicPr preferRelativeResize="0"/>
                  </pic:nvPicPr>
                  <pic:blipFill>
                    <a:blip r:embed="rId26"/>
                    <a:srcRect b="24864" l="54820" r="14291" t="29874"/>
                    <a:stretch>
                      <a:fillRect/>
                    </a:stretch>
                  </pic:blipFill>
                  <pic:spPr>
                    <a:xfrm>
                      <a:off x="0" y="0"/>
                      <a:ext cx="4506521" cy="3714166"/>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lo anteriormente citado, se advierte que los documentos que requiere el particular, versan directamente  sobre las actividades encomendadas a la Dirección de Administración, Subdirección de Servicios Generales, Jefatura de Taller Mecánico y áreas usuarias del Sujeto Obligado, así podemos identificar los siguientes:</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 Dirección de Administración, atiende y ejecuta los servicios preventivos, correctivos, legales y documentales del parque vehicular por el área usuaria; </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Que el personal del taller mecánico, elabora los diagnósticos con los formatos FOR-DDA-SSG-002 y FOR-DDA-SSG-003 y los entrega al Jefe del Taller Mecánico y a la Dirección de Administración;</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personal del taller mecánico, registra el proceso de ingreso y salida de las unidades en el taller mecánico municipal.</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Jefe del Taller Mecánico informa y verifica que las operaciones vehiculares estén debidamente integradas y actualizadas; </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 Jefatura de Taller Mecánico, elabora y actualiza las bitácoras vehiculares. </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Personal de Taller Mecánico informa los trabajos realizados y fechas de entrega de los talleres  a la Subdirección de Servicios Generales;</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Jefe de Taller Mecánico recibe del almacén general las refacciones entregadas por los proveedores asignados por la Subdirección de Adquisiciones y Contratación de Servicios;</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Jefe de Taller Mecánico elabora y da seguimiento de los controles y reportes establecidos;</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Jefe de Taller Mecánico revisa los servicios realizados tanto en el taller mecánico municipal como en talleres externos, verificando que cumplan con las reparaciones programadas;</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Jefe de Taller Mecánico verifica el cumplimiento de las garantías en refacciones con los servicios realizados en talleres externos; </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280" w:before="28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Ahora bien, por cuanto hace al Plan de Mantenimiento al Parque Vehicular, que se puede definir como</w:t>
      </w:r>
      <w:r w:rsidDel="00000000" w:rsidR="00000000" w:rsidRPr="00000000">
        <w:rPr>
          <w:color w:val="000000"/>
          <w:rtl w:val="0"/>
        </w:rPr>
        <w:t xml:space="preserve"> </w:t>
      </w:r>
      <w:r w:rsidDel="00000000" w:rsidR="00000000" w:rsidRPr="00000000">
        <w:rPr>
          <w:rFonts w:ascii="Palatino Linotype" w:cs="Palatino Linotype" w:eastAsia="Palatino Linotype" w:hAnsi="Palatino Linotype"/>
          <w:color w:val="000000"/>
          <w:rtl w:val="0"/>
        </w:rPr>
        <w:t xml:space="preserve">un conjunto de tareas programadas que permite llevar un control detallado de todas las unidades,  así como de verificar la fecha en que debe realizarse el mantenimiento preventivo o correctivo a cada uno de los vehículos y evitar que sus unidades se descompongan, al respecto se pudo identificar que estas funciones son desarrolladas también por la Jefatura de Taller Mecánico, por lo cual, se deberá hacer entrega del mismo, en el cual se puede incluir como parte del mantenimiento preventivo y correctivo, el cambio de llantas del parque vehicular.</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280" w:before="28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atención al programa de verificación, es obligación del Jefe del Taller Mecánico, elaborar dicho programa, ya que conforme a lo establecido en las Normas Oficiales Mexicanas en materia de medición de concentraciones, Normas Técnicas Estatales Ambientales, Ley General del Equilibrio Ecológico y la Protección al Ambiente, Ley Orgánica de la Administración Pública del Estado de México, Código de Procedimientos Administrativos del Estado de México, Código Administrativo del Estado de México, Código para la Biodiversidad del Estado de México, Reglamento interno de la Procuraduría de Protección al Ambiente del Estado de México, y demás normatividad ambiental aplicable en materia de verificación vehicular, se deben evaluar los niveles de emisiones contaminantes provenientes del escape de los vehículos automotores en circulación que usan gasolina, gas, diésel o cualquier otro combustible alterno que cuenten con placas del Estado de México, o que circulen en la entidad, por lo cual las dependencias no quedan exentas de establecer los mecanismos que coadyuven en la prevención, control y disminución de emisiones contaminantes a la atmósfera, debiendo de cumplir con la verificación vehicular semestral.</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280" w:before="280" w:line="360" w:lineRule="auto"/>
        <w:ind w:right="49"/>
        <w:jc w:val="both"/>
        <w:rPr>
          <w:rFonts w:ascii="Palatino Linotype" w:cs="Palatino Linotype" w:eastAsia="Palatino Linotype" w:hAnsi="Palatino Linotype"/>
          <w:color w:val="222222"/>
        </w:rPr>
      </w:pPr>
      <w:r w:rsidDel="00000000" w:rsidR="00000000" w:rsidRPr="00000000">
        <w:rPr>
          <w:rFonts w:ascii="Palatino Linotype" w:cs="Palatino Linotype" w:eastAsia="Palatino Linotype" w:hAnsi="Palatino Linotype"/>
          <w:color w:val="000000"/>
          <w:rtl w:val="0"/>
        </w:rPr>
        <w:t xml:space="preserve">Finalmente, por cuanto hace a la ejecución las acciones y trabajos del taller mecánico municipal y las demás que les atribuyan las disposiciones jurídicas aplicables o las que le instruya la Dirección de Administración o la Subdirección de Servicios Generales, se encuentran inmersas dentro de las anteriores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222222"/>
          <w:rtl w:val="0"/>
        </w:rPr>
        <w:t xml:space="preserve">por lo cual, se logra advertir que los documentos solicitados se relacionan con todos aquellos por medio de los cuales diversas áreas del Sujeto Obligado documentan el ejercicio de sus atribuciones, como pueden ser oficios, circulares, correos, memorándums, entre otros.</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280" w:before="280" w:line="360" w:lineRule="auto"/>
        <w:ind w:right="49"/>
        <w:jc w:val="both"/>
        <w:rPr>
          <w:color w:val="000000"/>
        </w:rPr>
      </w:pPr>
      <w:r w:rsidDel="00000000" w:rsidR="00000000" w:rsidRPr="00000000">
        <w:rPr>
          <w:rFonts w:ascii="Palatino Linotype" w:cs="Palatino Linotype" w:eastAsia="Palatino Linotype" w:hAnsi="Palatino Linotype"/>
          <w:color w:val="000000"/>
          <w:rtl w:val="0"/>
        </w:rPr>
        <w:t xml:space="preserve">Finalmente, se menciona que no pasa desapercibido para este Organismo Garante que el particular, al no ser experto en la materia, omitió señalar de manera concreta el o los documentos a los que pretende acceder, no obstante, es obligación de los Sujetos Obligados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en el presente caso, se deberá proceder a la entrega del soporte documental en donde conste la información que brinde respuesta a la solicitud, así el particular podrá buscar conforme a su interés.</w:t>
      </w: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Como sustento a lo anterior resulta aplicable el Criterio 16/17, emitido por el Instituto Nacional de Transparencia, Acceso a la Información y Protección de Datos Personales, INAI, establece lo siguiente: </w:t>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120" w:line="276" w:lineRule="auto"/>
        <w:ind w:left="851" w:right="902" w:firstLine="0"/>
        <w:jc w:val="both"/>
        <w:rPr>
          <w:color w:val="000000"/>
        </w:rPr>
      </w:pPr>
      <w:r w:rsidDel="00000000" w:rsidR="00000000" w:rsidRPr="00000000">
        <w:rPr>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Expresión documental. </w:t>
      </w:r>
      <w:r w:rsidDel="00000000" w:rsidR="00000000" w:rsidRPr="00000000">
        <w:rPr>
          <w:rFonts w:ascii="Palatino Linotype" w:cs="Palatino Linotype" w:eastAsia="Palatino Linotype" w:hAnsi="Palatino Linotype"/>
          <w:i w:val="1"/>
          <w:color w:val="000000"/>
          <w:sz w:val="22"/>
          <w:szCs w:val="22"/>
          <w:rtl w:val="0"/>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r w:rsidDel="00000000" w:rsidR="00000000" w:rsidRPr="00000000">
        <w:rPr>
          <w:rtl w:val="0"/>
        </w:rPr>
      </w:r>
    </w:p>
    <w:p w:rsidR="00000000" w:rsidDel="00000000" w:rsidP="00000000" w:rsidRDefault="00000000" w:rsidRPr="00000000" w14:paraId="0000015A">
      <w:pPr>
        <w:spacing w:line="360" w:lineRule="auto"/>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Asimismo, es pertinente mencionar que,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76" w:lineRule="auto"/>
        <w:ind w:left="567" w:right="630"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“Artículo 18. Los sujetos obligados deberán documentar todo acto que derive del ejercicio de sus facultades, competencias o funciones, considerando desde su origen la eventual publicidad y reutilización de la información que generen.”</w:t>
      </w: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76" w:lineRule="auto"/>
        <w:ind w:left="567" w:right="630" w:firstLine="0"/>
        <w:jc w:val="both"/>
        <w:rPr>
          <w:color w:val="000000"/>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De ser el caso en el que derivado de una búsqueda exhaustiva y razonable no se localice la información requerida por </w:t>
      </w:r>
      <w:r w:rsidDel="00000000" w:rsidR="00000000" w:rsidRPr="00000000">
        <w:rPr>
          <w:rFonts w:ascii="Palatino Linotype" w:cs="Palatino Linotype" w:eastAsia="Palatino Linotype" w:hAnsi="Palatino Linotype"/>
          <w:rtl w:val="0"/>
        </w:rPr>
        <w:t xml:space="preserve">no haberse generado</w:t>
      </w:r>
      <w:r w:rsidDel="00000000" w:rsidR="00000000" w:rsidRPr="00000000">
        <w:rPr>
          <w:rFonts w:ascii="Palatino Linotype" w:cs="Palatino Linotype" w:eastAsia="Palatino Linotype" w:hAnsi="Palatino Linotype"/>
          <w:color w:val="000000"/>
          <w:rtl w:val="0"/>
        </w:rPr>
        <w:t xml:space="preserve">, deberá manifestarse a la parte solicitante de manera fundada y motivada en términos del segundo párrafo del artículo 19 de la Ley de Transparencia, toda vez que así se brinda certeza jurídica a los particulares de que se agotó el procedimiento previsto por la normatividad. </w:t>
      </w: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276" w:lineRule="auto"/>
        <w:ind w:left="851" w:right="851"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“FUNDAMENTACIÓN Y MOTIVACIÓN DE LOS ACTOS ADMINISTRATIVOS</w:t>
      </w:r>
      <w:r w:rsidDel="00000000" w:rsidR="00000000" w:rsidRPr="00000000">
        <w:rPr>
          <w:rFonts w:ascii="Palatino Linotype" w:cs="Palatino Linotype" w:eastAsia="Palatino Linotype" w:hAnsi="Palatino Linotype"/>
          <w:i w:val="1"/>
          <w:color w:val="000000"/>
          <w:sz w:val="22"/>
          <w:szCs w:val="22"/>
          <w:rtl w:val="0"/>
        </w:rPr>
        <w:t xml:space="preserve">. De acuerdo con  el artículo 16 constitucional, </w:t>
      </w:r>
      <w:r w:rsidDel="00000000" w:rsidR="00000000" w:rsidRPr="00000000">
        <w:rPr>
          <w:rFonts w:ascii="Palatino Linotype" w:cs="Palatino Linotype" w:eastAsia="Palatino Linotype" w:hAnsi="Palatino Linotype"/>
          <w:b w:val="1"/>
          <w:i w:val="1"/>
          <w:color w:val="000000"/>
          <w:sz w:val="22"/>
          <w:szCs w:val="22"/>
          <w:u w:val="single"/>
          <w:rtl w:val="0"/>
        </w:rPr>
        <w:t xml:space="preserve">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sidDel="00000000" w:rsidR="00000000" w:rsidRPr="00000000">
        <w:rPr>
          <w:rFonts w:ascii="Palatino Linotype" w:cs="Palatino Linotype" w:eastAsia="Palatino Linotype" w:hAnsi="Palatino Linotype"/>
          <w:i w:val="1"/>
          <w:color w:val="000000"/>
          <w:sz w:val="22"/>
          <w:szCs w:val="22"/>
          <w:rtl w:val="0"/>
        </w:rPr>
        <w:t xml:space="preserve">.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280" w:before="28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necesario precisar que la </w:t>
      </w:r>
      <w:r w:rsidDel="00000000" w:rsidR="00000000" w:rsidRPr="00000000">
        <w:rPr>
          <w:rFonts w:ascii="Palatino Linotype" w:cs="Palatino Linotype" w:eastAsia="Palatino Linotype" w:hAnsi="Palatino Linotype"/>
          <w:b w:val="1"/>
          <w:color w:val="000000"/>
          <w:rtl w:val="0"/>
        </w:rPr>
        <w:t xml:space="preserve">parte Recurrente</w:t>
      </w:r>
      <w:r w:rsidDel="00000000" w:rsidR="00000000" w:rsidRPr="00000000">
        <w:rPr>
          <w:rFonts w:ascii="Palatino Linotype" w:cs="Palatino Linotype" w:eastAsia="Palatino Linotype" w:hAnsi="Palatino Linotype"/>
          <w:color w:val="000000"/>
          <w:rtl w:val="0"/>
        </w:rPr>
        <w:t xml:space="preserve"> señaló como periodo de entrega: “</w:t>
      </w:r>
      <w:r w:rsidDel="00000000" w:rsidR="00000000" w:rsidRPr="00000000">
        <w:rPr>
          <w:rFonts w:ascii="Palatino Linotype" w:cs="Palatino Linotype" w:eastAsia="Palatino Linotype" w:hAnsi="Palatino Linotype"/>
          <w:i w:val="1"/>
          <w:color w:val="000000"/>
          <w:rtl w:val="0"/>
        </w:rPr>
        <w:t xml:space="preserve">lo que va del 2022</w:t>
      </w:r>
      <w:r w:rsidDel="00000000" w:rsidR="00000000" w:rsidRPr="00000000">
        <w:rPr>
          <w:rFonts w:ascii="Palatino Linotype" w:cs="Palatino Linotype" w:eastAsia="Palatino Linotype" w:hAnsi="Palatino Linotype"/>
          <w:color w:val="000000"/>
          <w:rtl w:val="0"/>
        </w:rPr>
        <w:t xml:space="preserve">”,  entendiéndose por ello del uno al dieciocho de enero de dos mil veintidós, fecha de la solicitud</w:t>
      </w: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Finalmente, no escapa de la óptica de este Organismo Garante que el particular, a través de su recurso de revisión, solicitó a este Instituto, se le diera vista a la 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y Acceso a la Información Pública del Estado de México y Municipios, sin embargo, 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En consecuencia, resulta procedente revocar las respuestas en términos de la fracción III del artículo 186 de la Ley de Transparencia y Acceso a la Información Pública del Estado de México y Municipios, a efectos de que 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entregue la información requerida en versión pública de ser procedente, tal como se detalla en el siguiente considerando.</w:t>
      </w:r>
      <w:r w:rsidDel="00000000" w:rsidR="00000000" w:rsidRPr="00000000">
        <w:rPr>
          <w:rtl w:val="0"/>
        </w:rPr>
      </w:r>
    </w:p>
    <w:p w:rsidR="00000000" w:rsidDel="00000000" w:rsidP="00000000" w:rsidRDefault="00000000" w:rsidRPr="00000000" w14:paraId="00000164">
      <w:pPr>
        <w:spacing w:after="240" w:before="240" w:line="360" w:lineRule="auto"/>
        <w:ind w:right="49"/>
        <w:jc w:val="both"/>
        <w:rPr>
          <w:rFonts w:ascii="Palatino Linotype" w:cs="Palatino Linotype" w:eastAsia="Palatino Linotype" w:hAnsi="Palatino Linotype"/>
        </w:rPr>
      </w:pPr>
      <w:bookmarkStart w:colFirst="0" w:colLast="0" w:name="_heading=h.tyjcwt" w:id="3"/>
      <w:bookmarkEnd w:id="3"/>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Finalmente para la entrega de los soportes documentales que en todo caso deberá proporcionar el sujeto obligado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000000" w:rsidDel="00000000" w:rsidP="00000000" w:rsidRDefault="00000000" w:rsidRPr="00000000" w14:paraId="00000165">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a lo que señalan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16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67">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68">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169">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6A">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6B">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6C">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6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16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 </w:t>
      </w:r>
      <w:r w:rsidDel="00000000" w:rsidR="00000000" w:rsidRPr="00000000">
        <w:rPr>
          <w:rFonts w:ascii="Palatino Linotype" w:cs="Palatino Linotype" w:eastAsia="Palatino Linotype" w:hAnsi="Palatino Linotype"/>
          <w:i w:val="1"/>
          <w:sz w:val="22"/>
          <w:szCs w:val="22"/>
          <w:rtl w:val="0"/>
        </w:rPr>
        <w:t xml:space="preserve">La clasificación de la información se llevará a cabo en el momento en que:</w:t>
      </w:r>
    </w:p>
    <w:p w:rsidR="00000000" w:rsidDel="00000000" w:rsidP="00000000" w:rsidRDefault="00000000" w:rsidRPr="00000000" w14:paraId="0000016F">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170">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71">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7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74">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75">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76">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17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7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7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7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los Lineamientos Quincuagésimo sexto, Quincuagésimo séptimo y Quincuagésimo octavo, establecen lo siguiente:</w:t>
      </w:r>
    </w:p>
    <w:p w:rsidR="00000000" w:rsidDel="00000000" w:rsidP="00000000" w:rsidRDefault="00000000" w:rsidRPr="00000000" w14:paraId="0000017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sexto</w:t>
      </w:r>
      <w:r w:rsidDel="00000000" w:rsidR="00000000" w:rsidRPr="00000000">
        <w:rPr>
          <w:rFonts w:ascii="Palatino Linotype" w:cs="Palatino Linotype" w:eastAsia="Palatino Linotype" w:hAnsi="Palatino Linotype"/>
          <w:i w:val="1"/>
          <w:sz w:val="22"/>
          <w:szCs w:val="22"/>
          <w:rtl w:val="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00000" w:rsidDel="00000000" w:rsidP="00000000" w:rsidRDefault="00000000" w:rsidRPr="00000000" w14:paraId="0000017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7D">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7E">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servidores públicos en los documentos, y sus firmas autógrafas, cuando sean utilizados en el ejercicio de las facultades conferidas para el desempeño del servicio público, y </w:t>
      </w:r>
    </w:p>
    <w:p w:rsidR="00000000" w:rsidDel="00000000" w:rsidP="00000000" w:rsidRDefault="00000000" w:rsidRPr="00000000" w14:paraId="0000017F">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000000" w:rsidDel="00000000" w:rsidP="00000000" w:rsidRDefault="00000000" w:rsidRPr="00000000" w14:paraId="0000018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internaciones suscritos por el Estado mexicano. </w:t>
      </w:r>
    </w:p>
    <w:p w:rsidR="00000000" w:rsidDel="00000000" w:rsidP="00000000" w:rsidRDefault="00000000" w:rsidRPr="00000000" w14:paraId="0000018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no permitan la recuperación o visualización de la misma.”</w:t>
      </w:r>
    </w:p>
    <w:p w:rsidR="00000000" w:rsidDel="00000000" w:rsidP="00000000" w:rsidRDefault="00000000" w:rsidRPr="00000000" w14:paraId="0000018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8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relación directa con ello, los Lineamientos en estudio establecen los formatos para la clasificación parcial y total de los documentos, que atienden a lo siguiente:</w:t>
      </w:r>
    </w:p>
    <w:tbl>
      <w:tblPr>
        <w:tblStyle w:val="Table2"/>
        <w:tblW w:w="8828.0" w:type="dxa"/>
        <w:jc w:val="left"/>
        <w:tblInd w:w="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134"/>
        <w:gridCol w:w="3119"/>
        <w:gridCol w:w="1129"/>
        <w:gridCol w:w="3446"/>
        <w:tblGridChange w:id="0">
          <w:tblGrid>
            <w:gridCol w:w="1134"/>
            <w:gridCol w:w="3119"/>
            <w:gridCol w:w="1129"/>
            <w:gridCol w:w="3446"/>
          </w:tblGrid>
        </w:tblGridChange>
      </w:tblGrid>
      <w:tr>
        <w:trPr>
          <w:cantSplit w:val="0"/>
          <w:tblHeader w:val="0"/>
        </w:trPr>
        <w:tc>
          <w:tcPr>
            <w:gridSpan w:val="2"/>
            <w:tcBorders>
              <w:top w:color="000000" w:space="0" w:sz="0" w:val="nil"/>
              <w:left w:color="000000" w:space="0" w:sz="0" w:val="nil"/>
              <w:right w:color="000000" w:space="0" w:sz="0" w:val="nil"/>
            </w:tcBorders>
          </w:tcPr>
          <w:p w:rsidR="00000000" w:rsidDel="00000000" w:rsidP="00000000" w:rsidRDefault="00000000" w:rsidRPr="00000000" w14:paraId="00000184">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Parcial</w:t>
            </w:r>
            <w:r w:rsidDel="00000000" w:rsidR="00000000" w:rsidRPr="00000000">
              <w:rPr>
                <w:rtl w:val="0"/>
              </w:rPr>
            </w:r>
          </w:p>
        </w:tc>
        <w:tc>
          <w:tcPr>
            <w:gridSpan w:val="2"/>
            <w:tcBorders>
              <w:top w:color="000000" w:space="0" w:sz="0" w:val="nil"/>
              <w:left w:color="000000" w:space="0" w:sz="0" w:val="nil"/>
              <w:right w:color="000000" w:space="0" w:sz="0" w:val="nil"/>
            </w:tcBorders>
          </w:tcPr>
          <w:p w:rsidR="00000000" w:rsidDel="00000000" w:rsidP="00000000" w:rsidRDefault="00000000" w:rsidRPr="00000000" w14:paraId="00000186">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Total</w:t>
            </w:r>
            <w:r w:rsidDel="00000000" w:rsidR="00000000" w:rsidRPr="00000000">
              <w:rPr>
                <w:rtl w:val="0"/>
              </w:rPr>
            </w:r>
          </w:p>
        </w:tc>
      </w:tr>
      <w:tr>
        <w:trPr>
          <w:cantSplit w:val="0"/>
          <w:tblHeader w:val="0"/>
        </w:trPr>
        <w:tc>
          <w:tcPr/>
          <w:p w:rsidR="00000000" w:rsidDel="00000000" w:rsidP="00000000" w:rsidRDefault="00000000" w:rsidRPr="00000000" w14:paraId="00000188">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Concepto</w:t>
            </w:r>
            <w:r w:rsidDel="00000000" w:rsidR="00000000" w:rsidRPr="00000000">
              <w:rPr>
                <w:rtl w:val="0"/>
              </w:rPr>
            </w:r>
          </w:p>
        </w:tc>
        <w:tc>
          <w:tcPr/>
          <w:p w:rsidR="00000000" w:rsidDel="00000000" w:rsidP="00000000" w:rsidRDefault="00000000" w:rsidRPr="00000000" w14:paraId="00000189">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c>
          <w:tcPr/>
          <w:p w:rsidR="00000000" w:rsidDel="00000000" w:rsidP="00000000" w:rsidRDefault="00000000" w:rsidRPr="00000000" w14:paraId="0000018A">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Concepto</w:t>
            </w:r>
          </w:p>
        </w:tc>
        <w:tc>
          <w:tcPr/>
          <w:p w:rsidR="00000000" w:rsidDel="00000000" w:rsidP="00000000" w:rsidRDefault="00000000" w:rsidRPr="00000000" w14:paraId="0000018B">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r>
      <w:tr>
        <w:trPr>
          <w:cantSplit w:val="0"/>
          <w:tblHeader w:val="0"/>
        </w:trPr>
        <w:tc>
          <w:tcPr>
            <w:gridSpan w:val="4"/>
          </w:tcPr>
          <w:p w:rsidR="00000000" w:rsidDel="00000000" w:rsidP="00000000" w:rsidRDefault="00000000" w:rsidRPr="00000000" w14:paraId="0000018C">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Sello oficial o logotipo del sujeto obligado</w:t>
            </w:r>
            <w:r w:rsidDel="00000000" w:rsidR="00000000" w:rsidRPr="00000000">
              <w:rPr>
                <w:rtl w:val="0"/>
              </w:rPr>
            </w:r>
          </w:p>
        </w:tc>
      </w:tr>
      <w:tr>
        <w:trPr>
          <w:cantSplit w:val="0"/>
          <w:tblHeader w:val="0"/>
        </w:trPr>
        <w:tc>
          <w:tcPr/>
          <w:p w:rsidR="00000000" w:rsidDel="00000000" w:rsidP="00000000" w:rsidRDefault="00000000" w:rsidRPr="00000000" w14:paraId="0000019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Fecha de clasificación</w:t>
            </w:r>
            <w:r w:rsidDel="00000000" w:rsidR="00000000" w:rsidRPr="00000000">
              <w:rPr>
                <w:rtl w:val="0"/>
              </w:rPr>
            </w:r>
          </w:p>
        </w:tc>
        <w:tc>
          <w:tcPr/>
          <w:p w:rsidR="00000000" w:rsidDel="00000000" w:rsidP="00000000" w:rsidRDefault="00000000" w:rsidRPr="00000000" w14:paraId="0000019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c>
          <w:tcPr/>
          <w:p w:rsidR="00000000" w:rsidDel="00000000" w:rsidP="00000000" w:rsidRDefault="00000000" w:rsidRPr="00000000" w14:paraId="00000192">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clasificación</w:t>
            </w:r>
          </w:p>
        </w:tc>
        <w:tc>
          <w:tcPr/>
          <w:p w:rsidR="00000000" w:rsidDel="00000000" w:rsidP="00000000" w:rsidRDefault="00000000" w:rsidRPr="00000000" w14:paraId="0000019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r>
      <w:tr>
        <w:trPr>
          <w:cantSplit w:val="0"/>
          <w:tblHeader w:val="0"/>
        </w:trPr>
        <w:tc>
          <w:tcPr/>
          <w:p w:rsidR="00000000" w:rsidDel="00000000" w:rsidP="00000000" w:rsidRDefault="00000000" w:rsidRPr="00000000" w14:paraId="0000019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Área</w:t>
            </w:r>
            <w:r w:rsidDel="00000000" w:rsidR="00000000" w:rsidRPr="00000000">
              <w:rPr>
                <w:rtl w:val="0"/>
              </w:rPr>
            </w:r>
          </w:p>
        </w:tc>
        <w:tc>
          <w:tcPr/>
          <w:p w:rsidR="00000000" w:rsidDel="00000000" w:rsidP="00000000" w:rsidRDefault="00000000" w:rsidRPr="00000000" w14:paraId="0000019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del cual es titular quien clasifica.</w:t>
            </w:r>
          </w:p>
        </w:tc>
        <w:tc>
          <w:tcPr/>
          <w:p w:rsidR="00000000" w:rsidDel="00000000" w:rsidP="00000000" w:rsidRDefault="00000000" w:rsidRPr="00000000" w14:paraId="00000196">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Área</w:t>
            </w:r>
          </w:p>
        </w:tc>
        <w:tc>
          <w:tcPr/>
          <w:p w:rsidR="00000000" w:rsidDel="00000000" w:rsidP="00000000" w:rsidRDefault="00000000" w:rsidRPr="00000000" w14:paraId="0000019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 la cual es el titular quien clasifica.</w:t>
            </w:r>
          </w:p>
        </w:tc>
      </w:tr>
      <w:tr>
        <w:trPr>
          <w:cantSplit w:val="0"/>
          <w:tblHeader w:val="0"/>
        </w:trPr>
        <w:tc>
          <w:tcPr/>
          <w:p w:rsidR="00000000" w:rsidDel="00000000" w:rsidP="00000000" w:rsidRDefault="00000000" w:rsidRPr="00000000" w14:paraId="0000019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Información reservada</w:t>
            </w:r>
            <w:r w:rsidDel="00000000" w:rsidR="00000000" w:rsidRPr="00000000">
              <w:rPr>
                <w:rtl w:val="0"/>
              </w:rPr>
            </w:r>
          </w:p>
        </w:tc>
        <w:tc>
          <w:tcPr/>
          <w:p w:rsidR="00000000" w:rsidDel="00000000" w:rsidP="00000000" w:rsidRDefault="00000000" w:rsidRPr="00000000" w14:paraId="0000019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p w:rsidR="00000000" w:rsidDel="00000000" w:rsidP="00000000" w:rsidRDefault="00000000" w:rsidRPr="00000000" w14:paraId="0000019A">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Reservado</w:t>
            </w:r>
          </w:p>
        </w:tc>
        <w:tc>
          <w:tcPr/>
          <w:p w:rsidR="00000000" w:rsidDel="00000000" w:rsidP="00000000" w:rsidRDefault="00000000" w:rsidRPr="00000000" w14:paraId="0000019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RESERVADA.</w:t>
            </w:r>
          </w:p>
        </w:tc>
      </w:tr>
      <w:tr>
        <w:trPr>
          <w:cantSplit w:val="0"/>
          <w:tblHeader w:val="0"/>
        </w:trPr>
        <w:tc>
          <w:tcPr/>
          <w:p w:rsidR="00000000" w:rsidDel="00000000" w:rsidP="00000000" w:rsidRDefault="00000000" w:rsidRPr="00000000" w14:paraId="0000019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Fundamento legal</w:t>
            </w:r>
            <w:r w:rsidDel="00000000" w:rsidR="00000000" w:rsidRPr="00000000">
              <w:rPr>
                <w:rtl w:val="0"/>
              </w:rPr>
            </w:r>
          </w:p>
        </w:tc>
        <w:tc>
          <w:tcPr/>
          <w:p w:rsidR="00000000" w:rsidDel="00000000" w:rsidP="00000000" w:rsidRDefault="00000000" w:rsidRPr="00000000" w14:paraId="0000019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reserva.</w:t>
            </w:r>
          </w:p>
        </w:tc>
        <w:tc>
          <w:tcPr/>
          <w:p w:rsidR="00000000" w:rsidDel="00000000" w:rsidP="00000000" w:rsidRDefault="00000000" w:rsidRPr="00000000" w14:paraId="0000019E">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Periodo de reserva</w:t>
            </w:r>
          </w:p>
        </w:tc>
        <w:tc>
          <w:tcPr/>
          <w:p w:rsidR="00000000" w:rsidDel="00000000" w:rsidP="00000000" w:rsidRDefault="00000000" w:rsidRPr="00000000" w14:paraId="0000019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el número de años o meses por los que se mantendrá el documento o las partes del mismo como reservado. Si el expediente no es reservado, sino confidencial, deberá tacharse este apartado.</w:t>
            </w:r>
          </w:p>
        </w:tc>
      </w:tr>
      <w:tr>
        <w:trPr>
          <w:cantSplit w:val="0"/>
          <w:tblHeader w:val="0"/>
        </w:trPr>
        <w:tc>
          <w:tcPr/>
          <w:p w:rsidR="00000000" w:rsidDel="00000000" w:rsidP="00000000" w:rsidRDefault="00000000" w:rsidRPr="00000000" w14:paraId="000001A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Ampliación del periodo de reserva</w:t>
            </w:r>
            <w:r w:rsidDel="00000000" w:rsidR="00000000" w:rsidRPr="00000000">
              <w:rPr>
                <w:rtl w:val="0"/>
              </w:rPr>
            </w:r>
          </w:p>
        </w:tc>
        <w:tc>
          <w:tcPr/>
          <w:p w:rsidR="00000000" w:rsidDel="00000000" w:rsidP="00000000" w:rsidRDefault="00000000" w:rsidRPr="00000000" w14:paraId="000001A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c>
          <w:tcPr/>
          <w:p w:rsidR="00000000" w:rsidDel="00000000" w:rsidP="00000000" w:rsidRDefault="00000000" w:rsidRPr="00000000" w14:paraId="000001A2">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A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sustenta la reserva.</w:t>
            </w:r>
          </w:p>
        </w:tc>
      </w:tr>
      <w:tr>
        <w:trPr>
          <w:cantSplit w:val="0"/>
          <w:tblHeader w:val="0"/>
        </w:trPr>
        <w:tc>
          <w:tcPr/>
          <w:p w:rsidR="00000000" w:rsidDel="00000000" w:rsidP="00000000" w:rsidRDefault="00000000" w:rsidRPr="00000000" w14:paraId="000001A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Confidencial</w:t>
            </w:r>
            <w:r w:rsidDel="00000000" w:rsidR="00000000" w:rsidRPr="00000000">
              <w:rPr>
                <w:rtl w:val="0"/>
              </w:rPr>
            </w:r>
          </w:p>
        </w:tc>
        <w:tc>
          <w:tcPr/>
          <w:p w:rsidR="00000000" w:rsidDel="00000000" w:rsidP="00000000" w:rsidRDefault="00000000" w:rsidRPr="00000000" w14:paraId="000001A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p w:rsidR="00000000" w:rsidDel="00000000" w:rsidP="00000000" w:rsidRDefault="00000000" w:rsidRPr="00000000" w14:paraId="000001A6">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Ampliación del periodo de reserva</w:t>
            </w:r>
          </w:p>
        </w:tc>
        <w:tc>
          <w:tcPr/>
          <w:p w:rsidR="00000000" w:rsidDel="00000000" w:rsidP="00000000" w:rsidRDefault="00000000" w:rsidRPr="00000000" w14:paraId="000001A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p w:rsidR="00000000" w:rsidDel="00000000" w:rsidP="00000000" w:rsidRDefault="00000000" w:rsidRPr="00000000" w14:paraId="000001A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Fundamento legal</w:t>
            </w:r>
            <w:r w:rsidDel="00000000" w:rsidR="00000000" w:rsidRPr="00000000">
              <w:rPr>
                <w:rtl w:val="0"/>
              </w:rPr>
            </w:r>
          </w:p>
        </w:tc>
        <w:tc>
          <w:tcPr/>
          <w:p w:rsidR="00000000" w:rsidDel="00000000" w:rsidP="00000000" w:rsidRDefault="00000000" w:rsidRPr="00000000" w14:paraId="000001A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confidencialidad.</w:t>
            </w:r>
          </w:p>
        </w:tc>
        <w:tc>
          <w:tcPr/>
          <w:p w:rsidR="00000000" w:rsidDel="00000000" w:rsidP="00000000" w:rsidRDefault="00000000" w:rsidRPr="00000000" w14:paraId="000001AA">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Confidencial</w:t>
            </w:r>
          </w:p>
        </w:tc>
        <w:tc>
          <w:tcPr/>
          <w:p w:rsidR="00000000" w:rsidDel="00000000" w:rsidP="00000000" w:rsidRDefault="00000000" w:rsidRPr="00000000" w14:paraId="000001A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CONFIDENCIAL.</w:t>
            </w:r>
          </w:p>
        </w:tc>
      </w:tr>
      <w:tr>
        <w:trPr>
          <w:cantSplit w:val="0"/>
          <w:tblHeader w:val="0"/>
        </w:trPr>
        <w:tc>
          <w:tcPr/>
          <w:p w:rsidR="00000000" w:rsidDel="00000000" w:rsidP="00000000" w:rsidRDefault="00000000" w:rsidRPr="00000000" w14:paraId="000001A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Rúbrica del titular del área</w:t>
            </w:r>
            <w:r w:rsidDel="00000000" w:rsidR="00000000" w:rsidRPr="00000000">
              <w:rPr>
                <w:rtl w:val="0"/>
              </w:rPr>
            </w:r>
          </w:p>
        </w:tc>
        <w:tc>
          <w:tcPr/>
          <w:p w:rsidR="00000000" w:rsidDel="00000000" w:rsidP="00000000" w:rsidRDefault="00000000" w:rsidRPr="00000000" w14:paraId="000001A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c>
          <w:tcPr/>
          <w:p w:rsidR="00000000" w:rsidDel="00000000" w:rsidP="00000000" w:rsidRDefault="00000000" w:rsidRPr="00000000" w14:paraId="000001AE">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A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sustente la confidencialidad.</w:t>
            </w:r>
          </w:p>
        </w:tc>
      </w:tr>
      <w:tr>
        <w:trPr>
          <w:cantSplit w:val="0"/>
          <w:tblHeader w:val="0"/>
        </w:trPr>
        <w:tc>
          <w:tcPr/>
          <w:p w:rsidR="00000000" w:rsidDel="00000000" w:rsidP="00000000" w:rsidRDefault="00000000" w:rsidRPr="00000000" w14:paraId="000001B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Fecha de desclasificación</w:t>
            </w:r>
            <w:r w:rsidDel="00000000" w:rsidR="00000000" w:rsidRPr="00000000">
              <w:rPr>
                <w:rtl w:val="0"/>
              </w:rPr>
            </w:r>
          </w:p>
        </w:tc>
        <w:tc>
          <w:tcPr/>
          <w:p w:rsidR="00000000" w:rsidDel="00000000" w:rsidP="00000000" w:rsidRDefault="00000000" w:rsidRPr="00000000" w14:paraId="000001B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 el documento.</w:t>
            </w:r>
          </w:p>
        </w:tc>
        <w:tc>
          <w:tcPr/>
          <w:p w:rsidR="00000000" w:rsidDel="00000000" w:rsidP="00000000" w:rsidRDefault="00000000" w:rsidRPr="00000000" w14:paraId="000001B2">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del titular del área</w:t>
            </w:r>
          </w:p>
        </w:tc>
        <w:tc>
          <w:tcPr/>
          <w:p w:rsidR="00000000" w:rsidDel="00000000" w:rsidP="00000000" w:rsidRDefault="00000000" w:rsidRPr="00000000" w14:paraId="000001B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r>
      <w:tr>
        <w:trPr>
          <w:cantSplit w:val="0"/>
          <w:tblHeader w:val="0"/>
        </w:trPr>
        <w:tc>
          <w:tcPr/>
          <w:p w:rsidR="00000000" w:rsidDel="00000000" w:rsidP="00000000" w:rsidRDefault="00000000" w:rsidRPr="00000000" w14:paraId="000001B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Rúbrica y cargo del servidor público</w:t>
            </w:r>
            <w:r w:rsidDel="00000000" w:rsidR="00000000" w:rsidRPr="00000000">
              <w:rPr>
                <w:rtl w:val="0"/>
              </w:rPr>
            </w:r>
          </w:p>
        </w:tc>
        <w:tc>
          <w:tcPr/>
          <w:p w:rsidR="00000000" w:rsidDel="00000000" w:rsidP="00000000" w:rsidRDefault="00000000" w:rsidRPr="00000000" w14:paraId="000001B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c>
          <w:tcPr/>
          <w:p w:rsidR="00000000" w:rsidDel="00000000" w:rsidP="00000000" w:rsidRDefault="00000000" w:rsidRPr="00000000" w14:paraId="000001B6">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desclasificación</w:t>
            </w:r>
          </w:p>
        </w:tc>
        <w:tc>
          <w:tcPr/>
          <w:p w:rsidR="00000000" w:rsidDel="00000000" w:rsidP="00000000" w:rsidRDefault="00000000" w:rsidRPr="00000000" w14:paraId="000001B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w:t>
            </w:r>
          </w:p>
        </w:tc>
      </w:tr>
      <w:tr>
        <w:trPr>
          <w:cantSplit w:val="0"/>
          <w:tblHeader w:val="0"/>
        </w:trPr>
        <w:tc>
          <w:tcPr/>
          <w:p w:rsidR="00000000" w:rsidDel="00000000" w:rsidP="00000000" w:rsidRDefault="00000000" w:rsidRPr="00000000" w14:paraId="000001B8">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B9">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BA">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Partes o secciones reservadas o confidenciales</w:t>
            </w:r>
          </w:p>
        </w:tc>
        <w:tc>
          <w:tcPr/>
          <w:p w:rsidR="00000000" w:rsidDel="00000000" w:rsidP="00000000" w:rsidRDefault="00000000" w:rsidRPr="00000000" w14:paraId="000001B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que una vez desclasificado el expediente, subsistanpartes o secciones del mismo reservadas o confidenciales, se señalará este hecho.</w:t>
            </w:r>
          </w:p>
        </w:tc>
      </w:tr>
      <w:tr>
        <w:trPr>
          <w:cantSplit w:val="0"/>
          <w:tblHeader w:val="0"/>
        </w:trPr>
        <w:tc>
          <w:tcPr/>
          <w:p w:rsidR="00000000" w:rsidDel="00000000" w:rsidP="00000000" w:rsidRDefault="00000000" w:rsidRPr="00000000" w14:paraId="000001BC">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BD">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BE">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y cargo del servidor público</w:t>
            </w:r>
          </w:p>
        </w:tc>
        <w:tc>
          <w:tcPr/>
          <w:p w:rsidR="00000000" w:rsidDel="00000000" w:rsidP="00000000" w:rsidRDefault="00000000" w:rsidRPr="00000000" w14:paraId="000001B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r>
    </w:tbl>
    <w:p w:rsidR="00000000" w:rsidDel="00000000" w:rsidP="00000000" w:rsidRDefault="00000000" w:rsidRPr="00000000" w14:paraId="000001C0">
      <w:pPr>
        <w:tabs>
          <w:tab w:val="left" w:pos="7938"/>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line="360" w:lineRule="auto"/>
        <w:jc w:val="both"/>
        <w:rPr/>
      </w:pPr>
      <w:r w:rsidDel="00000000" w:rsidR="00000000" w:rsidRPr="00000000">
        <w:rPr>
          <w:rFonts w:ascii="Palatino Linotype" w:cs="Palatino Linotype" w:eastAsia="Palatino Linotype" w:hAnsi="Palatino Linotype"/>
          <w:color w:val="000000"/>
          <w:rtl w:val="0"/>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que pudiera poner en riesgo la seguridad jurídica y física del titular de dicha información. </w:t>
      </w:r>
      <w:r w:rsidDel="00000000" w:rsidR="00000000" w:rsidRPr="00000000">
        <w:rPr>
          <w:rtl w:val="0"/>
        </w:rPr>
      </w:r>
    </w:p>
    <w:p w:rsidR="00000000" w:rsidDel="00000000" w:rsidP="00000000" w:rsidRDefault="00000000" w:rsidRPr="00000000" w14:paraId="000001C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w:t>
      </w:r>
      <w:r w:rsidDel="00000000" w:rsidR="00000000" w:rsidRPr="00000000">
        <w:rPr>
          <w:rFonts w:ascii="Palatino Linotype" w:cs="Palatino Linotype" w:eastAsia="Palatino Linotype" w:hAnsi="Palatino Linotype"/>
          <w:highlight w:val="white"/>
          <w:rtl w:val="0"/>
        </w:rPr>
        <w:t xml:space="preserve">trigésimo, trigésimo primero y trigésimo segundo</w:t>
      </w:r>
      <w:r w:rsidDel="00000000" w:rsidR="00000000" w:rsidRPr="00000000">
        <w:rPr>
          <w:rFonts w:ascii="Palatino Linotype" w:cs="Palatino Linotype" w:eastAsia="Palatino Linotype" w:hAnsi="Palatino Linotype"/>
          <w:rtl w:val="0"/>
        </w:rPr>
        <w:t xml:space="preserve"> de la Constitución Política del Estado Libre y Soberano de México; 2, fracción II; 29, 36 fracciones I y II; 176, 178, 181, 185 de la Ley de Transparencia y Acceso a la Información Pública del Estado de México y Municipios, este Pleno:</w:t>
      </w:r>
    </w:p>
    <w:p w:rsidR="00000000" w:rsidDel="00000000" w:rsidP="00000000" w:rsidRDefault="00000000" w:rsidRPr="00000000" w14:paraId="000001C3">
      <w:pPr>
        <w:numPr>
          <w:ilvl w:val="0"/>
          <w:numId w:val="1"/>
        </w:numPr>
        <w:pBdr>
          <w:top w:space="0" w:sz="0" w:val="nil"/>
          <w:left w:space="0" w:sz="0" w:val="nil"/>
          <w:bottom w:space="0" w:sz="0" w:val="nil"/>
          <w:right w:space="0" w:sz="0" w:val="nil"/>
          <w:between w:space="0" w:sz="0" w:val="nil"/>
        </w:pBdr>
        <w:spacing w:after="240" w:before="240" w:line="360" w:lineRule="auto"/>
        <w:ind w:left="1080"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 E S U E L V E</w:t>
      </w:r>
    </w:p>
    <w:p w:rsidR="00000000" w:rsidDel="00000000" w:rsidP="00000000" w:rsidRDefault="00000000" w:rsidRPr="00000000" w14:paraId="000001C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PRIMERO. Resultan fundados </w:t>
      </w:r>
      <w:r w:rsidDel="00000000" w:rsidR="00000000" w:rsidRPr="00000000">
        <w:rPr>
          <w:rFonts w:ascii="Palatino Linotype" w:cs="Palatino Linotype" w:eastAsia="Palatino Linotype" w:hAnsi="Palatino Linotype"/>
          <w:rtl w:val="0"/>
        </w:rPr>
        <w:t xml:space="preserve">los motivos de inconformidad hechos valer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los Recursos de Revisión</w:t>
      </w:r>
      <w:r w:rsidDel="00000000" w:rsidR="00000000" w:rsidRPr="00000000">
        <w:rPr>
          <w:rFonts w:ascii="Palatino Linotype" w:cs="Palatino Linotype" w:eastAsia="Palatino Linotype" w:hAnsi="Palatino Linotype"/>
          <w:b w:val="1"/>
          <w:rtl w:val="0"/>
        </w:rPr>
        <w:t xml:space="preserve"> 03354/INFOEM/IP/RR/2022, 03355/INFOEM/IP/RR/2022, 03356/INFOEM/IP/RR/2022, 03357/INFOEM/IP/RR/2022,  03358/INFOEM/IP/RR/2022,  03359/INFOEM/IP/RR/2022,  03360/INFOEM/IP/RR/2022, 03361/INFOEM/IP/RR/2022,  03362/INFOEM/IP/RR/2022,  03363/INFOEM/IP/RR/2022,  03364/INFOEM/IP/RR/2022,  03365/INFOEM/IP/RR/2022,  03366/INFOEM/IP/RR/2022 y 03367/INFOEM/IP/RR/2022, acumulados en términos del Considerando Cuarto </w:t>
      </w:r>
      <w:r w:rsidDel="00000000" w:rsidR="00000000" w:rsidRPr="00000000">
        <w:rPr>
          <w:rFonts w:ascii="Palatino Linotype" w:cs="Palatino Linotype" w:eastAsia="Palatino Linotype" w:hAnsi="Palatino Linotype"/>
          <w:rtl w:val="0"/>
        </w:rPr>
        <w:t xml:space="preserve">de la presente resolución</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1C5">
      <w:pPr>
        <w:spacing w:after="240" w:before="240"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que en términos de los Considerandos </w:t>
      </w:r>
      <w:r w:rsidDel="00000000" w:rsidR="00000000" w:rsidRPr="00000000">
        <w:rPr>
          <w:rFonts w:ascii="Palatino Linotype" w:cs="Palatino Linotype" w:eastAsia="Palatino Linotype" w:hAnsi="Palatino Linotype"/>
          <w:b w:val="1"/>
          <w:rtl w:val="0"/>
        </w:rPr>
        <w:t xml:space="preserve">Cuarto y Quinto </w:t>
      </w:r>
      <w:r w:rsidDel="00000000" w:rsidR="00000000" w:rsidRPr="00000000">
        <w:rPr>
          <w:rFonts w:ascii="Palatino Linotype" w:cs="Palatino Linotype" w:eastAsia="Palatino Linotype" w:hAnsi="Palatino Linotype"/>
          <w:rtl w:val="0"/>
        </w:rPr>
        <w:t xml:space="preserve">de la presente resolución</w:t>
      </w:r>
      <w:r w:rsidDel="00000000" w:rsidR="00000000" w:rsidRPr="00000000">
        <w:rPr>
          <w:rFonts w:ascii="Palatino Linotype" w:cs="Palatino Linotype" w:eastAsia="Palatino Linotype" w:hAnsi="Palatino Linotype"/>
          <w:b w:val="1"/>
          <w:rtl w:val="0"/>
        </w:rPr>
        <w:t xml:space="preserve">, haga entrega vía Sistema de Acceso a la Información Mexiquense (SAIMEX),  a la parte Recurrente, en versión pública de ser procedente, </w:t>
      </w:r>
      <w:r w:rsidDel="00000000" w:rsidR="00000000" w:rsidRPr="00000000">
        <w:rPr>
          <w:rFonts w:ascii="Palatino Linotype" w:cs="Palatino Linotype" w:eastAsia="Palatino Linotype" w:hAnsi="Palatino Linotype"/>
          <w:rtl w:val="0"/>
        </w:rPr>
        <w:t xml:space="preserve">los documentos donde conste o den cuenta de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lo siguiente: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p w:rsidR="00000000" w:rsidDel="00000000" w:rsidP="00000000" w:rsidRDefault="00000000" w:rsidRPr="00000000" w14:paraId="000001C6">
      <w:pPr>
        <w:numPr>
          <w:ilvl w:val="3"/>
          <w:numId w:val="1"/>
        </w:numPr>
        <w:pBdr>
          <w:top w:space="0" w:sz="0" w:val="nil"/>
          <w:left w:space="0" w:sz="0" w:val="nil"/>
          <w:bottom w:space="0" w:sz="0" w:val="nil"/>
          <w:right w:space="0" w:sz="0" w:val="nil"/>
          <w:between w:space="0" w:sz="0" w:val="nil"/>
        </w:pBdr>
        <w:spacing w:line="360" w:lineRule="auto"/>
        <w:ind w:left="0" w:right="900" w:firstLine="0"/>
        <w:jc w:val="both"/>
        <w:rPr>
          <w:rFonts w:ascii="Palatino Linotype" w:cs="Palatino Linotype" w:eastAsia="Palatino Linotype" w:hAnsi="Palatino Linotype"/>
          <w:color w:val="000000"/>
          <w:sz w:val="22"/>
          <w:szCs w:val="22"/>
        </w:rPr>
      </w:pPr>
      <w:bookmarkStart w:colFirst="0" w:colLast="0" w:name="_heading=h.3znysh7" w:id="4"/>
      <w:bookmarkEnd w:id="4"/>
      <w:r w:rsidDel="00000000" w:rsidR="00000000" w:rsidRPr="00000000">
        <w:rPr>
          <w:rFonts w:ascii="Palatino Linotype" w:cs="Palatino Linotype" w:eastAsia="Palatino Linotype" w:hAnsi="Palatino Linotype"/>
          <w:color w:val="000000"/>
          <w:sz w:val="22"/>
          <w:szCs w:val="22"/>
          <w:rtl w:val="0"/>
        </w:rPr>
        <w:t xml:space="preserve">La atención y ejecución de servicios preventivos correctivos, legales y documentales del parque vehicular del uno al dieciocho de enero de dos mil veintidós;</w:t>
      </w:r>
    </w:p>
    <w:p w:rsidR="00000000" w:rsidDel="00000000" w:rsidP="00000000" w:rsidRDefault="00000000" w:rsidRPr="00000000" w14:paraId="000001C7">
      <w:pPr>
        <w:numPr>
          <w:ilvl w:val="3"/>
          <w:numId w:val="1"/>
        </w:numPr>
        <w:pBdr>
          <w:top w:space="0" w:sz="0" w:val="nil"/>
          <w:left w:space="0" w:sz="0" w:val="nil"/>
          <w:bottom w:space="0" w:sz="0" w:val="nil"/>
          <w:right w:space="0" w:sz="0" w:val="nil"/>
          <w:between w:space="0" w:sz="0" w:val="nil"/>
        </w:pBdr>
        <w:spacing w:line="360" w:lineRule="auto"/>
        <w:ind w:left="0" w:right="90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Las p</w:t>
      </w:r>
      <w:r w:rsidDel="00000000" w:rsidR="00000000" w:rsidRPr="00000000">
        <w:rPr>
          <w:rFonts w:ascii="Palatino Linotype" w:cs="Palatino Linotype" w:eastAsia="Palatino Linotype" w:hAnsi="Palatino Linotype"/>
          <w:color w:val="000000"/>
          <w:sz w:val="22"/>
          <w:szCs w:val="22"/>
          <w:rtl w:val="0"/>
        </w:rPr>
        <w:t xml:space="preserve">ropuestas de la elaboración de diagnósticos del uno al dieciocho de enero de dos mil veintidós;</w:t>
      </w:r>
    </w:p>
    <w:p w:rsidR="00000000" w:rsidDel="00000000" w:rsidP="00000000" w:rsidRDefault="00000000" w:rsidRPr="00000000" w14:paraId="000001C8">
      <w:pPr>
        <w:numPr>
          <w:ilvl w:val="3"/>
          <w:numId w:val="1"/>
        </w:numPr>
        <w:pBdr>
          <w:top w:space="0" w:sz="0" w:val="nil"/>
          <w:left w:space="0" w:sz="0" w:val="nil"/>
          <w:bottom w:space="0" w:sz="0" w:val="nil"/>
          <w:right w:space="0" w:sz="0" w:val="nil"/>
          <w:between w:space="0" w:sz="0" w:val="nil"/>
        </w:pBdr>
        <w:spacing w:line="360" w:lineRule="auto"/>
        <w:ind w:left="0" w:right="90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Los r</w:t>
      </w:r>
      <w:r w:rsidDel="00000000" w:rsidR="00000000" w:rsidRPr="00000000">
        <w:rPr>
          <w:rFonts w:ascii="Palatino Linotype" w:cs="Palatino Linotype" w:eastAsia="Palatino Linotype" w:hAnsi="Palatino Linotype"/>
          <w:color w:val="000000"/>
          <w:sz w:val="22"/>
          <w:szCs w:val="22"/>
          <w:rtl w:val="0"/>
        </w:rPr>
        <w:t xml:space="preserve">egistros de ingreso y salida de las unidades en el taller mecánico municipal del uno al dieciocho de enero de dos mil veintidós;</w:t>
      </w:r>
    </w:p>
    <w:p w:rsidR="00000000" w:rsidDel="00000000" w:rsidP="00000000" w:rsidRDefault="00000000" w:rsidRPr="00000000" w14:paraId="000001C9">
      <w:pPr>
        <w:numPr>
          <w:ilvl w:val="3"/>
          <w:numId w:val="1"/>
        </w:numPr>
        <w:pBdr>
          <w:top w:space="0" w:sz="0" w:val="nil"/>
          <w:left w:space="0" w:sz="0" w:val="nil"/>
          <w:bottom w:space="0" w:sz="0" w:val="nil"/>
          <w:right w:space="0" w:sz="0" w:val="nil"/>
          <w:between w:space="0" w:sz="0" w:val="nil"/>
        </w:pBdr>
        <w:spacing w:line="360" w:lineRule="auto"/>
        <w:ind w:left="0" w:right="90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color w:val="000000"/>
          <w:sz w:val="22"/>
          <w:szCs w:val="22"/>
          <w:rtl w:val="0"/>
        </w:rPr>
        <w:t xml:space="preserve">Plan Anual de Mantenimiento al Parque Vehicular 2022;</w:t>
      </w:r>
    </w:p>
    <w:p w:rsidR="00000000" w:rsidDel="00000000" w:rsidP="00000000" w:rsidRDefault="00000000" w:rsidRPr="00000000" w14:paraId="000001CA">
      <w:pPr>
        <w:numPr>
          <w:ilvl w:val="3"/>
          <w:numId w:val="1"/>
        </w:numPr>
        <w:pBdr>
          <w:top w:space="0" w:sz="0" w:val="nil"/>
          <w:left w:space="0" w:sz="0" w:val="nil"/>
          <w:bottom w:space="0" w:sz="0" w:val="nil"/>
          <w:right w:space="0" w:sz="0" w:val="nil"/>
          <w:between w:space="0" w:sz="0" w:val="nil"/>
        </w:pBdr>
        <w:spacing w:line="360" w:lineRule="auto"/>
        <w:ind w:left="0" w:right="90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Las acciones y trabajos del taller mecánico municipal</w:t>
      </w:r>
      <w:r w:rsidDel="00000000" w:rsidR="00000000" w:rsidRPr="00000000">
        <w:rPr>
          <w:rFonts w:ascii="Palatino Linotype" w:cs="Palatino Linotype" w:eastAsia="Palatino Linotype" w:hAnsi="Palatino Linotype"/>
          <w:b w:val="1"/>
          <w:color w:val="000000"/>
          <w:sz w:val="22"/>
          <w:szCs w:val="22"/>
          <w:rtl w:val="0"/>
        </w:rPr>
        <w:t xml:space="preserve"> </w:t>
      </w:r>
      <w:r w:rsidDel="00000000" w:rsidR="00000000" w:rsidRPr="00000000">
        <w:rPr>
          <w:rFonts w:ascii="Palatino Linotype" w:cs="Palatino Linotype" w:eastAsia="Palatino Linotype" w:hAnsi="Palatino Linotype"/>
          <w:color w:val="000000"/>
          <w:sz w:val="22"/>
          <w:szCs w:val="22"/>
          <w:rtl w:val="0"/>
        </w:rPr>
        <w:t xml:space="preserve">del uno al dieciocho de enero de dos mil veintidós;</w:t>
      </w:r>
    </w:p>
    <w:p w:rsidR="00000000" w:rsidDel="00000000" w:rsidP="00000000" w:rsidRDefault="00000000" w:rsidRPr="00000000" w14:paraId="000001CB">
      <w:pPr>
        <w:numPr>
          <w:ilvl w:val="3"/>
          <w:numId w:val="1"/>
        </w:numPr>
        <w:pBdr>
          <w:top w:space="0" w:sz="0" w:val="nil"/>
          <w:left w:space="0" w:sz="0" w:val="nil"/>
          <w:bottom w:space="0" w:sz="0" w:val="nil"/>
          <w:right w:space="0" w:sz="0" w:val="nil"/>
          <w:between w:space="0" w:sz="0" w:val="nil"/>
        </w:pBdr>
        <w:spacing w:line="360" w:lineRule="auto"/>
        <w:ind w:left="0" w:right="90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Los i</w:t>
      </w:r>
      <w:r w:rsidDel="00000000" w:rsidR="00000000" w:rsidRPr="00000000">
        <w:rPr>
          <w:rFonts w:ascii="Palatino Linotype" w:cs="Palatino Linotype" w:eastAsia="Palatino Linotype" w:hAnsi="Palatino Linotype"/>
          <w:color w:val="000000"/>
          <w:sz w:val="22"/>
          <w:szCs w:val="22"/>
          <w:rtl w:val="0"/>
        </w:rPr>
        <w:t xml:space="preserve">nformes y verificaciones de las operaciones vehiculares del uno al dieciocho de enero de dos mil veintidós;</w:t>
      </w:r>
    </w:p>
    <w:p w:rsidR="00000000" w:rsidDel="00000000" w:rsidP="00000000" w:rsidRDefault="00000000" w:rsidRPr="00000000" w14:paraId="000001CC">
      <w:pPr>
        <w:numPr>
          <w:ilvl w:val="3"/>
          <w:numId w:val="1"/>
        </w:numPr>
        <w:pBdr>
          <w:top w:space="0" w:sz="0" w:val="nil"/>
          <w:left w:space="0" w:sz="0" w:val="nil"/>
          <w:bottom w:space="0" w:sz="0" w:val="nil"/>
          <w:right w:space="0" w:sz="0" w:val="nil"/>
          <w:between w:space="0" w:sz="0" w:val="nil"/>
        </w:pBdr>
        <w:spacing w:line="360" w:lineRule="auto"/>
        <w:ind w:left="0" w:right="90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Las b</w:t>
      </w:r>
      <w:r w:rsidDel="00000000" w:rsidR="00000000" w:rsidRPr="00000000">
        <w:rPr>
          <w:rFonts w:ascii="Palatino Linotype" w:cs="Palatino Linotype" w:eastAsia="Palatino Linotype" w:hAnsi="Palatino Linotype"/>
          <w:color w:val="000000"/>
          <w:sz w:val="22"/>
          <w:szCs w:val="22"/>
          <w:rtl w:val="0"/>
        </w:rPr>
        <w:t xml:space="preserve">itácoras vehiculares del uno al dieciocho de enero de dos mil veintidós;</w:t>
      </w:r>
    </w:p>
    <w:p w:rsidR="00000000" w:rsidDel="00000000" w:rsidP="00000000" w:rsidRDefault="00000000" w:rsidRPr="00000000" w14:paraId="000001CD">
      <w:pPr>
        <w:numPr>
          <w:ilvl w:val="3"/>
          <w:numId w:val="1"/>
        </w:numPr>
        <w:pBdr>
          <w:top w:space="0" w:sz="0" w:val="nil"/>
          <w:left w:space="0" w:sz="0" w:val="nil"/>
          <w:bottom w:space="0" w:sz="0" w:val="nil"/>
          <w:right w:space="0" w:sz="0" w:val="nil"/>
          <w:between w:space="0" w:sz="0" w:val="nil"/>
        </w:pBdr>
        <w:spacing w:line="360" w:lineRule="auto"/>
        <w:ind w:left="0" w:right="90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Los i</w:t>
      </w:r>
      <w:r w:rsidDel="00000000" w:rsidR="00000000" w:rsidRPr="00000000">
        <w:rPr>
          <w:rFonts w:ascii="Palatino Linotype" w:cs="Palatino Linotype" w:eastAsia="Palatino Linotype" w:hAnsi="Palatino Linotype"/>
          <w:color w:val="000000"/>
          <w:sz w:val="22"/>
          <w:szCs w:val="22"/>
          <w:rtl w:val="0"/>
        </w:rPr>
        <w:t xml:space="preserve">nformes de los trabajos realizados y fechas de entrega de los talleres externos del uno al dieciocho de enero de dos mil veintidós;</w:t>
      </w:r>
    </w:p>
    <w:p w:rsidR="00000000" w:rsidDel="00000000" w:rsidP="00000000" w:rsidRDefault="00000000" w:rsidRPr="00000000" w14:paraId="000001CE">
      <w:pPr>
        <w:numPr>
          <w:ilvl w:val="3"/>
          <w:numId w:val="1"/>
        </w:numPr>
        <w:pBdr>
          <w:top w:space="0" w:sz="0" w:val="nil"/>
          <w:left w:space="0" w:sz="0" w:val="nil"/>
          <w:bottom w:space="0" w:sz="0" w:val="nil"/>
          <w:right w:space="0" w:sz="0" w:val="nil"/>
          <w:between w:space="0" w:sz="0" w:val="nil"/>
        </w:pBdr>
        <w:spacing w:line="360" w:lineRule="auto"/>
        <w:ind w:left="0" w:right="90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La r</w:t>
      </w:r>
      <w:r w:rsidDel="00000000" w:rsidR="00000000" w:rsidRPr="00000000">
        <w:rPr>
          <w:rFonts w:ascii="Palatino Linotype" w:cs="Palatino Linotype" w:eastAsia="Palatino Linotype" w:hAnsi="Palatino Linotype"/>
          <w:color w:val="000000"/>
          <w:sz w:val="22"/>
          <w:szCs w:val="22"/>
          <w:rtl w:val="0"/>
        </w:rPr>
        <w:t xml:space="preserve">ecepción de las refacciones entregadas por los proveedores del uno al dieciocho de enero de dos mil veintidós;</w:t>
      </w:r>
    </w:p>
    <w:p w:rsidR="00000000" w:rsidDel="00000000" w:rsidP="00000000" w:rsidRDefault="00000000" w:rsidRPr="00000000" w14:paraId="000001CF">
      <w:pPr>
        <w:numPr>
          <w:ilvl w:val="3"/>
          <w:numId w:val="1"/>
        </w:numPr>
        <w:pBdr>
          <w:top w:space="0" w:sz="0" w:val="nil"/>
          <w:left w:space="0" w:sz="0" w:val="nil"/>
          <w:bottom w:space="0" w:sz="0" w:val="nil"/>
          <w:right w:space="0" w:sz="0" w:val="nil"/>
          <w:between w:space="0" w:sz="0" w:val="nil"/>
        </w:pBdr>
        <w:spacing w:line="360" w:lineRule="auto"/>
        <w:ind w:left="0" w:right="90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El p</w:t>
      </w:r>
      <w:r w:rsidDel="00000000" w:rsidR="00000000" w:rsidRPr="00000000">
        <w:rPr>
          <w:rFonts w:ascii="Palatino Linotype" w:cs="Palatino Linotype" w:eastAsia="Palatino Linotype" w:hAnsi="Palatino Linotype"/>
          <w:color w:val="000000"/>
          <w:sz w:val="22"/>
          <w:szCs w:val="22"/>
          <w:rtl w:val="0"/>
        </w:rPr>
        <w:t xml:space="preserve">rograma de verificación y cambio de llantas del parque vehicular municipal actualizado al 2022;</w:t>
      </w:r>
    </w:p>
    <w:p w:rsidR="00000000" w:rsidDel="00000000" w:rsidP="00000000" w:rsidRDefault="00000000" w:rsidRPr="00000000" w14:paraId="000001D0">
      <w:pPr>
        <w:numPr>
          <w:ilvl w:val="3"/>
          <w:numId w:val="1"/>
        </w:numPr>
        <w:pBdr>
          <w:top w:space="0" w:sz="0" w:val="nil"/>
          <w:left w:space="0" w:sz="0" w:val="nil"/>
          <w:bottom w:space="0" w:sz="0" w:val="nil"/>
          <w:right w:space="0" w:sz="0" w:val="nil"/>
          <w:between w:space="0" w:sz="0" w:val="nil"/>
        </w:pBdr>
        <w:spacing w:line="360" w:lineRule="auto"/>
        <w:ind w:left="0" w:right="90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Los r</w:t>
      </w:r>
      <w:r w:rsidDel="00000000" w:rsidR="00000000" w:rsidRPr="00000000">
        <w:rPr>
          <w:rFonts w:ascii="Palatino Linotype" w:cs="Palatino Linotype" w:eastAsia="Palatino Linotype" w:hAnsi="Palatino Linotype"/>
          <w:color w:val="000000"/>
          <w:sz w:val="22"/>
          <w:szCs w:val="22"/>
          <w:rtl w:val="0"/>
        </w:rPr>
        <w:t xml:space="preserve">eportes diarios, reporte de actividades, reporte de vehículos en piso y taller externo del uno al dieciocho de enero de dos mil veintidós;</w:t>
      </w:r>
    </w:p>
    <w:p w:rsidR="00000000" w:rsidDel="00000000" w:rsidP="00000000" w:rsidRDefault="00000000" w:rsidRPr="00000000" w14:paraId="000001D1">
      <w:pPr>
        <w:numPr>
          <w:ilvl w:val="3"/>
          <w:numId w:val="1"/>
        </w:numPr>
        <w:pBdr>
          <w:top w:space="0" w:sz="0" w:val="nil"/>
          <w:left w:space="0" w:sz="0" w:val="nil"/>
          <w:bottom w:space="0" w:sz="0" w:val="nil"/>
          <w:right w:space="0" w:sz="0" w:val="nil"/>
          <w:between w:space="0" w:sz="0" w:val="nil"/>
        </w:pBdr>
        <w:spacing w:line="360" w:lineRule="auto"/>
        <w:ind w:left="0" w:right="90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La r</w:t>
      </w:r>
      <w:r w:rsidDel="00000000" w:rsidR="00000000" w:rsidRPr="00000000">
        <w:rPr>
          <w:rFonts w:ascii="Palatino Linotype" w:cs="Palatino Linotype" w:eastAsia="Palatino Linotype" w:hAnsi="Palatino Linotype"/>
          <w:color w:val="000000"/>
          <w:sz w:val="22"/>
          <w:szCs w:val="22"/>
          <w:rtl w:val="0"/>
        </w:rPr>
        <w:t xml:space="preserve">evisión de los servicios realizados tanto en el taller mecánico municipal como en talleres externos, del primero al dieciocho de enero de dos mil veintidós; y</w:t>
      </w:r>
    </w:p>
    <w:p w:rsidR="00000000" w:rsidDel="00000000" w:rsidP="00000000" w:rsidRDefault="00000000" w:rsidRPr="00000000" w14:paraId="000001D2">
      <w:pPr>
        <w:numPr>
          <w:ilvl w:val="3"/>
          <w:numId w:val="1"/>
        </w:numPr>
        <w:pBdr>
          <w:top w:space="0" w:sz="0" w:val="nil"/>
          <w:left w:space="0" w:sz="0" w:val="nil"/>
          <w:bottom w:space="0" w:sz="0" w:val="nil"/>
          <w:right w:space="0" w:sz="0" w:val="nil"/>
          <w:between w:space="0" w:sz="0" w:val="nil"/>
        </w:pBdr>
        <w:spacing w:line="360" w:lineRule="auto"/>
        <w:ind w:left="0" w:right="90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La v</w:t>
      </w:r>
      <w:r w:rsidDel="00000000" w:rsidR="00000000" w:rsidRPr="00000000">
        <w:rPr>
          <w:rFonts w:ascii="Palatino Linotype" w:cs="Palatino Linotype" w:eastAsia="Palatino Linotype" w:hAnsi="Palatino Linotype"/>
          <w:color w:val="000000"/>
          <w:sz w:val="22"/>
          <w:szCs w:val="22"/>
          <w:rtl w:val="0"/>
        </w:rPr>
        <w:t xml:space="preserve">erificación </w:t>
      </w:r>
      <w:r w:rsidDel="00000000" w:rsidR="00000000" w:rsidRPr="00000000">
        <w:rPr>
          <w:rFonts w:ascii="Palatino Linotype" w:cs="Palatino Linotype" w:eastAsia="Palatino Linotype" w:hAnsi="Palatino Linotype"/>
          <w:sz w:val="22"/>
          <w:szCs w:val="22"/>
          <w:rtl w:val="0"/>
        </w:rPr>
        <w:t xml:space="preserve">del</w:t>
      </w:r>
      <w:r w:rsidDel="00000000" w:rsidR="00000000" w:rsidRPr="00000000">
        <w:rPr>
          <w:rFonts w:ascii="Palatino Linotype" w:cs="Palatino Linotype" w:eastAsia="Palatino Linotype" w:hAnsi="Palatino Linotype"/>
          <w:color w:val="000000"/>
          <w:sz w:val="22"/>
          <w:szCs w:val="22"/>
          <w:rtl w:val="0"/>
        </w:rPr>
        <w:t xml:space="preserve"> cumplimiento de las garantías en refacciones con los servicios realizados en talleres externos del primero al dieciocho de enero de dos mil veintidós.</w:t>
      </w:r>
    </w:p>
    <w:p w:rsidR="00000000" w:rsidDel="00000000" w:rsidP="00000000" w:rsidRDefault="00000000" w:rsidRPr="00000000" w14:paraId="000001D3">
      <w:pPr>
        <w:numPr>
          <w:ilvl w:val="3"/>
          <w:numId w:val="1"/>
        </w:numPr>
        <w:pBdr>
          <w:top w:space="0" w:sz="0" w:val="nil"/>
          <w:left w:space="0" w:sz="0" w:val="nil"/>
          <w:bottom w:space="0" w:sz="0" w:val="nil"/>
          <w:right w:space="0" w:sz="0" w:val="nil"/>
          <w:between w:space="0" w:sz="0" w:val="nil"/>
        </w:pBdr>
        <w:spacing w:line="360" w:lineRule="auto"/>
        <w:ind w:left="0" w:right="900" w:firstLine="0"/>
        <w:jc w:val="both"/>
        <w:rPr>
          <w:rFonts w:ascii="Palatino Linotype" w:cs="Palatino Linotype" w:eastAsia="Palatino Linotype" w:hAnsi="Palatino Linotype"/>
          <w:color w:val="000000"/>
          <w:sz w:val="22"/>
          <w:szCs w:val="22"/>
        </w:rPr>
      </w:pPr>
      <w:bookmarkStart w:colFirst="0" w:colLast="0" w:name="_heading=h.2et92p0" w:id="5"/>
      <w:bookmarkEnd w:id="5"/>
      <w:r w:rsidDel="00000000" w:rsidR="00000000" w:rsidRPr="00000000">
        <w:rPr>
          <w:rFonts w:ascii="Palatino Linotype" w:cs="Palatino Linotype" w:eastAsia="Palatino Linotype" w:hAnsi="Palatino Linotype"/>
          <w:sz w:val="22"/>
          <w:szCs w:val="22"/>
          <w:rtl w:val="0"/>
        </w:rPr>
        <w:t xml:space="preserve">Las actividades realizadas por el</w:t>
      </w:r>
      <w:r w:rsidDel="00000000" w:rsidR="00000000" w:rsidRPr="00000000">
        <w:rPr>
          <w:rtl w:val="0"/>
        </w:rPr>
        <w:t xml:space="preserve"> </w:t>
      </w:r>
      <w:r w:rsidDel="00000000" w:rsidR="00000000" w:rsidRPr="00000000">
        <w:rPr>
          <w:rFonts w:ascii="Palatino Linotype" w:cs="Palatino Linotype" w:eastAsia="Palatino Linotype" w:hAnsi="Palatino Linotype"/>
          <w:sz w:val="22"/>
          <w:szCs w:val="22"/>
          <w:rtl w:val="0"/>
        </w:rPr>
        <w:t xml:space="preserve">Jefe del Taller Mecánico en  ejercicio de sus atribuciones </w:t>
      </w:r>
      <w:r w:rsidDel="00000000" w:rsidR="00000000" w:rsidRPr="00000000">
        <w:rPr>
          <w:rFonts w:ascii="Palatino Linotype" w:cs="Palatino Linotype" w:eastAsia="Palatino Linotype" w:hAnsi="Palatino Linotype"/>
          <w:color w:val="000000"/>
          <w:sz w:val="22"/>
          <w:szCs w:val="22"/>
          <w:rtl w:val="0"/>
        </w:rPr>
        <w:t xml:space="preserve">del primero al dieciocho de enero de dos mil veintidós.</w:t>
      </w:r>
    </w:p>
    <w:p w:rsidR="00000000" w:rsidDel="00000000" w:rsidP="00000000" w:rsidRDefault="00000000" w:rsidRPr="00000000" w14:paraId="000001D4">
      <w:pPr>
        <w:ind w:right="49"/>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5">
      <w:pPr>
        <w:ind w:right="49"/>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de que los documentos localizados, contengan datos o información clasificada, el Sujeto Obligado deberá elaborar las versiones públicas respectivas. En ese tenor, deberá emitir y entregar la resolución de su Comité de Transparencia, en donde, de manera fundada y motivada, confirme dicha clasificación.</w:t>
      </w:r>
    </w:p>
    <w:p w:rsidR="00000000" w:rsidDel="00000000" w:rsidP="00000000" w:rsidRDefault="00000000" w:rsidRPr="00000000" w14:paraId="000001D6">
      <w:pPr>
        <w:ind w:right="49"/>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7">
      <w:pPr>
        <w:ind w:right="49"/>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el caso de que no se haya generado información relacionada con alguno de los puntos, en el periodo señalado, bastará con que así lo haga del conocimiento de la parte Recurrente de manera fundada y motivada, en términos del segundo párrafo del artículo 19 de la Ley de Transparencia vigente en la entidad.</w:t>
      </w:r>
    </w:p>
    <w:p w:rsidR="00000000" w:rsidDel="00000000" w:rsidP="00000000" w:rsidRDefault="00000000" w:rsidRPr="00000000" w14:paraId="000001D8">
      <w:pPr>
        <w:ind w:right="49"/>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9">
      <w:pPr>
        <w:spacing w:after="120" w:lineRule="auto"/>
        <w:ind w:right="49"/>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el caso de que exista impedimento justificado de entregar la información vía SAIMEX, el Sujeto Obligado deberá proponer diversos medios electrónicos; concederle el acceso en disco compacto, copia simple, certificada,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proporcionen los archivos electrónicos, debiendo indicar el procedimiento específico para acceder a la información.</w:t>
      </w:r>
    </w:p>
    <w:p w:rsidR="00000000" w:rsidDel="00000000" w:rsidP="00000000" w:rsidRDefault="00000000" w:rsidRPr="00000000" w14:paraId="000001DA">
      <w:pPr>
        <w:ind w:right="49"/>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rtl w:val="0"/>
        </w:rPr>
        <w:t xml:space="preserve">Notifíquese vía Sistema de Acceso a la Información Mexiquense (SAIMEX), </w:t>
      </w:r>
      <w:r w:rsidDel="00000000" w:rsidR="00000000" w:rsidRPr="00000000">
        <w:rPr>
          <w:rFonts w:ascii="Palatino Linotype" w:cs="Palatino Linotype" w:eastAsia="Palatino Linotype" w:hAnsi="Palatino Linotype"/>
          <w:rtl w:val="0"/>
        </w:rPr>
        <w:t xml:space="preserve">al Titular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1D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DD">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QUINTO. Notifíquese,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que la respuesta que dé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1DE">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SEXTO. Gírese </w:t>
      </w:r>
      <w:r w:rsidDel="00000000" w:rsidR="00000000" w:rsidRPr="00000000">
        <w:rPr>
          <w:rFonts w:ascii="Palatino Linotype" w:cs="Palatino Linotype" w:eastAsia="Palatino Linotype" w:hAnsi="Palatino Linotype"/>
          <w:rtl w:val="0"/>
        </w:rPr>
        <w:t xml:space="preserve">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Del="00000000" w:rsidR="00000000" w:rsidRPr="00000000">
        <w:rPr>
          <w:rFonts w:ascii="Palatino Linotype" w:cs="Palatino Linotype" w:eastAsia="Palatino Linotype" w:hAnsi="Palatino Linotype"/>
          <w:b w:val="1"/>
          <w:rtl w:val="0"/>
        </w:rPr>
        <w:t xml:space="preserve"> Cuarto </w:t>
      </w:r>
      <w:r w:rsidDel="00000000" w:rsidR="00000000" w:rsidRPr="00000000">
        <w:rPr>
          <w:rFonts w:ascii="Palatino Linotype" w:cs="Palatino Linotype" w:eastAsia="Palatino Linotype" w:hAnsi="Palatino Linotype"/>
          <w:rtl w:val="0"/>
        </w:rPr>
        <w:t xml:space="preserve">de la presente resolución.</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1DF">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SÉPTIMO. </w:t>
      </w:r>
      <w:r w:rsidDel="00000000" w:rsidR="00000000" w:rsidRPr="00000000">
        <w:rPr>
          <w:rFonts w:ascii="Palatino Linotype" w:cs="Palatino Linotype" w:eastAsia="Palatino Linotype" w:hAnsi="Palatino Linotype"/>
          <w:rtl w:val="0"/>
        </w:rPr>
        <w:t xml:space="preserve">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1E0">
      <w:pPr>
        <w:spacing w:after="240" w:before="240" w:line="360" w:lineRule="auto"/>
        <w:jc w:val="both"/>
        <w:rPr>
          <w:rFonts w:ascii="Palatino Linotype" w:cs="Palatino Linotype" w:eastAsia="Palatino Linotype" w:hAnsi="Palatino Linotype"/>
          <w:sz w:val="20"/>
          <w:szCs w:val="20"/>
        </w:rPr>
        <w:sectPr>
          <w:headerReference r:id="rId27" w:type="default"/>
          <w:headerReference r:id="rId28" w:type="first"/>
          <w:footerReference r:id="rId29" w:type="default"/>
          <w:footerReference r:id="rId30" w:type="first"/>
          <w:pgSz w:h="15840" w:w="12240" w:orient="portrait"/>
          <w:pgMar w:bottom="1701" w:top="1985" w:left="1701" w:right="1701" w:header="709" w:footer="709"/>
          <w:pgNumType w:start="1"/>
          <w:titlePg w:val="1"/>
        </w:sect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VEINTIUNO DE JUNIO DE DOS MIL VEINTIDÓS, ANTE EL SECRETARIO TÉCNICO DEL PLENO, ALEXIS TAPIA RAMÍREZ.</w:t>
      </w:r>
      <w:r w:rsidDel="00000000" w:rsidR="00000000" w:rsidRPr="00000000">
        <w:rPr>
          <w:rtl w:val="0"/>
        </w:rPr>
      </w:r>
    </w:p>
    <w:p w:rsidR="00000000" w:rsidDel="00000000" w:rsidP="00000000" w:rsidRDefault="00000000" w:rsidRPr="00000000" w14:paraId="000001E1">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E2">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sectPr>
      <w:headerReference r:id="rId31" w:type="first"/>
      <w:type w:val="nextPage"/>
      <w:pgSz w:h="15840" w:w="12240" w:orient="portrait"/>
      <w:pgMar w:bottom="1701" w:top="1985"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8">
    <w:pPr>
      <w:pBdr>
        <w:top w:space="0" w:sz="0" w:val="nil"/>
        <w:left w:space="0" w:sz="0" w:val="nil"/>
        <w:bottom w:space="0" w:sz="0" w:val="nil"/>
        <w:right w:space="0" w:sz="0" w:val="nil"/>
        <w:between w:space="0" w:sz="0" w:val="nil"/>
      </w:pBdr>
      <w:tabs>
        <w:tab w:val="center" w:pos="4252"/>
        <w:tab w:val="right"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A">
    <w:pPr>
      <w:pBdr>
        <w:top w:space="0" w:sz="0" w:val="nil"/>
        <w:left w:space="0" w:sz="0" w:val="nil"/>
        <w:bottom w:space="0" w:sz="0" w:val="nil"/>
        <w:right w:space="0" w:sz="0" w:val="nil"/>
        <w:between w:space="0" w:sz="0" w:val="nil"/>
      </w:pBdr>
      <w:tabs>
        <w:tab w:val="center" w:pos="4252"/>
        <w:tab w:val="right"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tabs>
        <w:tab w:val="center" w:pos="4252"/>
        <w:tab w:val="right"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E3">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color w:val="000000"/>
          <w:sz w:val="20"/>
          <w:szCs w:val="20"/>
          <w:rtl w:val="0"/>
        </w:rPr>
        <w:t xml:space="preserve"> (…)</w:t>
      </w:r>
    </w:p>
  </w:footnote>
  <w:footnote w:id="1">
    <w:p w:rsidR="00000000" w:rsidDel="00000000" w:rsidP="00000000" w:rsidRDefault="00000000" w:rsidRPr="00000000" w14:paraId="000001E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-1041392</wp:posOffset>
          </wp:positionH>
          <wp:positionV relativeFrom="paragraph">
            <wp:posOffset>-447667</wp:posOffset>
          </wp:positionV>
          <wp:extent cx="7809865" cy="10165715"/>
          <wp:effectExtent b="0" l="0" r="0" t="0"/>
          <wp:wrapNone/>
          <wp:docPr id="59"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3"/>
      <w:tblW w:w="5953.0" w:type="dxa"/>
      <w:jc w:val="left"/>
      <w:tblInd w:w="3261.0" w:type="dxa"/>
      <w:tblLayout w:type="fixed"/>
      <w:tblLook w:val="0400"/>
    </w:tblPr>
    <w:tblGrid>
      <w:gridCol w:w="2551"/>
      <w:gridCol w:w="3402"/>
      <w:tblGridChange w:id="0">
        <w:tblGrid>
          <w:gridCol w:w="2551"/>
          <w:gridCol w:w="3402"/>
        </w:tblGrid>
      </w:tblGridChange>
    </w:tblGrid>
    <w:tr>
      <w:trPr>
        <w:cantSplit w:val="0"/>
        <w:tblHeader w:val="0"/>
      </w:trPr>
      <w:tc>
        <w:tcPr>
          <w:shd w:fill="auto" w:val="clear"/>
          <w:vAlign w:val="center"/>
        </w:tcPr>
        <w:p w:rsidR="00000000" w:rsidDel="00000000" w:rsidP="00000000" w:rsidRDefault="00000000" w:rsidRPr="00000000" w14:paraId="000001E6">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auto" w:val="clear"/>
          <w:vAlign w:val="center"/>
        </w:tcPr>
        <w:p w:rsidR="00000000" w:rsidDel="00000000" w:rsidP="00000000" w:rsidRDefault="00000000" w:rsidRPr="00000000" w14:paraId="000001E7">
          <w:pPr>
            <w:tabs>
              <w:tab w:val="left" w:pos="2727"/>
            </w:tabs>
            <w:ind w:left="-45" w:right="317"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03354/INFOEM/IP/RR/2022 y acumulados</w:t>
          </w:r>
        </w:p>
      </w:tc>
    </w:tr>
    <w:tr>
      <w:trPr>
        <w:cantSplit w:val="0"/>
        <w:trHeight w:val="130" w:hRule="atLeast"/>
        <w:tblHeader w:val="0"/>
      </w:trPr>
      <w:tc>
        <w:tcPr>
          <w:shd w:fill="auto" w:val="clear"/>
          <w:vAlign w:val="center"/>
        </w:tcPr>
        <w:p w:rsidR="00000000" w:rsidDel="00000000" w:rsidP="00000000" w:rsidRDefault="00000000" w:rsidRPr="00000000" w14:paraId="000001E8">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Recurrente:</w:t>
          </w:r>
        </w:p>
      </w:tc>
      <w:tc>
        <w:tcPr>
          <w:shd w:fill="auto" w:val="clear"/>
          <w:vAlign w:val="center"/>
        </w:tcPr>
        <w:p w:rsidR="00000000" w:rsidDel="00000000" w:rsidP="00000000" w:rsidRDefault="00000000" w:rsidRPr="00000000" w14:paraId="000001E9">
          <w:pPr>
            <w:ind w:left="-45" w:firstLine="0"/>
            <w:jc w:val="both"/>
            <w:rPr>
              <w:rFonts w:ascii="Palatino Linotype" w:cs="Palatino Linotype" w:eastAsia="Palatino Linotype" w:hAnsi="Palatino Linotype"/>
              <w:b w:val="1"/>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1EA">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shd w:fill="auto" w:val="clear"/>
          <w:vAlign w:val="center"/>
        </w:tcPr>
        <w:p w:rsidR="00000000" w:rsidDel="00000000" w:rsidP="00000000" w:rsidRDefault="00000000" w:rsidRPr="00000000" w14:paraId="000001EB">
          <w:pPr>
            <w:ind w:left="-45" w:right="44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Ayuntamiento de Metepec</w:t>
          </w:r>
        </w:p>
      </w:tc>
    </w:tr>
    <w:tr>
      <w:trPr>
        <w:cantSplit w:val="0"/>
        <w:tblHeader w:val="0"/>
      </w:trPr>
      <w:tc>
        <w:tcPr>
          <w:shd w:fill="auto" w:val="clear"/>
          <w:vAlign w:val="center"/>
        </w:tcPr>
        <w:p w:rsidR="00000000" w:rsidDel="00000000" w:rsidP="00000000" w:rsidRDefault="00000000" w:rsidRPr="00000000" w14:paraId="000001EC">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shd w:fill="auto" w:val="clear"/>
          <w:vAlign w:val="center"/>
        </w:tcPr>
        <w:p w:rsidR="00000000" w:rsidDel="00000000" w:rsidP="00000000" w:rsidRDefault="00000000" w:rsidRPr="00000000" w14:paraId="000001ED">
          <w:pPr>
            <w:ind w:left="-45" w:right="-53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1EE">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F">
    <w:pPr>
      <w:pBdr>
        <w:top w:space="0" w:sz="0" w:val="nil"/>
        <w:left w:space="0" w:sz="0" w:val="nil"/>
        <w:bottom w:space="0" w:sz="0" w:val="nil"/>
        <w:right w:space="0" w:sz="0" w:val="nil"/>
        <w:between w:space="0" w:sz="0" w:val="nil"/>
      </w:pBdr>
      <w:tabs>
        <w:tab w:val="center" w:pos="4252"/>
        <w:tab w:val="right" w:pos="8504"/>
        <w:tab w:val="left" w:pos="2326"/>
      </w:tabs>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-1080128</wp:posOffset>
          </wp:positionH>
          <wp:positionV relativeFrom="paragraph">
            <wp:posOffset>-396395</wp:posOffset>
          </wp:positionV>
          <wp:extent cx="7809865" cy="10165715"/>
          <wp:effectExtent b="0" l="0" r="0" t="0"/>
          <wp:wrapNone/>
          <wp:docPr id="61"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4"/>
      <w:tblW w:w="5873.0" w:type="dxa"/>
      <w:jc w:val="left"/>
      <w:tblInd w:w="3261.0" w:type="dxa"/>
      <w:tblLayout w:type="fixed"/>
      <w:tblLook w:val="0400"/>
    </w:tblPr>
    <w:tblGrid>
      <w:gridCol w:w="2409"/>
      <w:gridCol w:w="3464"/>
      <w:tblGridChange w:id="0">
        <w:tblGrid>
          <w:gridCol w:w="2409"/>
          <w:gridCol w:w="3464"/>
        </w:tblGrid>
      </w:tblGridChange>
    </w:tblGrid>
    <w:tr>
      <w:trPr>
        <w:cantSplit w:val="0"/>
        <w:tblHeader w:val="0"/>
      </w:trPr>
      <w:tc>
        <w:tcPr>
          <w:shd w:fill="auto" w:val="clear"/>
        </w:tcPr>
        <w:p w:rsidR="00000000" w:rsidDel="00000000" w:rsidP="00000000" w:rsidRDefault="00000000" w:rsidRPr="00000000" w14:paraId="000001F0">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auto" w:val="clear"/>
          <w:vAlign w:val="center"/>
        </w:tcPr>
        <w:p w:rsidR="00000000" w:rsidDel="00000000" w:rsidP="00000000" w:rsidRDefault="00000000" w:rsidRPr="00000000" w14:paraId="000001F1">
          <w:pPr>
            <w:ind w:right="175"/>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03354/INFOEM/IP/RR/2022 y acumulados</w:t>
          </w:r>
        </w:p>
      </w:tc>
    </w:tr>
    <w:tr>
      <w:trPr>
        <w:cantSplit w:val="0"/>
        <w:trHeight w:val="228" w:hRule="atLeast"/>
        <w:tblHeader w:val="0"/>
      </w:trPr>
      <w:tc>
        <w:tcPr>
          <w:shd w:fill="auto" w:val="clear"/>
          <w:vAlign w:val="center"/>
        </w:tcPr>
        <w:p w:rsidR="00000000" w:rsidDel="00000000" w:rsidP="00000000" w:rsidRDefault="00000000" w:rsidRPr="00000000" w14:paraId="000001F2">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shd w:fill="auto" w:val="clear"/>
          <w:vAlign w:val="center"/>
        </w:tcPr>
        <w:p w:rsidR="00000000" w:rsidDel="00000000" w:rsidP="00000000" w:rsidRDefault="00000000" w:rsidRPr="00000000" w14:paraId="000001F3">
          <w:pPr>
            <w:ind w:left="-45" w:right="23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Ayuntamiento de Metepec</w:t>
          </w:r>
        </w:p>
      </w:tc>
    </w:tr>
    <w:tr>
      <w:trPr>
        <w:cantSplit w:val="0"/>
        <w:tblHeader w:val="0"/>
      </w:trPr>
      <w:tc>
        <w:tcPr>
          <w:shd w:fill="auto" w:val="clear"/>
          <w:vAlign w:val="center"/>
        </w:tcPr>
        <w:p w:rsidR="00000000" w:rsidDel="00000000" w:rsidP="00000000" w:rsidRDefault="00000000" w:rsidRPr="00000000" w14:paraId="000001F4">
          <w:pPr>
            <w:ind w:right="-108"/>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shd w:fill="auto" w:val="clear"/>
          <w:vAlign w:val="center"/>
        </w:tcPr>
        <w:p w:rsidR="00000000" w:rsidDel="00000000" w:rsidP="00000000" w:rsidRDefault="00000000" w:rsidRPr="00000000" w14:paraId="000001F5">
          <w:pPr>
            <w:ind w:right="175"/>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1F6">
    <w:pPr>
      <w:pBdr>
        <w:top w:space="0" w:sz="0" w:val="nil"/>
        <w:left w:space="0" w:sz="0" w:val="nil"/>
        <w:bottom w:space="0" w:sz="0" w:val="nil"/>
        <w:right w:space="0" w:sz="0" w:val="nil"/>
        <w:between w:space="0" w:sz="0" w:val="nil"/>
      </w:pBdr>
      <w:tabs>
        <w:tab w:val="center" w:pos="4252"/>
        <w:tab w:val="right" w:pos="8504"/>
        <w:tab w:val="left" w:pos="2326"/>
      </w:tabs>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7">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062"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70344"/>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val="1"/>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val="1"/>
    <w:qFormat w:val="1"/>
    <w:rsid w:val="002944C8"/>
    <w:rPr>
      <w:vertAlign w:val="superscript"/>
    </w:rPr>
  </w:style>
  <w:style w:type="paragraph" w:styleId="Sinespaciado">
    <w:name w:val="No Spacing"/>
    <w:aliases w:val="Francesa,INAI"/>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INAI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Revisin">
    <w:name w:val="Revision"/>
    <w:hidden w:val="1"/>
    <w:uiPriority w:val="99"/>
    <w:semiHidden w:val="1"/>
    <w:rsid w:val="00564B24"/>
  </w:style>
  <w:style w:type="table" w:styleId="Tablanormal11" w:customStyle="1">
    <w:name w:val="Tabla normal 11"/>
    <w:basedOn w:val="Tablanormal"/>
    <w:next w:val="Tablanormal1"/>
    <w:uiPriority w:val="41"/>
    <w:rsid w:val="007A5E15"/>
    <w:rPr>
      <w:rFonts w:eastAsia="Calibri"/>
      <w:sz w:val="22"/>
      <w:szCs w:val="22"/>
      <w:lang w:eastAsia="en-US"/>
    </w:rPr>
    <w:tblPr>
      <w:tblStyleRowBandSize w:val="1"/>
      <w:tblStyleColBandSize w:val="1"/>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tblStylePr w:type="firstRow">
      <w:rPr>
        <w:b w:val="1"/>
        <w:bCs w:val="1"/>
      </w:rPr>
    </w:tblStylePr>
    <w:tblStylePr w:type="lastRow">
      <w:rPr>
        <w:b w:val="1"/>
        <w:bCs w:val="1"/>
      </w:rPr>
      <w:tblPr/>
      <w:tcPr>
        <w:tcBorders>
          <w:top w:color="bfbfbf" w:space="0" w:sz="4" w:val="double"/>
        </w:tcBorders>
      </w:tcPr>
    </w:tblStylePr>
    <w:tblStylePr w:type="firstCol">
      <w:rPr>
        <w:b w:val="1"/>
        <w:bCs w:val="1"/>
      </w:rPr>
    </w:tblStylePr>
    <w:tblStylePr w:type="lastCol">
      <w:rPr>
        <w:b w:val="1"/>
        <w:bCs w:val="1"/>
      </w:rPr>
    </w:tblStylePr>
    <w:tblStylePr w:type="band1Vert">
      <w:tblPr/>
      <w:tcPr>
        <w:shd w:color="auto" w:fill="f2f2f2" w:val="clear"/>
      </w:tcPr>
    </w:tblStylePr>
    <w:tblStylePr w:type="band1Horz">
      <w:tblPr/>
      <w:tcPr>
        <w:shd w:color="auto" w:fill="f2f2f2" w:val="clear"/>
      </w:tcPr>
    </w:tblStylePr>
  </w:style>
  <w:style w:type="table" w:styleId="Tablanormal1">
    <w:name w:val="Plain Table 1"/>
    <w:basedOn w:val="Tablanormal"/>
    <w:uiPriority w:val="41"/>
    <w:rsid w:val="007A5E15"/>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character" w:styleId="TextonotapieCar1" w:customStyle="1">
    <w:name w:val="Texto nota pie Car1"/>
    <w:uiPriority w:val="99"/>
    <w:rsid w:val="006233E2"/>
    <w:rPr>
      <w:rFonts w:ascii="Times New Roman" w:cs="Times New Roman" w:eastAsia="Times New Roman" w:hAnsi="Times New Roman"/>
      <w:sz w:val="20"/>
      <w:szCs w:val="20"/>
      <w:lang w:eastAsia="es-ES" w:val="es-ES"/>
    </w:rPr>
  </w:style>
  <w:style w:type="paragraph" w:styleId="Subttulo">
    <w:name w:val="Subtitle"/>
    <w:basedOn w:val="Normal"/>
    <w:next w:val="Normal"/>
    <w:link w:val="SubttuloCar"/>
    <w:pPr>
      <w:spacing w:after="160"/>
    </w:pPr>
    <w:rPr>
      <w:rFonts w:ascii="Cambria" w:cs="Cambria" w:eastAsia="Cambria" w:hAnsi="Cambria"/>
      <w:color w:val="5a5a5a"/>
      <w:sz w:val="22"/>
      <w:szCs w:val="22"/>
    </w:rPr>
  </w:style>
  <w:style w:type="character" w:styleId="SubttuloCar" w:customStyle="1">
    <w:name w:val="Subtítulo Car"/>
    <w:basedOn w:val="Fuentedeprrafopredeter"/>
    <w:link w:val="Subttulo"/>
    <w:uiPriority w:val="11"/>
    <w:rsid w:val="00D91005"/>
    <w:rPr>
      <w:color w:val="5a5a5a" w:themeColor="text1" w:themeTint="0000A5"/>
      <w:spacing w:val="15"/>
      <w:sz w:val="22"/>
      <w:szCs w:val="22"/>
      <w:lang w:val="es-ES"/>
    </w:rPr>
  </w:style>
  <w:style w:type="table" w:styleId="a" w:customStyle="1">
    <w:basedOn w:val="TableNormal4"/>
    <w:tblPr>
      <w:tblStyleRowBandSize w:val="1"/>
      <w:tblStyleColBandSize w:val="1"/>
      <w:tblCellMar>
        <w:left w:w="115.0" w:type="dxa"/>
        <w:right w:w="115.0" w:type="dxa"/>
      </w:tblCellMar>
    </w:tblPr>
  </w:style>
  <w:style w:type="table" w:styleId="a0" w:customStyle="1">
    <w:basedOn w:val="TableNormal4"/>
    <w:tblPr>
      <w:tblStyleRowBandSize w:val="1"/>
      <w:tblStyleColBandSize w:val="1"/>
      <w:tblCellMar>
        <w:left w:w="115.0" w:type="dxa"/>
        <w:right w:w="115.0" w:type="dxa"/>
      </w:tblCellMar>
    </w:tblPr>
  </w:style>
  <w:style w:type="table" w:styleId="a2" w:customStyle="1">
    <w:basedOn w:val="TableNormal4"/>
    <w:tblPr>
      <w:tblStyleRowBandSize w:val="1"/>
      <w:tblStyleColBandSize w:val="1"/>
      <w:tblCellMar>
        <w:left w:w="115.0" w:type="dxa"/>
        <w:right w:w="115.0" w:type="dxa"/>
      </w:tblCellMar>
    </w:tblPr>
  </w:style>
  <w:style w:type="table" w:styleId="a3" w:customStyle="1">
    <w:basedOn w:val="TableNormal4"/>
    <w:tblPr>
      <w:tblStyleRowBandSize w:val="1"/>
      <w:tblStyleColBandSize w:val="1"/>
      <w:tblCellMar>
        <w:left w:w="115.0" w:type="dxa"/>
        <w:right w:w="115.0" w:type="dxa"/>
      </w:tblCellMar>
    </w:tblPr>
  </w:style>
  <w:style w:type="table" w:styleId="a4" w:customStyle="1">
    <w:basedOn w:val="TableNormal4"/>
    <w:rPr>
      <w:sz w:val="22"/>
      <w:szCs w:val="22"/>
    </w:rPr>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5" w:customStyle="1">
    <w:basedOn w:val="TableNormal4"/>
    <w:tblPr>
      <w:tblStyleRowBandSize w:val="1"/>
      <w:tblStyleColBandSize w:val="1"/>
      <w:tblCellMar>
        <w:left w:w="115.0" w:type="dxa"/>
        <w:right w:w="115.0" w:type="dxa"/>
      </w:tblCellMar>
    </w:tblPr>
  </w:style>
  <w:style w:type="table" w:styleId="a6" w:customStyle="1">
    <w:basedOn w:val="TableNormal4"/>
    <w:tblPr>
      <w:tblStyleRowBandSize w:val="1"/>
      <w:tblStyleColBandSize w:val="1"/>
      <w:tblCellMar>
        <w:left w:w="115.0" w:type="dxa"/>
        <w:right w:w="115.0" w:type="dxa"/>
      </w:tblCellMar>
    </w:tblPr>
  </w:style>
  <w:style w:type="table" w:styleId="a7" w:customStyle="1">
    <w:basedOn w:val="TableNormal4"/>
    <w:rPr>
      <w:sz w:val="22"/>
      <w:szCs w:val="22"/>
    </w:rPr>
    <w:tblPr>
      <w:tblStyleRowBandSize w:val="1"/>
      <w:tblStyleColBandSize w:val="1"/>
      <w:tblCellMar>
        <w:left w:w="115.0" w:type="dxa"/>
        <w:right w:w="115.0" w:type="dxa"/>
      </w:tblCellMar>
    </w:tblPr>
  </w:style>
  <w:style w:type="table" w:styleId="a8" w:customStyle="1">
    <w:basedOn w:val="TableNormal4"/>
    <w:rPr>
      <w:sz w:val="22"/>
      <w:szCs w:val="22"/>
    </w:rPr>
    <w:tblPr>
      <w:tblStyleRowBandSize w:val="1"/>
      <w:tblStyleColBandSize w:val="1"/>
      <w:tblCellMar>
        <w:left w:w="115.0" w:type="dxa"/>
        <w:right w:w="115.0" w:type="dxa"/>
      </w:tblCellMar>
    </w:tblPr>
  </w:style>
  <w:style w:type="table" w:styleId="a9" w:customStyle="1">
    <w:basedOn w:val="TableNormal4"/>
    <w:rPr>
      <w:sz w:val="22"/>
      <w:szCs w:val="22"/>
    </w:rPr>
    <w:tblPr>
      <w:tblStyleRowBandSize w:val="1"/>
      <w:tblStyleColBandSize w:val="1"/>
      <w:tblCellMar>
        <w:left w:w="115.0" w:type="dxa"/>
        <w:right w:w="115.0" w:type="dxa"/>
      </w:tblCellMar>
    </w:tblPr>
  </w:style>
  <w:style w:type="table" w:styleId="aa" w:customStyle="1">
    <w:basedOn w:val="TableNormal4"/>
    <w:tblPr>
      <w:tblStyleRowBandSize w:val="1"/>
      <w:tblStyleColBandSize w:val="1"/>
      <w:tblCellMar>
        <w:left w:w="115.0" w:type="dxa"/>
        <w:right w:w="115.0" w:type="dxa"/>
      </w:tblCellMar>
    </w:tblPr>
  </w:style>
  <w:style w:type="table" w:styleId="ab" w:customStyle="1">
    <w:basedOn w:val="TableNormal4"/>
    <w:tblPr>
      <w:tblStyleRowBandSize w:val="1"/>
      <w:tblStyleColBandSize w:val="1"/>
      <w:tblCellMar>
        <w:left w:w="115.0" w:type="dxa"/>
        <w:right w:w="115.0" w:type="dxa"/>
      </w:tblCellMar>
    </w:tblPr>
  </w:style>
  <w:style w:type="table" w:styleId="ac" w:customStyle="1">
    <w:basedOn w:val="TableNormal4"/>
    <w:tblPr>
      <w:tblStyleRowBandSize w:val="1"/>
      <w:tblStyleColBandSize w:val="1"/>
      <w:tblCellMar>
        <w:left w:w="115.0" w:type="dxa"/>
        <w:right w:w="115.0" w:type="dxa"/>
      </w:tblCellMar>
    </w:tblPr>
  </w:style>
  <w:style w:type="table" w:styleId="ad" w:customStyle="1">
    <w:basedOn w:val="TableNormal4"/>
    <w:tblPr>
      <w:tblStyleRowBandSize w:val="1"/>
      <w:tblStyleColBandSize w:val="1"/>
      <w:tblCellMar>
        <w:left w:w="115.0" w:type="dxa"/>
        <w:right w:w="115.0" w:type="dxa"/>
      </w:tblCellMar>
    </w:tblPr>
  </w:style>
  <w:style w:type="table" w:styleId="ae" w:customStyle="1">
    <w:basedOn w:val="TableNormal4"/>
    <w:rPr>
      <w:sz w:val="22"/>
      <w:szCs w:val="22"/>
    </w:rPr>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 w:customStyle="1">
    <w:basedOn w:val="TableNormal4"/>
    <w:rPr>
      <w:sz w:val="22"/>
      <w:szCs w:val="22"/>
    </w:rPr>
    <w:tblPr>
      <w:tblStyleRowBandSize w:val="1"/>
      <w:tblStyleColBandSize w:val="1"/>
      <w:tblCellMar>
        <w:left w:w="115.0" w:type="dxa"/>
        <w:right w:w="115.0" w:type="dxa"/>
      </w:tblCellMar>
    </w:tblPr>
  </w:style>
  <w:style w:type="table" w:styleId="af0" w:customStyle="1">
    <w:basedOn w:val="TableNormal4"/>
    <w:rPr>
      <w:sz w:val="22"/>
      <w:szCs w:val="22"/>
    </w:rPr>
    <w:tblPr>
      <w:tblStyleRowBandSize w:val="1"/>
      <w:tblStyleColBandSize w:val="1"/>
      <w:tblCellMar>
        <w:left w:w="115.0" w:type="dxa"/>
        <w:right w:w="115.0" w:type="dxa"/>
      </w:tblCellMar>
    </w:tblPr>
  </w:style>
  <w:style w:type="table" w:styleId="af1" w:customStyle="1">
    <w:basedOn w:val="TableNormal3"/>
    <w:rPr>
      <w:sz w:val="22"/>
      <w:szCs w:val="22"/>
    </w:rPr>
    <w:tblPr>
      <w:tblStyleRowBandSize w:val="1"/>
      <w:tblStyleColBandSize w:val="1"/>
      <w:tblCellMar>
        <w:left w:w="115.0" w:type="dxa"/>
        <w:right w:w="115.0" w:type="dxa"/>
      </w:tblCellMar>
    </w:tblPr>
  </w:style>
  <w:style w:type="table" w:styleId="af2" w:customStyle="1">
    <w:basedOn w:val="TableNormal3"/>
    <w:rPr>
      <w:sz w:val="22"/>
      <w:szCs w:val="22"/>
    </w:rPr>
    <w:tblPr>
      <w:tblStyleRowBandSize w:val="1"/>
      <w:tblStyleColBandSize w:val="1"/>
      <w:tblCellMar>
        <w:left w:w="115.0" w:type="dxa"/>
        <w:right w:w="115.0" w:type="dxa"/>
      </w:tblCellMar>
    </w:tblPr>
  </w:style>
  <w:style w:type="table" w:styleId="af3" w:customStyle="1">
    <w:basedOn w:val="TableNormal3"/>
    <w:rPr>
      <w:sz w:val="22"/>
      <w:szCs w:val="22"/>
    </w:rPr>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4" w:customStyle="1">
    <w:basedOn w:val="TableNormal3"/>
    <w:rPr>
      <w:sz w:val="22"/>
      <w:szCs w:val="22"/>
    </w:rPr>
    <w:tblPr>
      <w:tblStyleRowBandSize w:val="1"/>
      <w:tblStyleColBandSize w:val="1"/>
      <w:tblCellMar>
        <w:left w:w="115.0" w:type="dxa"/>
        <w:right w:w="115.0" w:type="dxa"/>
      </w:tblCellMar>
    </w:tblPr>
  </w:style>
  <w:style w:type="table" w:styleId="af5" w:customStyle="1">
    <w:basedOn w:val="TableNormal3"/>
    <w:rPr>
      <w:sz w:val="22"/>
      <w:szCs w:val="22"/>
    </w:rPr>
    <w:tblPr>
      <w:tblStyleRowBandSize w:val="1"/>
      <w:tblStyleColBandSize w:val="1"/>
      <w:tblCellMar>
        <w:left w:w="115.0" w:type="dxa"/>
        <w:right w:w="115.0" w:type="dxa"/>
      </w:tblCellMar>
    </w:tblPr>
  </w:style>
  <w:style w:type="table" w:styleId="af6" w:customStyle="1">
    <w:basedOn w:val="TableNormal2"/>
    <w:rPr>
      <w:sz w:val="22"/>
      <w:szCs w:val="22"/>
    </w:rPr>
    <w:tblPr>
      <w:tblStyleRowBandSize w:val="1"/>
      <w:tblStyleColBandSize w:val="1"/>
      <w:tblCellMar>
        <w:left w:w="115.0" w:type="dxa"/>
        <w:right w:w="115.0" w:type="dxa"/>
      </w:tblCellMar>
    </w:tblPr>
  </w:style>
  <w:style w:type="table" w:styleId="af7" w:customStyle="1">
    <w:basedOn w:val="TableNormal2"/>
    <w:rPr>
      <w:sz w:val="22"/>
      <w:szCs w:val="22"/>
    </w:rPr>
    <w:tblPr>
      <w:tblStyleRowBandSize w:val="1"/>
      <w:tblStyleColBandSize w:val="1"/>
      <w:tblCellMar>
        <w:left w:w="115.0" w:type="dxa"/>
        <w:right w:w="115.0" w:type="dxa"/>
      </w:tblCellMar>
    </w:tblPr>
  </w:style>
  <w:style w:type="table" w:styleId="af8" w:customStyle="1">
    <w:basedOn w:val="TableNormal2"/>
    <w:rPr>
      <w:sz w:val="22"/>
      <w:szCs w:val="22"/>
    </w:rPr>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9" w:customStyle="1">
    <w:basedOn w:val="TableNormal2"/>
    <w:rPr>
      <w:sz w:val="22"/>
      <w:szCs w:val="22"/>
    </w:rPr>
    <w:tblPr>
      <w:tblStyleRowBandSize w:val="1"/>
      <w:tblStyleColBandSize w:val="1"/>
      <w:tblCellMar>
        <w:left w:w="115.0" w:type="dxa"/>
        <w:right w:w="115.0" w:type="dxa"/>
      </w:tblCellMar>
    </w:tblPr>
  </w:style>
  <w:style w:type="table" w:styleId="afa" w:customStyle="1">
    <w:basedOn w:val="TableNormal2"/>
    <w:rPr>
      <w:sz w:val="22"/>
      <w:szCs w:val="22"/>
    </w:rPr>
    <w:tblPr>
      <w:tblStyleRowBandSize w:val="1"/>
      <w:tblStyleColBandSize w:val="1"/>
      <w:tblCellMar>
        <w:left w:w="115.0" w:type="dxa"/>
        <w:right w:w="115.0" w:type="dxa"/>
      </w:tblCellMar>
    </w:tblPr>
  </w:style>
  <w:style w:type="table" w:styleId="afb" w:customStyle="1">
    <w:basedOn w:val="TableNormal1"/>
    <w:rPr>
      <w:sz w:val="22"/>
      <w:szCs w:val="22"/>
    </w:rPr>
    <w:tblPr>
      <w:tblStyleRowBandSize w:val="1"/>
      <w:tblStyleColBandSize w:val="1"/>
      <w:tblCellMar>
        <w:left w:w="115.0" w:type="dxa"/>
        <w:right w:w="115.0" w:type="dxa"/>
      </w:tblCellMar>
    </w:tblPr>
  </w:style>
  <w:style w:type="table" w:styleId="afc" w:customStyle="1">
    <w:basedOn w:val="TableNormal1"/>
    <w:rPr>
      <w:sz w:val="22"/>
      <w:szCs w:val="22"/>
    </w:rPr>
    <w:tblPr>
      <w:tblStyleRowBandSize w:val="1"/>
      <w:tblStyleColBandSize w:val="1"/>
      <w:tblCellMar>
        <w:left w:w="115.0" w:type="dxa"/>
        <w:right w:w="115.0" w:type="dxa"/>
      </w:tblCellMar>
    </w:tblPr>
  </w:style>
  <w:style w:type="table" w:styleId="afd" w:customStyle="1">
    <w:basedOn w:val="TableNormal1"/>
    <w:rPr>
      <w:sz w:val="22"/>
      <w:szCs w:val="22"/>
    </w:rPr>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e" w:customStyle="1">
    <w:basedOn w:val="TableNormal1"/>
    <w:rPr>
      <w:sz w:val="22"/>
      <w:szCs w:val="22"/>
    </w:rPr>
    <w:tblPr>
      <w:tblStyleRowBandSize w:val="1"/>
      <w:tblStyleColBandSize w:val="1"/>
      <w:tblCellMar>
        <w:left w:w="115.0" w:type="dxa"/>
        <w:right w:w="115.0" w:type="dxa"/>
      </w:tblCellMar>
    </w:tblPr>
  </w:style>
  <w:style w:type="table" w:styleId="aff" w:customStyle="1">
    <w:basedOn w:val="TableNormal1"/>
    <w:rPr>
      <w:sz w:val="22"/>
      <w:szCs w:val="22"/>
    </w:rPr>
    <w:tblPr>
      <w:tblStyleRowBandSize w:val="1"/>
      <w:tblStyleColBandSize w:val="1"/>
      <w:tblCellMar>
        <w:left w:w="115.0" w:type="dxa"/>
        <w:right w:w="115.0" w:type="dxa"/>
      </w:tblCellMar>
    </w:tblPr>
  </w:style>
  <w:style w:type="character" w:styleId="UnresolvedMention" w:customStyle="1">
    <w:name w:val="Unresolved Mention"/>
    <w:basedOn w:val="Fuentedeprrafopredeter"/>
    <w:uiPriority w:val="99"/>
    <w:semiHidden w:val="1"/>
    <w:unhideWhenUsed w:val="1"/>
    <w:rsid w:val="00B97F74"/>
    <w:rPr>
      <w:color w:val="605e5c"/>
      <w:shd w:color="auto" w:fill="e1dfdd" w:val="clear"/>
    </w:rPr>
  </w:style>
  <w:style w:type="table" w:styleId="aff0" w:customStyle="1">
    <w:basedOn w:val="TableNormal0"/>
    <w:rPr>
      <w:sz w:val="22"/>
      <w:szCs w:val="22"/>
    </w:rPr>
    <w:tblPr>
      <w:tblStyleRowBandSize w:val="1"/>
      <w:tblStyleColBandSize w:val="1"/>
      <w:tblCellMar>
        <w:left w:w="115.0" w:type="dxa"/>
        <w:right w:w="115.0" w:type="dxa"/>
      </w:tblCellMar>
    </w:tblPr>
  </w:style>
  <w:style w:type="table" w:styleId="aff1" w:customStyle="1">
    <w:basedOn w:val="TableNormal0"/>
    <w:rPr>
      <w:sz w:val="22"/>
      <w:szCs w:val="22"/>
    </w:rPr>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2" w:customStyle="1">
    <w:basedOn w:val="TableNormal0"/>
    <w:rPr>
      <w:sz w:val="22"/>
      <w:szCs w:val="22"/>
    </w:rPr>
    <w:tblPr>
      <w:tblStyleRowBandSize w:val="1"/>
      <w:tblStyleColBandSize w:val="1"/>
      <w:tblCellMar>
        <w:left w:w="115.0" w:type="dxa"/>
        <w:right w:w="115.0" w:type="dxa"/>
      </w:tblCellMar>
    </w:tblPr>
  </w:style>
  <w:style w:type="table" w:styleId="aff3" w:customStyle="1">
    <w:basedOn w:val="TableNormal0"/>
    <w:rPr>
      <w:sz w:val="22"/>
      <w:szCs w:val="22"/>
    </w:rPr>
    <w:tblPr>
      <w:tblStyleRowBandSize w:val="1"/>
      <w:tblStyleColBandSize w:val="1"/>
      <w:tblCellMar>
        <w:left w:w="115.0" w:type="dxa"/>
        <w:right w:w="115.0" w:type="dxa"/>
      </w:tblCellMar>
    </w:tblPr>
  </w:style>
  <w:style w:type="paragraph" w:styleId="Subtitle">
    <w:name w:val="Subtitle"/>
    <w:basedOn w:val="Normal"/>
    <w:next w:val="Normal"/>
    <w:pPr>
      <w:spacing w:after="160" w:lineRule="auto"/>
    </w:pPr>
    <w:rPr>
      <w:rFonts w:ascii="Cambria" w:cs="Cambria" w:eastAsia="Cambria" w:hAnsi="Cambria"/>
      <w:color w:val="5a5a5a"/>
      <w:sz w:val="22"/>
      <w:szCs w:val="22"/>
    </w:rPr>
  </w:style>
  <w:style w:type="table" w:styleId="Table1">
    <w:basedOn w:val="TableNormal"/>
    <w:rPr>
      <w:sz w:val="22"/>
      <w:szCs w:val="22"/>
    </w:rPr>
    <w:tblPr>
      <w:tblStyleRowBandSize w:val="1"/>
      <w:tblStyleColBandSize w:val="1"/>
      <w:tblCellMar>
        <w:top w:w="0.0" w:type="dxa"/>
        <w:left w:w="115.0" w:type="dxa"/>
        <w:bottom w:w="0.0" w:type="dxa"/>
        <w:right w:w="115.0" w:type="dxa"/>
      </w:tblCellMar>
    </w:tblPr>
  </w:style>
  <w:style w:type="table" w:styleId="Table2">
    <w:basedOn w:val="TableNormal"/>
    <w:rPr>
      <w:sz w:val="22"/>
      <w:szCs w:val="22"/>
    </w:rPr>
    <w:tblPr>
      <w:tblStyleRowBandSize w:val="1"/>
      <w:tblStyleColBandSize w:val="1"/>
      <w:tblCellMar>
        <w:top w:w="0.0" w:type="dxa"/>
        <w:left w:w="115.0" w:type="dxa"/>
        <w:bottom w:w="0.0" w:type="dxa"/>
        <w:right w:w="115.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bottom w:color="95b3d7" w:space="0" w:sz="4" w:val="single"/>
        </w:tcBorders>
      </w:tcPr>
    </w:tblStylePr>
    <w:tblStylePr w:type="lastCol">
      <w:rPr>
        <w:b w:val="1"/>
      </w:rPr>
    </w:tblStylePr>
    <w:tblStylePr w:type="lastRow">
      <w:rPr>
        <w:b w:val="1"/>
      </w:rPr>
      <w:tcPr>
        <w:tcBorders>
          <w:top w:color="95b3d7" w:space="0" w:sz="4" w:val="single"/>
        </w:tcBorders>
      </w:tcPr>
    </w:tblStylePr>
  </w:style>
  <w:style w:type="table" w:styleId="Table3">
    <w:basedOn w:val="TableNormal"/>
    <w:rPr>
      <w:sz w:val="22"/>
      <w:szCs w:val="22"/>
    </w:rPr>
    <w:tblPr>
      <w:tblStyleRowBandSize w:val="1"/>
      <w:tblStyleColBandSize w:val="1"/>
      <w:tblCellMar>
        <w:top w:w="0.0" w:type="dxa"/>
        <w:left w:w="115.0" w:type="dxa"/>
        <w:bottom w:w="0.0" w:type="dxa"/>
        <w:right w:w="115.0" w:type="dxa"/>
      </w:tblCellMar>
    </w:tblPr>
  </w:style>
  <w:style w:type="table" w:styleId="Table4">
    <w:basedOn w:val="TableNormal"/>
    <w:rPr>
      <w:sz w:val="22"/>
      <w:szCs w:val="22"/>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4.png"/><Relationship Id="rId21" Type="http://schemas.openxmlformats.org/officeDocument/2006/relationships/image" Target="media/image18.png"/><Relationship Id="rId24" Type="http://schemas.openxmlformats.org/officeDocument/2006/relationships/image" Target="media/image11.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8.png"/><Relationship Id="rId26" Type="http://schemas.openxmlformats.org/officeDocument/2006/relationships/image" Target="media/image15.png"/><Relationship Id="rId25" Type="http://schemas.openxmlformats.org/officeDocument/2006/relationships/image" Target="media/image16.png"/><Relationship Id="rId28" Type="http://schemas.openxmlformats.org/officeDocument/2006/relationships/header" Target="header1.xml"/><Relationship Id="rId27"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image" Target="media/image1.png"/><Relationship Id="rId31" Type="http://schemas.openxmlformats.org/officeDocument/2006/relationships/header" Target="header3.xml"/><Relationship Id="rId30" Type="http://schemas.openxmlformats.org/officeDocument/2006/relationships/footer" Target="footer1.xml"/><Relationship Id="rId11" Type="http://schemas.openxmlformats.org/officeDocument/2006/relationships/image" Target="media/image20.png"/><Relationship Id="rId10" Type="http://schemas.openxmlformats.org/officeDocument/2006/relationships/image" Target="media/image12.png"/><Relationship Id="rId13" Type="http://schemas.openxmlformats.org/officeDocument/2006/relationships/image" Target="media/image2.png"/><Relationship Id="rId12" Type="http://schemas.openxmlformats.org/officeDocument/2006/relationships/image" Target="media/image3.png"/><Relationship Id="rId15" Type="http://schemas.openxmlformats.org/officeDocument/2006/relationships/image" Target="media/image10.png"/><Relationship Id="rId14" Type="http://schemas.openxmlformats.org/officeDocument/2006/relationships/image" Target="media/image6.png"/><Relationship Id="rId17" Type="http://schemas.openxmlformats.org/officeDocument/2006/relationships/image" Target="media/image9.png"/><Relationship Id="rId16" Type="http://schemas.openxmlformats.org/officeDocument/2006/relationships/image" Target="media/image7.png"/><Relationship Id="rId19" Type="http://schemas.openxmlformats.org/officeDocument/2006/relationships/image" Target="media/image17.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zIv9xqxLgWVemkt9nj4xKF5Emw==">AMUW2mXgSZTTmXbBvFtH3cZrdlbhKGzIoPWv+1GhAmvcOC4BKgj0LQjfssDC7pX4aKk5yprY9I3QAfaEF0T32gOvMBjXtvIayyULSoduPOw29NtdVUmOy0znkesrI3LLkqEKXXKnl43CcMyVa9oC2ofGpGz6d+Ng2AewRJNrdchgxsHvErR2mWNl4+RXJPi5i0pZU9COKdil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2022-06-16T01:44:00Z</dcterms:created>
  <dc:creator>iMac</dc:creator>
</cp:coreProperties>
</file>