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5C" w:rsidRDefault="00A2327D">
      <w:pPr>
        <w:spacing w:before="240" w:after="24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diez de agosto de dos mil veintidós.</w:t>
      </w:r>
    </w:p>
    <w:p w:rsidR="009E585C" w:rsidRDefault="00A2327D">
      <w:pPr>
        <w:spacing w:after="80"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04709/INFOEM/IP/RR/2022</w:t>
      </w:r>
      <w:r>
        <w:rPr>
          <w:rFonts w:ascii="Palatino Linotype" w:eastAsia="Palatino Linotype" w:hAnsi="Palatino Linotype" w:cs="Palatino Linotype"/>
          <w:sz w:val="24"/>
          <w:szCs w:val="24"/>
        </w:rPr>
        <w:t xml:space="preserve"> interpuestos por </w:t>
      </w:r>
      <w:proofErr w:type="spellStart"/>
      <w:r w:rsidR="00FE6A40" w:rsidRPr="00FE6A40">
        <w:rPr>
          <w:rFonts w:ascii="Palatino Linotype" w:eastAsia="Palatino Linotype" w:hAnsi="Palatino Linotype" w:cs="Palatino Linotype"/>
          <w:b/>
          <w:sz w:val="24"/>
          <w:szCs w:val="24"/>
        </w:rPr>
        <w:t>Xxxxxx</w:t>
      </w:r>
      <w:proofErr w:type="spellEnd"/>
      <w:r w:rsidR="00FE6A40" w:rsidRPr="00FE6A40">
        <w:rPr>
          <w:rFonts w:ascii="Palatino Linotype" w:eastAsia="Palatino Linotype" w:hAnsi="Palatino Linotype" w:cs="Palatino Linotype"/>
          <w:b/>
          <w:sz w:val="24"/>
          <w:szCs w:val="24"/>
        </w:rPr>
        <w:t xml:space="preserve"> </w:t>
      </w:r>
      <w:proofErr w:type="spellStart"/>
      <w:r w:rsidR="00FE6A40" w:rsidRPr="00FE6A40">
        <w:rPr>
          <w:rFonts w:ascii="Palatino Linotype" w:eastAsia="Palatino Linotype" w:hAnsi="Palatino Linotype" w:cs="Palatino Linotype"/>
          <w:b/>
          <w:sz w:val="24"/>
          <w:szCs w:val="24"/>
        </w:rPr>
        <w:t>Xxxxx</w:t>
      </w:r>
      <w:proofErr w:type="spellEnd"/>
      <w:r w:rsidR="00FE6A40" w:rsidRPr="00FE6A40">
        <w:rPr>
          <w:rFonts w:ascii="Palatino Linotype" w:eastAsia="Palatino Linotype" w:hAnsi="Palatino Linotype" w:cs="Palatino Linotype"/>
          <w:b/>
          <w:sz w:val="24"/>
          <w:szCs w:val="24"/>
        </w:rPr>
        <w:t xml:space="preserve"> </w:t>
      </w:r>
      <w:proofErr w:type="spellStart"/>
      <w:r w:rsidR="00FE6A40" w:rsidRPr="00FE6A40">
        <w:rPr>
          <w:rFonts w:ascii="Palatino Linotype" w:eastAsia="Palatino Linotype" w:hAnsi="Palatino Linotype" w:cs="Palatino Linotype"/>
          <w:b/>
          <w:sz w:val="24"/>
          <w:szCs w:val="24"/>
        </w:rPr>
        <w:t>Xxxxx</w:t>
      </w:r>
      <w:proofErr w:type="spellEnd"/>
      <w:r>
        <w:rPr>
          <w:rFonts w:ascii="Palatino Linotype" w:eastAsia="Palatino Linotype" w:hAnsi="Palatino Linotype" w:cs="Palatino Linotype"/>
          <w:sz w:val="24"/>
          <w:szCs w:val="24"/>
        </w:rPr>
        <w:t xml:space="preserve">, el cual en lo sucesivo se le denominara </w:t>
      </w:r>
      <w:r>
        <w:rPr>
          <w:rFonts w:ascii="Palatino Linotype" w:eastAsia="Palatino Linotype" w:hAnsi="Palatino Linotype" w:cs="Palatino Linotype"/>
          <w:b/>
          <w:sz w:val="24"/>
          <w:szCs w:val="24"/>
        </w:rPr>
        <w:t>LA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color w:val="000000"/>
          <w:sz w:val="24"/>
          <w:szCs w:val="24"/>
        </w:rPr>
        <w:t>00596/TOLUCA/IP/2022</w:t>
      </w:r>
      <w:r>
        <w:rPr>
          <w:rFonts w:ascii="Palatino Linotype" w:eastAsia="Palatino Linotype" w:hAnsi="Palatino Linotype" w:cs="Palatino Linotype"/>
          <w:sz w:val="24"/>
          <w:szCs w:val="24"/>
        </w:rPr>
        <w:t xml:space="preserve">, por parte del Ayuntamiento de Toluca,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rsidR="009E585C" w:rsidRDefault="00A2327D">
      <w:pPr>
        <w:spacing w:before="80" w:after="240" w:line="360" w:lineRule="auto"/>
        <w:ind w:right="49"/>
        <w:jc w:val="center"/>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b/>
          <w:sz w:val="24"/>
          <w:szCs w:val="24"/>
        </w:rPr>
        <w:t>A N T E C E D E N T E S</w:t>
      </w:r>
    </w:p>
    <w:p w:rsidR="009E585C" w:rsidRDefault="00A2327D">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1. SOLICITUD. </w:t>
      </w:r>
      <w:r>
        <w:rPr>
          <w:rFonts w:ascii="Palatino Linotype" w:eastAsia="Palatino Linotype" w:hAnsi="Palatino Linotype" w:cs="Palatino Linotype"/>
          <w:sz w:val="24"/>
          <w:szCs w:val="24"/>
        </w:rPr>
        <w:t xml:space="preserve">Con fecha primero de marzo de dos mil veintidós, </w:t>
      </w:r>
      <w:r>
        <w:rPr>
          <w:rFonts w:ascii="Palatino Linotype" w:eastAsia="Palatino Linotype" w:hAnsi="Palatino Linotype" w:cs="Palatino Linotype"/>
          <w:b/>
          <w:sz w:val="24"/>
          <w:szCs w:val="24"/>
        </w:rPr>
        <w:t>LA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color w:val="000000"/>
          <w:sz w:val="24"/>
          <w:szCs w:val="24"/>
        </w:rPr>
        <w:t>00596/TOLUCA/IP/2022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el cual solicitó información en el siguiente tenor:</w:t>
      </w:r>
    </w:p>
    <w:p w:rsidR="009E585C" w:rsidRDefault="00A2327D">
      <w:pP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“Solicito el aviso de privacidad vigente (no quiero el de la anterior administración administración) de la Unidad de Transparencia, el reglamento interno, manual de procedimientos y manual de organización y certificación de la titular de la unidad de transparencia, expediente laboral, </w:t>
      </w:r>
      <w:proofErr w:type="spellStart"/>
      <w:r>
        <w:rPr>
          <w:rFonts w:ascii="Palatino Linotype" w:eastAsia="Palatino Linotype" w:hAnsi="Palatino Linotype" w:cs="Palatino Linotype"/>
          <w:i/>
          <w:color w:val="000000"/>
        </w:rPr>
        <w:t>curriculum</w:t>
      </w:r>
      <w:proofErr w:type="spellEnd"/>
      <w:r>
        <w:rPr>
          <w:rFonts w:ascii="Palatino Linotype" w:eastAsia="Palatino Linotype" w:hAnsi="Palatino Linotype" w:cs="Palatino Linotype"/>
          <w:i/>
          <w:color w:val="000000"/>
        </w:rPr>
        <w:t xml:space="preserve"> Vitae, estudios que avalen que tiene el perfil para el puesto, cursos en materia de transparencia y protección de datos personales. “(Sic)</w:t>
      </w:r>
    </w:p>
    <w:p w:rsidR="009E585C" w:rsidRDefault="009E585C">
      <w:pPr>
        <w:rPr>
          <w:rFonts w:ascii="Palatino Linotype" w:eastAsia="Palatino Linotype" w:hAnsi="Palatino Linotype" w:cs="Palatino Linotype"/>
        </w:rPr>
      </w:pPr>
    </w:p>
    <w:p w:rsidR="009E585C" w:rsidRDefault="00A2327D">
      <w:pPr>
        <w:tabs>
          <w:tab w:val="left" w:pos="7275"/>
        </w:tabs>
        <w:rPr>
          <w:rFonts w:ascii="Palatino Linotype" w:eastAsia="Palatino Linotype" w:hAnsi="Palatino Linotype" w:cs="Palatino Linotype"/>
        </w:rPr>
      </w:pPr>
      <w:r>
        <w:rPr>
          <w:rFonts w:ascii="Palatino Linotype" w:eastAsia="Palatino Linotype" w:hAnsi="Palatino Linotype" w:cs="Palatino Linotype"/>
        </w:rPr>
        <w:lastRenderedPageBreak/>
        <w:tab/>
      </w:r>
    </w:p>
    <w:p w:rsidR="009E585C" w:rsidRDefault="00A2327D">
      <w:pPr>
        <w:spacing w:before="120" w:after="120" w:line="360" w:lineRule="auto"/>
        <w:ind w:right="-234"/>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veinticuatro de marzo del dos mil veintidós,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p>
    <w:p w:rsidR="009E585C" w:rsidRDefault="00A2327D">
      <w:pPr>
        <w:spacing w:before="120" w:after="120" w:line="276" w:lineRule="auto"/>
        <w:ind w:left="851" w:right="1041"/>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E585C" w:rsidRDefault="00A2327D">
      <w:pPr>
        <w:spacing w:before="120" w:after="120" w:line="276" w:lineRule="auto"/>
        <w:ind w:left="851" w:right="1041"/>
        <w:jc w:val="both"/>
        <w:rPr>
          <w:rFonts w:ascii="Palatino Linotype" w:eastAsia="Palatino Linotype" w:hAnsi="Palatino Linotype" w:cs="Palatino Linotype"/>
          <w:i/>
        </w:rPr>
      </w:pPr>
      <w:r>
        <w:rPr>
          <w:rFonts w:ascii="Palatino Linotype" w:eastAsia="Palatino Linotype" w:hAnsi="Palatino Linotype" w:cs="Palatino Linotype"/>
          <w:i/>
        </w:rPr>
        <w:t>En atención a la solicitud de información número 00596/TOLUCA/IP/2022, me permito adjuntar al presente la respuesta correspondiente. Sin más por el momento, le envío un cordial saludo.</w:t>
      </w:r>
    </w:p>
    <w:p w:rsidR="009E585C" w:rsidRDefault="00A2327D">
      <w:pPr>
        <w:spacing w:before="120" w:after="120" w:line="276" w:lineRule="auto"/>
        <w:ind w:left="851" w:right="1041"/>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rsidR="009E585C" w:rsidRDefault="00A2327D">
      <w:pPr>
        <w:spacing w:before="120" w:after="0" w:line="276" w:lineRule="auto"/>
        <w:ind w:left="851" w:right="1041"/>
        <w:jc w:val="both"/>
        <w:rPr>
          <w:rFonts w:ascii="Palatino Linotype" w:eastAsia="Palatino Linotype" w:hAnsi="Palatino Linotype" w:cs="Palatino Linotype"/>
          <w:i/>
        </w:rPr>
      </w:pPr>
      <w:r>
        <w:rPr>
          <w:rFonts w:ascii="Palatino Linotype" w:eastAsia="Palatino Linotype" w:hAnsi="Palatino Linotype" w:cs="Palatino Linotype"/>
          <w:i/>
        </w:rPr>
        <w:t>Lic. Norma Sofía Pérez Martínez” (Sic).</w:t>
      </w:r>
    </w:p>
    <w:p w:rsidR="009E585C" w:rsidRDefault="009E585C">
      <w:pPr>
        <w:spacing w:after="0" w:line="360" w:lineRule="auto"/>
        <w:ind w:left="851" w:right="1041"/>
        <w:jc w:val="both"/>
        <w:rPr>
          <w:rFonts w:ascii="Palatino Linotype" w:eastAsia="Palatino Linotype" w:hAnsi="Palatino Linotype" w:cs="Palatino Linotype"/>
          <w:i/>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Sujeto Obligado para tal efecto los siguientes archivos electrónicos denominados: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5601A6">
      <w:pPr>
        <w:spacing w:after="0" w:line="360" w:lineRule="auto"/>
        <w:jc w:val="both"/>
        <w:rPr>
          <w:rFonts w:ascii="Palatino Linotype" w:eastAsia="Palatino Linotype" w:hAnsi="Palatino Linotype" w:cs="Palatino Linotype"/>
          <w:color w:val="000000"/>
          <w:sz w:val="24"/>
          <w:szCs w:val="24"/>
        </w:rPr>
      </w:pPr>
      <w:hyperlink r:id="rId8">
        <w:r w:rsidR="00A2327D">
          <w:rPr>
            <w:rFonts w:ascii="Palatino Linotype" w:eastAsia="Palatino Linotype" w:hAnsi="Palatino Linotype" w:cs="Palatino Linotype"/>
            <w:b/>
            <w:i/>
            <w:color w:val="000000"/>
            <w:sz w:val="24"/>
            <w:szCs w:val="24"/>
            <w:u w:val="single"/>
          </w:rPr>
          <w:t>MANUAL DE PROCEDIMIENTOS.pdf</w:t>
        </w:r>
      </w:hyperlink>
      <w:r w:rsidR="00A2327D">
        <w:rPr>
          <w:rFonts w:ascii="Palatino Linotype" w:eastAsia="Palatino Linotype" w:hAnsi="Palatino Linotype" w:cs="Palatino Linotype"/>
          <w:b/>
          <w:i/>
          <w:color w:val="000000"/>
          <w:sz w:val="24"/>
          <w:szCs w:val="24"/>
          <w:u w:val="single"/>
        </w:rPr>
        <w:t xml:space="preserve">: </w:t>
      </w:r>
      <w:r w:rsidR="00A2327D">
        <w:rPr>
          <w:rFonts w:ascii="Palatino Linotype" w:eastAsia="Palatino Linotype" w:hAnsi="Palatino Linotype" w:cs="Palatino Linotype"/>
          <w:color w:val="000000"/>
          <w:sz w:val="24"/>
          <w:szCs w:val="24"/>
        </w:rPr>
        <w:t xml:space="preserve">Manual de Procedimientos de la Unidad de Transparencia. </w:t>
      </w: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r>
      <w:hyperlink r:id="rId9">
        <w:proofErr w:type="spellStart"/>
        <w:r>
          <w:rPr>
            <w:rFonts w:ascii="Palatino Linotype" w:eastAsia="Palatino Linotype" w:hAnsi="Palatino Linotype" w:cs="Palatino Linotype"/>
            <w:b/>
            <w:i/>
            <w:color w:val="000000"/>
            <w:sz w:val="24"/>
            <w:szCs w:val="24"/>
            <w:u w:val="single"/>
          </w:rPr>
          <w:t>Manual-de-Organización-Unidad-Transparencia</w:t>
        </w:r>
        <w:proofErr w:type="spellEnd"/>
        <w:r>
          <w:rPr>
            <w:rFonts w:ascii="Palatino Linotype" w:eastAsia="Palatino Linotype" w:hAnsi="Palatino Linotype" w:cs="Palatino Linotype"/>
            <w:b/>
            <w:i/>
            <w:color w:val="000000"/>
            <w:sz w:val="24"/>
            <w:szCs w:val="24"/>
            <w:u w:val="single"/>
          </w:rPr>
          <w:t xml:space="preserve"> FINAL.pdf</w:t>
        </w:r>
      </w:hyperlink>
      <w:r>
        <w:rPr>
          <w:rFonts w:ascii="Palatino Linotype" w:eastAsia="Palatino Linotype" w:hAnsi="Palatino Linotype" w:cs="Palatino Linotype"/>
          <w:b/>
          <w:i/>
          <w:color w:val="000000"/>
          <w:sz w:val="24"/>
          <w:szCs w:val="24"/>
          <w:u w:val="single"/>
        </w:rPr>
        <w:t>:</w:t>
      </w:r>
      <w:r>
        <w:rPr>
          <w:rFonts w:ascii="Palatino Linotype" w:eastAsia="Palatino Linotype" w:hAnsi="Palatino Linotype" w:cs="Palatino Linotype"/>
          <w:color w:val="000000"/>
          <w:sz w:val="24"/>
          <w:szCs w:val="24"/>
        </w:rPr>
        <w:t xml:space="preserve"> Manual de Organización de la Unidad de Transparencia. </w:t>
      </w: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r>
      <w:hyperlink r:id="rId10">
        <w:proofErr w:type="gramStart"/>
        <w:r>
          <w:rPr>
            <w:rFonts w:ascii="Palatino Linotype" w:eastAsia="Palatino Linotype" w:hAnsi="Palatino Linotype" w:cs="Palatino Linotype"/>
            <w:b/>
            <w:i/>
            <w:color w:val="000000"/>
            <w:sz w:val="24"/>
            <w:szCs w:val="24"/>
            <w:u w:val="single"/>
          </w:rPr>
          <w:t>tol-pdf-aviso-privacidad-transparencia-2022.pdf</w:t>
        </w:r>
        <w:proofErr w:type="gramEnd"/>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Aviso de Privacidad Vigente de la Unidad de Transparencia. </w:t>
      </w:r>
    </w:p>
    <w:p w:rsidR="009E585C" w:rsidRDefault="009E585C">
      <w:pPr>
        <w:spacing w:after="0" w:line="360" w:lineRule="auto"/>
        <w:jc w:val="both"/>
        <w:rPr>
          <w:rFonts w:ascii="Palatino Linotype" w:eastAsia="Palatino Linotype" w:hAnsi="Palatino Linotype" w:cs="Palatino Linotype"/>
          <w:b/>
          <w:i/>
          <w:color w:val="000000"/>
          <w:sz w:val="24"/>
          <w:szCs w:val="24"/>
          <w:u w:val="single"/>
        </w:rPr>
      </w:pPr>
    </w:p>
    <w:p w:rsidR="009E585C" w:rsidRDefault="005601A6">
      <w:pPr>
        <w:spacing w:after="0" w:line="360" w:lineRule="auto"/>
        <w:jc w:val="both"/>
        <w:rPr>
          <w:rFonts w:ascii="Palatino Linotype" w:eastAsia="Palatino Linotype" w:hAnsi="Palatino Linotype" w:cs="Palatino Linotype"/>
          <w:color w:val="000000"/>
          <w:sz w:val="24"/>
          <w:szCs w:val="24"/>
        </w:rPr>
      </w:pPr>
      <w:hyperlink r:id="rId11">
        <w:r w:rsidR="00A2327D">
          <w:rPr>
            <w:rFonts w:ascii="Palatino Linotype" w:eastAsia="Palatino Linotype" w:hAnsi="Palatino Linotype" w:cs="Palatino Linotype"/>
            <w:b/>
            <w:i/>
            <w:color w:val="000000"/>
            <w:sz w:val="24"/>
            <w:szCs w:val="24"/>
            <w:u w:val="single"/>
          </w:rPr>
          <w:t>Codigo-Reglamentario.pdf</w:t>
        </w:r>
      </w:hyperlink>
      <w:r w:rsidR="00A2327D">
        <w:rPr>
          <w:rFonts w:ascii="Palatino Linotype" w:eastAsia="Palatino Linotype" w:hAnsi="Palatino Linotype" w:cs="Palatino Linotype"/>
          <w:b/>
          <w:i/>
          <w:color w:val="000000"/>
          <w:sz w:val="24"/>
          <w:szCs w:val="24"/>
          <w:u w:val="single"/>
        </w:rPr>
        <w:t xml:space="preserve">: </w:t>
      </w:r>
      <w:r w:rsidR="00A2327D">
        <w:rPr>
          <w:rFonts w:ascii="Palatino Linotype" w:eastAsia="Palatino Linotype" w:hAnsi="Palatino Linotype" w:cs="Palatino Linotype"/>
          <w:color w:val="000000"/>
          <w:sz w:val="24"/>
          <w:szCs w:val="24"/>
        </w:rPr>
        <w:t>Código Reglamentario Municipal de Toluca.</w:t>
      </w: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r>
      <w:hyperlink r:id="rId12">
        <w:proofErr w:type="gramStart"/>
        <w:r>
          <w:rPr>
            <w:rFonts w:ascii="Palatino Linotype" w:eastAsia="Palatino Linotype" w:hAnsi="Palatino Linotype" w:cs="Palatino Linotype"/>
            <w:b/>
            <w:i/>
            <w:color w:val="000000"/>
            <w:sz w:val="24"/>
            <w:szCs w:val="24"/>
            <w:u w:val="single"/>
          </w:rPr>
          <w:t>comprobante</w:t>
        </w:r>
        <w:proofErr w:type="gramEnd"/>
        <w:r>
          <w:rPr>
            <w:rFonts w:ascii="Palatino Linotype" w:eastAsia="Palatino Linotype" w:hAnsi="Palatino Linotype" w:cs="Palatino Linotype"/>
            <w:b/>
            <w:i/>
            <w:color w:val="000000"/>
            <w:sz w:val="24"/>
            <w:szCs w:val="24"/>
            <w:u w:val="single"/>
          </w:rPr>
          <w:t xml:space="preserve"> estudios norma </w:t>
        </w:r>
        <w:proofErr w:type="spellStart"/>
        <w:r>
          <w:rPr>
            <w:rFonts w:ascii="Palatino Linotype" w:eastAsia="Palatino Linotype" w:hAnsi="Palatino Linotype" w:cs="Palatino Linotype"/>
            <w:b/>
            <w:i/>
            <w:color w:val="000000"/>
            <w:sz w:val="24"/>
            <w:szCs w:val="24"/>
            <w:u w:val="single"/>
          </w:rPr>
          <w:t>sofia</w:t>
        </w:r>
        <w:proofErr w:type="spellEnd"/>
        <w:r>
          <w:rPr>
            <w:rFonts w:ascii="Palatino Linotype" w:eastAsia="Palatino Linotype" w:hAnsi="Palatino Linotype" w:cs="Palatino Linotype"/>
            <w:b/>
            <w:i/>
            <w:color w:val="000000"/>
            <w:sz w:val="24"/>
            <w:szCs w:val="24"/>
            <w:u w:val="single"/>
          </w:rPr>
          <w:t xml:space="preserve"> perez.pdf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Cédula Profesional de la Titular de la Unidad de Transparencia. </w:t>
      </w: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r>
      <w:hyperlink r:id="rId13">
        <w:r>
          <w:rPr>
            <w:rFonts w:ascii="Palatino Linotype" w:eastAsia="Palatino Linotype" w:hAnsi="Palatino Linotype" w:cs="Palatino Linotype"/>
            <w:b/>
            <w:i/>
            <w:color w:val="000000"/>
            <w:sz w:val="24"/>
            <w:szCs w:val="24"/>
            <w:u w:val="single"/>
          </w:rPr>
          <w:t>FICHA CURRICULAR NORMA SOFIA PEREZ.pdf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Ficha Curricular de la Titular de la Unidad de Transparencia. </w:t>
      </w:r>
    </w:p>
    <w:p w:rsidR="009E585C" w:rsidRDefault="00A2327D">
      <w:pPr>
        <w:spacing w:after="0" w:line="36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r>
      <w:hyperlink r:id="rId14">
        <w:proofErr w:type="spellStart"/>
        <w:proofErr w:type="gramStart"/>
        <w:r>
          <w:rPr>
            <w:rFonts w:ascii="Palatino Linotype" w:eastAsia="Palatino Linotype" w:hAnsi="Palatino Linotype" w:cs="Palatino Linotype"/>
            <w:b/>
            <w:i/>
            <w:color w:val="000000"/>
            <w:sz w:val="24"/>
            <w:szCs w:val="24"/>
            <w:u w:val="single"/>
          </w:rPr>
          <w:t>certif</w:t>
        </w:r>
        <w:proofErr w:type="spellEnd"/>
        <w:proofErr w:type="gramEnd"/>
        <w:r>
          <w:rPr>
            <w:rFonts w:ascii="Palatino Linotype" w:eastAsia="Palatino Linotype" w:hAnsi="Palatino Linotype" w:cs="Palatino Linotype"/>
            <w:b/>
            <w:i/>
            <w:color w:val="000000"/>
            <w:sz w:val="24"/>
            <w:szCs w:val="24"/>
            <w:u w:val="single"/>
          </w:rPr>
          <w:t xml:space="preserve"> </w:t>
        </w:r>
        <w:proofErr w:type="spellStart"/>
        <w:r>
          <w:rPr>
            <w:rFonts w:ascii="Palatino Linotype" w:eastAsia="Palatino Linotype" w:hAnsi="Palatino Linotype" w:cs="Palatino Linotype"/>
            <w:b/>
            <w:i/>
            <w:color w:val="000000"/>
            <w:sz w:val="24"/>
            <w:szCs w:val="24"/>
            <w:u w:val="single"/>
          </w:rPr>
          <w:t>comp</w:t>
        </w:r>
        <w:proofErr w:type="spellEnd"/>
        <w:r>
          <w:rPr>
            <w:rFonts w:ascii="Palatino Linotype" w:eastAsia="Palatino Linotype" w:hAnsi="Palatino Linotype" w:cs="Palatino Linotype"/>
            <w:b/>
            <w:i/>
            <w:color w:val="000000"/>
            <w:sz w:val="24"/>
            <w:szCs w:val="24"/>
            <w:u w:val="single"/>
          </w:rPr>
          <w:t xml:space="preserve"> laboral norma </w:t>
        </w:r>
        <w:proofErr w:type="spellStart"/>
        <w:r>
          <w:rPr>
            <w:rFonts w:ascii="Palatino Linotype" w:eastAsia="Palatino Linotype" w:hAnsi="Palatino Linotype" w:cs="Palatino Linotype"/>
            <w:b/>
            <w:i/>
            <w:color w:val="000000"/>
            <w:sz w:val="24"/>
            <w:szCs w:val="24"/>
            <w:u w:val="single"/>
          </w:rPr>
          <w:t>sofia</w:t>
        </w:r>
        <w:proofErr w:type="spellEnd"/>
        <w:r>
          <w:rPr>
            <w:rFonts w:ascii="Palatino Linotype" w:eastAsia="Palatino Linotype" w:hAnsi="Palatino Linotype" w:cs="Palatino Linotype"/>
            <w:b/>
            <w:i/>
            <w:color w:val="000000"/>
            <w:sz w:val="24"/>
            <w:szCs w:val="24"/>
            <w:u w:val="single"/>
          </w:rPr>
          <w:t xml:space="preserve"> perez.pdf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Certificado de competencia laboral de la Titular de la Unidad de Transparencia. </w:t>
      </w:r>
    </w:p>
    <w:p w:rsidR="009E585C" w:rsidRDefault="00A2327D">
      <w:pPr>
        <w:spacing w:after="0" w:line="360" w:lineRule="auto"/>
        <w:jc w:val="both"/>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r>
      <w:hyperlink r:id="rId15">
        <w:r>
          <w:rPr>
            <w:rFonts w:ascii="Palatino Linotype" w:eastAsia="Palatino Linotype" w:hAnsi="Palatino Linotype" w:cs="Palatino Linotype"/>
            <w:b/>
            <w:i/>
            <w:color w:val="000000"/>
            <w:sz w:val="24"/>
            <w:szCs w:val="24"/>
            <w:u w:val="single"/>
          </w:rPr>
          <w:t>Centésima Quincuagésima Extraordinaria 22.pdf</w:t>
        </w:r>
      </w:hyperlink>
      <w:r>
        <w:rPr>
          <w:rFonts w:ascii="Palatino Linotype" w:eastAsia="Palatino Linotype" w:hAnsi="Palatino Linotype" w:cs="Palatino Linotype"/>
          <w:b/>
          <w:i/>
          <w:color w:val="000000"/>
          <w:sz w:val="24"/>
          <w:szCs w:val="24"/>
          <w:u w:val="single"/>
        </w:rPr>
        <w:t>:</w:t>
      </w:r>
      <w:r>
        <w:rPr>
          <w:rFonts w:ascii="Palatino Linotype" w:eastAsia="Palatino Linotype" w:hAnsi="Palatino Linotype" w:cs="Palatino Linotype"/>
          <w:color w:val="000000"/>
          <w:sz w:val="24"/>
          <w:szCs w:val="24"/>
        </w:rPr>
        <w:t xml:space="preserve"> Acta de la </w:t>
      </w:r>
      <w:r>
        <w:rPr>
          <w:rFonts w:ascii="Palatino Linotype" w:eastAsia="Palatino Linotype" w:hAnsi="Palatino Linotype" w:cs="Palatino Linotype"/>
          <w:sz w:val="24"/>
          <w:szCs w:val="24"/>
        </w:rPr>
        <w:t>centésima quincuagésima sesión extraordinaria 2022 del Comité de Transparencia del Municipio de Toluca</w:t>
      </w:r>
      <w:r>
        <w:rPr>
          <w:rFonts w:ascii="Palatino Linotype" w:eastAsia="Palatino Linotype" w:hAnsi="Palatino Linotype" w:cs="Palatino Linotype"/>
          <w:color w:val="000000"/>
          <w:sz w:val="24"/>
          <w:szCs w:val="24"/>
        </w:rPr>
        <w:t>.</w:t>
      </w: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r>
      <w:hyperlink r:id="rId16">
        <w:proofErr w:type="spellStart"/>
        <w:r>
          <w:rPr>
            <w:rFonts w:ascii="Palatino Linotype" w:eastAsia="Palatino Linotype" w:hAnsi="Palatino Linotype" w:cs="Palatino Linotype"/>
            <w:b/>
            <w:i/>
            <w:color w:val="000000"/>
            <w:sz w:val="24"/>
            <w:szCs w:val="24"/>
            <w:u w:val="single"/>
          </w:rPr>
          <w:t>Saimex</w:t>
        </w:r>
        <w:proofErr w:type="spellEnd"/>
        <w:r>
          <w:rPr>
            <w:rFonts w:ascii="Palatino Linotype" w:eastAsia="Palatino Linotype" w:hAnsi="Palatino Linotype" w:cs="Palatino Linotype"/>
            <w:b/>
            <w:i/>
            <w:color w:val="000000"/>
            <w:sz w:val="24"/>
            <w:szCs w:val="24"/>
            <w:u w:val="single"/>
          </w:rPr>
          <w:t xml:space="preserve"> 00596.pdf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Oficio de fecha veinticuatro de marzo de dos mil veintidós, signado por la Titular de la Unidad de Transparencia, mediante el cual describe las documentales en las que consta la respuesta otorgada a la particular. </w:t>
      </w:r>
    </w:p>
    <w:p w:rsidR="009E585C" w:rsidRDefault="009E585C">
      <w:pPr>
        <w:spacing w:after="0" w:line="240" w:lineRule="auto"/>
        <w:rPr>
          <w:rFonts w:ascii="Palatino Linotype" w:eastAsia="Palatino Linotype" w:hAnsi="Palatino Linotype" w:cs="Palatino Linotype"/>
          <w:b/>
          <w:i/>
          <w:color w:val="000000"/>
          <w:sz w:val="24"/>
          <w:szCs w:val="24"/>
          <w:u w:val="single"/>
        </w:rPr>
      </w:pPr>
    </w:p>
    <w:p w:rsidR="009E585C" w:rsidRDefault="00A2327D">
      <w:pPr>
        <w:spacing w:after="0" w:line="360" w:lineRule="auto"/>
        <w:ind w:right="-234"/>
        <w:jc w:val="both"/>
        <w:rPr>
          <w:rFonts w:ascii="Palatino Linotype" w:eastAsia="Palatino Linotype" w:hAnsi="Palatino Linotype" w:cs="Palatino Linotype"/>
          <w:sz w:val="24"/>
          <w:szCs w:val="24"/>
        </w:rPr>
      </w:pPr>
      <w:bookmarkStart w:id="4" w:name="_heading=h.2et92p0" w:colFirst="0" w:colLast="0"/>
      <w:bookmarkEnd w:id="4"/>
      <w:r>
        <w:rPr>
          <w:rFonts w:ascii="Palatino Linotype" w:eastAsia="Palatino Linotype" w:hAnsi="Palatino Linotype" w:cs="Palatino Linotype"/>
          <w:b/>
          <w:sz w:val="24"/>
          <w:szCs w:val="24"/>
        </w:rPr>
        <w:t xml:space="preserve">3.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veinticuatro de marzo de dos mil veintidós,</w:t>
      </w:r>
      <w:r>
        <w:rPr>
          <w:rFonts w:ascii="Palatino Linotype" w:eastAsia="Palatino Linotype" w:hAnsi="Palatino Linotype" w:cs="Palatino Linotype"/>
          <w:b/>
          <w:sz w:val="24"/>
          <w:szCs w:val="24"/>
        </w:rPr>
        <w:t xml:space="preserve"> LA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04709/INFOEM/IP/RR/2022</w:t>
      </w:r>
      <w:r>
        <w:rPr>
          <w:rFonts w:ascii="Palatino Linotype" w:eastAsia="Palatino Linotype" w:hAnsi="Palatino Linotype" w:cs="Palatino Linotype"/>
          <w:sz w:val="24"/>
          <w:szCs w:val="24"/>
        </w:rPr>
        <w:t>, en el cual manifiesta, lo siguiente:</w:t>
      </w:r>
    </w:p>
    <w:p w:rsidR="009E585C" w:rsidRDefault="009E585C">
      <w:pPr>
        <w:spacing w:after="0" w:line="360" w:lineRule="auto"/>
        <w:ind w:right="-234"/>
        <w:jc w:val="both"/>
        <w:rPr>
          <w:rFonts w:ascii="Palatino Linotype" w:eastAsia="Palatino Linotype" w:hAnsi="Palatino Linotype" w:cs="Palatino Linotype"/>
          <w:sz w:val="24"/>
          <w:szCs w:val="24"/>
        </w:rPr>
      </w:pPr>
    </w:p>
    <w:p w:rsidR="009E585C" w:rsidRDefault="00A2327D">
      <w:pPr>
        <w:numPr>
          <w:ilvl w:val="0"/>
          <w:numId w:val="6"/>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9E585C" w:rsidRDefault="00A2327D">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PROPORCIONADA</w:t>
      </w:r>
      <w:r>
        <w:rPr>
          <w:rFonts w:ascii="Palatino Linotype" w:eastAsia="Palatino Linotype" w:hAnsi="Palatino Linotype" w:cs="Palatino Linotype"/>
          <w:i/>
        </w:rPr>
        <w:t>” [sic]</w:t>
      </w:r>
    </w:p>
    <w:p w:rsidR="009E585C" w:rsidRDefault="00A2327D">
      <w:pPr>
        <w:numPr>
          <w:ilvl w:val="0"/>
          <w:numId w:val="6"/>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9E585C" w:rsidRDefault="00A2327D">
      <w:pPr>
        <w:spacing w:after="0" w:line="360"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RESPUESTA INCOMPLETA” </w:t>
      </w:r>
      <w:r>
        <w:rPr>
          <w:rFonts w:ascii="Palatino Linotype" w:eastAsia="Palatino Linotype" w:hAnsi="Palatino Linotype" w:cs="Palatino Linotype"/>
          <w:i/>
        </w:rPr>
        <w:t>[sic]</w:t>
      </w:r>
    </w:p>
    <w:p w:rsidR="009E585C" w:rsidRDefault="009E585C">
      <w:pPr>
        <w:spacing w:after="0" w:line="360" w:lineRule="auto"/>
        <w:ind w:left="851"/>
        <w:jc w:val="both"/>
        <w:rPr>
          <w:rFonts w:ascii="Palatino Linotype" w:eastAsia="Palatino Linotype" w:hAnsi="Palatino Linotype" w:cs="Palatino Linotype"/>
          <w:color w:val="000000"/>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bookmarkStart w:id="5" w:name="_heading=h.tyjcwt" w:colFirst="0" w:colLast="0"/>
      <w:bookmarkEnd w:id="5"/>
      <w:r>
        <w:rPr>
          <w:rFonts w:ascii="Palatino Linotype" w:eastAsia="Palatino Linotype" w:hAnsi="Palatino Linotype" w:cs="Palatino Linotype"/>
          <w:b/>
          <w:sz w:val="24"/>
          <w:szCs w:val="24"/>
        </w:rPr>
        <w:t xml:space="preserve">4. TURNO. </w:t>
      </w:r>
      <w:r>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sz w:val="24"/>
          <w:szCs w:val="24"/>
        </w:rPr>
        <w:t>04709/INFOEM/IP/RR/2022</w:t>
      </w:r>
      <w:r>
        <w:rPr>
          <w:rFonts w:ascii="Palatino Linotype" w:eastAsia="Palatino Linotype" w:hAnsi="Palatino Linotype" w:cs="Palatino Linotype"/>
          <w:sz w:val="24"/>
          <w:szCs w:val="24"/>
        </w:rPr>
        <w:t xml:space="preserve"> fue turnado a la Comisionada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rsidR="009E585C" w:rsidRDefault="009E585C">
      <w:pPr>
        <w:spacing w:after="0" w:line="240" w:lineRule="auto"/>
        <w:rPr>
          <w:rFonts w:ascii="Palatino Linotype" w:eastAsia="Palatino Linotype" w:hAnsi="Palatino Linotype" w:cs="Palatino Linotype"/>
          <w:b/>
          <w:i/>
          <w:color w:val="000000"/>
          <w:sz w:val="24"/>
          <w:szCs w:val="24"/>
          <w:u w:val="single"/>
        </w:rPr>
      </w:pPr>
    </w:p>
    <w:p w:rsidR="009E585C" w:rsidRDefault="00A2327D">
      <w:pPr>
        <w:spacing w:after="0" w:line="360" w:lineRule="auto"/>
        <w:jc w:val="both"/>
        <w:rPr>
          <w:rFonts w:ascii="Palatino Linotype" w:eastAsia="Palatino Linotype" w:hAnsi="Palatino Linotype" w:cs="Palatino Linotype"/>
          <w:b/>
          <w:sz w:val="24"/>
          <w:szCs w:val="24"/>
        </w:rPr>
      </w:pPr>
      <w:bookmarkStart w:id="6" w:name="_heading=h.3dy6vkm" w:colFirst="0" w:colLast="0"/>
      <w:bookmarkEnd w:id="6"/>
      <w:r>
        <w:rPr>
          <w:rFonts w:ascii="Palatino Linotype" w:eastAsia="Palatino Linotype" w:hAnsi="Palatino Linotype" w:cs="Palatino Linotype"/>
          <w:b/>
          <w:sz w:val="24"/>
          <w:szCs w:val="24"/>
        </w:rPr>
        <w:t xml:space="preserve">5. ADMISIÓN.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veintinueve de marzo dos mil veintidós</w:t>
      </w:r>
      <w:r>
        <w:rPr>
          <w:rFonts w:ascii="Palatino Linotype" w:eastAsia="Palatino Linotype" w:hAnsi="Palatino Linotype" w:cs="Palatino Linotype"/>
          <w:sz w:val="24"/>
          <w:szCs w:val="24"/>
        </w:rPr>
        <w:t>, en términos de lo dispuesto en el artículo 185 fracciones I, II y IV de la Ley de Transparencia y Acceso a la Información Pública del Estado de México y Municipios, se admitió a trámite el recurso de revisión al rubro indicado</w:t>
      </w:r>
      <w:r>
        <w:rPr>
          <w:rFonts w:ascii="Palatino Linotype" w:eastAsia="Palatino Linotype" w:hAnsi="Palatino Linotype" w:cs="Palatino Linotype"/>
          <w:b/>
          <w:sz w:val="24"/>
          <w:szCs w:val="24"/>
        </w:rPr>
        <w:t>.</w:t>
      </w:r>
    </w:p>
    <w:p w:rsidR="009E585C" w:rsidRDefault="00A2327D">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202124"/>
          <w:sz w:val="24"/>
          <w:szCs w:val="24"/>
        </w:rPr>
        <w:t xml:space="preserve">6. </w:t>
      </w:r>
      <w:r>
        <w:rPr>
          <w:rFonts w:ascii="Palatino Linotype" w:eastAsia="Palatino Linotype" w:hAnsi="Palatino Linotype" w:cs="Palatino Linotype"/>
          <w:b/>
          <w:sz w:val="24"/>
          <w:szCs w:val="24"/>
        </w:rPr>
        <w:t xml:space="preserve">INFORME JUSTIFICADO O MANIFESTACIONES. </w:t>
      </w:r>
      <w:r>
        <w:rPr>
          <w:rFonts w:ascii="Palatino Linotype" w:eastAsia="Palatino Linotype" w:hAnsi="Palatino Linotype" w:cs="Palatino Linotype"/>
          <w:sz w:val="24"/>
          <w:szCs w:val="24"/>
        </w:rPr>
        <w:t xml:space="preserve">El cuatro de abril de dos mil veintidós,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siguiente archivo electrónico: </w:t>
      </w:r>
    </w:p>
    <w:p w:rsidR="009E585C" w:rsidRDefault="00A2327D">
      <w:pPr>
        <w:spacing w:after="0" w:line="360" w:lineRule="auto"/>
        <w:jc w:val="both"/>
        <w:rPr>
          <w:rFonts w:ascii="Palatino Linotype" w:eastAsia="Palatino Linotype" w:hAnsi="Palatino Linotype" w:cs="Palatino Linotype"/>
          <w:color w:val="000000"/>
          <w:sz w:val="24"/>
          <w:szCs w:val="24"/>
        </w:rPr>
      </w:pPr>
      <w:proofErr w:type="spellStart"/>
      <w:proofErr w:type="gramStart"/>
      <w:r>
        <w:rPr>
          <w:rFonts w:ascii="Palatino Linotype" w:eastAsia="Palatino Linotype" w:hAnsi="Palatino Linotype" w:cs="Palatino Linotype"/>
          <w:b/>
          <w:i/>
          <w:color w:val="000000"/>
          <w:sz w:val="24"/>
          <w:szCs w:val="24"/>
          <w:u w:val="single"/>
        </w:rPr>
        <w:t>nmf</w:t>
      </w:r>
      <w:proofErr w:type="spellEnd"/>
      <w:proofErr w:type="gramEnd"/>
      <w:r>
        <w:rPr>
          <w:rFonts w:ascii="Palatino Linotype" w:eastAsia="Palatino Linotype" w:hAnsi="Palatino Linotype" w:cs="Palatino Linotype"/>
          <w:b/>
          <w:i/>
          <w:color w:val="000000"/>
          <w:sz w:val="24"/>
          <w:szCs w:val="24"/>
          <w:u w:val="single"/>
        </w:rPr>
        <w:t xml:space="preserve">. </w:t>
      </w:r>
      <w:proofErr w:type="spellStart"/>
      <w:r>
        <w:rPr>
          <w:rFonts w:ascii="Palatino Linotype" w:eastAsia="Palatino Linotype" w:hAnsi="Palatino Linotype" w:cs="Palatino Linotype"/>
          <w:b/>
          <w:i/>
          <w:color w:val="000000"/>
          <w:sz w:val="24"/>
          <w:szCs w:val="24"/>
          <w:u w:val="single"/>
        </w:rPr>
        <w:t>Just</w:t>
      </w:r>
      <w:proofErr w:type="spellEnd"/>
      <w:r>
        <w:rPr>
          <w:rFonts w:ascii="Palatino Linotype" w:eastAsia="Palatino Linotype" w:hAnsi="Palatino Linotype" w:cs="Palatino Linotype"/>
          <w:b/>
          <w:i/>
          <w:color w:val="000000"/>
          <w:sz w:val="24"/>
          <w:szCs w:val="24"/>
          <w:u w:val="single"/>
        </w:rPr>
        <w:t xml:space="preserve">. 04709_2022.pdf: </w:t>
      </w:r>
      <w:r>
        <w:rPr>
          <w:rFonts w:ascii="Palatino Linotype" w:eastAsia="Palatino Linotype" w:hAnsi="Palatino Linotype" w:cs="Palatino Linotype"/>
          <w:color w:val="000000"/>
          <w:sz w:val="24"/>
          <w:szCs w:val="24"/>
        </w:rPr>
        <w:t xml:space="preserve">Oficio UT/RR/00180/2022 de fecha cuatro de abril de dos mil veintidós, signado por la Titular de la Unidad de Transparencia, mediante el </w:t>
      </w:r>
      <w:r>
        <w:rPr>
          <w:rFonts w:ascii="Palatino Linotype" w:eastAsia="Palatino Linotype" w:hAnsi="Palatino Linotype" w:cs="Palatino Linotype"/>
          <w:color w:val="000000"/>
          <w:sz w:val="24"/>
          <w:szCs w:val="24"/>
        </w:rPr>
        <w:lastRenderedPageBreak/>
        <w:t xml:space="preserve">cual describe cada una de las constancias que obran parte del expediente electrónico del presente recurso de revisión, ratificando en términos generales la respuesta otorgada en primera instancia. </w:t>
      </w:r>
    </w:p>
    <w:p w:rsidR="009E585C" w:rsidRDefault="00A2327D">
      <w:pPr>
        <w:spacing w:after="0" w:line="360" w:lineRule="auto"/>
        <w:jc w:val="both"/>
        <w:rPr>
          <w:rFonts w:ascii="Palatino Linotype" w:eastAsia="Palatino Linotype" w:hAnsi="Palatino Linotype" w:cs="Palatino Linotype"/>
          <w:sz w:val="24"/>
          <w:szCs w:val="24"/>
        </w:rPr>
      </w:pPr>
      <w:bookmarkStart w:id="7" w:name="_heading=h.1t3h5sf" w:colFirst="0" w:colLast="0"/>
      <w:bookmarkEnd w:id="7"/>
      <w:r>
        <w:rPr>
          <w:rFonts w:ascii="Palatino Linotype" w:eastAsia="Palatino Linotype" w:hAnsi="Palatino Linotype" w:cs="Palatino Linotype"/>
          <w:b/>
          <w:sz w:val="24"/>
          <w:szCs w:val="24"/>
        </w:rPr>
        <w:t>7. AMPLIACIÓN DEL PLAZO PARA EMITIR RESOLUCIÓN</w:t>
      </w:r>
      <w:r>
        <w:rPr>
          <w:rFonts w:ascii="Palatino Linotype" w:eastAsia="Palatino Linotype" w:hAnsi="Palatino Linotype" w:cs="Palatino Linotype"/>
          <w:sz w:val="24"/>
          <w:szCs w:val="24"/>
        </w:rPr>
        <w:t>. En fecha once de julio de dos mil veintidós, se amplió el término para resolver el recurso de revisión en términos del artículo 181 párrafo tercero de la Ley de Transparencia y Acceso a la Información Pública del Estado de México y Municipios.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trike/>
          <w:color w:val="FF0000"/>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sz w:val="24"/>
          <w:szCs w:val="24"/>
        </w:rPr>
        <w:t>su resolución atentos</w:t>
      </w:r>
      <w:proofErr w:type="gramEnd"/>
      <w:r>
        <w:rPr>
          <w:rFonts w:ascii="Palatino Linotype" w:eastAsia="Palatino Linotype" w:hAnsi="Palatino Linotype" w:cs="Palatino Linotype"/>
          <w:sz w:val="24"/>
          <w:szCs w:val="24"/>
        </w:rPr>
        <w:t xml:space="preserve"> a los siguientes criterios: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9E585C" w:rsidRDefault="009E585C">
      <w:pPr>
        <w:spacing w:after="0" w:line="360" w:lineRule="auto"/>
        <w:ind w:left="927"/>
        <w:jc w:val="both"/>
        <w:rPr>
          <w:rFonts w:ascii="Palatino Linotype" w:eastAsia="Palatino Linotype" w:hAnsi="Palatino Linotype" w:cs="Palatino Linotype"/>
          <w:sz w:val="24"/>
          <w:szCs w:val="24"/>
        </w:rPr>
      </w:pPr>
    </w:p>
    <w:p w:rsidR="009E585C" w:rsidRDefault="00A2327D">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9E585C" w:rsidRDefault="009E585C">
      <w:pPr>
        <w:spacing w:after="0" w:line="360" w:lineRule="auto"/>
        <w:ind w:left="708"/>
        <w:rPr>
          <w:rFonts w:ascii="Palatino Linotype" w:eastAsia="Palatino Linotype" w:hAnsi="Palatino Linotype" w:cs="Palatino Linotype"/>
          <w:sz w:val="24"/>
          <w:szCs w:val="24"/>
        </w:rPr>
      </w:pPr>
    </w:p>
    <w:p w:rsidR="009E585C" w:rsidRDefault="00A2327D">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 xml:space="preserve">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pBdr>
          <w:top w:val="nil"/>
          <w:left w:val="nil"/>
          <w:bottom w:val="nil"/>
          <w:right w:val="nil"/>
          <w:between w:val="nil"/>
        </w:pBdr>
        <w:spacing w:after="120" w:line="360" w:lineRule="auto"/>
        <w:ind w:right="-234" w:hanging="2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8. ALCANCE AL INFORME JUSTIFICADO.  </w:t>
      </w: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mediante alcance en fecha dos de agosto de dos mil veintidós, remitió los archivos denominados:</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PEREZ MARTINEZ NORMA SOFIA ok.pdf</w:t>
      </w:r>
      <w:r>
        <w:rPr>
          <w:rFonts w:ascii="Palatino Linotype" w:eastAsia="Palatino Linotype" w:hAnsi="Palatino Linotype" w:cs="Palatino Linotype"/>
          <w:sz w:val="24"/>
          <w:szCs w:val="24"/>
        </w:rPr>
        <w:t>”: El cual contiene la constancia de no inhabilitación de la Titular de la Unidad de Transparencia.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i/>
          <w:sz w:val="24"/>
          <w:szCs w:val="24"/>
          <w:u w:val="single"/>
        </w:rPr>
        <w:t xml:space="preserve">“Alcance 4709_2022.pdf” </w:t>
      </w:r>
      <w:r>
        <w:rPr>
          <w:rFonts w:ascii="Palatino Linotype" w:eastAsia="Palatino Linotype" w:hAnsi="Palatino Linotype" w:cs="Palatino Linotype"/>
          <w:sz w:val="24"/>
          <w:szCs w:val="24"/>
        </w:rPr>
        <w:t>Oficio 2010A4000/UT/RR/00464/2022 de fecha dos de agosto de dos mil veintidós, signado por la Titular de Unidad de Transparencia, mediante el cual refiere que la Unidad de Transparencia no cuenta con un reglamento interno, sin embargo cuenta con el Código Reglamentario Municipal de Toluca por lo que en el mismo tenor menciona que adjunta la constancia de no inhabilitación de la Titular de la Unidad de Transparencia en versión pública.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i/>
          <w:sz w:val="24"/>
          <w:szCs w:val="24"/>
          <w:u w:val="single"/>
        </w:rPr>
        <w:t>“Codigo-Reglamentario-refo15-02-2021 (1).</w:t>
      </w:r>
      <w:proofErr w:type="spellStart"/>
      <w:r>
        <w:rPr>
          <w:rFonts w:ascii="Palatino Linotype" w:eastAsia="Palatino Linotype" w:hAnsi="Palatino Linotype" w:cs="Palatino Linotype"/>
          <w:b/>
          <w:i/>
          <w:sz w:val="24"/>
          <w:szCs w:val="24"/>
          <w:u w:val="single"/>
        </w:rPr>
        <w:t>pdf</w:t>
      </w:r>
      <w:proofErr w:type="spellEnd"/>
      <w:r>
        <w:rPr>
          <w:rFonts w:ascii="Palatino Linotype" w:eastAsia="Palatino Linotype" w:hAnsi="Palatino Linotype" w:cs="Palatino Linotype"/>
          <w:b/>
          <w:i/>
          <w:sz w:val="24"/>
          <w:szCs w:val="24"/>
          <w:u w:val="single"/>
        </w:rPr>
        <w:t>”</w:t>
      </w:r>
      <w:r>
        <w:rPr>
          <w:rFonts w:ascii="Palatino Linotype" w:eastAsia="Palatino Linotype" w:hAnsi="Palatino Linotype" w:cs="Palatino Linotype"/>
          <w:sz w:val="24"/>
          <w:szCs w:val="24"/>
        </w:rPr>
        <w:t xml:space="preserve"> Código Reglamentario Municipal de Toluca. </w:t>
      </w:r>
    </w:p>
    <w:p w:rsidR="009E585C" w:rsidRDefault="009E585C">
      <w:pPr>
        <w:spacing w:after="0" w:line="240" w:lineRule="auto"/>
        <w:rPr>
          <w:rFonts w:ascii="Palatino Linotype" w:eastAsia="Palatino Linotype" w:hAnsi="Palatino Linotype" w:cs="Palatino Linotype"/>
          <w:b/>
          <w:i/>
          <w:color w:val="000000"/>
          <w:sz w:val="24"/>
          <w:szCs w:val="24"/>
          <w:u w:val="single"/>
        </w:rPr>
      </w:pP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9. CIERRE DE INSTRUCCIÓN. </w:t>
      </w:r>
      <w:r>
        <w:rPr>
          <w:rFonts w:ascii="Palatino Linotype" w:eastAsia="Palatino Linotype" w:hAnsi="Palatino Linotype" w:cs="Palatino Linotype"/>
          <w:color w:val="000000"/>
          <w:sz w:val="24"/>
          <w:szCs w:val="24"/>
        </w:rPr>
        <w:t xml:space="preserve">El nueve de agosto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rsidR="009E585C" w:rsidRDefault="009E585C">
      <w:pPr>
        <w:spacing w:after="0" w:line="360" w:lineRule="auto"/>
        <w:ind w:right="-234"/>
        <w:jc w:val="both"/>
        <w:rPr>
          <w:rFonts w:ascii="Palatino Linotype" w:eastAsia="Palatino Linotype" w:hAnsi="Palatino Linotype" w:cs="Palatino Linotype"/>
          <w:color w:val="000000"/>
          <w:sz w:val="24"/>
          <w:szCs w:val="24"/>
        </w:rPr>
      </w:pP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En razón de que fue debidamente sustanciado el expediente electrónico y no existe diligencia pendiente de desahogo, se emite la Resolución que conforme a Derecho proceda, de acuerdo con los siguientes: </w:t>
      </w:r>
    </w:p>
    <w:p w:rsidR="009E585C" w:rsidRDefault="009E585C">
      <w:pPr>
        <w:spacing w:after="0" w:line="360" w:lineRule="auto"/>
        <w:ind w:right="-234"/>
        <w:jc w:val="both"/>
        <w:rPr>
          <w:rFonts w:ascii="Palatino Linotype" w:eastAsia="Palatino Linotype" w:hAnsi="Palatino Linotype" w:cs="Palatino Linotype"/>
          <w:color w:val="000000"/>
          <w:sz w:val="24"/>
          <w:szCs w:val="24"/>
        </w:rPr>
      </w:pPr>
    </w:p>
    <w:p w:rsidR="009E585C" w:rsidRDefault="00A2327D">
      <w:pPr>
        <w:spacing w:after="0" w:line="360" w:lineRule="auto"/>
        <w:jc w:val="center"/>
        <w:rPr>
          <w:rFonts w:ascii="Palatino Linotype" w:eastAsia="Palatino Linotype" w:hAnsi="Palatino Linotype" w:cs="Palatino Linotype"/>
          <w:b/>
          <w:sz w:val="24"/>
          <w:szCs w:val="24"/>
        </w:rPr>
      </w:pPr>
      <w:bookmarkStart w:id="8" w:name="_heading=h.4d34og8" w:colFirst="0" w:colLast="0"/>
      <w:bookmarkEnd w:id="8"/>
      <w:r>
        <w:rPr>
          <w:rFonts w:ascii="Palatino Linotype" w:eastAsia="Palatino Linotype" w:hAnsi="Palatino Linotype" w:cs="Palatino Linotype"/>
          <w:b/>
          <w:sz w:val="24"/>
          <w:szCs w:val="24"/>
        </w:rPr>
        <w:t>CONSIDERANDOS:</w:t>
      </w:r>
    </w:p>
    <w:p w:rsidR="009E585C" w:rsidRDefault="009E585C">
      <w:pPr>
        <w:spacing w:after="0" w:line="360" w:lineRule="auto"/>
        <w:jc w:val="center"/>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PROCEDIBILIDAD DEL RECURSO DE REVISIÓN.  </w:t>
      </w:r>
      <w:r>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w:t>
      </w:r>
      <w:r>
        <w:rPr>
          <w:rFonts w:ascii="Palatino Linotype" w:eastAsia="Palatino Linotype" w:hAnsi="Palatino Linotype" w:cs="Palatino Linotype"/>
          <w:sz w:val="24"/>
          <w:szCs w:val="24"/>
        </w:rPr>
        <w:lastRenderedPageBreak/>
        <w:t xml:space="preserve">interpuesto, previstos en los artículos 178 y 180 de la Ley de Transparencia y Acceso a la Información Pública del Estado de México y Municipios.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contados a partir de la fecha en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emitió la respuesta, toda vez que ésta fue pronunciada el día veinticuatro de marzo de dos mil veintidós, mientras que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la misma fecha que se pronunció la respuesta, </w:t>
      </w:r>
      <w:r>
        <w:rPr>
          <w:rFonts w:ascii="Palatino Linotype" w:eastAsia="Palatino Linotype" w:hAnsi="Palatino Linotype" w:cs="Palatino Linotype"/>
          <w:color w:val="000000"/>
          <w:sz w:val="24"/>
          <w:szCs w:val="24"/>
        </w:rPr>
        <w:t>circunstancia que no es determinante para declararlo extemporáneo, toda vez que el tiempo concedido es para delimitar el término en que puede impugnarse la respuesta, lo cual no impide que se presente antes de iniciado el plazo previsto.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ind w:right="-234"/>
        <w:jc w:val="both"/>
        <w:rPr>
          <w:color w:val="000000"/>
          <w:sz w:val="24"/>
          <w:szCs w:val="24"/>
        </w:rPr>
      </w:pPr>
      <w:r>
        <w:rPr>
          <w:rFonts w:ascii="Palatino Linotype" w:eastAsia="Palatino Linotype" w:hAnsi="Palatino Linotype" w:cs="Palatino Linotype"/>
          <w:color w:val="000000"/>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Pr>
          <w:i/>
          <w:color w:val="000000"/>
          <w:sz w:val="24"/>
          <w:szCs w:val="24"/>
        </w:rPr>
        <w:t> </w:t>
      </w:r>
    </w:p>
    <w:p w:rsidR="009E585C" w:rsidRDefault="009E585C">
      <w:pPr>
        <w:shd w:val="clear" w:color="auto" w:fill="FFFFFF"/>
        <w:spacing w:after="0" w:line="360" w:lineRule="auto"/>
        <w:ind w:left="567" w:right="760"/>
        <w:jc w:val="both"/>
        <w:rPr>
          <w:rFonts w:ascii="Palatino Linotype" w:eastAsia="Palatino Linotype" w:hAnsi="Palatino Linotype" w:cs="Palatino Linotype"/>
          <w:color w:val="000000"/>
        </w:rPr>
      </w:pPr>
    </w:p>
    <w:p w:rsidR="009E585C" w:rsidRDefault="00A2327D">
      <w:pPr>
        <w:shd w:val="clear" w:color="auto" w:fill="FFFFFF"/>
        <w:spacing w:after="0" w:line="360" w:lineRule="auto"/>
        <w:ind w:left="567" w:right="760"/>
        <w:jc w:val="both"/>
        <w:rPr>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RECURSO DE RECLAMACIÓN. SU INTERPOSICIÓN NO ES EXTEMPORÁNEA SI SE REALIZA ANTES DE QUE INICIE EL PLAZO PARA HACERLO.</w:t>
      </w:r>
    </w:p>
    <w:p w:rsidR="009E585C" w:rsidRDefault="00A2327D">
      <w:pPr>
        <w:shd w:val="clear" w:color="auto" w:fill="FFFFFF"/>
        <w:spacing w:after="240" w:line="276" w:lineRule="auto"/>
        <w:ind w:left="567" w:right="760"/>
        <w:jc w:val="both"/>
        <w:rPr>
          <w:color w:val="000000"/>
        </w:rPr>
      </w:pPr>
      <w:r>
        <w:rPr>
          <w:rFonts w:ascii="Palatino Linotype" w:eastAsia="Palatino Linotype" w:hAnsi="Palatino Linotype" w:cs="Palatino Linotype"/>
          <w:i/>
          <w:color w:val="000000"/>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9E585C" w:rsidRDefault="00A2327D">
      <w:pPr>
        <w:shd w:val="clear" w:color="auto" w:fill="FFFFFF"/>
        <w:spacing w:before="240" w:after="0" w:line="360" w:lineRule="auto"/>
        <w:ind w:left="567" w:right="760"/>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De ahí que si dicho recurso se interpone antes de que inicie el plazo para hacerlo, su presentación no es extemporánea…</w:t>
      </w:r>
      <w:r>
        <w:rPr>
          <w:rFonts w:ascii="Palatino Linotype" w:eastAsia="Palatino Linotype" w:hAnsi="Palatino Linotype" w:cs="Palatino Linotype"/>
          <w:color w:val="000000"/>
        </w:rPr>
        <w:t>"(Sic)</w:t>
      </w:r>
    </w:p>
    <w:p w:rsidR="009E585C" w:rsidRDefault="009E585C">
      <w:pPr>
        <w:shd w:val="clear" w:color="auto" w:fill="FFFFFF"/>
        <w:spacing w:after="0" w:line="360" w:lineRule="auto"/>
        <w:ind w:left="567" w:right="760"/>
        <w:jc w:val="both"/>
        <w:rPr>
          <w:color w:val="000000"/>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también,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resulta procedente la interposición del recurso, según lo aducido por la RECURRENTE en sus razones o motivos de inconformidad, de acuerdo al artículo 179, fracción V de la Ley de Transparencia y Acceso a la Información Pública del Estado de México y Municipios; que a la letra dice:</w:t>
      </w:r>
    </w:p>
    <w:p w:rsidR="009E585C" w:rsidRDefault="009E585C">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9E585C" w:rsidRDefault="00A2327D">
      <w:pPr>
        <w:pBdr>
          <w:top w:val="nil"/>
          <w:left w:val="nil"/>
          <w:bottom w:val="nil"/>
          <w:right w:val="nil"/>
          <w:between w:val="nil"/>
        </w:pBdr>
        <w:spacing w:after="0"/>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rsidR="009E585C" w:rsidRDefault="00A2327D">
      <w:pPr>
        <w:pBdr>
          <w:top w:val="nil"/>
          <w:left w:val="nil"/>
          <w:bottom w:val="nil"/>
          <w:right w:val="nil"/>
          <w:between w:val="nil"/>
        </w:pBdr>
        <w:spacing w:after="0"/>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pBdr>
          <w:top w:val="nil"/>
          <w:left w:val="nil"/>
          <w:bottom w:val="nil"/>
          <w:right w:val="nil"/>
          <w:between w:val="nil"/>
        </w:pBdr>
        <w:spacing w:after="0"/>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V. La entrega de información incompleta</w:t>
      </w:r>
      <w:proofErr w:type="gramStart"/>
      <w:r>
        <w:rPr>
          <w:rFonts w:ascii="Palatino Linotype" w:eastAsia="Palatino Linotype" w:hAnsi="Palatino Linotype" w:cs="Palatino Linotype"/>
          <w:i/>
        </w:rPr>
        <w:t>;;</w:t>
      </w:r>
      <w:proofErr w:type="gramEnd"/>
    </w:p>
    <w:p w:rsidR="009E585C" w:rsidRDefault="00A2327D">
      <w:pPr>
        <w:pBdr>
          <w:top w:val="nil"/>
          <w:left w:val="nil"/>
          <w:bottom w:val="nil"/>
          <w:right w:val="nil"/>
          <w:between w:val="nil"/>
        </w:pBdr>
        <w:spacing w:after="0"/>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 </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 adecuada y suficiente para satisfacer el derecho de acceso a la información pública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rsidR="009E585C" w:rsidRDefault="009E585C">
      <w:pPr>
        <w:spacing w:line="360" w:lineRule="auto"/>
        <w:jc w:val="both"/>
        <w:rPr>
          <w:rFonts w:ascii="Palatino Linotype" w:eastAsia="Palatino Linotype" w:hAnsi="Palatino Linotype" w:cs="Palatino Linotype"/>
          <w:sz w:val="24"/>
          <w:szCs w:val="24"/>
        </w:rPr>
      </w:pPr>
    </w:p>
    <w:p w:rsidR="009E585C" w:rsidRDefault="00A2327D">
      <w:pPr>
        <w:pBdr>
          <w:top w:val="nil"/>
          <w:left w:val="nil"/>
          <w:bottom w:val="nil"/>
          <w:right w:val="nil"/>
          <w:between w:val="nil"/>
        </w:pBd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9E585C" w:rsidRDefault="009E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9E585C" w:rsidRDefault="00A2327D">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E585C" w:rsidRDefault="00A2327D">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xml:space="preserve">, en los términos y condiciones que se establezcan en los tratados internacionales de los que el Estado mexicano </w:t>
      </w:r>
      <w:r>
        <w:rPr>
          <w:rFonts w:ascii="Palatino Linotype" w:eastAsia="Palatino Linotype" w:hAnsi="Palatino Linotype" w:cs="Palatino Linotype"/>
          <w:i/>
        </w:rPr>
        <w:lastRenderedPageBreak/>
        <w:t>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E585C" w:rsidRDefault="009E585C">
      <w:pPr>
        <w:spacing w:after="0" w:line="360" w:lineRule="auto"/>
        <w:ind w:left="851" w:right="900"/>
        <w:jc w:val="both"/>
        <w:rPr>
          <w:rFonts w:ascii="Palatino Linotype" w:eastAsia="Palatino Linotype" w:hAnsi="Palatino Linotype" w:cs="Palatino Linotype"/>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9E585C" w:rsidRDefault="00A2327D">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E585C" w:rsidRDefault="009E585C">
      <w:pPr>
        <w:spacing w:after="0" w:line="360" w:lineRule="auto"/>
        <w:ind w:left="851" w:right="902"/>
        <w:jc w:val="both"/>
        <w:rPr>
          <w:rFonts w:ascii="Palatino Linotype" w:eastAsia="Palatino Linotype" w:hAnsi="Palatino Linotype" w:cs="Palatino Linotype"/>
          <w:i/>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ello el artículo 24 de la Ley de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sz w:val="24"/>
          <w:szCs w:val="24"/>
        </w:rPr>
        <w:t>cualquier otro registro que documente el ejercicio de las facultades, funciones y competencias de los Sujetos Obligados</w:t>
      </w:r>
      <w:r>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Pr>
          <w:rFonts w:ascii="Palatino Linotype" w:eastAsia="Palatino Linotype" w:hAnsi="Palatino Linotype" w:cs="Palatino Linotype"/>
        </w:rPr>
        <w:t xml:space="preserve"> </w:t>
      </w:r>
    </w:p>
    <w:p w:rsidR="009E585C" w:rsidRDefault="009E585C">
      <w:pPr>
        <w:spacing w:after="0" w:line="360" w:lineRule="auto"/>
        <w:jc w:val="both"/>
        <w:rPr>
          <w:rFonts w:ascii="Palatino Linotype" w:eastAsia="Palatino Linotype" w:hAnsi="Palatino Linotype" w:cs="Palatino Linotype"/>
        </w:rPr>
      </w:pPr>
    </w:p>
    <w:p w:rsidR="009E585C" w:rsidRDefault="00A2327D">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rsidR="009E585C" w:rsidRDefault="00A2327D">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ind w:left="1134" w:right="899"/>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rPr>
        <w:t>…</w:t>
      </w:r>
      <w:r>
        <w:rPr>
          <w:rFonts w:ascii="Palatino Linotype" w:eastAsia="Palatino Linotype" w:hAnsi="Palatino Linotype" w:cs="Palatino Linotype"/>
          <w:i/>
        </w:rPr>
        <w:t>”</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rsidR="009E585C" w:rsidRDefault="00A2327D">
      <w:pPr>
        <w:spacing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rsidR="009E585C" w:rsidRDefault="00A2327D">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9" w:name="_heading=h.2s8eyo1" w:colFirst="0" w:colLast="0"/>
      <w:bookmarkEnd w:id="9"/>
      <w:r>
        <w:rPr>
          <w:rFonts w:ascii="Palatino Linotype" w:eastAsia="Palatino Linotype" w:hAnsi="Palatino Linotype" w:cs="Palatino Linotype"/>
          <w:color w:val="000000"/>
          <w:sz w:val="24"/>
          <w:szCs w:val="24"/>
        </w:rPr>
        <w:t xml:space="preserve">Bajo ese contexto, el Pleno de este Instituto considera necesario mencionar que, por cuestiones de técnica jurídica, así como para determinar si la respuesta e informe justificado </w:t>
      </w:r>
      <w:r>
        <w:rPr>
          <w:rFonts w:ascii="Palatino Linotype" w:eastAsia="Palatino Linotype" w:hAnsi="Palatino Linotype" w:cs="Palatino Linotype"/>
          <w:sz w:val="24"/>
          <w:szCs w:val="24"/>
        </w:rPr>
        <w:t>emitidos</w:t>
      </w:r>
      <w:r>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atendi</w:t>
      </w:r>
      <w:r>
        <w:rPr>
          <w:rFonts w:ascii="Palatino Linotype" w:eastAsia="Palatino Linotype" w:hAnsi="Palatino Linotype" w:cs="Palatino Linotype"/>
          <w:sz w:val="24"/>
          <w:szCs w:val="24"/>
        </w:rPr>
        <w:t>eron</w:t>
      </w:r>
      <w:r>
        <w:rPr>
          <w:rFonts w:ascii="Palatino Linotype" w:eastAsia="Palatino Linotype" w:hAnsi="Palatino Linotype" w:cs="Palatino Linotype"/>
          <w:color w:val="000000"/>
          <w:sz w:val="24"/>
          <w:szCs w:val="24"/>
        </w:rPr>
        <w:t xml:space="preserve"> de manera puntual a todos y cada uno de los requerimientos formulados por la particular, se considera pertinente el análisis de la respuesta brindada a cada uno de los puntos de la solicitud de información por parte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 Respecto al aviso de privacidad vigente de la Unidad de Transparencia </w:t>
      </w:r>
    </w:p>
    <w:p w:rsidR="009E585C" w:rsidRDefault="009E585C">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b/>
          <w:color w:val="000000"/>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9E585C">
        <w:tc>
          <w:tcPr>
            <w:tcW w:w="3122"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9E585C">
        <w:tc>
          <w:tcPr>
            <w:tcW w:w="3122" w:type="dxa"/>
          </w:tcPr>
          <w:p w:rsidR="009E585C" w:rsidRDefault="00A2327D">
            <w:pPr>
              <w:spacing w:before="240" w:after="240"/>
              <w:jc w:val="both"/>
              <w:rPr>
                <w:rFonts w:ascii="Palatino Linotype" w:eastAsia="Palatino Linotype" w:hAnsi="Palatino Linotype" w:cs="Palatino Linotype"/>
                <w:i/>
                <w:sz w:val="18"/>
                <w:szCs w:val="18"/>
              </w:rPr>
            </w:pPr>
            <w:r>
              <w:rPr>
                <w:rFonts w:ascii="Palatino Linotype" w:eastAsia="Palatino Linotype" w:hAnsi="Palatino Linotype" w:cs="Palatino Linotype"/>
                <w:color w:val="000000"/>
                <w:sz w:val="18"/>
                <w:szCs w:val="18"/>
              </w:rPr>
              <w:t>1. A</w:t>
            </w:r>
            <w:r>
              <w:rPr>
                <w:rFonts w:ascii="Palatino Linotype" w:eastAsia="Palatino Linotype" w:hAnsi="Palatino Linotype" w:cs="Palatino Linotype"/>
                <w:color w:val="000000"/>
                <w:sz w:val="24"/>
                <w:szCs w:val="24"/>
              </w:rPr>
              <w:t>viso de privacidad vigente de la Unidad de Transparencia</w:t>
            </w:r>
          </w:p>
        </w:tc>
        <w:tc>
          <w:tcPr>
            <w:tcW w:w="2853" w:type="dxa"/>
          </w:tcPr>
          <w:p w:rsidR="009E585C" w:rsidRDefault="00A2327D">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Entrega el  aviso de privacidad vigente de la Unidad de Transparencia.</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Ratifica</w:t>
            </w:r>
          </w:p>
        </w:tc>
      </w:tr>
    </w:tbl>
    <w:p w:rsidR="009E585C" w:rsidRDefault="009E585C">
      <w:pPr>
        <w:spacing w:before="240" w:after="0" w:line="360" w:lineRule="auto"/>
        <w:ind w:right="-234"/>
        <w:jc w:val="both"/>
        <w:rPr>
          <w:rFonts w:ascii="Verdana" w:eastAsia="Verdana" w:hAnsi="Verdana" w:cs="Verdana"/>
          <w:color w:val="000000"/>
          <w:sz w:val="14"/>
          <w:szCs w:val="14"/>
        </w:rPr>
      </w:pPr>
    </w:p>
    <w:p w:rsidR="009E585C" w:rsidRDefault="00A2327D">
      <w:pPr>
        <w:pBdr>
          <w:top w:val="nil"/>
          <w:left w:val="nil"/>
          <w:bottom w:val="nil"/>
          <w:right w:val="nil"/>
          <w:between w:val="nil"/>
        </w:pBdr>
        <w:spacing w:after="24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inserta la primera página a manera de ejemplo:</w:t>
      </w:r>
    </w:p>
    <w:p w:rsidR="009E585C" w:rsidRDefault="00A2327D">
      <w:pPr>
        <w:pBdr>
          <w:top w:val="nil"/>
          <w:left w:val="nil"/>
          <w:bottom w:val="nil"/>
          <w:right w:val="nil"/>
          <w:between w:val="nil"/>
        </w:pBdr>
        <w:spacing w:before="240" w:after="240" w:line="360" w:lineRule="auto"/>
        <w:ind w:right="-234"/>
        <w:jc w:val="center"/>
        <w:rPr>
          <w:rFonts w:ascii="Palatino Linotype" w:eastAsia="Palatino Linotype" w:hAnsi="Palatino Linotype" w:cs="Palatino Linotype"/>
          <w:color w:val="000000"/>
          <w:sz w:val="24"/>
          <w:szCs w:val="24"/>
        </w:rPr>
      </w:pPr>
      <w:r>
        <w:rPr>
          <w:noProof/>
        </w:rPr>
        <w:lastRenderedPageBreak/>
        <w:drawing>
          <wp:inline distT="0" distB="0" distL="0" distR="0">
            <wp:extent cx="3762103" cy="5251961"/>
            <wp:effectExtent l="0" t="0" r="0" b="0"/>
            <wp:docPr id="22" name="image4.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Texto, Carta&#10;&#10;Descripción generada automáticamente"/>
                    <pic:cNvPicPr preferRelativeResize="0"/>
                  </pic:nvPicPr>
                  <pic:blipFill>
                    <a:blip r:embed="rId17"/>
                    <a:srcRect/>
                    <a:stretch>
                      <a:fillRect/>
                    </a:stretch>
                  </pic:blipFill>
                  <pic:spPr>
                    <a:xfrm>
                      <a:off x="0" y="0"/>
                      <a:ext cx="3762103" cy="5251961"/>
                    </a:xfrm>
                    <a:prstGeom prst="rect">
                      <a:avLst/>
                    </a:prstGeom>
                    <a:ln/>
                  </pic:spPr>
                </pic:pic>
              </a:graphicData>
            </a:graphic>
          </wp:inline>
        </w:drawing>
      </w:r>
    </w:p>
    <w:p w:rsidR="009E585C" w:rsidRDefault="00A2327D">
      <w:pPr>
        <w:pBdr>
          <w:top w:val="nil"/>
          <w:left w:val="nil"/>
          <w:bottom w:val="nil"/>
          <w:right w:val="nil"/>
          <w:between w:val="nil"/>
        </w:pBdr>
        <w:spacing w:before="240" w:after="0" w:line="360" w:lineRule="auto"/>
        <w:ind w:right="-23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antes mencionado, el SUJETO OBLIGADO, colma este punto de la solicitud de información al entregar el aviso de privacidad vigente de la Unidad de Transparencia. </w:t>
      </w:r>
    </w:p>
    <w:p w:rsidR="009E585C" w:rsidRDefault="009E585C">
      <w:pPr>
        <w:pBdr>
          <w:top w:val="nil"/>
          <w:left w:val="nil"/>
          <w:bottom w:val="nil"/>
          <w:right w:val="nil"/>
          <w:between w:val="nil"/>
        </w:pBdr>
        <w:spacing w:after="0" w:line="360" w:lineRule="auto"/>
        <w:ind w:right="-232"/>
        <w:jc w:val="both"/>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after="0" w:line="360" w:lineRule="auto"/>
        <w:ind w:right="-23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Aunado a lo anterior, este Pleno considera necesario dejar claro que, al haber existido un pronunciamiento por parte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fin de dar respuesta a la </w:t>
      </w:r>
      <w:r>
        <w:rPr>
          <w:rFonts w:ascii="Palatino Linotype" w:eastAsia="Palatino Linotype" w:hAnsi="Palatino Linotype" w:cs="Palatino Linotype"/>
          <w:color w:val="000000"/>
          <w:sz w:val="24"/>
          <w:szCs w:val="24"/>
        </w:rPr>
        <w:lastRenderedPageBreak/>
        <w:t>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9E585C" w:rsidRDefault="009E585C">
      <w:pPr>
        <w:spacing w:after="0" w:line="240" w:lineRule="auto"/>
        <w:ind w:left="860" w:right="560"/>
        <w:jc w:val="both"/>
        <w:rPr>
          <w:rFonts w:ascii="Palatino Linotype" w:eastAsia="Palatino Linotype" w:hAnsi="Palatino Linotype" w:cs="Palatino Linotype"/>
          <w:i/>
          <w:color w:val="000000"/>
        </w:rPr>
      </w:pPr>
    </w:p>
    <w:p w:rsidR="009E585C" w:rsidRDefault="00A2327D">
      <w:pPr>
        <w:spacing w:after="0" w:line="240" w:lineRule="auto"/>
        <w:ind w:left="860" w:right="560"/>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E585C" w:rsidRDefault="009E585C">
      <w:pPr>
        <w:pBdr>
          <w:top w:val="nil"/>
          <w:left w:val="nil"/>
          <w:bottom w:val="nil"/>
          <w:right w:val="nil"/>
          <w:between w:val="nil"/>
        </w:pBdr>
        <w:spacing w:after="0" w:line="360" w:lineRule="auto"/>
        <w:ind w:right="-232"/>
        <w:jc w:val="both"/>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after="240" w:line="360" w:lineRule="auto"/>
        <w:ind w:right="-232"/>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2. Respecto al reglamento interno de la Unidad de Transparencia</w:t>
      </w:r>
    </w:p>
    <w:tbl>
      <w:tblPr>
        <w:tblStyle w:val="a0"/>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418"/>
        <w:gridCol w:w="1701"/>
        <w:gridCol w:w="2835"/>
      </w:tblGrid>
      <w:tr w:rsidR="009E585C">
        <w:tc>
          <w:tcPr>
            <w:tcW w:w="2518"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1418"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1701"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c>
          <w:tcPr>
            <w:tcW w:w="2835"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Alcance al informe justificado</w:t>
            </w:r>
          </w:p>
        </w:tc>
      </w:tr>
      <w:tr w:rsidR="009E585C">
        <w:tc>
          <w:tcPr>
            <w:tcW w:w="2518" w:type="dxa"/>
          </w:tcPr>
          <w:p w:rsidR="009E585C" w:rsidRDefault="00A2327D">
            <w:pPr>
              <w:spacing w:before="240" w:after="240"/>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Reglamento interno de la Unidad de Transparencia</w:t>
            </w:r>
          </w:p>
        </w:tc>
        <w:tc>
          <w:tcPr>
            <w:tcW w:w="1418"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Entrega el Código Reglamentario de Toluca</w:t>
            </w:r>
          </w:p>
        </w:tc>
        <w:tc>
          <w:tcPr>
            <w:tcW w:w="1701"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Ratifica</w:t>
            </w:r>
          </w:p>
        </w:tc>
        <w:tc>
          <w:tcPr>
            <w:tcW w:w="2835"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La unidad de transparencia Precisa que “al día de la solicitud, no cuenta con un reglamento interno, sin embargo con el único fin de garantizar el derecho de acceso a la </w:t>
            </w:r>
            <w:r>
              <w:rPr>
                <w:rFonts w:ascii="Palatino Linotype" w:eastAsia="Palatino Linotype" w:hAnsi="Palatino Linotype" w:cs="Palatino Linotype"/>
                <w:sz w:val="18"/>
                <w:szCs w:val="18"/>
              </w:rPr>
              <w:lastRenderedPageBreak/>
              <w:t>información, informa que la Unidad de Transparencia se encuentra situada en los artículos 3.3 numeral 7, 5.40 bis y 5.40 ter del Código Reglamentario Municipal de Toluca, vigente a la fecha de la solicitud, instrumento normativo que adjuntó mediante respuesta y en alcance al informe justificado.</w:t>
            </w:r>
          </w:p>
        </w:tc>
      </w:tr>
    </w:tbl>
    <w:p w:rsidR="009E585C" w:rsidRDefault="009E585C">
      <w:pPr>
        <w:spacing w:before="240" w:after="240" w:line="360" w:lineRule="auto"/>
        <w:ind w:right="-234"/>
        <w:jc w:val="both"/>
        <w:rPr>
          <w:rFonts w:ascii="Palatino Linotype" w:eastAsia="Palatino Linotype" w:hAnsi="Palatino Linotype" w:cs="Palatino Linotype"/>
          <w:b/>
          <w:i/>
          <w:color w:val="000000"/>
          <w:sz w:val="24"/>
          <w:szCs w:val="24"/>
          <w:u w:val="single"/>
        </w:rPr>
      </w:pPr>
    </w:p>
    <w:p w:rsidR="009E585C" w:rsidRDefault="00A2327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 se advierte que si bien en la respuesta inicial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fue omiso en precisar que no obraba en sus archivos un Reglamento Interior específico para la Unidad de Transparencia, también lo es que mediante alcance al informe justificado, precisa dicha circunstancia, además de señalar que en los  artículos 3.3 numeral 7, 5.40 bis y 5.40 ter del Código Reglamentario Municipal de Toluca encuentra lo concerniente a la Unidad de Transparencia, adjuntando para tal efecto dicho ordenamiento. </w:t>
      </w:r>
    </w:p>
    <w:p w:rsidR="009E585C" w:rsidRDefault="00A2327D">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ya que no puede probarse por ser lógica y materialmente imposible.</w:t>
      </w:r>
    </w:p>
    <w:p w:rsidR="009E585C" w:rsidRDefault="00A2327D">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Asimismo, no se trata de un caso por el cual la negación del hecho implique la afirmación del mismo, simplemente se está ante una notoria y evidente inexistencia fáctica de la información solicitada.</w:t>
      </w:r>
    </w:p>
    <w:p w:rsidR="009E585C" w:rsidRDefault="00A2327D">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9E585C" w:rsidRDefault="00A2327D">
      <w:pPr>
        <w:spacing w:after="0" w:line="240" w:lineRule="auto"/>
        <w:ind w:left="860" w:right="560"/>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HECHOS NEGATIVOS, NO SON SUSCEPTIBLES DE DEMOSTRACIÓN.</w:t>
      </w:r>
    </w:p>
    <w:p w:rsidR="009E585C" w:rsidRDefault="00A2327D">
      <w:pPr>
        <w:spacing w:after="0" w:line="240" w:lineRule="auto"/>
        <w:ind w:left="860" w:right="560"/>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xml:space="preserve">Tratándose de un hecho negativo, el Juez no tiene </w:t>
      </w:r>
      <w:proofErr w:type="spellStart"/>
      <w:r>
        <w:rPr>
          <w:rFonts w:ascii="Palatino Linotype" w:eastAsia="Palatino Linotype" w:hAnsi="Palatino Linotype" w:cs="Palatino Linotype"/>
          <w:i/>
          <w:color w:val="000000"/>
        </w:rPr>
        <w:t>por que</w:t>
      </w:r>
      <w:proofErr w:type="spellEnd"/>
      <w:r>
        <w:rPr>
          <w:rFonts w:ascii="Palatino Linotype" w:eastAsia="Palatino Linotype" w:hAnsi="Palatino Linotype" w:cs="Palatino Linotype"/>
          <w:i/>
          <w:color w:val="000000"/>
        </w:rPr>
        <w:t xml:space="preserve"> invocar prueba alguna de la que se desprenda, ya que es bien sabido que esta clase de hechos no son susceptibles de demostración.</w:t>
      </w:r>
    </w:p>
    <w:p w:rsidR="009E585C" w:rsidRDefault="00A2327D">
      <w:pPr>
        <w:spacing w:after="0" w:line="240" w:lineRule="auto"/>
        <w:ind w:left="860" w:right="560"/>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Amparo en revisión 2022/61. José García Florín (Menor). 9 de octubre de 1961. Cinco votos. Ponente: José Rivera Pérez Campos.”</w:t>
      </w:r>
    </w:p>
    <w:p w:rsidR="009E585C" w:rsidRDefault="00A2327D">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sólo proporcionará la información que obra en sus archivos, lo que a</w:t>
      </w:r>
      <w:r>
        <w:rPr>
          <w:rFonts w:ascii="Palatino Linotype" w:eastAsia="Palatino Linotype" w:hAnsi="Palatino Linotype" w:cs="Palatino Linotype"/>
          <w:i/>
          <w:color w:val="000000"/>
        </w:rPr>
        <w:t xml:space="preserve"> contrario sensu</w:t>
      </w:r>
      <w:r>
        <w:rPr>
          <w:rFonts w:ascii="Palatino Linotype" w:eastAsia="Palatino Linotype" w:hAnsi="Palatino Linotype" w:cs="Palatino Linotype"/>
          <w:color w:val="000000"/>
        </w:rPr>
        <w:t xml:space="preserve"> significa que no se está obligado a proporcionar lo que no obre en sus archivos; por ende, las razones o motivos de inconformidad al respecto devienen infundados.</w:t>
      </w:r>
    </w:p>
    <w:p w:rsidR="009E585C" w:rsidRDefault="00A2327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rPr>
        <w:t xml:space="preserve">Aunado a lo anterior, este Pleno considera necesario dejar claro que, al haber existido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fin de dar respuesta a la solicitud </w:t>
      </w:r>
      <w:r>
        <w:rPr>
          <w:rFonts w:ascii="Palatino Linotype" w:eastAsia="Palatino Linotype" w:hAnsi="Palatino Linotype" w:cs="Palatino Linotype"/>
          <w:color w:val="000000"/>
        </w:rPr>
        <w:lastRenderedPageBreak/>
        <w:t xml:space="preserve">planteada, éste no está facultado para manifestarse sobre la veracidad de la información proporcionada, por las razones expuestas en párrafos anteriores. </w:t>
      </w:r>
    </w:p>
    <w:p w:rsidR="009E585C" w:rsidRDefault="009E585C">
      <w:pPr>
        <w:pBdr>
          <w:top w:val="nil"/>
          <w:left w:val="nil"/>
          <w:bottom w:val="nil"/>
          <w:right w:val="nil"/>
          <w:between w:val="nil"/>
        </w:pBdr>
        <w:spacing w:line="360" w:lineRule="auto"/>
        <w:jc w:val="center"/>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3. Manual de procedimientos y manual de organización de la Unidad de Transparencia.</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9E585C">
        <w:tc>
          <w:tcPr>
            <w:tcW w:w="3122"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9E585C">
        <w:tc>
          <w:tcPr>
            <w:tcW w:w="3122" w:type="dxa"/>
          </w:tcPr>
          <w:p w:rsidR="009E585C" w:rsidRDefault="00A2327D">
            <w:pPr>
              <w:spacing w:before="240" w:after="240"/>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Manual de procedimientos y manual de organización de la Unidad de Transparencia.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Entrega el Manual de procedimientos y manual de organización de la Unidad de Transparencia.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Ratifica. </w:t>
            </w:r>
          </w:p>
        </w:tc>
      </w:tr>
    </w:tbl>
    <w:p w:rsidR="009E585C" w:rsidRDefault="009E585C">
      <w:pPr>
        <w:spacing w:before="240" w:after="0" w:line="360" w:lineRule="auto"/>
        <w:ind w:right="-234"/>
        <w:jc w:val="both"/>
        <w:rPr>
          <w:rFonts w:ascii="Palatino Linotype" w:eastAsia="Palatino Linotype" w:hAnsi="Palatino Linotype" w:cs="Palatino Linotype"/>
          <w:b/>
          <w:i/>
          <w:color w:val="000000"/>
          <w:sz w:val="24"/>
          <w:szCs w:val="24"/>
          <w:u w:val="single"/>
        </w:rPr>
      </w:pP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remite en respuesta a la solicitud de información el Manual de Procedimientos y el Manual de Organización de la Unidad de Transparencia, se adjunta la primera página de dichos manuales, a manera de ejemplo:</w:t>
      </w:r>
    </w:p>
    <w:p w:rsidR="009E585C" w:rsidRDefault="00A2327D">
      <w:pPr>
        <w:spacing w:after="0" w:line="360" w:lineRule="auto"/>
        <w:ind w:right="-234"/>
        <w:jc w:val="center"/>
        <w:rPr>
          <w:rFonts w:ascii="Palatino Linotype" w:eastAsia="Palatino Linotype" w:hAnsi="Palatino Linotype" w:cs="Palatino Linotype"/>
          <w:color w:val="000000"/>
          <w:sz w:val="24"/>
          <w:szCs w:val="24"/>
        </w:rPr>
      </w:pPr>
      <w:r>
        <w:rPr>
          <w:noProof/>
        </w:rPr>
        <w:drawing>
          <wp:inline distT="0" distB="0" distL="0" distR="0">
            <wp:extent cx="2466339" cy="2276326"/>
            <wp:effectExtent l="0" t="0" r="0" b="0"/>
            <wp:docPr id="2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t="7768" b="15207"/>
                    <a:stretch>
                      <a:fillRect/>
                    </a:stretch>
                  </pic:blipFill>
                  <pic:spPr>
                    <a:xfrm>
                      <a:off x="0" y="0"/>
                      <a:ext cx="2466339" cy="2276326"/>
                    </a:xfrm>
                    <a:prstGeom prst="rect">
                      <a:avLst/>
                    </a:prstGeom>
                    <a:ln/>
                  </pic:spPr>
                </pic:pic>
              </a:graphicData>
            </a:graphic>
          </wp:inline>
        </w:drawing>
      </w:r>
      <w:r>
        <w:rPr>
          <w:rFonts w:ascii="Palatino Linotype" w:eastAsia="Palatino Linotype" w:hAnsi="Palatino Linotype" w:cs="Palatino Linotype"/>
          <w:color w:val="000000"/>
          <w:sz w:val="24"/>
          <w:szCs w:val="24"/>
        </w:rPr>
        <w:t xml:space="preserve">   </w:t>
      </w:r>
      <w:r>
        <w:rPr>
          <w:noProof/>
        </w:rPr>
        <w:drawing>
          <wp:inline distT="0" distB="0" distL="0" distR="0">
            <wp:extent cx="2580415" cy="2322027"/>
            <wp:effectExtent l="0" t="0" r="0" b="0"/>
            <wp:docPr id="23" name="image8.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jpg" descr="Logotipo&#10;&#10;Descripción generada automáticamente"/>
                    <pic:cNvPicPr preferRelativeResize="0"/>
                  </pic:nvPicPr>
                  <pic:blipFill>
                    <a:blip r:embed="rId19"/>
                    <a:srcRect t="16011" b="13054"/>
                    <a:stretch>
                      <a:fillRect/>
                    </a:stretch>
                  </pic:blipFill>
                  <pic:spPr>
                    <a:xfrm>
                      <a:off x="0" y="0"/>
                      <a:ext cx="2580415" cy="2322027"/>
                    </a:xfrm>
                    <a:prstGeom prst="rect">
                      <a:avLst/>
                    </a:prstGeom>
                    <a:ln/>
                  </pic:spPr>
                </pic:pic>
              </a:graphicData>
            </a:graphic>
          </wp:inline>
        </w:drawing>
      </w: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lo anterior antes mencionado, se tiene por colmado este punto de la solicitud de acceso a la información pública. </w:t>
      </w: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
    <w:p w:rsidR="009E585C" w:rsidRDefault="00A2327D">
      <w:pPr>
        <w:pBdr>
          <w:top w:val="nil"/>
          <w:left w:val="nil"/>
          <w:bottom w:val="nil"/>
          <w:right w:val="nil"/>
          <w:between w:val="nil"/>
        </w:pBdr>
        <w:spacing w:after="24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4. Certificación de la Titular de la Unidad de Transparencia.</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9E585C">
        <w:tc>
          <w:tcPr>
            <w:tcW w:w="3122"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9E585C">
        <w:tc>
          <w:tcPr>
            <w:tcW w:w="3122" w:type="dxa"/>
          </w:tcPr>
          <w:p w:rsidR="009E585C" w:rsidRDefault="00A2327D">
            <w:pPr>
              <w:spacing w:before="240" w:after="240"/>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Certificación de la Titular de la Unidad de Transparencia.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Entrega en versión pública el certificado de competencia laboral de la Unidad de Transparencia, acompañado del acta de la centésima quincuagésima sesión extraordinaria 2022 del Comité de Transparencia del Municipio de Toluca, misma que en su punto 3 de la orden del día, clasifica como información confidencial la CURP que se observa en la certificación de la Titular de la Unidad de Transparencia.</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Ratifica. </w:t>
            </w:r>
          </w:p>
        </w:tc>
      </w:tr>
    </w:tbl>
    <w:p w:rsidR="009E585C" w:rsidRDefault="009E585C">
      <w:pPr>
        <w:spacing w:before="240" w:after="0" w:line="360" w:lineRule="auto"/>
        <w:ind w:right="-234"/>
        <w:jc w:val="both"/>
        <w:rPr>
          <w:rFonts w:ascii="Palatino Linotype" w:eastAsia="Palatino Linotype" w:hAnsi="Palatino Linotype" w:cs="Palatino Linotype"/>
          <w:color w:val="000000"/>
          <w:sz w:val="24"/>
          <w:szCs w:val="24"/>
        </w:rPr>
      </w:pP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sentido,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entregó el certificado solicitado por la particular, tal como se observa en la siguiente imagen:</w:t>
      </w:r>
    </w:p>
    <w:p w:rsidR="009E585C" w:rsidRDefault="00A2327D">
      <w:pPr>
        <w:spacing w:after="0" w:line="360" w:lineRule="auto"/>
        <w:ind w:right="-234"/>
        <w:jc w:val="center"/>
        <w:rPr>
          <w:rFonts w:ascii="Palatino Linotype" w:eastAsia="Palatino Linotype" w:hAnsi="Palatino Linotype" w:cs="Palatino Linotype"/>
          <w:color w:val="000000"/>
          <w:sz w:val="24"/>
          <w:szCs w:val="24"/>
        </w:rPr>
      </w:pPr>
      <w:r>
        <w:rPr>
          <w:noProof/>
        </w:rPr>
        <w:lastRenderedPageBreak/>
        <w:drawing>
          <wp:inline distT="0" distB="0" distL="0" distR="0">
            <wp:extent cx="3737730" cy="4902439"/>
            <wp:effectExtent l="0" t="0" r="0" b="0"/>
            <wp:docPr id="26" name="image6.jpg" descr="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Texto, Aplicación&#10;&#10;Descripción generada automáticamente"/>
                    <pic:cNvPicPr preferRelativeResize="0"/>
                  </pic:nvPicPr>
                  <pic:blipFill>
                    <a:blip r:embed="rId20"/>
                    <a:srcRect/>
                    <a:stretch>
                      <a:fillRect/>
                    </a:stretch>
                  </pic:blipFill>
                  <pic:spPr>
                    <a:xfrm>
                      <a:off x="0" y="0"/>
                      <a:ext cx="3737730" cy="4902439"/>
                    </a:xfrm>
                    <a:prstGeom prst="rect">
                      <a:avLst/>
                    </a:prstGeom>
                    <a:ln/>
                  </pic:spPr>
                </pic:pic>
              </a:graphicData>
            </a:graphic>
          </wp:inline>
        </w:drawing>
      </w:r>
    </w:p>
    <w:p w:rsidR="009E585C" w:rsidRDefault="00A23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 lo anterior, a fin de verificar que el documento en cita corresponde al Titular de la Unidad de Transparencia del Sujeto Obligado, este Instituto se avocó a verificar en el portal IPOMEX del Ente Recurrido, el nombre de la persona que ostenta el cargo en comento, y de ello, se obtuvo lo siguiente: </w:t>
      </w:r>
    </w:p>
    <w:p w:rsidR="009E585C" w:rsidRDefault="009E585C">
      <w:pPr>
        <w:spacing w:line="360" w:lineRule="auto"/>
        <w:jc w:val="both"/>
        <w:rPr>
          <w:rFonts w:ascii="Palatino Linotype" w:eastAsia="Palatino Linotype" w:hAnsi="Palatino Linotype" w:cs="Palatino Linotype"/>
        </w:rPr>
      </w:pPr>
    </w:p>
    <w:p w:rsidR="009E585C" w:rsidRDefault="00A2327D">
      <w:pPr>
        <w:spacing w:line="360" w:lineRule="auto"/>
        <w:ind w:left="567"/>
        <w:jc w:val="both"/>
        <w:rPr>
          <w:rFonts w:ascii="Palatino Linotype" w:eastAsia="Palatino Linotype" w:hAnsi="Palatino Linotype" w:cs="Palatino Linotype"/>
        </w:rPr>
      </w:pPr>
      <w:r>
        <w:rPr>
          <w:noProof/>
        </w:rPr>
        <w:lastRenderedPageBreak/>
        <w:drawing>
          <wp:inline distT="0" distB="0" distL="0" distR="0">
            <wp:extent cx="5041375" cy="1370455"/>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5041375" cy="1370455"/>
                    </a:xfrm>
                    <a:prstGeom prst="rect">
                      <a:avLst/>
                    </a:prstGeom>
                    <a:ln/>
                  </pic:spPr>
                </pic:pic>
              </a:graphicData>
            </a:graphic>
          </wp:inline>
        </w:drawing>
      </w:r>
      <w:r>
        <w:rPr>
          <w:rFonts w:ascii="Palatino Linotype" w:eastAsia="Palatino Linotype" w:hAnsi="Palatino Linotype" w:cs="Palatino Linotype"/>
        </w:rPr>
        <w:tab/>
      </w:r>
    </w:p>
    <w:p w:rsidR="009E585C" w:rsidRDefault="00A23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 se tiene que el documento en estudio corresponde a la certificación de competencia laboral en favor del Titular de la Unidad de Transparencia del Sujeto Obligado; en este tenor, se tiene que este último, testó, además de la Clave Única de Registro de Población</w:t>
      </w:r>
      <w:r>
        <w:rPr>
          <w:rFonts w:ascii="Palatino Linotype" w:eastAsia="Palatino Linotype" w:hAnsi="Palatino Linotype" w:cs="Palatino Linotype"/>
          <w:b/>
          <w:sz w:val="24"/>
          <w:szCs w:val="24"/>
          <w:u w:val="single"/>
        </w:rPr>
        <w:t>,</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u w:val="single"/>
        </w:rPr>
        <w:t>la fotografía de la servidora pública y el código QR del documento</w:t>
      </w:r>
      <w:r>
        <w:rPr>
          <w:rFonts w:ascii="Palatino Linotype" w:eastAsia="Palatino Linotype" w:hAnsi="Palatino Linotype" w:cs="Palatino Linotype"/>
          <w:sz w:val="24"/>
          <w:szCs w:val="24"/>
        </w:rPr>
        <w:t xml:space="preserve">, de lo que si bien, el CURP de una persona física identificada o identificable si actualiza la causal de clasificación señalada en el artículo 143, fracción I de la Ley local de la materia, no obstante, por cuanto hace a la fotografía de los servidores públicos en documentos que den cuenta de su experiencia profesional o bien, aptitudes a fin de ocupar un cargo de mando medio y superior, este dato se reviste de interés público, toda vez que, a través de la fotografía, es como la ciudadanía puede comprobar que la persona que desempeña funciones específicas, es la misma que aparece en los documentos que demuestran el nivel o grado de estudios y aptitudes requeridas, lo cual, abona a la transparencia y rendición de cuentas; consideración del criterio número 15-17, emitido por el Pleno del </w:t>
      </w:r>
      <w:proofErr w:type="spellStart"/>
      <w:r>
        <w:rPr>
          <w:rFonts w:ascii="Palatino Linotype" w:eastAsia="Palatino Linotype" w:hAnsi="Palatino Linotype" w:cs="Palatino Linotype"/>
          <w:sz w:val="24"/>
          <w:szCs w:val="24"/>
        </w:rPr>
        <w:t>Organo</w:t>
      </w:r>
      <w:proofErr w:type="spellEnd"/>
      <w:r>
        <w:rPr>
          <w:rFonts w:ascii="Palatino Linotype" w:eastAsia="Palatino Linotype" w:hAnsi="Palatino Linotype" w:cs="Palatino Linotype"/>
          <w:sz w:val="24"/>
          <w:szCs w:val="24"/>
        </w:rPr>
        <w:t xml:space="preserve"> Garante Nacional, mismo que lleva por rubro y texto lo siguiente: </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b/>
          <w:i/>
        </w:rPr>
        <w:t>Fotografía en título o cédula profesional es de acceso público.</w:t>
      </w:r>
      <w:r>
        <w:rPr>
          <w:rFonts w:ascii="Palatino Linotype" w:eastAsia="Palatino Linotype" w:hAnsi="Palatino Linotype" w:cs="Palatino Linotype"/>
          <w:i/>
        </w:rPr>
        <w:t xml:space="preserve"> Si bien la fotografía de una persona física es un dato personal, cuando se encuentra en un título o cédula profesional no es susceptible de clasificarse como confidencial, en virtud del interés </w:t>
      </w:r>
      <w:r>
        <w:rPr>
          <w:rFonts w:ascii="Palatino Linotype" w:eastAsia="Palatino Linotype" w:hAnsi="Palatino Linotype" w:cs="Palatino Linotype"/>
          <w:i/>
        </w:rPr>
        <w:lastRenderedPageBreak/>
        <w:t>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9E585C" w:rsidRDefault="009E585C">
      <w:pPr>
        <w:spacing w:after="0" w:line="360" w:lineRule="auto"/>
        <w:ind w:left="567" w:right="539"/>
        <w:jc w:val="both"/>
        <w:rPr>
          <w:rFonts w:ascii="Palatino Linotype" w:eastAsia="Palatino Linotype" w:hAnsi="Palatino Linotype" w:cs="Palatino Linotype"/>
          <w:i/>
        </w:rPr>
      </w:pPr>
    </w:p>
    <w:p w:rsidR="009E585C" w:rsidRDefault="00A2327D">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orden de ideas, la versión pública de la certificación de competencia laboral de la Titular de la Unidad de Transparencia, no se encuentra fundada y motivada, toda vez que al tratarse de un cargo de mando medio y superior, la fotografía del servidor público es de interés y acceso público, esto, a fin de abonar en que el personal que labora en el Ayuntamiento de Toluca, cuenta con las aptitudes y requisitos necesarios para desempeñarse en los diversos cargos de la Administración Pública.</w:t>
      </w:r>
    </w:p>
    <w:p w:rsidR="009E585C" w:rsidRDefault="009E585C">
      <w:pPr>
        <w:spacing w:after="0" w:line="360" w:lineRule="auto"/>
        <w:ind w:right="-28"/>
        <w:jc w:val="both"/>
        <w:rPr>
          <w:rFonts w:ascii="Palatino Linotype" w:eastAsia="Palatino Linotype" w:hAnsi="Palatino Linotype" w:cs="Palatino Linotype"/>
          <w:sz w:val="24"/>
          <w:szCs w:val="24"/>
        </w:rPr>
      </w:pPr>
    </w:p>
    <w:p w:rsidR="009E585C" w:rsidRDefault="00A2327D">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como se mencionó anteriormente, </w:t>
      </w:r>
      <w:r>
        <w:rPr>
          <w:rFonts w:ascii="Palatino Linotype" w:eastAsia="Palatino Linotype" w:hAnsi="Palatino Linotype" w:cs="Palatino Linotype"/>
          <w:b/>
          <w:sz w:val="24"/>
          <w:szCs w:val="24"/>
          <w:u w:val="single"/>
        </w:rPr>
        <w:t xml:space="preserve">también se testó el Código </w:t>
      </w:r>
      <w:proofErr w:type="spellStart"/>
      <w:r>
        <w:rPr>
          <w:rFonts w:ascii="Palatino Linotype" w:eastAsia="Palatino Linotype" w:hAnsi="Palatino Linotype" w:cs="Palatino Linotype"/>
          <w:b/>
          <w:sz w:val="24"/>
          <w:szCs w:val="24"/>
          <w:u w:val="single"/>
        </w:rPr>
        <w:t>Qr</w:t>
      </w:r>
      <w:proofErr w:type="spellEnd"/>
      <w:r>
        <w:rPr>
          <w:rFonts w:ascii="Palatino Linotype" w:eastAsia="Palatino Linotype" w:hAnsi="Palatino Linotype" w:cs="Palatino Linotype"/>
          <w:b/>
          <w:sz w:val="24"/>
          <w:szCs w:val="24"/>
          <w:u w:val="single"/>
        </w:rPr>
        <w:t xml:space="preserve"> del documento en estudio</w:t>
      </w:r>
      <w:r>
        <w:rPr>
          <w:rFonts w:ascii="Palatino Linotype" w:eastAsia="Palatino Linotype" w:hAnsi="Palatino Linotype" w:cs="Palatino Linotype"/>
          <w:sz w:val="24"/>
          <w:szCs w:val="24"/>
        </w:rPr>
        <w:t xml:space="preserve">; motivo por el cual, este Organismo </w:t>
      </w:r>
      <w:r w:rsidRPr="00FE6A40">
        <w:rPr>
          <w:rFonts w:ascii="Palatino Linotype" w:eastAsia="Palatino Linotype" w:hAnsi="Palatino Linotype" w:cs="Palatino Linotype"/>
          <w:sz w:val="24"/>
          <w:szCs w:val="24"/>
        </w:rPr>
        <w:t xml:space="preserve">Garante advierte que dicho dato tampoco es susceptible de clasificación, toda vez que, la única información que se obtiene de su escaneo, </w:t>
      </w:r>
      <w:r w:rsidRPr="00FE6A40">
        <w:rPr>
          <w:rFonts w:ascii="Palatino Linotype" w:eastAsia="Palatino Linotype" w:hAnsi="Palatino Linotype" w:cs="Palatino Linotype"/>
          <w:b/>
          <w:sz w:val="24"/>
          <w:szCs w:val="24"/>
          <w:u w:val="single"/>
        </w:rPr>
        <w:t>corresponde al nombre del servidor público, así como al nombre y clave con la que se tiene registrado el Estándar de Competencia que fue otorgado</w:t>
      </w:r>
      <w:r w:rsidRPr="00FE6A40">
        <w:rPr>
          <w:rFonts w:ascii="Palatino Linotype" w:eastAsia="Palatino Linotype" w:hAnsi="Palatino Linotype" w:cs="Palatino Linotype"/>
          <w:sz w:val="24"/>
          <w:szCs w:val="24"/>
        </w:rPr>
        <w:t>; por lo tanto, en virtud que a través del uso de la tecnología implementada en el código de respuesta rápida (QR) se puede verificar que la certificación fue otorgada a una persona respecto a una competencia en específico, es viable colegir que dicho dato abona a la transparencia y rendición de cuentas de la Administración Pública Municipal.</w:t>
      </w:r>
      <w:r>
        <w:rPr>
          <w:rFonts w:ascii="Palatino Linotype" w:eastAsia="Palatino Linotype" w:hAnsi="Palatino Linotype" w:cs="Palatino Linotype"/>
          <w:sz w:val="24"/>
          <w:szCs w:val="24"/>
        </w:rPr>
        <w:t xml:space="preserve"> </w:t>
      </w:r>
    </w:p>
    <w:p w:rsidR="009E585C" w:rsidRDefault="009E585C">
      <w:pPr>
        <w:spacing w:line="360" w:lineRule="auto"/>
        <w:ind w:right="-28"/>
        <w:jc w:val="both"/>
        <w:rPr>
          <w:rFonts w:ascii="Palatino Linotype" w:eastAsia="Palatino Linotype" w:hAnsi="Palatino Linotype" w:cs="Palatino Linotype"/>
          <w:sz w:val="24"/>
          <w:szCs w:val="24"/>
        </w:rPr>
      </w:pPr>
    </w:p>
    <w:p w:rsidR="009E585C" w:rsidRDefault="00A2327D">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orden de ideas, la entrega de todos los datos que acreditan el nivel académico o de preparación en algún área del conocimiento, aporta elementos de convicción sobre su legalidad y legitimidad. </w:t>
      </w:r>
    </w:p>
    <w:p w:rsidR="009E585C" w:rsidRDefault="009E585C">
      <w:pPr>
        <w:spacing w:after="0" w:line="360" w:lineRule="auto"/>
        <w:ind w:right="-28"/>
        <w:jc w:val="both"/>
        <w:rPr>
          <w:rFonts w:ascii="Palatino Linotype" w:eastAsia="Palatino Linotype" w:hAnsi="Palatino Linotype" w:cs="Palatino Linotype"/>
          <w:sz w:val="24"/>
          <w:szCs w:val="24"/>
        </w:rPr>
      </w:pPr>
    </w:p>
    <w:p w:rsidR="009E585C" w:rsidRDefault="00A2327D">
      <w:pPr>
        <w:spacing w:after="0" w:line="360" w:lineRule="auto"/>
        <w:ind w:right="-28"/>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t xml:space="preserve">Aunado a lo anterior, no se deja de lado que en el Acuerdo por medio del cual el Comité de Transparencia aprobó la versión pública del certificado de competencia laboral en comento, </w:t>
      </w:r>
      <w:r>
        <w:rPr>
          <w:rFonts w:ascii="Palatino Linotype" w:eastAsia="Palatino Linotype" w:hAnsi="Palatino Linotype" w:cs="Palatino Linotype"/>
          <w:b/>
          <w:sz w:val="24"/>
          <w:szCs w:val="24"/>
          <w:u w:val="single"/>
        </w:rPr>
        <w:t xml:space="preserve">no se llevó a cabo el estudio correspondiente al Código </w:t>
      </w:r>
      <w:proofErr w:type="spellStart"/>
      <w:r>
        <w:rPr>
          <w:rFonts w:ascii="Palatino Linotype" w:eastAsia="Palatino Linotype" w:hAnsi="Palatino Linotype" w:cs="Palatino Linotype"/>
          <w:b/>
          <w:sz w:val="24"/>
          <w:szCs w:val="24"/>
          <w:u w:val="single"/>
        </w:rPr>
        <w:t>Qr</w:t>
      </w:r>
      <w:proofErr w:type="spellEnd"/>
      <w:r>
        <w:rPr>
          <w:rFonts w:ascii="Palatino Linotype" w:eastAsia="Palatino Linotype" w:hAnsi="Palatino Linotype" w:cs="Palatino Linotype"/>
          <w:b/>
          <w:sz w:val="24"/>
          <w:szCs w:val="24"/>
          <w:u w:val="single"/>
        </w:rPr>
        <w:t xml:space="preserve">. </w:t>
      </w:r>
    </w:p>
    <w:p w:rsidR="009E585C" w:rsidRDefault="009E585C">
      <w:pPr>
        <w:spacing w:after="0" w:line="360" w:lineRule="auto"/>
        <w:ind w:right="-28"/>
        <w:jc w:val="both"/>
        <w:rPr>
          <w:rFonts w:ascii="Palatino Linotype" w:eastAsia="Palatino Linotype" w:hAnsi="Palatino Linotype" w:cs="Palatino Linotype"/>
          <w:b/>
          <w:sz w:val="24"/>
          <w:szCs w:val="24"/>
          <w:u w:val="single"/>
        </w:rPr>
      </w:pPr>
    </w:p>
    <w:p w:rsidR="009E585C" w:rsidRDefault="00A2327D">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se determina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entregó de manera adecuada la certificación de competencia laboral, razón por la cual es procedente ordenar su entrega en una correcta versión pública en términos del considerando quinto.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24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5. Expediente laboral de la Titular de la Unidad de Transparencia.</w:t>
      </w:r>
    </w:p>
    <w:tbl>
      <w:tblPr>
        <w:tblStyle w:val="a3"/>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835"/>
        <w:gridCol w:w="1134"/>
        <w:gridCol w:w="2551"/>
      </w:tblGrid>
      <w:tr w:rsidR="009E585C">
        <w:tc>
          <w:tcPr>
            <w:tcW w:w="2235"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35"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1134"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c>
          <w:tcPr>
            <w:tcW w:w="2551"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Alcance al informe justificado</w:t>
            </w:r>
          </w:p>
        </w:tc>
      </w:tr>
      <w:tr w:rsidR="009E585C">
        <w:tc>
          <w:tcPr>
            <w:tcW w:w="2235" w:type="dxa"/>
          </w:tcPr>
          <w:p w:rsidR="009E585C" w:rsidRDefault="00A2327D">
            <w:pPr>
              <w:spacing w:before="240" w:after="240"/>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Expediente de la Titular de la Unidad de Transparencia. </w:t>
            </w:r>
          </w:p>
        </w:tc>
        <w:tc>
          <w:tcPr>
            <w:tcW w:w="2835"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Menciona que por conducto de la Dirección de Recursos Humanos envía en formato digital los documentos que obran en el expediente laboral de la Titular de la Unidad de Transparencia, en versión púbica ya que fueron clasificados como </w:t>
            </w:r>
            <w:r>
              <w:rPr>
                <w:rFonts w:ascii="Palatino Linotype" w:eastAsia="Palatino Linotype" w:hAnsi="Palatino Linotype" w:cs="Palatino Linotype"/>
                <w:sz w:val="18"/>
                <w:szCs w:val="18"/>
              </w:rPr>
              <w:lastRenderedPageBreak/>
              <w:t>confidencial, en partes y en su totalidad por lo que entrega el acta de la centésima quincuagésima sesión extraordinaria 2022 del Comité de Transparencia del Municipio de Toluca, misma que en su punto 4 de la orden del día, clasifica como información confidencial de forma total, los datos personales contenidos en la identificación oficial con fotografía, acta de nacimiento, certificado médico, certificado no deudor alimentario moroso, comprobante de domicilio, comprobante de clave ISSEMYM, cédula del CURP y RFC y examen diagnóstico.</w:t>
            </w:r>
          </w:p>
        </w:tc>
        <w:tc>
          <w:tcPr>
            <w:tcW w:w="1134"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xml:space="preserve">Ratifica. </w:t>
            </w:r>
          </w:p>
        </w:tc>
        <w:tc>
          <w:tcPr>
            <w:tcW w:w="2551"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Adjunta la constancia de no inhabilitación de la Titular de la Unidad de Transparencia en versión pública </w:t>
            </w:r>
          </w:p>
        </w:tc>
      </w:tr>
    </w:tbl>
    <w:p w:rsidR="009E585C" w:rsidRDefault="009E585C">
      <w:pPr>
        <w:spacing w:before="240" w:after="0" w:line="360" w:lineRule="auto"/>
        <w:ind w:right="-234"/>
        <w:jc w:val="both"/>
        <w:rPr>
          <w:rFonts w:ascii="Palatino Linotype" w:eastAsia="Palatino Linotype" w:hAnsi="Palatino Linotype" w:cs="Palatino Linotype"/>
          <w:b/>
          <w:i/>
          <w:color w:val="000000"/>
          <w:sz w:val="24"/>
          <w:szCs w:val="24"/>
          <w:u w:val="single"/>
        </w:rPr>
      </w:pPr>
    </w:p>
    <w:p w:rsidR="009E585C" w:rsidRDefault="00A2327D">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Como bien se precisó con anterioridad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 xml:space="preserve">en su respuesta inicial no entregó la documentación concerniente al expediente laboral de la Titular de la Unidad de Transparencia, ya que únicamente se limitó a mencionar que se entregaba dicha información en versión pública, por lo que adjunto el acta del Comité de Transparencia, sin embargo, no añade la documentación correspondiente, ratificando lo anterior mediante informe justificado, pero mediante alcance adjunta la constancia de no inhabilitación, documento que forma parte de su expediente laboral, tal como se advierte a </w:t>
      </w:r>
      <w:r w:rsidR="0076503D">
        <w:rPr>
          <w:rFonts w:ascii="Palatino Linotype" w:eastAsia="Palatino Linotype" w:hAnsi="Palatino Linotype" w:cs="Palatino Linotype"/>
          <w:color w:val="000000"/>
          <w:sz w:val="24"/>
          <w:szCs w:val="24"/>
        </w:rPr>
        <w:t>continuación</w:t>
      </w:r>
      <w:r>
        <w:rPr>
          <w:rFonts w:ascii="Palatino Linotype" w:eastAsia="Palatino Linotype" w:hAnsi="Palatino Linotype" w:cs="Palatino Linotype"/>
          <w:color w:val="000000"/>
          <w:sz w:val="24"/>
          <w:szCs w:val="24"/>
        </w:rPr>
        <w:t>:</w:t>
      </w:r>
    </w:p>
    <w:p w:rsidR="009E585C" w:rsidRDefault="00A2327D">
      <w:pPr>
        <w:spacing w:after="0" w:line="360" w:lineRule="auto"/>
        <w:ind w:right="-234"/>
        <w:jc w:val="center"/>
        <w:rPr>
          <w:rFonts w:ascii="Palatino Linotype" w:eastAsia="Palatino Linotype" w:hAnsi="Palatino Linotype" w:cs="Palatino Linotype"/>
          <w:color w:val="000000"/>
          <w:sz w:val="24"/>
          <w:szCs w:val="24"/>
        </w:rPr>
      </w:pPr>
      <w:r>
        <w:rPr>
          <w:noProof/>
        </w:rPr>
        <w:lastRenderedPageBreak/>
        <w:drawing>
          <wp:inline distT="0" distB="0" distL="0" distR="0">
            <wp:extent cx="4214716" cy="5393100"/>
            <wp:effectExtent l="0" t="0" r="0" b="0"/>
            <wp:docPr id="28" name="image9.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9.jpg" descr="Texto, Carta&#10;&#10;Descripción generada automáticamente"/>
                    <pic:cNvPicPr preferRelativeResize="0"/>
                  </pic:nvPicPr>
                  <pic:blipFill>
                    <a:blip r:embed="rId22"/>
                    <a:srcRect/>
                    <a:stretch>
                      <a:fillRect/>
                    </a:stretch>
                  </pic:blipFill>
                  <pic:spPr>
                    <a:xfrm>
                      <a:off x="0" y="0"/>
                      <a:ext cx="4214716" cy="5393100"/>
                    </a:xfrm>
                    <a:prstGeom prst="rect">
                      <a:avLst/>
                    </a:prstGeom>
                    <a:ln/>
                  </pic:spPr>
                </pic:pic>
              </a:graphicData>
            </a:graphic>
          </wp:inline>
        </w:drawing>
      </w:r>
    </w:p>
    <w:p w:rsidR="009E585C" w:rsidRDefault="009E585C">
      <w:pPr>
        <w:spacing w:after="0" w:line="360" w:lineRule="auto"/>
        <w:ind w:right="-234"/>
        <w:jc w:val="both"/>
        <w:rPr>
          <w:rFonts w:ascii="Palatino Linotype" w:eastAsia="Palatino Linotype" w:hAnsi="Palatino Linotype" w:cs="Palatino Linotype"/>
          <w:color w:val="000000"/>
          <w:sz w:val="24"/>
          <w:szCs w:val="24"/>
        </w:rPr>
      </w:pPr>
    </w:p>
    <w:p w:rsidR="009E585C" w:rsidRDefault="009E585C">
      <w:pPr>
        <w:spacing w:after="24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resulta conveniente señalar lo establecido por el artículo 47 de la Ley del Trabajo de los Servidores Públicos del Estado y Municipios, el cual refiere que para ingresar al servicio público, se requiere, entre otras cosas, cumplir con diversos </w:t>
      </w:r>
      <w:r>
        <w:rPr>
          <w:rFonts w:ascii="Palatino Linotype" w:eastAsia="Palatino Linotype" w:hAnsi="Palatino Linotype" w:cs="Palatino Linotype"/>
          <w:sz w:val="24"/>
          <w:szCs w:val="24"/>
        </w:rPr>
        <w:lastRenderedPageBreak/>
        <w:t>requisitos. En ese contexto, es conducente hacer referencia sobre aquellas exigencias a cumplir que señala el artículo en comento:</w:t>
      </w:r>
    </w:p>
    <w:p w:rsidR="009E585C" w:rsidRDefault="009E585C">
      <w:pPr>
        <w:spacing w:after="0" w:line="360" w:lineRule="auto"/>
        <w:jc w:val="both"/>
        <w:rPr>
          <w:rFonts w:ascii="Palatino Linotype" w:eastAsia="Palatino Linotype" w:hAnsi="Palatino Linotype" w:cs="Palatino Linotype"/>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b/>
          <w:i/>
        </w:rPr>
        <w:t>ARTÍCULO 47.</w:t>
      </w:r>
      <w:r>
        <w:rPr>
          <w:rFonts w:ascii="Palatino Linotype" w:eastAsia="Palatino Linotype" w:hAnsi="Palatino Linotype" w:cs="Palatino Linotype"/>
          <w:i/>
        </w:rPr>
        <w:t xml:space="preserve"> Para ingresar al servicio público se requiere:</w:t>
      </w:r>
    </w:p>
    <w:p w:rsidR="009E585C" w:rsidRDefault="009E585C">
      <w:pPr>
        <w:spacing w:after="0" w:line="360" w:lineRule="auto"/>
        <w:ind w:left="567" w:right="539"/>
        <w:jc w:val="both"/>
        <w:rPr>
          <w:rFonts w:ascii="Palatino Linotype" w:eastAsia="Palatino Linotype" w:hAnsi="Palatino Linotype" w:cs="Palatino Linotype"/>
          <w:i/>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 Presentar una solicitud utilizando la forma oficial que se autorice por la institución pública o dependencia correspondiente;</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II. Ser de nacionalidad mexicana, con la excepción prevista en el artículo 17 de la presente ley; </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III. Estar en pleno ejercicio de sus derechos civiles y políticos, en su caso;</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IV. Acreditar, cuando proceda, el cumplimiento de la Ley del Servicio Militar Nacional;</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V. Derogada.</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VI. No haber sido separado anteriormente del servicio por las causas previstas en el artículo 93 de la presente ley;</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VII. Tener buena salud, lo que se comprobará con los certificados médicos correspondientes, en la forma en que se establezca en cada institución pública;</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VIII. Cumplir con los requisitos que se establezcan para los diferentes puestos;</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X. No estar inhabilitado para el ejercicio del servicio público.</w:t>
      </w: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w:t>
      </w:r>
      <w:r>
        <w:rPr>
          <w:rFonts w:ascii="Palatino Linotype" w:eastAsia="Palatino Linotype" w:hAnsi="Palatino Linotype" w:cs="Palatino Linotype"/>
          <w:i/>
        </w:rPr>
        <w:lastRenderedPageBreak/>
        <w:t>deberá dar aviso al juez de conocimiento de dicha circunstancia, para los efectos legales a que haya lugar.</w:t>
      </w:r>
    </w:p>
    <w:p w:rsidR="009E585C" w:rsidRDefault="009E585C">
      <w:pPr>
        <w:spacing w:after="0" w:line="360" w:lineRule="auto"/>
        <w:ind w:right="539"/>
        <w:jc w:val="both"/>
        <w:rPr>
          <w:rFonts w:ascii="Palatino Linotype" w:eastAsia="Palatino Linotype" w:hAnsi="Palatino Linotype" w:cs="Palatino Linotype"/>
          <w:i/>
        </w:rPr>
      </w:pPr>
    </w:p>
    <w:p w:rsidR="009E585C" w:rsidRDefault="00A2327D">
      <w:pPr>
        <w:spacing w:after="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sz w:val="24"/>
          <w:szCs w:val="24"/>
        </w:rPr>
        <w:t xml:space="preserve">Conforme a lo anterior, se logra advertir que toda persona que ingrese al servicio público debe cumplir con las especificaciones que para el cargo a ocupar son necesarias, esto es, los requisitos mínimos tales como, de manera enunciativa más no limitativa pueden ser la nacionalidad y aptitudes. Así entonces, este Instituto puede advertir que la pretensión del ahora Recurrente, </w:t>
      </w:r>
      <w:r>
        <w:rPr>
          <w:rFonts w:ascii="Palatino Linotype" w:eastAsia="Palatino Linotype" w:hAnsi="Palatino Linotype" w:cs="Palatino Linotype"/>
          <w:b/>
          <w:sz w:val="24"/>
          <w:szCs w:val="24"/>
          <w:u w:val="single"/>
        </w:rPr>
        <w:t>es obtener los documentos que conforman el expediente laboral</w:t>
      </w:r>
      <w:r>
        <w:rPr>
          <w:rFonts w:ascii="Palatino Linotype" w:eastAsia="Palatino Linotype" w:hAnsi="Palatino Linotype" w:cs="Palatino Linotype"/>
          <w:sz w:val="24"/>
          <w:szCs w:val="24"/>
        </w:rPr>
        <w:t xml:space="preserve"> de la Titular de la Unidad de Transparencia del Ayuntamiento de Toluca; </w:t>
      </w:r>
      <w:r>
        <w:rPr>
          <w:rFonts w:ascii="Palatino Linotype" w:eastAsia="Palatino Linotype" w:hAnsi="Palatino Linotype" w:cs="Palatino Linotype"/>
          <w:b/>
          <w:sz w:val="24"/>
          <w:szCs w:val="24"/>
          <w:u w:val="single"/>
        </w:rPr>
        <w:t>esto es, las documentales que dan cuenta del cumplimiento de los requisitos previstos para ocupar los diversos cargos en la Administración Pública Municipal de Toluca.</w:t>
      </w:r>
    </w:p>
    <w:p w:rsidR="009E585C" w:rsidRDefault="009E585C">
      <w:pPr>
        <w:spacing w:after="80" w:line="360" w:lineRule="auto"/>
        <w:jc w:val="both"/>
        <w:rPr>
          <w:rFonts w:ascii="Palatino Linotype" w:eastAsia="Palatino Linotype" w:hAnsi="Palatino Linotype" w:cs="Palatino Linotype"/>
          <w:b/>
          <w:sz w:val="24"/>
          <w:szCs w:val="24"/>
          <w:u w:val="single"/>
        </w:rPr>
      </w:pPr>
    </w:p>
    <w:p w:rsidR="009E585C" w:rsidRDefault="00A2327D">
      <w:pPr>
        <w:spacing w:before="8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Por lo anterior, conviene señalar que si bien, dentro de los expedientes laborales se puede incluir información que no abona a la transparencia o que no se encuentra relacionada con el actuar de un servidor público, no obstante, se deberán entregar todos aquellos documentos que, dentro del expediente laboral, </w:t>
      </w:r>
      <w:r>
        <w:rPr>
          <w:rFonts w:ascii="Palatino Linotype" w:eastAsia="Palatino Linotype" w:hAnsi="Palatino Linotype" w:cs="Palatino Linotype"/>
          <w:b/>
          <w:sz w:val="24"/>
          <w:szCs w:val="24"/>
        </w:rPr>
        <w:t>den cuenta de la preparación académica y/o laboral de los servidores públicos requeridos, ya que existe un interés público para dar a conocer dicha información, pues transparenta que el personal que labora para el Sujeto Obligado cuenta con las capacidades, conocimientos y experiencia necesaria para cumplir con sus funciones.</w:t>
      </w:r>
    </w:p>
    <w:p w:rsidR="009E585C" w:rsidRDefault="00A2327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n este tenor, lo dicho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el nivel máximo de estudios concluido y comprobable, así como la experiencia laboral, tal como se muestra continuación:</w:t>
      </w:r>
    </w:p>
    <w:p w:rsidR="009E585C" w:rsidRDefault="00A2327D">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618707" cy="1732570"/>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5618707" cy="1732570"/>
                    </a:xfrm>
                    <a:prstGeom prst="rect">
                      <a:avLst/>
                    </a:prstGeom>
                    <a:ln/>
                  </pic:spPr>
                </pic:pic>
              </a:graphicData>
            </a:graphic>
          </wp:inline>
        </w:drawing>
      </w:r>
    </w:p>
    <w:p w:rsidR="009E585C" w:rsidRDefault="00A2327D">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orden de ideas, la entrega de los documentos que acreditan el nivel académico o de preparación en algún área del conocimiento, aporta elementos de convicción sobre su legalidad y legitimidad, además de que permite verificar que los servidores públicos del Ayuntamiento de Toluca, acreditaron el nivel académico </w:t>
      </w:r>
      <w:r>
        <w:rPr>
          <w:rFonts w:ascii="Palatino Linotype" w:eastAsia="Palatino Linotype" w:hAnsi="Palatino Linotype" w:cs="Palatino Linotype"/>
          <w:sz w:val="24"/>
          <w:szCs w:val="24"/>
        </w:rPr>
        <w:lastRenderedPageBreak/>
        <w:t>y la experiencia necesaria para ocupar un cargo público dentro de su estructura orgánica.</w:t>
      </w:r>
    </w:p>
    <w:p w:rsidR="009E585C" w:rsidRDefault="00A2327D">
      <w:pPr>
        <w:widowControl w:val="0"/>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Establecido lo anterior, y tal como se refirió en párrafos precedentes, de la naturaleza jurídica de los documentos requeridos por el Particular, se pueden desprender datos susceptibles de clasificación en términos del numeral 143 de la Ley de Transparencia y Acceso a la Información Pública del Estado de México y Municipios, por lo tanto, cabe mencionar que el artículo 6°, Apartado A), fracción II, de la Constitución Política de los Estados Unidos Mexicanos, prevé que la información que se refiere a la vida privada y los datos personales será protegida en los términos y con las excepciones que fijen las leyes.</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Acorde con lo anterior, la Ley General de Transparencia y Acceso a la Información Pública, en su artículo 116, dispone que se considera información confidencial la que contenga datos personales concernientes a una persona física identificada o identificable.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concordancia con lo previo, el artículo 143, fracción I, de la Ley previamente citada, establece que la información privada y los datos personales, concernientes a una persona física o jurídica colectiva identificada o identificable son confidenciales. </w:t>
      </w: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términos de lo expuesto, la documentación y aquellos datos que se consideren confidenciales, serán una limitante del derecho de acceso a la información, siempre y cuando: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Se trate de datos personales o información privada; esto es, información concerniente a una persona física o jurídico colectiva y que esta sea identificada o identificable.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Para la difusión de los datos, se requiera el consentimiento del titular.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en el artículo 5° de dicho ordenamiento jurídico, establece que es la Ley aplicable para todo tratamiento de datos personales.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las instituciones públicas tienen la doble responsabilidad, por un lado, de proteger los datos personales y por otro, darles publicidad cuando la relevancia de esos datos sea de interés público. </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w:t>
      </w:r>
      <w:r>
        <w:rPr>
          <w:rFonts w:ascii="Palatino Linotype" w:eastAsia="Palatino Linotype" w:hAnsi="Palatino Linotype" w:cs="Palatino Linotype"/>
          <w:sz w:val="24"/>
          <w:szCs w:val="24"/>
        </w:rPr>
        <w:lastRenderedPageBreak/>
        <w:t>que el beneficio de su publicidad es mayor que el beneficio de su clasificación, aun tratándose de información personal.</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ese contexto, se analizarán de manera enunciativa más no limitativa algunos datos personales que pueden encontrarse dentro de los documentos que pueden dar cuenta de lo requerido por el Particular; esto es, verificar si actualizan la causal de clasificación establecida en el artículo 143, fracción I, de la Ley de Transparencia y Acceso a la Información Pública del Estado de México y Municipios.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rPr>
        <w:t>•</w:t>
      </w:r>
      <w:r>
        <w:rPr>
          <w:rFonts w:ascii="Palatino Linotype" w:eastAsia="Palatino Linotype" w:hAnsi="Palatino Linotype" w:cs="Palatino Linotype"/>
          <w:b/>
        </w:rPr>
        <w:tab/>
      </w:r>
      <w:r>
        <w:rPr>
          <w:rFonts w:ascii="Palatino Linotype" w:eastAsia="Palatino Linotype" w:hAnsi="Palatino Linotype" w:cs="Palatino Linotype"/>
          <w:b/>
          <w:sz w:val="24"/>
          <w:szCs w:val="24"/>
        </w:rPr>
        <w:t>Acta de Nacimiento.</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actas emitidas por el Registro Civil dan cuenta de un atributo de la personalidad, tal como lo establece el artículo 2.3 del Código Civil del Estado México. En ese orden de ideas, el artículo 3.5 del </w:t>
      </w:r>
      <w:proofErr w:type="spellStart"/>
      <w:r>
        <w:rPr>
          <w:rFonts w:ascii="Palatino Linotype" w:eastAsia="Palatino Linotype" w:hAnsi="Palatino Linotype" w:cs="Palatino Linotype"/>
          <w:sz w:val="24"/>
          <w:szCs w:val="24"/>
        </w:rPr>
        <w:t>del</w:t>
      </w:r>
      <w:proofErr w:type="spellEnd"/>
      <w:r>
        <w:rPr>
          <w:rFonts w:ascii="Palatino Linotype" w:eastAsia="Palatino Linotype" w:hAnsi="Palatino Linotype" w:cs="Palatino Linotype"/>
          <w:sz w:val="24"/>
          <w:szCs w:val="24"/>
        </w:rPr>
        <w:t xml:space="preserve"> citado Código Civil establece que el estado civil de </w:t>
      </w:r>
      <w:r>
        <w:rPr>
          <w:rFonts w:ascii="Palatino Linotype" w:eastAsia="Palatino Linotype" w:hAnsi="Palatino Linotype" w:cs="Palatino Linotype"/>
          <w:sz w:val="24"/>
          <w:szCs w:val="24"/>
        </w:rPr>
        <w:lastRenderedPageBreak/>
        <w:t xml:space="preserve">las personas sólo se comprueba con las constancias relativas del Registro Civil, tal como lo es el Acta de Nacimiento.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de acuerdo con el Formato Único del Acta de Nacimiento publicado por la Secretaría de Gobernación en el enlace http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 xml:space="preserve">/www.diputados.gob.mx/documentos/N_Acta_Nacimiento.pdf, se advierte que el Acta de Nacimiento se componte de quince elementos siendo los siguientes: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ab/>
        <w:t>Folio de Impresión.</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w:t>
      </w:r>
      <w:r>
        <w:rPr>
          <w:rFonts w:ascii="Palatino Linotype" w:eastAsia="Palatino Linotype" w:hAnsi="Palatino Linotype" w:cs="Palatino Linotype"/>
          <w:sz w:val="24"/>
          <w:szCs w:val="24"/>
        </w:rPr>
        <w:tab/>
        <w:t>Denominación del Documento.</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w:t>
      </w:r>
      <w:r>
        <w:rPr>
          <w:rFonts w:ascii="Palatino Linotype" w:eastAsia="Palatino Linotype" w:hAnsi="Palatino Linotype" w:cs="Palatino Linotype"/>
          <w:sz w:val="24"/>
          <w:szCs w:val="24"/>
        </w:rPr>
        <w:tab/>
        <w:t xml:space="preserve">Identificador Electrónico.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w:t>
      </w:r>
      <w:r>
        <w:rPr>
          <w:rFonts w:ascii="Palatino Linotype" w:eastAsia="Palatino Linotype" w:hAnsi="Palatino Linotype" w:cs="Palatino Linotype"/>
          <w:sz w:val="24"/>
          <w:szCs w:val="24"/>
        </w:rPr>
        <w:tab/>
        <w:t xml:space="preserve">Elementos del Registro.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w:t>
      </w:r>
      <w:r>
        <w:rPr>
          <w:rFonts w:ascii="Palatino Linotype" w:eastAsia="Palatino Linotype" w:hAnsi="Palatino Linotype" w:cs="Palatino Linotype"/>
          <w:sz w:val="24"/>
          <w:szCs w:val="24"/>
        </w:rPr>
        <w:tab/>
        <w:t xml:space="preserve">Datos de la Persona Registrada.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w:t>
      </w:r>
      <w:r>
        <w:rPr>
          <w:rFonts w:ascii="Palatino Linotype" w:eastAsia="Palatino Linotype" w:hAnsi="Palatino Linotype" w:cs="Palatino Linotype"/>
          <w:sz w:val="24"/>
          <w:szCs w:val="24"/>
        </w:rPr>
        <w:tab/>
        <w:t xml:space="preserve">Datos de Filiación de la Persona Registrada.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w:t>
      </w:r>
      <w:r>
        <w:rPr>
          <w:rFonts w:ascii="Palatino Linotype" w:eastAsia="Palatino Linotype" w:hAnsi="Palatino Linotype" w:cs="Palatino Linotype"/>
          <w:sz w:val="24"/>
          <w:szCs w:val="24"/>
        </w:rPr>
        <w:tab/>
        <w:t xml:space="preserve">Anotaciones Marginales.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w:t>
      </w:r>
      <w:r>
        <w:rPr>
          <w:rFonts w:ascii="Palatino Linotype" w:eastAsia="Palatino Linotype" w:hAnsi="Palatino Linotype" w:cs="Palatino Linotype"/>
          <w:sz w:val="24"/>
          <w:szCs w:val="24"/>
        </w:rPr>
        <w:tab/>
        <w:t xml:space="preserve">Certificación.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ab/>
        <w:t xml:space="preserve">Código Bidimensional QR que contiene información encriptada del acta.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w:t>
      </w:r>
      <w:r>
        <w:rPr>
          <w:rFonts w:ascii="Palatino Linotype" w:eastAsia="Palatino Linotype" w:hAnsi="Palatino Linotype" w:cs="Palatino Linotype"/>
          <w:sz w:val="24"/>
          <w:szCs w:val="24"/>
        </w:rPr>
        <w:tab/>
        <w:t xml:space="preserve">Leyenda “Soy México”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k)</w:t>
      </w:r>
      <w:r>
        <w:rPr>
          <w:rFonts w:ascii="Palatino Linotype" w:eastAsia="Palatino Linotype" w:hAnsi="Palatino Linotype" w:cs="Palatino Linotype"/>
          <w:sz w:val="24"/>
          <w:szCs w:val="24"/>
        </w:rPr>
        <w:tab/>
        <w:t xml:space="preserve">Firma Electrónica Avanzada.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ab/>
        <w:t xml:space="preserve">Firma y datos de la autoridad emisora.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w:t>
      </w:r>
      <w:r>
        <w:rPr>
          <w:rFonts w:ascii="Palatino Linotype" w:eastAsia="Palatino Linotype" w:hAnsi="Palatino Linotype" w:cs="Palatino Linotype"/>
          <w:sz w:val="24"/>
          <w:szCs w:val="24"/>
        </w:rPr>
        <w:tab/>
        <w:t xml:space="preserve">Código QR.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w:t>
      </w:r>
      <w:r>
        <w:rPr>
          <w:rFonts w:ascii="Palatino Linotype" w:eastAsia="Palatino Linotype" w:hAnsi="Palatino Linotype" w:cs="Palatino Linotype"/>
          <w:sz w:val="24"/>
          <w:szCs w:val="24"/>
        </w:rPr>
        <w:tab/>
        <w:t>Código de Verificación.</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w:t>
      </w:r>
      <w:r>
        <w:rPr>
          <w:rFonts w:ascii="Palatino Linotype" w:eastAsia="Palatino Linotype" w:hAnsi="Palatino Linotype" w:cs="Palatino Linotype"/>
          <w:sz w:val="24"/>
          <w:szCs w:val="24"/>
        </w:rPr>
        <w:tab/>
        <w:t xml:space="preserve">Leyenda de instrucciones para la verificación del documento.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rsidR="009E585C" w:rsidRDefault="009E585C">
      <w:pPr>
        <w:spacing w:line="360" w:lineRule="auto"/>
        <w:jc w:val="both"/>
        <w:rPr>
          <w:rFonts w:ascii="Palatino Linotype" w:eastAsia="Palatino Linotype" w:hAnsi="Palatino Linotype" w:cs="Palatino Linotype"/>
          <w:sz w:val="24"/>
          <w:szCs w:val="24"/>
        </w:rPr>
      </w:pPr>
    </w:p>
    <w:p w:rsidR="009E585C" w:rsidRDefault="00A23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9E585C" w:rsidRDefault="009E585C">
      <w:pPr>
        <w:spacing w:line="360" w:lineRule="auto"/>
        <w:jc w:val="both"/>
        <w:rPr>
          <w:rFonts w:ascii="Palatino Linotype" w:eastAsia="Palatino Linotype" w:hAnsi="Palatino Linotype" w:cs="Palatino Linotype"/>
          <w:sz w:val="24"/>
          <w:szCs w:val="24"/>
        </w:rPr>
      </w:pPr>
    </w:p>
    <w:p w:rsidR="009E585C" w:rsidRDefault="00A2327D">
      <w:pPr>
        <w:numPr>
          <w:ilvl w:val="0"/>
          <w:numId w:val="2"/>
        </w:numPr>
        <w:pBdr>
          <w:top w:val="nil"/>
          <w:left w:val="nil"/>
          <w:bottom w:val="nil"/>
          <w:right w:val="nil"/>
          <w:between w:val="nil"/>
        </w:pBdr>
        <w:tabs>
          <w:tab w:val="left" w:pos="4962"/>
        </w:tabs>
        <w:spacing w:after="0" w:line="360" w:lineRule="auto"/>
        <w:ind w:right="-2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Credencial para Votar.</w:t>
      </w:r>
    </w:p>
    <w:p w:rsidR="009E585C" w:rsidRDefault="009E585C">
      <w:pPr>
        <w:tabs>
          <w:tab w:val="left" w:pos="4962"/>
        </w:tabs>
        <w:spacing w:line="360" w:lineRule="auto"/>
        <w:ind w:right="-28"/>
        <w:jc w:val="both"/>
        <w:rPr>
          <w:rFonts w:ascii="Palatino Linotype" w:eastAsia="Palatino Linotype" w:hAnsi="Palatino Linotype" w:cs="Palatino Linotype"/>
          <w:b/>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sz w:val="24"/>
          <w:szCs w:val="24"/>
        </w:rPr>
        <w:t>De manera particular el artículo 156, de la Ley General de Instituciones y Procedimientos Electorales dispone que la credencial para votar deberá contener, cuando menos, los siguientes datos:</w:t>
      </w:r>
    </w:p>
    <w:p w:rsidR="009E585C" w:rsidRDefault="009E585C">
      <w:pPr>
        <w:spacing w:line="360" w:lineRule="auto"/>
        <w:ind w:left="567" w:right="567"/>
        <w:jc w:val="both"/>
        <w:rPr>
          <w:rFonts w:ascii="Palatino Linotype" w:eastAsia="Palatino Linotype" w:hAnsi="Palatino Linotype" w:cs="Palatino Linotype"/>
          <w:color w:val="000000"/>
        </w:rPr>
      </w:pPr>
    </w:p>
    <w:p w:rsidR="009E585C" w:rsidRDefault="00A2327D">
      <w:pPr>
        <w:tabs>
          <w:tab w:val="left" w:pos="3828"/>
        </w:tabs>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 </w:t>
      </w:r>
      <w:r>
        <w:rPr>
          <w:rFonts w:ascii="Palatino Linotype" w:eastAsia="Palatino Linotype" w:hAnsi="Palatino Linotype" w:cs="Palatino Linotype"/>
          <w:i/>
          <w:color w:val="00000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b) </w:t>
      </w:r>
      <w:r>
        <w:rPr>
          <w:rFonts w:ascii="Palatino Linotype" w:eastAsia="Palatino Linotype" w:hAnsi="Palatino Linotype" w:cs="Palatino Linotype"/>
          <w:i/>
          <w:color w:val="000000"/>
        </w:rPr>
        <w:t xml:space="preserve">Sección electoral en donde deberá votar el ciudadano. En el caso de los ciudadanos residentes en el extranjero no será necesario incluir este requisito;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 </w:t>
      </w:r>
      <w:r>
        <w:rPr>
          <w:rFonts w:ascii="Palatino Linotype" w:eastAsia="Palatino Linotype" w:hAnsi="Palatino Linotype" w:cs="Palatino Linotype"/>
          <w:i/>
          <w:color w:val="000000"/>
        </w:rPr>
        <w:t xml:space="preserve">Apellido paterno, apellido materno y nombre completo;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d) </w:t>
      </w:r>
      <w:r>
        <w:rPr>
          <w:rFonts w:ascii="Palatino Linotype" w:eastAsia="Palatino Linotype" w:hAnsi="Palatino Linotype" w:cs="Palatino Linotype"/>
          <w:i/>
          <w:color w:val="000000"/>
        </w:rPr>
        <w:t xml:space="preserve">Domicilio;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e) </w:t>
      </w:r>
      <w:r>
        <w:rPr>
          <w:rFonts w:ascii="Palatino Linotype" w:eastAsia="Palatino Linotype" w:hAnsi="Palatino Linotype" w:cs="Palatino Linotype"/>
          <w:i/>
          <w:color w:val="000000"/>
        </w:rPr>
        <w:t xml:space="preserve">Sexo; </w:t>
      </w:r>
    </w:p>
    <w:p w:rsidR="009E585C" w:rsidRDefault="00A2327D">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color w:val="000000"/>
        </w:rPr>
        <w:t xml:space="preserve">f) </w:t>
      </w:r>
      <w:r>
        <w:rPr>
          <w:rFonts w:ascii="Palatino Linotype" w:eastAsia="Palatino Linotype" w:hAnsi="Palatino Linotype" w:cs="Palatino Linotype"/>
          <w:i/>
          <w:color w:val="000000"/>
        </w:rPr>
        <w:t>Edad y año de registro;</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g) </w:t>
      </w:r>
      <w:r>
        <w:rPr>
          <w:rFonts w:ascii="Palatino Linotype" w:eastAsia="Palatino Linotype" w:hAnsi="Palatino Linotype" w:cs="Palatino Linotype"/>
          <w:i/>
          <w:color w:val="000000"/>
        </w:rPr>
        <w:t xml:space="preserve">Firma, huella digital y fotografía del elector;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h) </w:t>
      </w:r>
      <w:r>
        <w:rPr>
          <w:rFonts w:ascii="Palatino Linotype" w:eastAsia="Palatino Linotype" w:hAnsi="Palatino Linotype" w:cs="Palatino Linotype"/>
          <w:i/>
          <w:color w:val="000000"/>
        </w:rPr>
        <w:t xml:space="preserve">Clave de registro, y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i/>
          <w:color w:val="000000"/>
        </w:rPr>
        <w:t xml:space="preserve">Clave Única del Registro de Población. </w:t>
      </w:r>
    </w:p>
    <w:p w:rsidR="009E585C" w:rsidRDefault="009E585C">
      <w:pPr>
        <w:spacing w:line="360" w:lineRule="auto"/>
        <w:ind w:left="567" w:right="567"/>
        <w:jc w:val="both"/>
        <w:rPr>
          <w:rFonts w:ascii="Palatino Linotype" w:eastAsia="Palatino Linotype" w:hAnsi="Palatino Linotype" w:cs="Palatino Linotype"/>
          <w:b/>
          <w:i/>
          <w:color w:val="000000"/>
        </w:rPr>
      </w:pP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2. </w:t>
      </w:r>
      <w:r>
        <w:rPr>
          <w:rFonts w:ascii="Palatino Linotype" w:eastAsia="Palatino Linotype" w:hAnsi="Palatino Linotype" w:cs="Palatino Linotype"/>
          <w:i/>
          <w:color w:val="000000"/>
        </w:rPr>
        <w:t xml:space="preserve">Además tendrá: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 </w:t>
      </w:r>
      <w:r>
        <w:rPr>
          <w:rFonts w:ascii="Palatino Linotype" w:eastAsia="Palatino Linotype" w:hAnsi="Palatino Linotype" w:cs="Palatino Linotype"/>
          <w:i/>
          <w:color w:val="000000"/>
        </w:rPr>
        <w:t xml:space="preserve">Espacios necesarios para marcar año y elección de que se trate;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b) </w:t>
      </w:r>
      <w:r>
        <w:rPr>
          <w:rFonts w:ascii="Palatino Linotype" w:eastAsia="Palatino Linotype" w:hAnsi="Palatino Linotype" w:cs="Palatino Linotype"/>
          <w:i/>
          <w:color w:val="000000"/>
        </w:rPr>
        <w:t xml:space="preserve">Firma impresa del Secretario Ejecutivo del Instituto;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 </w:t>
      </w:r>
      <w:r>
        <w:rPr>
          <w:rFonts w:ascii="Palatino Linotype" w:eastAsia="Palatino Linotype" w:hAnsi="Palatino Linotype" w:cs="Palatino Linotype"/>
          <w:i/>
          <w:color w:val="000000"/>
        </w:rPr>
        <w:t xml:space="preserve">Año de emisión; </w:t>
      </w:r>
    </w:p>
    <w:p w:rsidR="009E585C" w:rsidRDefault="00A2327D">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d) </w:t>
      </w:r>
      <w:r>
        <w:rPr>
          <w:rFonts w:ascii="Palatino Linotype" w:eastAsia="Palatino Linotype" w:hAnsi="Palatino Linotype" w:cs="Palatino Linotype"/>
          <w:i/>
          <w:color w:val="000000"/>
        </w:rPr>
        <w:t xml:space="preserve">Año en el que expira su vigencia, y </w:t>
      </w:r>
    </w:p>
    <w:p w:rsidR="009E585C" w:rsidRDefault="00A2327D">
      <w:pPr>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e) </w:t>
      </w:r>
      <w:r>
        <w:rPr>
          <w:rFonts w:ascii="Palatino Linotype" w:eastAsia="Palatino Linotype" w:hAnsi="Palatino Linotype" w:cs="Palatino Linotype"/>
          <w:i/>
          <w:color w:val="000000"/>
        </w:rPr>
        <w:t>En el caso de la que se expida al ciudadano residente en el extranjero, la leyenda “Para Votar desde el Extranjero”.</w:t>
      </w:r>
    </w:p>
    <w:p w:rsidR="009E585C" w:rsidRDefault="009E585C">
      <w:pPr>
        <w:spacing w:after="0" w:line="360" w:lineRule="auto"/>
        <w:jc w:val="both"/>
        <w:rPr>
          <w:rFonts w:ascii="Palatino Linotype" w:eastAsia="Palatino Linotype" w:hAnsi="Palatino Linotype" w:cs="Palatino Linotype"/>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w:t>
      </w:r>
      <w:r>
        <w:rPr>
          <w:rFonts w:ascii="Palatino Linotype" w:eastAsia="Palatino Linotype" w:hAnsi="Palatino Linotype" w:cs="Palatino Linotype"/>
          <w:sz w:val="24"/>
          <w:szCs w:val="24"/>
        </w:rPr>
        <w:lastRenderedPageBreak/>
        <w:t>presentación de su titular y comprobar que la credencial se tuvo a la vista, por ello su relevancia y lo delicado de su uso.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rsidR="009E585C" w:rsidRDefault="009E585C">
      <w:pPr>
        <w:spacing w:line="360" w:lineRule="auto"/>
        <w:jc w:val="both"/>
        <w:rPr>
          <w:rFonts w:ascii="Palatino Linotype" w:eastAsia="Palatino Linotype" w:hAnsi="Palatino Linotype" w:cs="Palatino Linotype"/>
          <w:sz w:val="24"/>
          <w:szCs w:val="24"/>
        </w:rPr>
      </w:pPr>
    </w:p>
    <w:p w:rsidR="009E585C" w:rsidRDefault="00A2327D">
      <w:pPr>
        <w:numPr>
          <w:ilvl w:val="0"/>
          <w:numId w:val="2"/>
        </w:numPr>
        <w:pBdr>
          <w:top w:val="nil"/>
          <w:left w:val="nil"/>
          <w:bottom w:val="nil"/>
          <w:right w:val="nil"/>
          <w:between w:val="nil"/>
        </w:pBdr>
        <w:tabs>
          <w:tab w:val="left" w:pos="496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Cédula de Identificación Fiscal. </w:t>
      </w:r>
    </w:p>
    <w:p w:rsidR="009E585C" w:rsidRDefault="009E585C">
      <w:pPr>
        <w:tabs>
          <w:tab w:val="left" w:pos="4962"/>
        </w:tabs>
        <w:spacing w:after="0" w:line="360" w:lineRule="auto"/>
        <w:ind w:right="-28"/>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Palatino Linotype" w:hAnsi="Palatino Linotype" w:cs="Palatino Linotype"/>
          <w:sz w:val="24"/>
          <w:szCs w:val="24"/>
        </w:rPr>
        <w:t>homoclave</w:t>
      </w:r>
      <w:proofErr w:type="spellEnd"/>
      <w:r>
        <w:rPr>
          <w:rFonts w:ascii="Palatino Linotype" w:eastAsia="Palatino Linotype" w:hAnsi="Palatino Linotype" w:cs="Palatino Linotype"/>
          <w:sz w:val="24"/>
          <w:szCs w:val="24"/>
        </w:rPr>
        <w:t xml:space="preserve"> que establece el sistema automático del Servicio de Administración Tributaria.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conforme a la página oficial del Servicio de Administración Tributaria, en el apartado Obtén tu cédula de identificación fiscal (consultado el trece de mayo a las catorce horas en la liga </w:t>
      </w:r>
      <w:hyperlink r:id="rId24">
        <w:r>
          <w:rPr>
            <w:rFonts w:ascii="Palatino Linotype" w:eastAsia="Palatino Linotype" w:hAnsi="Palatino Linotype" w:cs="Palatino Linotype"/>
            <w:color w:val="0000FF"/>
            <w:sz w:val="24"/>
            <w:szCs w:val="24"/>
            <w:u w:val="single"/>
          </w:rPr>
          <w:t>https://www.sat.gob.mx/aplicacion/28889/obten-tu-cedula-de-identificacion-fiscal</w:t>
        </w:r>
      </w:hyperlink>
      <w:r>
        <w:rPr>
          <w:rFonts w:ascii="Palatino Linotype" w:eastAsia="Palatino Linotype" w:hAnsi="Palatino Linotype" w:cs="Palatino Linotype"/>
          <w:sz w:val="24"/>
          <w:szCs w:val="24"/>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resulta congruente con el Criterio 19/17 emitido por el Instituto Nacional de Transparencia, Acceso a la Información y Protección de Datos Personales, en el cual se señala lo siguiente:</w:t>
      </w:r>
    </w:p>
    <w:p w:rsidR="009E585C" w:rsidRDefault="009E585C">
      <w:pPr>
        <w:spacing w:after="0" w:line="360" w:lineRule="auto"/>
        <w:jc w:val="both"/>
        <w:rPr>
          <w:rFonts w:ascii="Palatino Linotype" w:eastAsia="Palatino Linotype" w:hAnsi="Palatino Linotype" w:cs="Palatino Linotype"/>
        </w:rPr>
      </w:pPr>
    </w:p>
    <w:p w:rsidR="009E585C" w:rsidRDefault="00A2327D">
      <w:pPr>
        <w:widowControl w:val="0"/>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“Registro Federal de Contribuyentes (RFC) de personas físicas.</w:t>
      </w:r>
      <w:r>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rsidR="009E585C" w:rsidRDefault="009E585C">
      <w:pPr>
        <w:spacing w:after="0" w:line="360" w:lineRule="auto"/>
        <w:jc w:val="both"/>
        <w:rPr>
          <w:rFonts w:ascii="Palatino Linotype" w:eastAsia="Palatino Linotype" w:hAnsi="Palatino Linotype" w:cs="Palatino Linotype"/>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el Registro Federal de Contribuyentes de los servidores públicos no guarda relación con la transparencia de los recursos públicos, así como tampoco con </w:t>
      </w:r>
      <w:r>
        <w:rPr>
          <w:rFonts w:ascii="Palatino Linotype" w:eastAsia="Palatino Linotype" w:hAnsi="Palatino Linotype" w:cs="Palatino Linotype"/>
          <w:sz w:val="24"/>
          <w:szCs w:val="24"/>
        </w:rPr>
        <w:lastRenderedPageBreak/>
        <w:t>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3"/>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Domicilio particular y comprobante de domicilio.</w:t>
      </w:r>
    </w:p>
    <w:p w:rsidR="009E585C" w:rsidRDefault="009E585C">
      <w:pPr>
        <w:spacing w:after="0" w:line="360" w:lineRule="auto"/>
        <w:ind w:left="720"/>
        <w:jc w:val="both"/>
        <w:rPr>
          <w:rFonts w:ascii="Palatino Linotype" w:eastAsia="Palatino Linotype" w:hAnsi="Palatino Linotype" w:cs="Palatino Linotype"/>
          <w:b/>
        </w:rPr>
      </w:pPr>
    </w:p>
    <w:p w:rsidR="009E585C" w:rsidRDefault="00A232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9E585C" w:rsidRDefault="009E585C">
      <w:pPr>
        <w:spacing w:after="0" w:line="360" w:lineRule="auto"/>
        <w:ind w:right="-93"/>
        <w:jc w:val="both"/>
        <w:rPr>
          <w:rFonts w:ascii="Palatino Linotype" w:eastAsia="Palatino Linotype" w:hAnsi="Palatino Linotype" w:cs="Palatino Linotype"/>
          <w:sz w:val="24"/>
          <w:szCs w:val="24"/>
        </w:rPr>
      </w:pPr>
    </w:p>
    <w:p w:rsidR="009E585C" w:rsidRDefault="00A2327D">
      <w:pPr>
        <w:spacing w:after="0" w:line="360" w:lineRule="auto"/>
        <w:ind w:right="-93"/>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De la misma manera, lo establece el artículo 29 del Código Civil Federal, al precisar que el domicilio de personas físicas</w:t>
      </w:r>
      <w:r>
        <w:rPr>
          <w:rFonts w:ascii="Palatino Linotype" w:eastAsia="Palatino Linotype" w:hAnsi="Palatino Linotype" w:cs="Palatino Linotype"/>
          <w:b/>
          <w:sz w:val="24"/>
          <w:szCs w:val="24"/>
        </w:rPr>
        <w:t>, es el lugar donde residen habitualmente, el lugar del centro principal de sus negocios, donde residan o el lugar donde se encuentren.</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la dirección o domicilio es el lugar en donde reside habitualmente una persona física, por lo que, permite hacerlo identificable y ubicable, propiciando que pueda ser molestado en su casa o negocio, de este modo, los datos que permiten </w:t>
      </w:r>
      <w:r>
        <w:rPr>
          <w:rFonts w:ascii="Palatino Linotype" w:eastAsia="Palatino Linotype" w:hAnsi="Palatino Linotype" w:cs="Palatino Linotype"/>
          <w:sz w:val="24"/>
          <w:szCs w:val="24"/>
        </w:rPr>
        <w:lastRenderedPageBreak/>
        <w:t xml:space="preserve">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9E585C" w:rsidRDefault="009E585C">
      <w:pPr>
        <w:spacing w:after="0" w:line="360" w:lineRule="auto"/>
        <w:ind w:right="-93"/>
        <w:jc w:val="both"/>
        <w:rPr>
          <w:rFonts w:ascii="Palatino Linotype" w:eastAsia="Palatino Linotype" w:hAnsi="Palatino Linotype" w:cs="Palatino Linotype"/>
          <w:sz w:val="24"/>
          <w:szCs w:val="24"/>
        </w:rPr>
      </w:pPr>
    </w:p>
    <w:p w:rsidR="009E585C" w:rsidRDefault="00A232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009E585C" w:rsidRDefault="009E585C">
      <w:pPr>
        <w:spacing w:after="0" w:line="360" w:lineRule="auto"/>
        <w:ind w:right="-93"/>
        <w:jc w:val="both"/>
        <w:rPr>
          <w:rFonts w:ascii="Palatino Linotype" w:eastAsia="Palatino Linotype" w:hAnsi="Palatino Linotype" w:cs="Palatino Linotype"/>
          <w:sz w:val="24"/>
          <w:szCs w:val="24"/>
        </w:rPr>
      </w:pPr>
    </w:p>
    <w:p w:rsidR="009E585C" w:rsidRDefault="00A232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se actualiza la clasificación del domicilio y su comprobante, de conformidad con la fracción I, del artículo 143 de la Ley de Transparencia y Acceso a la Información Pública del Estado de México y Municipios.</w:t>
      </w:r>
    </w:p>
    <w:p w:rsidR="009E585C" w:rsidRDefault="009E585C">
      <w:pPr>
        <w:spacing w:line="360" w:lineRule="auto"/>
        <w:jc w:val="both"/>
        <w:rPr>
          <w:rFonts w:ascii="Palatino Linotype" w:eastAsia="Palatino Linotype" w:hAnsi="Palatino Linotype" w:cs="Palatino Linotype"/>
        </w:rPr>
      </w:pPr>
    </w:p>
    <w:p w:rsidR="009E585C" w:rsidRDefault="00A2327D">
      <w:pPr>
        <w:numPr>
          <w:ilvl w:val="0"/>
          <w:numId w:val="2"/>
        </w:numPr>
        <w:pBdr>
          <w:top w:val="nil"/>
          <w:left w:val="nil"/>
          <w:bottom w:val="nil"/>
          <w:right w:val="nil"/>
          <w:between w:val="nil"/>
        </w:pBdr>
        <w:tabs>
          <w:tab w:val="left" w:pos="496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Cartas de Recomendación.</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w:t>
      </w:r>
      <w:r>
        <w:rPr>
          <w:rFonts w:ascii="Palatino Linotype" w:eastAsia="Palatino Linotype" w:hAnsi="Palatino Linotype" w:cs="Palatino Linotype"/>
          <w:sz w:val="24"/>
          <w:szCs w:val="24"/>
        </w:rPr>
        <w:lastRenderedPageBreak/>
        <w:t>rinden cuentas del actuar de una trabajadora gubernamental, sino corresponde una apreciación subjetiva de una persona para recomendar a otra, las cuales son ocupadas comúnmente al solicitar un empleo.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se considera que dichos documentos actualizan la clasificación, de la causal establecida en el artículo 143, fracción I, de la Ley de Transparencia y Acceso a la Información Pública del Estado de México y Municipios.</w:t>
      </w:r>
    </w:p>
    <w:p w:rsidR="009E585C" w:rsidRDefault="009E585C">
      <w:pPr>
        <w:spacing w:line="360" w:lineRule="auto"/>
        <w:ind w:right="-93"/>
        <w:jc w:val="both"/>
        <w:rPr>
          <w:rFonts w:ascii="Palatino Linotype" w:eastAsia="Palatino Linotype" w:hAnsi="Palatino Linotype" w:cs="Palatino Linotype"/>
        </w:rPr>
      </w:pPr>
    </w:p>
    <w:p w:rsidR="009E585C" w:rsidRDefault="00A2327D">
      <w:pPr>
        <w:numPr>
          <w:ilvl w:val="0"/>
          <w:numId w:val="2"/>
        </w:numPr>
        <w:pBdr>
          <w:top w:val="nil"/>
          <w:left w:val="nil"/>
          <w:bottom w:val="nil"/>
          <w:right w:val="nil"/>
          <w:between w:val="nil"/>
        </w:pBdr>
        <w:tabs>
          <w:tab w:val="left" w:pos="496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Certificado médico. </w:t>
      </w:r>
    </w:p>
    <w:p w:rsidR="009E585C" w:rsidRDefault="009E585C">
      <w:pPr>
        <w:pBdr>
          <w:top w:val="nil"/>
          <w:left w:val="nil"/>
          <w:bottom w:val="nil"/>
          <w:right w:val="nil"/>
          <w:between w:val="nil"/>
        </w:pBdr>
        <w:tabs>
          <w:tab w:val="left" w:pos="4962"/>
        </w:tabs>
        <w:spacing w:after="0" w:line="360" w:lineRule="auto"/>
        <w:ind w:left="720" w:right="-28"/>
        <w:jc w:val="both"/>
        <w:rPr>
          <w:rFonts w:ascii="Palatino Linotype" w:eastAsia="Palatino Linotype" w:hAnsi="Palatino Linotype" w:cs="Palatino Linotype"/>
          <w:b/>
          <w:color w:val="000000"/>
          <w:sz w:val="24"/>
          <w:szCs w:val="24"/>
        </w:rPr>
      </w:pPr>
    </w:p>
    <w:p w:rsidR="009E585C" w:rsidRDefault="00A2327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principio, es de señalar que cualquier información que dé cuenta del </w:t>
      </w:r>
      <w:r>
        <w:rPr>
          <w:rFonts w:ascii="Palatino Linotype" w:eastAsia="Palatino Linotype" w:hAnsi="Palatino Linotype" w:cs="Palatino Linotype"/>
          <w:b/>
          <w:sz w:val="24"/>
          <w:szCs w:val="24"/>
        </w:rPr>
        <w:t>estado de salud de una persona</w:t>
      </w:r>
      <w:r>
        <w:rPr>
          <w:rFonts w:ascii="Palatino Linotype" w:eastAsia="Palatino Linotype" w:hAnsi="Palatino Linotype" w:cs="Palatino Linotype"/>
          <w:sz w:val="24"/>
          <w:szCs w:val="24"/>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Pr>
          <w:rFonts w:ascii="Palatino Linotype" w:eastAsia="Palatino Linotype" w:hAnsi="Palatino Linotype" w:cs="Palatino Linotype"/>
          <w:b/>
          <w:sz w:val="24"/>
          <w:szCs w:val="24"/>
        </w:rPr>
        <w:t>den cuenta del estado de salud, ya sea físico o mental.</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rsidR="009E585C" w:rsidRDefault="009E585C">
      <w:pPr>
        <w:spacing w:line="360" w:lineRule="auto"/>
        <w:jc w:val="both"/>
        <w:rPr>
          <w:rFonts w:ascii="Palatino Linotype" w:eastAsia="Palatino Linotype" w:hAnsi="Palatino Linotype" w:cs="Palatino Linotype"/>
        </w:rPr>
      </w:pPr>
    </w:p>
    <w:p w:rsidR="009E585C" w:rsidRDefault="00A2327D">
      <w:pPr>
        <w:numPr>
          <w:ilvl w:val="0"/>
          <w:numId w:val="2"/>
        </w:numPr>
        <w:pBdr>
          <w:top w:val="nil"/>
          <w:left w:val="nil"/>
          <w:bottom w:val="nil"/>
          <w:right w:val="nil"/>
          <w:between w:val="nil"/>
        </w:pBdr>
        <w:tabs>
          <w:tab w:val="left" w:pos="4962"/>
        </w:tabs>
        <w:spacing w:after="0" w:line="360" w:lineRule="auto"/>
        <w:ind w:right="-28"/>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Constancia y Clave Única de Registro de Población.</w:t>
      </w:r>
    </w:p>
    <w:p w:rsidR="009E585C" w:rsidRDefault="009E585C">
      <w:pPr>
        <w:tabs>
          <w:tab w:val="left" w:pos="4962"/>
        </w:tabs>
        <w:spacing w:after="0" w:line="360" w:lineRule="auto"/>
        <w:ind w:right="-28"/>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orden de ideas, la Secretaría de Gobernación en las direcciones </w:t>
      </w:r>
      <w:hyperlink r:id="rId25">
        <w:r>
          <w:rPr>
            <w:rFonts w:ascii="Palatino Linotype" w:eastAsia="Palatino Linotype" w:hAnsi="Palatino Linotype" w:cs="Palatino Linotype"/>
            <w:color w:val="0000FF"/>
            <w:sz w:val="24"/>
            <w:szCs w:val="24"/>
            <w:u w:val="single"/>
          </w:rPr>
          <w:t>https://consultas.curp.gob.mx/CurpSP/html/informacionecurpPS.html</w:t>
        </w:r>
      </w:hyperlink>
      <w:r>
        <w:rPr>
          <w:rFonts w:ascii="Palatino Linotype" w:eastAsia="Palatino Linotype" w:hAnsi="Palatino Linotype" w:cs="Palatino Linotype"/>
          <w:sz w:val="24"/>
          <w:szCs w:val="24"/>
        </w:rPr>
        <w:t xml:space="preserve"> y </w:t>
      </w:r>
      <w:hyperlink r:id="rId26">
        <w:r>
          <w:rPr>
            <w:rFonts w:ascii="Palatino Linotype" w:eastAsia="Palatino Linotype" w:hAnsi="Palatino Linotype" w:cs="Palatino Linotype"/>
            <w:color w:val="0000FF"/>
            <w:sz w:val="24"/>
            <w:szCs w:val="24"/>
            <w:u w:val="single"/>
          </w:rPr>
          <w:t>https://www.gob.mx/segob/renapo/acciones-y-programas/clave-unica-de-registro-de-poblacion-curp-142226</w:t>
        </w:r>
      </w:hyperlink>
      <w:r>
        <w:rPr>
          <w:rFonts w:ascii="Palatino Linotype" w:eastAsia="Palatino Linotype" w:hAnsi="Palatino Linotype" w:cs="Palatino Linotype"/>
          <w:sz w:val="24"/>
          <w:szCs w:val="24"/>
          <w:u w:val="single"/>
        </w:rPr>
        <w:t xml:space="preserve"> </w:t>
      </w:r>
      <w:r>
        <w:rPr>
          <w:rFonts w:ascii="Palatino Linotype" w:eastAsia="Palatino Linotype" w:hAnsi="Palatino Linotype" w:cs="Palatino Linotype"/>
          <w:sz w:val="24"/>
          <w:szCs w:val="24"/>
        </w:rPr>
        <w:t xml:space="preserve">(consultadas el trece de mayo de dos mil veintiuno, a las diez horas), estableció que la Clave Única del Registro de Población, es un instrumento de registro que se asigna a todas las personas que viven en el territorio nacional, así como a los mexicanos que residen en el extranjero y se compone de </w:t>
      </w:r>
      <w:r>
        <w:rPr>
          <w:rFonts w:ascii="Palatino Linotype" w:eastAsia="Palatino Linotype" w:hAnsi="Palatino Linotype" w:cs="Palatino Linotype"/>
          <w:sz w:val="24"/>
          <w:szCs w:val="24"/>
        </w:rPr>
        <w:lastRenderedPageBreak/>
        <w:t>dieciocho elementos, representados por letras y números, que se generan a partir de los datos contenidos en el documento probatorio de la identidad del interesado (acta de nacimiento, carta de naturalización o documento migratorio) de la siguiente forma:</w:t>
      </w:r>
    </w:p>
    <w:p w:rsidR="009E585C" w:rsidRDefault="009E585C">
      <w:pPr>
        <w:spacing w:line="360" w:lineRule="auto"/>
        <w:jc w:val="both"/>
        <w:rPr>
          <w:rFonts w:ascii="Palatino Linotype" w:eastAsia="Palatino Linotype" w:hAnsi="Palatino Linotype" w:cs="Palatino Linotype"/>
          <w:sz w:val="24"/>
          <w:szCs w:val="24"/>
        </w:rPr>
      </w:pPr>
    </w:p>
    <w:p w:rsidR="009E585C" w:rsidRDefault="00A2327D">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primero y segundo apellidos, así como al nombre de pila;</w:t>
      </w:r>
    </w:p>
    <w:p w:rsidR="009E585C" w:rsidRDefault="00A2327D">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fecha de nacimiento;</w:t>
      </w:r>
    </w:p>
    <w:p w:rsidR="009E585C" w:rsidRDefault="00A2327D">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sexo, y</w:t>
      </w:r>
    </w:p>
    <w:p w:rsidR="009E585C" w:rsidRDefault="00A2327D">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entidad federativa de nacimiento.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dos últimos elementos de la Clave Única de Registro de Población evitan la duplicidad de la Clave y garantizan su correcta integración.</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Situación que se robustece, con el Criterio 18/17, emitido por el Instituto Nacional de Transparencia, Acceso a la Información y Protección de Datos Personales, que establece lo siguiente:</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“Clave Única de Registro de Población (CURP). </w:t>
      </w:r>
      <w:r>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3"/>
        </w:num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Fecha de nacimiento.</w:t>
      </w:r>
    </w:p>
    <w:p w:rsidR="009E585C" w:rsidRDefault="009E585C">
      <w:pPr>
        <w:spacing w:after="0" w:line="360" w:lineRule="auto"/>
        <w:ind w:left="720"/>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fecha de nacimiento es un dato personal, toda vez que consiste en información concerniente a una persona física identificada o identificable, toda vez que revela el día exacto en que nació así como, la edad de la persona, que tal como se analizó </w:t>
      </w:r>
      <w:r>
        <w:rPr>
          <w:rFonts w:ascii="Palatino Linotype" w:eastAsia="Palatino Linotype" w:hAnsi="Palatino Linotype" w:cs="Palatino Linotype"/>
          <w:sz w:val="24"/>
          <w:szCs w:val="24"/>
        </w:rPr>
        <w:lastRenderedPageBreak/>
        <w:t>previamente es clasificada, más aún cuando este dato se encuentra vinculado con el nombre de una persona en específico.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Conforme a lo anterior, se colige que se trate de un dato concerniente a la vida privada de la persona, en virtud de que darlo a conocer se afectaría la intimidad de esta; por lo tanto, es considerado un dato de carácter confidencial, en términos de lo dispuesto en el artículo 143, fracción I de la Ley de Transparencia y Acceso a la Información Pública del Estado de México y Municipios.</w:t>
      </w:r>
    </w:p>
    <w:p w:rsidR="009E585C" w:rsidRDefault="009E585C">
      <w:pPr>
        <w:spacing w:line="360" w:lineRule="auto"/>
        <w:jc w:val="both"/>
        <w:rPr>
          <w:rFonts w:ascii="Palatino Linotype" w:eastAsia="Palatino Linotype" w:hAnsi="Palatino Linotype" w:cs="Palatino Linotype"/>
        </w:rPr>
      </w:pPr>
    </w:p>
    <w:p w:rsidR="009E585C" w:rsidRDefault="00A2327D">
      <w:pPr>
        <w:numPr>
          <w:ilvl w:val="0"/>
          <w:numId w:val="5"/>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Certificado de no deudor alimentario</w:t>
      </w: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hace los certificados de no deudor alimentario moroso este debe ser protegido mediante su clasificación como </w:t>
      </w:r>
      <w:r>
        <w:rPr>
          <w:rFonts w:ascii="Palatino Linotype" w:eastAsia="Palatino Linotype" w:hAnsi="Palatino Linotype" w:cs="Palatino Linotype"/>
          <w:b/>
          <w:sz w:val="24"/>
          <w:szCs w:val="24"/>
        </w:rPr>
        <w:t>confidencial en su totalidad</w:t>
      </w:r>
      <w:r>
        <w:rPr>
          <w:rFonts w:ascii="Palatino Linotype" w:eastAsia="Palatino Linotype" w:hAnsi="Palatino Linotype" w:cs="Palatino Linotype"/>
          <w:sz w:val="24"/>
          <w:szCs w:val="24"/>
        </w:rPr>
        <w:t>, ello derivado a que el estar inscrito en dicho registro tiene un impacto en la imagen de un servidor público y se trata de un tema estrictamente de carácter personal e incluso de tipo familiar.</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en el Proyecto de Decreto por el que se Reforman y Adicionan Diversas Disposiciones para crear el Registro de Deudores Alimentarios del Estado de México, disponible en la dirección electrónica </w:t>
      </w:r>
      <w:hyperlink r:id="rId27" w:anchor=":~:text=La%20inscripci%C3%B3n%20con%20el%20car%C3%A1cter,del%20Estado%20de%20M%C3%A9xico%20e">
        <w:r>
          <w:rPr>
            <w:rFonts w:ascii="Palatino Linotype" w:eastAsia="Palatino Linotype" w:hAnsi="Palatino Linotype" w:cs="Palatino Linotype"/>
            <w:color w:val="0000FF"/>
            <w:sz w:val="24"/>
            <w:szCs w:val="24"/>
            <w:u w:val="single"/>
          </w:rPr>
          <w:t>https://www.ipomex.org.mx/recursos/ipo/files_ipo/2014/8/11/630bc7787b59af912a96a9e1bca1c770.pdf#:~:text=La%20inscripci%C3%B3n%20con%20el%20car%C3%A1cter,del%20Estado%20de%20M%C3%A9xico%20e</w:t>
        </w:r>
      </w:hyperlink>
      <w:r>
        <w:rPr>
          <w:rFonts w:ascii="Palatino Linotype" w:eastAsia="Palatino Linotype" w:hAnsi="Palatino Linotype" w:cs="Palatino Linotype"/>
          <w:sz w:val="24"/>
          <w:szCs w:val="24"/>
        </w:rPr>
        <w:t xml:space="preserve">, pueden advertirse los objetivos de crear dicho registro: </w:t>
      </w:r>
    </w:p>
    <w:p w:rsidR="009E585C" w:rsidRDefault="009E585C">
      <w:pPr>
        <w:spacing w:after="0" w:line="360" w:lineRule="auto"/>
        <w:jc w:val="both"/>
        <w:rPr>
          <w:rFonts w:ascii="Palatino Linotype" w:eastAsia="Palatino Linotype" w:hAnsi="Palatino Linotype" w:cs="Palatino Linotype"/>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El interés superior del menor debe prevalecer en cualquier controversia de derecho familiar, situación que obliga a las autoridades a establecer las medidas necesarias para asegurar el cumplimiento del pago de la pensión alimenticia decretada a su favor.</w:t>
      </w:r>
    </w:p>
    <w:p w:rsidR="009E585C" w:rsidRDefault="009E585C">
      <w:pPr>
        <w:spacing w:after="0" w:line="360" w:lineRule="auto"/>
        <w:ind w:left="567"/>
        <w:jc w:val="both"/>
        <w:rPr>
          <w:rFonts w:ascii="Palatino Linotype" w:eastAsia="Palatino Linotype" w:hAnsi="Palatino Linotype" w:cs="Palatino Linotype"/>
          <w:i/>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rsidR="009E585C" w:rsidRDefault="009E585C">
      <w:pPr>
        <w:spacing w:after="0" w:line="360" w:lineRule="auto"/>
        <w:ind w:left="567" w:right="539"/>
        <w:jc w:val="both"/>
        <w:rPr>
          <w:rFonts w:ascii="Palatino Linotype" w:eastAsia="Palatino Linotype" w:hAnsi="Palatino Linotype" w:cs="Palatino Linotype"/>
          <w:i/>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Pr>
          <w:rFonts w:ascii="Palatino Linotype" w:eastAsia="Palatino Linotype" w:hAnsi="Palatino Linotype" w:cs="Palatino Linotype"/>
          <w:i/>
        </w:rPr>
        <w:t>eluden</w:t>
      </w:r>
      <w:proofErr w:type="gramEnd"/>
      <w:r>
        <w:rPr>
          <w:rFonts w:ascii="Palatino Linotype" w:eastAsia="Palatino Linotype" w:hAnsi="Palatino Linotype" w:cs="Palatino Linotype"/>
          <w:i/>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rsidR="009E585C" w:rsidRDefault="009E585C">
      <w:pPr>
        <w:spacing w:after="0" w:line="360" w:lineRule="auto"/>
        <w:ind w:left="567" w:right="539"/>
        <w:jc w:val="both"/>
        <w:rPr>
          <w:rFonts w:ascii="Palatino Linotype" w:eastAsia="Palatino Linotype" w:hAnsi="Palatino Linotype" w:cs="Palatino Linotype"/>
          <w:i/>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Los alimentos tienen carácter preferente a favor de los hijos, sin que pueda eximirse el deudor alimentario de su cumplimiento cuando esté en posibilidades de hacerlo. En 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w:t>
      </w:r>
      <w:r>
        <w:rPr>
          <w:rFonts w:ascii="Palatino Linotype" w:eastAsia="Palatino Linotype" w:hAnsi="Palatino Linotype" w:cs="Palatino Linotype"/>
          <w:i/>
        </w:rPr>
        <w:lastRenderedPageBreak/>
        <w:t>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rsidR="009E585C" w:rsidRDefault="009E585C">
      <w:pPr>
        <w:spacing w:after="0" w:line="360" w:lineRule="auto"/>
        <w:ind w:left="567" w:right="539"/>
        <w:jc w:val="both"/>
        <w:rPr>
          <w:rFonts w:ascii="Palatino Linotype" w:eastAsia="Palatino Linotype" w:hAnsi="Palatino Linotype" w:cs="Palatino Linotype"/>
          <w:i/>
        </w:rPr>
      </w:pPr>
    </w:p>
    <w:p w:rsidR="009E585C" w:rsidRDefault="00A2327D">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Pr>
          <w:rFonts w:ascii="Palatino Linotype" w:eastAsia="Palatino Linotype" w:hAnsi="Palatino Linotype" w:cs="Palatino Linotype"/>
          <w:b/>
          <w:i/>
          <w:u w:val="single"/>
        </w:rPr>
        <w:t>con la finalidad de asegurar el cumplimiento de las obligaciones alimentarias que tienen los padres para con sus menores hijos.</w:t>
      </w:r>
    </w:p>
    <w:p w:rsidR="009E585C" w:rsidRDefault="009E585C">
      <w:pPr>
        <w:spacing w:after="0" w:line="360" w:lineRule="auto"/>
        <w:jc w:val="both"/>
        <w:rPr>
          <w:rFonts w:ascii="Palatino Linotype" w:eastAsia="Palatino Linotype" w:hAnsi="Palatino Linotype" w:cs="Palatino Linotype"/>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w:t>
      </w:r>
      <w:r>
        <w:rPr>
          <w:rFonts w:ascii="Palatino Linotype" w:eastAsia="Palatino Linotype" w:hAnsi="Palatino Linotype" w:cs="Palatino Linotype"/>
          <w:sz w:val="24"/>
          <w:szCs w:val="24"/>
        </w:rPr>
        <w:lastRenderedPageBreak/>
        <w:t xml:space="preserve">quienes no están, por lo que resulta procedente clasificar la información solicitada por el Recurrente de manera general como </w:t>
      </w:r>
      <w:r>
        <w:rPr>
          <w:rFonts w:ascii="Palatino Linotype" w:eastAsia="Palatino Linotype" w:hAnsi="Palatino Linotype" w:cs="Palatino Linotype"/>
          <w:b/>
          <w:sz w:val="24"/>
          <w:szCs w:val="24"/>
        </w:rPr>
        <w:t>información confidencial en su totalidad</w:t>
      </w:r>
      <w:r>
        <w:rPr>
          <w:rFonts w:ascii="Palatino Linotype" w:eastAsia="Palatino Linotype" w:hAnsi="Palatino Linotype" w:cs="Palatino Linotype"/>
          <w:sz w:val="24"/>
          <w:szCs w:val="24"/>
        </w:rPr>
        <w:t xml:space="preserve"> en términos del artículo 143, fracción I, de la Ley de Transparencia y Acceso a la Información Pública del Estado de México y Municipios. </w:t>
      </w:r>
    </w:p>
    <w:p w:rsidR="009E585C" w:rsidRDefault="009E585C">
      <w:pPr>
        <w:spacing w:line="360" w:lineRule="auto"/>
        <w:jc w:val="both"/>
        <w:rPr>
          <w:rFonts w:ascii="Palatino Linotype" w:eastAsia="Palatino Linotype" w:hAnsi="Palatino Linotype" w:cs="Palatino Linotype"/>
          <w:b/>
        </w:rPr>
      </w:pPr>
    </w:p>
    <w:p w:rsidR="009E585C" w:rsidRDefault="00A2327D">
      <w:pPr>
        <w:numPr>
          <w:ilvl w:val="0"/>
          <w:numId w:val="3"/>
        </w:num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Estado civil.</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Correo electrónico particular.</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correo electrónico es un sistema de transmisión de mensajes por computadora a través de redes informáticas. Dicho dato se puede asimilar al teléfono o domicilio </w:t>
      </w:r>
      <w:r>
        <w:rPr>
          <w:rFonts w:ascii="Palatino Linotype" w:eastAsia="Palatino Linotype" w:hAnsi="Palatino Linotype" w:cs="Palatino Linotype"/>
          <w:sz w:val="24"/>
          <w:szCs w:val="24"/>
        </w:rPr>
        <w:lastRenderedPageBreak/>
        <w:t>particular, cuya nomenclatura, se considera como un dato personal, toda vez que es un medio para comunicarse con la persona titular del mismo, la hace localizable e incluso identificable, al poder estar conformado por parte de su nombre o bien, fecha de nacimiento.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Teléfono y celular particular.</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igual que el correo electrónico, el número asignado a un teléfono particular o celular permite localizar a una persona física identificada o identificable, ya sea a través de un dispositivo móvil o bien, en un lugar como el domicilio, por lo que corresponde a la persona física en su calidad de particular y no como servidor público.</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tales consideraciones, dicho dato personal es susceptible de ser clasificado como confidencial, con fundamento en el artículo 143, fracción I de la Ley de Transparencia y Acceso a la Información Pública.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numPr>
          <w:ilvl w:val="0"/>
          <w:numId w:val="3"/>
        </w:num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Matrícula o número de cuenta, de expediente o de control.</w:t>
      </w:r>
    </w:p>
    <w:p w:rsidR="009E585C" w:rsidRDefault="009E585C">
      <w:pPr>
        <w:tabs>
          <w:tab w:val="left" w:pos="4962"/>
        </w:tabs>
        <w:spacing w:after="0" w:line="360" w:lineRule="auto"/>
        <w:ind w:right="-28"/>
        <w:jc w:val="both"/>
        <w:rPr>
          <w:rFonts w:ascii="Palatino Linotype" w:eastAsia="Palatino Linotype" w:hAnsi="Palatino Linotype" w:cs="Palatino Linotype"/>
          <w:sz w:val="24"/>
          <w:szCs w:val="24"/>
        </w:rPr>
      </w:pP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009E585C" w:rsidRDefault="00A2327D">
      <w:pPr>
        <w:tabs>
          <w:tab w:val="left" w:pos="4962"/>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w:t>
      </w: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tales circunstancias, se considera que el dato en comento es información confidencial lo cual atañe únicamente a los alumnos y a la institución educativa, por lo que, es clasificado en términos del artículo 143, fracción I de la Ley de la materia.</w:t>
      </w:r>
    </w:p>
    <w:p w:rsidR="009E585C" w:rsidRDefault="009E585C">
      <w:pPr>
        <w:tabs>
          <w:tab w:val="left" w:pos="4962"/>
        </w:tabs>
        <w:spacing w:after="0" w:line="360" w:lineRule="auto"/>
        <w:ind w:right="-28"/>
        <w:jc w:val="both"/>
        <w:rPr>
          <w:rFonts w:ascii="Palatino Linotype" w:eastAsia="Palatino Linotype" w:hAnsi="Palatino Linotype" w:cs="Palatino Linotype"/>
        </w:rPr>
      </w:pPr>
    </w:p>
    <w:p w:rsidR="009E585C" w:rsidRDefault="00A2327D">
      <w:pPr>
        <w:numPr>
          <w:ilvl w:val="0"/>
          <w:numId w:val="3"/>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Calificaciones y promedio.</w:t>
      </w:r>
    </w:p>
    <w:p w:rsidR="009E585C" w:rsidRDefault="009E585C">
      <w:pPr>
        <w:spacing w:after="0" w:line="360" w:lineRule="auto"/>
        <w:ind w:left="720"/>
        <w:jc w:val="both"/>
        <w:rPr>
          <w:rFonts w:ascii="Palatino Linotype" w:eastAsia="Palatino Linotype" w:hAnsi="Palatino Linotype" w:cs="Palatino Linotype"/>
          <w:sz w:val="24"/>
          <w:szCs w:val="24"/>
        </w:rPr>
      </w:pP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009E585C" w:rsidRDefault="00A2327D">
      <w:pPr>
        <w:shd w:val="clear" w:color="auto" w:fill="FFFFFF"/>
        <w:spacing w:after="0" w:line="360"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w:t>
      </w: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9E585C" w:rsidRDefault="00A2327D">
      <w:pPr>
        <w:tabs>
          <w:tab w:val="left" w:pos="4962"/>
        </w:tabs>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w:t>
      </w: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rsidR="009E585C" w:rsidRDefault="009E585C">
      <w:pPr>
        <w:tabs>
          <w:tab w:val="left" w:pos="4962"/>
        </w:tabs>
        <w:spacing w:after="0" w:line="360" w:lineRule="auto"/>
        <w:ind w:right="-28"/>
        <w:jc w:val="both"/>
        <w:rPr>
          <w:rFonts w:ascii="Palatino Linotype" w:eastAsia="Palatino Linotype" w:hAnsi="Palatino Linotype" w:cs="Palatino Linotype"/>
          <w:sz w:val="24"/>
          <w:szCs w:val="24"/>
        </w:rPr>
      </w:pPr>
    </w:p>
    <w:p w:rsidR="009E585C" w:rsidRDefault="00A2327D">
      <w:pPr>
        <w:tabs>
          <w:tab w:val="left" w:pos="4962"/>
        </w:tabs>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rsidR="009E585C" w:rsidRDefault="009E585C">
      <w:pPr>
        <w:tabs>
          <w:tab w:val="left" w:pos="4962"/>
        </w:tabs>
        <w:spacing w:after="0" w:line="360" w:lineRule="auto"/>
        <w:ind w:right="-28"/>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Al respecto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adjunta acta de la centésima quincuagésima sesión extraordinaria 2022 del Comité de Transparencia del Municipio de Toluca, en donde clasifica en su totalidad la identificación oficial con fotografía, acta de nacimiento, certificado médico, certificado no deudor alimentario moroso, comprobante de domicilio, comprobante de clave ISSEMYM, cédula del CURP y RFC, mismo que se consideran son clasificados en su totalidad de forma correcta ya </w:t>
      </w:r>
      <w:r>
        <w:rPr>
          <w:rFonts w:ascii="Palatino Linotype" w:eastAsia="Palatino Linotype" w:hAnsi="Palatino Linotype" w:cs="Palatino Linotype"/>
          <w:color w:val="000000"/>
          <w:sz w:val="24"/>
          <w:szCs w:val="24"/>
        </w:rPr>
        <w:t>que por su naturaleza jurídica contienen datos deben ser clasificados como confidenciales.</w:t>
      </w:r>
    </w:p>
    <w:p w:rsidR="009E585C" w:rsidRDefault="009E585C">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FF0000"/>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precisar que la constancia de no inhabilitación fue proporcionada en versión pública, acompañada del acuerdo de comité correspondiente, en el cual se encuentra información susceptible de clasificar como confidencial al tratarse de datos personales concerniente a una persona física, como es el Registro Federal de Contribuyentes (RFC).</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tales términos conviene precisar que la información mencionada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tiene el carácter de confidencial, misma que se encuentra debidamente </w:t>
      </w:r>
      <w:r>
        <w:rPr>
          <w:rFonts w:ascii="Palatino Linotype" w:eastAsia="Palatino Linotype" w:hAnsi="Palatino Linotype" w:cs="Palatino Linotype"/>
          <w:sz w:val="24"/>
          <w:szCs w:val="24"/>
        </w:rPr>
        <w:lastRenderedPageBreak/>
        <w:t>fundada de conformidad a la Ley de Transparencia y Acceso a la Información Pública del Estado de México y Municipios, en la que dispone lo siguiente:</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Artículo 3. Para los efectos de la presente Ley se entenderá por:</w:t>
      </w:r>
    </w:p>
    <w:p w:rsidR="009E585C" w:rsidRDefault="00A2327D">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IX. Datos personales: La información concerniente a una persona, identificada o identificable según lo dispuesto por la Ley de Protección de Datos Personales del Estado de México;</w:t>
      </w:r>
    </w:p>
    <w:p w:rsidR="009E585C" w:rsidRDefault="00A2327D">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spacing w:before="240" w:after="240"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E585C" w:rsidRDefault="00A2327D">
      <w:pPr>
        <w:spacing w:before="240" w:after="0" w:line="360" w:lineRule="auto"/>
        <w:ind w:left="851" w:right="90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Artículo 91. El acceso a la información pública será restringido excepcionalmente, cuando ésta sea clasificada como reservada o confidencial.</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color w:val="2F2F2F"/>
          <w:sz w:val="24"/>
          <w:szCs w:val="24"/>
          <w:highlight w:val="white"/>
        </w:rPr>
      </w:pPr>
      <w:r>
        <w:rPr>
          <w:rFonts w:ascii="Palatino Linotype" w:eastAsia="Palatino Linotype" w:hAnsi="Palatino Linotype" w:cs="Palatino Linotype"/>
          <w:sz w:val="24"/>
          <w:szCs w:val="24"/>
        </w:rPr>
        <w:t xml:space="preserve">De igual forma resulta relevante mencionar que cuenta con las formalidades establecidas en los </w:t>
      </w:r>
      <w:r>
        <w:rPr>
          <w:rFonts w:ascii="Palatino Linotype" w:eastAsia="Palatino Linotype" w:hAnsi="Palatino Linotype" w:cs="Palatino Linotype"/>
          <w:color w:val="2F2F2F"/>
          <w:sz w:val="24"/>
          <w:szCs w:val="24"/>
          <w:highlight w:val="white"/>
        </w:rPr>
        <w:t>Lineamientos Generales en Materia de Clasificación y Desclasificación de la Información, así como para la Elaboración de Versiones Públicas:</w:t>
      </w:r>
    </w:p>
    <w:p w:rsidR="009E585C" w:rsidRDefault="009E585C">
      <w:pPr>
        <w:spacing w:after="0" w:line="360" w:lineRule="auto"/>
        <w:jc w:val="both"/>
        <w:rPr>
          <w:rFonts w:ascii="Palatino Linotype" w:eastAsia="Palatino Linotype" w:hAnsi="Palatino Linotype" w:cs="Palatino Linotype"/>
          <w:color w:val="2F2F2F"/>
          <w:sz w:val="24"/>
          <w:szCs w:val="24"/>
          <w:highlight w:val="white"/>
        </w:rPr>
      </w:pP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lastRenderedPageBreak/>
        <w:t>Quincuagésimo. </w:t>
      </w:r>
      <w:r>
        <w:rPr>
          <w:rFonts w:ascii="Palatino Linotype" w:eastAsia="Palatino Linotype" w:hAnsi="Palatino Linotype" w:cs="Palatino Linotype"/>
          <w:i/>
          <w:color w:val="2F2F2F"/>
        </w:rPr>
        <w:t>Los titulares de las áreas de los sujetos obligados podrán utilizar los formatos contenidos en el presente Capítulo como modelo para señalar la clasificación de documentos o expedientes, sin perjuicio de que establezcan los propios.</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Quincuagésimo primero.</w:t>
      </w:r>
      <w:r>
        <w:rPr>
          <w:rFonts w:ascii="Palatino Linotype" w:eastAsia="Palatino Linotype" w:hAnsi="Palatino Linotype" w:cs="Palatino Linotype"/>
          <w:i/>
          <w:color w:val="2F2F2F"/>
        </w:rPr>
        <w:t> La leyenda en los documentos clasificados indicará:</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I.</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La fecha de sesión del Comité de Transparencia en donde se confirmó la clasificación, en su caso;</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II.</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El nombre del área;</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III.</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La palabra reservado o confidencial;</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IV.</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Las partes o secciones reservadas o confidenciales, en su caso;</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V.</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El fundamento legal;</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VI.</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El periodo de reserva, y</w:t>
      </w:r>
    </w:p>
    <w:p w:rsidR="009E585C" w:rsidRDefault="00A2327D">
      <w:pPr>
        <w:shd w:val="clear" w:color="auto" w:fill="FFFFFF"/>
        <w:spacing w:after="80" w:line="240" w:lineRule="auto"/>
        <w:ind w:left="851" w:right="900"/>
        <w:jc w:val="both"/>
        <w:rPr>
          <w:rFonts w:ascii="Palatino Linotype" w:eastAsia="Palatino Linotype" w:hAnsi="Palatino Linotype" w:cs="Palatino Linotype"/>
          <w:i/>
          <w:color w:val="2F2F2F"/>
        </w:rPr>
      </w:pPr>
      <w:r>
        <w:rPr>
          <w:rFonts w:ascii="Palatino Linotype" w:eastAsia="Palatino Linotype" w:hAnsi="Palatino Linotype" w:cs="Palatino Linotype"/>
          <w:b/>
          <w:i/>
          <w:color w:val="2F2F2F"/>
        </w:rPr>
        <w:t>VII.</w:t>
      </w:r>
      <w:r>
        <w:rPr>
          <w:rFonts w:ascii="Palatino Linotype" w:eastAsia="Palatino Linotype" w:hAnsi="Palatino Linotype" w:cs="Palatino Linotype"/>
          <w:i/>
          <w:color w:val="2F2F2F"/>
          <w:sz w:val="24"/>
          <w:szCs w:val="24"/>
        </w:rPr>
        <w:t>     </w:t>
      </w:r>
      <w:r>
        <w:rPr>
          <w:rFonts w:ascii="Palatino Linotype" w:eastAsia="Palatino Linotype" w:hAnsi="Palatino Linotype" w:cs="Palatino Linotype"/>
          <w:i/>
          <w:color w:val="2F2F2F"/>
        </w:rPr>
        <w:t>La rúbrica del titular del área.</w:t>
      </w:r>
    </w:p>
    <w:p w:rsidR="009E585C" w:rsidRDefault="00A2327D">
      <w:pPr>
        <w:spacing w:before="8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la versión pública de la constancia de no inhabilitación, analizada en este apartado del presente recurso,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está debidamente realizada. </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al documento con el cual se acredite el grado máximo de estudios y de acuerdo a la ficha curricular se advierte que ostenta el grado de Licenciatura en Derecho, por lo que en respuesta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hace entrega en una correcta versión pública de la Cédula Profesional en los términos antes precisados, toda vez que en uno de los puntos solicitados es el grado de estudios de la Titular de la Unidad de Transparencia.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 xml:space="preserve">No obstante, no puede tenerse por atendida de manera plena este punto de la solicitud, toda vez que como se mencionó con anterioridad se clasifico de forma total </w:t>
      </w:r>
      <w:r>
        <w:rPr>
          <w:rFonts w:ascii="Palatino Linotype" w:eastAsia="Palatino Linotype" w:hAnsi="Palatino Linotype" w:cs="Palatino Linotype"/>
          <w:sz w:val="24"/>
          <w:szCs w:val="24"/>
        </w:rPr>
        <w:lastRenderedPageBreak/>
        <w:t xml:space="preserve">el documento con el que se da de alta al ISSEMYM al servidor público, sin embargo en este se </w:t>
      </w:r>
      <w:r>
        <w:rPr>
          <w:rFonts w:ascii="Palatino Linotype" w:eastAsia="Palatino Linotype" w:hAnsi="Palatino Linotype" w:cs="Palatino Linotype"/>
          <w:color w:val="0D0D0D"/>
          <w:sz w:val="24"/>
          <w:szCs w:val="24"/>
        </w:rPr>
        <w:t>establece la fecha en la que se dio de alta la cual debe ser coincidente con la fecha de ingreso en el servicio público, así como el nombre del servidor público, razones por las cuales se ordena su entrega en versión pública en términos del considerando quinto de esta resolución.</w:t>
      </w:r>
    </w:p>
    <w:p w:rsidR="009E585C" w:rsidRDefault="009E585C">
      <w:pPr>
        <w:spacing w:after="0" w:line="360" w:lineRule="auto"/>
        <w:ind w:right="-234"/>
        <w:jc w:val="both"/>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after="24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6. </w:t>
      </w:r>
      <w:proofErr w:type="spellStart"/>
      <w:r>
        <w:rPr>
          <w:rFonts w:ascii="Palatino Linotype" w:eastAsia="Palatino Linotype" w:hAnsi="Palatino Linotype" w:cs="Palatino Linotype"/>
          <w:b/>
          <w:color w:val="000000"/>
          <w:sz w:val="24"/>
          <w:szCs w:val="24"/>
        </w:rPr>
        <w:t>Curriculum</w:t>
      </w:r>
      <w:proofErr w:type="spellEnd"/>
      <w:r>
        <w:rPr>
          <w:rFonts w:ascii="Palatino Linotype" w:eastAsia="Palatino Linotype" w:hAnsi="Palatino Linotype" w:cs="Palatino Linotype"/>
          <w:b/>
          <w:color w:val="000000"/>
          <w:sz w:val="24"/>
          <w:szCs w:val="24"/>
        </w:rPr>
        <w:t xml:space="preserve"> Vitae de la Titular de la Unidad de Transparencia.</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9E585C">
        <w:tc>
          <w:tcPr>
            <w:tcW w:w="3122"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9E585C">
        <w:tc>
          <w:tcPr>
            <w:tcW w:w="3122" w:type="dxa"/>
          </w:tcPr>
          <w:p w:rsidR="009E585C" w:rsidRDefault="00A2327D">
            <w:pPr>
              <w:spacing w:before="240" w:after="240"/>
              <w:jc w:val="both"/>
              <w:rPr>
                <w:rFonts w:ascii="Palatino Linotype" w:eastAsia="Palatino Linotype" w:hAnsi="Palatino Linotype" w:cs="Palatino Linotype"/>
                <w:color w:val="000000"/>
                <w:sz w:val="18"/>
                <w:szCs w:val="18"/>
              </w:rPr>
            </w:pPr>
            <w:proofErr w:type="spellStart"/>
            <w:r>
              <w:rPr>
                <w:rFonts w:ascii="Palatino Linotype" w:eastAsia="Palatino Linotype" w:hAnsi="Palatino Linotype" w:cs="Palatino Linotype"/>
                <w:color w:val="000000"/>
                <w:sz w:val="18"/>
                <w:szCs w:val="18"/>
              </w:rPr>
              <w:t>Curriculum</w:t>
            </w:r>
            <w:proofErr w:type="spellEnd"/>
            <w:r>
              <w:rPr>
                <w:rFonts w:ascii="Palatino Linotype" w:eastAsia="Palatino Linotype" w:hAnsi="Palatino Linotype" w:cs="Palatino Linotype"/>
                <w:color w:val="000000"/>
                <w:sz w:val="18"/>
                <w:szCs w:val="18"/>
              </w:rPr>
              <w:t xml:space="preserve"> Vitae de la Titular de la Unidad de Transparencia.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Entrega la ficha curricular de la Titular de la Unidad de Transparencia.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Ratifica. </w:t>
            </w:r>
          </w:p>
        </w:tc>
      </w:tr>
    </w:tbl>
    <w:p w:rsidR="009E585C" w:rsidRDefault="00A2327D">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inserta la ficha curricular de la Titular de la Unidad de Transparencia:</w:t>
      </w:r>
    </w:p>
    <w:p w:rsidR="009E585C" w:rsidRDefault="00A2327D">
      <w:pPr>
        <w:pBdr>
          <w:top w:val="nil"/>
          <w:left w:val="nil"/>
          <w:bottom w:val="nil"/>
          <w:right w:val="nil"/>
          <w:between w:val="nil"/>
        </w:pBdr>
        <w:spacing w:before="240" w:after="240" w:line="360" w:lineRule="auto"/>
        <w:ind w:right="-234"/>
        <w:jc w:val="center"/>
        <w:rPr>
          <w:rFonts w:ascii="Palatino Linotype" w:eastAsia="Palatino Linotype" w:hAnsi="Palatino Linotype" w:cs="Palatino Linotype"/>
          <w:color w:val="000000"/>
          <w:sz w:val="24"/>
          <w:szCs w:val="24"/>
        </w:rPr>
      </w:pPr>
      <w:r>
        <w:rPr>
          <w:noProof/>
        </w:rPr>
        <w:lastRenderedPageBreak/>
        <w:drawing>
          <wp:inline distT="0" distB="0" distL="0" distR="0">
            <wp:extent cx="4394745" cy="3454118"/>
            <wp:effectExtent l="0" t="0" r="0" b="0"/>
            <wp:docPr id="30" name="image1.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baja"/>
                    <pic:cNvPicPr preferRelativeResize="0"/>
                  </pic:nvPicPr>
                  <pic:blipFill>
                    <a:blip r:embed="rId28"/>
                    <a:srcRect b="22595"/>
                    <a:stretch>
                      <a:fillRect/>
                    </a:stretch>
                  </pic:blipFill>
                  <pic:spPr>
                    <a:xfrm>
                      <a:off x="0" y="0"/>
                      <a:ext cx="4394745" cy="3454118"/>
                    </a:xfrm>
                    <a:prstGeom prst="rect">
                      <a:avLst/>
                    </a:prstGeom>
                    <a:ln/>
                  </pic:spPr>
                </pic:pic>
              </a:graphicData>
            </a:graphic>
          </wp:inline>
        </w:drawing>
      </w:r>
    </w:p>
    <w:p w:rsidR="009E585C" w:rsidRDefault="00A2327D">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Respecto a este punto de la solicitud de información, es de señalar que el </w:t>
      </w:r>
      <w:proofErr w:type="spellStart"/>
      <w:r>
        <w:rPr>
          <w:rFonts w:ascii="Palatino Linotype" w:eastAsia="Palatino Linotype" w:hAnsi="Palatino Linotype" w:cs="Palatino Linotype"/>
          <w:color w:val="000000"/>
          <w:sz w:val="24"/>
          <w:szCs w:val="24"/>
        </w:rPr>
        <w:t>curriculum</w:t>
      </w:r>
      <w:proofErr w:type="spellEnd"/>
      <w:r>
        <w:rPr>
          <w:rFonts w:ascii="Palatino Linotype" w:eastAsia="Palatino Linotype" w:hAnsi="Palatino Linotype" w:cs="Palatino Linotype"/>
          <w:color w:val="000000"/>
          <w:sz w:val="24"/>
          <w:szCs w:val="24"/>
        </w:rPr>
        <w:t xml:space="preserve"> es el documento que las personas elaboran con los datos principalmente de preparación académica y experiencia profesional con la finalidad de presentarlo ante un posible empleador, por lo que, dicho documento permite identificar el nivel de conocimiento de su titular, su perfil profesional y/o laboral. </w:t>
      </w:r>
    </w:p>
    <w:p w:rsidR="009E585C" w:rsidRDefault="00A2327D">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orden de ideas, si bien, el documento referido es elaborado por cada persona sin ninguna validez oficial, también lo es que como se mencionó, este tiene como objetivo que las personas conozcan la trayectoria de quien lo presenta, situación que toma mayor relevancia al tratarse de aquel que ostenta un cargo en la administración; por lo que, existe un interés público para dar a conocer su contenido, pues transparenta </w:t>
      </w:r>
      <w:r>
        <w:rPr>
          <w:rFonts w:ascii="Palatino Linotype" w:eastAsia="Palatino Linotype" w:hAnsi="Palatino Linotype" w:cs="Palatino Linotype"/>
          <w:color w:val="000000"/>
          <w:sz w:val="24"/>
          <w:szCs w:val="24"/>
        </w:rPr>
        <w:lastRenderedPageBreak/>
        <w:t xml:space="preserve">que el personal que labora para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cuenta con las capacidades, conocimientos y experiencia necesaria para el cabal cumplimiento de sus funciones. </w:t>
      </w:r>
    </w:p>
    <w:p w:rsidR="009E585C" w:rsidRDefault="00A2327D">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por lo anterior que el artículo 92, fracción XXI de la Ley de Transparencia y Acceso a la Información Pública del Estado de México y Municipios, establece que la información curricular es considerada como obligación de transparencia también para el Instituto de Transparencia, Acceso a la Información Pública y Protección de Datos Personales del Estado de México y Municipios. </w:t>
      </w:r>
    </w:p>
    <w:p w:rsidR="009E585C" w:rsidRDefault="00A2327D">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mayor abundamiento conviene mencionar, el Criterio 03/09 emitido por el Pleno del entonces Instituto Federal de Acceso a la Información y Protección de Datos establece que: </w:t>
      </w:r>
    </w:p>
    <w:p w:rsidR="009E585C" w:rsidRDefault="00A2327D">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roofErr w:type="spellStart"/>
      <w:r>
        <w:rPr>
          <w:rFonts w:ascii="Palatino Linotype" w:eastAsia="Palatino Linotype" w:hAnsi="Palatino Linotype" w:cs="Palatino Linotype"/>
          <w:i/>
          <w:color w:val="000000"/>
        </w:rPr>
        <w:t>Curriculum</w:t>
      </w:r>
      <w:proofErr w:type="spellEnd"/>
      <w:r>
        <w:rPr>
          <w:rFonts w:ascii="Palatino Linotype" w:eastAsia="Palatino Linotype" w:hAnsi="Palatino Linotype" w:cs="Palatino Linotype"/>
          <w:i/>
          <w:color w:val="000000"/>
        </w:rPr>
        <w:t xml:space="preserve"> Vitae de servidores públicos.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Pr>
          <w:rFonts w:ascii="Palatino Linotype" w:eastAsia="Palatino Linotype" w:hAnsi="Palatino Linotype" w:cs="Palatino Linotype"/>
          <w:i/>
          <w:color w:val="000000"/>
        </w:rPr>
        <w:t>curriculum</w:t>
      </w:r>
      <w:proofErr w:type="spellEnd"/>
      <w:r>
        <w:rPr>
          <w:rFonts w:ascii="Palatino Linotype" w:eastAsia="Palatino Linotype" w:hAnsi="Palatino Linotype" w:cs="Palatino Linotype"/>
          <w:i/>
          <w:color w:val="000000"/>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Pr>
          <w:rFonts w:ascii="Palatino Linotype" w:eastAsia="Palatino Linotype" w:hAnsi="Palatino Linotype" w:cs="Palatino Linotype"/>
          <w:i/>
          <w:color w:val="000000"/>
        </w:rPr>
        <w:t>curriculum</w:t>
      </w:r>
      <w:proofErr w:type="spellEnd"/>
      <w:r>
        <w:rPr>
          <w:rFonts w:ascii="Palatino Linotype" w:eastAsia="Palatino Linotype" w:hAnsi="Palatino Linotype" w:cs="Palatino Linotype"/>
          <w:i/>
          <w:color w:val="000000"/>
        </w:rPr>
        <w:t xml:space="preserve"> vitae de un servidor público, una de las formas en que los ciudadanos pueden evaluar sus aptitudes para desempeñar el cargo público que le ha sido encomendado, es mediante la publicidad de ciertos datos de los ahí contenidos. En esa tesitura, </w:t>
      </w:r>
      <w:r>
        <w:rPr>
          <w:rFonts w:ascii="Palatino Linotype" w:eastAsia="Palatino Linotype" w:hAnsi="Palatino Linotype" w:cs="Palatino Linotype"/>
          <w:i/>
          <w:color w:val="000000"/>
        </w:rPr>
        <w:lastRenderedPageBreak/>
        <w:t xml:space="preserve">entre los datos personales del </w:t>
      </w:r>
      <w:proofErr w:type="spellStart"/>
      <w:r>
        <w:rPr>
          <w:rFonts w:ascii="Palatino Linotype" w:eastAsia="Palatino Linotype" w:hAnsi="Palatino Linotype" w:cs="Palatino Linotype"/>
          <w:i/>
          <w:color w:val="000000"/>
        </w:rPr>
        <w:t>curriculum</w:t>
      </w:r>
      <w:proofErr w:type="spellEnd"/>
      <w:r>
        <w:rPr>
          <w:rFonts w:ascii="Palatino Linotype" w:eastAsia="Palatino Linotype" w:hAnsi="Palatino Linotype" w:cs="Palatino Linotype"/>
          <w:i/>
          <w:color w:val="000000"/>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9E585C" w:rsidRDefault="00A2327D">
      <w:pPr>
        <w:pBdr>
          <w:top w:val="nil"/>
          <w:left w:val="nil"/>
          <w:bottom w:val="nil"/>
          <w:right w:val="nil"/>
          <w:between w:val="nil"/>
        </w:pBdr>
        <w:spacing w:before="240" w:after="0" w:line="360" w:lineRule="auto"/>
        <w:ind w:right="-23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rsidR="009E585C" w:rsidRDefault="009E585C">
      <w:pPr>
        <w:pBdr>
          <w:top w:val="nil"/>
          <w:left w:val="nil"/>
          <w:bottom w:val="nil"/>
          <w:right w:val="nil"/>
          <w:between w:val="nil"/>
        </w:pBdr>
        <w:spacing w:after="0" w:line="360" w:lineRule="auto"/>
        <w:ind w:right="-232"/>
        <w:jc w:val="both"/>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after="0" w:line="360" w:lineRule="auto"/>
        <w:ind w:right="-23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Conforme a ello, se considera que con la información proporcionada por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en este punto de la solicitud de información se satisface la pretensión del ahora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pues como se ha podido advertir en efecto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proporcionó la información curricular de la Titular de la Unidad de Transparencia, misma que contiene información de su preparación académica y trayectoria profesional. </w:t>
      </w:r>
    </w:p>
    <w:p w:rsidR="009E585C" w:rsidRDefault="00A2327D">
      <w:pPr>
        <w:pBdr>
          <w:top w:val="nil"/>
          <w:left w:val="nil"/>
          <w:bottom w:val="nil"/>
          <w:right w:val="nil"/>
          <w:between w:val="nil"/>
        </w:pBdr>
        <w:spacing w:after="24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7. Comprobante de estudios, cursos en materia de transparencia y protección de datos de la Titular de la Unidad de Transparencia.</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9E585C">
        <w:tc>
          <w:tcPr>
            <w:tcW w:w="3122"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rsidR="009E585C" w:rsidRDefault="00A2327D">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9E585C">
        <w:tc>
          <w:tcPr>
            <w:tcW w:w="3122" w:type="dxa"/>
          </w:tcPr>
          <w:p w:rsidR="009E585C" w:rsidRDefault="00A2327D">
            <w:pPr>
              <w:spacing w:before="240" w:after="240"/>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Comprobante de estudios, cursos en materia de transparencia y protección de datos personales de la Titular de la Unidad de Transparencia.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No se encontró información referente a cursos en razón de no obrar dicha información, </w:t>
            </w:r>
          </w:p>
        </w:tc>
        <w:tc>
          <w:tcPr>
            <w:tcW w:w="2853" w:type="dxa"/>
          </w:tcPr>
          <w:p w:rsidR="009E585C" w:rsidRDefault="00A2327D">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Ratifica. </w:t>
            </w:r>
          </w:p>
        </w:tc>
      </w:tr>
    </w:tbl>
    <w:p w:rsidR="009E585C" w:rsidRDefault="009E585C">
      <w:pPr>
        <w:spacing w:before="240" w:after="0" w:line="360" w:lineRule="auto"/>
        <w:ind w:right="-234"/>
        <w:jc w:val="both"/>
        <w:rPr>
          <w:rFonts w:ascii="Palatino Linotype" w:eastAsia="Palatino Linotype" w:hAnsi="Palatino Linotype" w:cs="Palatino Linotype"/>
          <w:color w:val="000000"/>
          <w:sz w:val="24"/>
          <w:szCs w:val="24"/>
        </w:rPr>
      </w:pPr>
    </w:p>
    <w:p w:rsidR="009E585C" w:rsidRPr="007565F4" w:rsidRDefault="00A2327D">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Respecto al comprobante de estudios hace entrega de la Cédula Profesional, documento que fue entregado en una correcta versión pública, tal como se aprecia en un punto anterior, </w:t>
      </w:r>
      <w:r w:rsidRPr="00FE6A40">
        <w:rPr>
          <w:rFonts w:ascii="Palatino Linotype" w:eastAsia="Palatino Linotype" w:hAnsi="Palatino Linotype" w:cs="Palatino Linotype"/>
          <w:color w:val="000000"/>
          <w:sz w:val="24"/>
          <w:szCs w:val="24"/>
        </w:rPr>
        <w:t>referente a los cursos en materia de transparencia y protección de datos perso</w:t>
      </w:r>
      <w:r w:rsidR="0076503D" w:rsidRPr="00FE6A40">
        <w:rPr>
          <w:rFonts w:ascii="Palatino Linotype" w:eastAsia="Palatino Linotype" w:hAnsi="Palatino Linotype" w:cs="Palatino Linotype"/>
          <w:color w:val="000000"/>
          <w:sz w:val="24"/>
          <w:szCs w:val="24"/>
        </w:rPr>
        <w:t xml:space="preserve">nales si bien el Sujeto Obligado señala </w:t>
      </w:r>
      <w:r w:rsidR="007565F4" w:rsidRPr="00FE6A40">
        <w:rPr>
          <w:rFonts w:ascii="Palatino Linotype" w:eastAsia="Palatino Linotype" w:hAnsi="Palatino Linotype" w:cs="Palatino Linotype"/>
          <w:color w:val="000000"/>
          <w:sz w:val="24"/>
          <w:szCs w:val="24"/>
        </w:rPr>
        <w:t xml:space="preserve">que no cuenta con dicha información, </w:t>
      </w:r>
      <w:r w:rsidR="0076503D" w:rsidRPr="00FE6A40">
        <w:rPr>
          <w:rFonts w:ascii="Palatino Linotype" w:eastAsia="Palatino Linotype" w:hAnsi="Palatino Linotype" w:cs="Palatino Linotype"/>
          <w:color w:val="000000"/>
          <w:sz w:val="24"/>
          <w:szCs w:val="24"/>
        </w:rPr>
        <w:t>también lo es que</w:t>
      </w:r>
      <w:r w:rsidR="007565F4" w:rsidRPr="00FE6A40">
        <w:rPr>
          <w:rFonts w:ascii="Palatino Linotype" w:eastAsia="Palatino Linotype" w:hAnsi="Palatino Linotype" w:cs="Palatino Linotype"/>
          <w:color w:val="000000"/>
          <w:sz w:val="24"/>
          <w:szCs w:val="24"/>
        </w:rPr>
        <w:t xml:space="preserve"> </w:t>
      </w:r>
      <w:r w:rsidR="0076503D" w:rsidRPr="00FE6A40">
        <w:rPr>
          <w:rFonts w:ascii="Palatino Linotype" w:eastAsia="Palatino Linotype" w:hAnsi="Palatino Linotype" w:cs="Palatino Linotype"/>
          <w:color w:val="000000"/>
          <w:sz w:val="24"/>
          <w:szCs w:val="24"/>
        </w:rPr>
        <w:t>hace entrega d</w:t>
      </w:r>
      <w:r w:rsidR="007565F4" w:rsidRPr="00FE6A40">
        <w:rPr>
          <w:rFonts w:ascii="Palatino Linotype" w:eastAsia="Palatino Linotype" w:hAnsi="Palatino Linotype" w:cs="Palatino Linotype"/>
          <w:color w:val="000000"/>
          <w:sz w:val="24"/>
          <w:szCs w:val="24"/>
        </w:rPr>
        <w:t xml:space="preserve">el certificado de competencia laboral de la Titular de la Unidad de Transparencia, mismo que adjunta en respuesta, por lo cual dicho certificado acredita de manera satisfactoria un curso de materia de transparencia, por lo cual este punto de la solicitud es colmado por el </w:t>
      </w:r>
      <w:r w:rsidR="007565F4" w:rsidRPr="00FE6A40">
        <w:rPr>
          <w:rFonts w:ascii="Palatino Linotype" w:eastAsia="Palatino Linotype" w:hAnsi="Palatino Linotype" w:cs="Palatino Linotype"/>
          <w:b/>
          <w:color w:val="000000"/>
          <w:sz w:val="24"/>
          <w:szCs w:val="24"/>
        </w:rPr>
        <w:t>SUJETO OBLIGADO.</w:t>
      </w:r>
      <w:bookmarkStart w:id="10" w:name="_GoBack"/>
      <w:bookmarkEnd w:id="10"/>
    </w:p>
    <w:p w:rsidR="009E585C" w:rsidRDefault="009E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Aunado a lo anterior, este Pleno considera necesario dejar claro que, al haber existido un pronunciamiento por parte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9E585C" w:rsidRDefault="009E585C">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9E585C" w:rsidRDefault="00A2327D">
      <w:pPr>
        <w:pBdr>
          <w:top w:val="nil"/>
          <w:left w:val="nil"/>
          <w:bottom w:val="nil"/>
          <w:right w:val="nil"/>
          <w:between w:val="nil"/>
        </w:pBdr>
        <w:spacing w:after="0" w:line="240" w:lineRule="auto"/>
        <w:ind w:left="860"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565F4" w:rsidRDefault="007565F4">
      <w:pPr>
        <w:pBdr>
          <w:top w:val="nil"/>
          <w:left w:val="nil"/>
          <w:bottom w:val="nil"/>
          <w:right w:val="nil"/>
          <w:between w:val="nil"/>
        </w:pBdr>
        <w:spacing w:after="0" w:line="240" w:lineRule="auto"/>
        <w:ind w:left="860" w:right="560"/>
        <w:jc w:val="both"/>
        <w:rPr>
          <w:rFonts w:ascii="Palatino Linotype" w:eastAsia="Palatino Linotype" w:hAnsi="Palatino Linotype" w:cs="Palatino Linotype"/>
          <w:i/>
          <w:color w:val="000000"/>
        </w:rPr>
      </w:pPr>
    </w:p>
    <w:p w:rsidR="009E585C" w:rsidRDefault="009E585C">
      <w:pPr>
        <w:pBdr>
          <w:top w:val="nil"/>
          <w:left w:val="nil"/>
          <w:bottom w:val="nil"/>
          <w:right w:val="nil"/>
          <w:between w:val="nil"/>
        </w:pBdr>
        <w:spacing w:after="0" w:line="240" w:lineRule="auto"/>
        <w:ind w:left="860" w:right="560"/>
        <w:jc w:val="both"/>
        <w:rPr>
          <w:rFonts w:ascii="Times New Roman" w:eastAsia="Times New Roman" w:hAnsi="Times New Roman" w:cs="Times New Roman"/>
          <w:color w:val="000000"/>
          <w:sz w:val="24"/>
          <w:szCs w:val="24"/>
        </w:rPr>
      </w:pPr>
    </w:p>
    <w:p w:rsidR="009E585C" w:rsidRDefault="00A2327D">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QUINTO. VERSIÓN PÚBLICA.</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rsidR="009E585C" w:rsidRDefault="009E585C">
      <w:pPr>
        <w:spacing w:after="0" w:line="360" w:lineRule="auto"/>
        <w:ind w:right="-91"/>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proofErr w:type="gramStart"/>
      <w:r>
        <w:rPr>
          <w:rFonts w:ascii="Palatino Linotype" w:eastAsia="Palatino Linotype" w:hAnsi="Palatino Linotype" w:cs="Palatino Linotype"/>
          <w:sz w:val="24"/>
          <w:szCs w:val="24"/>
        </w:rPr>
        <w:t>fracción</w:t>
      </w:r>
      <w:proofErr w:type="gramEnd"/>
      <w:r>
        <w:rPr>
          <w:rFonts w:ascii="Palatino Linotype" w:eastAsia="Palatino Linotype" w:hAnsi="Palatino Linotype" w:cs="Palatino Linotype"/>
          <w:sz w:val="24"/>
          <w:szCs w:val="24"/>
        </w:rPr>
        <w:t xml:space="preserve"> I de la Ley de Transparencia y Acceso a la Información Pública del Estado de México y Municipios que establecen:</w:t>
      </w:r>
    </w:p>
    <w:p w:rsidR="009E585C" w:rsidRDefault="00A2327D">
      <w:pPr>
        <w:spacing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3</w:t>
      </w:r>
      <w:r>
        <w:rPr>
          <w:rFonts w:ascii="Palatino Linotype" w:eastAsia="Palatino Linotype" w:hAnsi="Palatino Linotype" w:cs="Palatino Linotype"/>
          <w:i/>
        </w:rPr>
        <w:t>. Para los efectos de la presente Ley se entenderá por:</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 como reservada o confidencial;</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XXI. Información confidencial: </w:t>
      </w:r>
      <w:r>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XLV. 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Se reciba una solicitud de acceso a la información;</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Se determine mediante resolución de autoridad competente; o</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Se generen versiones públicas para dar cumplimiento a las obligaciones de transparencia previstas en esta Ley.</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refiera a la información privada y los datos personales concernientes a una persona física o </w:t>
      </w:r>
      <w:proofErr w:type="gramStart"/>
      <w:r>
        <w:rPr>
          <w:rFonts w:ascii="Palatino Linotype" w:eastAsia="Palatino Linotype" w:hAnsi="Palatino Linotype" w:cs="Palatino Linotype"/>
          <w:i/>
        </w:rPr>
        <w:t>jurídico</w:t>
      </w:r>
      <w:proofErr w:type="gramEnd"/>
      <w:r>
        <w:rPr>
          <w:rFonts w:ascii="Palatino Linotype" w:eastAsia="Palatino Linotype" w:hAnsi="Palatino Linotype" w:cs="Palatino Linotype"/>
          <w:i/>
        </w:rPr>
        <w:t xml:space="preserve"> colectiva identificada o identificable;</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II.</w:t>
      </w:r>
      <w:r>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9E585C" w:rsidRDefault="009E585C">
      <w:pPr>
        <w:spacing w:before="120" w:after="120"/>
        <w:ind w:left="851" w:right="902"/>
        <w:jc w:val="both"/>
        <w:rPr>
          <w:rFonts w:ascii="Palatino Linotype" w:eastAsia="Palatino Linotype" w:hAnsi="Palatino Linotype" w:cs="Palatino Linotype"/>
          <w:i/>
        </w:rPr>
      </w:pPr>
    </w:p>
    <w:p w:rsidR="009E585C" w:rsidRDefault="00A2327D">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“Quincuagésimo sexto</w:t>
      </w:r>
      <w:r>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9E585C" w:rsidRDefault="00A2327D">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9E585C" w:rsidRDefault="00A2327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9E585C" w:rsidRDefault="009E585C">
      <w:pPr>
        <w:spacing w:before="120" w:after="120"/>
        <w:ind w:left="851" w:right="902"/>
        <w:jc w:val="both"/>
        <w:rPr>
          <w:rFonts w:ascii="Palatino Linotype" w:eastAsia="Palatino Linotype" w:hAnsi="Palatino Linotype" w:cs="Palatino Linotype"/>
          <w:i/>
        </w:rPr>
      </w:pPr>
    </w:p>
    <w:p w:rsidR="009E585C" w:rsidRDefault="00A2327D">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w:t>
      </w:r>
      <w:r>
        <w:rPr>
          <w:rFonts w:ascii="Palatino Linotype" w:eastAsia="Palatino Linotype" w:hAnsi="Palatino Linotype" w:cs="Palatino Linotype"/>
          <w:sz w:val="24"/>
          <w:szCs w:val="24"/>
        </w:rPr>
        <w:lastRenderedPageBreak/>
        <w:t>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p w:rsidR="009E585C" w:rsidRDefault="009E585C">
      <w:pPr>
        <w:spacing w:after="240" w:line="360" w:lineRule="auto"/>
        <w:jc w:val="both"/>
        <w:rPr>
          <w:rFonts w:ascii="Palatino Linotype" w:eastAsia="Palatino Linotype" w:hAnsi="Palatino Linotype" w:cs="Palatino Linotype"/>
          <w:sz w:val="24"/>
          <w:szCs w:val="24"/>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9E585C">
        <w:tc>
          <w:tcPr>
            <w:tcW w:w="4414" w:type="dxa"/>
            <w:gridSpan w:val="2"/>
          </w:tcPr>
          <w:p w:rsidR="009E585C" w:rsidRDefault="00A2327D">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9E585C" w:rsidRDefault="00A2327D">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9E585C">
        <w:tc>
          <w:tcPr>
            <w:tcW w:w="993" w:type="dxa"/>
          </w:tcPr>
          <w:p w:rsidR="009E585C" w:rsidRDefault="00A2327D">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rsidR="009E585C" w:rsidRDefault="00A2327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9E585C" w:rsidRDefault="00A2327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9E585C" w:rsidRDefault="00A2327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9E585C">
        <w:tc>
          <w:tcPr>
            <w:tcW w:w="8828" w:type="dxa"/>
            <w:gridSpan w:val="4"/>
          </w:tcPr>
          <w:p w:rsidR="009E585C" w:rsidRDefault="00A2327D">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2"/>
                <w:szCs w:val="12"/>
              </w:rPr>
              <w:t>anotarán</w:t>
            </w:r>
            <w:proofErr w:type="gramEnd"/>
            <w:r>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Rúbrica del titular del área</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9E585C">
        <w:tc>
          <w:tcPr>
            <w:tcW w:w="993"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9E585C">
        <w:tc>
          <w:tcPr>
            <w:tcW w:w="993" w:type="dxa"/>
          </w:tcPr>
          <w:p w:rsidR="009E585C" w:rsidRDefault="009E585C">
            <w:pPr>
              <w:jc w:val="both"/>
              <w:rPr>
                <w:rFonts w:ascii="Palatino Linotype" w:eastAsia="Palatino Linotype" w:hAnsi="Palatino Linotype" w:cs="Palatino Linotype"/>
                <w:sz w:val="12"/>
                <w:szCs w:val="12"/>
              </w:rPr>
            </w:pPr>
          </w:p>
        </w:tc>
        <w:tc>
          <w:tcPr>
            <w:tcW w:w="3421" w:type="dxa"/>
          </w:tcPr>
          <w:p w:rsidR="009E585C" w:rsidRDefault="009E585C">
            <w:pPr>
              <w:jc w:val="both"/>
              <w:rPr>
                <w:rFonts w:ascii="Palatino Linotype" w:eastAsia="Palatino Linotype" w:hAnsi="Palatino Linotype" w:cs="Palatino Linotype"/>
                <w:sz w:val="12"/>
                <w:szCs w:val="12"/>
              </w:rPr>
            </w:pP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9E585C">
        <w:tc>
          <w:tcPr>
            <w:tcW w:w="993" w:type="dxa"/>
          </w:tcPr>
          <w:p w:rsidR="009E585C" w:rsidRDefault="009E585C">
            <w:pPr>
              <w:jc w:val="both"/>
              <w:rPr>
                <w:rFonts w:ascii="Palatino Linotype" w:eastAsia="Palatino Linotype" w:hAnsi="Palatino Linotype" w:cs="Palatino Linotype"/>
                <w:sz w:val="12"/>
                <w:szCs w:val="12"/>
              </w:rPr>
            </w:pPr>
          </w:p>
        </w:tc>
        <w:tc>
          <w:tcPr>
            <w:tcW w:w="3421" w:type="dxa"/>
          </w:tcPr>
          <w:p w:rsidR="009E585C" w:rsidRDefault="009E585C">
            <w:pPr>
              <w:jc w:val="both"/>
              <w:rPr>
                <w:rFonts w:ascii="Palatino Linotype" w:eastAsia="Palatino Linotype" w:hAnsi="Palatino Linotype" w:cs="Palatino Linotype"/>
                <w:sz w:val="12"/>
                <w:szCs w:val="12"/>
              </w:rPr>
            </w:pPr>
          </w:p>
        </w:tc>
        <w:tc>
          <w:tcPr>
            <w:tcW w:w="968" w:type="dxa"/>
          </w:tcPr>
          <w:p w:rsidR="009E585C" w:rsidRDefault="00A2327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9E585C" w:rsidRDefault="00A2327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9E585C" w:rsidRDefault="009E585C">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color w:val="000000"/>
          <w:sz w:val="24"/>
          <w:szCs w:val="24"/>
        </w:rPr>
      </w:pPr>
    </w:p>
    <w:p w:rsidR="009E585C" w:rsidRDefault="00A2327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con fundamento en lo prescrito en los</w:t>
      </w:r>
      <w:r>
        <w:rPr>
          <w:rFonts w:ascii="Times New Roman" w:eastAsia="Times New Roman" w:hAnsi="Times New Roman" w:cs="Times New Roman"/>
          <w:color w:val="000000"/>
          <w:sz w:val="24"/>
          <w:szCs w:val="24"/>
        </w:rPr>
        <w:t xml:space="preserve"> </w:t>
      </w:r>
      <w:r>
        <w:rPr>
          <w:rFonts w:ascii="Palatino Linotype" w:eastAsia="Palatino Linotype" w:hAnsi="Palatino Linotype" w:cs="Palatino Linotype"/>
          <w:color w:val="000000"/>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E585C" w:rsidRDefault="009E585C">
      <w:pPr>
        <w:spacing w:after="0" w:line="360" w:lineRule="auto"/>
        <w:jc w:val="both"/>
        <w:rPr>
          <w:rFonts w:ascii="Palatino Linotype" w:eastAsia="Palatino Linotype" w:hAnsi="Palatino Linotype" w:cs="Palatino Linotype"/>
          <w:color w:val="000000"/>
          <w:sz w:val="24"/>
          <w:szCs w:val="24"/>
        </w:rPr>
      </w:pPr>
    </w:p>
    <w:p w:rsidR="009E585C" w:rsidRDefault="00A2327D">
      <w:pPr>
        <w:pBdr>
          <w:top w:val="nil"/>
          <w:left w:val="nil"/>
          <w:bottom w:val="nil"/>
          <w:right w:val="nil"/>
          <w:between w:val="nil"/>
        </w:pBdr>
        <w:spacing w:after="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rsidR="009E585C" w:rsidRDefault="00A2327D">
      <w:pPr>
        <w:spacing w:before="240"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Resultan</w:t>
      </w:r>
      <w:r>
        <w:rPr>
          <w:rFonts w:ascii="Palatino Linotype" w:eastAsia="Palatino Linotype" w:hAnsi="Palatino Linotype" w:cs="Palatino Linotype"/>
          <w:b/>
          <w:sz w:val="24"/>
          <w:szCs w:val="24"/>
        </w:rPr>
        <w:t xml:space="preserve"> fundados</w:t>
      </w:r>
      <w:r>
        <w:rPr>
          <w:rFonts w:ascii="Palatino Linotype" w:eastAsia="Palatino Linotype" w:hAnsi="Palatino Linotype" w:cs="Palatino Linotype"/>
          <w:sz w:val="24"/>
          <w:szCs w:val="24"/>
        </w:rPr>
        <w:t xml:space="preserve"> los motivos de inconformidad hechos valer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en el recurso de revisión </w:t>
      </w:r>
      <w:r>
        <w:rPr>
          <w:rFonts w:ascii="Palatino Linotype" w:eastAsia="Palatino Linotype" w:hAnsi="Palatino Linotype" w:cs="Palatino Linotype"/>
          <w:b/>
          <w:sz w:val="24"/>
          <w:szCs w:val="24"/>
        </w:rPr>
        <w:t xml:space="preserve">04709/INFOEM/IP/RR/2022, </w:t>
      </w:r>
      <w:r>
        <w:rPr>
          <w:rFonts w:ascii="Palatino Linotype" w:eastAsia="Palatino Linotype" w:hAnsi="Palatino Linotype" w:cs="Palatino Linotype"/>
          <w:sz w:val="24"/>
          <w:szCs w:val="24"/>
        </w:rPr>
        <w:t xml:space="preserve">por lo que, en términos del Considerando </w:t>
      </w: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de la presente resolución, se</w:t>
      </w:r>
      <w:r>
        <w:rPr>
          <w:rFonts w:ascii="Palatino Linotype" w:eastAsia="Palatino Linotype" w:hAnsi="Palatino Linotype" w:cs="Palatino Linotype"/>
          <w:b/>
          <w:sz w:val="24"/>
          <w:szCs w:val="24"/>
        </w:rPr>
        <w:t xml:space="preserve"> MODIFICA </w:t>
      </w:r>
      <w:r>
        <w:rPr>
          <w:rFonts w:ascii="Palatino Linotype" w:eastAsia="Palatino Linotype" w:hAnsi="Palatino Linotype" w:cs="Palatino Linotype"/>
          <w:sz w:val="24"/>
          <w:szCs w:val="24"/>
        </w:rPr>
        <w:t>la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8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SEGUNDO.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términos de los Considerandos </w:t>
      </w:r>
      <w:r>
        <w:rPr>
          <w:rFonts w:ascii="Palatino Linotype" w:eastAsia="Palatino Linotype" w:hAnsi="Palatino Linotype" w:cs="Palatino Linotype"/>
          <w:b/>
          <w:sz w:val="24"/>
          <w:szCs w:val="24"/>
        </w:rPr>
        <w:t xml:space="preserve">Cuarto y Quinto </w:t>
      </w:r>
      <w:r>
        <w:rPr>
          <w:rFonts w:ascii="Palatino Linotype" w:eastAsia="Palatino Linotype" w:hAnsi="Palatino Linotype" w:cs="Palatino Linotype"/>
          <w:sz w:val="24"/>
          <w:szCs w:val="24"/>
        </w:rPr>
        <w:t>de esta resolución, haga entrega, vía SAIMEX, en versión pública de ser procedente, del documento donde conste o de cuenta del:</w:t>
      </w:r>
    </w:p>
    <w:p w:rsidR="009E585C" w:rsidRDefault="00A2327D">
      <w:pPr>
        <w:numPr>
          <w:ilvl w:val="0"/>
          <w:numId w:val="1"/>
        </w:numPr>
        <w:pBdr>
          <w:top w:val="nil"/>
          <w:left w:val="nil"/>
          <w:bottom w:val="nil"/>
          <w:right w:val="nil"/>
          <w:between w:val="nil"/>
        </w:pBdr>
        <w:spacing w:before="80" w:after="240" w:line="360" w:lineRule="auto"/>
        <w:ind w:right="90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Certificado de competencia laboral entregado en respuesta en una correcta versión pública. </w:t>
      </w:r>
    </w:p>
    <w:p w:rsidR="009E585C" w:rsidRDefault="00A2327D">
      <w:pPr>
        <w:numPr>
          <w:ilvl w:val="0"/>
          <w:numId w:val="1"/>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Documento que acredite el alta ante el ISSEMYM en versión pública. </w:t>
      </w:r>
    </w:p>
    <w:p w:rsidR="009E585C" w:rsidRDefault="00A2327D">
      <w:pPr>
        <w:spacing w:after="0" w:line="360" w:lineRule="auto"/>
        <w:ind w:right="4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pongan a disposición de la parte Recurrente.</w:t>
      </w:r>
    </w:p>
    <w:p w:rsidR="009E585C" w:rsidRDefault="009E585C">
      <w:pPr>
        <w:spacing w:after="0" w:line="360" w:lineRule="auto"/>
        <w:ind w:right="49"/>
        <w:jc w:val="both"/>
        <w:rPr>
          <w:rFonts w:ascii="Palatino Linotype" w:eastAsia="Palatino Linotype" w:hAnsi="Palatino Linotype" w:cs="Palatino Linotype"/>
          <w:i/>
          <w:color w:val="000000"/>
          <w:sz w:val="20"/>
          <w:szCs w:val="20"/>
        </w:rPr>
      </w:pPr>
    </w:p>
    <w:p w:rsidR="009E585C" w:rsidRDefault="00A2327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sz w:val="24"/>
          <w:szCs w:val="24"/>
        </w:rPr>
        <w:t>vía</w:t>
      </w:r>
      <w:r>
        <w:rPr>
          <w:rFonts w:ascii="Palatino Linotype" w:eastAsia="Palatino Linotype" w:hAnsi="Palatino Linotype" w:cs="Palatino Linotype"/>
          <w:b/>
          <w:sz w:val="24"/>
          <w:szCs w:val="24"/>
        </w:rPr>
        <w:t xml:space="preserve"> SAIMEX, </w:t>
      </w:r>
      <w:r>
        <w:rPr>
          <w:rFonts w:ascii="Palatino Linotype" w:eastAsia="Palatino Linotype" w:hAnsi="Palatino Linotype" w:cs="Palatino Linotype"/>
          <w:sz w:val="24"/>
          <w:szCs w:val="24"/>
        </w:rPr>
        <w:t xml:space="preserve">al Responsable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sz w:val="24"/>
          <w:szCs w:val="24"/>
        </w:rPr>
        <w:t>.</w:t>
      </w:r>
    </w:p>
    <w:p w:rsidR="009E585C" w:rsidRDefault="009E585C">
      <w:pPr>
        <w:spacing w:after="0" w:line="360" w:lineRule="auto"/>
        <w:jc w:val="both"/>
        <w:rPr>
          <w:rFonts w:ascii="Palatino Linotype" w:eastAsia="Palatino Linotype" w:hAnsi="Palatino Linotype" w:cs="Palatino Linotype"/>
          <w:b/>
          <w:sz w:val="24"/>
          <w:szCs w:val="24"/>
        </w:rPr>
      </w:pPr>
    </w:p>
    <w:p w:rsidR="009E585C" w:rsidRDefault="00A2327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sz w:val="24"/>
          <w:szCs w:val="24"/>
        </w:rPr>
        <w:lastRenderedPageBreak/>
        <w:t xml:space="preserve">procedente,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9E585C" w:rsidRDefault="009E585C">
      <w:pPr>
        <w:spacing w:after="0" w:line="360" w:lineRule="auto"/>
        <w:jc w:val="both"/>
        <w:rPr>
          <w:rFonts w:ascii="Palatino Linotype" w:eastAsia="Palatino Linotype" w:hAnsi="Palatino Linotype" w:cs="Palatino Linotype"/>
          <w:sz w:val="24"/>
          <w:szCs w:val="24"/>
        </w:rPr>
      </w:pPr>
    </w:p>
    <w:p w:rsidR="009E585C" w:rsidRDefault="00A2327D">
      <w:pPr>
        <w:spacing w:after="240" w:line="360" w:lineRule="auto"/>
        <w:jc w:val="both"/>
        <w:rPr>
          <w:rFonts w:ascii="Palatino Linotype" w:eastAsia="Palatino Linotype" w:hAnsi="Palatino Linotype" w:cs="Palatino Linotype"/>
          <w:sz w:val="24"/>
          <w:szCs w:val="24"/>
        </w:rPr>
      </w:pPr>
      <w:bookmarkStart w:id="11" w:name="_heading=h.17dp8vu" w:colFirst="0" w:colLast="0"/>
      <w:bookmarkEnd w:id="11"/>
      <w:r>
        <w:rPr>
          <w:rFonts w:ascii="Palatino Linotype" w:eastAsia="Palatino Linotype" w:hAnsi="Palatino Linotype" w:cs="Palatino Linotype"/>
          <w:b/>
          <w:sz w:val="24"/>
          <w:szCs w:val="24"/>
        </w:rPr>
        <w:t xml:space="preserve">CUARTO.  Notifíquese, </w:t>
      </w:r>
      <w:r>
        <w:rPr>
          <w:rFonts w:ascii="Palatino Linotype" w:eastAsia="Palatino Linotype" w:hAnsi="Palatino Linotype" w:cs="Palatino Linotype"/>
          <w:sz w:val="24"/>
          <w:szCs w:val="24"/>
        </w:rPr>
        <w:t xml:space="preserve">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E585C" w:rsidRDefault="009E585C">
      <w:pPr>
        <w:spacing w:after="0" w:line="360" w:lineRule="auto"/>
        <w:jc w:val="both"/>
        <w:rPr>
          <w:rFonts w:ascii="Palatino Linotype" w:eastAsia="Palatino Linotype" w:hAnsi="Palatino Linotype" w:cs="Palatino Linotype"/>
          <w:color w:val="000000"/>
          <w:sz w:val="24"/>
          <w:szCs w:val="24"/>
        </w:rPr>
      </w:pPr>
    </w:p>
    <w:p w:rsidR="009E585C" w:rsidRDefault="00A2327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DE AGOSTO DE DOS MIL VEINTIDÓS, ANTE EL SECRETARIO TÉCNICO DEL PLENO ALEXIS TAPIA RAMÍREZ.</w:t>
      </w:r>
    </w:p>
    <w:p w:rsidR="009E585C" w:rsidRDefault="009E585C">
      <w:pPr>
        <w:spacing w:before="240" w:after="240" w:line="360" w:lineRule="auto"/>
        <w:ind w:left="360" w:right="-234"/>
        <w:jc w:val="both"/>
        <w:rPr>
          <w:rFonts w:ascii="Palatino Linotype" w:eastAsia="Palatino Linotype" w:hAnsi="Palatino Linotype" w:cs="Palatino Linotype"/>
          <w:color w:val="000000"/>
          <w:sz w:val="24"/>
          <w:szCs w:val="24"/>
        </w:rPr>
      </w:pPr>
    </w:p>
    <w:sectPr w:rsidR="009E585C">
      <w:headerReference w:type="default" r:id="rId29"/>
      <w:footerReference w:type="default" r:id="rId30"/>
      <w:headerReference w:type="first" r:id="rId31"/>
      <w:footerReference w:type="first" r:id="rId3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A6" w:rsidRDefault="005601A6">
      <w:pPr>
        <w:spacing w:after="0" w:line="240" w:lineRule="auto"/>
      </w:pPr>
      <w:r>
        <w:separator/>
      </w:r>
    </w:p>
  </w:endnote>
  <w:endnote w:type="continuationSeparator" w:id="0">
    <w:p w:rsidR="005601A6" w:rsidRDefault="0056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85C" w:rsidRDefault="00A2327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6A4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6A40">
      <w:rPr>
        <w:rFonts w:ascii="Arial" w:eastAsia="Arial" w:hAnsi="Arial" w:cs="Arial"/>
        <w:b/>
        <w:noProof/>
        <w:color w:val="000000"/>
        <w:sz w:val="20"/>
        <w:szCs w:val="20"/>
      </w:rPr>
      <w:t>74</w:t>
    </w:r>
    <w:r>
      <w:rPr>
        <w:rFonts w:ascii="Arial" w:eastAsia="Arial" w:hAnsi="Arial" w:cs="Arial"/>
        <w:b/>
        <w:color w:val="000000"/>
        <w:sz w:val="20"/>
        <w:szCs w:val="20"/>
      </w:rPr>
      <w:fldChar w:fldCharType="end"/>
    </w:r>
  </w:p>
  <w:p w:rsidR="009E585C" w:rsidRDefault="009E585C">
    <w:pPr>
      <w:pBdr>
        <w:top w:val="nil"/>
        <w:left w:val="nil"/>
        <w:bottom w:val="nil"/>
        <w:right w:val="nil"/>
        <w:between w:val="nil"/>
      </w:pBdr>
      <w:tabs>
        <w:tab w:val="center" w:pos="4419"/>
        <w:tab w:val="right" w:pos="8838"/>
      </w:tabs>
      <w:spacing w:after="0" w:line="240" w:lineRule="auto"/>
      <w:rPr>
        <w:color w:val="000000"/>
      </w:rPr>
    </w:pPr>
  </w:p>
  <w:p w:rsidR="009E585C" w:rsidRDefault="009E58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85C" w:rsidRDefault="00A2327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6A4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6A40">
      <w:rPr>
        <w:rFonts w:ascii="Arial" w:eastAsia="Arial" w:hAnsi="Arial" w:cs="Arial"/>
        <w:b/>
        <w:noProof/>
        <w:color w:val="000000"/>
        <w:sz w:val="20"/>
        <w:szCs w:val="20"/>
      </w:rPr>
      <w:t>74</w:t>
    </w:r>
    <w:r>
      <w:rPr>
        <w:rFonts w:ascii="Arial" w:eastAsia="Arial" w:hAnsi="Arial" w:cs="Arial"/>
        <w:b/>
        <w:color w:val="000000"/>
        <w:sz w:val="20"/>
        <w:szCs w:val="20"/>
      </w:rPr>
      <w:fldChar w:fldCharType="end"/>
    </w:r>
  </w:p>
  <w:p w:rsidR="009E585C" w:rsidRDefault="009E585C">
    <w:pPr>
      <w:pBdr>
        <w:top w:val="nil"/>
        <w:left w:val="nil"/>
        <w:bottom w:val="nil"/>
        <w:right w:val="nil"/>
        <w:between w:val="nil"/>
      </w:pBdr>
      <w:tabs>
        <w:tab w:val="center" w:pos="4419"/>
        <w:tab w:val="right" w:pos="8838"/>
      </w:tabs>
      <w:spacing w:after="0" w:line="240" w:lineRule="auto"/>
      <w:rPr>
        <w:color w:val="000000"/>
      </w:rPr>
    </w:pPr>
  </w:p>
  <w:p w:rsidR="009E585C" w:rsidRDefault="009E58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A6" w:rsidRDefault="005601A6">
      <w:pPr>
        <w:spacing w:after="0" w:line="240" w:lineRule="auto"/>
      </w:pPr>
      <w:r>
        <w:separator/>
      </w:r>
    </w:p>
  </w:footnote>
  <w:footnote w:type="continuationSeparator" w:id="0">
    <w:p w:rsidR="005601A6" w:rsidRDefault="005601A6">
      <w:pPr>
        <w:spacing w:after="0" w:line="240" w:lineRule="auto"/>
      </w:pPr>
      <w:r>
        <w:continuationSeparator/>
      </w:r>
    </w:p>
  </w:footnote>
  <w:footnote w:id="1">
    <w:p w:rsidR="009E585C" w:rsidRDefault="00A2327D">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9E585C" w:rsidRDefault="00A2327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9E585C" w:rsidRDefault="00A2327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85C" w:rsidRDefault="009E585C">
    <w:pPr>
      <w:widowControl w:val="0"/>
      <w:pBdr>
        <w:top w:val="nil"/>
        <w:left w:val="nil"/>
        <w:bottom w:val="nil"/>
        <w:right w:val="nil"/>
        <w:between w:val="nil"/>
      </w:pBdr>
      <w:spacing w:after="0" w:line="276" w:lineRule="auto"/>
      <w:rPr>
        <w:color w:val="000000"/>
      </w:rPr>
    </w:pPr>
  </w:p>
  <w:tbl>
    <w:tblPr>
      <w:tblStyle w:val="a8"/>
      <w:tblW w:w="10346" w:type="dxa"/>
      <w:tblInd w:w="-1281" w:type="dxa"/>
      <w:tblLayout w:type="fixed"/>
      <w:tblLook w:val="0400" w:firstRow="0" w:lastRow="0" w:firstColumn="0" w:lastColumn="0" w:noHBand="0" w:noVBand="1"/>
    </w:tblPr>
    <w:tblGrid>
      <w:gridCol w:w="5392"/>
      <w:gridCol w:w="4954"/>
    </w:tblGrid>
    <w:tr w:rsidR="009E585C">
      <w:trPr>
        <w:trHeight w:val="244"/>
      </w:trPr>
      <w:tc>
        <w:tcPr>
          <w:tcW w:w="5392" w:type="dxa"/>
        </w:tcPr>
        <w:p w:rsidR="009E585C" w:rsidRDefault="00A2327D">
          <w:pPr>
            <w:spacing w:after="120"/>
            <w:ind w:right="204"/>
            <w:jc w:val="right"/>
            <w:rPr>
              <w:rFonts w:ascii="Palatino Linotype" w:eastAsia="Palatino Linotype" w:hAnsi="Palatino Linotype" w:cs="Palatino Linotype"/>
              <w:b/>
              <w:sz w:val="24"/>
              <w:szCs w:val="24"/>
            </w:rPr>
          </w:pPr>
          <w:bookmarkStart w:id="12" w:name="_heading=h.3rdcrjn" w:colFirst="0" w:colLast="0"/>
          <w:bookmarkEnd w:id="12"/>
          <w:r>
            <w:rPr>
              <w:rFonts w:ascii="Palatino Linotype" w:eastAsia="Palatino Linotype" w:hAnsi="Palatino Linotype" w:cs="Palatino Linotype"/>
              <w:b/>
              <w:sz w:val="24"/>
              <w:szCs w:val="24"/>
            </w:rPr>
            <w:t>Recurso de Revisión N°:</w:t>
          </w:r>
        </w:p>
      </w:tc>
      <w:tc>
        <w:tcPr>
          <w:tcW w:w="4954" w:type="dxa"/>
        </w:tcPr>
        <w:p w:rsidR="009E585C" w:rsidRDefault="00A2327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04709/INFOEM/IP/RR/2022</w:t>
          </w:r>
        </w:p>
      </w:tc>
    </w:tr>
    <w:tr w:rsidR="009E585C">
      <w:trPr>
        <w:trHeight w:val="210"/>
      </w:trPr>
      <w:tc>
        <w:tcPr>
          <w:tcW w:w="5392" w:type="dxa"/>
        </w:tcPr>
        <w:p w:rsidR="009E585C" w:rsidRDefault="00A2327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54" w:type="dxa"/>
        </w:tcPr>
        <w:p w:rsidR="009E585C" w:rsidRDefault="009E585C">
          <w:pPr>
            <w:spacing w:after="120"/>
            <w:ind w:left="-486" w:right="214" w:firstLine="567"/>
            <w:jc w:val="right"/>
            <w:rPr>
              <w:rFonts w:ascii="Palatino Linotype" w:eastAsia="Palatino Linotype" w:hAnsi="Palatino Linotype" w:cs="Palatino Linotype"/>
              <w:sz w:val="24"/>
              <w:szCs w:val="24"/>
            </w:rPr>
          </w:pPr>
        </w:p>
      </w:tc>
    </w:tr>
    <w:tr w:rsidR="009E585C">
      <w:trPr>
        <w:trHeight w:val="261"/>
      </w:trPr>
      <w:tc>
        <w:tcPr>
          <w:tcW w:w="5392" w:type="dxa"/>
        </w:tcPr>
        <w:p w:rsidR="009E585C" w:rsidRDefault="00A2327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54" w:type="dxa"/>
        </w:tcPr>
        <w:p w:rsidR="009E585C" w:rsidRDefault="00A2327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9E585C">
      <w:trPr>
        <w:trHeight w:val="368"/>
      </w:trPr>
      <w:tc>
        <w:tcPr>
          <w:tcW w:w="5392" w:type="dxa"/>
        </w:tcPr>
        <w:p w:rsidR="009E585C" w:rsidRDefault="00A2327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54" w:type="dxa"/>
        </w:tcPr>
        <w:p w:rsidR="009E585C" w:rsidRDefault="00A2327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9E585C" w:rsidRDefault="00A2327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-772027</wp:posOffset>
          </wp:positionH>
          <wp:positionV relativeFrom="paragraph">
            <wp:posOffset>-1421764</wp:posOffset>
          </wp:positionV>
          <wp:extent cx="7047601" cy="9189085"/>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47601" cy="918908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85C" w:rsidRDefault="009E585C">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7"/>
      <w:tblW w:w="10539" w:type="dxa"/>
      <w:tblInd w:w="-1281" w:type="dxa"/>
      <w:tblLayout w:type="fixed"/>
      <w:tblLook w:val="0400" w:firstRow="0" w:lastRow="0" w:firstColumn="0" w:lastColumn="0" w:noHBand="0" w:noVBand="1"/>
    </w:tblPr>
    <w:tblGrid>
      <w:gridCol w:w="5493"/>
      <w:gridCol w:w="5046"/>
    </w:tblGrid>
    <w:tr w:rsidR="009E585C">
      <w:trPr>
        <w:trHeight w:val="235"/>
      </w:trPr>
      <w:tc>
        <w:tcPr>
          <w:tcW w:w="5493" w:type="dxa"/>
        </w:tcPr>
        <w:p w:rsidR="009E585C" w:rsidRDefault="00A2327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5046" w:type="dxa"/>
        </w:tcPr>
        <w:p w:rsidR="009E585C" w:rsidRDefault="00A2327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04709/INFOEM/IP/RR/2022</w:t>
          </w:r>
        </w:p>
      </w:tc>
    </w:tr>
    <w:tr w:rsidR="009E585C">
      <w:trPr>
        <w:trHeight w:val="202"/>
      </w:trPr>
      <w:tc>
        <w:tcPr>
          <w:tcW w:w="5493" w:type="dxa"/>
        </w:tcPr>
        <w:p w:rsidR="009E585C" w:rsidRDefault="00A2327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5046" w:type="dxa"/>
        </w:tcPr>
        <w:p w:rsidR="009E585C" w:rsidRDefault="00FE6A40" w:rsidP="00FE6A40">
          <w:pPr>
            <w:spacing w:after="120"/>
            <w:ind w:left="-486" w:right="214" w:firstLine="567"/>
            <w:jc w:val="right"/>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Xxxxxx</w:t>
          </w:r>
          <w:proofErr w:type="spellEnd"/>
          <w:r w:rsidR="00A2327D">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Xxxxx</w:t>
          </w:r>
          <w:proofErr w:type="spellEnd"/>
          <w:r w:rsidR="00A2327D">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Xxxxx</w:t>
          </w:r>
          <w:proofErr w:type="spellEnd"/>
          <w:r w:rsidR="00A2327D">
            <w:rPr>
              <w:rFonts w:ascii="Palatino Linotype" w:eastAsia="Palatino Linotype" w:hAnsi="Palatino Linotype" w:cs="Palatino Linotype"/>
              <w:sz w:val="24"/>
              <w:szCs w:val="24"/>
            </w:rPr>
            <w:t>.</w:t>
          </w:r>
        </w:p>
      </w:tc>
    </w:tr>
    <w:tr w:rsidR="009E585C">
      <w:trPr>
        <w:trHeight w:val="252"/>
      </w:trPr>
      <w:tc>
        <w:tcPr>
          <w:tcW w:w="5493" w:type="dxa"/>
        </w:tcPr>
        <w:p w:rsidR="009E585C" w:rsidRDefault="00A2327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5046" w:type="dxa"/>
        </w:tcPr>
        <w:p w:rsidR="009E585C" w:rsidRDefault="00A2327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9E585C">
      <w:trPr>
        <w:trHeight w:val="356"/>
      </w:trPr>
      <w:tc>
        <w:tcPr>
          <w:tcW w:w="5493" w:type="dxa"/>
        </w:tcPr>
        <w:p w:rsidR="009E585C" w:rsidRDefault="00A2327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5046" w:type="dxa"/>
        </w:tcPr>
        <w:p w:rsidR="009E585C" w:rsidRDefault="00A2327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9E585C" w:rsidRDefault="00A2327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-756284</wp:posOffset>
          </wp:positionH>
          <wp:positionV relativeFrom="paragraph">
            <wp:posOffset>-1403984</wp:posOffset>
          </wp:positionV>
          <wp:extent cx="7047601" cy="9189085"/>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47601" cy="91890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2033"/>
    <w:multiLevelType w:val="multilevel"/>
    <w:tmpl w:val="1944C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C02017"/>
    <w:multiLevelType w:val="multilevel"/>
    <w:tmpl w:val="B1CA491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1A72E0"/>
    <w:multiLevelType w:val="multilevel"/>
    <w:tmpl w:val="78B8880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D62EC4"/>
    <w:multiLevelType w:val="multilevel"/>
    <w:tmpl w:val="89C84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D0047D"/>
    <w:multiLevelType w:val="multilevel"/>
    <w:tmpl w:val="9A0C3C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860141"/>
    <w:multiLevelType w:val="multilevel"/>
    <w:tmpl w:val="8832475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3927970"/>
    <w:multiLevelType w:val="multilevel"/>
    <w:tmpl w:val="0896A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5C"/>
    <w:rsid w:val="00342363"/>
    <w:rsid w:val="005601A6"/>
    <w:rsid w:val="007565F4"/>
    <w:rsid w:val="0076503D"/>
    <w:rsid w:val="009E585C"/>
    <w:rsid w:val="00A2327D"/>
    <w:rsid w:val="00BA0A95"/>
    <w:rsid w:val="00C37AC7"/>
    <w:rsid w:val="00FE6A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3A5DA-F6B3-4F23-B3B8-18F4929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5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15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055"/>
  </w:style>
  <w:style w:type="paragraph" w:styleId="Piedepgina">
    <w:name w:val="footer"/>
    <w:basedOn w:val="Normal"/>
    <w:link w:val="PiedepginaCar"/>
    <w:uiPriority w:val="99"/>
    <w:unhideWhenUsed/>
    <w:rsid w:val="00015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055"/>
  </w:style>
  <w:style w:type="character" w:styleId="Hipervnculo">
    <w:name w:val="Hyperlink"/>
    <w:basedOn w:val="Fuentedeprrafopredeter"/>
    <w:uiPriority w:val="99"/>
    <w:semiHidden/>
    <w:unhideWhenUsed/>
    <w:rsid w:val="00856BBF"/>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1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4904"/>
    <w:rPr>
      <w:rFonts w:ascii="Calibri" w:eastAsia="Calibri" w:hAnsi="Calibri" w:cs="Calibri"/>
      <w:lang w:eastAsia="es-MX"/>
    </w:rPr>
  </w:style>
  <w:style w:type="paragraph" w:styleId="NormalWeb">
    <w:name w:val="Normal (Web)"/>
    <w:basedOn w:val="Normal"/>
    <w:uiPriority w:val="99"/>
    <w:unhideWhenUsed/>
    <w:rsid w:val="009F10E9"/>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376929.page" TargetMode="External"/><Relationship Id="rId18" Type="http://schemas.openxmlformats.org/officeDocument/2006/relationships/image" Target="media/image2.jpg"/><Relationship Id="rId26" Type="http://schemas.openxmlformats.org/officeDocument/2006/relationships/hyperlink" Target="https://www.gob.mx/segob/renapo/acciones-y-programas/clave-unica-de-registro-de-poblacion-curp-142226"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376928.page" TargetMode="External"/><Relationship Id="rId17" Type="http://schemas.openxmlformats.org/officeDocument/2006/relationships/image" Target="media/image1.jpg"/><Relationship Id="rId25" Type="http://schemas.openxmlformats.org/officeDocument/2006/relationships/hyperlink" Target="https://consultas.curp.gob.mx/CurpSP/html/informacionecurpP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377109.page" TargetMode="External"/><Relationship Id="rId20" Type="http://schemas.openxmlformats.org/officeDocument/2006/relationships/image" Target="media/image4.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5803.page" TargetMode="External"/><Relationship Id="rId24" Type="http://schemas.openxmlformats.org/officeDocument/2006/relationships/hyperlink" Target="https://www.sat.gob.mx/aplicacion/28889/obten-tu-cedula-de-identificacion-fisc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377108.page" TargetMode="External"/><Relationship Id="rId23" Type="http://schemas.openxmlformats.org/officeDocument/2006/relationships/image" Target="media/image7.png"/><Relationship Id="rId28" Type="http://schemas.openxmlformats.org/officeDocument/2006/relationships/image" Target="media/image8.jpg"/><Relationship Id="rId10" Type="http://schemas.openxmlformats.org/officeDocument/2006/relationships/hyperlink" Target="https://saimex.org.mx/saimex/solicitud/downloadAttach/1375802.page" TargetMode="External"/><Relationship Id="rId19" Type="http://schemas.openxmlformats.org/officeDocument/2006/relationships/image" Target="media/image3.jp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375801.page" TargetMode="External"/><Relationship Id="rId14" Type="http://schemas.openxmlformats.org/officeDocument/2006/relationships/hyperlink" Target="https://saimex.org.mx/saimex/solicitud/downloadAttach/1376930.page" TargetMode="External"/><Relationship Id="rId22" Type="http://schemas.openxmlformats.org/officeDocument/2006/relationships/image" Target="media/image6.jpg"/><Relationship Id="rId27" Type="http://schemas.openxmlformats.org/officeDocument/2006/relationships/hyperlink" Target="https://www.ipomex.org.mx/recursos/ipo/files_ipo/2014/8/11/630bc7787b59af912a96a9e1bca1c770.pdf" TargetMode="External"/><Relationship Id="rId30" Type="http://schemas.openxmlformats.org/officeDocument/2006/relationships/footer" Target="footer1.xml"/><Relationship Id="rId8" Type="http://schemas.openxmlformats.org/officeDocument/2006/relationships/hyperlink" Target="https://saimex.org.mx/saimex/solicitud/downloadAttach/13758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RbYwMrpB2tHLiAQg1xl/DTaeWQ==">AMUW2mUm9OUUesnKWsX5bRPWHyOo3lE89IYugyPFJLThoIDPicXgVCSVE8XiW+cxEw5LxT23h9p3I/7kQQ2eoNnc0vwbk9mrnnSxQp7O0zjEdMo+zyhyIc2MI+e2GTQvQW3zJROq3zos8uNlhOJrVHuZbLkME/FCQwSP0Mf+TxnAGVZR8H8khNusq7dVfHisn82cUxeApKUrXCgtcjAT3WXKNnb4rImhn6B+G6aRlbOG5bC7dCuQVw+cA6rlv7kcg9Ou/ZKPjmkSTl5nxGbpB3mra46ifB9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15535</Words>
  <Characters>85446</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4</cp:revision>
  <dcterms:created xsi:type="dcterms:W3CDTF">2022-08-08T23:44:00Z</dcterms:created>
  <dcterms:modified xsi:type="dcterms:W3CDTF">2022-09-06T14:42:00Z</dcterms:modified>
</cp:coreProperties>
</file>