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38F16"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siete de diciembre de dos mil veintidós. </w:t>
      </w:r>
    </w:p>
    <w:p w14:paraId="26252439" w14:textId="77777777" w:rsidR="00815F8D" w:rsidRPr="00A10456" w:rsidRDefault="00815F8D">
      <w:pPr>
        <w:spacing w:line="360" w:lineRule="auto"/>
        <w:jc w:val="both"/>
        <w:rPr>
          <w:rFonts w:ascii="Palatino Linotype" w:eastAsia="Palatino Linotype" w:hAnsi="Palatino Linotype" w:cs="Palatino Linotype"/>
        </w:rPr>
      </w:pPr>
    </w:p>
    <w:p w14:paraId="79EB6164"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b/>
          <w:sz w:val="28"/>
          <w:szCs w:val="28"/>
        </w:rPr>
        <w:t>VISTO</w:t>
      </w:r>
      <w:r w:rsidRPr="00A10456">
        <w:rPr>
          <w:rFonts w:ascii="Palatino Linotype" w:eastAsia="Palatino Linotype" w:hAnsi="Palatino Linotype" w:cs="Palatino Linotype"/>
        </w:rPr>
        <w:t xml:space="preserve"> el expediente formado con motivo del Recurso de Revisión </w:t>
      </w:r>
      <w:r w:rsidRPr="00A10456">
        <w:rPr>
          <w:rFonts w:ascii="Palatino Linotype" w:eastAsia="Palatino Linotype" w:hAnsi="Palatino Linotype" w:cs="Palatino Linotype"/>
          <w:b/>
        </w:rPr>
        <w:t xml:space="preserve">11937/INFOEM/IP/RR/2022, </w:t>
      </w:r>
      <w:r w:rsidRPr="00A10456">
        <w:rPr>
          <w:rFonts w:ascii="Palatino Linotype" w:eastAsia="Palatino Linotype" w:hAnsi="Palatino Linotype" w:cs="Palatino Linotype"/>
        </w:rPr>
        <w:t>promovido por un particular de forma anónima</w:t>
      </w:r>
      <w:r w:rsidRPr="00A10456">
        <w:rPr>
          <w:rFonts w:ascii="Palatino Linotype" w:eastAsia="Palatino Linotype" w:hAnsi="Palatino Linotype" w:cs="Palatino Linotype"/>
          <w:b/>
        </w:rPr>
        <w:t>,</w:t>
      </w:r>
      <w:r w:rsidRPr="00A10456">
        <w:rPr>
          <w:rFonts w:ascii="Palatino Linotype" w:eastAsia="Palatino Linotype" w:hAnsi="Palatino Linotype" w:cs="Palatino Linotype"/>
        </w:rPr>
        <w:t xml:space="preserve"> a quien en lo sucesivo se le </w:t>
      </w:r>
      <w:proofErr w:type="gramStart"/>
      <w:r w:rsidRPr="00A10456">
        <w:rPr>
          <w:rFonts w:ascii="Palatino Linotype" w:eastAsia="Palatino Linotype" w:hAnsi="Palatino Linotype" w:cs="Palatino Linotype"/>
        </w:rPr>
        <w:t>denominara como</w:t>
      </w:r>
      <w:proofErr w:type="gramEnd"/>
      <w:r w:rsidRPr="00A10456">
        <w:rPr>
          <w:rFonts w:ascii="Palatino Linotype" w:eastAsia="Palatino Linotype" w:hAnsi="Palatino Linotype" w:cs="Palatino Linotype"/>
        </w:rPr>
        <w:t xml:space="preserve">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en contra de la respuesta del </w:t>
      </w:r>
      <w:r w:rsidRPr="00A10456">
        <w:rPr>
          <w:rFonts w:ascii="Palatino Linotype" w:eastAsia="Palatino Linotype" w:hAnsi="Palatino Linotype" w:cs="Palatino Linotype"/>
          <w:b/>
        </w:rPr>
        <w:t xml:space="preserve">Ayuntamiento de Lerma, </w:t>
      </w:r>
      <w:r w:rsidRPr="00A10456">
        <w:rPr>
          <w:rFonts w:ascii="Palatino Linotype" w:eastAsia="Palatino Linotype" w:hAnsi="Palatino Linotype" w:cs="Palatino Linotype"/>
        </w:rPr>
        <w:t xml:space="preserve">en lo subsecuente se le denominará </w:t>
      </w:r>
      <w:r w:rsidRPr="00A10456">
        <w:rPr>
          <w:rFonts w:ascii="Palatino Linotype" w:eastAsia="Palatino Linotype" w:hAnsi="Palatino Linotype" w:cs="Palatino Linotype"/>
          <w:b/>
        </w:rPr>
        <w:t xml:space="preserve">EL SUJETO OBLIGADO, </w:t>
      </w:r>
      <w:r w:rsidRPr="00A10456">
        <w:rPr>
          <w:rFonts w:ascii="Palatino Linotype" w:eastAsia="Palatino Linotype" w:hAnsi="Palatino Linotype" w:cs="Palatino Linotype"/>
        </w:rPr>
        <w:t>se procede a dictar la presente resolución con base en lo siguiente:</w:t>
      </w:r>
    </w:p>
    <w:p w14:paraId="56042C7E" w14:textId="77777777" w:rsidR="00815F8D" w:rsidRPr="00A10456" w:rsidRDefault="00815F8D">
      <w:pPr>
        <w:spacing w:line="360" w:lineRule="auto"/>
        <w:jc w:val="both"/>
        <w:rPr>
          <w:rFonts w:ascii="Palatino Linotype" w:eastAsia="Palatino Linotype" w:hAnsi="Palatino Linotype" w:cs="Palatino Linotype"/>
          <w:b/>
        </w:rPr>
      </w:pPr>
    </w:p>
    <w:p w14:paraId="792BBEA7" w14:textId="77777777" w:rsidR="00815F8D" w:rsidRPr="00A10456" w:rsidRDefault="00F25C9B">
      <w:pPr>
        <w:jc w:val="center"/>
        <w:rPr>
          <w:rFonts w:ascii="Palatino Linotype" w:eastAsia="Palatino Linotype" w:hAnsi="Palatino Linotype" w:cs="Palatino Linotype"/>
          <w:b/>
          <w:sz w:val="28"/>
          <w:szCs w:val="28"/>
        </w:rPr>
      </w:pPr>
      <w:r w:rsidRPr="00A10456">
        <w:rPr>
          <w:rFonts w:ascii="Palatino Linotype" w:eastAsia="Palatino Linotype" w:hAnsi="Palatino Linotype" w:cs="Palatino Linotype"/>
          <w:b/>
          <w:sz w:val="28"/>
          <w:szCs w:val="28"/>
        </w:rPr>
        <w:t>ANTECEDENTES</w:t>
      </w:r>
    </w:p>
    <w:p w14:paraId="1E3E078E" w14:textId="77777777" w:rsidR="00815F8D" w:rsidRPr="00A10456" w:rsidRDefault="00815F8D">
      <w:pPr>
        <w:rPr>
          <w:rFonts w:ascii="Palatino Linotype" w:eastAsia="Palatino Linotype" w:hAnsi="Palatino Linotype" w:cs="Palatino Linotype"/>
          <w:b/>
        </w:rPr>
      </w:pPr>
    </w:p>
    <w:p w14:paraId="4CB481DE" w14:textId="77777777" w:rsidR="00815F8D" w:rsidRPr="00A10456" w:rsidRDefault="00F25C9B">
      <w:pPr>
        <w:spacing w:line="360" w:lineRule="auto"/>
        <w:jc w:val="both"/>
        <w:rPr>
          <w:rFonts w:ascii="Palatino Linotype" w:eastAsia="Palatino Linotype" w:hAnsi="Palatino Linotype" w:cs="Palatino Linotype"/>
          <w:b/>
          <w:sz w:val="28"/>
          <w:szCs w:val="28"/>
        </w:rPr>
      </w:pPr>
      <w:r w:rsidRPr="00A10456">
        <w:rPr>
          <w:rFonts w:ascii="Palatino Linotype" w:eastAsia="Palatino Linotype" w:hAnsi="Palatino Linotype" w:cs="Palatino Linotype"/>
          <w:b/>
          <w:sz w:val="28"/>
          <w:szCs w:val="28"/>
        </w:rPr>
        <w:t>I.</w:t>
      </w:r>
      <w:r w:rsidRPr="00A10456">
        <w:rPr>
          <w:rFonts w:ascii="Palatino Linotype" w:eastAsia="Palatino Linotype" w:hAnsi="Palatino Linotype" w:cs="Palatino Linotype"/>
          <w:b/>
        </w:rPr>
        <w:t xml:space="preserve"> </w:t>
      </w:r>
      <w:r w:rsidRPr="00A10456">
        <w:rPr>
          <w:rFonts w:ascii="Palatino Linotype" w:eastAsia="Palatino Linotype" w:hAnsi="Palatino Linotype" w:cs="Palatino Linotype"/>
          <w:b/>
          <w:sz w:val="28"/>
          <w:szCs w:val="28"/>
        </w:rPr>
        <w:t>De la Solicitud de Información</w:t>
      </w:r>
    </w:p>
    <w:p w14:paraId="43E6ECBA" w14:textId="77777777" w:rsidR="00815F8D" w:rsidRPr="00A10456" w:rsidRDefault="00F25C9B">
      <w:pPr>
        <w:spacing w:line="360" w:lineRule="auto"/>
        <w:jc w:val="both"/>
        <w:rPr>
          <w:rFonts w:ascii="Palatino Linotype" w:eastAsia="Palatino Linotype" w:hAnsi="Palatino Linotype" w:cs="Palatino Linotype"/>
          <w:i/>
          <w:sz w:val="20"/>
          <w:szCs w:val="20"/>
        </w:rPr>
      </w:pPr>
      <w:bookmarkStart w:id="0" w:name="_heading=h.ifuj3wtxm21l" w:colFirst="0" w:colLast="0"/>
      <w:bookmarkEnd w:id="0"/>
      <w:r w:rsidRPr="00A10456">
        <w:rPr>
          <w:rFonts w:ascii="Palatino Linotype" w:eastAsia="Palatino Linotype" w:hAnsi="Palatino Linotype" w:cs="Palatino Linotype"/>
        </w:rPr>
        <w:t xml:space="preserve"> En fecha veinticinco de mayo de dos mil veintidós,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presentó a través del Sistema de Acceso a la Información Mexiquense, en lo subsecuente </w:t>
      </w:r>
      <w:r w:rsidRPr="00A10456">
        <w:rPr>
          <w:rFonts w:ascii="Palatino Linotype" w:eastAsia="Palatino Linotype" w:hAnsi="Palatino Linotype" w:cs="Palatino Linotype"/>
          <w:b/>
        </w:rPr>
        <w:t>EL SAIMEX</w:t>
      </w:r>
      <w:r w:rsidRPr="00A10456">
        <w:rPr>
          <w:rFonts w:ascii="Palatino Linotype" w:eastAsia="Palatino Linotype" w:hAnsi="Palatino Linotype" w:cs="Palatino Linotype"/>
        </w:rPr>
        <w:t xml:space="preserve"> ante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la solicitud de acceso a la información pública, a la que se le asignó el número de expediente </w:t>
      </w:r>
      <w:r w:rsidRPr="00A10456">
        <w:rPr>
          <w:rFonts w:ascii="Palatino Linotype" w:eastAsia="Palatino Linotype" w:hAnsi="Palatino Linotype" w:cs="Palatino Linotype"/>
          <w:b/>
        </w:rPr>
        <w:t xml:space="preserve">00111/LERMA/IP/2022, </w:t>
      </w:r>
      <w:r w:rsidRPr="00A10456">
        <w:rPr>
          <w:rFonts w:ascii="Palatino Linotype" w:eastAsia="Palatino Linotype" w:hAnsi="Palatino Linotype" w:cs="Palatino Linotype"/>
        </w:rPr>
        <w:t>requirió, lo siguiente:</w:t>
      </w:r>
    </w:p>
    <w:p w14:paraId="0D147590" w14:textId="77777777" w:rsidR="00815F8D" w:rsidRPr="00A10456" w:rsidRDefault="00F25C9B">
      <w:pPr>
        <w:ind w:left="850" w:right="899"/>
        <w:jc w:val="both"/>
        <w:rPr>
          <w:rFonts w:ascii="Palatino Linotype" w:eastAsia="Palatino Linotype" w:hAnsi="Palatino Linotype" w:cs="Palatino Linotype"/>
          <w:sz w:val="22"/>
          <w:szCs w:val="22"/>
        </w:rPr>
      </w:pPr>
      <w:r w:rsidRPr="00A10456">
        <w:rPr>
          <w:rFonts w:ascii="Palatino Linotype" w:eastAsia="Palatino Linotype" w:hAnsi="Palatino Linotype" w:cs="Palatino Linotype"/>
          <w:i/>
          <w:sz w:val="22"/>
          <w:szCs w:val="22"/>
        </w:rPr>
        <w:t xml:space="preserve">“Requiero el número de policías de seguridad y de tránsito en activo con que cuenta el municipio de Lerma, cuantas patrullas hay en el parque vehicular, clasificadas en las que circulan y las que no y el motivo de su no circulación esto al día de la fecha. Solicito el nombre y cargo de los servidores públicos que integran la Comisión de Honor y Justicia, el número de elementos que tienen iniciado procedimiento administrativo disciplinario ante dicha Comisión y el motivo del inicio de esos </w:t>
      </w:r>
      <w:r w:rsidRPr="00A10456">
        <w:rPr>
          <w:rFonts w:ascii="Palatino Linotype" w:eastAsia="Palatino Linotype" w:hAnsi="Palatino Linotype" w:cs="Palatino Linotype"/>
          <w:i/>
          <w:sz w:val="22"/>
          <w:szCs w:val="22"/>
        </w:rPr>
        <w:lastRenderedPageBreak/>
        <w:t xml:space="preserve">procedimientos. Solicito se me proporcione la versión pública de los expedientes iniciados con motivo de la no aprobación del control de confianza del personal operativo en el año 2021 y 2022. Solicito las actas de la Comisión de Honor y Justicia celebradas en el año 2021 y 2022. Solicito se me indique el monto del presupuesto que se destinará a seguridad pública en el 2022. Solicito el programa municipal de seguridad pública y el programa municipal de prevención de la violencia y la delincuencia ambos de 2022. Requiero se me indique el salario de los policías </w:t>
      </w:r>
      <w:proofErr w:type="gramStart"/>
      <w:r w:rsidRPr="00A10456">
        <w:rPr>
          <w:rFonts w:ascii="Palatino Linotype" w:eastAsia="Palatino Linotype" w:hAnsi="Palatino Linotype" w:cs="Palatino Linotype"/>
          <w:i/>
          <w:sz w:val="22"/>
          <w:szCs w:val="22"/>
        </w:rPr>
        <w:t>de acuerdo a</w:t>
      </w:r>
      <w:proofErr w:type="gramEnd"/>
      <w:r w:rsidRPr="00A10456">
        <w:rPr>
          <w:rFonts w:ascii="Palatino Linotype" w:eastAsia="Palatino Linotype" w:hAnsi="Palatino Linotype" w:cs="Palatino Linotype"/>
          <w:i/>
          <w:sz w:val="22"/>
          <w:szCs w:val="22"/>
        </w:rPr>
        <w:t xml:space="preserve"> su categoría...” (Sic)</w:t>
      </w:r>
    </w:p>
    <w:p w14:paraId="64EECE8E" w14:textId="77777777" w:rsidR="00815F8D" w:rsidRPr="00A10456" w:rsidRDefault="00815F8D">
      <w:pPr>
        <w:tabs>
          <w:tab w:val="left" w:pos="851"/>
        </w:tabs>
        <w:ind w:right="901"/>
        <w:jc w:val="both"/>
        <w:rPr>
          <w:rFonts w:ascii="Palatino Linotype" w:eastAsia="Palatino Linotype" w:hAnsi="Palatino Linotype" w:cs="Palatino Linotype"/>
          <w:sz w:val="22"/>
          <w:szCs w:val="22"/>
        </w:rPr>
      </w:pPr>
    </w:p>
    <w:p w14:paraId="38771519" w14:textId="77777777" w:rsidR="00815F8D" w:rsidRPr="00A10456" w:rsidRDefault="00F25C9B">
      <w:pPr>
        <w:widowControl w:val="0"/>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rPr>
        <w:t xml:space="preserve">MODALIDAD DE ENTREGA: </w:t>
      </w:r>
      <w:r w:rsidRPr="00A10456">
        <w:rPr>
          <w:rFonts w:ascii="Palatino Linotype" w:eastAsia="Palatino Linotype" w:hAnsi="Palatino Linotype" w:cs="Palatino Linotype"/>
        </w:rPr>
        <w:t xml:space="preserve">Vía </w:t>
      </w:r>
      <w:r w:rsidRPr="00A10456">
        <w:rPr>
          <w:rFonts w:ascii="Palatino Linotype" w:eastAsia="Palatino Linotype" w:hAnsi="Palatino Linotype" w:cs="Palatino Linotype"/>
          <w:b/>
        </w:rPr>
        <w:t>SAIMEX.</w:t>
      </w:r>
    </w:p>
    <w:p w14:paraId="4B712F0E" w14:textId="77777777" w:rsidR="00815F8D" w:rsidRPr="00A10456" w:rsidRDefault="00815F8D">
      <w:pPr>
        <w:pBdr>
          <w:top w:val="nil"/>
          <w:left w:val="nil"/>
          <w:bottom w:val="nil"/>
          <w:right w:val="nil"/>
          <w:between w:val="nil"/>
        </w:pBdr>
        <w:spacing w:line="360" w:lineRule="auto"/>
        <w:ind w:left="850"/>
        <w:jc w:val="both"/>
        <w:rPr>
          <w:rFonts w:ascii="Palatino Linotype" w:eastAsia="Palatino Linotype" w:hAnsi="Palatino Linotype" w:cs="Palatino Linotype"/>
        </w:rPr>
      </w:pPr>
    </w:p>
    <w:p w14:paraId="50271728" w14:textId="77777777" w:rsidR="00815F8D" w:rsidRPr="00A10456" w:rsidRDefault="00F25C9B">
      <w:pPr>
        <w:spacing w:line="360" w:lineRule="auto"/>
        <w:jc w:val="both"/>
        <w:rPr>
          <w:rFonts w:ascii="Palatino Linotype" w:eastAsia="Palatino Linotype" w:hAnsi="Palatino Linotype" w:cs="Palatino Linotype"/>
          <w:b/>
          <w:sz w:val="28"/>
          <w:szCs w:val="28"/>
        </w:rPr>
      </w:pPr>
      <w:r w:rsidRPr="00A10456">
        <w:rPr>
          <w:rFonts w:ascii="Palatino Linotype" w:eastAsia="Palatino Linotype" w:hAnsi="Palatino Linotype" w:cs="Palatino Linotype"/>
          <w:b/>
          <w:sz w:val="28"/>
          <w:szCs w:val="28"/>
        </w:rPr>
        <w:t>II. Turno de requerimiento del Sujeto Obligado</w:t>
      </w:r>
    </w:p>
    <w:p w14:paraId="06B04907"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De las constancias que obran en los expedientes electrónicos del SAIMEX no se advierte turno de requerimiento alguno hecho al servidor público habilitado competente, en términos de lo establecido por el artículo 162 de la Ley de Transparencia y Acceso a la Información Pública del Estado de México y Municipios.</w:t>
      </w:r>
    </w:p>
    <w:p w14:paraId="33EE4FCF" w14:textId="77777777" w:rsidR="00815F8D" w:rsidRPr="00A10456" w:rsidRDefault="00F25C9B">
      <w:pPr>
        <w:spacing w:line="360" w:lineRule="auto"/>
        <w:jc w:val="both"/>
        <w:rPr>
          <w:rFonts w:ascii="Palatino Linotype" w:eastAsia="Palatino Linotype" w:hAnsi="Palatino Linotype" w:cs="Palatino Linotype"/>
          <w:b/>
          <w:sz w:val="28"/>
          <w:szCs w:val="28"/>
        </w:rPr>
      </w:pPr>
      <w:r w:rsidRPr="00A10456">
        <w:rPr>
          <w:rFonts w:ascii="Palatino Linotype" w:eastAsia="Palatino Linotype" w:hAnsi="Palatino Linotype" w:cs="Palatino Linotype"/>
          <w:b/>
          <w:sz w:val="28"/>
          <w:szCs w:val="28"/>
        </w:rPr>
        <w:t xml:space="preserve"> </w:t>
      </w:r>
    </w:p>
    <w:p w14:paraId="58788FDD" w14:textId="77777777" w:rsidR="00815F8D" w:rsidRPr="00A10456" w:rsidRDefault="00F25C9B">
      <w:pPr>
        <w:spacing w:line="360" w:lineRule="auto"/>
        <w:jc w:val="both"/>
        <w:rPr>
          <w:rFonts w:ascii="Palatino Linotype" w:eastAsia="Palatino Linotype" w:hAnsi="Palatino Linotype" w:cs="Palatino Linotype"/>
          <w:b/>
          <w:sz w:val="28"/>
          <w:szCs w:val="28"/>
        </w:rPr>
      </w:pPr>
      <w:r w:rsidRPr="00A10456">
        <w:rPr>
          <w:rFonts w:ascii="Palatino Linotype" w:eastAsia="Palatino Linotype" w:hAnsi="Palatino Linotype" w:cs="Palatino Linotype"/>
          <w:b/>
          <w:sz w:val="28"/>
          <w:szCs w:val="28"/>
        </w:rPr>
        <w:t>III. Respuesta del Sujeto Obligado</w:t>
      </w:r>
    </w:p>
    <w:p w14:paraId="2433FF0F"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De las constancias que obran en el expediente electrónico del SAIMEX se advierte que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rindió su respuesta en fecha quince de junio de dos mil veintidós, mediante el documento denominado</w:t>
      </w:r>
      <w:r w:rsidRPr="00A10456">
        <w:rPr>
          <w:rFonts w:ascii="Palatino Linotype" w:eastAsia="Palatino Linotype" w:hAnsi="Palatino Linotype" w:cs="Palatino Linotype"/>
          <w:i/>
        </w:rPr>
        <w:t xml:space="preserve"> CCF_000291.pdf </w:t>
      </w:r>
      <w:r w:rsidRPr="00A10456">
        <w:rPr>
          <w:rFonts w:ascii="Palatino Linotype" w:eastAsia="Palatino Linotype" w:hAnsi="Palatino Linotype" w:cs="Palatino Linotype"/>
        </w:rPr>
        <w:t xml:space="preserve">del cual se advierte el oficio número DSPTVL/DG/0197/2022 firmado por el Director </w:t>
      </w:r>
      <w:proofErr w:type="gramStart"/>
      <w:r w:rsidRPr="00A10456">
        <w:rPr>
          <w:rFonts w:ascii="Palatino Linotype" w:eastAsia="Palatino Linotype" w:hAnsi="Palatino Linotype" w:cs="Palatino Linotype"/>
        </w:rPr>
        <w:t>de  Seguridad</w:t>
      </w:r>
      <w:proofErr w:type="gramEnd"/>
      <w:r w:rsidRPr="00A10456">
        <w:rPr>
          <w:rFonts w:ascii="Palatino Linotype" w:eastAsia="Palatino Linotype" w:hAnsi="Palatino Linotype" w:cs="Palatino Linotype"/>
        </w:rPr>
        <w:t xml:space="preserve"> Pública y Tránsito quien señala que la información solicitada es de carácter reservada. </w:t>
      </w:r>
    </w:p>
    <w:p w14:paraId="79CC99E5" w14:textId="77777777" w:rsidR="00815F8D" w:rsidRPr="00A10456" w:rsidRDefault="00815F8D">
      <w:pPr>
        <w:spacing w:line="360" w:lineRule="auto"/>
        <w:jc w:val="both"/>
        <w:rPr>
          <w:rFonts w:ascii="Palatino Linotype" w:eastAsia="Palatino Linotype" w:hAnsi="Palatino Linotype" w:cs="Palatino Linotype"/>
        </w:rPr>
      </w:pPr>
    </w:p>
    <w:p w14:paraId="3938CFEA"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Así también se advierte el oficio número DPM/087/2022 firmado por el Director de Patrimonio Municipal quien de igual manera refiere que la información solicitada está clasificada como reservada.  </w:t>
      </w:r>
    </w:p>
    <w:p w14:paraId="538D293C" w14:textId="77777777" w:rsidR="00815F8D" w:rsidRPr="00A10456" w:rsidRDefault="00815F8D">
      <w:pPr>
        <w:spacing w:line="360" w:lineRule="auto"/>
        <w:jc w:val="both"/>
        <w:rPr>
          <w:rFonts w:ascii="Palatino Linotype" w:eastAsia="Palatino Linotype" w:hAnsi="Palatino Linotype" w:cs="Palatino Linotype"/>
        </w:rPr>
      </w:pPr>
    </w:p>
    <w:p w14:paraId="6973CBD8" w14:textId="77777777" w:rsidR="00815F8D" w:rsidRPr="00A10456" w:rsidRDefault="00F25C9B">
      <w:pPr>
        <w:widowControl w:val="0"/>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sz w:val="28"/>
          <w:szCs w:val="28"/>
        </w:rPr>
        <w:t>IV.  Del Recurso de Revisión</w:t>
      </w:r>
      <w:r w:rsidRPr="00A10456">
        <w:rPr>
          <w:rFonts w:ascii="Palatino Linotype" w:eastAsia="Palatino Linotype" w:hAnsi="Palatino Linotype" w:cs="Palatino Linotype"/>
          <w:b/>
        </w:rPr>
        <w:t>.</w:t>
      </w:r>
    </w:p>
    <w:p w14:paraId="1A6010A3" w14:textId="77777777" w:rsidR="00815F8D" w:rsidRPr="00A10456" w:rsidRDefault="00F25C9B">
      <w:pPr>
        <w:widowControl w:val="0"/>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Inconforme con la respuesta del</w:t>
      </w:r>
      <w:r w:rsidRPr="00A10456">
        <w:rPr>
          <w:rFonts w:ascii="Palatino Linotype" w:eastAsia="Palatino Linotype" w:hAnsi="Palatino Linotype" w:cs="Palatino Linotype"/>
          <w:b/>
        </w:rPr>
        <w:t xml:space="preserve"> SUJETO OBLIGADO</w:t>
      </w:r>
      <w:r w:rsidRPr="00A10456">
        <w:rPr>
          <w:rFonts w:ascii="Palatino Linotype" w:eastAsia="Palatino Linotype" w:hAnsi="Palatino Linotype" w:cs="Palatino Linotype"/>
        </w:rPr>
        <w:t xml:space="preserve">, el veintiuno de junio de dos mil veintidós,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interpuso el Recurso de Revisión. El cual fue registrado en </w:t>
      </w:r>
      <w:r w:rsidRPr="00A10456">
        <w:rPr>
          <w:rFonts w:ascii="Palatino Linotype" w:eastAsia="Palatino Linotype" w:hAnsi="Palatino Linotype" w:cs="Palatino Linotype"/>
          <w:b/>
        </w:rPr>
        <w:t>EL SAIMEX</w:t>
      </w:r>
      <w:r w:rsidRPr="00A10456">
        <w:rPr>
          <w:rFonts w:ascii="Palatino Linotype" w:eastAsia="Palatino Linotype" w:hAnsi="Palatino Linotype" w:cs="Palatino Linotype"/>
        </w:rPr>
        <w:t xml:space="preserve"> y se le asignó el número de expediente </w:t>
      </w:r>
      <w:r w:rsidRPr="00A10456">
        <w:rPr>
          <w:rFonts w:ascii="Palatino Linotype" w:eastAsia="Palatino Linotype" w:hAnsi="Palatino Linotype" w:cs="Palatino Linotype"/>
          <w:b/>
        </w:rPr>
        <w:t xml:space="preserve">11937/INFOEM/IP/RR/2022, </w:t>
      </w:r>
      <w:r w:rsidRPr="00A10456">
        <w:rPr>
          <w:rFonts w:ascii="Palatino Linotype" w:eastAsia="Palatino Linotype" w:hAnsi="Palatino Linotype" w:cs="Palatino Linotype"/>
        </w:rPr>
        <w:t xml:space="preserve">donde los motivos de agravio del </w:t>
      </w:r>
      <w:r w:rsidRPr="00A10456">
        <w:rPr>
          <w:rFonts w:ascii="Palatino Linotype" w:eastAsia="Palatino Linotype" w:hAnsi="Palatino Linotype" w:cs="Palatino Linotype"/>
          <w:b/>
        </w:rPr>
        <w:t xml:space="preserve">RECURRENTE </w:t>
      </w:r>
      <w:r w:rsidRPr="00A10456">
        <w:rPr>
          <w:rFonts w:ascii="Palatino Linotype" w:eastAsia="Palatino Linotype" w:hAnsi="Palatino Linotype" w:cs="Palatino Linotype"/>
        </w:rPr>
        <w:t>fueron los siguientes:</w:t>
      </w:r>
    </w:p>
    <w:p w14:paraId="726AF7A8" w14:textId="77777777" w:rsidR="00815F8D" w:rsidRPr="00A10456" w:rsidRDefault="00815F8D">
      <w:pPr>
        <w:widowControl w:val="0"/>
        <w:spacing w:line="360" w:lineRule="auto"/>
        <w:jc w:val="both"/>
        <w:rPr>
          <w:rFonts w:ascii="Palatino Linotype" w:eastAsia="Palatino Linotype" w:hAnsi="Palatino Linotype" w:cs="Palatino Linotype"/>
        </w:rPr>
      </w:pPr>
    </w:p>
    <w:p w14:paraId="0CABDBF3" w14:textId="77777777" w:rsidR="00815F8D" w:rsidRPr="00A10456" w:rsidRDefault="00F25C9B">
      <w:pPr>
        <w:spacing w:line="360" w:lineRule="auto"/>
        <w:ind w:left="-57" w:right="-57"/>
        <w:jc w:val="both"/>
        <w:rPr>
          <w:rFonts w:ascii="Palatino Linotype" w:eastAsia="Palatino Linotype" w:hAnsi="Palatino Linotype" w:cs="Palatino Linotype"/>
          <w:b/>
          <w:u w:val="single"/>
        </w:rPr>
      </w:pPr>
      <w:r w:rsidRPr="00A10456">
        <w:rPr>
          <w:rFonts w:ascii="Palatino Linotype" w:eastAsia="Palatino Linotype" w:hAnsi="Palatino Linotype" w:cs="Palatino Linotype"/>
          <w:b/>
          <w:u w:val="single"/>
        </w:rPr>
        <w:t>Acto Impugnado:</w:t>
      </w:r>
      <w:r w:rsidRPr="00A10456">
        <w:rPr>
          <w:b/>
          <w:u w:val="single"/>
        </w:rPr>
        <w:t xml:space="preserve"> </w:t>
      </w:r>
    </w:p>
    <w:p w14:paraId="3821ACC1" w14:textId="77777777" w:rsidR="00815F8D" w:rsidRPr="00A10456" w:rsidRDefault="00F25C9B">
      <w:pPr>
        <w:tabs>
          <w:tab w:val="left" w:pos="709"/>
        </w:tabs>
        <w:spacing w:before="66"/>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“La clasificación de la información” (sic)</w:t>
      </w:r>
    </w:p>
    <w:p w14:paraId="7EED39C8" w14:textId="77777777" w:rsidR="00815F8D" w:rsidRPr="00A10456" w:rsidRDefault="00815F8D">
      <w:pPr>
        <w:ind w:right="899"/>
        <w:jc w:val="both"/>
        <w:rPr>
          <w:rFonts w:ascii="Palatino Linotype" w:eastAsia="Palatino Linotype" w:hAnsi="Palatino Linotype" w:cs="Palatino Linotype"/>
        </w:rPr>
      </w:pPr>
    </w:p>
    <w:p w14:paraId="6DCEAD68" w14:textId="77777777" w:rsidR="00815F8D" w:rsidRPr="00A10456" w:rsidRDefault="00F25C9B">
      <w:pPr>
        <w:spacing w:line="360" w:lineRule="auto"/>
        <w:ind w:right="49"/>
        <w:jc w:val="both"/>
        <w:rPr>
          <w:rFonts w:ascii="Palatino Linotype" w:eastAsia="Palatino Linotype" w:hAnsi="Palatino Linotype" w:cs="Palatino Linotype"/>
          <w:b/>
          <w:u w:val="single"/>
        </w:rPr>
      </w:pPr>
      <w:r w:rsidRPr="00A10456">
        <w:rPr>
          <w:rFonts w:ascii="Palatino Linotype" w:eastAsia="Palatino Linotype" w:hAnsi="Palatino Linotype" w:cs="Palatino Linotype"/>
          <w:b/>
          <w:u w:val="single"/>
        </w:rPr>
        <w:t>Razones o motivos de inconformidad:</w:t>
      </w:r>
    </w:p>
    <w:p w14:paraId="2CDF6372" w14:textId="77777777" w:rsidR="00815F8D" w:rsidRPr="00A10456" w:rsidRDefault="00F25C9B">
      <w:pPr>
        <w:tabs>
          <w:tab w:val="left" w:pos="709"/>
        </w:tabs>
        <w:spacing w:before="66"/>
        <w:ind w:left="850" w:right="899"/>
        <w:jc w:val="both"/>
        <w:rPr>
          <w:rFonts w:ascii="Palatino Linotype" w:eastAsia="Palatino Linotype" w:hAnsi="Palatino Linotype" w:cs="Palatino Linotype"/>
        </w:rPr>
      </w:pPr>
      <w:r w:rsidRPr="00A10456">
        <w:rPr>
          <w:rFonts w:ascii="Palatino Linotype" w:eastAsia="Palatino Linotype" w:hAnsi="Palatino Linotype" w:cs="Palatino Linotype"/>
          <w:i/>
          <w:sz w:val="22"/>
          <w:szCs w:val="22"/>
        </w:rPr>
        <w:t xml:space="preserve">“La titular de la Unidad de Transparencia del Municipio de Lerma, adjunta como respuesta los oficios DSPTVL/DG/0197/2022 y DPM/087/2022, signados por el Director de Seguridad Pública y Tránsito y por la Jefa de Departamento de Patrimonio Municipal, ambos del municipio de Lerma, respectivamente, para dar respuesta a mi solicitud de información con folio 00111/LERMA/IP/2022, en el primero de ellos se hace mención que “…conforme a lo que establece el artículo 122 de la Ley de Transparencia y Acceso a la Información Pública del Estado de México y Municipios, la información descrita es susceptible de ser clasificada como RESERVADA Y/O CONFIDENCIAL, ello en atención a que por su naturaleza de dicha información deben establecerse limitantes para su aplicación o conocimiento de personas no autorizadas por la norma”. Y en el segundo se refiere “Ya que su petición no es viable contestarla ya que es una información reservada, artículo 113, fracción </w:t>
      </w:r>
      <w:r w:rsidRPr="00A10456">
        <w:rPr>
          <w:rFonts w:ascii="Palatino Linotype" w:eastAsia="Palatino Linotype" w:hAnsi="Palatino Linotype" w:cs="Palatino Linotype"/>
          <w:i/>
          <w:sz w:val="22"/>
          <w:szCs w:val="22"/>
        </w:rPr>
        <w:lastRenderedPageBreak/>
        <w:t xml:space="preserve">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Sin embargo, desmenuzando mi solicitud de información, requerí: • el número de policías de seguridad y de tránsito en activo con que cuenta el municipio de Lerma, • cuantas patrullas hay en el parque vehicular, clasificadas en las que circulan y las que no y el motivo de su no circulación esto al día de la fecha. • el nombre y cargo de los servidores públicos que integran la Comisión de Honor y Justicia • el número de elementos que tienen iniciado procedimiento administrativo disciplinario ante dicha Comisión y el motivo del inicio de esos procedimientos. • se me proporcione la versión pública de los expedientes iniciados con motivo de la no aprobación del control de confianza del personal operativo en el año 2021 y 2022. • las actas de la Comisión de Honor y Justicia celebradas en el año 2021 y 2022. • se me indique el monto del presupuesto que se destinará a seguridad pública en el 2022. • el programa municipal de seguridad pública y el programa municipal de prevención de la violencia y la delincuencia ambos de 2022. • el salario de los policías de acuerdo a su categoría Dicha información descrita se me debe proporcionar, en virtud de que no compromete la seguridad pública, ni pone en peligro las funciones a cargo del municipio, ni la vida, la integridad o el ejercicio de los derechos de las personas, pues únicamente solicito el número de policías de seguridad y de tránsito en activo, lo que representa meramente estadística, de igual manera el número de patrullas que circulan y las que no, ello no pone en peligro las funciones de seguridad, pues no estoy requiriendo datos específicos de las mismas, únicamente el número de unidades. Ahora bien, por lo que hace al nombre y cargo de los servidores públicos que integran la Comisión de Honor y Justicia, al tratarse de servidores públicos, no puede ser información que deba reservarse, por ello, se me debe proporcionar el dato, así como el número de elementos que tienen iniciado procedimiento ante la referida comisión y el motivo del inicio de esos procedimientos, ya que se reitera, son datos meramente estadísticos. Por lo que hace a la versión pública de los expedientes iniciados con motivo de la no aprobación del control de confianza del personal operativo en el año 2021 y 2022, es preciso señalar al sujeto obligado que la fracción XLV del artículo 2 de la Ley de Transparencia y Acceso a la Información Pública del Estado de México y Municipios, señala que “XLV. Versión pública: Documento en el que se elimine, suprime o borra la información clasificada como reservada o confidencial para </w:t>
      </w:r>
      <w:r w:rsidRPr="00A10456">
        <w:rPr>
          <w:rFonts w:ascii="Palatino Linotype" w:eastAsia="Palatino Linotype" w:hAnsi="Palatino Linotype" w:cs="Palatino Linotype"/>
          <w:i/>
          <w:sz w:val="22"/>
          <w:szCs w:val="22"/>
        </w:rPr>
        <w:lastRenderedPageBreak/>
        <w:t xml:space="preserve">permitir su acceso”, lo que se interpreta que la versión pública de un expediente no debe contener datos personales, pues precisamente debe suprimirse o eliminarse dicha información para que se permita su acceso. Por lo anterior, se deben adoptar las medidas necesarias para crear una versión pública de la información solicitada y se proporcione al suscrito. Respecto a las actas de la Comisión de Honor y Justicia celebradas en el año 2021 y 2022, el sujeto obligado me debe proporcionar dicha información, pues tampoco es información que deba ser clasificada como reservada o confidencial, al no entrar en ninguno de los supuestos que marca la legislación en la materia. Finalmente, en cuanto a que se me indique el monto del presupuesto que se destinará a seguridad pública en el 2022, el programa municipal de seguridad pública y el programa municipal de prevención de la violencia y la delincuencia ambos de 2022, así como el salario de los policías de acuerdo a su categoría, de ninguna manera se puede considerar como información reservada y/o confidencial, pues se trata de información pública, aunado a que no encuadra en ninguno de los supuestos para ser clasificada de tal forma. Por ello, se me debe proporcionar la información que solicité mediante el Sistema de Acceso a la Información Mexiquense. Ahora bien, suponiendo sin conceder, que la información solicitada por el suscrito fuera susceptible de clasificarse, la Titular de la Unidad de Transparencia del Municipio de Lerma, se limita a dar como respuesta los oficios signados por el Director de Seguridad Pública y Tránsito y por la Jefa de Departamento de Patrimonio Municipal, ambos del municipio de Lerma, omitiendo en todo momento dar cumplimiento a lo señalado en el artículo 168 de la Ley de Transparencia y Acceso a la Información Pública del Estado de México y Municipios, por lo que en su respuesta jamás agrega la resolución del Comité de Transparencia, sino, solo la respuesta otorgada por las áreas mencionadas sin que ello implique o acredite que efectivamente hubo un acuerdo de clasificación por parte de los integrantes del Comité de Transparencia de ese Municipio. Aunado a lo anterior, debe decirse que los argumentos vertidos por el Director de Seguridad Pública y Tránsito del municipio de Lerma, en su oficio de respuesta DSPTVL/DG/0197/2022 no son aplicables al caso en concreto, pues en ningún momento, hace referencia a la información que solicitó el suscrito pues hace una serie de manifestaciones equivocas como: “… si bien es cierto a través “Acuerdo mediante el cual se da a conocer los lineamientos para la integración, captura, revisión, y envío del Informe Policial Homologado” previsto en la Ley General del Sistema Nacional de Seguridad Pública, publicado en el Diario Oficial de la Federación “ establecen los protocolos y lineamientos para el llenado de los IPH, tal y como lo establece el solicitante…” </w:t>
      </w:r>
      <w:r w:rsidRPr="00A10456">
        <w:rPr>
          <w:rFonts w:ascii="Palatino Linotype" w:eastAsia="Palatino Linotype" w:hAnsi="Palatino Linotype" w:cs="Palatino Linotype"/>
          <w:i/>
          <w:sz w:val="22"/>
          <w:szCs w:val="22"/>
        </w:rPr>
        <w:lastRenderedPageBreak/>
        <w:t>(Énfasis añadido) lo cual es incorrecto, ya que en la solicitud de información, jamás se requirió información relacionada con IPH, lo que muestra que mi solicitud no fue analizada correctamente a fin de otorgar una respuesta favorable al suscrito.”(sic)</w:t>
      </w:r>
    </w:p>
    <w:p w14:paraId="10F6DF37" w14:textId="77777777" w:rsidR="00815F8D" w:rsidRPr="00A10456" w:rsidRDefault="00815F8D">
      <w:pPr>
        <w:spacing w:line="360" w:lineRule="auto"/>
        <w:jc w:val="both"/>
        <w:rPr>
          <w:rFonts w:ascii="Palatino Linotype" w:eastAsia="Palatino Linotype" w:hAnsi="Palatino Linotype" w:cs="Palatino Linotype"/>
          <w:i/>
        </w:rPr>
      </w:pPr>
    </w:p>
    <w:p w14:paraId="69DDE971" w14:textId="77777777" w:rsidR="00815F8D" w:rsidRPr="00A10456" w:rsidRDefault="00F25C9B">
      <w:pPr>
        <w:spacing w:line="360" w:lineRule="auto"/>
        <w:jc w:val="both"/>
        <w:rPr>
          <w:rFonts w:ascii="Palatino Linotype" w:eastAsia="Palatino Linotype" w:hAnsi="Palatino Linotype" w:cs="Palatino Linotype"/>
          <w:b/>
          <w:sz w:val="28"/>
          <w:szCs w:val="28"/>
        </w:rPr>
      </w:pPr>
      <w:r w:rsidRPr="00A10456">
        <w:rPr>
          <w:rFonts w:ascii="Palatino Linotype" w:eastAsia="Palatino Linotype" w:hAnsi="Palatino Linotype" w:cs="Palatino Linotype"/>
          <w:b/>
          <w:sz w:val="28"/>
          <w:szCs w:val="28"/>
        </w:rPr>
        <w:t xml:space="preserve">V. Del turno del Recurso de Revisión. </w:t>
      </w:r>
    </w:p>
    <w:p w14:paraId="01517131"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El veintiuno de junio de dos mil veintidós,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A10456">
        <w:rPr>
          <w:rFonts w:ascii="Palatino Linotype" w:eastAsia="Palatino Linotype" w:hAnsi="Palatino Linotype" w:cs="Palatino Linotype"/>
          <w:b/>
        </w:rPr>
        <w:t>Comisionada Sharon Cristina Morales Martínez</w:t>
      </w:r>
      <w:r w:rsidRPr="00A10456">
        <w:rPr>
          <w:rFonts w:ascii="Palatino Linotype" w:eastAsia="Palatino Linotype" w:hAnsi="Palatino Linotype" w:cs="Palatino Linotype"/>
        </w:rPr>
        <w:t>; a efecto de decretar su admisión o desechamiento.</w:t>
      </w:r>
    </w:p>
    <w:p w14:paraId="2C700FD0" w14:textId="77777777" w:rsidR="00815F8D" w:rsidRPr="00A10456" w:rsidRDefault="00815F8D">
      <w:pPr>
        <w:spacing w:line="360" w:lineRule="auto"/>
        <w:jc w:val="both"/>
        <w:rPr>
          <w:rFonts w:ascii="Palatino Linotype" w:eastAsia="Palatino Linotype" w:hAnsi="Palatino Linotype" w:cs="Palatino Linotype"/>
        </w:rPr>
      </w:pPr>
    </w:p>
    <w:p w14:paraId="621B5C14" w14:textId="77777777" w:rsidR="00815F8D" w:rsidRPr="00A10456" w:rsidRDefault="00F25C9B">
      <w:pPr>
        <w:tabs>
          <w:tab w:val="center" w:pos="4252"/>
          <w:tab w:val="right" w:pos="8504"/>
        </w:tabs>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rPr>
        <w:t>a) Admisión del Recurso de Revisión</w:t>
      </w:r>
    </w:p>
    <w:p w14:paraId="4EA8557A" w14:textId="77777777" w:rsidR="00815F8D" w:rsidRPr="00A10456" w:rsidRDefault="00F25C9B">
      <w:pPr>
        <w:tabs>
          <w:tab w:val="center" w:pos="4252"/>
          <w:tab w:val="right" w:pos="8504"/>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De las constancias que obran en el expediente electrónico del</w:t>
      </w:r>
      <w:r w:rsidRPr="00A10456">
        <w:rPr>
          <w:rFonts w:ascii="Palatino Linotype" w:eastAsia="Palatino Linotype" w:hAnsi="Palatino Linotype" w:cs="Palatino Linotype"/>
          <w:b/>
        </w:rPr>
        <w:t xml:space="preserve"> SAIMEX</w:t>
      </w:r>
      <w:r w:rsidRPr="00A10456">
        <w:rPr>
          <w:rFonts w:ascii="Palatino Linotype" w:eastAsia="Palatino Linotype" w:hAnsi="Palatino Linotype" w:cs="Palatino Linotype"/>
        </w:rPr>
        <w:t xml:space="preserve">, se advierte que en fecha veintitrés de junio dos mil veintidós, se acordó la admisión a trámite del Recurso de Revisión que nos ocupa; así como la integración del expediente respectivo, mismo que se puso a disposición de las partes, para que en un plazo máximo de siete días hábiles </w:t>
      </w:r>
      <w:r w:rsidRPr="00A10456">
        <w:rPr>
          <w:rFonts w:ascii="Palatino Linotype" w:eastAsia="Palatino Linotype" w:hAnsi="Palatino Linotype" w:cs="Palatino Linotype"/>
          <w:b/>
        </w:rPr>
        <w:t xml:space="preserve">EL RECURRENTE </w:t>
      </w:r>
      <w:r w:rsidRPr="00A10456">
        <w:rPr>
          <w:rFonts w:ascii="Palatino Linotype" w:eastAsia="Palatino Linotype" w:hAnsi="Palatino Linotype" w:cs="Palatino Linotype"/>
        </w:rPr>
        <w:t xml:space="preserve">manifestara lo que a su derecho conviniera, a efecto de presentar pruebas y alegatos; así como, para que </w:t>
      </w:r>
      <w:r w:rsidRPr="00A10456">
        <w:rPr>
          <w:rFonts w:ascii="Palatino Linotype" w:eastAsia="Palatino Linotype" w:hAnsi="Palatino Linotype" w:cs="Palatino Linotype"/>
          <w:b/>
        </w:rPr>
        <w:t xml:space="preserve">EL SUJETO OBLIGADO </w:t>
      </w:r>
      <w:r w:rsidRPr="00A10456">
        <w:rPr>
          <w:rFonts w:ascii="Palatino Linotype" w:eastAsia="Palatino Linotype" w:hAnsi="Palatino Linotype" w:cs="Palatino Linotype"/>
        </w:rPr>
        <w:t>rindiera el correspondiente</w:t>
      </w:r>
      <w:r w:rsidRPr="00A10456">
        <w:rPr>
          <w:rFonts w:ascii="Palatino Linotype" w:eastAsia="Palatino Linotype" w:hAnsi="Palatino Linotype" w:cs="Palatino Linotype"/>
          <w:b/>
        </w:rPr>
        <w:t xml:space="preserve"> </w:t>
      </w:r>
      <w:r w:rsidRPr="00A10456">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2AE40230" w14:textId="77777777" w:rsidR="00815F8D" w:rsidRPr="00A10456" w:rsidRDefault="00815F8D">
      <w:pPr>
        <w:tabs>
          <w:tab w:val="center" w:pos="4252"/>
          <w:tab w:val="right" w:pos="8504"/>
        </w:tabs>
        <w:spacing w:line="360" w:lineRule="auto"/>
        <w:jc w:val="both"/>
        <w:rPr>
          <w:rFonts w:ascii="Palatino Linotype" w:eastAsia="Palatino Linotype" w:hAnsi="Palatino Linotype" w:cs="Palatino Linotype"/>
        </w:rPr>
      </w:pPr>
    </w:p>
    <w:p w14:paraId="0834AF40" w14:textId="77777777" w:rsidR="00815F8D" w:rsidRPr="00A10456" w:rsidRDefault="00F25C9B">
      <w:pPr>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rPr>
        <w:lastRenderedPageBreak/>
        <w:t>b) Informe Justificado</w:t>
      </w:r>
    </w:p>
    <w:p w14:paraId="6833EC7C" w14:textId="77777777" w:rsidR="00815F8D" w:rsidRPr="00A10456" w:rsidRDefault="00F25C9B">
      <w:pPr>
        <w:widowControl w:val="0"/>
        <w:tabs>
          <w:tab w:val="left" w:pos="0"/>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Conforme a las constancias que obran en el expediente del </w:t>
      </w:r>
      <w:r w:rsidRPr="00A10456">
        <w:rPr>
          <w:rFonts w:ascii="Palatino Linotype" w:eastAsia="Palatino Linotype" w:hAnsi="Palatino Linotype" w:cs="Palatino Linotype"/>
          <w:b/>
        </w:rPr>
        <w:t>SAIMEX,</w:t>
      </w:r>
      <w:r w:rsidRPr="00A10456">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A10456">
        <w:rPr>
          <w:rFonts w:ascii="Palatino Linotype" w:eastAsia="Palatino Linotype" w:hAnsi="Palatino Linotype" w:cs="Palatino Linotype"/>
          <w:b/>
        </w:rPr>
        <w:t>EL</w:t>
      </w:r>
      <w:r w:rsidRPr="00A10456">
        <w:rPr>
          <w:rFonts w:ascii="Palatino Linotype" w:eastAsia="Palatino Linotype" w:hAnsi="Palatino Linotype" w:cs="Palatino Linotype"/>
        </w:rPr>
        <w:t xml:space="preserve"> </w:t>
      </w:r>
      <w:r w:rsidRPr="00A10456">
        <w:rPr>
          <w:rFonts w:ascii="Palatino Linotype" w:eastAsia="Palatino Linotype" w:hAnsi="Palatino Linotype" w:cs="Palatino Linotype"/>
          <w:b/>
        </w:rPr>
        <w:t>RECURRENTE</w:t>
      </w:r>
      <w:r w:rsidRPr="00A10456">
        <w:rPr>
          <w:rFonts w:ascii="Palatino Linotype" w:eastAsia="Palatino Linotype" w:hAnsi="Palatino Linotype" w:cs="Palatino Linotype"/>
        </w:rPr>
        <w:t xml:space="preserve"> no presentó manifestaciones que a su derecho convinieran.  Por su parte,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fue omiso en presentar su Informe Justificado correspondiente. </w:t>
      </w:r>
    </w:p>
    <w:p w14:paraId="2B0440C4" w14:textId="77777777" w:rsidR="00815F8D" w:rsidRPr="00A10456" w:rsidRDefault="00815F8D">
      <w:pPr>
        <w:widowControl w:val="0"/>
        <w:tabs>
          <w:tab w:val="left" w:pos="0"/>
        </w:tabs>
        <w:spacing w:line="360" w:lineRule="auto"/>
        <w:jc w:val="both"/>
        <w:rPr>
          <w:rFonts w:ascii="Palatino Linotype" w:eastAsia="Palatino Linotype" w:hAnsi="Palatino Linotype" w:cs="Palatino Linotype"/>
          <w:b/>
        </w:rPr>
      </w:pPr>
    </w:p>
    <w:p w14:paraId="5D35725F" w14:textId="77777777" w:rsidR="00815F8D" w:rsidRPr="00A10456" w:rsidRDefault="00F25C9B">
      <w:pPr>
        <w:widowControl w:val="0"/>
        <w:tabs>
          <w:tab w:val="left" w:pos="0"/>
        </w:tabs>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rPr>
        <w:t xml:space="preserve">c) De la ampliación </w:t>
      </w:r>
    </w:p>
    <w:p w14:paraId="6671982D" w14:textId="77777777" w:rsidR="00815F8D" w:rsidRPr="00A10456" w:rsidRDefault="00F25C9B">
      <w:pPr>
        <w:spacing w:line="360" w:lineRule="auto"/>
        <w:jc w:val="both"/>
        <w:rPr>
          <w:rFonts w:ascii="Palatino Linotype" w:eastAsia="Palatino Linotype" w:hAnsi="Palatino Linotype" w:cs="Palatino Linotype"/>
        </w:rPr>
      </w:pPr>
      <w:bookmarkStart w:id="1" w:name="_heading=h.1fob9te" w:colFirst="0" w:colLast="0"/>
      <w:bookmarkEnd w:id="1"/>
      <w:r w:rsidRPr="00A10456">
        <w:rPr>
          <w:rFonts w:ascii="Palatino Linotype" w:eastAsia="Palatino Linotype" w:hAnsi="Palatino Linotype" w:cs="Palatino Linotype"/>
        </w:rPr>
        <w:t>En fecha veintidós de agosto de dos mil veintidós, se notificó el acuerdo de ampliación de plazo para resolver el presente Recurso de Revisión, previsto en el artículo 181, tercer párrafo de la Ley de Transparencia y Acceso a la Información Pública del Estado de México y Municipios.</w:t>
      </w:r>
    </w:p>
    <w:p w14:paraId="2EE7E53E" w14:textId="77777777" w:rsidR="00815F8D" w:rsidRPr="00A10456" w:rsidRDefault="00815F8D">
      <w:pPr>
        <w:shd w:val="clear" w:color="auto" w:fill="FFFFFF"/>
        <w:spacing w:line="360" w:lineRule="auto"/>
        <w:jc w:val="both"/>
        <w:rPr>
          <w:rFonts w:ascii="Palatino Linotype" w:eastAsia="Palatino Linotype" w:hAnsi="Palatino Linotype" w:cs="Palatino Linotype"/>
        </w:rPr>
      </w:pPr>
    </w:p>
    <w:p w14:paraId="11524EC6" w14:textId="77777777" w:rsidR="00815F8D"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A4ADD7"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Por ello, es menester precisar </w:t>
      </w:r>
      <w:proofErr w:type="gramStart"/>
      <w:r w:rsidRPr="00A10456">
        <w:rPr>
          <w:rFonts w:ascii="Palatino Linotype" w:eastAsia="Palatino Linotype" w:hAnsi="Palatino Linotype" w:cs="Palatino Linotype"/>
        </w:rPr>
        <w:t>que</w:t>
      </w:r>
      <w:proofErr w:type="gramEnd"/>
      <w:r w:rsidRPr="00A10456">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w:t>
      </w:r>
      <w:r w:rsidR="00A10456" w:rsidRPr="00A10456">
        <w:rPr>
          <w:rFonts w:ascii="Palatino Linotype" w:eastAsia="Palatino Linotype" w:hAnsi="Palatino Linotype" w:cs="Palatino Linotype"/>
        </w:rPr>
        <w:t xml:space="preserve">entos análogos, como el que nos </w:t>
      </w:r>
      <w:r w:rsidRPr="00A10456">
        <w:rPr>
          <w:rFonts w:ascii="Palatino Linotype" w:eastAsia="Palatino Linotype" w:hAnsi="Palatino Linotype" w:cs="Palatino Linotype"/>
        </w:rPr>
        <w:t>ocupa.</w:t>
      </w:r>
    </w:p>
    <w:p w14:paraId="51ADD584"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14E4FC93"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FBA6227"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1C544857"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r w:rsidR="00A10456" w:rsidRPr="00A10456">
        <w:rPr>
          <w:rFonts w:ascii="Palatino Linotype" w:eastAsia="Palatino Linotype" w:hAnsi="Palatino Linotype" w:cs="Palatino Linotype"/>
        </w:rPr>
        <w:t xml:space="preserve"> </w:t>
      </w:r>
    </w:p>
    <w:p w14:paraId="6867E0BC"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74256FCC"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5B3EEDB4"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1831F154"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a)      Complejidad del asunto: La complejidad de la prueba, la pluralidad de sujetos procesales, el tiempo transcurrido, las características y contexto del recurso.</w:t>
      </w:r>
    </w:p>
    <w:p w14:paraId="4F03DC50"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b)     Actividad Procesal del interesado: Acciones u omisiones del interesado.</w:t>
      </w:r>
    </w:p>
    <w:p w14:paraId="6227B6C3"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c)      Conducta de la Autoridad: Las Acciones u omisiones realizadas en el procedimiento. Así como si la autoridad actuó con la debida diligencia.</w:t>
      </w:r>
    </w:p>
    <w:p w14:paraId="289B3E8B"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d) La afectación generada en la situación jurídica de la persona involucrada en el proceso: Violación a sus derechos humanos.</w:t>
      </w:r>
    </w:p>
    <w:p w14:paraId="66BB1CF5"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3352C144"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w:t>
      </w:r>
      <w:r w:rsidR="00A10456" w:rsidRPr="00A10456">
        <w:rPr>
          <w:rFonts w:ascii="Palatino Linotype" w:eastAsia="Palatino Linotype" w:hAnsi="Palatino Linotype" w:cs="Palatino Linotype"/>
        </w:rPr>
        <w:t xml:space="preserve">xcluyente de responsabilidad en </w:t>
      </w:r>
      <w:r w:rsidRPr="00A10456">
        <w:rPr>
          <w:rFonts w:ascii="Palatino Linotype" w:eastAsia="Palatino Linotype" w:hAnsi="Palatino Linotype" w:cs="Palatino Linotype"/>
        </w:rPr>
        <w:t>relación con la actuación del funcionario, como ha acontecido en el caso que nos ocupa.</w:t>
      </w:r>
    </w:p>
    <w:p w14:paraId="08CD1484"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3E98B204"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1045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10456">
        <w:rPr>
          <w:rFonts w:ascii="Palatino Linotype" w:eastAsia="Palatino Linotype" w:hAnsi="Palatino Linotype" w:cs="Palatino Linotype"/>
        </w:rPr>
        <w:t>, visible en la Gaceta del Seminario Judicial de la Federación con el registro digital 205635.</w:t>
      </w:r>
      <w:r w:rsidR="00A10456" w:rsidRPr="00A10456">
        <w:rPr>
          <w:rFonts w:ascii="Palatino Linotype" w:eastAsia="Palatino Linotype" w:hAnsi="Palatino Linotype" w:cs="Palatino Linotype"/>
        </w:rPr>
        <w:t xml:space="preserve"> </w:t>
      </w:r>
    </w:p>
    <w:p w14:paraId="02F227C9"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1EED05D1"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w:t>
      </w:r>
      <w:r w:rsidR="00A10456" w:rsidRPr="00A10456">
        <w:rPr>
          <w:rFonts w:ascii="Palatino Linotype" w:eastAsia="Palatino Linotype" w:hAnsi="Palatino Linotype" w:cs="Palatino Linotype"/>
        </w:rPr>
        <w:t xml:space="preserve"> les </w:t>
      </w:r>
      <w:r w:rsidRPr="00A10456">
        <w:rPr>
          <w:rFonts w:ascii="Palatino Linotype" w:eastAsia="Palatino Linotype" w:hAnsi="Palatino Linotype" w:cs="Palatino Linotype"/>
        </w:rPr>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04D476"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02575976"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C0FA5E2"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2F5BBAC7"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i/>
        </w:rPr>
        <w:t>“PLAZO RAZONABLE PARA RESOLVER. DIMENSIÓN Y EFECTOS DE ESTE CONCEPTO CUANDO SE ADUCE EXCESIVA CARGA DE TRABAJO.</w:t>
      </w:r>
      <w:r w:rsidRPr="00A10456">
        <w:rPr>
          <w:rFonts w:ascii="Palatino Linotype" w:eastAsia="Palatino Linotype" w:hAnsi="Palatino Linotype" w:cs="Palatino Linotype"/>
        </w:rPr>
        <w:t>” consultable en el Seminario Judicial de la Federación y su gaceta, con el registro digital 2002351.</w:t>
      </w:r>
    </w:p>
    <w:p w14:paraId="6D192F72"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7A3E095E" w14:textId="77777777" w:rsidR="00A10456"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i/>
        </w:rPr>
        <w:t xml:space="preserve">“PLAZO RAZONABLE PARA RESOLVER. CONCEPTO Y ELEMENTOS QUE LO INTEGRAN A LA LUZ DEL DERECHO INTERNACIONAL DE LOS DERECHOS </w:t>
      </w:r>
      <w:r w:rsidRPr="00A10456">
        <w:rPr>
          <w:rFonts w:ascii="Palatino Linotype" w:eastAsia="Palatino Linotype" w:hAnsi="Palatino Linotype" w:cs="Palatino Linotype"/>
          <w:i/>
        </w:rPr>
        <w:lastRenderedPageBreak/>
        <w:t>HUMANOS.”</w:t>
      </w:r>
      <w:r w:rsidRPr="00A10456">
        <w:rPr>
          <w:rFonts w:ascii="Palatino Linotype" w:eastAsia="Palatino Linotype" w:hAnsi="Palatino Linotype" w:cs="Palatino Linotype"/>
        </w:rPr>
        <w:t>, visible en el Seminario Judicial de la Federación y su gaceta, con el registro digital 2002350.</w:t>
      </w:r>
    </w:p>
    <w:p w14:paraId="38FA5D26" w14:textId="77777777" w:rsidR="00A10456" w:rsidRPr="00A10456" w:rsidRDefault="00A10456">
      <w:pPr>
        <w:shd w:val="clear" w:color="auto" w:fill="FFFFFF"/>
        <w:spacing w:line="360" w:lineRule="auto"/>
        <w:jc w:val="both"/>
        <w:rPr>
          <w:rFonts w:ascii="Palatino Linotype" w:eastAsia="Palatino Linotype" w:hAnsi="Palatino Linotype" w:cs="Palatino Linotype"/>
        </w:rPr>
      </w:pPr>
    </w:p>
    <w:p w14:paraId="77D45A56" w14:textId="77777777" w:rsidR="00815F8D"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Por ello, este organismo garante comprometido con la</w:t>
      </w:r>
      <w:r w:rsidR="00A10456" w:rsidRPr="00A10456">
        <w:rPr>
          <w:rFonts w:ascii="Palatino Linotype" w:eastAsia="Palatino Linotype" w:hAnsi="Palatino Linotype" w:cs="Palatino Linotype"/>
        </w:rPr>
        <w:t xml:space="preserve"> tutela de los derechos humanos </w:t>
      </w:r>
      <w:proofErr w:type="gramStart"/>
      <w:r w:rsidRPr="00A10456">
        <w:rPr>
          <w:rFonts w:ascii="Palatino Linotype" w:eastAsia="Palatino Linotype" w:hAnsi="Palatino Linotype" w:cs="Palatino Linotype"/>
        </w:rPr>
        <w:t>confiados,</w:t>
      </w:r>
      <w:proofErr w:type="gramEnd"/>
      <w:r w:rsidRPr="00A10456">
        <w:rPr>
          <w:rFonts w:ascii="Palatino Linotype" w:eastAsia="Palatino Linotype" w:hAnsi="Palatino Linotype" w:cs="Palatino Linotype"/>
        </w:rPr>
        <w:t xml:space="preserve"> señala que este exceso del plazo legal para resolver el presente asunto, resulta de carácter excepcional.</w:t>
      </w:r>
    </w:p>
    <w:p w14:paraId="289A85C9" w14:textId="77777777" w:rsidR="00815F8D" w:rsidRPr="00A10456" w:rsidRDefault="00815F8D">
      <w:pPr>
        <w:spacing w:line="360" w:lineRule="auto"/>
        <w:jc w:val="both"/>
        <w:rPr>
          <w:rFonts w:ascii="Palatino Linotype" w:eastAsia="Palatino Linotype" w:hAnsi="Palatino Linotype" w:cs="Palatino Linotype"/>
        </w:rPr>
      </w:pPr>
    </w:p>
    <w:p w14:paraId="4B0B4344" w14:textId="77777777" w:rsidR="00815F8D" w:rsidRPr="00A10456" w:rsidRDefault="00F25C9B">
      <w:pPr>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rPr>
        <w:t>d) Cierre de Instrucción</w:t>
      </w:r>
    </w:p>
    <w:p w14:paraId="0A2059FA"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lo que, una vez analizado el estado procesal que guarda el expediente, en fecha </w:t>
      </w:r>
      <w:r w:rsidRPr="00A10456">
        <w:rPr>
          <w:rFonts w:ascii="Palatino Linotype" w:eastAsia="Palatino Linotype" w:hAnsi="Palatino Linotype" w:cs="Palatino Linotype"/>
          <w:b/>
        </w:rPr>
        <w:t>seis de diciembre de dos mil veintidós</w:t>
      </w:r>
      <w:r w:rsidRPr="00A10456">
        <w:rPr>
          <w:rFonts w:ascii="Palatino Linotype" w:eastAsia="Palatino Linotype" w:hAnsi="Palatino Linotype" w:cs="Palatino Linotype"/>
        </w:rPr>
        <w:t xml:space="preserve">, la </w:t>
      </w:r>
      <w:r w:rsidRPr="00A10456">
        <w:rPr>
          <w:rFonts w:ascii="Palatino Linotype" w:eastAsia="Palatino Linotype" w:hAnsi="Palatino Linotype" w:cs="Palatino Linotype"/>
          <w:b/>
        </w:rPr>
        <w:t xml:space="preserve">Comisionada Sharon Cristina Morales Martínez </w:t>
      </w:r>
      <w:r w:rsidRPr="00A10456">
        <w:rPr>
          <w:rFonts w:ascii="Palatino Linotype" w:eastAsia="Palatino Linotype" w:hAnsi="Palatino Linotype" w:cs="Palatino Linotype"/>
        </w:rPr>
        <w:t xml:space="preserve">acordó el cierre de instrucción, así como la remisión </w:t>
      </w:r>
      <w:proofErr w:type="gramStart"/>
      <w:r w:rsidRPr="00A10456">
        <w:rPr>
          <w:rFonts w:ascii="Palatino Linotype" w:eastAsia="Palatino Linotype" w:hAnsi="Palatino Linotype" w:cs="Palatino Linotype"/>
        </w:rPr>
        <w:t>del mismo</w:t>
      </w:r>
      <w:proofErr w:type="gramEnd"/>
      <w:r w:rsidRPr="00A10456">
        <w:rPr>
          <w:rFonts w:ascii="Palatino Linotype" w:eastAsia="Palatino Linotype" w:hAnsi="Palatino Linotype" w:cs="Palatino Linotype"/>
        </w:rPr>
        <w:t xml:space="preserve">, a efecto de ser resuelto, de conformidad con lo establecido en el artículo 185 fracciones VI y VIII de la Ley de Transparencia y Acceso a la Información Pública del Estado de México y Municipios. </w:t>
      </w:r>
    </w:p>
    <w:p w14:paraId="1628903C" w14:textId="77777777" w:rsidR="00815F8D" w:rsidRPr="00A10456" w:rsidRDefault="00815F8D">
      <w:pPr>
        <w:rPr>
          <w:rFonts w:ascii="Palatino Linotype" w:eastAsia="Palatino Linotype" w:hAnsi="Palatino Linotype" w:cs="Palatino Linotype"/>
          <w:b/>
          <w:sz w:val="28"/>
          <w:szCs w:val="28"/>
        </w:rPr>
      </w:pPr>
    </w:p>
    <w:p w14:paraId="2D31FB0E" w14:textId="77777777" w:rsidR="00815F8D" w:rsidRPr="00A10456" w:rsidRDefault="00815F8D">
      <w:pPr>
        <w:jc w:val="center"/>
        <w:rPr>
          <w:rFonts w:ascii="Palatino Linotype" w:eastAsia="Palatino Linotype" w:hAnsi="Palatino Linotype" w:cs="Palatino Linotype"/>
          <w:b/>
          <w:sz w:val="28"/>
          <w:szCs w:val="28"/>
        </w:rPr>
      </w:pPr>
    </w:p>
    <w:p w14:paraId="717916D5" w14:textId="77777777" w:rsidR="00815F8D" w:rsidRPr="00A10456" w:rsidRDefault="00F25C9B">
      <w:pPr>
        <w:jc w:val="center"/>
        <w:rPr>
          <w:rFonts w:ascii="Palatino Linotype" w:eastAsia="Palatino Linotype" w:hAnsi="Palatino Linotype" w:cs="Palatino Linotype"/>
          <w:b/>
          <w:sz w:val="28"/>
          <w:szCs w:val="28"/>
        </w:rPr>
      </w:pPr>
      <w:r w:rsidRPr="00A10456">
        <w:rPr>
          <w:rFonts w:ascii="Palatino Linotype" w:eastAsia="Palatino Linotype" w:hAnsi="Palatino Linotype" w:cs="Palatino Linotype"/>
          <w:b/>
          <w:sz w:val="28"/>
          <w:szCs w:val="28"/>
        </w:rPr>
        <w:t>CONSIDERANDO</w:t>
      </w:r>
    </w:p>
    <w:p w14:paraId="4D6DE5E9" w14:textId="77777777" w:rsidR="00815F8D" w:rsidRPr="00A10456" w:rsidRDefault="00815F8D">
      <w:pPr>
        <w:jc w:val="center"/>
        <w:rPr>
          <w:rFonts w:ascii="Palatino Linotype" w:eastAsia="Palatino Linotype" w:hAnsi="Palatino Linotype" w:cs="Palatino Linotype"/>
          <w:b/>
          <w:sz w:val="28"/>
          <w:szCs w:val="28"/>
        </w:rPr>
      </w:pPr>
    </w:p>
    <w:p w14:paraId="0C19F14B" w14:textId="77777777" w:rsidR="00815F8D" w:rsidRPr="00A10456" w:rsidRDefault="00F25C9B">
      <w:pPr>
        <w:widowControl w:val="0"/>
        <w:tabs>
          <w:tab w:val="left" w:pos="1701"/>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b/>
          <w:sz w:val="28"/>
          <w:szCs w:val="28"/>
        </w:rPr>
        <w:t>PRIMERO.</w:t>
      </w:r>
      <w:r w:rsidRPr="00A10456">
        <w:rPr>
          <w:rFonts w:ascii="Palatino Linotype" w:eastAsia="Palatino Linotype" w:hAnsi="Palatino Linotype" w:cs="Palatino Linotype"/>
          <w:b/>
        </w:rPr>
        <w:t xml:space="preserve"> Competencia</w:t>
      </w:r>
      <w:r w:rsidRPr="00A10456">
        <w:rPr>
          <w:rFonts w:ascii="Palatino Linotype" w:eastAsia="Palatino Linotype" w:hAnsi="Palatino Linotype" w:cs="Palatino Linotype"/>
        </w:rPr>
        <w:t>.</w:t>
      </w:r>
      <w:r w:rsidRPr="00A10456">
        <w:rPr>
          <w:rFonts w:ascii="Palatino Linotype" w:eastAsia="Palatino Linotype" w:hAnsi="Palatino Linotype" w:cs="Palatino Linotype"/>
          <w:b/>
        </w:rPr>
        <w:t xml:space="preserve"> </w:t>
      </w:r>
    </w:p>
    <w:p w14:paraId="5A4A6EF6" w14:textId="77777777" w:rsidR="00815F8D" w:rsidRPr="00A10456" w:rsidRDefault="00F25C9B">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A10456">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w:t>
      </w:r>
      <w:r w:rsidRPr="00A10456">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48FAD5A" w14:textId="77777777" w:rsidR="00815F8D" w:rsidRPr="00A10456" w:rsidRDefault="00815F8D">
      <w:pPr>
        <w:spacing w:line="360" w:lineRule="auto"/>
        <w:jc w:val="both"/>
        <w:rPr>
          <w:rFonts w:ascii="Palatino Linotype" w:eastAsia="Palatino Linotype" w:hAnsi="Palatino Linotype" w:cs="Palatino Linotype"/>
          <w:b/>
          <w:sz w:val="28"/>
          <w:szCs w:val="28"/>
        </w:rPr>
      </w:pPr>
    </w:p>
    <w:p w14:paraId="46FA5BAB" w14:textId="77777777" w:rsidR="00815F8D" w:rsidRPr="00A10456" w:rsidRDefault="00F25C9B">
      <w:pPr>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sz w:val="28"/>
          <w:szCs w:val="28"/>
        </w:rPr>
        <w:t>SEGUNDO</w:t>
      </w:r>
      <w:r w:rsidRPr="00A10456">
        <w:rPr>
          <w:rFonts w:ascii="Palatino Linotype" w:eastAsia="Palatino Linotype" w:hAnsi="Palatino Linotype" w:cs="Palatino Linotype"/>
          <w:b/>
        </w:rPr>
        <w:t xml:space="preserve">. Interés. </w:t>
      </w:r>
    </w:p>
    <w:p w14:paraId="0D9B8046" w14:textId="77777777" w:rsidR="00815F8D" w:rsidRPr="00A10456" w:rsidRDefault="00F25C9B">
      <w:pPr>
        <w:spacing w:line="360" w:lineRule="auto"/>
        <w:jc w:val="both"/>
        <w:rPr>
          <w:rFonts w:ascii="Palatino Linotype" w:eastAsia="Palatino Linotype" w:hAnsi="Palatino Linotype" w:cs="Palatino Linotype"/>
          <w:b/>
          <w:color w:val="000000"/>
        </w:rPr>
      </w:pPr>
      <w:r w:rsidRPr="00A10456">
        <w:rPr>
          <w:rFonts w:ascii="Palatino Linotype" w:eastAsia="Palatino Linotype" w:hAnsi="Palatino Linotype" w:cs="Palatino Linotype"/>
        </w:rPr>
        <w:t>El</w:t>
      </w:r>
      <w:r w:rsidRPr="00A10456">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A10456">
        <w:rPr>
          <w:rFonts w:ascii="Palatino Linotype" w:eastAsia="Palatino Linotype" w:hAnsi="Palatino Linotype" w:cs="Palatino Linotype"/>
          <w:b/>
        </w:rPr>
        <w:t>EL</w:t>
      </w:r>
      <w:r w:rsidRPr="00A10456">
        <w:rPr>
          <w:rFonts w:ascii="Palatino Linotype" w:eastAsia="Palatino Linotype" w:hAnsi="Palatino Linotype" w:cs="Palatino Linotype"/>
          <w:b/>
          <w:color w:val="000000"/>
        </w:rPr>
        <w:t xml:space="preserve"> RECURRENTE,</w:t>
      </w:r>
      <w:r w:rsidRPr="00A10456">
        <w:rPr>
          <w:rFonts w:ascii="Palatino Linotype" w:eastAsia="Palatino Linotype" w:hAnsi="Palatino Linotype" w:cs="Palatino Linotype"/>
          <w:color w:val="000000"/>
        </w:rPr>
        <w:t xml:space="preserve"> quien es la misma persona que formuló la solicitud de acceso a la información pública al </w:t>
      </w:r>
      <w:r w:rsidRPr="00A10456">
        <w:rPr>
          <w:rFonts w:ascii="Palatino Linotype" w:eastAsia="Palatino Linotype" w:hAnsi="Palatino Linotype" w:cs="Palatino Linotype"/>
          <w:b/>
          <w:color w:val="000000"/>
        </w:rPr>
        <w:t xml:space="preserve">SUJETO OBLIGADO, </w:t>
      </w:r>
      <w:r w:rsidRPr="00A10456">
        <w:rPr>
          <w:rFonts w:ascii="Palatino Linotype" w:eastAsia="Palatino Linotype" w:hAnsi="Palatino Linotype" w:cs="Palatino Linotype"/>
          <w:color w:val="000000"/>
        </w:rPr>
        <w:t xml:space="preserve">pues para ello, es necesario que el particular ingrese al </w:t>
      </w:r>
      <w:r w:rsidRPr="00A10456">
        <w:rPr>
          <w:rFonts w:ascii="Palatino Linotype" w:eastAsia="Palatino Linotype" w:hAnsi="Palatino Linotype" w:cs="Palatino Linotype"/>
          <w:b/>
          <w:color w:val="000000"/>
        </w:rPr>
        <w:t xml:space="preserve">SAIMEX </w:t>
      </w:r>
      <w:r w:rsidRPr="00A10456">
        <w:rPr>
          <w:rFonts w:ascii="Palatino Linotype" w:eastAsia="Palatino Linotype" w:hAnsi="Palatino Linotype" w:cs="Palatino Linotype"/>
          <w:color w:val="000000"/>
        </w:rPr>
        <w:t>mediante la utilización de su clave de usuario y contraseña.</w:t>
      </w:r>
    </w:p>
    <w:p w14:paraId="2194A60B" w14:textId="77777777" w:rsidR="00815F8D" w:rsidRPr="00A10456" w:rsidRDefault="00815F8D">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EB2B8B4" w14:textId="77777777" w:rsidR="00815F8D" w:rsidRPr="00A10456" w:rsidRDefault="00F25C9B">
      <w:pPr>
        <w:tabs>
          <w:tab w:val="center" w:pos="4252"/>
          <w:tab w:val="right" w:pos="8504"/>
        </w:tabs>
        <w:spacing w:line="360" w:lineRule="auto"/>
        <w:ind w:left="-57"/>
        <w:jc w:val="both"/>
        <w:rPr>
          <w:rFonts w:ascii="Palatino Linotype" w:eastAsia="Palatino Linotype" w:hAnsi="Palatino Linotype" w:cs="Palatino Linotype"/>
          <w:color w:val="000000"/>
        </w:rPr>
      </w:pPr>
      <w:r w:rsidRPr="00A10456">
        <w:rPr>
          <w:rFonts w:ascii="Palatino Linotype" w:eastAsia="Palatino Linotype" w:hAnsi="Palatino Linotype" w:cs="Palatino Linotype"/>
          <w:b/>
          <w:sz w:val="28"/>
          <w:szCs w:val="28"/>
        </w:rPr>
        <w:t>TERCERO.</w:t>
      </w:r>
      <w:r w:rsidRPr="00A10456">
        <w:rPr>
          <w:rFonts w:ascii="Palatino Linotype" w:eastAsia="Palatino Linotype" w:hAnsi="Palatino Linotype" w:cs="Palatino Linotype"/>
        </w:rPr>
        <w:t xml:space="preserve"> </w:t>
      </w:r>
      <w:r w:rsidRPr="00A10456">
        <w:rPr>
          <w:rFonts w:ascii="Palatino Linotype" w:eastAsia="Palatino Linotype" w:hAnsi="Palatino Linotype" w:cs="Palatino Linotype"/>
          <w:b/>
          <w:color w:val="000000"/>
        </w:rPr>
        <w:t>Oportunidad</w:t>
      </w:r>
      <w:r w:rsidRPr="00A10456">
        <w:rPr>
          <w:rFonts w:ascii="Palatino Linotype" w:eastAsia="Palatino Linotype" w:hAnsi="Palatino Linotype" w:cs="Palatino Linotype"/>
          <w:color w:val="000000"/>
        </w:rPr>
        <w:t xml:space="preserve">. </w:t>
      </w:r>
    </w:p>
    <w:p w14:paraId="0964C0E3" w14:textId="77777777" w:rsidR="00815F8D" w:rsidRPr="00A10456" w:rsidRDefault="00F25C9B">
      <w:pPr>
        <w:widowControl w:val="0"/>
        <w:tabs>
          <w:tab w:val="left" w:pos="1701"/>
        </w:tabs>
        <w:spacing w:line="360" w:lineRule="auto"/>
        <w:ind w:right="49"/>
        <w:jc w:val="both"/>
        <w:rPr>
          <w:rFonts w:ascii="Palatino Linotype" w:eastAsia="Palatino Linotype" w:hAnsi="Palatino Linotype" w:cs="Palatino Linotype"/>
          <w:b/>
        </w:rPr>
      </w:pPr>
      <w:r w:rsidRPr="00A10456">
        <w:rPr>
          <w:rFonts w:ascii="Palatino Linotype" w:eastAsia="Palatino Linotype" w:hAnsi="Palatino Linotype" w:cs="Palatino Linotype"/>
        </w:rPr>
        <w:t xml:space="preserve">El Recurso de Revisión fue interpuesto dentro del plazo de quince días hábiles, contados a partir del día siguiente al que </w:t>
      </w:r>
      <w:r w:rsidRPr="00A10456">
        <w:rPr>
          <w:rFonts w:ascii="Palatino Linotype" w:eastAsia="Palatino Linotype" w:hAnsi="Palatino Linotype" w:cs="Palatino Linotype"/>
          <w:b/>
        </w:rPr>
        <w:t xml:space="preserve">EL RECURRENTE </w:t>
      </w:r>
      <w:r w:rsidRPr="00A10456">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794882BA" w14:textId="77777777" w:rsidR="00815F8D" w:rsidRPr="00A10456" w:rsidRDefault="00815F8D">
      <w:pPr>
        <w:ind w:left="720" w:right="709"/>
        <w:jc w:val="both"/>
        <w:rPr>
          <w:rFonts w:ascii="Palatino Linotype" w:eastAsia="Palatino Linotype" w:hAnsi="Palatino Linotype" w:cs="Palatino Linotype"/>
          <w:i/>
          <w:sz w:val="22"/>
          <w:szCs w:val="22"/>
        </w:rPr>
      </w:pPr>
    </w:p>
    <w:p w14:paraId="6DCC1799" w14:textId="77777777" w:rsidR="00815F8D" w:rsidRPr="00A10456" w:rsidRDefault="00F25C9B">
      <w:pPr>
        <w:ind w:left="851"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Artículo 178.</w:t>
      </w:r>
      <w:r w:rsidRPr="00A10456">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A10456">
        <w:rPr>
          <w:rFonts w:ascii="Palatino Linotype" w:eastAsia="Palatino Linotype" w:hAnsi="Palatino Linotype" w:cs="Palatino Linotype"/>
          <w:i/>
          <w:sz w:val="22"/>
          <w:szCs w:val="22"/>
        </w:rPr>
        <w:lastRenderedPageBreak/>
        <w:t>dentro de los quince días hábiles, siguientes a la fecha de la notificación de la respuesta.</w:t>
      </w:r>
    </w:p>
    <w:p w14:paraId="49B23680" w14:textId="77777777" w:rsidR="00815F8D" w:rsidRPr="00A10456" w:rsidRDefault="00815F8D">
      <w:pPr>
        <w:ind w:left="851" w:right="899"/>
        <w:jc w:val="both"/>
        <w:rPr>
          <w:rFonts w:ascii="Palatino Linotype" w:eastAsia="Palatino Linotype" w:hAnsi="Palatino Linotype" w:cs="Palatino Linotype"/>
          <w:i/>
          <w:sz w:val="22"/>
          <w:szCs w:val="22"/>
        </w:rPr>
      </w:pPr>
    </w:p>
    <w:p w14:paraId="54E1B852" w14:textId="77777777" w:rsidR="00815F8D" w:rsidRPr="00A10456" w:rsidRDefault="00F25C9B">
      <w:pPr>
        <w:ind w:left="851"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2690A3D" w14:textId="77777777" w:rsidR="00815F8D" w:rsidRPr="00A10456" w:rsidRDefault="00815F8D">
      <w:pPr>
        <w:ind w:left="851" w:right="899"/>
        <w:jc w:val="both"/>
        <w:rPr>
          <w:rFonts w:ascii="Palatino Linotype" w:eastAsia="Palatino Linotype" w:hAnsi="Palatino Linotype" w:cs="Palatino Linotype"/>
          <w:i/>
          <w:sz w:val="22"/>
          <w:szCs w:val="22"/>
        </w:rPr>
      </w:pPr>
    </w:p>
    <w:p w14:paraId="42BAA7F1" w14:textId="77777777" w:rsidR="00815F8D" w:rsidRPr="00A10456" w:rsidRDefault="00F25C9B">
      <w:pPr>
        <w:ind w:left="851"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DC9A40B" w14:textId="77777777" w:rsidR="00815F8D" w:rsidRPr="00A10456" w:rsidRDefault="00815F8D">
      <w:pPr>
        <w:ind w:left="720" w:right="709"/>
        <w:jc w:val="both"/>
        <w:rPr>
          <w:rFonts w:ascii="Palatino Linotype" w:eastAsia="Palatino Linotype" w:hAnsi="Palatino Linotype" w:cs="Palatino Linotype"/>
          <w:i/>
          <w:sz w:val="22"/>
          <w:szCs w:val="22"/>
        </w:rPr>
      </w:pPr>
    </w:p>
    <w:p w14:paraId="0BA6E529" w14:textId="77777777" w:rsidR="00815F8D" w:rsidRPr="00A10456" w:rsidRDefault="00F25C9B">
      <w:pPr>
        <w:spacing w:line="360" w:lineRule="auto"/>
        <w:jc w:val="both"/>
        <w:rPr>
          <w:rFonts w:ascii="Palatino Linotype" w:eastAsia="Palatino Linotype" w:hAnsi="Palatino Linotype" w:cs="Palatino Linotype"/>
        </w:rPr>
      </w:pPr>
      <w:bookmarkStart w:id="3" w:name="_heading=h.2et92p0" w:colFirst="0" w:colLast="0"/>
      <w:bookmarkEnd w:id="3"/>
      <w:r w:rsidRPr="00A10456">
        <w:rPr>
          <w:rFonts w:ascii="Palatino Linotype" w:eastAsia="Palatino Linotype" w:hAnsi="Palatino Linotype" w:cs="Palatino Linotype"/>
        </w:rPr>
        <w:t xml:space="preserve">En esa tesitura, atendiendo a que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notificó la respuesta a la solicitud de acceso a la información pública el día</w:t>
      </w:r>
      <w:r w:rsidRPr="00A10456">
        <w:rPr>
          <w:rFonts w:ascii="Palatino Linotype" w:eastAsia="Palatino Linotype" w:hAnsi="Palatino Linotype" w:cs="Palatino Linotype"/>
          <w:b/>
        </w:rPr>
        <w:t xml:space="preserve"> quince de junio de dos mil veintidós</w:t>
      </w:r>
      <w:r w:rsidRPr="00A10456">
        <w:rPr>
          <w:rFonts w:ascii="Palatino Linotype" w:eastAsia="Palatino Linotype" w:hAnsi="Palatino Linotype" w:cs="Palatino Linotype"/>
        </w:rPr>
        <w:t xml:space="preserve">, así el plazo de quince días hábiles que el artículo 178 de la Ley de la materia otorga al </w:t>
      </w:r>
      <w:r w:rsidRPr="00A10456">
        <w:rPr>
          <w:rFonts w:ascii="Palatino Linotype" w:eastAsia="Palatino Linotype" w:hAnsi="Palatino Linotype" w:cs="Palatino Linotype"/>
          <w:b/>
        </w:rPr>
        <w:t xml:space="preserve"> RECURRENTE</w:t>
      </w:r>
      <w:r w:rsidRPr="00A10456">
        <w:rPr>
          <w:rFonts w:ascii="Palatino Linotype" w:eastAsia="Palatino Linotype" w:hAnsi="Palatino Linotype" w:cs="Palatino Linotype"/>
        </w:rPr>
        <w:t xml:space="preserve"> para presentar el respectivo Recurso de Revisión, transcurrió del</w:t>
      </w:r>
      <w:r w:rsidRPr="00A10456">
        <w:rPr>
          <w:rFonts w:ascii="Palatino Linotype" w:eastAsia="Palatino Linotype" w:hAnsi="Palatino Linotype" w:cs="Palatino Linotype"/>
          <w:b/>
        </w:rPr>
        <w:t xml:space="preserve"> dieciséis de junio al seis de julio de dos mil veintidós, </w:t>
      </w:r>
      <w:r w:rsidRPr="00A10456">
        <w:rPr>
          <w:rFonts w:ascii="Palatino Linotype" w:eastAsia="Palatino Linotype" w:hAnsi="Palatino Linotype" w:cs="Palatino Linotype"/>
        </w:rPr>
        <w:t xml:space="preserve">sin contemplar en el cómputo los días dieciocho, diecinueve, veinticinco y veintiséis de junio, así como dos y tres de julio, por corresponder a sábados y domingos, considerados como días inhábiles, en términos del artículo 3, fracción X de la Ley de Transparencia y Acceso a la Información Pública del Estado de México y Municipios. </w:t>
      </w:r>
    </w:p>
    <w:p w14:paraId="1CB1FAFD" w14:textId="77777777" w:rsidR="00815F8D" w:rsidRPr="00A10456" w:rsidRDefault="00815F8D">
      <w:pPr>
        <w:spacing w:line="360" w:lineRule="auto"/>
        <w:jc w:val="both"/>
        <w:rPr>
          <w:rFonts w:ascii="Palatino Linotype" w:eastAsia="Palatino Linotype" w:hAnsi="Palatino Linotype" w:cs="Palatino Linotype"/>
        </w:rPr>
      </w:pPr>
      <w:bookmarkStart w:id="4" w:name="_heading=h.orkc3o7h9xbv" w:colFirst="0" w:colLast="0"/>
      <w:bookmarkEnd w:id="4"/>
    </w:p>
    <w:p w14:paraId="72F66C03" w14:textId="77777777" w:rsidR="00815F8D" w:rsidRPr="00A10456" w:rsidRDefault="00F25C9B">
      <w:pPr>
        <w:spacing w:line="360" w:lineRule="auto"/>
        <w:ind w:left="-5" w:hanging="10"/>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En ese tenor, se advierte que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presentó el medio de impugnación, el día veintitrés de junio de dos mil veintidós, luego </w:t>
      </w:r>
      <w:proofErr w:type="gramStart"/>
      <w:r w:rsidRPr="00A10456">
        <w:rPr>
          <w:rFonts w:ascii="Palatino Linotype" w:eastAsia="Palatino Linotype" w:hAnsi="Palatino Linotype" w:cs="Palatino Linotype"/>
        </w:rPr>
        <w:t>entonces  su</w:t>
      </w:r>
      <w:proofErr w:type="gramEnd"/>
      <w:r w:rsidRPr="00A10456">
        <w:rPr>
          <w:rFonts w:ascii="Palatino Linotype" w:eastAsia="Palatino Linotype" w:hAnsi="Palatino Linotype" w:cs="Palatino Linotype"/>
        </w:rPr>
        <w:t xml:space="preserve"> interposición se considera oportuna.  </w:t>
      </w:r>
    </w:p>
    <w:p w14:paraId="729AA074" w14:textId="77777777" w:rsidR="00815F8D" w:rsidRPr="00A10456" w:rsidRDefault="00815F8D">
      <w:pPr>
        <w:spacing w:line="360" w:lineRule="auto"/>
        <w:jc w:val="both"/>
        <w:rPr>
          <w:rFonts w:ascii="Palatino Linotype" w:eastAsia="Palatino Linotype" w:hAnsi="Palatino Linotype" w:cs="Palatino Linotype"/>
        </w:rPr>
      </w:pPr>
    </w:p>
    <w:p w14:paraId="310A7B9A" w14:textId="77777777" w:rsidR="00A10456" w:rsidRPr="00A10456" w:rsidRDefault="00A10456">
      <w:pPr>
        <w:spacing w:line="360" w:lineRule="auto"/>
        <w:jc w:val="both"/>
        <w:rPr>
          <w:rFonts w:ascii="Palatino Linotype" w:eastAsia="Palatino Linotype" w:hAnsi="Palatino Linotype" w:cs="Palatino Linotype"/>
        </w:rPr>
      </w:pPr>
    </w:p>
    <w:p w14:paraId="7A34875A" w14:textId="77777777" w:rsidR="00A10456" w:rsidRPr="00A10456" w:rsidRDefault="00A10456">
      <w:pPr>
        <w:spacing w:line="360" w:lineRule="auto"/>
        <w:jc w:val="both"/>
        <w:rPr>
          <w:rFonts w:ascii="Palatino Linotype" w:eastAsia="Palatino Linotype" w:hAnsi="Palatino Linotype" w:cs="Palatino Linotype"/>
        </w:rPr>
      </w:pPr>
    </w:p>
    <w:p w14:paraId="4C3981AE" w14:textId="77777777" w:rsidR="00815F8D" w:rsidRPr="00A10456" w:rsidRDefault="00F25C9B">
      <w:pPr>
        <w:spacing w:line="360" w:lineRule="auto"/>
        <w:ind w:right="49"/>
        <w:jc w:val="both"/>
        <w:rPr>
          <w:rFonts w:ascii="Palatino Linotype" w:eastAsia="Palatino Linotype" w:hAnsi="Palatino Linotype" w:cs="Palatino Linotype"/>
          <w:b/>
        </w:rPr>
      </w:pPr>
      <w:r w:rsidRPr="00A10456">
        <w:rPr>
          <w:rFonts w:ascii="Palatino Linotype" w:eastAsia="Palatino Linotype" w:hAnsi="Palatino Linotype" w:cs="Palatino Linotype"/>
          <w:b/>
          <w:sz w:val="28"/>
          <w:szCs w:val="28"/>
        </w:rPr>
        <w:lastRenderedPageBreak/>
        <w:t>CUARTO</w:t>
      </w:r>
      <w:r w:rsidRPr="00A10456">
        <w:rPr>
          <w:rFonts w:ascii="Palatino Linotype" w:eastAsia="Palatino Linotype" w:hAnsi="Palatino Linotype" w:cs="Palatino Linotype"/>
          <w:b/>
        </w:rPr>
        <w:t xml:space="preserve">. Procedibilidad. </w:t>
      </w:r>
    </w:p>
    <w:p w14:paraId="5530BEF6"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completo, tal como se muestra a continuación: </w:t>
      </w:r>
    </w:p>
    <w:p w14:paraId="4A1AB989" w14:textId="77777777" w:rsidR="00815F8D" w:rsidRPr="00A10456" w:rsidRDefault="00815F8D">
      <w:pPr>
        <w:spacing w:line="360" w:lineRule="auto"/>
        <w:ind w:right="49"/>
        <w:jc w:val="both"/>
        <w:rPr>
          <w:rFonts w:ascii="Palatino Linotype" w:eastAsia="Palatino Linotype" w:hAnsi="Palatino Linotype" w:cs="Palatino Linotype"/>
        </w:rPr>
      </w:pPr>
    </w:p>
    <w:p w14:paraId="7E4C9242" w14:textId="77777777" w:rsidR="00815F8D" w:rsidRPr="00A10456" w:rsidRDefault="00F25C9B">
      <w:pPr>
        <w:tabs>
          <w:tab w:val="left" w:pos="851"/>
        </w:tabs>
        <w:ind w:left="851" w:right="901"/>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 xml:space="preserve">“Artículo 180. </w:t>
      </w:r>
      <w:r w:rsidRPr="00A10456">
        <w:rPr>
          <w:rFonts w:ascii="Palatino Linotype" w:eastAsia="Palatino Linotype" w:hAnsi="Palatino Linotype" w:cs="Palatino Linotype"/>
          <w:i/>
          <w:sz w:val="22"/>
          <w:szCs w:val="22"/>
        </w:rPr>
        <w:t>El Recurso de Revisión contendrá:</w:t>
      </w:r>
      <w:r w:rsidRPr="00A10456">
        <w:rPr>
          <w:rFonts w:ascii="Palatino Linotype" w:eastAsia="Palatino Linotype" w:hAnsi="Palatino Linotype" w:cs="Palatino Linotype"/>
          <w:b/>
          <w:i/>
          <w:sz w:val="22"/>
          <w:szCs w:val="22"/>
        </w:rPr>
        <w:t xml:space="preserve"> </w:t>
      </w:r>
    </w:p>
    <w:p w14:paraId="5A93F7D8" w14:textId="77777777" w:rsidR="00815F8D" w:rsidRPr="00A10456" w:rsidRDefault="00F25C9B">
      <w:pPr>
        <w:tabs>
          <w:tab w:val="left" w:pos="851"/>
        </w:tabs>
        <w:ind w:left="851" w:right="901"/>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w:t>
      </w:r>
    </w:p>
    <w:p w14:paraId="7997FBB2" w14:textId="77777777" w:rsidR="00815F8D" w:rsidRPr="00A10456" w:rsidRDefault="00F25C9B">
      <w:pPr>
        <w:tabs>
          <w:tab w:val="left" w:pos="851"/>
        </w:tabs>
        <w:ind w:left="851" w:right="901"/>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II. El nombre del solicitante </w:t>
      </w:r>
      <w:r w:rsidRPr="00A10456">
        <w:rPr>
          <w:rFonts w:ascii="Palatino Linotype" w:eastAsia="Palatino Linotype" w:hAnsi="Palatino Linotype" w:cs="Palatino Linotype"/>
          <w:b/>
          <w:i/>
          <w:color w:val="222222"/>
          <w:sz w:val="22"/>
          <w:szCs w:val="22"/>
        </w:rPr>
        <w:t>que</w:t>
      </w:r>
      <w:r w:rsidRPr="00A10456">
        <w:rPr>
          <w:rFonts w:ascii="Palatino Linotype" w:eastAsia="Palatino Linotype" w:hAnsi="Palatino Linotype" w:cs="Palatino Linotype"/>
          <w:b/>
          <w:i/>
          <w:sz w:val="22"/>
          <w:szCs w:val="22"/>
        </w:rPr>
        <w:t xml:space="preserve"> recurre </w:t>
      </w:r>
      <w:r w:rsidRPr="00A10456">
        <w:rPr>
          <w:rFonts w:ascii="Palatino Linotype" w:eastAsia="Palatino Linotype" w:hAnsi="Palatino Linotype" w:cs="Palatino Linotype"/>
          <w:i/>
          <w:sz w:val="22"/>
          <w:szCs w:val="22"/>
        </w:rPr>
        <w:t xml:space="preserve">o de su representante y, en su </w:t>
      </w:r>
      <w:proofErr w:type="gramStart"/>
      <w:r w:rsidRPr="00A10456">
        <w:rPr>
          <w:rFonts w:ascii="Palatino Linotype" w:eastAsia="Palatino Linotype" w:hAnsi="Palatino Linotype" w:cs="Palatino Linotype"/>
          <w:i/>
          <w:sz w:val="22"/>
          <w:szCs w:val="22"/>
        </w:rPr>
        <w:t>caso,…</w:t>
      </w:r>
      <w:proofErr w:type="gramEnd"/>
    </w:p>
    <w:p w14:paraId="569FE0E3" w14:textId="77777777" w:rsidR="00815F8D" w:rsidRPr="00A10456" w:rsidRDefault="00F25C9B">
      <w:pPr>
        <w:tabs>
          <w:tab w:val="left" w:pos="851"/>
        </w:tabs>
        <w:ind w:left="851" w:right="901"/>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 xml:space="preserve">En caso de </w:t>
      </w:r>
      <w:r w:rsidRPr="00A10456">
        <w:rPr>
          <w:rFonts w:ascii="Palatino Linotype" w:eastAsia="Palatino Linotype" w:hAnsi="Palatino Linotype" w:cs="Palatino Linotype"/>
          <w:b/>
          <w:i/>
          <w:color w:val="222222"/>
          <w:sz w:val="22"/>
          <w:szCs w:val="22"/>
        </w:rPr>
        <w:t>que</w:t>
      </w:r>
      <w:r w:rsidRPr="00A10456">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A10456">
        <w:rPr>
          <w:rFonts w:ascii="Palatino Linotype" w:eastAsia="Palatino Linotype" w:hAnsi="Palatino Linotype" w:cs="Palatino Linotype"/>
          <w:i/>
          <w:sz w:val="22"/>
          <w:szCs w:val="22"/>
        </w:rPr>
        <w:t>, IV, VII y VIII.</w:t>
      </w:r>
      <w:r w:rsidRPr="00A10456">
        <w:rPr>
          <w:rFonts w:ascii="Palatino Linotype" w:eastAsia="Palatino Linotype" w:hAnsi="Palatino Linotype" w:cs="Palatino Linotype"/>
          <w:b/>
          <w:i/>
          <w:sz w:val="22"/>
          <w:szCs w:val="22"/>
        </w:rPr>
        <w:t>”</w:t>
      </w:r>
    </w:p>
    <w:p w14:paraId="4E833CCE" w14:textId="77777777" w:rsidR="00815F8D" w:rsidRPr="00A10456" w:rsidRDefault="00F25C9B">
      <w:pPr>
        <w:tabs>
          <w:tab w:val="left" w:pos="851"/>
        </w:tabs>
        <w:ind w:left="851" w:right="901"/>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(Énfasis añadido)</w:t>
      </w:r>
    </w:p>
    <w:p w14:paraId="1BC08A99" w14:textId="77777777" w:rsidR="00815F8D" w:rsidRPr="00A10456" w:rsidRDefault="00815F8D">
      <w:pPr>
        <w:tabs>
          <w:tab w:val="left" w:pos="851"/>
        </w:tabs>
        <w:ind w:right="901"/>
        <w:jc w:val="both"/>
        <w:rPr>
          <w:rFonts w:ascii="Palatino Linotype" w:eastAsia="Palatino Linotype" w:hAnsi="Palatino Linotype" w:cs="Palatino Linotype"/>
          <w:i/>
          <w:sz w:val="22"/>
          <w:szCs w:val="22"/>
        </w:rPr>
      </w:pPr>
    </w:p>
    <w:p w14:paraId="4491C84E"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Es así </w:t>
      </w:r>
      <w:proofErr w:type="gramStart"/>
      <w:r w:rsidRPr="00A10456">
        <w:rPr>
          <w:rFonts w:ascii="Palatino Linotype" w:eastAsia="Palatino Linotype" w:hAnsi="Palatino Linotype" w:cs="Palatino Linotype"/>
        </w:rPr>
        <w:t>que</w:t>
      </w:r>
      <w:proofErr w:type="gramEnd"/>
      <w:r w:rsidRPr="00A10456">
        <w:rPr>
          <w:rFonts w:ascii="Palatino Linotype" w:eastAsia="Palatino Linotype" w:hAnsi="Palatino Linotype" w:cs="Palatino Linotype"/>
        </w:rPr>
        <w:t>, derivado que el Recurso de Revisión materia del presente asunto, se interpuso de manera electrónica, no es necesario que contenga determinados requisitos, entre ellos, el nombre completo</w:t>
      </w:r>
      <w:r w:rsidRPr="00A10456">
        <w:rPr>
          <w:rFonts w:ascii="Palatino Linotype" w:eastAsia="Palatino Linotype" w:hAnsi="Palatino Linotype" w:cs="Palatino Linotype"/>
          <w:b/>
        </w:rPr>
        <w:t>;</w:t>
      </w:r>
      <w:r w:rsidRPr="00A10456">
        <w:rPr>
          <w:rFonts w:ascii="Palatino Linotype" w:eastAsia="Palatino Linotype" w:hAnsi="Palatino Linotype" w:cs="Palatino Linotype"/>
        </w:rPr>
        <w:t xml:space="preserve"> por lo que, en el presente caso, al haber sido presentado el Recurso de Revisión vía </w:t>
      </w:r>
      <w:r w:rsidRPr="00A10456">
        <w:rPr>
          <w:rFonts w:ascii="Palatino Linotype" w:eastAsia="Palatino Linotype" w:hAnsi="Palatino Linotype" w:cs="Palatino Linotype"/>
          <w:b/>
        </w:rPr>
        <w:t>SAIMEX</w:t>
      </w:r>
      <w:r w:rsidRPr="00A10456">
        <w:rPr>
          <w:rFonts w:ascii="Palatino Linotype" w:eastAsia="Palatino Linotype" w:hAnsi="Palatino Linotype" w:cs="Palatino Linotype"/>
        </w:rPr>
        <w:t>, dicho requisito resulta innecesario.</w:t>
      </w:r>
    </w:p>
    <w:p w14:paraId="27BE1F12" w14:textId="77777777" w:rsidR="00815F8D" w:rsidRPr="00A10456" w:rsidRDefault="00815F8D">
      <w:pPr>
        <w:spacing w:line="360" w:lineRule="auto"/>
        <w:jc w:val="both"/>
        <w:rPr>
          <w:rFonts w:ascii="Palatino Linotype" w:eastAsia="Palatino Linotype" w:hAnsi="Palatino Linotype" w:cs="Palatino Linotype"/>
          <w:b/>
        </w:rPr>
      </w:pPr>
    </w:p>
    <w:p w14:paraId="43BABAFF"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A10456">
        <w:rPr>
          <w:rFonts w:ascii="Palatino Linotype" w:eastAsia="Palatino Linotype" w:hAnsi="Palatino Linotype" w:cs="Palatino Linotype"/>
          <w:b/>
          <w:u w:val="single"/>
        </w:rPr>
        <w:t xml:space="preserve">el nombre no es un requisito </w:t>
      </w:r>
      <w:r w:rsidRPr="00A10456">
        <w:rPr>
          <w:rFonts w:ascii="Palatino Linotype" w:eastAsia="Palatino Linotype" w:hAnsi="Palatino Linotype" w:cs="Palatino Linotype"/>
          <w:b/>
          <w:i/>
          <w:u w:val="single"/>
        </w:rPr>
        <w:t>sine qua non</w:t>
      </w:r>
      <w:r w:rsidRPr="00A10456">
        <w:rPr>
          <w:rFonts w:ascii="Palatino Linotype" w:eastAsia="Palatino Linotype" w:hAnsi="Palatino Linotype" w:cs="Palatino Linotype"/>
        </w:rPr>
        <w:t xml:space="preserve"> para que los particulares ejerzan el derecho </w:t>
      </w:r>
      <w:r w:rsidRPr="00A10456">
        <w:rPr>
          <w:rFonts w:ascii="Palatino Linotype" w:eastAsia="Palatino Linotype" w:hAnsi="Palatino Linotype" w:cs="Palatino Linotype"/>
        </w:rPr>
        <w:lastRenderedPageBreak/>
        <w:t>de Acceso a la Información Pública, pues por el contrario la Ley de la materia prevé en su artículo 155, párrafo segundo la posibilidad de que las solicitudes de información sean anónimas, al utilizar un nombre incompleto o, inclusive un seudónimo.</w:t>
      </w:r>
    </w:p>
    <w:p w14:paraId="6DA4B116" w14:textId="77777777" w:rsidR="00815F8D" w:rsidRPr="00A10456" w:rsidRDefault="00815F8D">
      <w:pPr>
        <w:spacing w:line="360" w:lineRule="auto"/>
        <w:jc w:val="both"/>
        <w:rPr>
          <w:rFonts w:ascii="Palatino Linotype" w:eastAsia="Palatino Linotype" w:hAnsi="Palatino Linotype" w:cs="Palatino Linotype"/>
        </w:rPr>
      </w:pPr>
    </w:p>
    <w:p w14:paraId="622A7AC6" w14:textId="77777777" w:rsidR="00815F8D" w:rsidRPr="00A10456" w:rsidRDefault="00F25C9B">
      <w:pPr>
        <w:spacing w:line="360" w:lineRule="auto"/>
        <w:jc w:val="both"/>
        <w:rPr>
          <w:rFonts w:ascii="Palatino Linotype" w:eastAsia="Palatino Linotype" w:hAnsi="Palatino Linotype" w:cs="Palatino Linotype"/>
          <w:sz w:val="22"/>
          <w:szCs w:val="22"/>
        </w:rPr>
      </w:pPr>
      <w:r w:rsidRPr="00A10456">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2B4D96C" w14:textId="77777777" w:rsidR="00815F8D" w:rsidRPr="00A10456" w:rsidRDefault="00815F8D">
      <w:pPr>
        <w:tabs>
          <w:tab w:val="left" w:pos="851"/>
        </w:tabs>
        <w:ind w:left="851" w:right="901"/>
        <w:jc w:val="both"/>
        <w:rPr>
          <w:rFonts w:ascii="Palatino Linotype" w:eastAsia="Palatino Linotype" w:hAnsi="Palatino Linotype" w:cs="Palatino Linotype"/>
          <w:sz w:val="22"/>
          <w:szCs w:val="22"/>
        </w:rPr>
      </w:pPr>
    </w:p>
    <w:p w14:paraId="3F05AF65"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Asimismo, se estima que el requisito relativo al nombre de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10456">
        <w:rPr>
          <w:rFonts w:ascii="Palatino Linotype" w:eastAsia="Palatino Linotype" w:hAnsi="Palatino Linotype" w:cs="Palatino Linotype"/>
          <w:b/>
        </w:rPr>
        <w:t xml:space="preserve">EL RECURRENTE </w:t>
      </w:r>
      <w:r w:rsidRPr="00A10456">
        <w:rPr>
          <w:rFonts w:ascii="Palatino Linotype" w:eastAsia="Palatino Linotype" w:hAnsi="Palatino Linotype" w:cs="Palatino Linotype"/>
        </w:rPr>
        <w:t xml:space="preserve"> es la misma persona que realizó la solicitud de Acceso a la Información Pública que ahora se impugna.</w:t>
      </w:r>
    </w:p>
    <w:p w14:paraId="58268125"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58353EE8" w14:textId="77777777" w:rsidR="00815F8D" w:rsidRPr="00A10456" w:rsidRDefault="00815F8D">
      <w:pPr>
        <w:spacing w:line="360" w:lineRule="auto"/>
        <w:jc w:val="both"/>
        <w:rPr>
          <w:rFonts w:ascii="Palatino Linotype" w:eastAsia="Palatino Linotype" w:hAnsi="Palatino Linotype" w:cs="Palatino Linotype"/>
          <w:b/>
          <w:sz w:val="28"/>
          <w:szCs w:val="28"/>
        </w:rPr>
      </w:pPr>
    </w:p>
    <w:p w14:paraId="0DBB3BA7" w14:textId="77777777" w:rsidR="00815F8D" w:rsidRPr="00A10456" w:rsidRDefault="00F25C9B">
      <w:pPr>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sz w:val="28"/>
          <w:szCs w:val="28"/>
        </w:rPr>
        <w:t>QUINTO</w:t>
      </w:r>
      <w:r w:rsidRPr="00A10456">
        <w:rPr>
          <w:rFonts w:ascii="Palatino Linotype" w:eastAsia="Palatino Linotype" w:hAnsi="Palatino Linotype" w:cs="Palatino Linotype"/>
          <w:b/>
        </w:rPr>
        <w:t xml:space="preserve">. Estudio y resolución del asunto. </w:t>
      </w:r>
    </w:p>
    <w:p w14:paraId="62EC2253" w14:textId="77777777" w:rsidR="00815F8D" w:rsidRPr="00A10456" w:rsidRDefault="00F25C9B">
      <w:pPr>
        <w:tabs>
          <w:tab w:val="left" w:pos="709"/>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En primera instancia es importante recordar que,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solicitó al </w:t>
      </w:r>
      <w:r w:rsidRPr="00A10456">
        <w:rPr>
          <w:rFonts w:ascii="Palatino Linotype" w:eastAsia="Palatino Linotype" w:hAnsi="Palatino Linotype" w:cs="Palatino Linotype"/>
          <w:b/>
        </w:rPr>
        <w:t xml:space="preserve">SUJETO </w:t>
      </w:r>
      <w:proofErr w:type="gramStart"/>
      <w:r w:rsidRPr="00A10456">
        <w:rPr>
          <w:rFonts w:ascii="Palatino Linotype" w:eastAsia="Palatino Linotype" w:hAnsi="Palatino Linotype" w:cs="Palatino Linotype"/>
          <w:b/>
        </w:rPr>
        <w:t xml:space="preserve">OBLIGADO  </w:t>
      </w:r>
      <w:r w:rsidRPr="00A10456">
        <w:rPr>
          <w:rFonts w:ascii="Palatino Linotype" w:eastAsia="Palatino Linotype" w:hAnsi="Palatino Linotype" w:cs="Palatino Linotype"/>
        </w:rPr>
        <w:t>lo</w:t>
      </w:r>
      <w:proofErr w:type="gramEnd"/>
      <w:r w:rsidRPr="00A10456">
        <w:rPr>
          <w:rFonts w:ascii="Palatino Linotype" w:eastAsia="Palatino Linotype" w:hAnsi="Palatino Linotype" w:cs="Palatino Linotype"/>
        </w:rPr>
        <w:t xml:space="preserve"> siguiente: </w:t>
      </w:r>
    </w:p>
    <w:p w14:paraId="17EDADE2"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 el número de policías de seguridad y de tránsito en activo con que cuenta el municipio de Lerma, cuantas patrullas hay en el parque vehicular, clasificadas en las que circulan y las que no y el motivo de su no circulación esto al día de la fecha. Solicito el nombre y cargo de los servidores públicos que integran la Comisión de Honor y Justicia, el número de elementos que tienen iniciado procedimiento administrativo disciplinario ante dicha Comisión y el motivo del inicio de esos procedimientos. Solicito se me proporcione la versión pública de los expedientes iniciados con motivo de la no aprobación del control de confianza del personal operativo en el año 2021 y 2022. Solicito las actas de la Comisión de Honor y Justicia celebradas en el año 2021 y 2022. Solicito se me indique el monto del presupuesto que se destinará a seguridad pública en el 2022. Solicito el programa municipal de seguridad pública y el programa municipal de prevención de la violencia y la delincuencia ambos de 2022. Requiero se me indique el salario de los policías </w:t>
      </w:r>
      <w:proofErr w:type="gramStart"/>
      <w:r w:rsidRPr="00A10456">
        <w:rPr>
          <w:rFonts w:ascii="Palatino Linotype" w:eastAsia="Palatino Linotype" w:hAnsi="Palatino Linotype" w:cs="Palatino Linotype"/>
          <w:i/>
          <w:sz w:val="22"/>
          <w:szCs w:val="22"/>
        </w:rPr>
        <w:t>de acuerdo a</w:t>
      </w:r>
      <w:proofErr w:type="gramEnd"/>
      <w:r w:rsidRPr="00A10456">
        <w:rPr>
          <w:rFonts w:ascii="Palatino Linotype" w:eastAsia="Palatino Linotype" w:hAnsi="Palatino Linotype" w:cs="Palatino Linotype"/>
          <w:i/>
          <w:sz w:val="22"/>
          <w:szCs w:val="22"/>
        </w:rPr>
        <w:t xml:space="preserve"> su categoría.” (Sic)</w:t>
      </w:r>
    </w:p>
    <w:p w14:paraId="143487E1" w14:textId="77777777" w:rsidR="00815F8D" w:rsidRPr="00A10456" w:rsidRDefault="00815F8D">
      <w:pPr>
        <w:tabs>
          <w:tab w:val="left" w:pos="709"/>
        </w:tabs>
        <w:spacing w:line="360" w:lineRule="auto"/>
        <w:jc w:val="both"/>
        <w:rPr>
          <w:rFonts w:ascii="Palatino Linotype" w:eastAsia="Palatino Linotype" w:hAnsi="Palatino Linotype" w:cs="Palatino Linotype"/>
        </w:rPr>
      </w:pPr>
    </w:p>
    <w:p w14:paraId="3E4D6EDF" w14:textId="77777777" w:rsidR="00815F8D" w:rsidRPr="00A10456" w:rsidRDefault="00F25C9B">
      <w:pPr>
        <w:tabs>
          <w:tab w:val="left" w:pos="709"/>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A lo que en respuesta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señaló por medio del Director de Seguridad pública, la clasificación de la información como reservada, lo que en consecuencia actualiza el supuesto de procedencia previsto por la Ley de Transparencia y Acceso a la Información Pública en la fracción II, artículo 179, que es del tenor siguiente:</w:t>
      </w:r>
    </w:p>
    <w:p w14:paraId="3BA33A54"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“Artículo 179. </w:t>
      </w:r>
      <w:r w:rsidRPr="00A10456">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p>
    <w:p w14:paraId="00016FC7"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5229CECD"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II. La clasificación de la información;”</w:t>
      </w:r>
    </w:p>
    <w:p w14:paraId="28EF8071"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 xml:space="preserve">(Énfasis añadido) </w:t>
      </w:r>
    </w:p>
    <w:p w14:paraId="071F3AF5" w14:textId="77777777" w:rsidR="00815F8D" w:rsidRPr="00A10456" w:rsidRDefault="00815F8D">
      <w:pPr>
        <w:tabs>
          <w:tab w:val="left" w:pos="709"/>
        </w:tabs>
        <w:spacing w:line="360" w:lineRule="auto"/>
        <w:jc w:val="both"/>
        <w:rPr>
          <w:rFonts w:ascii="Palatino Linotype" w:eastAsia="Palatino Linotype" w:hAnsi="Palatino Linotype" w:cs="Palatino Linotype"/>
          <w:b/>
        </w:rPr>
      </w:pPr>
    </w:p>
    <w:p w14:paraId="54257C8E" w14:textId="77777777" w:rsidR="00815F8D" w:rsidRPr="00A10456" w:rsidRDefault="00F25C9B">
      <w:pPr>
        <w:widowControl w:val="0"/>
        <w:tabs>
          <w:tab w:val="left" w:pos="0"/>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lo que, corresponde analizar el total de las constancias que obran en el expediente electrónico del SAIMEX, para determinar si con estas se puede colmar el derecho de acceso a la información del particular. </w:t>
      </w:r>
    </w:p>
    <w:p w14:paraId="3D282C3A" w14:textId="77777777" w:rsidR="00815F8D" w:rsidRPr="00A10456" w:rsidRDefault="00815F8D">
      <w:pPr>
        <w:widowControl w:val="0"/>
        <w:tabs>
          <w:tab w:val="left" w:pos="0"/>
        </w:tabs>
        <w:spacing w:line="360" w:lineRule="auto"/>
        <w:jc w:val="both"/>
        <w:rPr>
          <w:rFonts w:ascii="Palatino Linotype" w:eastAsia="Palatino Linotype" w:hAnsi="Palatino Linotype" w:cs="Palatino Linotype"/>
        </w:rPr>
      </w:pPr>
    </w:p>
    <w:p w14:paraId="49358257"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Además, se debe resaltar que con las manifestaciones hechas valer por 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en su respuesta proporcionada en el SAIMEX, éste no niega contar con la información solicitada por </w:t>
      </w:r>
      <w:r w:rsidR="00A10456" w:rsidRPr="00A10456">
        <w:rPr>
          <w:rFonts w:ascii="Palatino Linotype" w:eastAsia="Palatino Linotype" w:hAnsi="Palatino Linotype" w:cs="Palatino Linotype"/>
          <w:b/>
        </w:rPr>
        <w:t>EL</w:t>
      </w:r>
      <w:r w:rsidRPr="00A10456">
        <w:rPr>
          <w:rFonts w:ascii="Palatino Linotype" w:eastAsia="Palatino Linotype" w:hAnsi="Palatino Linotype" w:cs="Palatino Linotype"/>
        </w:rPr>
        <w:t xml:space="preserve"> </w:t>
      </w:r>
      <w:r w:rsidR="00A10456" w:rsidRPr="00A10456">
        <w:rPr>
          <w:rFonts w:ascii="Palatino Linotype" w:eastAsia="Palatino Linotype" w:hAnsi="Palatino Linotype" w:cs="Palatino Linotype"/>
          <w:b/>
        </w:rPr>
        <w:t>RECURRENTE</w:t>
      </w:r>
      <w:r w:rsidRPr="00A10456">
        <w:rPr>
          <w:rFonts w:ascii="Palatino Linotype" w:eastAsia="Palatino Linotype" w:hAnsi="Palatino Linotype" w:cs="Palatino Linotype"/>
        </w:rPr>
        <w:t>, sino por el contrario, asume que la tiene al hacer la reserva de la información solicitada, por lo cual, la competencia del Ayuntamiento para generar la información solicitada, en el caso concreto, se obvia.</w:t>
      </w:r>
    </w:p>
    <w:p w14:paraId="24D61235" w14:textId="77777777" w:rsidR="00815F8D" w:rsidRPr="00A10456" w:rsidRDefault="00815F8D">
      <w:pPr>
        <w:spacing w:line="360" w:lineRule="auto"/>
        <w:jc w:val="both"/>
        <w:rPr>
          <w:rFonts w:ascii="Palatino Linotype" w:eastAsia="Palatino Linotype" w:hAnsi="Palatino Linotype" w:cs="Palatino Linotype"/>
        </w:rPr>
      </w:pPr>
    </w:p>
    <w:p w14:paraId="4385437C" w14:textId="77777777" w:rsidR="00815F8D" w:rsidRPr="00A10456" w:rsidRDefault="00F25C9B">
      <w:pPr>
        <w:widowControl w:val="0"/>
        <w:spacing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Lo anterior es así, ya que el estudio enunciado tiene por objeto determinar si 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genera, posee o administra la información solicitada; sin embargo, en aquellos casos en que éste la asume, ello efectivamente está en su poder; por </w:t>
      </w:r>
      <w:r w:rsidRPr="00A10456">
        <w:rPr>
          <w:rFonts w:ascii="Palatino Linotype" w:eastAsia="Palatino Linotype" w:hAnsi="Palatino Linotype" w:cs="Palatino Linotype"/>
        </w:rPr>
        <w:lastRenderedPageBreak/>
        <w:t xml:space="preserve">consiguiente, sería ocioso y a nada práctico nos conduciría su estudio, ya que se insiste, la información pública solicitada fue asumida por el </w:t>
      </w:r>
      <w:r w:rsidRPr="00A10456">
        <w:rPr>
          <w:rFonts w:ascii="Palatino Linotype" w:eastAsia="Palatino Linotype" w:hAnsi="Palatino Linotype" w:cs="Palatino Linotype"/>
          <w:b/>
        </w:rPr>
        <w:t xml:space="preserve">SUJETO OBLIGADO, </w:t>
      </w:r>
      <w:r w:rsidRPr="00A10456">
        <w:rPr>
          <w:rFonts w:ascii="Palatino Linotype" w:eastAsia="Palatino Linotype" w:hAnsi="Palatino Linotype" w:cs="Palatino Linotype"/>
        </w:rPr>
        <w:t>lo anterior conforme al criterio 29/2010 del Instituto Nacional de Transparencia, Acceso a la Información Pública y Protección de Datos Personales, que señala:</w:t>
      </w:r>
    </w:p>
    <w:p w14:paraId="6A7AC9C8" w14:textId="77777777" w:rsidR="00815F8D" w:rsidRPr="00A10456" w:rsidRDefault="00F25C9B">
      <w:pPr>
        <w:ind w:left="851" w:right="90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“La clasificación y la inexistencia de información son conceptos que no pueden coexistir.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A10456">
        <w:rPr>
          <w:rFonts w:ascii="Palatino Linotype" w:eastAsia="Palatino Linotype" w:hAnsi="Palatino Linotype" w:cs="Palatino Linotype"/>
          <w:i/>
          <w:sz w:val="22"/>
          <w:szCs w:val="22"/>
        </w:rPr>
        <w:t>contenida  en</w:t>
      </w:r>
      <w:proofErr w:type="gramEnd"/>
      <w:r w:rsidRPr="00A10456">
        <w:rPr>
          <w:rFonts w:ascii="Palatino Linotype" w:eastAsia="Palatino Linotype" w:hAnsi="Palatino Linotype" w:cs="Palatino Linotype"/>
          <w:i/>
          <w:sz w:val="22"/>
          <w:szCs w:val="22"/>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w:t>
      </w:r>
      <w:proofErr w:type="spellStart"/>
      <w:proofErr w:type="gramStart"/>
      <w:r w:rsidRPr="00A10456">
        <w:rPr>
          <w:rFonts w:ascii="Palatino Linotype" w:eastAsia="Palatino Linotype" w:hAnsi="Palatino Linotype" w:cs="Palatino Linotype"/>
          <w:i/>
          <w:sz w:val="22"/>
          <w:szCs w:val="22"/>
        </w:rPr>
        <w:t>trate.l</w:t>
      </w:r>
      <w:proofErr w:type="spellEnd"/>
      <w:proofErr w:type="gramEnd"/>
      <w:r w:rsidRPr="00A10456">
        <w:rPr>
          <w:rFonts w:ascii="Palatino Linotype" w:eastAsia="Palatino Linotype" w:hAnsi="Palatino Linotype" w:cs="Palatino Linotype"/>
          <w:i/>
          <w:sz w:val="22"/>
          <w:szCs w:val="22"/>
        </w:rPr>
        <w:t>” (Sic)</w:t>
      </w:r>
    </w:p>
    <w:p w14:paraId="039BE06A" w14:textId="77777777" w:rsidR="00815F8D" w:rsidRPr="00A10456" w:rsidRDefault="00815F8D">
      <w:pPr>
        <w:shd w:val="clear" w:color="auto" w:fill="FFFFFF"/>
        <w:spacing w:line="360" w:lineRule="auto"/>
        <w:jc w:val="both"/>
        <w:rPr>
          <w:rFonts w:ascii="Palatino Linotype" w:eastAsia="Palatino Linotype" w:hAnsi="Palatino Linotype" w:cs="Palatino Linotype"/>
        </w:rPr>
      </w:pPr>
    </w:p>
    <w:p w14:paraId="0DFD056C" w14:textId="77777777" w:rsidR="00815F8D" w:rsidRPr="00A10456" w:rsidRDefault="00F25C9B">
      <w:pPr>
        <w:shd w:val="clear" w:color="auto" w:fill="FFFFFF"/>
        <w:spacing w:after="28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Señalado lo anterior se procede analizar la reserva de la información hecha valer por 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w:t>
      </w:r>
    </w:p>
    <w:p w14:paraId="3EC5BB94"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Una vez establecido lo anterior, corresponde analizar el acuerdo de reserva remitido por 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en respuesta, para determinar si la misma cumple con los requisitos establecidos por la Ley de Transparencia y Acceso a la Información Pública del Estado de México y Municipios. </w:t>
      </w:r>
    </w:p>
    <w:p w14:paraId="42B9F136" w14:textId="77777777" w:rsidR="00815F8D" w:rsidRPr="00A10456" w:rsidRDefault="00815F8D">
      <w:pPr>
        <w:spacing w:line="360" w:lineRule="auto"/>
        <w:jc w:val="both"/>
        <w:rPr>
          <w:rFonts w:ascii="Palatino Linotype" w:eastAsia="Palatino Linotype" w:hAnsi="Palatino Linotype" w:cs="Palatino Linotype"/>
        </w:rPr>
      </w:pPr>
    </w:p>
    <w:p w14:paraId="7267734A"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En tal sentido,  la misma Ley en cita, define como información de interés público, a aquella que resulta relevante o beneficiosa para la sociedad y no simplemente de interés individual, cuya divulgación resulta útil para que el público comprenda las actividades que llevan a cabo los sujetos obligados, definiendo también como </w:t>
      </w:r>
      <w:r w:rsidRPr="00A10456">
        <w:rPr>
          <w:rFonts w:ascii="Palatino Linotype" w:eastAsia="Palatino Linotype" w:hAnsi="Palatino Linotype" w:cs="Palatino Linotype"/>
          <w:b/>
        </w:rPr>
        <w:t>información reservada a la información pública clasificada con este carácter de manera temporal por las disposiciones de la Ley de la Materia, cuya divulgación puede causar daños a la seguridad pública</w:t>
      </w:r>
      <w:r w:rsidRPr="00A10456">
        <w:rPr>
          <w:rFonts w:ascii="Palatino Linotype" w:eastAsia="Palatino Linotype" w:hAnsi="Palatino Linotype" w:cs="Palatino Linotype"/>
        </w:rPr>
        <w:t>, y como información confidencial, los secretos bancario, fiduciario, industrial, comercial, fiscal, bursátil y postal, cuya titularidad corresponda a particulares, sujetos de derecho internacional o sujetos obligados cuando no involucren el ejercicio de recursos públicos.</w:t>
      </w:r>
    </w:p>
    <w:p w14:paraId="05BED373" w14:textId="77777777" w:rsidR="00815F8D" w:rsidRPr="00A10456" w:rsidRDefault="00F25C9B">
      <w:pPr>
        <w:spacing w:before="240"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La misma norma referida, considera en su artículo 140 que el acceso a la información pública será restringido excepcionalmente por razones de interés público, cuando esta sea clasificada </w:t>
      </w:r>
      <w:r w:rsidRPr="00A10456">
        <w:rPr>
          <w:rFonts w:ascii="Palatino Linotype" w:eastAsia="Palatino Linotype" w:hAnsi="Palatino Linotype" w:cs="Palatino Linotype"/>
          <w:b/>
        </w:rPr>
        <w:t>como reservada porque se comprometa la seguridad pública</w:t>
      </w:r>
      <w:r w:rsidRPr="00A10456">
        <w:rPr>
          <w:rFonts w:ascii="Palatino Linotype" w:eastAsia="Palatino Linotype" w:hAnsi="Palatino Linotype" w:cs="Palatino Linotype"/>
        </w:rPr>
        <w:t xml:space="preserve">, así como aquella que pueda causar daño u obstruya la prevención o persecución de los delitos, la impartición de </w:t>
      </w:r>
      <w:proofErr w:type="gramStart"/>
      <w:r w:rsidRPr="00A10456">
        <w:rPr>
          <w:rFonts w:ascii="Palatino Linotype" w:eastAsia="Palatino Linotype" w:hAnsi="Palatino Linotype" w:cs="Palatino Linotype"/>
        </w:rPr>
        <w:t>justicia,</w:t>
      </w:r>
      <w:proofErr w:type="gramEnd"/>
      <w:r w:rsidRPr="00A10456">
        <w:rPr>
          <w:rFonts w:ascii="Palatino Linotype" w:eastAsia="Palatino Linotype" w:hAnsi="Palatino Linotype" w:cs="Palatino Linotype"/>
        </w:rPr>
        <w:t xml:space="preserve"> se ponga en riesgo la vida o la seguridad de una persona, entre otras.</w:t>
      </w:r>
    </w:p>
    <w:p w14:paraId="04C2961B" w14:textId="77777777" w:rsidR="00815F8D" w:rsidRPr="00A10456" w:rsidRDefault="00F25C9B">
      <w:pPr>
        <w:spacing w:before="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En relación con las implicaciones anteriores, cabe considerar que la </w:t>
      </w:r>
      <w:r w:rsidRPr="00A10456">
        <w:rPr>
          <w:rFonts w:ascii="Palatino Linotype" w:eastAsia="Palatino Linotype" w:hAnsi="Palatino Linotype" w:cs="Palatino Linotype"/>
          <w:i/>
        </w:rPr>
        <w:t>clasificación</w:t>
      </w:r>
      <w:r w:rsidRPr="00A10456">
        <w:rPr>
          <w:rFonts w:ascii="Palatino Linotype" w:eastAsia="Palatino Linotype" w:hAnsi="Palatino Linotype" w:cs="Palatino Linotype"/>
        </w:rPr>
        <w:t xml:space="preserve"> es el proceso mediante el cual los sujetos obligados determinan si respecto de la información que obra en su poder se actualiza alguno de los supuestos de reserva o confidencialidad, y para ello, los titulares de las áreas son los responsables de clasificar la información mediante el Comité de Transparencia por ser la autoridad máxima al </w:t>
      </w:r>
      <w:r w:rsidRPr="00A10456">
        <w:rPr>
          <w:rFonts w:ascii="Palatino Linotype" w:eastAsia="Palatino Linotype" w:hAnsi="Palatino Linotype" w:cs="Palatino Linotype"/>
        </w:rPr>
        <w:lastRenderedPageBreak/>
        <w:t>interior de los sujetos obligados, siendo éste un Cuerpo Colegiado que se integra para resolver sobre la información que debe clasificarse, así como para atender y resolver los requerimientos de las Unidades de Transparencia y del Instituto.</w:t>
      </w:r>
    </w:p>
    <w:p w14:paraId="38054D8B" w14:textId="77777777" w:rsidR="00815F8D" w:rsidRPr="00A10456" w:rsidRDefault="00815F8D">
      <w:pPr>
        <w:spacing w:line="360" w:lineRule="auto"/>
        <w:jc w:val="both"/>
        <w:rPr>
          <w:rFonts w:ascii="Palatino Linotype" w:eastAsia="Palatino Linotype" w:hAnsi="Palatino Linotype" w:cs="Palatino Linotype"/>
        </w:rPr>
      </w:pPr>
    </w:p>
    <w:p w14:paraId="3E7CAF21"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Asimismo, la Ley de la Materia establece que la clasificación de la información como reservada permanecerá con tal carácter hasta por un periodo de cinco años contados a partir de su clasificación, salvo que antes de su cumplimiento dejaran de existir los motivos de su reserva, pero excepcionalmente y con aprobación del Comité de Transparencia los sujetos obligados podrán ampliar el periodo de reserva hasta por un periodo de cinco años adicionales y por una sola vez, siempre y cuando justifiquen que subsisten las causas que dieron origen a su clasificación, mediante la aplicación de una prueba de daño, lo que implica que cada área deba elaborar un índice de los expedientes clasificados como reservados, el cual deberá elaborarse semestralmente y publicarse en formatos abiertos al día siguiente de su elaboración, en virtud de que tienen el carácter de información pública.</w:t>
      </w:r>
    </w:p>
    <w:p w14:paraId="50575277" w14:textId="77777777" w:rsidR="00815F8D" w:rsidRPr="00A10456" w:rsidRDefault="00815F8D">
      <w:pPr>
        <w:spacing w:line="360" w:lineRule="auto"/>
        <w:jc w:val="both"/>
        <w:rPr>
          <w:rFonts w:ascii="Palatino Linotype" w:eastAsia="Palatino Linotype" w:hAnsi="Palatino Linotype" w:cs="Palatino Linotype"/>
        </w:rPr>
      </w:pPr>
    </w:p>
    <w:p w14:paraId="41037207" w14:textId="77777777" w:rsidR="00815F8D" w:rsidRPr="00A10456" w:rsidRDefault="00F25C9B">
      <w:pPr>
        <w:spacing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Ahora bien, para motivar la clasificación de la información o en su caso, la ampliación del plazo de reserva, se deberán señalar las razones, motivos o circunstancias especiales que llevaron al sujeto obligado a concluir que el caso particular se ajusta a los supuestos previstos en el artículo 140 de la Ley de Transparencia en la entidad, debiendo en todo </w:t>
      </w:r>
      <w:r w:rsidRPr="00A10456">
        <w:rPr>
          <w:rFonts w:ascii="Palatino Linotype" w:eastAsia="Palatino Linotype" w:hAnsi="Palatino Linotype" w:cs="Palatino Linotype"/>
        </w:rPr>
        <w:lastRenderedPageBreak/>
        <w:t>momento aplicar la prueba de daño</w:t>
      </w:r>
      <w:r w:rsidRPr="00A10456">
        <w:rPr>
          <w:rFonts w:ascii="Palatino Linotype" w:eastAsia="Palatino Linotype" w:hAnsi="Palatino Linotype" w:cs="Palatino Linotype"/>
          <w:vertAlign w:val="superscript"/>
        </w:rPr>
        <w:footnoteReference w:id="1"/>
      </w:r>
      <w:r w:rsidRPr="00A10456">
        <w:rPr>
          <w:rFonts w:ascii="Palatino Linotype" w:eastAsia="Palatino Linotype" w:hAnsi="Palatino Linotype" w:cs="Palatino Linotype"/>
        </w:rPr>
        <w:t xml:space="preserve"> y hacer mención del plazo al que estará sujeto la reserva.</w:t>
      </w:r>
    </w:p>
    <w:p w14:paraId="3C3A455E" w14:textId="77777777" w:rsidR="00815F8D" w:rsidRPr="00A10456" w:rsidRDefault="00F25C9B">
      <w:pPr>
        <w:spacing w:before="240"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La clasificación de la información se llevará a cabo en el momento que se reciba una solicitud de información, cuando se determine mediante resolución de autoridad competente o bien, en la generación de versiones públicas para dar cumplimiento a las obligaciones de transparencia previstas en la Ley. Cuando en un mismo medio, impreso o electrónico se contenga información pública y reservada o confidencial, la Unidad de Transparencia para efectos de atender la solicitud de información, deberá elaborar una versión pública en la que se testen las partes o secciones clasificadas, indicando su contenido de manera genérica y fundando y motivando su clasificación.</w:t>
      </w:r>
    </w:p>
    <w:p w14:paraId="22840449" w14:textId="77777777" w:rsidR="00815F8D" w:rsidRPr="00A10456" w:rsidRDefault="00F25C9B">
      <w:pPr>
        <w:spacing w:before="240"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Los sujetos obligados no podrán emitir acuerdos de carácter general ni particular que clasifiquen documentos o información como reservada. La clasificación podrá establecerse de manera parcial o total </w:t>
      </w:r>
      <w:proofErr w:type="gramStart"/>
      <w:r w:rsidRPr="00A10456">
        <w:rPr>
          <w:rFonts w:ascii="Palatino Linotype" w:eastAsia="Palatino Linotype" w:hAnsi="Palatino Linotype" w:cs="Palatino Linotype"/>
        </w:rPr>
        <w:t>de acuerdo al</w:t>
      </w:r>
      <w:proofErr w:type="gramEnd"/>
      <w:r w:rsidRPr="00A10456">
        <w:rPr>
          <w:rFonts w:ascii="Palatino Linotype" w:eastAsia="Palatino Linotype" w:hAnsi="Palatino Linotype" w:cs="Palatino Linotype"/>
        </w:rPr>
        <w:t xml:space="preserve"> contenido de la información del documento y deberá estar acorde con la actualización de los supuestos definidos en la ley de la materia como información clasificada, en ningún caso se podrán clasificar documentos antes de que se genere la información.</w:t>
      </w:r>
    </w:p>
    <w:p w14:paraId="3DA535E4" w14:textId="77777777" w:rsidR="00815F8D" w:rsidRPr="00A10456" w:rsidRDefault="00F25C9B">
      <w:pPr>
        <w:spacing w:before="240"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En los casos en que la información solicitada por los particulares actualice algún supuesto de información reservada, les corresponde a los sujetos obligados la carga de la prueba para justificar la negativa de acceso a la información.</w:t>
      </w:r>
    </w:p>
    <w:p w14:paraId="06114FB6"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Finalmente,</w:t>
      </w:r>
      <w:r w:rsidRPr="00A10456">
        <w:rPr>
          <w:rFonts w:ascii="Palatino Linotype" w:eastAsia="Palatino Linotype" w:hAnsi="Palatino Linotype" w:cs="Palatino Linotype"/>
          <w:b/>
        </w:rPr>
        <w:t xml:space="preserve"> </w:t>
      </w:r>
      <w:r w:rsidRPr="00A10456">
        <w:rPr>
          <w:rFonts w:ascii="Palatino Linotype" w:eastAsia="Palatino Linotype" w:hAnsi="Palatino Linotype" w:cs="Palatino Linotype"/>
        </w:rPr>
        <w:t xml:space="preserve">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612BB176" w14:textId="77777777" w:rsidR="00815F8D" w:rsidRPr="00A10456" w:rsidRDefault="00815F8D">
      <w:pPr>
        <w:spacing w:line="360" w:lineRule="auto"/>
        <w:jc w:val="both"/>
        <w:rPr>
          <w:rFonts w:ascii="Palatino Linotype" w:eastAsia="Palatino Linotype" w:hAnsi="Palatino Linotype" w:cs="Palatino Linotype"/>
        </w:rPr>
      </w:pPr>
    </w:p>
    <w:p w14:paraId="6443EC7C" w14:textId="77777777" w:rsidR="00815F8D" w:rsidRPr="00A10456" w:rsidRDefault="00F25C9B">
      <w:pPr>
        <w:spacing w:before="240"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Circunstancias no fueron tomadas en cuenta por 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al momento de señalar la reserva de la información, para mejor proveer del presente estudio, resulta necesario, analizar dicho Acuerdo de Reserva de la información antes referido, entregado por 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Generales en Materia de Clasificación </w:t>
      </w:r>
      <w:r w:rsidRPr="00A10456">
        <w:rPr>
          <w:rFonts w:ascii="Palatino Linotype" w:eastAsia="Palatino Linotype" w:hAnsi="Palatino Linotype" w:cs="Palatino Linotype"/>
        </w:rPr>
        <w:lastRenderedPageBreak/>
        <w:t xml:space="preserve">y Desclasificación de la Información, así como para la Elaboración de Versiones Públicas, así como los artículos 91, 128, 129, 140, fracción I y 141, de la Ley de Transparencia y Acceso a la Información Pública del Estado de México y Municipios: </w:t>
      </w:r>
    </w:p>
    <w:p w14:paraId="1CD42B1D" w14:textId="77777777" w:rsidR="00815F8D" w:rsidRPr="00A10456" w:rsidRDefault="00815F8D">
      <w:pPr>
        <w:spacing w:line="360" w:lineRule="auto"/>
        <w:jc w:val="both"/>
        <w:rPr>
          <w:rFonts w:ascii="Palatino Linotype" w:eastAsia="Palatino Linotype" w:hAnsi="Palatino Linotype" w:cs="Palatino Linotype"/>
        </w:rPr>
      </w:pPr>
    </w:p>
    <w:tbl>
      <w:tblPr>
        <w:tblStyle w:val="afffffffa"/>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815F8D" w:rsidRPr="00A10456" w14:paraId="308F2D21"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1286B7C0"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color w:val="FFFFFF"/>
                <w:sz w:val="18"/>
                <w:szCs w:val="18"/>
              </w:rPr>
              <w:t xml:space="preserve">Elementos de la respuesta </w:t>
            </w:r>
          </w:p>
        </w:tc>
        <w:tc>
          <w:tcPr>
            <w:tcW w:w="5812" w:type="dxa"/>
            <w:tcBorders>
              <w:top w:val="single" w:sz="4" w:space="0" w:color="000000"/>
              <w:left w:val="single" w:sz="4" w:space="0" w:color="000000"/>
              <w:bottom w:val="single" w:sz="4" w:space="0" w:color="000000"/>
              <w:right w:val="single" w:sz="4" w:space="0" w:color="000000"/>
            </w:tcBorders>
            <w:shd w:val="clear" w:color="auto" w:fill="7B7B7B"/>
          </w:tcPr>
          <w:p w14:paraId="55440DC6"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color w:val="FFFFFF"/>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2ED15AA5"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color w:val="FFFFFF"/>
              </w:rPr>
              <w:t>Cumple</w:t>
            </w:r>
          </w:p>
        </w:tc>
      </w:tr>
      <w:tr w:rsidR="00815F8D" w:rsidRPr="00A10456" w14:paraId="33C552D0" w14:textId="77777777">
        <w:tc>
          <w:tcPr>
            <w:tcW w:w="1413" w:type="dxa"/>
            <w:tcBorders>
              <w:top w:val="single" w:sz="4" w:space="0" w:color="000000"/>
              <w:left w:val="single" w:sz="4" w:space="0" w:color="000000"/>
              <w:bottom w:val="single" w:sz="4" w:space="0" w:color="000000"/>
              <w:right w:val="single" w:sz="4" w:space="0" w:color="000000"/>
            </w:tcBorders>
          </w:tcPr>
          <w:p w14:paraId="7FC325DF" w14:textId="77777777" w:rsidR="00815F8D" w:rsidRPr="00A10456" w:rsidRDefault="00F25C9B">
            <w:pPr>
              <w:spacing w:before="100" w:after="200" w:line="276" w:lineRule="auto"/>
              <w:jc w:val="center"/>
              <w:rPr>
                <w:rFonts w:ascii="Palatino Linotype" w:eastAsia="Palatino Linotype" w:hAnsi="Palatino Linotype" w:cs="Palatino Linotype"/>
                <w:sz w:val="18"/>
                <w:szCs w:val="18"/>
              </w:rPr>
            </w:pPr>
            <w:r w:rsidRPr="00A10456">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14:paraId="7C90E8E0" w14:textId="77777777" w:rsidR="00815F8D" w:rsidRPr="00A10456" w:rsidRDefault="00F25C9B">
            <w:pPr>
              <w:spacing w:before="100" w:after="200" w:line="276" w:lineRule="auto"/>
              <w:jc w:val="center"/>
              <w:rPr>
                <w:rFonts w:ascii="Calibri" w:eastAsia="Calibri" w:hAnsi="Calibri" w:cs="Calibri"/>
                <w:sz w:val="20"/>
                <w:szCs w:val="20"/>
              </w:rPr>
            </w:pPr>
            <w:r w:rsidRPr="00A10456">
              <w:rPr>
                <w:rFonts w:ascii="Calibri" w:eastAsia="Calibri" w:hAnsi="Calibri" w:cs="Calibri"/>
                <w:sz w:val="20"/>
                <w:szCs w:val="20"/>
              </w:rPr>
              <w:t xml:space="preserve">No se advierte el número de folio de la solicitud de </w:t>
            </w:r>
            <w:proofErr w:type="gramStart"/>
            <w:r w:rsidRPr="00A10456">
              <w:rPr>
                <w:rFonts w:ascii="Calibri" w:eastAsia="Calibri" w:hAnsi="Calibri" w:cs="Calibri"/>
                <w:sz w:val="20"/>
                <w:szCs w:val="20"/>
              </w:rPr>
              <w:t>información  en</w:t>
            </w:r>
            <w:proofErr w:type="gramEnd"/>
            <w:r w:rsidRPr="00A10456">
              <w:rPr>
                <w:rFonts w:ascii="Calibri" w:eastAsia="Calibri" w:hAnsi="Calibri" w:cs="Calibri"/>
                <w:sz w:val="20"/>
                <w:szCs w:val="20"/>
              </w:rPr>
              <w:t xml:space="preserve"> la respuesta entregada </w:t>
            </w:r>
          </w:p>
        </w:tc>
        <w:tc>
          <w:tcPr>
            <w:tcW w:w="1603" w:type="dxa"/>
            <w:tcBorders>
              <w:top w:val="single" w:sz="4" w:space="0" w:color="000000"/>
              <w:left w:val="single" w:sz="4" w:space="0" w:color="000000"/>
              <w:bottom w:val="single" w:sz="4" w:space="0" w:color="000000"/>
              <w:right w:val="single" w:sz="4" w:space="0" w:color="000000"/>
            </w:tcBorders>
          </w:tcPr>
          <w:p w14:paraId="5E42C5CB" w14:textId="77777777" w:rsidR="00815F8D" w:rsidRPr="00A10456" w:rsidRDefault="00F25C9B">
            <w:pPr>
              <w:spacing w:before="100" w:after="200" w:line="276" w:lineRule="auto"/>
              <w:jc w:val="center"/>
              <w:rPr>
                <w:rFonts w:ascii="Palatino Linotype" w:eastAsia="Palatino Linotype" w:hAnsi="Palatino Linotype" w:cs="Palatino Linotype"/>
              </w:rPr>
            </w:pPr>
            <w:r w:rsidRPr="00A10456">
              <w:rPr>
                <w:rFonts w:ascii="Palatino Linotype" w:eastAsia="Palatino Linotype" w:hAnsi="Palatino Linotype" w:cs="Palatino Linotype"/>
                <w:b/>
              </w:rPr>
              <w:t>No</w:t>
            </w:r>
          </w:p>
          <w:p w14:paraId="42AAF6A8" w14:textId="77777777" w:rsidR="00815F8D" w:rsidRPr="00A10456" w:rsidRDefault="00F25C9B">
            <w:pPr>
              <w:spacing w:before="100" w:after="200" w:line="276" w:lineRule="auto"/>
              <w:rPr>
                <w:rFonts w:ascii="Palatino Linotype" w:eastAsia="Palatino Linotype" w:hAnsi="Palatino Linotype" w:cs="Palatino Linotype"/>
                <w:b/>
                <w:sz w:val="20"/>
                <w:szCs w:val="20"/>
              </w:rPr>
            </w:pPr>
            <w:r w:rsidRPr="00A10456">
              <w:rPr>
                <w:rFonts w:ascii="Palatino Linotype" w:eastAsia="Palatino Linotype" w:hAnsi="Palatino Linotype" w:cs="Palatino Linotype"/>
                <w:sz w:val="20"/>
                <w:szCs w:val="20"/>
              </w:rPr>
              <w:t xml:space="preserve"> </w:t>
            </w:r>
          </w:p>
        </w:tc>
      </w:tr>
      <w:tr w:rsidR="00815F8D" w:rsidRPr="00A10456" w14:paraId="59612CCC" w14:textId="77777777">
        <w:tc>
          <w:tcPr>
            <w:tcW w:w="1413" w:type="dxa"/>
            <w:tcBorders>
              <w:top w:val="single" w:sz="4" w:space="0" w:color="000000"/>
              <w:left w:val="single" w:sz="4" w:space="0" w:color="000000"/>
              <w:bottom w:val="single" w:sz="4" w:space="0" w:color="000000"/>
              <w:right w:val="single" w:sz="4" w:space="0" w:color="000000"/>
            </w:tcBorders>
          </w:tcPr>
          <w:p w14:paraId="3406CFDA" w14:textId="77777777" w:rsidR="00815F8D" w:rsidRPr="00A10456" w:rsidRDefault="00F25C9B">
            <w:pPr>
              <w:spacing w:before="100" w:after="200" w:line="276" w:lineRule="auto"/>
              <w:jc w:val="center"/>
              <w:rPr>
                <w:rFonts w:ascii="Palatino Linotype" w:eastAsia="Palatino Linotype" w:hAnsi="Palatino Linotype" w:cs="Palatino Linotype"/>
                <w:sz w:val="18"/>
                <w:szCs w:val="18"/>
              </w:rPr>
            </w:pPr>
            <w:r w:rsidRPr="00A10456">
              <w:rPr>
                <w:rFonts w:ascii="Palatino Linotype" w:eastAsia="Palatino Linotype" w:hAnsi="Palatino Linotype" w:cs="Palatino Linotype"/>
                <w:b/>
                <w:sz w:val="18"/>
                <w:szCs w:val="18"/>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14:paraId="0460B351" w14:textId="77777777" w:rsidR="00815F8D" w:rsidRPr="00A10456" w:rsidRDefault="00815F8D">
            <w:pPr>
              <w:spacing w:before="100" w:after="200" w:line="276" w:lineRule="auto"/>
              <w:jc w:val="center"/>
            </w:pPr>
          </w:p>
          <w:p w14:paraId="0CCBEB18" w14:textId="77777777" w:rsidR="00815F8D" w:rsidRPr="00A10456" w:rsidRDefault="00F25C9B">
            <w:pPr>
              <w:spacing w:before="100" w:after="200" w:line="276" w:lineRule="auto"/>
              <w:jc w:val="center"/>
              <w:rPr>
                <w:rFonts w:ascii="Palatino Linotype" w:eastAsia="Palatino Linotype" w:hAnsi="Palatino Linotype" w:cs="Palatino Linotype"/>
              </w:rPr>
            </w:pPr>
            <w:r w:rsidRPr="00A10456">
              <w:rPr>
                <w:rFonts w:ascii="Palatino Linotype" w:eastAsia="Palatino Linotype" w:hAnsi="Palatino Linotype" w:cs="Palatino Linotype"/>
                <w:noProof/>
              </w:rPr>
              <w:drawing>
                <wp:inline distT="114300" distB="114300" distL="114300" distR="114300" wp14:anchorId="35C11816" wp14:editId="4BC5CB8C">
                  <wp:extent cx="3533775" cy="1346200"/>
                  <wp:effectExtent l="0" t="0" r="0" b="0"/>
                  <wp:docPr id="3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533775" cy="13462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0606A1D5" w14:textId="77777777" w:rsidR="00815F8D" w:rsidRPr="00A10456" w:rsidRDefault="00F25C9B">
            <w:pPr>
              <w:spacing w:before="100" w:after="200" w:line="276" w:lineRule="auto"/>
              <w:jc w:val="center"/>
              <w:rPr>
                <w:rFonts w:ascii="Palatino Linotype" w:eastAsia="Palatino Linotype" w:hAnsi="Palatino Linotype" w:cs="Palatino Linotype"/>
                <w:b/>
              </w:rPr>
            </w:pPr>
            <w:r w:rsidRPr="00A10456">
              <w:rPr>
                <w:rFonts w:ascii="Palatino Linotype" w:eastAsia="Palatino Linotype" w:hAnsi="Palatino Linotype" w:cs="Palatino Linotype"/>
                <w:b/>
              </w:rPr>
              <w:t>Sí</w:t>
            </w:r>
          </w:p>
          <w:p w14:paraId="477B1F00" w14:textId="77777777" w:rsidR="00815F8D" w:rsidRPr="00A10456" w:rsidRDefault="00F25C9B">
            <w:pPr>
              <w:spacing w:before="100" w:after="200" w:line="276" w:lineRule="auto"/>
              <w:rPr>
                <w:rFonts w:ascii="Palatino Linotype" w:eastAsia="Palatino Linotype" w:hAnsi="Palatino Linotype" w:cs="Palatino Linotype"/>
                <w:sz w:val="18"/>
                <w:szCs w:val="18"/>
              </w:rPr>
            </w:pPr>
            <w:r w:rsidRPr="00A10456">
              <w:rPr>
                <w:rFonts w:ascii="Palatino Linotype" w:eastAsia="Palatino Linotype" w:hAnsi="Palatino Linotype" w:cs="Palatino Linotype"/>
                <w:sz w:val="18"/>
                <w:szCs w:val="18"/>
              </w:rPr>
              <w:t>Siendo información que es considerada como pública, que puede entregarse en versión pública</w:t>
            </w:r>
          </w:p>
        </w:tc>
      </w:tr>
      <w:tr w:rsidR="00815F8D" w:rsidRPr="00A10456" w14:paraId="188749B5" w14:textId="77777777">
        <w:tc>
          <w:tcPr>
            <w:tcW w:w="1413" w:type="dxa"/>
            <w:tcBorders>
              <w:top w:val="single" w:sz="4" w:space="0" w:color="000000"/>
              <w:left w:val="single" w:sz="4" w:space="0" w:color="000000"/>
              <w:bottom w:val="single" w:sz="4" w:space="0" w:color="000000"/>
              <w:right w:val="single" w:sz="4" w:space="0" w:color="000000"/>
            </w:tcBorders>
          </w:tcPr>
          <w:p w14:paraId="00007A3C" w14:textId="77777777" w:rsidR="00815F8D" w:rsidRPr="00A10456" w:rsidRDefault="00F25C9B">
            <w:pPr>
              <w:spacing w:before="100" w:after="200" w:line="276" w:lineRule="auto"/>
              <w:jc w:val="center"/>
              <w:rPr>
                <w:rFonts w:ascii="Palatino Linotype" w:eastAsia="Palatino Linotype" w:hAnsi="Palatino Linotype" w:cs="Palatino Linotype"/>
                <w:sz w:val="18"/>
                <w:szCs w:val="18"/>
              </w:rPr>
            </w:pPr>
            <w:r w:rsidRPr="00A10456">
              <w:rPr>
                <w:rFonts w:ascii="Palatino Linotype" w:eastAsia="Palatino Linotype" w:hAnsi="Palatino Linotype" w:cs="Palatino Linotype"/>
                <w:b/>
                <w:sz w:val="18"/>
                <w:szCs w:val="18"/>
              </w:rPr>
              <w:t xml:space="preserve">Causal aplicable del artículo 113 de la Ley General, vinculándola con el Lineamiento específico del presente </w:t>
            </w:r>
            <w:r w:rsidRPr="00A10456">
              <w:rPr>
                <w:rFonts w:ascii="Palatino Linotype" w:eastAsia="Palatino Linotype" w:hAnsi="Palatino Linotype" w:cs="Palatino Linotype"/>
                <w:b/>
                <w:sz w:val="18"/>
                <w:szCs w:val="18"/>
              </w:rPr>
              <w:lastRenderedPageBreak/>
              <w:t>ordenamiento y, cuando corresponda, el supuesto 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14:paraId="2D5E0765" w14:textId="77777777" w:rsidR="00815F8D" w:rsidRPr="00A10456" w:rsidRDefault="00F25C9B">
            <w:pPr>
              <w:spacing w:before="100" w:after="200" w:line="276" w:lineRule="auto"/>
            </w:pPr>
            <w:r w:rsidRPr="00A10456">
              <w:lastRenderedPageBreak/>
              <w:t xml:space="preserve"> </w:t>
            </w:r>
            <w:r w:rsidRPr="00A10456">
              <w:rPr>
                <w:noProof/>
              </w:rPr>
              <w:drawing>
                <wp:inline distT="114300" distB="114300" distL="114300" distR="114300" wp14:anchorId="7E1EA59A" wp14:editId="78C40CCA">
                  <wp:extent cx="3533775" cy="673100"/>
                  <wp:effectExtent l="0" t="0" r="0" b="0"/>
                  <wp:docPr id="3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33775" cy="673100"/>
                          </a:xfrm>
                          <a:prstGeom prst="rect">
                            <a:avLst/>
                          </a:prstGeom>
                          <a:ln/>
                        </pic:spPr>
                      </pic:pic>
                    </a:graphicData>
                  </a:graphic>
                </wp:inline>
              </w:drawing>
            </w:r>
          </w:p>
          <w:p w14:paraId="0B4E7EFE" w14:textId="77777777" w:rsidR="00815F8D" w:rsidRPr="00A10456" w:rsidRDefault="00815F8D">
            <w:pPr>
              <w:spacing w:before="100" w:after="200" w:line="276" w:lineRule="auto"/>
              <w:rPr>
                <w:rFonts w:ascii="Calibri" w:eastAsia="Calibri" w:hAnsi="Calibri" w:cs="Calibri"/>
                <w:sz w:val="20"/>
                <w:szCs w:val="20"/>
              </w:rPr>
            </w:pPr>
          </w:p>
          <w:p w14:paraId="5D6A9A9B" w14:textId="77777777" w:rsidR="00815F8D" w:rsidRPr="00A10456" w:rsidRDefault="00815F8D">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5DBA1F52" w14:textId="77777777" w:rsidR="00815F8D" w:rsidRPr="00A10456" w:rsidRDefault="00F25C9B">
            <w:pPr>
              <w:spacing w:before="100" w:after="200" w:line="276" w:lineRule="auto"/>
              <w:jc w:val="center"/>
              <w:rPr>
                <w:rFonts w:ascii="Palatino Linotype" w:eastAsia="Palatino Linotype" w:hAnsi="Palatino Linotype" w:cs="Palatino Linotype"/>
                <w:b/>
              </w:rPr>
            </w:pPr>
            <w:r w:rsidRPr="00A10456">
              <w:rPr>
                <w:rFonts w:ascii="Palatino Linotype" w:eastAsia="Palatino Linotype" w:hAnsi="Palatino Linotype" w:cs="Palatino Linotype"/>
                <w:b/>
              </w:rPr>
              <w:t xml:space="preserve">No </w:t>
            </w:r>
          </w:p>
          <w:p w14:paraId="48508606" w14:textId="77777777" w:rsidR="00815F8D" w:rsidRPr="00A10456" w:rsidRDefault="00F25C9B">
            <w:pPr>
              <w:spacing w:before="100" w:after="200" w:line="276" w:lineRule="auto"/>
              <w:jc w:val="both"/>
              <w:rPr>
                <w:rFonts w:ascii="Palatino Linotype" w:eastAsia="Palatino Linotype" w:hAnsi="Palatino Linotype" w:cs="Palatino Linotype"/>
                <w:sz w:val="18"/>
                <w:szCs w:val="18"/>
              </w:rPr>
            </w:pPr>
            <w:r w:rsidRPr="00A10456">
              <w:rPr>
                <w:rFonts w:ascii="Palatino Linotype" w:eastAsia="Palatino Linotype" w:hAnsi="Palatino Linotype" w:cs="Palatino Linotype"/>
                <w:sz w:val="18"/>
                <w:szCs w:val="18"/>
              </w:rPr>
              <w:t xml:space="preserve">Únicamente refiere el artículo 112 de la Ley General sin señalar porque es aplicable </w:t>
            </w:r>
          </w:p>
          <w:p w14:paraId="543269F9" w14:textId="77777777" w:rsidR="00815F8D" w:rsidRPr="00A10456" w:rsidRDefault="00F25C9B">
            <w:pPr>
              <w:spacing w:before="100" w:after="200" w:line="276" w:lineRule="auto"/>
              <w:jc w:val="center"/>
              <w:rPr>
                <w:rFonts w:ascii="Palatino Linotype" w:eastAsia="Palatino Linotype" w:hAnsi="Palatino Linotype" w:cs="Palatino Linotype"/>
                <w:b/>
                <w:sz w:val="16"/>
                <w:szCs w:val="16"/>
              </w:rPr>
            </w:pPr>
            <w:r w:rsidRPr="00A10456">
              <w:rPr>
                <w:rFonts w:ascii="Palatino Linotype" w:eastAsia="Palatino Linotype" w:hAnsi="Palatino Linotype" w:cs="Palatino Linotype"/>
                <w:b/>
                <w:sz w:val="16"/>
                <w:szCs w:val="16"/>
              </w:rPr>
              <w:t xml:space="preserve"> </w:t>
            </w:r>
          </w:p>
          <w:p w14:paraId="2D184E79" w14:textId="77777777" w:rsidR="00815F8D" w:rsidRPr="00A10456" w:rsidRDefault="00815F8D">
            <w:pPr>
              <w:spacing w:before="100" w:after="200" w:line="276" w:lineRule="auto"/>
              <w:jc w:val="center"/>
              <w:rPr>
                <w:rFonts w:ascii="Palatino Linotype" w:eastAsia="Palatino Linotype" w:hAnsi="Palatino Linotype" w:cs="Palatino Linotype"/>
                <w:b/>
                <w:sz w:val="20"/>
                <w:szCs w:val="20"/>
              </w:rPr>
            </w:pPr>
          </w:p>
        </w:tc>
      </w:tr>
      <w:tr w:rsidR="00815F8D" w:rsidRPr="00A10456" w14:paraId="06AAE373" w14:textId="77777777">
        <w:tc>
          <w:tcPr>
            <w:tcW w:w="1413" w:type="dxa"/>
            <w:tcBorders>
              <w:top w:val="single" w:sz="4" w:space="0" w:color="000000"/>
              <w:left w:val="single" w:sz="4" w:space="0" w:color="000000"/>
              <w:bottom w:val="single" w:sz="4" w:space="0" w:color="000000"/>
              <w:right w:val="single" w:sz="4" w:space="0" w:color="000000"/>
            </w:tcBorders>
          </w:tcPr>
          <w:p w14:paraId="19235EC0" w14:textId="77777777" w:rsidR="00815F8D" w:rsidRPr="00A10456" w:rsidRDefault="00F25C9B">
            <w:pPr>
              <w:spacing w:before="100" w:after="200" w:line="276" w:lineRule="auto"/>
              <w:jc w:val="center"/>
              <w:rPr>
                <w:rFonts w:ascii="Palatino Linotype" w:eastAsia="Palatino Linotype" w:hAnsi="Palatino Linotype" w:cs="Palatino Linotype"/>
                <w:sz w:val="18"/>
                <w:szCs w:val="18"/>
              </w:rPr>
            </w:pPr>
            <w:r w:rsidRPr="00A10456">
              <w:rPr>
                <w:rFonts w:ascii="Palatino Linotype" w:eastAsia="Palatino Linotype" w:hAnsi="Palatino Linotype" w:cs="Palatino Linotype"/>
                <w:b/>
                <w:sz w:val="18"/>
                <w:szCs w:val="18"/>
              </w:rPr>
              <w:lastRenderedPageBreak/>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14:paraId="7CF6B5DA" w14:textId="77777777" w:rsidR="00815F8D" w:rsidRPr="00A10456" w:rsidRDefault="00F25C9B">
            <w:pPr>
              <w:spacing w:before="100" w:after="200" w:line="276" w:lineRule="auto"/>
              <w:rPr>
                <w:rFonts w:ascii="Calibri" w:eastAsia="Calibri" w:hAnsi="Calibri" w:cs="Calibri"/>
                <w:sz w:val="20"/>
                <w:szCs w:val="20"/>
              </w:rPr>
            </w:pPr>
            <w:r w:rsidRPr="00A10456">
              <w:rPr>
                <w:rFonts w:ascii="Calibri" w:eastAsia="Calibri" w:hAnsi="Calibri" w:cs="Calibri"/>
                <w:noProof/>
                <w:sz w:val="20"/>
                <w:szCs w:val="20"/>
              </w:rPr>
              <w:drawing>
                <wp:inline distT="114300" distB="114300" distL="114300" distR="114300" wp14:anchorId="142B875D" wp14:editId="64F4B680">
                  <wp:extent cx="3533775" cy="3352800"/>
                  <wp:effectExtent l="0" t="0" r="0" b="0"/>
                  <wp:docPr id="3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533775" cy="3352800"/>
                          </a:xfrm>
                          <a:prstGeom prst="rect">
                            <a:avLst/>
                          </a:prstGeom>
                          <a:ln/>
                        </pic:spPr>
                      </pic:pic>
                    </a:graphicData>
                  </a:graphic>
                </wp:inline>
              </w:drawing>
            </w:r>
          </w:p>
          <w:p w14:paraId="1FAB5EB0" w14:textId="77777777" w:rsidR="00815F8D" w:rsidRPr="00A10456" w:rsidRDefault="00F25C9B">
            <w:pPr>
              <w:spacing w:before="100" w:after="200" w:line="276" w:lineRule="auto"/>
              <w:rPr>
                <w:rFonts w:ascii="Calibri" w:eastAsia="Calibri" w:hAnsi="Calibri" w:cs="Calibri"/>
                <w:sz w:val="20"/>
                <w:szCs w:val="20"/>
              </w:rPr>
            </w:pPr>
            <w:r w:rsidRPr="00A10456">
              <w:rPr>
                <w:rFonts w:ascii="Calibri" w:eastAsia="Calibri" w:hAnsi="Calibri" w:cs="Calibri"/>
                <w:noProof/>
                <w:sz w:val="20"/>
                <w:szCs w:val="20"/>
              </w:rPr>
              <w:lastRenderedPageBreak/>
              <w:drawing>
                <wp:inline distT="114300" distB="114300" distL="114300" distR="114300" wp14:anchorId="1B0A43CA" wp14:editId="73D75673">
                  <wp:extent cx="3533775" cy="3175000"/>
                  <wp:effectExtent l="0" t="0" r="0" b="0"/>
                  <wp:docPr id="3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533775" cy="3175000"/>
                          </a:xfrm>
                          <a:prstGeom prst="rect">
                            <a:avLst/>
                          </a:prstGeom>
                          <a:ln/>
                        </pic:spPr>
                      </pic:pic>
                    </a:graphicData>
                  </a:graphic>
                </wp:inline>
              </w:drawing>
            </w:r>
          </w:p>
          <w:p w14:paraId="0C5C4E66" w14:textId="77777777" w:rsidR="00815F8D" w:rsidRPr="00A10456" w:rsidRDefault="00815F8D">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4C3844F8" w14:textId="77777777" w:rsidR="00815F8D" w:rsidRPr="00A10456" w:rsidRDefault="00F25C9B">
            <w:pPr>
              <w:spacing w:before="100" w:after="200" w:line="276" w:lineRule="auto"/>
              <w:jc w:val="center"/>
              <w:rPr>
                <w:rFonts w:ascii="Palatino Linotype" w:eastAsia="Palatino Linotype" w:hAnsi="Palatino Linotype" w:cs="Palatino Linotype"/>
                <w:b/>
                <w:sz w:val="20"/>
                <w:szCs w:val="20"/>
              </w:rPr>
            </w:pPr>
            <w:r w:rsidRPr="00A10456">
              <w:rPr>
                <w:rFonts w:ascii="Palatino Linotype" w:eastAsia="Palatino Linotype" w:hAnsi="Palatino Linotype" w:cs="Palatino Linotype"/>
                <w:b/>
                <w:sz w:val="20"/>
                <w:szCs w:val="20"/>
              </w:rPr>
              <w:lastRenderedPageBreak/>
              <w:t xml:space="preserve">Parcialmente </w:t>
            </w:r>
          </w:p>
          <w:p w14:paraId="25BAB47D" w14:textId="77777777" w:rsidR="00815F8D" w:rsidRPr="00A10456" w:rsidRDefault="00F25C9B">
            <w:pPr>
              <w:spacing w:before="100" w:after="200"/>
              <w:jc w:val="both"/>
              <w:rPr>
                <w:rFonts w:ascii="Palatino Linotype" w:eastAsia="Palatino Linotype" w:hAnsi="Palatino Linotype" w:cs="Palatino Linotype"/>
                <w:sz w:val="18"/>
                <w:szCs w:val="18"/>
              </w:rPr>
            </w:pPr>
            <w:r w:rsidRPr="00A10456">
              <w:rPr>
                <w:rFonts w:ascii="Palatino Linotype" w:eastAsia="Palatino Linotype" w:hAnsi="Palatino Linotype" w:cs="Palatino Linotype"/>
                <w:sz w:val="18"/>
                <w:szCs w:val="18"/>
              </w:rPr>
              <w:t xml:space="preserve">No existe una relación concreta y específica de los preceptos con la información solicitada, además de que no abarca todos los puntos solicitados </w:t>
            </w:r>
          </w:p>
        </w:tc>
      </w:tr>
      <w:tr w:rsidR="00815F8D" w:rsidRPr="00A10456" w14:paraId="360FCF2F" w14:textId="77777777">
        <w:tc>
          <w:tcPr>
            <w:tcW w:w="1413" w:type="dxa"/>
            <w:tcBorders>
              <w:top w:val="single" w:sz="4" w:space="0" w:color="000000"/>
              <w:left w:val="single" w:sz="4" w:space="0" w:color="000000"/>
              <w:bottom w:val="single" w:sz="4" w:space="0" w:color="000000"/>
              <w:right w:val="single" w:sz="4" w:space="0" w:color="000000"/>
            </w:tcBorders>
          </w:tcPr>
          <w:p w14:paraId="64E4638E" w14:textId="77777777" w:rsidR="00815F8D" w:rsidRPr="00A10456" w:rsidRDefault="00F25C9B">
            <w:pPr>
              <w:spacing w:before="100" w:after="200" w:line="276" w:lineRule="auto"/>
              <w:rPr>
                <w:rFonts w:ascii="Palatino Linotype" w:eastAsia="Palatino Linotype" w:hAnsi="Palatino Linotype" w:cs="Palatino Linotype"/>
                <w:b/>
                <w:sz w:val="16"/>
                <w:szCs w:val="16"/>
              </w:rPr>
            </w:pPr>
            <w:r w:rsidRPr="00A10456">
              <w:rPr>
                <w:rFonts w:ascii="Palatino Linotype" w:eastAsia="Palatino Linotype" w:hAnsi="Palatino Linotype" w:cs="Palatino Linotype"/>
                <w:b/>
                <w:sz w:val="16"/>
                <w:szCs w:val="16"/>
              </w:rPr>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28CC21F1" w14:textId="77777777" w:rsidR="00815F8D" w:rsidRPr="00A10456" w:rsidRDefault="00F25C9B">
            <w:pPr>
              <w:spacing w:before="100" w:after="200" w:line="276" w:lineRule="auto"/>
              <w:rPr>
                <w:rFonts w:ascii="Calibri" w:eastAsia="Calibri" w:hAnsi="Calibri" w:cs="Calibri"/>
                <w:sz w:val="20"/>
                <w:szCs w:val="20"/>
              </w:rPr>
            </w:pPr>
            <w:r w:rsidRPr="00A10456">
              <w:rPr>
                <w:rFonts w:ascii="Calibri" w:eastAsia="Calibri" w:hAnsi="Calibri" w:cs="Calibri"/>
                <w:noProof/>
                <w:sz w:val="20"/>
                <w:szCs w:val="20"/>
              </w:rPr>
              <w:drawing>
                <wp:inline distT="114300" distB="114300" distL="114300" distR="114300" wp14:anchorId="271C7137" wp14:editId="09301324">
                  <wp:extent cx="3533775" cy="1689100"/>
                  <wp:effectExtent l="0" t="0" r="0" b="0"/>
                  <wp:docPr id="3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533775" cy="1689100"/>
                          </a:xfrm>
                          <a:prstGeom prst="rect">
                            <a:avLst/>
                          </a:prstGeom>
                          <a:ln/>
                        </pic:spPr>
                      </pic:pic>
                    </a:graphicData>
                  </a:graphic>
                </wp:inline>
              </w:drawing>
            </w:r>
          </w:p>
          <w:p w14:paraId="3A3EEED9" w14:textId="77777777" w:rsidR="00815F8D" w:rsidRPr="00A10456" w:rsidRDefault="00815F8D">
            <w:pPr>
              <w:spacing w:before="100" w:after="200" w:line="276" w:lineRule="auto"/>
              <w:rPr>
                <w:rFonts w:ascii="Calibri" w:eastAsia="Calibri" w:hAnsi="Calibri" w:cs="Calibri"/>
                <w:sz w:val="20"/>
                <w:szCs w:val="20"/>
              </w:rPr>
            </w:pPr>
          </w:p>
          <w:p w14:paraId="1B5DBB93" w14:textId="77777777" w:rsidR="00815F8D" w:rsidRPr="00A10456" w:rsidRDefault="00815F8D">
            <w:pPr>
              <w:spacing w:before="100" w:after="200" w:line="276" w:lineRule="auto"/>
              <w:rPr>
                <w:rFonts w:ascii="Calibri" w:eastAsia="Calibri" w:hAnsi="Calibri" w:cs="Calibri"/>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75F1A77A" w14:textId="77777777" w:rsidR="00815F8D" w:rsidRPr="00A10456" w:rsidRDefault="00F25C9B">
            <w:pPr>
              <w:spacing w:before="100" w:after="200" w:line="276" w:lineRule="auto"/>
              <w:jc w:val="center"/>
              <w:rPr>
                <w:rFonts w:ascii="Palatino Linotype" w:eastAsia="Palatino Linotype" w:hAnsi="Palatino Linotype" w:cs="Palatino Linotype"/>
                <w:b/>
              </w:rPr>
            </w:pPr>
            <w:r w:rsidRPr="00A10456">
              <w:rPr>
                <w:rFonts w:ascii="Palatino Linotype" w:eastAsia="Palatino Linotype" w:hAnsi="Palatino Linotype" w:cs="Palatino Linotype"/>
                <w:b/>
              </w:rPr>
              <w:t>No</w:t>
            </w:r>
          </w:p>
          <w:p w14:paraId="52B2F28C" w14:textId="77777777" w:rsidR="00815F8D" w:rsidRPr="00A10456" w:rsidRDefault="00F25C9B">
            <w:pPr>
              <w:spacing w:before="100" w:after="200" w:line="276" w:lineRule="auto"/>
              <w:jc w:val="both"/>
              <w:rPr>
                <w:rFonts w:ascii="Palatino Linotype" w:eastAsia="Palatino Linotype" w:hAnsi="Palatino Linotype" w:cs="Palatino Linotype"/>
                <w:b/>
                <w:sz w:val="20"/>
                <w:szCs w:val="20"/>
              </w:rPr>
            </w:pPr>
            <w:r w:rsidRPr="00A10456">
              <w:rPr>
                <w:rFonts w:ascii="Palatino Linotype" w:eastAsia="Palatino Linotype" w:hAnsi="Palatino Linotype" w:cs="Palatino Linotype"/>
                <w:sz w:val="18"/>
                <w:szCs w:val="18"/>
              </w:rPr>
              <w:t>No se refieren al caso específico que nos ocupa</w:t>
            </w:r>
          </w:p>
        </w:tc>
      </w:tr>
      <w:tr w:rsidR="00815F8D" w:rsidRPr="00A10456" w14:paraId="730B6E5C"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178C0E40" w14:textId="77777777" w:rsidR="00815F8D" w:rsidRPr="00A10456" w:rsidRDefault="00F25C9B">
            <w:pPr>
              <w:spacing w:before="100" w:after="200" w:line="276" w:lineRule="auto"/>
              <w:jc w:val="center"/>
              <w:rPr>
                <w:rFonts w:ascii="Palatino Linotype" w:eastAsia="Palatino Linotype" w:hAnsi="Palatino Linotype" w:cs="Palatino Linotype"/>
                <w:b/>
              </w:rPr>
            </w:pPr>
            <w:r w:rsidRPr="00A10456">
              <w:rPr>
                <w:rFonts w:ascii="Palatino Linotype" w:eastAsia="Palatino Linotype" w:hAnsi="Palatino Linotype" w:cs="Palatino Linotype"/>
                <w:b/>
                <w:color w:val="FFFFFF"/>
              </w:rPr>
              <w:t>Elementos de la prueba de daño</w:t>
            </w:r>
          </w:p>
        </w:tc>
      </w:tr>
      <w:tr w:rsidR="00815F8D" w:rsidRPr="00A10456" w14:paraId="37DC5E06" w14:textId="77777777">
        <w:tc>
          <w:tcPr>
            <w:tcW w:w="1413" w:type="dxa"/>
            <w:tcBorders>
              <w:top w:val="single" w:sz="4" w:space="0" w:color="000000"/>
              <w:left w:val="single" w:sz="4" w:space="0" w:color="000000"/>
              <w:bottom w:val="single" w:sz="4" w:space="0" w:color="000000"/>
              <w:right w:val="single" w:sz="4" w:space="0" w:color="000000"/>
            </w:tcBorders>
          </w:tcPr>
          <w:p w14:paraId="1895B9B5" w14:textId="77777777" w:rsidR="00815F8D" w:rsidRPr="00A10456" w:rsidRDefault="00F25C9B">
            <w:pPr>
              <w:spacing w:after="120" w:line="256" w:lineRule="auto"/>
              <w:jc w:val="center"/>
              <w:rPr>
                <w:rFonts w:ascii="Palatino Linotype" w:eastAsia="Palatino Linotype" w:hAnsi="Palatino Linotype" w:cs="Palatino Linotype"/>
                <w:b/>
                <w:sz w:val="16"/>
                <w:szCs w:val="16"/>
              </w:rPr>
            </w:pPr>
            <w:r w:rsidRPr="00A10456">
              <w:rPr>
                <w:rFonts w:ascii="Palatino Linotype" w:eastAsia="Palatino Linotype" w:hAnsi="Palatino Linotype" w:cs="Palatino Linotype"/>
                <w:b/>
                <w:sz w:val="16"/>
                <w:szCs w:val="16"/>
              </w:rPr>
              <w:lastRenderedPageBreak/>
              <w:t>Riesgo Real, Demostrable e Identificable</w:t>
            </w:r>
          </w:p>
          <w:p w14:paraId="43021904"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sz w:val="16"/>
                <w:szCs w:val="16"/>
              </w:rPr>
              <w:t>(Modo, Tiempo y Lugar)</w:t>
            </w:r>
          </w:p>
        </w:tc>
        <w:tc>
          <w:tcPr>
            <w:tcW w:w="5812" w:type="dxa"/>
            <w:tcBorders>
              <w:top w:val="single" w:sz="4" w:space="0" w:color="000000"/>
              <w:left w:val="single" w:sz="4" w:space="0" w:color="000000"/>
              <w:bottom w:val="single" w:sz="4" w:space="0" w:color="000000"/>
              <w:right w:val="single" w:sz="4" w:space="0" w:color="000000"/>
            </w:tcBorders>
          </w:tcPr>
          <w:p w14:paraId="42867423" w14:textId="77777777" w:rsidR="00815F8D" w:rsidRPr="00A10456" w:rsidRDefault="00815F8D">
            <w:pPr>
              <w:spacing w:before="100" w:after="200" w:line="276" w:lineRule="auto"/>
              <w:jc w:val="center"/>
            </w:pPr>
          </w:p>
          <w:p w14:paraId="3B2239B5" w14:textId="77777777" w:rsidR="00815F8D" w:rsidRPr="00A10456" w:rsidRDefault="00F25C9B">
            <w:pPr>
              <w:spacing w:before="100" w:after="200" w:line="276" w:lineRule="auto"/>
              <w:rPr>
                <w:rFonts w:ascii="Palatino Linotype" w:eastAsia="Palatino Linotype" w:hAnsi="Palatino Linotype" w:cs="Palatino Linotype"/>
                <w:b/>
                <w:color w:val="FFFFFF"/>
              </w:rPr>
            </w:pPr>
            <w:r w:rsidRPr="00A10456">
              <w:rPr>
                <w:rFonts w:ascii="Calibri" w:eastAsia="Calibri" w:hAnsi="Calibri" w:cs="Calibri"/>
                <w:noProof/>
                <w:sz w:val="20"/>
                <w:szCs w:val="20"/>
              </w:rPr>
              <w:drawing>
                <wp:inline distT="114300" distB="114300" distL="114300" distR="114300" wp14:anchorId="145AFC7C" wp14:editId="0194E190">
                  <wp:extent cx="3533775" cy="2057400"/>
                  <wp:effectExtent l="0" t="0" r="0" b="0"/>
                  <wp:docPr id="3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533775" cy="2057400"/>
                          </a:xfrm>
                          <a:prstGeom prst="rect">
                            <a:avLst/>
                          </a:prstGeom>
                          <a:ln/>
                        </pic:spPr>
                      </pic:pic>
                    </a:graphicData>
                  </a:graphic>
                </wp:inline>
              </w:drawing>
            </w:r>
          </w:p>
          <w:p w14:paraId="2B0CAA2C" w14:textId="77777777" w:rsidR="00815F8D" w:rsidRPr="00A10456" w:rsidRDefault="00815F8D">
            <w:pPr>
              <w:spacing w:before="100" w:after="200" w:line="276" w:lineRule="auto"/>
              <w:ind w:left="708"/>
              <w:rPr>
                <w:rFonts w:ascii="Palatino Linotype" w:eastAsia="Palatino Linotype" w:hAnsi="Palatino Linotype" w:cs="Palatino Linotype"/>
                <w:b/>
                <w:color w:val="FFFFFF"/>
              </w:rPr>
            </w:pPr>
          </w:p>
          <w:p w14:paraId="1FE93686" w14:textId="77777777" w:rsidR="00815F8D" w:rsidRPr="00A10456" w:rsidRDefault="00815F8D">
            <w:pPr>
              <w:spacing w:before="100" w:after="200" w:line="276" w:lineRule="auto"/>
              <w:jc w:val="center"/>
              <w:rPr>
                <w:rFonts w:ascii="Palatino Linotype" w:eastAsia="Palatino Linotype" w:hAnsi="Palatino Linotype" w:cs="Palatino Linotype"/>
                <w:b/>
                <w:color w:val="FFFFFF"/>
              </w:rPr>
            </w:pPr>
          </w:p>
        </w:tc>
        <w:tc>
          <w:tcPr>
            <w:tcW w:w="1603" w:type="dxa"/>
            <w:tcBorders>
              <w:top w:val="single" w:sz="4" w:space="0" w:color="000000"/>
              <w:left w:val="single" w:sz="4" w:space="0" w:color="000000"/>
              <w:bottom w:val="single" w:sz="4" w:space="0" w:color="000000"/>
              <w:right w:val="single" w:sz="4" w:space="0" w:color="000000"/>
            </w:tcBorders>
          </w:tcPr>
          <w:p w14:paraId="50DD72AB" w14:textId="77777777" w:rsidR="00815F8D" w:rsidRPr="00A10456" w:rsidRDefault="00F25C9B">
            <w:pPr>
              <w:spacing w:before="100" w:after="200" w:line="276" w:lineRule="auto"/>
              <w:jc w:val="center"/>
              <w:rPr>
                <w:rFonts w:ascii="Palatino Linotype" w:eastAsia="Palatino Linotype" w:hAnsi="Palatino Linotype" w:cs="Palatino Linotype"/>
                <w:b/>
              </w:rPr>
            </w:pPr>
            <w:r w:rsidRPr="00A10456">
              <w:rPr>
                <w:rFonts w:ascii="Palatino Linotype" w:eastAsia="Palatino Linotype" w:hAnsi="Palatino Linotype" w:cs="Palatino Linotype"/>
                <w:b/>
              </w:rPr>
              <w:t>No</w:t>
            </w:r>
          </w:p>
          <w:p w14:paraId="5A84E89B" w14:textId="77777777" w:rsidR="00815F8D" w:rsidRPr="00A10456" w:rsidRDefault="00F25C9B">
            <w:pPr>
              <w:spacing w:before="100" w:after="200" w:line="276" w:lineRule="auto"/>
              <w:jc w:val="both"/>
              <w:rPr>
                <w:rFonts w:ascii="Palatino Linotype" w:eastAsia="Palatino Linotype" w:hAnsi="Palatino Linotype" w:cs="Palatino Linotype"/>
                <w:color w:val="FFFFFF"/>
                <w:sz w:val="18"/>
                <w:szCs w:val="18"/>
              </w:rPr>
            </w:pPr>
            <w:r w:rsidRPr="00A10456">
              <w:rPr>
                <w:rFonts w:ascii="Palatino Linotype" w:eastAsia="Palatino Linotype" w:hAnsi="Palatino Linotype" w:cs="Palatino Linotype"/>
                <w:sz w:val="18"/>
                <w:szCs w:val="18"/>
              </w:rPr>
              <w:t>No se advierte ningún elemento de la prueba de daño.</w:t>
            </w:r>
          </w:p>
        </w:tc>
      </w:tr>
      <w:tr w:rsidR="00815F8D" w:rsidRPr="00A10456" w14:paraId="31C3DBF3" w14:textId="77777777">
        <w:tc>
          <w:tcPr>
            <w:tcW w:w="1413" w:type="dxa"/>
            <w:tcBorders>
              <w:top w:val="single" w:sz="4" w:space="0" w:color="000000"/>
              <w:left w:val="single" w:sz="4" w:space="0" w:color="000000"/>
              <w:bottom w:val="single" w:sz="4" w:space="0" w:color="000000"/>
              <w:right w:val="single" w:sz="4" w:space="0" w:color="000000"/>
            </w:tcBorders>
          </w:tcPr>
          <w:p w14:paraId="1C0FCC3F"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sz w:val="16"/>
                <w:szCs w:val="16"/>
              </w:rPr>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251B4BFA"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noProof/>
              </w:rPr>
              <w:drawing>
                <wp:inline distT="114300" distB="114300" distL="114300" distR="114300" wp14:anchorId="479E13D9" wp14:editId="166C5110">
                  <wp:extent cx="3533775" cy="711200"/>
                  <wp:effectExtent l="0" t="0" r="0" b="0"/>
                  <wp:docPr id="3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533775" cy="7112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233E8D6A"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rPr>
              <w:t xml:space="preserve">No </w:t>
            </w:r>
          </w:p>
        </w:tc>
      </w:tr>
      <w:tr w:rsidR="00815F8D" w:rsidRPr="00A10456" w14:paraId="01A93946" w14:textId="77777777">
        <w:tc>
          <w:tcPr>
            <w:tcW w:w="1413" w:type="dxa"/>
            <w:tcBorders>
              <w:top w:val="single" w:sz="4" w:space="0" w:color="000000"/>
              <w:left w:val="single" w:sz="4" w:space="0" w:color="000000"/>
              <w:bottom w:val="single" w:sz="4" w:space="0" w:color="000000"/>
              <w:right w:val="single" w:sz="4" w:space="0" w:color="000000"/>
            </w:tcBorders>
          </w:tcPr>
          <w:p w14:paraId="41D9B4D8"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sz w:val="16"/>
                <w:szCs w:val="16"/>
              </w:rPr>
              <w:t>Autoridades competentes.</w:t>
            </w:r>
          </w:p>
        </w:tc>
        <w:tc>
          <w:tcPr>
            <w:tcW w:w="5812" w:type="dxa"/>
            <w:tcBorders>
              <w:top w:val="single" w:sz="4" w:space="0" w:color="000000"/>
              <w:left w:val="single" w:sz="4" w:space="0" w:color="000000"/>
              <w:bottom w:val="single" w:sz="4" w:space="0" w:color="000000"/>
              <w:right w:val="single" w:sz="4" w:space="0" w:color="000000"/>
            </w:tcBorders>
          </w:tcPr>
          <w:p w14:paraId="57FBABD1" w14:textId="77777777" w:rsidR="00815F8D" w:rsidRPr="00A10456" w:rsidRDefault="00F25C9B">
            <w:pPr>
              <w:spacing w:before="100" w:after="200" w:line="276" w:lineRule="auto"/>
              <w:jc w:val="center"/>
            </w:pPr>
            <w:r w:rsidRPr="00A10456">
              <w:rPr>
                <w:noProof/>
              </w:rPr>
              <w:drawing>
                <wp:inline distT="114300" distB="114300" distL="114300" distR="114300" wp14:anchorId="546EA0F6" wp14:editId="3321E884">
                  <wp:extent cx="3533775" cy="1130300"/>
                  <wp:effectExtent l="0" t="0" r="0" b="0"/>
                  <wp:docPr id="3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533775" cy="11303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6CFB5999" w14:textId="77777777" w:rsidR="00815F8D" w:rsidRPr="00A10456" w:rsidRDefault="00F25C9B">
            <w:pPr>
              <w:spacing w:before="100" w:after="200" w:line="276" w:lineRule="auto"/>
              <w:jc w:val="center"/>
              <w:rPr>
                <w:rFonts w:ascii="Palatino Linotype" w:eastAsia="Palatino Linotype" w:hAnsi="Palatino Linotype" w:cs="Palatino Linotype"/>
                <w:b/>
                <w:color w:val="FFFFFF"/>
              </w:rPr>
            </w:pPr>
            <w:r w:rsidRPr="00A10456">
              <w:rPr>
                <w:rFonts w:ascii="Palatino Linotype" w:eastAsia="Palatino Linotype" w:hAnsi="Palatino Linotype" w:cs="Palatino Linotype"/>
                <w:b/>
              </w:rPr>
              <w:t xml:space="preserve">No, </w:t>
            </w:r>
            <w:r w:rsidRPr="00A10456">
              <w:rPr>
                <w:rFonts w:ascii="Palatino Linotype" w:eastAsia="Palatino Linotype" w:hAnsi="Palatino Linotype" w:cs="Palatino Linotype"/>
              </w:rPr>
              <w:t>únicamente se advierta la del servidor público habilitado</w:t>
            </w:r>
          </w:p>
        </w:tc>
      </w:tr>
    </w:tbl>
    <w:p w14:paraId="5406DB1D" w14:textId="77777777" w:rsidR="00815F8D" w:rsidRPr="00A10456" w:rsidRDefault="00815F8D">
      <w:pPr>
        <w:spacing w:before="100" w:after="200" w:line="276" w:lineRule="auto"/>
        <w:rPr>
          <w:rFonts w:ascii="Calibri" w:eastAsia="Calibri" w:hAnsi="Calibri" w:cs="Calibri"/>
          <w:sz w:val="20"/>
          <w:szCs w:val="20"/>
        </w:rPr>
      </w:pPr>
    </w:p>
    <w:p w14:paraId="2610D994"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En consecuencia, este Órgano Garante determina que la respuesta emitida por el ente recurrido, además de no cumplir los requisitos establecidos por la Ley de Transparencia y Acceso a la Información Pública del Estado de México y Municipios, se</w:t>
      </w:r>
      <w:r w:rsidRPr="00A10456">
        <w:rPr>
          <w:rFonts w:ascii="Palatino Linotype" w:eastAsia="Palatino Linotype" w:hAnsi="Palatino Linotype" w:cs="Palatino Linotype"/>
          <w:b/>
        </w:rPr>
        <w:t xml:space="preserve"> desestima</w:t>
      </w:r>
      <w:r w:rsidRPr="00A10456">
        <w:rPr>
          <w:rFonts w:ascii="Palatino Linotype" w:eastAsia="Palatino Linotype" w:hAnsi="Palatino Linotype" w:cs="Palatino Linotype"/>
        </w:rPr>
        <w:t xml:space="preserve"> y no es procedente; toda vez que no se remitió el Acuerdo emitido por el Comité de Transparencia debidamente fundado y motivado donde se confirme la clasificación; sino, únicamente la respuesta otorgada por el servidor público habilitado, aunado a ello,  este Instituto considera que la información solicitada por el particular es pública y puede ser entregada en versión pública, por las consideraciones siguientes: </w:t>
      </w:r>
    </w:p>
    <w:p w14:paraId="6F77D33C" w14:textId="77777777" w:rsidR="00815F8D" w:rsidRPr="00A10456" w:rsidRDefault="00815F8D">
      <w:pPr>
        <w:tabs>
          <w:tab w:val="left" w:pos="709"/>
        </w:tabs>
        <w:spacing w:line="360" w:lineRule="auto"/>
        <w:jc w:val="both"/>
        <w:rPr>
          <w:rFonts w:ascii="Palatino Linotype" w:eastAsia="Palatino Linotype" w:hAnsi="Palatino Linotype" w:cs="Palatino Linotype"/>
        </w:rPr>
      </w:pPr>
    </w:p>
    <w:p w14:paraId="62EFA825" w14:textId="77777777" w:rsidR="00815F8D" w:rsidRPr="00A10456" w:rsidRDefault="00F25C9B">
      <w:pPr>
        <w:tabs>
          <w:tab w:val="left" w:pos="709"/>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En primera instancia se tiene que el artículo 4, párrafo segundo de la Ley de Transparencia y Acceso a la Información Pública del Estado de México y Municipios, dispone:</w:t>
      </w:r>
    </w:p>
    <w:p w14:paraId="1F127D51" w14:textId="77777777" w:rsidR="00815F8D" w:rsidRPr="00A10456" w:rsidRDefault="00815F8D">
      <w:pPr>
        <w:tabs>
          <w:tab w:val="left" w:pos="709"/>
        </w:tabs>
        <w:spacing w:line="360" w:lineRule="auto"/>
        <w:jc w:val="both"/>
        <w:rPr>
          <w:rFonts w:ascii="Palatino Linotype" w:eastAsia="Palatino Linotype" w:hAnsi="Palatino Linotype" w:cs="Palatino Linotype"/>
        </w:rPr>
      </w:pPr>
    </w:p>
    <w:p w14:paraId="235E5928" w14:textId="77777777" w:rsidR="00815F8D" w:rsidRPr="00A10456" w:rsidRDefault="00F25C9B">
      <w:pPr>
        <w:ind w:left="851" w:right="901"/>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 xml:space="preserve">Artículo 4. </w:t>
      </w:r>
      <w:r w:rsidRPr="00A10456">
        <w:rPr>
          <w:rFonts w:ascii="Palatino Linotype" w:eastAsia="Palatino Linotype" w:hAnsi="Palatino Linotype" w:cs="Palatino Linotype"/>
          <w:i/>
          <w:sz w:val="22"/>
          <w:szCs w:val="22"/>
        </w:rPr>
        <w:t xml:space="preserve">… </w:t>
      </w:r>
    </w:p>
    <w:p w14:paraId="758F0701" w14:textId="77777777" w:rsidR="00815F8D" w:rsidRPr="00A10456" w:rsidRDefault="00F25C9B">
      <w:pPr>
        <w:ind w:left="851" w:right="901"/>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0CA967" w14:textId="77777777" w:rsidR="00815F8D" w:rsidRPr="00A10456" w:rsidRDefault="00815F8D">
      <w:pPr>
        <w:tabs>
          <w:tab w:val="left" w:pos="709"/>
        </w:tabs>
        <w:spacing w:line="360" w:lineRule="auto"/>
        <w:jc w:val="both"/>
        <w:rPr>
          <w:rFonts w:ascii="Palatino Linotype" w:eastAsia="Palatino Linotype" w:hAnsi="Palatino Linotype" w:cs="Palatino Linotype"/>
        </w:rPr>
      </w:pPr>
    </w:p>
    <w:p w14:paraId="7FCB8797" w14:textId="77777777" w:rsidR="00815F8D" w:rsidRPr="00A10456" w:rsidRDefault="00F25C9B">
      <w:pPr>
        <w:tabs>
          <w:tab w:val="left" w:pos="709"/>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Del precepto legal invocado, se desprende, que la información generada, obtenida, adquirida, transmitida, administrada o en posesión de los Sujetos Obligados, será </w:t>
      </w:r>
      <w:r w:rsidRPr="00A10456">
        <w:rPr>
          <w:rFonts w:ascii="Palatino Linotype" w:eastAsia="Palatino Linotype" w:hAnsi="Palatino Linotype" w:cs="Palatino Linotype"/>
        </w:rPr>
        <w:lastRenderedPageBreak/>
        <w:t>accesible de manera permanente a cualquier persona, privilegiando el principio de máxima publicidad de la información.</w:t>
      </w:r>
    </w:p>
    <w:p w14:paraId="3E1DAE62" w14:textId="77777777" w:rsidR="00815F8D" w:rsidRPr="00A10456" w:rsidRDefault="00815F8D">
      <w:pPr>
        <w:tabs>
          <w:tab w:val="left" w:pos="709"/>
        </w:tabs>
        <w:spacing w:line="360" w:lineRule="auto"/>
        <w:jc w:val="both"/>
        <w:rPr>
          <w:rFonts w:ascii="Palatino Linotype" w:eastAsia="Palatino Linotype" w:hAnsi="Palatino Linotype" w:cs="Palatino Linotype"/>
        </w:rPr>
      </w:pPr>
    </w:p>
    <w:p w14:paraId="13B7A944" w14:textId="77777777" w:rsidR="00815F8D" w:rsidRPr="00A10456" w:rsidRDefault="00F25C9B">
      <w:pPr>
        <w:tabs>
          <w:tab w:val="left" w:pos="709"/>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E54A02" w14:textId="77777777" w:rsidR="00815F8D" w:rsidRPr="00A10456" w:rsidRDefault="00815F8D"/>
    <w:p w14:paraId="0254D9F7" w14:textId="77777777" w:rsidR="00815F8D" w:rsidRPr="00A10456" w:rsidRDefault="00815F8D">
      <w:pPr>
        <w:rPr>
          <w:sz w:val="16"/>
          <w:szCs w:val="16"/>
        </w:rPr>
      </w:pPr>
    </w:p>
    <w:p w14:paraId="0C3A84CB"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Artículo 12.</w:t>
      </w:r>
      <w:r w:rsidRPr="00A1045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C050BBB" w14:textId="77777777" w:rsidR="00815F8D" w:rsidRPr="00A10456" w:rsidRDefault="00815F8D">
      <w:pPr>
        <w:ind w:left="567" w:right="616"/>
        <w:jc w:val="both"/>
        <w:rPr>
          <w:rFonts w:ascii="Palatino Linotype" w:eastAsia="Palatino Linotype" w:hAnsi="Palatino Linotype" w:cs="Palatino Linotype"/>
          <w:i/>
          <w:sz w:val="22"/>
          <w:szCs w:val="22"/>
        </w:rPr>
      </w:pPr>
    </w:p>
    <w:p w14:paraId="289FE74F"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A10456">
        <w:rPr>
          <w:rFonts w:ascii="Palatino Linotype" w:eastAsia="Palatino Linotype" w:hAnsi="Palatino Linotype" w:cs="Palatino Linotype"/>
          <w:i/>
          <w:sz w:val="22"/>
          <w:szCs w:val="22"/>
        </w:rPr>
        <w:t>la misma</w:t>
      </w:r>
      <w:proofErr w:type="gramEnd"/>
      <w:r w:rsidRPr="00A10456">
        <w:rPr>
          <w:rFonts w:ascii="Palatino Linotype" w:eastAsia="Palatino Linotype" w:hAnsi="Palatino Linotype" w:cs="Palatino Linotype"/>
          <w:i/>
          <w:sz w:val="22"/>
          <w:szCs w:val="22"/>
        </w:rPr>
        <w:t>, ni el presentarla conforme al interés del solicitante; no estarán obligados a generarla, resumirla, efectuar cálculos o practicar investigaciones.”</w:t>
      </w:r>
    </w:p>
    <w:p w14:paraId="197978D9" w14:textId="77777777" w:rsidR="00815F8D" w:rsidRPr="00A10456" w:rsidRDefault="00815F8D">
      <w:pPr>
        <w:tabs>
          <w:tab w:val="left" w:pos="709"/>
        </w:tabs>
        <w:spacing w:line="360" w:lineRule="auto"/>
        <w:jc w:val="both"/>
        <w:rPr>
          <w:rFonts w:ascii="Palatino Linotype" w:eastAsia="Palatino Linotype" w:hAnsi="Palatino Linotype" w:cs="Palatino Linotype"/>
        </w:rPr>
      </w:pPr>
    </w:p>
    <w:p w14:paraId="641DEAAE" w14:textId="77777777" w:rsidR="00815F8D" w:rsidRPr="00A10456" w:rsidRDefault="00F25C9B">
      <w:pPr>
        <w:tabs>
          <w:tab w:val="left" w:pos="709"/>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AC10AD9" w14:textId="77777777" w:rsidR="00815F8D" w:rsidRPr="00A10456" w:rsidRDefault="00815F8D">
      <w:pPr>
        <w:tabs>
          <w:tab w:val="left" w:pos="709"/>
        </w:tabs>
        <w:spacing w:line="360" w:lineRule="auto"/>
        <w:jc w:val="both"/>
        <w:rPr>
          <w:rFonts w:ascii="Palatino Linotype" w:eastAsia="Palatino Linotype" w:hAnsi="Palatino Linotype" w:cs="Palatino Linotype"/>
        </w:rPr>
      </w:pPr>
    </w:p>
    <w:p w14:paraId="0ACA076B" w14:textId="77777777" w:rsidR="00815F8D" w:rsidRPr="00A10456" w:rsidRDefault="00F25C9B">
      <w:pPr>
        <w:tabs>
          <w:tab w:val="left" w:pos="709"/>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En esta misma tesitura, el derecho de acceso a la información pública, consiste en que la información solicitada conste en un soporte documental en cualquiera de sus formas, a saber: </w:t>
      </w:r>
      <w:r w:rsidRPr="00A10456">
        <w:rPr>
          <w:rFonts w:ascii="Palatino Linotype" w:eastAsia="Palatino Linotype" w:hAnsi="Palatino Linotype" w:cs="Palatino Linotype"/>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10456">
        <w:rPr>
          <w:rFonts w:ascii="Palatino Linotype" w:eastAsia="Palatino Linotype" w:hAnsi="Palatino Linotype" w:cs="Palatino Linotype"/>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038B4C85" w14:textId="77777777" w:rsidR="00815F8D" w:rsidRPr="00A10456" w:rsidRDefault="00815F8D"/>
    <w:p w14:paraId="12034A15"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 xml:space="preserve">Artículo 3. </w:t>
      </w:r>
      <w:r w:rsidRPr="00A10456">
        <w:rPr>
          <w:rFonts w:ascii="Palatino Linotype" w:eastAsia="Palatino Linotype" w:hAnsi="Palatino Linotype" w:cs="Palatino Linotype"/>
          <w:i/>
          <w:sz w:val="22"/>
          <w:szCs w:val="22"/>
        </w:rPr>
        <w:t>Para los efectos de la presente Ley se entenderá por:</w:t>
      </w:r>
    </w:p>
    <w:p w14:paraId="233DD136"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p>
    <w:p w14:paraId="158FC655"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XI. Documento:</w:t>
      </w:r>
      <w:r w:rsidRPr="00A10456">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w:t>
      </w:r>
      <w:r w:rsidRPr="00A10456">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A10456">
        <w:rPr>
          <w:rFonts w:ascii="Palatino Linotype" w:eastAsia="Palatino Linotype" w:hAnsi="Palatino Linotype" w:cs="Palatino Linotype"/>
          <w:i/>
          <w:sz w:val="22"/>
          <w:szCs w:val="22"/>
          <w:u w:val="single"/>
        </w:rPr>
        <w:t>,</w:t>
      </w:r>
      <w:r w:rsidRPr="00A10456">
        <w:rPr>
          <w:rFonts w:ascii="Palatino Linotype" w:eastAsia="Palatino Linotype" w:hAnsi="Palatino Linotype" w:cs="Palatino Linotype"/>
          <w:i/>
          <w:sz w:val="22"/>
          <w:szCs w:val="22"/>
        </w:rPr>
        <w:t xml:space="preserve"> sus servidores públicos e integrantes, </w:t>
      </w:r>
      <w:r w:rsidRPr="00A10456">
        <w:rPr>
          <w:rFonts w:ascii="Palatino Linotype" w:eastAsia="Palatino Linotype" w:hAnsi="Palatino Linotype" w:cs="Palatino Linotype"/>
          <w:b/>
          <w:i/>
          <w:sz w:val="22"/>
          <w:szCs w:val="22"/>
          <w:u w:val="single"/>
        </w:rPr>
        <w:t>sin importar su fuente o fecha de elaboración.</w:t>
      </w:r>
      <w:r w:rsidRPr="00A10456">
        <w:rPr>
          <w:rFonts w:ascii="Palatino Linotype" w:eastAsia="Palatino Linotype" w:hAnsi="Palatino Linotype" w:cs="Palatino Linotype"/>
          <w:i/>
          <w:sz w:val="22"/>
          <w:szCs w:val="22"/>
        </w:rPr>
        <w:t xml:space="preserve"> Los documentos podrán estar en cualquier medio, sea escrito, impreso, sonoro, visual, electrónico, informático u holográfico;</w:t>
      </w:r>
    </w:p>
    <w:p w14:paraId="47B869D2"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p>
    <w:p w14:paraId="08C066F3" w14:textId="77777777" w:rsidR="00815F8D" w:rsidRPr="00A10456" w:rsidRDefault="00815F8D">
      <w:pPr>
        <w:rPr>
          <w:sz w:val="14"/>
          <w:szCs w:val="14"/>
        </w:rPr>
      </w:pPr>
    </w:p>
    <w:p w14:paraId="583A1A98" w14:textId="77777777" w:rsidR="00815F8D" w:rsidRPr="00A10456" w:rsidRDefault="00815F8D"/>
    <w:p w14:paraId="481B1A67"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A10456">
        <w:rPr>
          <w:rFonts w:ascii="Palatino Linotype" w:eastAsia="Palatino Linotype" w:hAnsi="Palatino Linotype" w:cs="Palatino Linotype"/>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2D0AB72" w14:textId="77777777" w:rsidR="00815F8D" w:rsidRPr="00A10456" w:rsidRDefault="00815F8D">
      <w:pPr>
        <w:spacing w:line="360" w:lineRule="auto"/>
        <w:ind w:right="49"/>
        <w:jc w:val="both"/>
        <w:rPr>
          <w:rFonts w:ascii="Palatino Linotype" w:eastAsia="Palatino Linotype" w:hAnsi="Palatino Linotype" w:cs="Palatino Linotype"/>
        </w:rPr>
      </w:pPr>
    </w:p>
    <w:p w14:paraId="2A4E1FF0"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De la misma forma, </w:t>
      </w:r>
      <w:proofErr w:type="gramStart"/>
      <w:r w:rsidRPr="00A10456">
        <w:rPr>
          <w:rFonts w:ascii="Palatino Linotype" w:eastAsia="Palatino Linotype" w:hAnsi="Palatino Linotype" w:cs="Palatino Linotype"/>
        </w:rPr>
        <w:t>de acuerdo al</w:t>
      </w:r>
      <w:proofErr w:type="gramEnd"/>
      <w:r w:rsidRPr="00A10456">
        <w:rPr>
          <w:rFonts w:ascii="Palatino Linotype" w:eastAsia="Palatino Linotype" w:hAnsi="Palatino Linotype" w:cs="Palatino Linotype"/>
        </w:rPr>
        <w:t xml:space="preserve"> contenido del artículo 160, de la Ley General de Transparencia y Acceso a la Información Pública que a la letra dispone:</w:t>
      </w:r>
    </w:p>
    <w:p w14:paraId="122C06C4" w14:textId="77777777" w:rsidR="00815F8D" w:rsidRPr="00A10456" w:rsidRDefault="00815F8D"/>
    <w:p w14:paraId="3E0C591B"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160</w:t>
      </w:r>
      <w:r w:rsidRPr="00A10456">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AC33AB8" w14:textId="77777777" w:rsidR="00815F8D" w:rsidRPr="00A10456" w:rsidRDefault="00815F8D">
      <w:pPr>
        <w:ind w:left="851" w:right="616"/>
        <w:jc w:val="both"/>
        <w:rPr>
          <w:rFonts w:ascii="Palatino Linotype" w:eastAsia="Palatino Linotype" w:hAnsi="Palatino Linotype" w:cs="Palatino Linotype"/>
          <w:i/>
          <w:sz w:val="22"/>
          <w:szCs w:val="22"/>
        </w:rPr>
      </w:pPr>
    </w:p>
    <w:p w14:paraId="2EB0A3D9" w14:textId="77777777" w:rsidR="00815F8D" w:rsidRPr="00A10456" w:rsidRDefault="00815F8D">
      <w:pPr>
        <w:ind w:left="851" w:right="616"/>
        <w:jc w:val="both"/>
        <w:rPr>
          <w:rFonts w:ascii="Palatino Linotype" w:eastAsia="Palatino Linotype" w:hAnsi="Palatino Linotype" w:cs="Palatino Linotype"/>
          <w:i/>
          <w:sz w:val="14"/>
          <w:szCs w:val="14"/>
        </w:rPr>
      </w:pPr>
    </w:p>
    <w:p w14:paraId="498A912D" w14:textId="77777777" w:rsidR="00815F8D" w:rsidRPr="00A10456" w:rsidRDefault="00F25C9B">
      <w:pPr>
        <w:spacing w:line="360" w:lineRule="auto"/>
        <w:jc w:val="both"/>
        <w:rPr>
          <w:rFonts w:ascii="Palatino Linotype" w:eastAsia="Palatino Linotype" w:hAnsi="Palatino Linotype" w:cs="Palatino Linotype"/>
          <w:color w:val="222222"/>
        </w:rPr>
      </w:pPr>
      <w:r w:rsidRPr="00A10456">
        <w:rPr>
          <w:rFonts w:ascii="Palatino Linotype" w:eastAsia="Palatino Linotype" w:hAnsi="Palatino Linotype" w:cs="Palatino Linotype"/>
        </w:rPr>
        <w:t xml:space="preserve">Sirve como apoyo </w:t>
      </w:r>
      <w:r w:rsidRPr="00A10456">
        <w:rPr>
          <w:rFonts w:ascii="Palatino Linotype" w:eastAsia="Palatino Linotype" w:hAnsi="Palatino Linotype" w:cs="Palatino Linotype"/>
          <w:color w:val="222222"/>
        </w:rPr>
        <w:t>a lo anterior, el criterio 09-10, emitido por el Pleno del entonces Instituto Federal de Acceso a la Información y Protección de Datos, que a la letra dice:</w:t>
      </w:r>
    </w:p>
    <w:p w14:paraId="63F040EA" w14:textId="77777777" w:rsidR="00815F8D" w:rsidRPr="00A10456" w:rsidRDefault="00815F8D"/>
    <w:p w14:paraId="12F73B7C" w14:textId="77777777" w:rsidR="00815F8D" w:rsidRPr="00A10456" w:rsidRDefault="00F25C9B">
      <w:pPr>
        <w:tabs>
          <w:tab w:val="left" w:pos="8647"/>
        </w:tabs>
        <w:ind w:left="567" w:right="616"/>
        <w:jc w:val="both"/>
        <w:rPr>
          <w:rFonts w:ascii="Palatino Linotype" w:eastAsia="Palatino Linotype" w:hAnsi="Palatino Linotype" w:cs="Palatino Linotype"/>
          <w:i/>
          <w:color w:val="222222"/>
          <w:sz w:val="22"/>
          <w:szCs w:val="22"/>
        </w:rPr>
      </w:pPr>
      <w:r w:rsidRPr="00A10456">
        <w:rPr>
          <w:rFonts w:ascii="Palatino Linotype" w:eastAsia="Palatino Linotype" w:hAnsi="Palatino Linotype" w:cs="Palatino Linotype"/>
          <w:b/>
          <w:i/>
          <w:color w:val="222222"/>
          <w:sz w:val="22"/>
          <w:szCs w:val="22"/>
        </w:rPr>
        <w:t>“Las dependencias y entidades no están obligadas a generar documentos ad hoc para responder una solicitud de acceso a la información. </w:t>
      </w:r>
      <w:r w:rsidRPr="00A10456">
        <w:rPr>
          <w:rFonts w:ascii="Palatino Linotype" w:eastAsia="Palatino Linotype" w:hAnsi="Palatino Linotype" w:cs="Palatino Linotype"/>
          <w:i/>
          <w:color w:val="222222"/>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1B1BBCB" w14:textId="77777777" w:rsidR="00815F8D" w:rsidRPr="00A10456" w:rsidRDefault="00815F8D">
      <w:pPr>
        <w:tabs>
          <w:tab w:val="left" w:pos="8647"/>
        </w:tabs>
        <w:ind w:left="567" w:right="616"/>
        <w:jc w:val="both"/>
        <w:rPr>
          <w:rFonts w:ascii="Palatino Linotype" w:eastAsia="Palatino Linotype" w:hAnsi="Palatino Linotype" w:cs="Palatino Linotype"/>
          <w:i/>
          <w:color w:val="222222"/>
          <w:sz w:val="22"/>
          <w:szCs w:val="22"/>
        </w:rPr>
      </w:pPr>
    </w:p>
    <w:p w14:paraId="0A7E39FC"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Además, a Ley de Transparencia y Acceso a la Información Pública del Estado de México y Municipios, prevé en su artículo 23, fracción IV, que son Sujetos Obligados a Transparentar y permitir el acceso a su información y proteger los datos que obren en su poder:</w:t>
      </w:r>
    </w:p>
    <w:p w14:paraId="278326DB" w14:textId="77777777" w:rsidR="00815F8D" w:rsidRPr="00A10456" w:rsidRDefault="00815F8D"/>
    <w:p w14:paraId="6D765CC6" w14:textId="77777777" w:rsidR="00815F8D" w:rsidRPr="00A10456" w:rsidRDefault="00F25C9B">
      <w:pPr>
        <w:ind w:left="426" w:right="567"/>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IV.- </w:t>
      </w:r>
      <w:r w:rsidRPr="00A10456">
        <w:rPr>
          <w:rFonts w:ascii="Palatino Linotype" w:eastAsia="Palatino Linotype" w:hAnsi="Palatino Linotype" w:cs="Palatino Linotype"/>
          <w:i/>
          <w:sz w:val="22"/>
          <w:szCs w:val="22"/>
        </w:rPr>
        <w:t>Los ayuntamientos y las dependencias, organismos, órganos y entidades de la administración municipal;</w:t>
      </w:r>
    </w:p>
    <w:p w14:paraId="70D20120" w14:textId="77777777" w:rsidR="00815F8D" w:rsidRPr="00A10456" w:rsidRDefault="00815F8D">
      <w:pPr>
        <w:shd w:val="clear" w:color="auto" w:fill="FFFFFF"/>
        <w:spacing w:line="360" w:lineRule="auto"/>
        <w:jc w:val="both"/>
        <w:rPr>
          <w:rFonts w:ascii="Palatino Linotype" w:eastAsia="Palatino Linotype" w:hAnsi="Palatino Linotype" w:cs="Palatino Linotype"/>
        </w:rPr>
      </w:pPr>
    </w:p>
    <w:p w14:paraId="438229BA" w14:textId="77777777" w:rsidR="00815F8D" w:rsidRPr="00A10456" w:rsidRDefault="00F25C9B">
      <w:pPr>
        <w:shd w:val="clear" w:color="auto" w:fill="FFFFFF"/>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Precisado lo anterior, con relación a la información solicitada relativa </w:t>
      </w:r>
      <w:r w:rsidRPr="00A10456">
        <w:rPr>
          <w:rFonts w:ascii="Palatino Linotype" w:eastAsia="Palatino Linotype" w:hAnsi="Palatino Linotype" w:cs="Palatino Linotype"/>
          <w:i/>
        </w:rPr>
        <w:t>al número de policías de seguridad y de tránsito en activo con que cuenta el municipio de Lerma, cuantas patrullas hay en el parque vehicular, clasificadas en las que circulan y las que no y el motivo de su no circulación a la fecha de la solicitud.</w:t>
      </w:r>
      <w:r w:rsidRPr="00A10456">
        <w:rPr>
          <w:rFonts w:ascii="Palatino Linotype" w:eastAsia="Palatino Linotype" w:hAnsi="Palatino Linotype" w:cs="Palatino Linotype"/>
        </w:rPr>
        <w:t xml:space="preserve"> </w:t>
      </w:r>
    </w:p>
    <w:p w14:paraId="73879D35" w14:textId="77777777" w:rsidR="00815F8D" w:rsidRPr="00A10456" w:rsidRDefault="00815F8D">
      <w:pPr>
        <w:shd w:val="clear" w:color="auto" w:fill="FFFFFF"/>
        <w:spacing w:line="360" w:lineRule="auto"/>
        <w:jc w:val="both"/>
        <w:rPr>
          <w:rFonts w:ascii="Palatino Linotype" w:eastAsia="Palatino Linotype" w:hAnsi="Palatino Linotype" w:cs="Palatino Linotype"/>
        </w:rPr>
      </w:pPr>
    </w:p>
    <w:p w14:paraId="34A6F5E3"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Información se advierte que es de naturaleza estadística, misma que se considera pública independientemente de la materia a la que se encuentre relacionada. Sobre lo anterior versa el criterio 11/09 del Instituto Nacional de Transparencia, Acceso a la Información y Protección de Datos Personales, mismo que versa sobre lo siguiente: </w:t>
      </w:r>
    </w:p>
    <w:p w14:paraId="0433D438" w14:textId="77777777" w:rsidR="00815F8D" w:rsidRPr="00A10456" w:rsidRDefault="00F25C9B">
      <w:pPr>
        <w:spacing w:line="276" w:lineRule="auto"/>
        <w:ind w:left="850" w:right="131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“La información estadística es de naturaleza pública, independientemente de </w:t>
      </w:r>
      <w:proofErr w:type="gramStart"/>
      <w:r w:rsidRPr="00A10456">
        <w:rPr>
          <w:rFonts w:ascii="Palatino Linotype" w:eastAsia="Palatino Linotype" w:hAnsi="Palatino Linotype" w:cs="Palatino Linotype"/>
          <w:b/>
          <w:i/>
          <w:sz w:val="22"/>
          <w:szCs w:val="22"/>
        </w:rPr>
        <w:t>la  materia</w:t>
      </w:r>
      <w:proofErr w:type="gramEnd"/>
      <w:r w:rsidRPr="00A10456">
        <w:rPr>
          <w:rFonts w:ascii="Palatino Linotype" w:eastAsia="Palatino Linotype" w:hAnsi="Palatino Linotype" w:cs="Palatino Linotype"/>
          <w:b/>
          <w:i/>
          <w:sz w:val="22"/>
          <w:szCs w:val="22"/>
        </w:rPr>
        <w:t xml:space="preserve">  con  la  que  se encuentre  vinculada. </w:t>
      </w:r>
      <w:r w:rsidRPr="00A10456">
        <w:rPr>
          <w:rFonts w:ascii="Palatino Linotype" w:eastAsia="Palatino Linotype" w:hAnsi="Palatino Linotype" w:cs="Palatino Linotype"/>
          <w:i/>
          <w:sz w:val="22"/>
          <w:szCs w:val="22"/>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w:t>
      </w:r>
      <w:r w:rsidRPr="00A10456">
        <w:rPr>
          <w:rFonts w:ascii="Palatino Linotype" w:eastAsia="Palatino Linotype" w:hAnsi="Palatino Linotype" w:cs="Palatino Linotype"/>
          <w:i/>
          <w:sz w:val="22"/>
          <w:szCs w:val="22"/>
        </w:rPr>
        <w:lastRenderedPageBreak/>
        <w:t>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53611826" w14:textId="77777777" w:rsidR="00815F8D" w:rsidRPr="00A10456" w:rsidRDefault="00F25C9B">
      <w:pPr>
        <w:spacing w:line="276" w:lineRule="auto"/>
        <w:ind w:left="850" w:right="1319"/>
        <w:jc w:val="both"/>
        <w:rPr>
          <w:rFonts w:ascii="Palatino Linotype" w:eastAsia="Palatino Linotype" w:hAnsi="Palatino Linotype" w:cs="Palatino Linotype"/>
        </w:rPr>
      </w:pPr>
      <w:r w:rsidRPr="00A10456">
        <w:rPr>
          <w:rFonts w:ascii="Palatino Linotype" w:eastAsia="Palatino Linotype" w:hAnsi="Palatino Linotype" w:cs="Palatino Linotype"/>
          <w:i/>
          <w:sz w:val="22"/>
          <w:szCs w:val="22"/>
        </w:rPr>
        <w:t>(Énfasis añadido)</w:t>
      </w:r>
    </w:p>
    <w:p w14:paraId="4EE83F4C" w14:textId="77777777" w:rsidR="00815F8D" w:rsidRPr="00A10456" w:rsidRDefault="00815F8D">
      <w:pPr>
        <w:spacing w:line="360" w:lineRule="auto"/>
        <w:ind w:right="49"/>
        <w:jc w:val="both"/>
        <w:rPr>
          <w:rFonts w:ascii="Palatino Linotype" w:eastAsia="Palatino Linotype" w:hAnsi="Palatino Linotype" w:cs="Palatino Linotype"/>
        </w:rPr>
      </w:pPr>
    </w:p>
    <w:p w14:paraId="3ED12A1D"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otra parte, en relación al número de patrullas, es una obligación de transparencia el que los Sujetos Obligados mantengan de forma permanente y actualizada el inventario de bienes muebles e inmuebles que sean de su propiedad o que se encuentren en su posesión, como lo señala el </w:t>
      </w:r>
      <w:proofErr w:type="gramStart"/>
      <w:r w:rsidRPr="00A10456">
        <w:rPr>
          <w:rFonts w:ascii="Palatino Linotype" w:eastAsia="Palatino Linotype" w:hAnsi="Palatino Linotype" w:cs="Palatino Linotype"/>
        </w:rPr>
        <w:t>artículo  92</w:t>
      </w:r>
      <w:proofErr w:type="gramEnd"/>
      <w:r w:rsidRPr="00A10456">
        <w:rPr>
          <w:rFonts w:ascii="Palatino Linotype" w:eastAsia="Palatino Linotype" w:hAnsi="Palatino Linotype" w:cs="Palatino Linotype"/>
        </w:rPr>
        <w:t xml:space="preserve"> fracción XXXVIII de la Ley de Transparencia y Acceso a la Información Pública del Estado de México y Municipios: </w:t>
      </w:r>
    </w:p>
    <w:p w14:paraId="79497CC3" w14:textId="77777777" w:rsidR="00815F8D" w:rsidRPr="00A10456" w:rsidRDefault="00815F8D">
      <w:pPr>
        <w:spacing w:line="360" w:lineRule="auto"/>
        <w:ind w:right="49"/>
        <w:jc w:val="both"/>
        <w:rPr>
          <w:rFonts w:ascii="Palatino Linotype" w:eastAsia="Palatino Linotype" w:hAnsi="Palatino Linotype" w:cs="Palatino Linotype"/>
        </w:rPr>
      </w:pPr>
    </w:p>
    <w:p w14:paraId="13444A11" w14:textId="77777777" w:rsidR="00815F8D" w:rsidRPr="00A10456" w:rsidRDefault="00F25C9B">
      <w:pPr>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92.</w:t>
      </w:r>
      <w:r w:rsidRPr="00A10456">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DA2027" w14:textId="77777777" w:rsidR="00815F8D" w:rsidRPr="00A10456" w:rsidRDefault="00815F8D">
      <w:pPr>
        <w:ind w:left="850" w:right="899"/>
        <w:jc w:val="both"/>
        <w:rPr>
          <w:rFonts w:ascii="Palatino Linotype" w:eastAsia="Palatino Linotype" w:hAnsi="Palatino Linotype" w:cs="Palatino Linotype"/>
          <w:b/>
          <w:i/>
          <w:sz w:val="22"/>
          <w:szCs w:val="22"/>
        </w:rPr>
      </w:pPr>
    </w:p>
    <w:p w14:paraId="741057EC" w14:textId="77777777" w:rsidR="00815F8D" w:rsidRPr="00A10456" w:rsidRDefault="00F25C9B">
      <w:pPr>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XXXVIII. El inventario de bienes muebles e inmuebles en posesión y propiedad;”</w:t>
      </w:r>
    </w:p>
    <w:p w14:paraId="3209FE2F" w14:textId="77777777" w:rsidR="00815F8D" w:rsidRPr="00A10456" w:rsidRDefault="00F25C9B">
      <w:pPr>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(Énfasis añadido)</w:t>
      </w:r>
    </w:p>
    <w:p w14:paraId="446917E2" w14:textId="77777777" w:rsidR="00815F8D" w:rsidRPr="00A10456" w:rsidRDefault="00815F8D">
      <w:pPr>
        <w:shd w:val="clear" w:color="auto" w:fill="FFFFFF"/>
        <w:spacing w:line="360" w:lineRule="auto"/>
        <w:jc w:val="both"/>
        <w:rPr>
          <w:rFonts w:ascii="Palatino Linotype" w:eastAsia="Palatino Linotype" w:hAnsi="Palatino Linotype" w:cs="Palatino Linotype"/>
        </w:rPr>
      </w:pPr>
    </w:p>
    <w:p w14:paraId="0EC60588" w14:textId="77777777" w:rsidR="00815F8D" w:rsidRPr="00A10456" w:rsidRDefault="00F25C9B">
      <w:pPr>
        <w:spacing w:before="240"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Asimismo, se considera que no es reservada, porque no se revela el estado de fuerza del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esto es, no se revela el número de elementos destinados a acciones operativas, no causa daño a la seguridad pública. </w:t>
      </w:r>
    </w:p>
    <w:p w14:paraId="5DCEF05F"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Sobre ello se pronuncia el Instituto Nacional de Transparencia en la revisión del recurso RRA 10357/18, en el que se señaló que la difusión de la información referente a la capacidad de operación policial de los municipios no representa un riesgo amenaza a la seguridad pública, ni puede menoscabar las reacción de las instituciones, debido a que la capacidad de operación no se limita al número de elementos sino contempla una serie de estrategias, procesos, inteligencia, tecnología, comunicaciones, entre otros. </w:t>
      </w:r>
    </w:p>
    <w:p w14:paraId="66E84EAA" w14:textId="77777777" w:rsidR="00815F8D" w:rsidRPr="00A10456" w:rsidRDefault="00815F8D">
      <w:pPr>
        <w:spacing w:line="360" w:lineRule="auto"/>
        <w:ind w:right="49"/>
        <w:jc w:val="both"/>
        <w:rPr>
          <w:rFonts w:ascii="Palatino Linotype" w:eastAsia="Palatino Linotype" w:hAnsi="Palatino Linotype" w:cs="Palatino Linotype"/>
        </w:rPr>
      </w:pPr>
    </w:p>
    <w:p w14:paraId="791ECE02"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Por otra parte el INSTITUTO DE TRANSPARENCIA, INFORMACIÓN PÚBLICA Y PROTECCIÓN DE DATOS PERSONALES DEL ESTADO DE JALISCO sustentó en la resolución del recurso 312/2019 que la información relacionada con unidades de patrullaje y vigilancia, se encuentra en constante movimiento dado que el mantenimiento y arreglo de cada modelo es casuístico, de igual manera se incorporan constantemente nuevos vehículos que se encuentren en mejores condiciones de manera que la información no es estática y es del conocimiento público pues dichas unidades transitan las calles dejando a la vista dichos elementos.</w:t>
      </w:r>
    </w:p>
    <w:p w14:paraId="2DD22567" w14:textId="77777777" w:rsidR="00815F8D" w:rsidRPr="00A10456" w:rsidRDefault="00815F8D">
      <w:pPr>
        <w:spacing w:line="360" w:lineRule="auto"/>
        <w:ind w:right="49"/>
        <w:jc w:val="both"/>
        <w:rPr>
          <w:rFonts w:ascii="Palatino Linotype" w:eastAsia="Palatino Linotype" w:hAnsi="Palatino Linotype" w:cs="Palatino Linotype"/>
        </w:rPr>
      </w:pPr>
    </w:p>
    <w:p w14:paraId="71F1B1DD"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Siendo importante referir que no se advierte fuente obligacional, que constriña al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a referir el motivo por el cual no se encuentran en circulación, y toda vez que en términos del artículo 12 de la Ley de Transparencia y Acceso a la Información Pública estos no estaban obligados a generar documentos a modo, de no contar con dicha información bastará con que así lo manifieste, </w:t>
      </w:r>
    </w:p>
    <w:p w14:paraId="60415622" w14:textId="77777777" w:rsidR="00815F8D" w:rsidRPr="00A10456" w:rsidRDefault="00815F8D">
      <w:pPr>
        <w:spacing w:line="360" w:lineRule="auto"/>
        <w:ind w:right="49"/>
        <w:jc w:val="both"/>
        <w:rPr>
          <w:rFonts w:ascii="Palatino Linotype" w:eastAsia="Palatino Linotype" w:hAnsi="Palatino Linotype" w:cs="Palatino Linotype"/>
        </w:rPr>
      </w:pPr>
    </w:p>
    <w:p w14:paraId="45923117" w14:textId="77777777" w:rsidR="00815F8D" w:rsidRPr="00A10456" w:rsidRDefault="00F25C9B">
      <w:pPr>
        <w:spacing w:line="360" w:lineRule="auto"/>
        <w:jc w:val="both"/>
        <w:rPr>
          <w:rFonts w:ascii="Palatino Linotype" w:eastAsia="Palatino Linotype" w:hAnsi="Palatino Linotype" w:cs="Palatino Linotype"/>
          <w:i/>
        </w:rPr>
      </w:pPr>
      <w:r w:rsidRPr="00A10456">
        <w:rPr>
          <w:rFonts w:ascii="Palatino Linotype" w:eastAsia="Palatino Linotype" w:hAnsi="Palatino Linotype" w:cs="Palatino Linotype"/>
        </w:rPr>
        <w:t xml:space="preserve">En cuanto a </w:t>
      </w:r>
      <w:r w:rsidRPr="00A10456">
        <w:rPr>
          <w:rFonts w:ascii="Palatino Linotype" w:eastAsia="Palatino Linotype" w:hAnsi="Palatino Linotype" w:cs="Palatino Linotype"/>
          <w:i/>
        </w:rPr>
        <w:t xml:space="preserve">el nombre y cargo de los servidores públicos que integran la Comisión de Honor y Justicia, las actas de la Comisión de Honor y Justicia celebradas en el año 2021 y 2022 y el número de elementos que tienen iniciado procedimiento administrativo disciplinario ante dicha </w:t>
      </w:r>
      <w:proofErr w:type="gramStart"/>
      <w:r w:rsidRPr="00A10456">
        <w:rPr>
          <w:rFonts w:ascii="Palatino Linotype" w:eastAsia="Palatino Linotype" w:hAnsi="Palatino Linotype" w:cs="Palatino Linotype"/>
          <w:i/>
        </w:rPr>
        <w:t>Comisión</w:t>
      </w:r>
      <w:proofErr w:type="gramEnd"/>
      <w:r w:rsidRPr="00A10456">
        <w:rPr>
          <w:rFonts w:ascii="Palatino Linotype" w:eastAsia="Palatino Linotype" w:hAnsi="Palatino Linotype" w:cs="Palatino Linotype"/>
          <w:i/>
        </w:rPr>
        <w:t xml:space="preserve"> así como el motivo del inicio de esos procedimientos.</w:t>
      </w:r>
    </w:p>
    <w:p w14:paraId="147217EC"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780C8708" w14:textId="77777777" w:rsidR="00815F8D" w:rsidRPr="00A10456" w:rsidRDefault="00F25C9B">
      <w:pPr>
        <w:spacing w:line="360" w:lineRule="auto"/>
        <w:ind w:right="141"/>
        <w:jc w:val="both"/>
        <w:rPr>
          <w:rFonts w:ascii="Palatino Linotype" w:eastAsia="Palatino Linotype" w:hAnsi="Palatino Linotype" w:cs="Palatino Linotype"/>
        </w:rPr>
      </w:pPr>
      <w:r w:rsidRPr="00A10456">
        <w:rPr>
          <w:rFonts w:ascii="Palatino Linotype" w:eastAsia="Palatino Linotype" w:hAnsi="Palatino Linotype" w:cs="Palatino Linotype"/>
        </w:rPr>
        <w:t>Cabe señalar que la Ley de Seguridad del Estado de México, establece las atribuciones de la Comisión de Honor y Justicia, de conformidad con los siguientes artículos:</w:t>
      </w:r>
    </w:p>
    <w:p w14:paraId="13A536FE" w14:textId="77777777" w:rsidR="00815F8D" w:rsidRPr="00A10456" w:rsidRDefault="00815F8D">
      <w:pPr>
        <w:spacing w:line="360" w:lineRule="auto"/>
        <w:ind w:right="141"/>
        <w:jc w:val="both"/>
        <w:rPr>
          <w:rFonts w:ascii="Palatino Linotype" w:eastAsia="Palatino Linotype" w:hAnsi="Palatino Linotype" w:cs="Palatino Linotype"/>
        </w:rPr>
      </w:pPr>
    </w:p>
    <w:p w14:paraId="443B7621"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55.-</w:t>
      </w:r>
      <w:r w:rsidRPr="00A10456">
        <w:rPr>
          <w:rFonts w:ascii="Palatino Linotype" w:eastAsia="Palatino Linotype" w:hAnsi="Palatino Linotype" w:cs="Palatino Linotype"/>
          <w:i/>
          <w:sz w:val="22"/>
          <w:szCs w:val="22"/>
        </w:rPr>
        <w:t xml:space="preserve"> Los municipios de la Entidad establecerán un Consejo Municipal de Seguridad Pública, el cual deberá quedar instalado dentro de los primeros treinta días naturales del inicio de la administración municipal y enviar al Consejo Estatal el acta de instalación respectiva. </w:t>
      </w:r>
    </w:p>
    <w:p w14:paraId="382FB13F" w14:textId="77777777" w:rsidR="00815F8D" w:rsidRPr="00A10456" w:rsidRDefault="00815F8D">
      <w:pPr>
        <w:ind w:left="567" w:right="616"/>
        <w:jc w:val="both"/>
        <w:rPr>
          <w:rFonts w:ascii="Palatino Linotype" w:eastAsia="Palatino Linotype" w:hAnsi="Palatino Linotype" w:cs="Palatino Linotype"/>
          <w:i/>
          <w:sz w:val="22"/>
          <w:szCs w:val="22"/>
        </w:rPr>
      </w:pPr>
    </w:p>
    <w:p w14:paraId="18AF8EE3"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u w:val="single"/>
        </w:rPr>
        <w:t>Cada Consejo Municipal deberá sesionar en forma ordinaria cada dos meses y en forma extraordinaria las veces que sean necesarias</w:t>
      </w:r>
      <w:r w:rsidRPr="00A10456">
        <w:rPr>
          <w:rFonts w:ascii="Palatino Linotype" w:eastAsia="Palatino Linotype" w:hAnsi="Palatino Linotype" w:cs="Palatino Linotype"/>
          <w:i/>
          <w:sz w:val="22"/>
          <w:szCs w:val="22"/>
        </w:rPr>
        <w:t>, en términos que establezca el estatuto correspondiente que emita el Consejo Municipal.</w:t>
      </w:r>
    </w:p>
    <w:p w14:paraId="22095B81" w14:textId="77777777" w:rsidR="00815F8D" w:rsidRPr="00A10456" w:rsidRDefault="00815F8D">
      <w:pPr>
        <w:ind w:left="567" w:right="616"/>
        <w:jc w:val="both"/>
        <w:rPr>
          <w:rFonts w:ascii="Palatino Linotype" w:eastAsia="Palatino Linotype" w:hAnsi="Palatino Linotype" w:cs="Palatino Linotype"/>
          <w:i/>
          <w:sz w:val="22"/>
          <w:szCs w:val="22"/>
        </w:rPr>
      </w:pPr>
    </w:p>
    <w:p w14:paraId="5C0830D0"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El Consejo Municipal podrá celebrar sesiones regionales, atendiendo a la densidad poblacional, extensión territorial y/o incidencia delictiva conforme a lo establecido en los lineamientos que al efecto emita el Consejo Estatal. Para el desahogo de los asuntos de su competencia, el Consejo Municipal de Seguridad Pública integrará las siguientes comisiones: </w:t>
      </w:r>
    </w:p>
    <w:p w14:paraId="41458A4F" w14:textId="77777777" w:rsidR="00815F8D" w:rsidRPr="00A10456" w:rsidRDefault="00815F8D">
      <w:pPr>
        <w:ind w:left="567" w:right="616"/>
        <w:jc w:val="both"/>
        <w:rPr>
          <w:rFonts w:ascii="Palatino Linotype" w:eastAsia="Palatino Linotype" w:hAnsi="Palatino Linotype" w:cs="Palatino Linotype"/>
          <w:i/>
          <w:sz w:val="22"/>
          <w:szCs w:val="22"/>
        </w:rPr>
      </w:pPr>
    </w:p>
    <w:p w14:paraId="23D7BE03"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1. Prevención Social de la Violencia y la Delincuencia con Participación Ciudadana. </w:t>
      </w:r>
    </w:p>
    <w:p w14:paraId="26A12D3E"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2. Planeación y Evaluación. </w:t>
      </w:r>
    </w:p>
    <w:p w14:paraId="10516730"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3. Estratégica de Seguridad. </w:t>
      </w:r>
    </w:p>
    <w:p w14:paraId="1DF050BD" w14:textId="77777777" w:rsidR="00815F8D" w:rsidRPr="00A10456" w:rsidRDefault="00F25C9B">
      <w:pPr>
        <w:ind w:left="567" w:right="616"/>
        <w:jc w:val="both"/>
        <w:rPr>
          <w:rFonts w:ascii="Palatino Linotype" w:eastAsia="Palatino Linotype" w:hAnsi="Palatino Linotype" w:cs="Palatino Linotype"/>
          <w:b/>
          <w:i/>
          <w:sz w:val="22"/>
          <w:szCs w:val="22"/>
          <w:u w:val="single"/>
        </w:rPr>
      </w:pPr>
      <w:r w:rsidRPr="00A10456">
        <w:rPr>
          <w:rFonts w:ascii="Palatino Linotype" w:eastAsia="Palatino Linotype" w:hAnsi="Palatino Linotype" w:cs="Palatino Linotype"/>
          <w:b/>
          <w:i/>
          <w:sz w:val="22"/>
          <w:szCs w:val="22"/>
          <w:u w:val="single"/>
        </w:rPr>
        <w:t xml:space="preserve">4. Comisión de Honor y Justicia. </w:t>
      </w:r>
    </w:p>
    <w:p w14:paraId="27563442"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5. Las demás que determine. </w:t>
      </w:r>
    </w:p>
    <w:p w14:paraId="311F9A66" w14:textId="77777777" w:rsidR="00815F8D" w:rsidRPr="00A10456" w:rsidRDefault="00815F8D">
      <w:pPr>
        <w:ind w:left="567" w:right="616"/>
        <w:jc w:val="both"/>
        <w:rPr>
          <w:rFonts w:ascii="Palatino Linotype" w:eastAsia="Palatino Linotype" w:hAnsi="Palatino Linotype" w:cs="Palatino Linotype"/>
          <w:i/>
          <w:sz w:val="22"/>
          <w:szCs w:val="22"/>
        </w:rPr>
      </w:pPr>
    </w:p>
    <w:p w14:paraId="24730D67"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lastRenderedPageBreak/>
        <w:t>Las facultades, atribuciones, integración y funcionamiento de las comisiones de los Consejos Municipales de Seguridad Pública estarán determinadas en los lineamientos que para tal efecto emita el Consejo Estatal.</w:t>
      </w:r>
    </w:p>
    <w:p w14:paraId="6CD5F3CB" w14:textId="77777777" w:rsidR="00815F8D" w:rsidRPr="00A10456" w:rsidRDefault="00815F8D">
      <w:pPr>
        <w:spacing w:line="360" w:lineRule="auto"/>
        <w:ind w:right="141"/>
        <w:jc w:val="both"/>
        <w:rPr>
          <w:rFonts w:ascii="Palatino Linotype" w:eastAsia="Palatino Linotype" w:hAnsi="Palatino Linotype" w:cs="Palatino Linotype"/>
        </w:rPr>
      </w:pPr>
    </w:p>
    <w:p w14:paraId="66F6A89B" w14:textId="77777777" w:rsidR="00815F8D" w:rsidRPr="00A10456" w:rsidRDefault="00F25C9B">
      <w:pPr>
        <w:ind w:left="567" w:right="616"/>
        <w:jc w:val="center"/>
        <w:rPr>
          <w:rFonts w:ascii="Palatino Linotype" w:eastAsia="Palatino Linotype" w:hAnsi="Palatino Linotype" w:cs="Palatino Linotype"/>
          <w:b/>
          <w:i/>
          <w:sz w:val="22"/>
          <w:szCs w:val="22"/>
          <w:u w:val="single"/>
        </w:rPr>
      </w:pPr>
      <w:r w:rsidRPr="00A10456">
        <w:rPr>
          <w:rFonts w:ascii="Palatino Linotype" w:eastAsia="Palatino Linotype" w:hAnsi="Palatino Linotype" w:cs="Palatino Linotype"/>
          <w:b/>
          <w:i/>
          <w:sz w:val="22"/>
          <w:szCs w:val="22"/>
          <w:u w:val="single"/>
        </w:rPr>
        <w:t>COMISIÓN DE HONOR Y JUSTICIA</w:t>
      </w:r>
    </w:p>
    <w:p w14:paraId="1FAF37E0" w14:textId="77777777" w:rsidR="00815F8D" w:rsidRPr="00A10456" w:rsidRDefault="00F25C9B">
      <w:pPr>
        <w:ind w:left="567" w:right="616"/>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Artículo 160.-</w:t>
      </w:r>
      <w:r w:rsidRPr="00A10456">
        <w:rPr>
          <w:rFonts w:ascii="Palatino Linotype" w:eastAsia="Palatino Linotype" w:hAnsi="Palatino Linotype" w:cs="Palatino Linotype"/>
          <w:i/>
          <w:sz w:val="22"/>
          <w:szCs w:val="22"/>
        </w:rPr>
        <w:t xml:space="preserve"> La Comisión de Honor y Justicia, es un órgano colegiado que tendrá como atribución llevar a cabo, en el ámbito de su competencia,</w:t>
      </w:r>
      <w:r w:rsidRPr="00A10456">
        <w:rPr>
          <w:rFonts w:ascii="Palatino Linotype" w:eastAsia="Palatino Linotype" w:hAnsi="Palatino Linotype" w:cs="Palatino Linotype"/>
          <w:b/>
          <w:i/>
          <w:sz w:val="22"/>
          <w:szCs w:val="22"/>
        </w:rPr>
        <w:t xml:space="preserve">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 </w:t>
      </w:r>
    </w:p>
    <w:p w14:paraId="1FFF3FA1" w14:textId="77777777" w:rsidR="00815F8D" w:rsidRPr="00A10456" w:rsidRDefault="00815F8D">
      <w:pPr>
        <w:ind w:left="567" w:right="616"/>
        <w:jc w:val="both"/>
        <w:rPr>
          <w:rFonts w:ascii="Palatino Linotype" w:eastAsia="Palatino Linotype" w:hAnsi="Palatino Linotype" w:cs="Palatino Linotype"/>
          <w:b/>
          <w:i/>
          <w:sz w:val="22"/>
          <w:szCs w:val="22"/>
        </w:rPr>
      </w:pPr>
    </w:p>
    <w:p w14:paraId="1E38C042"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w:t>
      </w:r>
      <w:r w:rsidRPr="00A10456">
        <w:rPr>
          <w:rFonts w:ascii="Palatino Linotype" w:eastAsia="Palatino Linotype" w:hAnsi="Palatino Linotype" w:cs="Palatino Linotype"/>
          <w:i/>
          <w:sz w:val="22"/>
          <w:szCs w:val="22"/>
        </w:rPr>
        <w:t xml:space="preserve"> Con los requisitos de permanencia que se establecen en la Ley General, esta Ley y demás disposiciones legales aplicables; </w:t>
      </w:r>
    </w:p>
    <w:p w14:paraId="0234635F"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w:t>
      </w:r>
      <w:r w:rsidRPr="00A10456">
        <w:rPr>
          <w:rFonts w:ascii="Palatino Linotype" w:eastAsia="Palatino Linotype" w:hAnsi="Palatino Linotype" w:cs="Palatino Linotype"/>
          <w:i/>
          <w:sz w:val="22"/>
          <w:szCs w:val="22"/>
        </w:rPr>
        <w:t xml:space="preserve"> Con las obligaciones establecidas en la Ley General, esta Ley y los ordenamientos jurídicos internos que rigen su actuar; y</w:t>
      </w:r>
    </w:p>
    <w:p w14:paraId="2ED4DA40"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III.</w:t>
      </w:r>
      <w:r w:rsidRPr="00A10456">
        <w:rPr>
          <w:rFonts w:ascii="Palatino Linotype" w:eastAsia="Palatino Linotype" w:hAnsi="Palatino Linotype" w:cs="Palatino Linotype"/>
          <w:i/>
          <w:sz w:val="22"/>
          <w:szCs w:val="22"/>
        </w:rPr>
        <w:t xml:space="preserve"> Con el régimen disciplinario establecido en esta Ley.</w:t>
      </w:r>
    </w:p>
    <w:p w14:paraId="36C59F92" w14:textId="77777777" w:rsidR="00815F8D" w:rsidRPr="00A10456" w:rsidRDefault="00815F8D">
      <w:pPr>
        <w:ind w:left="567" w:right="616"/>
        <w:jc w:val="both"/>
        <w:rPr>
          <w:rFonts w:ascii="Palatino Linotype" w:eastAsia="Palatino Linotype" w:hAnsi="Palatino Linotype" w:cs="Palatino Linotype"/>
          <w:i/>
          <w:sz w:val="22"/>
          <w:szCs w:val="22"/>
        </w:rPr>
      </w:pPr>
    </w:p>
    <w:p w14:paraId="5687781C"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La Comisión de Honor y Justicia implementará una base de datos en la que se registrarán las sanciones impuestas a los integrantes de las Instituciones Policiales.</w:t>
      </w:r>
    </w:p>
    <w:p w14:paraId="26179C5F" w14:textId="77777777" w:rsidR="00815F8D" w:rsidRPr="00A10456" w:rsidRDefault="00815F8D">
      <w:pPr>
        <w:ind w:left="567" w:right="616"/>
        <w:jc w:val="both"/>
        <w:rPr>
          <w:rFonts w:ascii="Palatino Linotype" w:eastAsia="Palatino Linotype" w:hAnsi="Palatino Linotype" w:cs="Palatino Linotype"/>
          <w:i/>
          <w:sz w:val="22"/>
          <w:szCs w:val="22"/>
        </w:rPr>
      </w:pPr>
    </w:p>
    <w:p w14:paraId="72D6A5F3"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161.-</w:t>
      </w:r>
      <w:r w:rsidRPr="00A10456">
        <w:rPr>
          <w:rFonts w:ascii="Palatino Linotype" w:eastAsia="Palatino Linotype" w:hAnsi="Palatino Linotype" w:cs="Palatino Linotype"/>
          <w:i/>
          <w:sz w:val="22"/>
          <w:szCs w:val="22"/>
        </w:rPr>
        <w:t xml:space="preserve"> Las Instituciones Policiales establecerán una Comisión de Honor y Justicia, que estará integrada por:</w:t>
      </w:r>
    </w:p>
    <w:p w14:paraId="2FA95962"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I. </w:t>
      </w:r>
      <w:r w:rsidRPr="00A10456">
        <w:rPr>
          <w:rFonts w:ascii="Palatino Linotype" w:eastAsia="Palatino Linotype" w:hAnsi="Palatino Linotype" w:cs="Palatino Linotype"/>
          <w:i/>
          <w:sz w:val="22"/>
          <w:szCs w:val="22"/>
        </w:rPr>
        <w:t>Un presidente que tendrá voto de calidad;</w:t>
      </w:r>
    </w:p>
    <w:p w14:paraId="0ED6D30E"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w:t>
      </w:r>
      <w:r w:rsidRPr="00A10456">
        <w:rPr>
          <w:rFonts w:ascii="Palatino Linotype" w:eastAsia="Palatino Linotype" w:hAnsi="Palatino Linotype" w:cs="Palatino Linotype"/>
          <w:i/>
          <w:sz w:val="22"/>
          <w:szCs w:val="22"/>
        </w:rPr>
        <w:t xml:space="preserve"> Un secretario que será el titular del jurídico de la Institución y contará con voz y voto; y</w:t>
      </w:r>
    </w:p>
    <w:p w14:paraId="626B7A61"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III.</w:t>
      </w:r>
      <w:r w:rsidRPr="00A10456">
        <w:rPr>
          <w:rFonts w:ascii="Palatino Linotype" w:eastAsia="Palatino Linotype" w:hAnsi="Palatino Linotype" w:cs="Palatino Linotype"/>
          <w:i/>
          <w:sz w:val="22"/>
          <w:szCs w:val="22"/>
        </w:rPr>
        <w:t xml:space="preserve"> Un representante de la unidad operativa de investigación, prevención o reacción según sea el caso.</w:t>
      </w:r>
    </w:p>
    <w:p w14:paraId="5042C137" w14:textId="77777777" w:rsidR="00815F8D" w:rsidRPr="00A10456" w:rsidRDefault="00815F8D">
      <w:pPr>
        <w:ind w:left="567" w:right="616"/>
        <w:jc w:val="both"/>
        <w:rPr>
          <w:rFonts w:ascii="Palatino Linotype" w:eastAsia="Palatino Linotype" w:hAnsi="Palatino Linotype" w:cs="Palatino Linotype"/>
          <w:i/>
          <w:sz w:val="22"/>
          <w:szCs w:val="22"/>
        </w:rPr>
      </w:pPr>
    </w:p>
    <w:p w14:paraId="2BFB3CFD"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El presidente y el representante serán designados por el titular de la dependencia.</w:t>
      </w:r>
    </w:p>
    <w:p w14:paraId="605F7FDD" w14:textId="77777777" w:rsidR="00815F8D" w:rsidRPr="00A10456" w:rsidRDefault="00815F8D">
      <w:pPr>
        <w:ind w:left="567" w:right="616"/>
        <w:jc w:val="both"/>
        <w:rPr>
          <w:rFonts w:ascii="Palatino Linotype" w:eastAsia="Palatino Linotype" w:hAnsi="Palatino Linotype" w:cs="Palatino Linotype"/>
          <w:i/>
          <w:sz w:val="22"/>
          <w:szCs w:val="22"/>
        </w:rPr>
      </w:pPr>
    </w:p>
    <w:p w14:paraId="4AB925D7"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162.-</w:t>
      </w:r>
      <w:r w:rsidRPr="00A10456">
        <w:rPr>
          <w:rFonts w:ascii="Palatino Linotype" w:eastAsia="Palatino Linotype" w:hAnsi="Palatino Linotype" w:cs="Palatino Linotype"/>
          <w:i/>
          <w:sz w:val="22"/>
          <w:szCs w:val="22"/>
        </w:rPr>
        <w:t xml:space="preserve"> La Comisión de Honor y Justicia de la Procuraduría, se integrará por:</w:t>
      </w:r>
    </w:p>
    <w:p w14:paraId="3BED79CE"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w:t>
      </w:r>
      <w:r w:rsidRPr="00A10456">
        <w:rPr>
          <w:rFonts w:ascii="Palatino Linotype" w:eastAsia="Palatino Linotype" w:hAnsi="Palatino Linotype" w:cs="Palatino Linotype"/>
          <w:i/>
          <w:sz w:val="22"/>
          <w:szCs w:val="22"/>
        </w:rPr>
        <w:t xml:space="preserve"> El Comisario General de la Policía Ministerial, quien la presidirá;</w:t>
      </w:r>
    </w:p>
    <w:p w14:paraId="20669F5E"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w:t>
      </w:r>
      <w:r w:rsidRPr="00A10456">
        <w:rPr>
          <w:rFonts w:ascii="Palatino Linotype" w:eastAsia="Palatino Linotype" w:hAnsi="Palatino Linotype" w:cs="Palatino Linotype"/>
          <w:i/>
          <w:sz w:val="22"/>
          <w:szCs w:val="22"/>
        </w:rPr>
        <w:t xml:space="preserve"> El Director General Jurídico y Consultivo, quien fungirá como secretario, con voz y voto; y</w:t>
      </w:r>
    </w:p>
    <w:p w14:paraId="1BFC9039"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III.</w:t>
      </w:r>
      <w:r w:rsidRPr="00A10456">
        <w:rPr>
          <w:rFonts w:ascii="Palatino Linotype" w:eastAsia="Palatino Linotype" w:hAnsi="Palatino Linotype" w:cs="Palatino Linotype"/>
          <w:i/>
          <w:sz w:val="22"/>
          <w:szCs w:val="22"/>
        </w:rPr>
        <w:t xml:space="preserve"> Un elemento destacado de la Policía de Investigación designado por el Fiscal.</w:t>
      </w:r>
    </w:p>
    <w:p w14:paraId="4335A197" w14:textId="77777777" w:rsidR="00815F8D" w:rsidRPr="00A10456" w:rsidRDefault="00815F8D">
      <w:pPr>
        <w:spacing w:line="360" w:lineRule="auto"/>
        <w:ind w:right="141"/>
        <w:jc w:val="both"/>
        <w:rPr>
          <w:rFonts w:ascii="Palatino Linotype" w:eastAsia="Palatino Linotype" w:hAnsi="Palatino Linotype" w:cs="Palatino Linotype"/>
        </w:rPr>
      </w:pPr>
    </w:p>
    <w:p w14:paraId="7B84F13F" w14:textId="77777777" w:rsidR="00815F8D" w:rsidRPr="00A10456" w:rsidRDefault="00F25C9B">
      <w:pPr>
        <w:spacing w:line="360" w:lineRule="auto"/>
        <w:ind w:right="141"/>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lo anterior, es de destacar que sí cuentan con un periodo mínimo de </w:t>
      </w:r>
      <w:proofErr w:type="gramStart"/>
      <w:r w:rsidRPr="00A10456">
        <w:rPr>
          <w:rFonts w:ascii="Palatino Linotype" w:eastAsia="Palatino Linotype" w:hAnsi="Palatino Linotype" w:cs="Palatino Linotype"/>
        </w:rPr>
        <w:t>sesiones  forma</w:t>
      </w:r>
      <w:proofErr w:type="gramEnd"/>
      <w:r w:rsidRPr="00A10456">
        <w:rPr>
          <w:rFonts w:ascii="Palatino Linotype" w:eastAsia="Palatino Linotype" w:hAnsi="Palatino Linotype" w:cs="Palatino Linotype"/>
        </w:rPr>
        <w:t xml:space="preserve"> ordinaria </w:t>
      </w:r>
      <w:r w:rsidRPr="00A10456">
        <w:rPr>
          <w:rFonts w:ascii="Palatino Linotype" w:eastAsia="Palatino Linotype" w:hAnsi="Palatino Linotype" w:cs="Palatino Linotype"/>
          <w:i/>
        </w:rPr>
        <w:t>(cada dos meses)</w:t>
      </w:r>
      <w:r w:rsidRPr="00A10456">
        <w:rPr>
          <w:rFonts w:ascii="Palatino Linotype" w:eastAsia="Palatino Linotype" w:hAnsi="Palatino Linotype" w:cs="Palatino Linotype"/>
        </w:rPr>
        <w:t xml:space="preserve"> y en forma extraordinaria las veces que sean necesarias; por lo es necesario realizar una búsqueda exhaustiva y razonable del documento en donde consten las Actas de las Sesiones de la Comisión de honor y Justicia, de ser procedente en versión pública. </w:t>
      </w:r>
    </w:p>
    <w:p w14:paraId="36280475" w14:textId="77777777" w:rsidR="00815F8D" w:rsidRPr="00A10456" w:rsidRDefault="00815F8D">
      <w:pPr>
        <w:spacing w:line="360" w:lineRule="auto"/>
        <w:ind w:right="141"/>
        <w:jc w:val="both"/>
        <w:rPr>
          <w:rFonts w:ascii="Palatino Linotype" w:eastAsia="Palatino Linotype" w:hAnsi="Palatino Linotype" w:cs="Palatino Linotype"/>
        </w:rPr>
      </w:pPr>
    </w:p>
    <w:p w14:paraId="383FDF09" w14:textId="77777777" w:rsidR="00815F8D" w:rsidRPr="00A10456" w:rsidRDefault="00F25C9B">
      <w:pPr>
        <w:spacing w:line="360" w:lineRule="auto"/>
        <w:ind w:right="141"/>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Adicionalmente, la información referida forma parte de las Obligaciones de Transparencia Comunes del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lo que nos permite traer a colación lo dispuesto por la fracción L, del artículo 92, de la Ley de Transparencia y Acceso a la Información Pública del Estado de México y Municipios en el cual se aprecia lo siguiente:</w:t>
      </w:r>
    </w:p>
    <w:p w14:paraId="055C30A5" w14:textId="77777777" w:rsidR="00815F8D" w:rsidRPr="00A10456" w:rsidRDefault="00815F8D"/>
    <w:p w14:paraId="3CC2CB49" w14:textId="77777777" w:rsidR="00815F8D" w:rsidRPr="00A10456" w:rsidRDefault="00F25C9B">
      <w:pPr>
        <w:tabs>
          <w:tab w:val="left" w:pos="851"/>
        </w:tabs>
        <w:spacing w:line="259" w:lineRule="auto"/>
        <w:ind w:left="709" w:right="70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Artículo 92</w:t>
      </w:r>
      <w:r w:rsidRPr="00A10456">
        <w:rPr>
          <w:rFonts w:ascii="Palatino Linotype" w:eastAsia="Palatino Linotype" w:hAnsi="Palatino Linotype" w:cs="Palatino Linotype"/>
          <w:i/>
          <w:sz w:val="22"/>
          <w:szCs w:val="22"/>
        </w:rPr>
        <w:t xml:space="preserve">. </w:t>
      </w:r>
      <w:r w:rsidRPr="00A10456">
        <w:rPr>
          <w:rFonts w:ascii="Palatino Linotype" w:eastAsia="Palatino Linotype" w:hAnsi="Palatino Linotype" w:cs="Palatino Linotype"/>
          <w:b/>
          <w:i/>
          <w:sz w:val="22"/>
          <w:szCs w:val="22"/>
          <w:u w:val="single"/>
        </w:rPr>
        <w:t>Los sujetos obligados deberán poner a disposición del público de manera permanente y actualizada de forma sencilla, precisa y entendible, en los respectivos medios electrónicos</w:t>
      </w:r>
      <w:r w:rsidRPr="00A10456">
        <w:rPr>
          <w:rFonts w:ascii="Palatino Linotype" w:eastAsia="Palatino Linotype" w:hAnsi="Palatino Linotype" w:cs="Palatino Linotype"/>
          <w:i/>
          <w:sz w:val="22"/>
          <w:szCs w:val="22"/>
        </w:rPr>
        <w:t xml:space="preserve">, de acuerdo con sus facultades, atribuciones, funciones u objeto social, según corresponda, la información, </w:t>
      </w:r>
      <w:r w:rsidRPr="00A10456">
        <w:rPr>
          <w:rFonts w:ascii="Palatino Linotype" w:eastAsia="Palatino Linotype" w:hAnsi="Palatino Linotype" w:cs="Palatino Linotype"/>
          <w:b/>
          <w:i/>
          <w:sz w:val="22"/>
          <w:szCs w:val="22"/>
          <w:u w:val="single"/>
        </w:rPr>
        <w:t>por lo menos, de los temas, documentos y políticas que a continuación se señalan</w:t>
      </w:r>
      <w:r w:rsidRPr="00A10456">
        <w:rPr>
          <w:rFonts w:ascii="Palatino Linotype" w:eastAsia="Palatino Linotype" w:hAnsi="Palatino Linotype" w:cs="Palatino Linotype"/>
          <w:i/>
          <w:sz w:val="22"/>
          <w:szCs w:val="22"/>
        </w:rPr>
        <w:t>:</w:t>
      </w:r>
    </w:p>
    <w:p w14:paraId="17FD82D8" w14:textId="77777777" w:rsidR="00815F8D" w:rsidRPr="00A10456" w:rsidRDefault="00F25C9B">
      <w:pPr>
        <w:tabs>
          <w:tab w:val="left" w:pos="851"/>
        </w:tabs>
        <w:spacing w:line="259" w:lineRule="auto"/>
        <w:ind w:left="709" w:right="70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p>
    <w:p w14:paraId="73914B58" w14:textId="77777777" w:rsidR="00815F8D" w:rsidRPr="00A10456" w:rsidRDefault="00F25C9B">
      <w:pPr>
        <w:tabs>
          <w:tab w:val="left" w:pos="851"/>
        </w:tabs>
        <w:spacing w:line="259" w:lineRule="auto"/>
        <w:ind w:left="709" w:right="70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L. </w:t>
      </w:r>
      <w:r w:rsidRPr="00A10456">
        <w:rPr>
          <w:rFonts w:ascii="Palatino Linotype" w:eastAsia="Palatino Linotype" w:hAnsi="Palatino Linotype" w:cs="Palatino Linotype"/>
          <w:i/>
          <w:sz w:val="22"/>
          <w:szCs w:val="22"/>
        </w:rPr>
        <w:t>Las actas de sesiones ordinarias y extraordinarias, así como las opiniones y recomendaciones de los consejos consultivos;</w:t>
      </w:r>
    </w:p>
    <w:p w14:paraId="2804559F" w14:textId="77777777" w:rsidR="00815F8D" w:rsidRPr="00A10456" w:rsidRDefault="00815F8D">
      <w:pPr>
        <w:spacing w:line="360" w:lineRule="auto"/>
        <w:jc w:val="both"/>
        <w:rPr>
          <w:rFonts w:ascii="Palatino Linotype" w:eastAsia="Palatino Linotype" w:hAnsi="Palatino Linotype" w:cs="Palatino Linotype"/>
        </w:rPr>
      </w:pPr>
    </w:p>
    <w:p w14:paraId="495588E8"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De ese numeral, se observa que la información solicitada forma parte de las Obligaciones de Transparencia Comunes de los Sujetos Obligados, las cuales deben poner a disposición de manera permanente y actualizada en los respectivos medios </w:t>
      </w:r>
      <w:r w:rsidRPr="00A10456">
        <w:rPr>
          <w:rFonts w:ascii="Palatino Linotype" w:eastAsia="Palatino Linotype" w:hAnsi="Palatino Linotype" w:cs="Palatino Linotype"/>
        </w:rPr>
        <w:lastRenderedPageBreak/>
        <w:t>electrónicos, como lo es el portal de Información Pública de Oficio Mexiquense (IPOMEX).</w:t>
      </w:r>
    </w:p>
    <w:p w14:paraId="71720571" w14:textId="77777777" w:rsidR="00815F8D" w:rsidRPr="00A10456" w:rsidRDefault="00815F8D">
      <w:pPr>
        <w:spacing w:line="360" w:lineRule="auto"/>
        <w:jc w:val="both"/>
        <w:rPr>
          <w:rFonts w:ascii="Palatino Linotype" w:eastAsia="Palatino Linotype" w:hAnsi="Palatino Linotype" w:cs="Palatino Linotype"/>
        </w:rPr>
      </w:pPr>
    </w:p>
    <w:p w14:paraId="3E47C619"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Información donde además puede obrar el nombre de los integrantes de dicha Comisión, elemento solicitado también por el particular y que es de naturaleza pública. </w:t>
      </w:r>
    </w:p>
    <w:p w14:paraId="62878545" w14:textId="77777777" w:rsidR="00815F8D" w:rsidRPr="00A10456" w:rsidRDefault="00815F8D">
      <w:pPr>
        <w:spacing w:line="360" w:lineRule="auto"/>
        <w:jc w:val="both"/>
        <w:rPr>
          <w:rFonts w:ascii="Palatino Linotype" w:eastAsia="Palatino Linotype" w:hAnsi="Palatino Linotype" w:cs="Palatino Linotype"/>
        </w:rPr>
      </w:pPr>
    </w:p>
    <w:p w14:paraId="0410A041"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Luego entonces las actas y el nombre y </w:t>
      </w:r>
      <w:proofErr w:type="gramStart"/>
      <w:r w:rsidRPr="00A10456">
        <w:rPr>
          <w:rFonts w:ascii="Palatino Linotype" w:eastAsia="Palatino Linotype" w:hAnsi="Palatino Linotype" w:cs="Palatino Linotype"/>
        </w:rPr>
        <w:t>cargo  de</w:t>
      </w:r>
      <w:proofErr w:type="gramEnd"/>
      <w:r w:rsidRPr="00A10456">
        <w:rPr>
          <w:rFonts w:ascii="Palatino Linotype" w:eastAsia="Palatino Linotype" w:hAnsi="Palatino Linotype" w:cs="Palatino Linotype"/>
        </w:rPr>
        <w:t xml:space="preserve"> los integrantes de la Comisión de Honor y Justicia, es información susceptible de entregarse de ser procedente en versión pública. </w:t>
      </w:r>
    </w:p>
    <w:p w14:paraId="0CE09E94" w14:textId="77777777" w:rsidR="00815F8D" w:rsidRPr="00A10456" w:rsidRDefault="00815F8D">
      <w:pPr>
        <w:spacing w:line="360" w:lineRule="auto"/>
        <w:jc w:val="both"/>
        <w:rPr>
          <w:rFonts w:ascii="Palatino Linotype" w:eastAsia="Palatino Linotype" w:hAnsi="Palatino Linotype" w:cs="Palatino Linotype"/>
        </w:rPr>
      </w:pPr>
    </w:p>
    <w:p w14:paraId="203059C0"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otra </w:t>
      </w:r>
      <w:proofErr w:type="gramStart"/>
      <w:r w:rsidRPr="00A10456">
        <w:rPr>
          <w:rFonts w:ascii="Palatino Linotype" w:eastAsia="Palatino Linotype" w:hAnsi="Palatino Linotype" w:cs="Palatino Linotype"/>
        </w:rPr>
        <w:t>parte</w:t>
      </w:r>
      <w:proofErr w:type="gramEnd"/>
      <w:r w:rsidRPr="00A10456">
        <w:rPr>
          <w:rFonts w:ascii="Palatino Linotype" w:eastAsia="Palatino Linotype" w:hAnsi="Palatino Linotype" w:cs="Palatino Linotype"/>
        </w:rPr>
        <w:t xml:space="preserve"> el </w:t>
      </w:r>
      <w:proofErr w:type="spellStart"/>
      <w:r w:rsidRPr="00A10456">
        <w:rPr>
          <w:rFonts w:ascii="Palatino Linotype" w:eastAsia="Palatino Linotype" w:hAnsi="Palatino Linotype" w:cs="Palatino Linotype"/>
        </w:rPr>
        <w:t>numero</w:t>
      </w:r>
      <w:proofErr w:type="spellEnd"/>
      <w:r w:rsidRPr="00A10456">
        <w:rPr>
          <w:rFonts w:ascii="Palatino Linotype" w:eastAsia="Palatino Linotype" w:hAnsi="Palatino Linotype" w:cs="Palatino Linotype"/>
        </w:rPr>
        <w:t xml:space="preserve"> de elementos con procedimientos iniciados y el motivo, también es un dato de naturaleza estadística, toda vez que </w:t>
      </w:r>
      <w:proofErr w:type="spellStart"/>
      <w:r w:rsidRPr="00A10456">
        <w:rPr>
          <w:rFonts w:ascii="Palatino Linotype" w:eastAsia="Palatino Linotype" w:hAnsi="Palatino Linotype" w:cs="Palatino Linotype"/>
        </w:rPr>
        <w:t>únciamente</w:t>
      </w:r>
      <w:proofErr w:type="spellEnd"/>
      <w:r w:rsidRPr="00A10456">
        <w:rPr>
          <w:rFonts w:ascii="Palatino Linotype" w:eastAsia="Palatino Linotype" w:hAnsi="Palatino Linotype" w:cs="Palatino Linotype"/>
        </w:rPr>
        <w:t xml:space="preserve"> se solicita el </w:t>
      </w:r>
      <w:proofErr w:type="spellStart"/>
      <w:r w:rsidRPr="00A10456">
        <w:rPr>
          <w:rFonts w:ascii="Palatino Linotype" w:eastAsia="Palatino Linotype" w:hAnsi="Palatino Linotype" w:cs="Palatino Linotype"/>
        </w:rPr>
        <w:t>numero</w:t>
      </w:r>
      <w:proofErr w:type="spellEnd"/>
      <w:r w:rsidRPr="00A10456">
        <w:rPr>
          <w:rFonts w:ascii="Palatino Linotype" w:eastAsia="Palatino Linotype" w:hAnsi="Palatino Linotype" w:cs="Palatino Linotype"/>
        </w:rPr>
        <w:t xml:space="preserve"> y motivo y no así el expediente ni el nombre de dichos elementos, por lo cual también se considera información de naturaleza pública. </w:t>
      </w:r>
    </w:p>
    <w:p w14:paraId="79EFE740" w14:textId="77777777" w:rsidR="00815F8D" w:rsidRPr="00A10456" w:rsidRDefault="00815F8D">
      <w:pPr>
        <w:spacing w:line="360" w:lineRule="auto"/>
        <w:jc w:val="both"/>
        <w:rPr>
          <w:rFonts w:ascii="Palatino Linotype" w:eastAsia="Palatino Linotype" w:hAnsi="Palatino Linotype" w:cs="Palatino Linotype"/>
        </w:rPr>
      </w:pPr>
    </w:p>
    <w:p w14:paraId="03876D8D"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En cuanto al motivo de inicio de los procedimientos, toda vez que no se advierte fuente obligacional para que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genere la información al grado de desagregación requerido por el particular, siendo lo solicitado de naturaleza estadística, en caso de no contar con dicha información bastará con que así lo manifieste.</w:t>
      </w:r>
    </w:p>
    <w:p w14:paraId="7D8271E4" w14:textId="77777777" w:rsidR="00815F8D" w:rsidRPr="00A10456" w:rsidRDefault="00815F8D">
      <w:pPr>
        <w:tabs>
          <w:tab w:val="left" w:pos="709"/>
        </w:tabs>
        <w:spacing w:line="360" w:lineRule="auto"/>
        <w:ind w:right="49"/>
        <w:jc w:val="both"/>
        <w:rPr>
          <w:rFonts w:ascii="Palatino Linotype" w:eastAsia="Palatino Linotype" w:hAnsi="Palatino Linotype" w:cs="Palatino Linotype"/>
        </w:rPr>
      </w:pPr>
    </w:p>
    <w:p w14:paraId="10583676"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i/>
        </w:rPr>
      </w:pPr>
      <w:r w:rsidRPr="00A10456">
        <w:rPr>
          <w:rFonts w:ascii="Palatino Linotype" w:eastAsia="Palatino Linotype" w:hAnsi="Palatino Linotype" w:cs="Palatino Linotype"/>
        </w:rPr>
        <w:lastRenderedPageBreak/>
        <w:t xml:space="preserve">En cuanto a </w:t>
      </w:r>
      <w:r w:rsidRPr="00A10456">
        <w:rPr>
          <w:rFonts w:ascii="Palatino Linotype" w:eastAsia="Palatino Linotype" w:hAnsi="Palatino Linotype" w:cs="Palatino Linotype"/>
          <w:i/>
        </w:rPr>
        <w:t>la versión pública de los expedientes iniciados con motivo de la no aprobación del control de confianza del personal operativo en el año 2021 y 2022.</w:t>
      </w:r>
    </w:p>
    <w:p w14:paraId="232DFF72" w14:textId="77777777" w:rsidR="00815F8D" w:rsidRPr="00A10456" w:rsidRDefault="00815F8D">
      <w:pPr>
        <w:tabs>
          <w:tab w:val="left" w:pos="709"/>
        </w:tabs>
        <w:spacing w:line="360" w:lineRule="auto"/>
        <w:ind w:right="49"/>
        <w:jc w:val="both"/>
        <w:rPr>
          <w:rFonts w:ascii="Palatino Linotype" w:eastAsia="Palatino Linotype" w:hAnsi="Palatino Linotype" w:cs="Palatino Linotype"/>
          <w:i/>
        </w:rPr>
      </w:pPr>
    </w:p>
    <w:p w14:paraId="36AD8332"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Del contenido </w:t>
      </w:r>
      <w:proofErr w:type="gramStart"/>
      <w:r w:rsidRPr="00A10456">
        <w:rPr>
          <w:rFonts w:ascii="Palatino Linotype" w:eastAsia="Palatino Linotype" w:hAnsi="Palatino Linotype" w:cs="Palatino Linotype"/>
        </w:rPr>
        <w:t>de los artículo</w:t>
      </w:r>
      <w:proofErr w:type="gramEnd"/>
      <w:r w:rsidRPr="00A10456">
        <w:rPr>
          <w:rFonts w:ascii="Palatino Linotype" w:eastAsia="Palatino Linotype" w:hAnsi="Palatino Linotype" w:cs="Palatino Linotype"/>
        </w:rPr>
        <w:t xml:space="preserve"> 109 y 152 de la Ley de Seguridad del Estado de México, se observa que la certificación de control y confianza es parte de los requisitos de ingreso y permanencia de los elementos de las Instituciones Policiales </w:t>
      </w:r>
    </w:p>
    <w:p w14:paraId="398ED348"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374C3AE3"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 xml:space="preserve">“CAPÍTULO TERCERO DE LA CERTIFICACIÓN </w:t>
      </w:r>
    </w:p>
    <w:p w14:paraId="027BE61E"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109.</w:t>
      </w:r>
      <w:r w:rsidRPr="00A10456">
        <w:rPr>
          <w:rFonts w:ascii="Palatino Linotype" w:eastAsia="Palatino Linotype" w:hAnsi="Palatino Linotype" w:cs="Palatino Linotype"/>
          <w:i/>
          <w:sz w:val="22"/>
          <w:szCs w:val="22"/>
        </w:rPr>
        <w:t xml:space="preserve">- La certificación es el proceso mediante el cual los integrantes de las instituciones de seguridad pública se someten a las evaluaciones periódicas establecidas por el Centro, en los procedimientos de ingreso, promoción y permanencia. </w:t>
      </w:r>
    </w:p>
    <w:p w14:paraId="6637C398"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Los aspirantes que ingresen a las instituciones de seguridad pública deberán contar con el Certificado y registro correspondientes, de conformidad con lo establecido por la Ley General. Ninguna persona podrá ingresar o permanecer en las instituciones de seguridad pública sin contar con el Certificado y registro vigentes. </w:t>
      </w:r>
    </w:p>
    <w:p w14:paraId="04578EFE"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2E15588D"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Las evaluaciones de control de confianza comprenderán los exámenes médico, toxicológico, psicológico, poligráfico, estudio socioeconómico y los demás que se consideren necesarios de conformidad con la normatividad aplicable.</w:t>
      </w:r>
    </w:p>
    <w:p w14:paraId="03F2EE7F"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19B42660"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 xml:space="preserve">CAPÍTULO TERCERO </w:t>
      </w:r>
    </w:p>
    <w:p w14:paraId="2F30F91B"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DE LA SELECCIÓN, INGRESO Y PERMANENCIA DE LOS ELEMENTOS DE LAS INSTITUCIONES POLICIALES</w:t>
      </w:r>
    </w:p>
    <w:p w14:paraId="04D15E8C"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Artículo 152.- </w:t>
      </w:r>
      <w:r w:rsidRPr="00A10456">
        <w:rPr>
          <w:rFonts w:ascii="Palatino Linotype" w:eastAsia="Palatino Linotype" w:hAnsi="Palatino Linotype" w:cs="Palatino Linotype"/>
          <w:i/>
          <w:sz w:val="22"/>
          <w:szCs w:val="22"/>
        </w:rPr>
        <w:t>La permanencia es el resultado del cumplimiento constante de los requisitos establecidos en la presente Ley para continuar en el servicio activo de las Instituciones Policiales. Son requisitos de ingreso y permanencia en las Instituciones Policiales, los siguientes:</w:t>
      </w:r>
    </w:p>
    <w:p w14:paraId="6F24DD40"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7448C985"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 xml:space="preserve">B. De permanencia: </w:t>
      </w:r>
    </w:p>
    <w:p w14:paraId="2767FB77"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I. Ser de notoria buena conducta, y no haber sido condenado por sentencia irrevocable por delito doloso; </w:t>
      </w:r>
    </w:p>
    <w:p w14:paraId="5B26B95A"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II. Mantener actualizado su Certificado Único Policial; </w:t>
      </w:r>
    </w:p>
    <w:p w14:paraId="77A1A994"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lastRenderedPageBreak/>
        <w:t xml:space="preserve">III. No superar la edad máxima de retiro que establezcan las disposiciones aplicables; </w:t>
      </w:r>
    </w:p>
    <w:p w14:paraId="0FF38496"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IV. Acreditar que ha concluido, al menos, los estudios siguientes: </w:t>
      </w:r>
    </w:p>
    <w:p w14:paraId="0C321EAD"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a) En el caso de integrantes de las áreas de investigación, enseñanza superior, equivalente u homologación por desempeño, a partir de bachillerato; </w:t>
      </w:r>
    </w:p>
    <w:p w14:paraId="79CF7E74"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b) Tratándose de integrantes de las áreas de prevención, enseñanza media superior o equivalente; o </w:t>
      </w:r>
    </w:p>
    <w:p w14:paraId="28331D68"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c) En caso de integrantes de las áreas de reacción, los estudios correspondientes a la enseñanza media básica. </w:t>
      </w:r>
    </w:p>
    <w:p w14:paraId="4BFBDC99"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V. Aprobar los cursos de formación, capacitación y profesionalización; VI. Aprobar los procesos de evaluación de control de confianza; VII. Aprobar las evaluaciones del desempeño; </w:t>
      </w:r>
    </w:p>
    <w:p w14:paraId="184AADCE"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VIII. Participar en los procesos de promoción o ascenso a que se convoque, conforme a las disposiciones aplicables; </w:t>
      </w:r>
    </w:p>
    <w:p w14:paraId="03FA719C"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IX. Abstenerse de consumir sustancias psicotrópicas, estupefacientes u otras que produzcan efectos similares; </w:t>
      </w:r>
    </w:p>
    <w:p w14:paraId="39E522DF"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X. No padecer alcoholismo; </w:t>
      </w:r>
    </w:p>
    <w:p w14:paraId="26779D81"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XI. Someterse a exámenes para comprobar la ausencia de alcoholismo;</w:t>
      </w:r>
    </w:p>
    <w:p w14:paraId="55E22532"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 XII. Someterse a exámenes para comprobar la ausencia de sustancias psicotrópicas, estupefacientes u otras que produzcan efectos similares; </w:t>
      </w:r>
    </w:p>
    <w:p w14:paraId="5FB9C601"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XIII. No estar suspendido o inhabilitado, ni haber sido destituido por resolución firme como servidor público en ningún ámbito de gobierno; </w:t>
      </w:r>
    </w:p>
    <w:p w14:paraId="74EE0235"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XIV. No ausentarse del servicio sin causa justificada, por un periodo de tres días consecutivos o de cinco días dentro de un término de treinta días; y </w:t>
      </w:r>
    </w:p>
    <w:p w14:paraId="69D79008"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XV. Las demás que establezcan las disposiciones jurídicas aplicables.”</w:t>
      </w:r>
    </w:p>
    <w:p w14:paraId="0DBD6896"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(Énfasis añadido)</w:t>
      </w:r>
    </w:p>
    <w:p w14:paraId="366208A0"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69F1BC90"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rPr>
        <w:t xml:space="preserve">Así bien, la misma ley establece que cuando alguno de los elementos policiales incumpla con los requisitos de permanencia o las obligaciones establecidas tanto en la Ley General como la Ley en comento, el superior inmediato deberá integrar un </w:t>
      </w:r>
      <w:proofErr w:type="gramStart"/>
      <w:r w:rsidRPr="00A10456">
        <w:rPr>
          <w:rFonts w:ascii="Palatino Linotype" w:eastAsia="Palatino Linotype" w:hAnsi="Palatino Linotype" w:cs="Palatino Linotype"/>
        </w:rPr>
        <w:t>expediente  donde</w:t>
      </w:r>
      <w:proofErr w:type="gramEnd"/>
      <w:r w:rsidRPr="00A10456">
        <w:rPr>
          <w:rFonts w:ascii="Palatino Linotype" w:eastAsia="Palatino Linotype" w:hAnsi="Palatino Linotype" w:cs="Palatino Linotype"/>
        </w:rPr>
        <w:t xml:space="preserve"> se sustente dicha irregularidad y lo remitirá a la Comisión de Honor y Justicia, como se aprecia del artículo 163 que se cita a continuación:   </w:t>
      </w:r>
    </w:p>
    <w:p w14:paraId="79DBC35D"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7EE2CBEE"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CAPÍTULO SÉPTIMO DEL PROCEDIMIENTO</w:t>
      </w:r>
      <w:r w:rsidRPr="00A10456">
        <w:rPr>
          <w:rFonts w:ascii="Palatino Linotype" w:eastAsia="Palatino Linotype" w:hAnsi="Palatino Linotype" w:cs="Palatino Linotype"/>
          <w:i/>
          <w:sz w:val="22"/>
          <w:szCs w:val="22"/>
        </w:rPr>
        <w:t xml:space="preserve"> </w:t>
      </w:r>
    </w:p>
    <w:p w14:paraId="5DB6611F"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lastRenderedPageBreak/>
        <w:t xml:space="preserve">“Artículo 163.- </w:t>
      </w:r>
      <w:r w:rsidRPr="00A10456">
        <w:rPr>
          <w:rFonts w:ascii="Palatino Linotype" w:eastAsia="Palatino Linotype" w:hAnsi="Palatino Linotype" w:cs="Palatino Linotype"/>
          <w:i/>
          <w:sz w:val="22"/>
          <w:szCs w:val="22"/>
        </w:rPr>
        <w:t xml:space="preserve">El superior inmediato del elemento policial que incumpla con alguno de los requisitos de permanencia, las obligaciones establecidas en la Ley General, esta Ley y los ordenamientos jurídicos internos que rigen su actuar o con el régimen disciplinario establecido en esta Ley, </w:t>
      </w:r>
      <w:r w:rsidRPr="00A10456">
        <w:rPr>
          <w:rFonts w:ascii="Palatino Linotype" w:eastAsia="Palatino Linotype" w:hAnsi="Palatino Linotype" w:cs="Palatino Linotype"/>
          <w:b/>
          <w:i/>
          <w:sz w:val="22"/>
          <w:szCs w:val="22"/>
        </w:rPr>
        <w:t>integrará el expediente que sustente dicha irregularidad y lo remitirá a la brevedad a la Comisión de Honor y Justicia”</w:t>
      </w:r>
    </w:p>
    <w:p w14:paraId="38B8BF40"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(Énfasis añadido)</w:t>
      </w:r>
    </w:p>
    <w:p w14:paraId="228DBDB0" w14:textId="77777777" w:rsidR="00815F8D" w:rsidRPr="00A10456" w:rsidRDefault="00815F8D">
      <w:pPr>
        <w:tabs>
          <w:tab w:val="left" w:pos="709"/>
        </w:tabs>
        <w:ind w:left="850" w:right="899"/>
        <w:jc w:val="both"/>
        <w:rPr>
          <w:rFonts w:ascii="Palatino Linotype" w:eastAsia="Palatino Linotype" w:hAnsi="Palatino Linotype" w:cs="Palatino Linotype"/>
          <w:b/>
          <w:i/>
          <w:sz w:val="22"/>
          <w:szCs w:val="22"/>
        </w:rPr>
      </w:pPr>
    </w:p>
    <w:p w14:paraId="32B2CEB2" w14:textId="77777777" w:rsidR="00815F8D" w:rsidRPr="00A10456" w:rsidRDefault="00815F8D">
      <w:pPr>
        <w:tabs>
          <w:tab w:val="left" w:pos="709"/>
        </w:tabs>
        <w:ind w:right="899"/>
        <w:jc w:val="both"/>
        <w:rPr>
          <w:rFonts w:ascii="Palatino Linotype" w:eastAsia="Palatino Linotype" w:hAnsi="Palatino Linotype" w:cs="Palatino Linotype"/>
          <w:b/>
        </w:rPr>
      </w:pPr>
    </w:p>
    <w:p w14:paraId="10B060A1"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Por su parte, la Comisión de Honor y Justicia una vez reciba el expediente abrirá un periodo de información previa con la finalidad de conocer las circunstancias del caso en concreto estar en posibilidad de determinar si tramita o no el procedimiento administrativo, lo anterior conforme a lo dispuesto por el artículo 164 que se transcribe a continuación:</w:t>
      </w:r>
    </w:p>
    <w:p w14:paraId="5977AB6C"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164.-</w:t>
      </w:r>
      <w:r w:rsidRPr="00A10456">
        <w:rPr>
          <w:rFonts w:ascii="Palatino Linotype" w:eastAsia="Palatino Linotype" w:hAnsi="Palatino Linotype" w:cs="Palatino Linotype"/>
          <w:i/>
          <w:sz w:val="22"/>
          <w:szCs w:val="22"/>
        </w:rPr>
        <w:t xml:space="preserve"> La Comisión de Honor y Justicia, cuando le sea remitido un expediente a que se refiere el artículo anterior, abrirá un periodo de información previa, con la finalidad de conocer las circunstancias del caso concreto y estar en posibilidad de determinar la conveniencia o no de tramitar el procedimiento administrativo correspondiente.”</w:t>
      </w:r>
    </w:p>
    <w:p w14:paraId="5EF82B25"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(Énfasis añadido)</w:t>
      </w:r>
    </w:p>
    <w:p w14:paraId="719C0D45"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0AB60050" w14:textId="77777777" w:rsidR="00815F8D" w:rsidRPr="00A10456" w:rsidRDefault="00F25C9B">
      <w:pPr>
        <w:tabs>
          <w:tab w:val="left" w:pos="709"/>
        </w:tabs>
        <w:spacing w:line="360" w:lineRule="auto"/>
        <w:ind w:right="89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Si considera precedente iniciar el procedimiento, se deberán seguir los lineamientos establecidos por el la Ley de Seguridad del Estado de México previstos en </w:t>
      </w:r>
      <w:proofErr w:type="gramStart"/>
      <w:r w:rsidRPr="00A10456">
        <w:rPr>
          <w:rFonts w:ascii="Palatino Linotype" w:eastAsia="Palatino Linotype" w:hAnsi="Palatino Linotype" w:cs="Palatino Linotype"/>
        </w:rPr>
        <w:t>los artículo</w:t>
      </w:r>
      <w:proofErr w:type="gramEnd"/>
      <w:r w:rsidRPr="00A10456">
        <w:rPr>
          <w:rFonts w:ascii="Palatino Linotype" w:eastAsia="Palatino Linotype" w:hAnsi="Palatino Linotype" w:cs="Palatino Linotype"/>
        </w:rPr>
        <w:t xml:space="preserve"> 165, 166 y 167 que son del tenor siguiente:</w:t>
      </w:r>
    </w:p>
    <w:p w14:paraId="0336B470"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64B4E914"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165.-</w:t>
      </w:r>
      <w:r w:rsidRPr="00A10456">
        <w:rPr>
          <w:rFonts w:ascii="Palatino Linotype" w:eastAsia="Palatino Linotype" w:hAnsi="Palatino Linotype" w:cs="Palatino Linotype"/>
          <w:i/>
          <w:sz w:val="22"/>
          <w:szCs w:val="22"/>
        </w:rPr>
        <w:t xml:space="preserve"> Antes, al inicio o durante la tramitación del procedimiento administrativo, la Comisión de Honor y Justicia, podrá determinar, como medida precautoria, la suspensión temporal del elemento policial de que se trate, hasta en tanto se resuelva el procedimiento correspondiente, con el objetivo de salvaguardar el interés social, el </w:t>
      </w:r>
      <w:proofErr w:type="gramStart"/>
      <w:r w:rsidRPr="00A10456">
        <w:rPr>
          <w:rFonts w:ascii="Palatino Linotype" w:eastAsia="Palatino Linotype" w:hAnsi="Palatino Linotype" w:cs="Palatino Linotype"/>
          <w:i/>
          <w:sz w:val="22"/>
          <w:szCs w:val="22"/>
        </w:rPr>
        <w:t>interés público o el orden público</w:t>
      </w:r>
      <w:proofErr w:type="gramEnd"/>
      <w:r w:rsidRPr="00A10456">
        <w:rPr>
          <w:rFonts w:ascii="Palatino Linotype" w:eastAsia="Palatino Linotype" w:hAnsi="Palatino Linotype" w:cs="Palatino Linotype"/>
          <w:i/>
          <w:sz w:val="22"/>
          <w:szCs w:val="22"/>
        </w:rPr>
        <w:t xml:space="preserve"> derivado de las funciones que realiza, de así convenir para el mejor cumplimiento del servicio de seguridad pública. </w:t>
      </w:r>
      <w:r w:rsidRPr="00A10456">
        <w:rPr>
          <w:rFonts w:ascii="Palatino Linotype" w:eastAsia="Palatino Linotype" w:hAnsi="Palatino Linotype" w:cs="Palatino Linotype"/>
          <w:i/>
          <w:sz w:val="22"/>
          <w:szCs w:val="22"/>
        </w:rPr>
        <w:lastRenderedPageBreak/>
        <w:t xml:space="preserve">La medida precautoria aludida en el párrafo </w:t>
      </w:r>
      <w:proofErr w:type="gramStart"/>
      <w:r w:rsidRPr="00A10456">
        <w:rPr>
          <w:rFonts w:ascii="Palatino Linotype" w:eastAsia="Palatino Linotype" w:hAnsi="Palatino Linotype" w:cs="Palatino Linotype"/>
          <w:i/>
          <w:sz w:val="22"/>
          <w:szCs w:val="22"/>
        </w:rPr>
        <w:t>anterior,</w:t>
      </w:r>
      <w:proofErr w:type="gramEnd"/>
      <w:r w:rsidRPr="00A10456">
        <w:rPr>
          <w:rFonts w:ascii="Palatino Linotype" w:eastAsia="Palatino Linotype" w:hAnsi="Palatino Linotype" w:cs="Palatino Linotype"/>
          <w:i/>
          <w:sz w:val="22"/>
          <w:szCs w:val="22"/>
        </w:rPr>
        <w:t xml:space="preserve"> no prejuzga sobre la responsabilidad que se impute. Durante el período de la suspensión el servidor público no tendrá derecho a percibir su salario y demás prestaciones que le correspondan. </w:t>
      </w:r>
    </w:p>
    <w:p w14:paraId="0B5E8D8C" w14:textId="77777777" w:rsidR="00815F8D" w:rsidRPr="00A10456" w:rsidRDefault="00815F8D">
      <w:pPr>
        <w:tabs>
          <w:tab w:val="left" w:pos="709"/>
        </w:tabs>
        <w:ind w:left="850" w:right="899"/>
        <w:jc w:val="both"/>
        <w:rPr>
          <w:rFonts w:ascii="Palatino Linotype" w:eastAsia="Palatino Linotype" w:hAnsi="Palatino Linotype" w:cs="Palatino Linotype"/>
          <w:b/>
          <w:i/>
          <w:sz w:val="22"/>
          <w:szCs w:val="22"/>
        </w:rPr>
      </w:pPr>
    </w:p>
    <w:p w14:paraId="4568DFD8"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Artículo 166.- </w:t>
      </w:r>
      <w:r w:rsidRPr="00A10456">
        <w:rPr>
          <w:rFonts w:ascii="Palatino Linotype" w:eastAsia="Palatino Linotype" w:hAnsi="Palatino Linotype" w:cs="Palatino Linotype"/>
          <w:i/>
          <w:sz w:val="22"/>
          <w:szCs w:val="22"/>
        </w:rPr>
        <w:t xml:space="preserve">De ser procedente, la Comisión de Honor y Justicia, iniciará procedimiento administrativo al elemento policial, asignándole al expediente correspondiente un número progresivo e incluirá el año que se inicia. El número se anotará en todas las promociones y actuaciones que se produzcan con el mismo. </w:t>
      </w:r>
    </w:p>
    <w:p w14:paraId="63602CD8"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7BA55054"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 xml:space="preserve">Artículo 167.- </w:t>
      </w:r>
      <w:r w:rsidRPr="00A10456">
        <w:rPr>
          <w:rFonts w:ascii="Palatino Linotype" w:eastAsia="Palatino Linotype" w:hAnsi="Palatino Linotype" w:cs="Palatino Linotype"/>
          <w:i/>
          <w:sz w:val="22"/>
          <w:szCs w:val="22"/>
        </w:rPr>
        <w:t>La Comisión de Honor y Justicia otorgará al elemento policial sujeto a procedimiento garantía de audiencia a efecto de que conozca la irregularidad que se le imputa, ofrezca pruebas y alegue en su favor</w:t>
      </w:r>
      <w:r w:rsidRPr="00A10456">
        <w:rPr>
          <w:rFonts w:ascii="Palatino Linotype" w:eastAsia="Palatino Linotype" w:hAnsi="Palatino Linotype" w:cs="Palatino Linotype"/>
          <w:b/>
          <w:i/>
          <w:sz w:val="22"/>
          <w:szCs w:val="22"/>
        </w:rPr>
        <w:t>.”</w:t>
      </w:r>
    </w:p>
    <w:p w14:paraId="10079C02" w14:textId="77777777" w:rsidR="00815F8D" w:rsidRPr="00A10456" w:rsidRDefault="00F25C9B">
      <w:pPr>
        <w:tabs>
          <w:tab w:val="left" w:pos="709"/>
        </w:tabs>
        <w:ind w:left="850" w:right="899"/>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(Énfasis añadido)</w:t>
      </w:r>
    </w:p>
    <w:p w14:paraId="0EF8A503"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73DF24FA" w14:textId="77777777" w:rsidR="00815F8D" w:rsidRPr="00A10456" w:rsidRDefault="00815F8D">
      <w:pPr>
        <w:tabs>
          <w:tab w:val="left" w:pos="709"/>
        </w:tabs>
        <w:ind w:right="899"/>
        <w:jc w:val="both"/>
        <w:rPr>
          <w:rFonts w:ascii="Palatino Linotype" w:eastAsia="Palatino Linotype" w:hAnsi="Palatino Linotype" w:cs="Palatino Linotype"/>
          <w:i/>
          <w:sz w:val="22"/>
          <w:szCs w:val="22"/>
        </w:rPr>
      </w:pPr>
    </w:p>
    <w:p w14:paraId="529A7033"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09CF253B"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De lo anterior, se puede acreditar </w:t>
      </w:r>
      <w:proofErr w:type="gramStart"/>
      <w:r w:rsidRPr="00A10456">
        <w:rPr>
          <w:rFonts w:ascii="Palatino Linotype" w:eastAsia="Palatino Linotype" w:hAnsi="Palatino Linotype" w:cs="Palatino Linotype"/>
        </w:rPr>
        <w:t>que</w:t>
      </w:r>
      <w:proofErr w:type="gramEnd"/>
      <w:r w:rsidRPr="00A10456">
        <w:rPr>
          <w:rFonts w:ascii="Palatino Linotype" w:eastAsia="Palatino Linotype" w:hAnsi="Palatino Linotype" w:cs="Palatino Linotype"/>
        </w:rPr>
        <w:t xml:space="preserve"> si se genera un expediente derivado de la no aprobación de los exámenes de control y confianza, siendo este un requisito de permanencia previsto por las leyes aplicables. </w:t>
      </w:r>
    </w:p>
    <w:p w14:paraId="6AD3ED99" w14:textId="77777777" w:rsidR="00815F8D" w:rsidRPr="00A10456" w:rsidRDefault="00815F8D">
      <w:pPr>
        <w:tabs>
          <w:tab w:val="left" w:pos="709"/>
        </w:tabs>
        <w:spacing w:line="360" w:lineRule="auto"/>
        <w:ind w:right="49"/>
        <w:jc w:val="both"/>
        <w:rPr>
          <w:rFonts w:ascii="Palatino Linotype" w:eastAsia="Palatino Linotype" w:hAnsi="Palatino Linotype" w:cs="Palatino Linotype"/>
        </w:rPr>
      </w:pPr>
    </w:p>
    <w:p w14:paraId="5F4EE404"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No obstante, del contenido de la ley se desprende que el procedimiento es seguido en forma de juicio, en tal sentido, es procedente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que deberá publicarse la información del laudo y/o </w:t>
      </w:r>
      <w:r w:rsidRPr="00A10456">
        <w:rPr>
          <w:rFonts w:ascii="Palatino Linotype" w:eastAsia="Palatino Linotype" w:hAnsi="Palatino Linotype" w:cs="Palatino Linotype"/>
        </w:rPr>
        <w:lastRenderedPageBreak/>
        <w:t xml:space="preserve">resolución que hayan causado ejecutoria, el mismo precepto indica que se considera que han causado ejecutoria aquellas que: </w:t>
      </w:r>
    </w:p>
    <w:p w14:paraId="708E5AC5" w14:textId="77777777" w:rsidR="00815F8D" w:rsidRPr="00A10456" w:rsidRDefault="00F25C9B">
      <w:pPr>
        <w:numPr>
          <w:ilvl w:val="0"/>
          <w:numId w:val="3"/>
        </w:numPr>
        <w:spacing w:before="280" w:line="360" w:lineRule="auto"/>
        <w:ind w:hanging="357"/>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No admitan en su contra recurso ordinario alguno; </w:t>
      </w:r>
    </w:p>
    <w:p w14:paraId="203D384C" w14:textId="77777777" w:rsidR="00815F8D" w:rsidRPr="00A10456" w:rsidRDefault="00F25C9B">
      <w:pPr>
        <w:numPr>
          <w:ilvl w:val="0"/>
          <w:numId w:val="3"/>
        </w:numPr>
        <w:spacing w:line="360" w:lineRule="auto"/>
        <w:ind w:hanging="357"/>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Tengan categoría de cosa juzgada. (sentencias firmes, ejecutorias, poseen autoridad de cosa juzgada, es decir, son aquellas que fueron consentidas por las partes, o bien contra las que no concede la ley ningún recurso ordinario o, por último, las sentencias dictadas en segunda instancia). </w:t>
      </w:r>
    </w:p>
    <w:p w14:paraId="67A5717B" w14:textId="77777777" w:rsidR="00815F8D" w:rsidRPr="00A10456" w:rsidRDefault="00F25C9B">
      <w:pPr>
        <w:numPr>
          <w:ilvl w:val="0"/>
          <w:numId w:val="3"/>
        </w:numPr>
        <w:spacing w:line="360" w:lineRule="auto"/>
        <w:ind w:hanging="357"/>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Se vuelvan irrevocables: </w:t>
      </w:r>
    </w:p>
    <w:p w14:paraId="50FF6C86" w14:textId="77777777" w:rsidR="00815F8D" w:rsidRPr="00A10456" w:rsidRDefault="00F25C9B">
      <w:pPr>
        <w:numPr>
          <w:ilvl w:val="1"/>
          <w:numId w:val="3"/>
        </w:numPr>
        <w:spacing w:line="360" w:lineRule="auto"/>
        <w:ind w:hanging="355"/>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haberse consentido expresamente; </w:t>
      </w:r>
    </w:p>
    <w:p w14:paraId="71F33FA5" w14:textId="77777777" w:rsidR="00815F8D" w:rsidRPr="00A10456" w:rsidRDefault="00F25C9B">
      <w:pPr>
        <w:numPr>
          <w:ilvl w:val="1"/>
          <w:numId w:val="3"/>
        </w:numPr>
        <w:spacing w:line="360" w:lineRule="auto"/>
        <w:ind w:hanging="355"/>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no haberse impugnado oportunamente; </w:t>
      </w:r>
    </w:p>
    <w:p w14:paraId="1BDD9D85" w14:textId="77777777" w:rsidR="00815F8D" w:rsidRPr="00A10456" w:rsidRDefault="00F25C9B">
      <w:pPr>
        <w:numPr>
          <w:ilvl w:val="1"/>
          <w:numId w:val="3"/>
        </w:numPr>
        <w:spacing w:line="360" w:lineRule="auto"/>
        <w:ind w:hanging="355"/>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haberse desistido el apelante de su recurso; </w:t>
      </w:r>
    </w:p>
    <w:p w14:paraId="1FF0C578" w14:textId="77777777" w:rsidR="00815F8D" w:rsidRPr="00A10456" w:rsidRDefault="00F25C9B">
      <w:pPr>
        <w:numPr>
          <w:ilvl w:val="1"/>
          <w:numId w:val="3"/>
        </w:numPr>
        <w:spacing w:line="360" w:lineRule="auto"/>
        <w:ind w:hanging="355"/>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no expresar agravios; o </w:t>
      </w:r>
    </w:p>
    <w:p w14:paraId="72D45160" w14:textId="77777777" w:rsidR="00815F8D" w:rsidRPr="00A10456" w:rsidRDefault="00F25C9B">
      <w:pPr>
        <w:numPr>
          <w:ilvl w:val="1"/>
          <w:numId w:val="3"/>
        </w:numPr>
        <w:spacing w:after="280" w:line="360" w:lineRule="auto"/>
        <w:ind w:hanging="355"/>
        <w:jc w:val="both"/>
        <w:rPr>
          <w:rFonts w:ascii="Palatino Linotype" w:eastAsia="Palatino Linotype" w:hAnsi="Palatino Linotype" w:cs="Palatino Linotype"/>
        </w:rPr>
      </w:pPr>
      <w:r w:rsidRPr="00A10456">
        <w:rPr>
          <w:rFonts w:ascii="Palatino Linotype" w:eastAsia="Palatino Linotype" w:hAnsi="Palatino Linotype" w:cs="Palatino Linotype"/>
        </w:rPr>
        <w:t>Por haber el superior confirmado la sentencia del inferior, ésta última es susceptible de ser impugnada por la vía del amparo</w:t>
      </w:r>
    </w:p>
    <w:p w14:paraId="5642C656" w14:textId="77777777" w:rsidR="00815F8D" w:rsidRPr="00A10456" w:rsidRDefault="00F25C9B">
      <w:pPr>
        <w:spacing w:before="240" w:after="240"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Por lo que, sí los expedientes se encuentran trámite, es decir, no haya quedado firme, la información deberá reservarse en términos de los establecido por el artículo 140 fracción VIII de la Ley de Transparencia y Acceso a la Información Pública del Estado de México y Municipios mismo que es del tenor siguiente:</w:t>
      </w:r>
    </w:p>
    <w:p w14:paraId="5ABFB1D3" w14:textId="77777777" w:rsidR="00815F8D" w:rsidRPr="00A10456" w:rsidRDefault="00F25C9B">
      <w:pPr>
        <w:spacing w:before="240" w:after="24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“Artículo 140.</w:t>
      </w:r>
      <w:r w:rsidRPr="00A10456">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14:paraId="0715CAAA" w14:textId="77777777" w:rsidR="00815F8D" w:rsidRPr="00A10456" w:rsidRDefault="00F25C9B">
      <w:pPr>
        <w:spacing w:before="240" w:after="24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lastRenderedPageBreak/>
        <w:t>VIII. Vulnere la conducción de los expedientes judiciales o de los procedimientos administrativos seguidos en forma de juicio, en tanto no hayan quedado firmes;”</w:t>
      </w:r>
    </w:p>
    <w:p w14:paraId="6A0C9B85" w14:textId="77777777" w:rsidR="00815F8D" w:rsidRPr="00A10456" w:rsidRDefault="00F25C9B">
      <w:pPr>
        <w:spacing w:before="240" w:after="24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(Énfasis añadido)</w:t>
      </w:r>
    </w:p>
    <w:p w14:paraId="00B72D43"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color w:val="222222"/>
        </w:rPr>
        <w:t xml:space="preserve">De manera que </w:t>
      </w:r>
      <w:r w:rsidRPr="00A10456">
        <w:rPr>
          <w:rFonts w:ascii="Palatino Linotype" w:eastAsia="Palatino Linotype" w:hAnsi="Palatino Linotype" w:cs="Palatino Linotype"/>
          <w:b/>
          <w:color w:val="222222"/>
        </w:rPr>
        <w:t>EL SUJETO OBLIGADO</w:t>
      </w:r>
      <w:r w:rsidRPr="00A10456">
        <w:rPr>
          <w:rFonts w:ascii="Palatino Linotype" w:eastAsia="Palatino Linotype" w:hAnsi="Palatino Linotype" w:cs="Palatino Linotype"/>
          <w:color w:val="222222"/>
        </w:rPr>
        <w:t>, siendo el generador o poseedor primario de la información y quien conoce la extensión de la misma, deberá analizar si esta encuadra en el supuesto previsto por la ley antes citada y en su caso deberá proceder a realizar la reserva de la misma,</w:t>
      </w:r>
      <w:r w:rsidRPr="00A10456">
        <w:rPr>
          <w:rFonts w:ascii="Palatino Linotype" w:eastAsia="Palatino Linotype" w:hAnsi="Palatino Linotype" w:cs="Palatino Linotype"/>
        </w:rPr>
        <w:t xml:space="preserve"> mediante acuerdo debidamente fundado y motivado, de su Comité de Transparencia, observando lo establecido por los artículos 113, fracción XI, de la Ley General de Transparencia y Acceso a la Información Pública, numeral vigésimo cuarto, fracción II, de los Lineamientos Generales en Materia de Clasificación y Desclasificación de la Información, así como para la Elaboración de Versiones Públicas, y con lo dispuesto por los artículos 91, 128, 129, 140, fracción VIII, y 141, de la Ley de Transparencia y Acceso a la Información Pública del Estado de México y Municipios.</w:t>
      </w:r>
    </w:p>
    <w:p w14:paraId="0E50250E" w14:textId="77777777" w:rsidR="00815F8D" w:rsidRPr="00A10456" w:rsidRDefault="00815F8D">
      <w:pPr>
        <w:tabs>
          <w:tab w:val="left" w:pos="709"/>
        </w:tabs>
        <w:spacing w:line="360" w:lineRule="auto"/>
        <w:ind w:right="49"/>
        <w:jc w:val="both"/>
        <w:rPr>
          <w:rFonts w:ascii="Palatino Linotype" w:eastAsia="Palatino Linotype" w:hAnsi="Palatino Linotype" w:cs="Palatino Linotype"/>
        </w:rPr>
      </w:pPr>
    </w:p>
    <w:p w14:paraId="33AA4907"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lo que hace a </w:t>
      </w:r>
      <w:r w:rsidRPr="00A10456">
        <w:rPr>
          <w:rFonts w:ascii="Palatino Linotype" w:eastAsia="Palatino Linotype" w:hAnsi="Palatino Linotype" w:cs="Palatino Linotype"/>
          <w:i/>
        </w:rPr>
        <w:t>el monto del presupuesto que se destinará a seguridad pública en el 2022</w:t>
      </w:r>
      <w:r w:rsidRPr="00A10456">
        <w:rPr>
          <w:rFonts w:ascii="Palatino Linotype" w:eastAsia="Palatino Linotype" w:hAnsi="Palatino Linotype" w:cs="Palatino Linotype"/>
        </w:rPr>
        <w:t xml:space="preserve">, conviene mencionar que el Manual para la Planeación, Programación y Presupuesto de Egresos Municipal para el ejercicio fiscal de 2022, define al presupuesto municipal de acuerdo con lo establecido en el artículo 285 del Código Financiero del Estado de México y Municipios,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w:t>
      </w:r>
      <w:r w:rsidRPr="00A10456">
        <w:rPr>
          <w:rFonts w:ascii="Palatino Linotype" w:eastAsia="Palatino Linotype" w:hAnsi="Palatino Linotype" w:cs="Palatino Linotype"/>
        </w:rPr>
        <w:lastRenderedPageBreak/>
        <w:t>Descentralizados, a través de los programas derivados del Plan de Desarrollo Municipal, durante el ejercicio fiscal correspondiente.</w:t>
      </w:r>
    </w:p>
    <w:p w14:paraId="26C066B3"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Para las administraciones municipales, el Presupuesto basado en Resultados (</w:t>
      </w:r>
      <w:proofErr w:type="spellStart"/>
      <w:r w:rsidRPr="00A10456">
        <w:rPr>
          <w:rFonts w:ascii="Palatino Linotype" w:eastAsia="Palatino Linotype" w:hAnsi="Palatino Linotype" w:cs="Palatino Linotype"/>
        </w:rPr>
        <w:t>PbR</w:t>
      </w:r>
      <w:proofErr w:type="spellEnd"/>
      <w:r w:rsidRPr="00A10456">
        <w:rPr>
          <w:rFonts w:ascii="Palatino Linotype" w:eastAsia="Palatino Linotype" w:hAnsi="Palatino Linotype" w:cs="Palatino Linotype"/>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3E30B85B"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Con base en lo anterior el Clasificador por objeto del gasto para el ejercicio fiscal 2020,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para que éstos cuenten con un catálogo de partidas presupuestarias que se alinean al Clasificador por Objeto del Gasto autorizado por el CONAC en la reunión celebrada el 28 de mayo del 2010 y que fue publicado en Gaceta del Gobierno del estado de México No. 118 del 23 de junio de 2010, el cual se integra por Capítulo, Concepto y Partida Genérica.</w:t>
      </w:r>
    </w:p>
    <w:p w14:paraId="6E1D5CA6"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Debiendo definir cada una de las partes que lo integran como sigue:</w:t>
      </w:r>
    </w:p>
    <w:p w14:paraId="77784FE0" w14:textId="77777777" w:rsidR="00815F8D" w:rsidRPr="00A10456" w:rsidRDefault="00F25C9B">
      <w:pPr>
        <w:numPr>
          <w:ilvl w:val="0"/>
          <w:numId w:val="2"/>
        </w:numPr>
        <w:tabs>
          <w:tab w:val="left" w:pos="2422"/>
        </w:tabs>
        <w:spacing w:before="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Capítulo: Es el mayor nivel de agregación que identifica el conjunto homogéneo y ordenado de los bienes y servicios requeridos por los entes públicos.</w:t>
      </w:r>
    </w:p>
    <w:p w14:paraId="5D9D4314" w14:textId="77777777" w:rsidR="00815F8D" w:rsidRPr="00A10456" w:rsidRDefault="00F25C9B">
      <w:pPr>
        <w:numPr>
          <w:ilvl w:val="0"/>
          <w:numId w:val="2"/>
        </w:numPr>
        <w:tabs>
          <w:tab w:val="left" w:pos="2422"/>
        </w:tabs>
        <w:spacing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Concepto: Son subconjuntos homogéneos y ordenados en forma específica, producto de la desagregación de los bienes y servicios, incluidos en cada capítulo. Partida: Es el nivel de agregación más específico en el cual se describen las expresiones concretas y detalladas de los bienes y servicios que se adquieren y se compone de:</w:t>
      </w:r>
    </w:p>
    <w:p w14:paraId="75233619" w14:textId="77777777" w:rsidR="00815F8D" w:rsidRPr="00A10456" w:rsidRDefault="00F25C9B">
      <w:pPr>
        <w:tabs>
          <w:tab w:val="left" w:pos="2422"/>
        </w:tabs>
        <w:spacing w:before="280" w:after="280" w:line="360" w:lineRule="auto"/>
        <w:ind w:left="720" w:right="49"/>
        <w:jc w:val="both"/>
        <w:rPr>
          <w:rFonts w:ascii="Palatino Linotype" w:eastAsia="Palatino Linotype" w:hAnsi="Palatino Linotype" w:cs="Palatino Linotype"/>
        </w:rPr>
      </w:pPr>
      <w:r w:rsidRPr="00A10456">
        <w:rPr>
          <w:rFonts w:ascii="Palatino Linotype" w:eastAsia="Palatino Linotype" w:hAnsi="Palatino Linotype" w:cs="Palatino Linotype"/>
          <w:b/>
        </w:rPr>
        <w:t>a)</w:t>
      </w:r>
      <w:r w:rsidRPr="00A10456">
        <w:rPr>
          <w:rFonts w:ascii="Palatino Linotype" w:eastAsia="Palatino Linotype" w:hAnsi="Palatino Linotype" w:cs="Palatino Linotype"/>
        </w:rPr>
        <w:t xml:space="preserve"> </w:t>
      </w:r>
      <w:r w:rsidRPr="00A10456">
        <w:rPr>
          <w:rFonts w:ascii="Palatino Linotype" w:eastAsia="Palatino Linotype" w:hAnsi="Palatino Linotype" w:cs="Palatino Linotype"/>
          <w:b/>
        </w:rPr>
        <w:t>La Partida Genérica</w:t>
      </w:r>
      <w:r w:rsidRPr="00A10456">
        <w:rPr>
          <w:rFonts w:ascii="Palatino Linotype" w:eastAsia="Palatino Linotype" w:hAnsi="Palatino Linotype" w:cs="Palatino Linotype"/>
        </w:rPr>
        <w:t xml:space="preserve"> se refiere al tercer dígito, el cual logrará la armonización a todos los niveles de gobierno. </w:t>
      </w:r>
    </w:p>
    <w:p w14:paraId="62DF4322" w14:textId="77777777" w:rsidR="00815F8D" w:rsidRPr="00A10456" w:rsidRDefault="00F25C9B">
      <w:pPr>
        <w:tabs>
          <w:tab w:val="left" w:pos="2422"/>
        </w:tabs>
        <w:spacing w:before="280" w:after="280" w:line="360" w:lineRule="auto"/>
        <w:ind w:left="720" w:right="49"/>
        <w:jc w:val="both"/>
        <w:rPr>
          <w:rFonts w:ascii="Palatino Linotype" w:eastAsia="Palatino Linotype" w:hAnsi="Palatino Linotype" w:cs="Palatino Linotype"/>
        </w:rPr>
      </w:pPr>
      <w:r w:rsidRPr="00A10456">
        <w:rPr>
          <w:rFonts w:ascii="Palatino Linotype" w:eastAsia="Palatino Linotype" w:hAnsi="Palatino Linotype" w:cs="Palatino Linotype"/>
          <w:b/>
        </w:rPr>
        <w:t>b) La Partida Específica</w:t>
      </w:r>
      <w:r w:rsidRPr="00A10456">
        <w:rPr>
          <w:rFonts w:ascii="Palatino Linotype" w:eastAsia="Palatino Linotype" w:hAnsi="Palatino Linotype" w:cs="Palatino Linotype"/>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2A1F587A"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Bajo ese tenor,  se advierte que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requirió en su  el presupuesto para seguridad pública del 2022, y en atención a interpretación armónica a lo hasta aquí expuesto, es claro que el presupuesto municipal se debe dar a conocer de manera clasificada, es decir, se debe hacer del conocimiento de la ciudadanía el propósito que tendrá, en qué y cómo se ejercerá dicho presupuesto por las dependencias, </w:t>
      </w:r>
      <w:r w:rsidRPr="00A10456">
        <w:rPr>
          <w:rFonts w:ascii="Palatino Linotype" w:eastAsia="Palatino Linotype" w:hAnsi="Palatino Linotype" w:cs="Palatino Linotype"/>
        </w:rPr>
        <w:lastRenderedPageBreak/>
        <w:t>garantizando así que el recurso público sea ejecutado de acuerdo a lo que previamente se ha planeado.</w:t>
      </w:r>
    </w:p>
    <w:p w14:paraId="0F921418"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Siendo procedente ordenar la entrega del presupuesto destinado para seguridad pública del año 2022. </w:t>
      </w:r>
    </w:p>
    <w:p w14:paraId="7219930A"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i/>
        </w:rPr>
      </w:pPr>
      <w:r w:rsidRPr="00A10456">
        <w:rPr>
          <w:rFonts w:ascii="Palatino Linotype" w:eastAsia="Palatino Linotype" w:hAnsi="Palatino Linotype" w:cs="Palatino Linotype"/>
        </w:rPr>
        <w:t>Por lo que hace al</w:t>
      </w:r>
      <w:r w:rsidRPr="00A10456">
        <w:rPr>
          <w:rFonts w:ascii="Palatino Linotype" w:eastAsia="Palatino Linotype" w:hAnsi="Palatino Linotype" w:cs="Palatino Linotype"/>
          <w:i/>
        </w:rPr>
        <w:t xml:space="preserve"> programa municipal de seguridad pública y el programa municipal de prevención de la violencia y la delincuencia ambos de 2022. </w:t>
      </w:r>
    </w:p>
    <w:p w14:paraId="5A2ADAEC"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El Bando Municipal de Lerma vigente señala en su artículo 84 que es atribución del Ayuntamiento en materia de seguridad pública la de expedir las disposiciones administrativas correspondientes y aprobar el programa municipal de Seguridad </w:t>
      </w:r>
      <w:proofErr w:type="gramStart"/>
      <w:r w:rsidRPr="00A10456">
        <w:rPr>
          <w:rFonts w:ascii="Palatino Linotype" w:eastAsia="Palatino Linotype" w:hAnsi="Palatino Linotype" w:cs="Palatino Linotype"/>
        </w:rPr>
        <w:t>Pública</w:t>
      </w:r>
      <w:proofErr w:type="gramEnd"/>
      <w:r w:rsidRPr="00A10456">
        <w:rPr>
          <w:rFonts w:ascii="Palatino Linotype" w:eastAsia="Palatino Linotype" w:hAnsi="Palatino Linotype" w:cs="Palatino Linotype"/>
        </w:rPr>
        <w:t xml:space="preserve"> así como el programa municipal de prevención social de la violencia y la delincuencia como se aprecia del contenido de las fracciones I y II que son del tenor siguiente: </w:t>
      </w:r>
    </w:p>
    <w:p w14:paraId="391D65FA" w14:textId="77777777" w:rsidR="00815F8D" w:rsidRPr="00A10456" w:rsidRDefault="00F25C9B">
      <w:pPr>
        <w:tabs>
          <w:tab w:val="left" w:pos="2422"/>
        </w:tabs>
        <w:spacing w:before="280" w:after="28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Artículo 84.</w:t>
      </w:r>
      <w:r w:rsidRPr="00A10456">
        <w:rPr>
          <w:rFonts w:ascii="Palatino Linotype" w:eastAsia="Palatino Linotype" w:hAnsi="Palatino Linotype" w:cs="Palatino Linotype"/>
          <w:i/>
          <w:sz w:val="22"/>
          <w:szCs w:val="22"/>
        </w:rPr>
        <w:t xml:space="preserve"> El Ayuntamiento tendrá las atribuciones siguientes en materia de seguridad pública: </w:t>
      </w:r>
    </w:p>
    <w:p w14:paraId="37DE0448" w14:textId="77777777" w:rsidR="00815F8D" w:rsidRPr="00A10456" w:rsidRDefault="00F25C9B">
      <w:pPr>
        <w:tabs>
          <w:tab w:val="left" w:pos="2422"/>
        </w:tabs>
        <w:spacing w:before="280" w:after="28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I. </w:t>
      </w:r>
      <w:r w:rsidRPr="00A10456">
        <w:rPr>
          <w:rFonts w:ascii="Palatino Linotype" w:eastAsia="Palatino Linotype" w:hAnsi="Palatino Linotype" w:cs="Palatino Linotype"/>
          <w:b/>
          <w:i/>
          <w:sz w:val="22"/>
          <w:szCs w:val="22"/>
        </w:rPr>
        <w:t xml:space="preserve">Expedir las disposiciones administrativas </w:t>
      </w:r>
      <w:r w:rsidRPr="00A10456">
        <w:rPr>
          <w:rFonts w:ascii="Palatino Linotype" w:eastAsia="Palatino Linotype" w:hAnsi="Palatino Linotype" w:cs="Palatino Linotype"/>
          <w:i/>
          <w:sz w:val="22"/>
          <w:szCs w:val="22"/>
        </w:rPr>
        <w:t xml:space="preserve">correspondientes a la Seguridad Pública preventiva en el ámbito de su competencia. </w:t>
      </w:r>
    </w:p>
    <w:p w14:paraId="5B571D8A" w14:textId="77777777" w:rsidR="00815F8D" w:rsidRPr="00A10456" w:rsidRDefault="00F25C9B">
      <w:pPr>
        <w:tabs>
          <w:tab w:val="left" w:pos="2422"/>
        </w:tabs>
        <w:spacing w:before="280" w:after="28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II. Aprobar el Programa Municipal de Seguridad Pública </w:t>
      </w:r>
      <w:r w:rsidRPr="00A10456">
        <w:rPr>
          <w:rFonts w:ascii="Palatino Linotype" w:eastAsia="Palatino Linotype" w:hAnsi="Palatino Linotype" w:cs="Palatino Linotype"/>
          <w:i/>
          <w:sz w:val="22"/>
          <w:szCs w:val="22"/>
        </w:rPr>
        <w:t xml:space="preserve">Preventiva en congruencia con el respectivo Programa Estatal y Federal, </w:t>
      </w:r>
      <w:r w:rsidRPr="00A10456">
        <w:rPr>
          <w:rFonts w:ascii="Palatino Linotype" w:eastAsia="Palatino Linotype" w:hAnsi="Palatino Linotype" w:cs="Palatino Linotype"/>
          <w:b/>
          <w:i/>
          <w:sz w:val="22"/>
          <w:szCs w:val="22"/>
        </w:rPr>
        <w:t>así como el programa municipal, con participación ciudadana, de prevención social de la violencia y la delincuencia</w:t>
      </w:r>
      <w:r w:rsidRPr="00A10456">
        <w:rPr>
          <w:rFonts w:ascii="Palatino Linotype" w:eastAsia="Palatino Linotype" w:hAnsi="Palatino Linotype" w:cs="Palatino Linotype"/>
          <w:i/>
          <w:sz w:val="22"/>
          <w:szCs w:val="22"/>
        </w:rPr>
        <w:t>.”</w:t>
      </w:r>
    </w:p>
    <w:p w14:paraId="381519BD" w14:textId="77777777" w:rsidR="00815F8D" w:rsidRPr="00A10456" w:rsidRDefault="00F25C9B">
      <w:pPr>
        <w:tabs>
          <w:tab w:val="left" w:pos="2422"/>
        </w:tabs>
        <w:spacing w:before="280" w:after="28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(Énfasis añadido)</w:t>
      </w:r>
    </w:p>
    <w:p w14:paraId="1C894300" w14:textId="77777777" w:rsidR="00815F8D" w:rsidRPr="00A10456" w:rsidRDefault="00F25C9B">
      <w:pPr>
        <w:tabs>
          <w:tab w:val="left" w:pos="2422"/>
        </w:tabs>
        <w:spacing w:before="280" w:after="280"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Información que además representa parte del marco jurídico del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lo que, a su vez, implica una obligación de transparencia común prevista por el artículo 92 de la Ley de Transparencia y Acceso a la Información Pública del Estado de México y Municipios, en su fracción I que a la letra dice:</w:t>
      </w:r>
    </w:p>
    <w:p w14:paraId="58DC1A96" w14:textId="77777777" w:rsidR="00815F8D" w:rsidRPr="00A10456" w:rsidRDefault="00F25C9B">
      <w:pPr>
        <w:tabs>
          <w:tab w:val="left" w:pos="2422"/>
        </w:tabs>
        <w:spacing w:before="280" w:after="28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Artículo 92.</w:t>
      </w:r>
      <w:r w:rsidRPr="00A10456">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EF4C031" w14:textId="77777777" w:rsidR="00815F8D" w:rsidRPr="00A10456" w:rsidRDefault="00F25C9B">
      <w:pPr>
        <w:tabs>
          <w:tab w:val="left" w:pos="2422"/>
        </w:tabs>
        <w:spacing w:before="280" w:after="28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 El marco normativo aplicable</w:t>
      </w:r>
      <w:r w:rsidRPr="00A10456">
        <w:rPr>
          <w:rFonts w:ascii="Palatino Linotype" w:eastAsia="Palatino Linotype" w:hAnsi="Palatino Linotype" w:cs="Palatino Linotype"/>
          <w:i/>
          <w:sz w:val="22"/>
          <w:szCs w:val="22"/>
        </w:rPr>
        <w:t xml:space="preserve"> al sujeto obligado, en el que deberá incluirse leyes, códigos, reglamentos, decretos de creación, acuerdos, convenios, manuales de organización y procedimientos, reglas de operación, criterios, políticas, entre </w:t>
      </w:r>
      <w:proofErr w:type="gramStart"/>
      <w:r w:rsidRPr="00A10456">
        <w:rPr>
          <w:rFonts w:ascii="Palatino Linotype" w:eastAsia="Palatino Linotype" w:hAnsi="Palatino Linotype" w:cs="Palatino Linotype"/>
          <w:i/>
          <w:sz w:val="22"/>
          <w:szCs w:val="22"/>
        </w:rPr>
        <w:t>otros;“</w:t>
      </w:r>
      <w:proofErr w:type="gramEnd"/>
    </w:p>
    <w:p w14:paraId="5E7DC727" w14:textId="77777777" w:rsidR="00815F8D" w:rsidRPr="00A10456" w:rsidRDefault="00F25C9B">
      <w:pPr>
        <w:tabs>
          <w:tab w:val="left" w:pos="2422"/>
        </w:tabs>
        <w:spacing w:before="280" w:after="280"/>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(Énfasis añadido)</w:t>
      </w:r>
    </w:p>
    <w:p w14:paraId="1A4E1B95" w14:textId="77777777" w:rsidR="00815F8D" w:rsidRPr="00A10456" w:rsidRDefault="00F25C9B">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De la misma manera, no se advierte que el contenido de la información solicitada, al tratarse de programas, pueda encuadrar en alguno de los supuestos de reserva previstos por la ley de Transparencia tanto local como general, ya que dicha información por su naturaleza es en su mayoría pública </w:t>
      </w:r>
      <w:proofErr w:type="gramStart"/>
      <w:r w:rsidRPr="00A10456">
        <w:rPr>
          <w:rFonts w:ascii="Palatino Linotype" w:eastAsia="Palatino Linotype" w:hAnsi="Palatino Linotype" w:cs="Palatino Linotype"/>
        </w:rPr>
        <w:t>y  las</w:t>
      </w:r>
      <w:proofErr w:type="gramEnd"/>
      <w:r w:rsidRPr="00A10456">
        <w:rPr>
          <w:rFonts w:ascii="Palatino Linotype" w:eastAsia="Palatino Linotype" w:hAnsi="Palatino Linotype" w:cs="Palatino Linotype"/>
        </w:rPr>
        <w:t xml:space="preserve"> partes que no sean de esa calidad pueden ser testadas mediante una versión pública. </w:t>
      </w:r>
    </w:p>
    <w:p w14:paraId="4184D2A2" w14:textId="77777777" w:rsidR="00815F8D" w:rsidRPr="00A10456" w:rsidRDefault="00815F8D">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rPr>
      </w:pPr>
    </w:p>
    <w:p w14:paraId="1F9170D6" w14:textId="77777777" w:rsidR="00815F8D" w:rsidRPr="00A10456" w:rsidRDefault="00F25C9B">
      <w:pPr>
        <w:widowControl w:val="0"/>
        <w:pBdr>
          <w:top w:val="nil"/>
          <w:left w:val="nil"/>
          <w:bottom w:val="nil"/>
          <w:right w:val="nil"/>
          <w:between w:val="nil"/>
        </w:pBdr>
        <w:tabs>
          <w:tab w:val="left" w:pos="1701"/>
          <w:tab w:val="left" w:pos="1843"/>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Razón por la cual no es procedente su reserva total, aunado al hecho de que se insiste en que el ente recurrido de forma primigenia reconoció la existencia de la información, pues procedió a su reserva, misma que no fue llevada a cabo con las formalidades que la ley exige y en la cual no se acreditó el daño que pudiera causar la publicidad de la información, por lo que, se ordena su entrega. </w:t>
      </w:r>
    </w:p>
    <w:p w14:paraId="29A28F5F"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5C62E9E1"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59B349AF"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último y en atención a el requerimiento tendiente a conocer </w:t>
      </w:r>
      <w:r w:rsidRPr="00A10456">
        <w:rPr>
          <w:rFonts w:ascii="Palatino Linotype" w:eastAsia="Palatino Linotype" w:hAnsi="Palatino Linotype" w:cs="Palatino Linotype"/>
          <w:i/>
        </w:rPr>
        <w:t xml:space="preserve">el salario de los policías de acuerdo a su categoría </w:t>
      </w:r>
      <w:r w:rsidRPr="00A10456">
        <w:rPr>
          <w:rFonts w:ascii="Palatino Linotype" w:eastAsia="Palatino Linotype" w:hAnsi="Palatino Linotype" w:cs="Palatino Linotype"/>
        </w:rPr>
        <w:t>es de señalar que esa información tampoco puede ser considerada como reservada toda vez que las remuneraciones otorgadas a los servidores públicos son por regla general de carácter pública, así mismo, no se advierte que el particular solicitó ni la nómina, ni los recibos de nómina; sino, únicamente el salario correspondiente a cada rango de policías, lo que puede constar de forma enunciativa, más no limitativa, en un tabulador de sueldos, mismo que es parte de la información remitida al Órgano Superior de Fiscalización del Estado de México, como se observa del Instructivo de llenado del módulo 4. Se inserta captura de pantalla a continuación:</w:t>
      </w:r>
    </w:p>
    <w:p w14:paraId="4E1E9C75" w14:textId="77777777" w:rsidR="00815F8D" w:rsidRPr="00A10456" w:rsidRDefault="00F25C9B">
      <w:pPr>
        <w:tabs>
          <w:tab w:val="left" w:pos="709"/>
        </w:tabs>
        <w:spacing w:line="360" w:lineRule="auto"/>
        <w:ind w:right="49"/>
        <w:jc w:val="center"/>
        <w:rPr>
          <w:rFonts w:ascii="Palatino Linotype" w:eastAsia="Palatino Linotype" w:hAnsi="Palatino Linotype" w:cs="Palatino Linotype"/>
        </w:rPr>
      </w:pPr>
      <w:r w:rsidRPr="00A10456">
        <w:rPr>
          <w:rFonts w:ascii="Palatino Linotype" w:eastAsia="Palatino Linotype" w:hAnsi="Palatino Linotype" w:cs="Palatino Linotype"/>
          <w:noProof/>
        </w:rPr>
        <w:lastRenderedPageBreak/>
        <w:drawing>
          <wp:inline distT="114300" distB="114300" distL="114300" distR="114300" wp14:anchorId="36E1E00D" wp14:editId="125D333C">
            <wp:extent cx="5306378" cy="3848869"/>
            <wp:effectExtent l="0" t="0" r="0" b="0"/>
            <wp:docPr id="3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b="11308"/>
                    <a:stretch>
                      <a:fillRect/>
                    </a:stretch>
                  </pic:blipFill>
                  <pic:spPr>
                    <a:xfrm>
                      <a:off x="0" y="0"/>
                      <a:ext cx="5306378" cy="3848869"/>
                    </a:xfrm>
                    <a:prstGeom prst="rect">
                      <a:avLst/>
                    </a:prstGeom>
                    <a:ln/>
                  </pic:spPr>
                </pic:pic>
              </a:graphicData>
            </a:graphic>
          </wp:inline>
        </w:drawing>
      </w:r>
    </w:p>
    <w:p w14:paraId="07652533" w14:textId="77777777" w:rsidR="00815F8D" w:rsidRPr="00A10456" w:rsidRDefault="00F25C9B">
      <w:pPr>
        <w:tabs>
          <w:tab w:val="left" w:pos="709"/>
        </w:tabs>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Como se observa del formato anterior, dentro de la información que deberá incluir se destaca la categoría, dietas, sueldos, compensaciones, entre otros, sin que medie nombre de servidor público alguno, luego entonces, tampoco procede la reserva y debe entregarse el documento donde conste el salario de los policías </w:t>
      </w:r>
      <w:proofErr w:type="gramStart"/>
      <w:r w:rsidRPr="00A10456">
        <w:rPr>
          <w:rFonts w:ascii="Palatino Linotype" w:eastAsia="Palatino Linotype" w:hAnsi="Palatino Linotype" w:cs="Palatino Linotype"/>
        </w:rPr>
        <w:t>de acuerdo a</w:t>
      </w:r>
      <w:proofErr w:type="gramEnd"/>
      <w:r w:rsidRPr="00A10456">
        <w:rPr>
          <w:rFonts w:ascii="Palatino Linotype" w:eastAsia="Palatino Linotype" w:hAnsi="Palatino Linotype" w:cs="Palatino Linotype"/>
        </w:rPr>
        <w:t xml:space="preserve"> su categoría vigente al veinticinco de mayo de dos mil veintidós.  </w:t>
      </w:r>
    </w:p>
    <w:p w14:paraId="4E50D032"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0D4FF0A0" w14:textId="77777777" w:rsidR="00815F8D" w:rsidRPr="00A10456" w:rsidRDefault="00F25C9B">
      <w:pPr>
        <w:widowControl w:val="0"/>
        <w:tabs>
          <w:tab w:val="left" w:pos="1701"/>
          <w:tab w:val="left" w:pos="1843"/>
        </w:tabs>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Expuesto todo lo anterior, este Instituto determina </w:t>
      </w:r>
      <w:r w:rsidRPr="00A10456">
        <w:rPr>
          <w:rFonts w:ascii="Palatino Linotype" w:eastAsia="Palatino Linotype" w:hAnsi="Palatino Linotype" w:cs="Palatino Linotype"/>
          <w:b/>
        </w:rPr>
        <w:t xml:space="preserve">REVOCAR </w:t>
      </w:r>
      <w:r w:rsidRPr="00A10456">
        <w:rPr>
          <w:rFonts w:ascii="Palatino Linotype" w:eastAsia="Palatino Linotype" w:hAnsi="Palatino Linotype" w:cs="Palatino Linotype"/>
        </w:rPr>
        <w:t xml:space="preserve">la respuesta otorgada a la solicitud de información que dio origen al Recurso de Revisión </w:t>
      </w:r>
      <w:r w:rsidRPr="00A10456">
        <w:rPr>
          <w:rFonts w:ascii="Palatino Linotype" w:eastAsia="Palatino Linotype" w:hAnsi="Palatino Linotype" w:cs="Palatino Linotype"/>
          <w:b/>
        </w:rPr>
        <w:t>11937/INFOEM/IP/RR/2022</w:t>
      </w:r>
      <w:r w:rsidRPr="00A10456">
        <w:rPr>
          <w:rFonts w:ascii="Palatino Linotype" w:eastAsia="Palatino Linotype" w:hAnsi="Palatino Linotype" w:cs="Palatino Linotype"/>
          <w:b/>
          <w:sz w:val="22"/>
          <w:szCs w:val="22"/>
        </w:rPr>
        <w:t xml:space="preserve"> </w:t>
      </w:r>
      <w:r w:rsidRPr="00A10456">
        <w:rPr>
          <w:rFonts w:ascii="Palatino Linotype" w:eastAsia="Palatino Linotype" w:hAnsi="Palatino Linotype" w:cs="Palatino Linotype"/>
        </w:rPr>
        <w:t xml:space="preserve">y ordenar al </w:t>
      </w:r>
      <w:r w:rsidRPr="00A10456">
        <w:rPr>
          <w:rFonts w:ascii="Palatino Linotype" w:eastAsia="Palatino Linotype" w:hAnsi="Palatino Linotype" w:cs="Palatino Linotype"/>
          <w:b/>
        </w:rPr>
        <w:t xml:space="preserve">SUJETO OBLIGADO </w:t>
      </w:r>
      <w:r w:rsidRPr="00A10456">
        <w:rPr>
          <w:rFonts w:ascii="Palatino Linotype" w:eastAsia="Palatino Linotype" w:hAnsi="Palatino Linotype" w:cs="Palatino Linotype"/>
        </w:rPr>
        <w:t xml:space="preserve">haga entrega del soporte documental de ser procedente en versión pública, donde conste  el salario de </w:t>
      </w:r>
      <w:r w:rsidRPr="00A10456">
        <w:rPr>
          <w:rFonts w:ascii="Palatino Linotype" w:eastAsia="Palatino Linotype" w:hAnsi="Palatino Linotype" w:cs="Palatino Linotype"/>
        </w:rPr>
        <w:lastRenderedPageBreak/>
        <w:t xml:space="preserve">los policías de acuerdo a su categoría vigente al veinticinco de mayo de dos mil veintidós, el programa municipal de seguridad pública del año 2022 y el programa municipal de prevención de la violencia y la delincuencia del año 2022, el monto del presupuesto destinado para seguridad pública correspondiente al año 2022, el nombre y cargo  de los integrantes de la Comisión de Honor y Justicia vigentes a l veinticinco de mayo de dos mil veintidós, actas de dicha comisión del primero de enero de dos mil veintiuno al veinticinco de mayo de dos mil veintidós, el número de policías de seguridad y de tránsito en activo con que cuenta el municipio de Lerma, cuantas patrullas hay en el parque vehicular, clasificadas en las que circulan y las que no y el motivo de su no circulación vigentes al veinticinco de mayo de dos mil veintidós los expedientes con motivo de la no aprobación del examen de control y confianza firmes del primero de enero al veinticinco de mayo de dos mil veintidós. </w:t>
      </w:r>
    </w:p>
    <w:p w14:paraId="4ECED129" w14:textId="77777777" w:rsidR="00815F8D" w:rsidRPr="00A10456" w:rsidRDefault="00815F8D">
      <w:pPr>
        <w:widowControl w:val="0"/>
        <w:tabs>
          <w:tab w:val="left" w:pos="1701"/>
          <w:tab w:val="left" w:pos="1843"/>
        </w:tabs>
        <w:spacing w:line="360" w:lineRule="auto"/>
        <w:jc w:val="both"/>
        <w:rPr>
          <w:rFonts w:ascii="Palatino Linotype" w:eastAsia="Palatino Linotype" w:hAnsi="Palatino Linotype" w:cs="Palatino Linotype"/>
        </w:rPr>
      </w:pPr>
    </w:p>
    <w:p w14:paraId="6F3B0415"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Para la versión pública de los documentos que se ordenan, en términos del artículo 143 de la Ley de Transparencia y Acceso a la Información Pública del Estado de México y Municipios, deberá omitirse, eliminarse o suprimirse la información </w:t>
      </w:r>
      <w:r w:rsidRPr="00A10456">
        <w:rPr>
          <w:rFonts w:ascii="Palatino Linotype" w:eastAsia="Palatino Linotype" w:hAnsi="Palatino Linotype" w:cs="Palatino Linotype"/>
          <w:b/>
        </w:rPr>
        <w:t>confidencial</w:t>
      </w:r>
      <w:r w:rsidRPr="00A10456">
        <w:rPr>
          <w:rFonts w:ascii="Palatino Linotype" w:eastAsia="Palatino Linotype" w:hAnsi="Palatino Linotype" w:cs="Palatino Linotype"/>
        </w:rPr>
        <w:t xml:space="preserve">. </w:t>
      </w:r>
    </w:p>
    <w:p w14:paraId="461892F0" w14:textId="77777777" w:rsidR="00815F8D" w:rsidRPr="00A10456" w:rsidRDefault="00815F8D">
      <w:pPr>
        <w:spacing w:line="360" w:lineRule="auto"/>
        <w:jc w:val="both"/>
        <w:rPr>
          <w:rFonts w:ascii="Palatino Linotype" w:eastAsia="Palatino Linotype" w:hAnsi="Palatino Linotype" w:cs="Palatino Linotype"/>
        </w:rPr>
      </w:pPr>
    </w:p>
    <w:p w14:paraId="37C9DE06"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emita el Acuerdo de Clasificación correspondiente debidamente fundado y motivado, en el cual se sustente la versión pública, misma que deberá </w:t>
      </w:r>
      <w:r w:rsidRPr="00A10456">
        <w:rPr>
          <w:rFonts w:ascii="Palatino Linotype" w:eastAsia="Palatino Linotype" w:hAnsi="Palatino Linotype" w:cs="Palatino Linotype"/>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657680A" w14:textId="77777777" w:rsidR="00815F8D" w:rsidRPr="00A10456" w:rsidRDefault="00815F8D">
      <w:pPr>
        <w:spacing w:line="360" w:lineRule="auto"/>
        <w:jc w:val="both"/>
        <w:rPr>
          <w:rFonts w:ascii="Palatino Linotype" w:eastAsia="Palatino Linotype" w:hAnsi="Palatino Linotype" w:cs="Palatino Linotype"/>
        </w:rPr>
      </w:pPr>
    </w:p>
    <w:p w14:paraId="723F3BFE"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ende,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ED82D8" w14:textId="77777777" w:rsidR="00815F8D" w:rsidRPr="00A10456" w:rsidRDefault="00815F8D">
      <w:pPr>
        <w:ind w:left="851" w:right="902"/>
        <w:jc w:val="center"/>
        <w:rPr>
          <w:rFonts w:ascii="Palatino Linotype" w:eastAsia="Palatino Linotype" w:hAnsi="Palatino Linotype" w:cs="Palatino Linotype"/>
          <w:b/>
          <w:i/>
          <w:sz w:val="22"/>
          <w:szCs w:val="22"/>
        </w:rPr>
      </w:pPr>
    </w:p>
    <w:p w14:paraId="78C1972B" w14:textId="77777777" w:rsidR="00815F8D" w:rsidRPr="00A10456" w:rsidRDefault="00F25C9B">
      <w:pPr>
        <w:ind w:left="851" w:right="902"/>
        <w:jc w:val="center"/>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Ley de Transparencia y Acceso a la Información Pública del Estado de México y Municipios</w:t>
      </w:r>
    </w:p>
    <w:p w14:paraId="35D152D2"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 xml:space="preserve">Artículo 49. </w:t>
      </w:r>
      <w:r w:rsidRPr="00A10456">
        <w:rPr>
          <w:rFonts w:ascii="Palatino Linotype" w:eastAsia="Palatino Linotype" w:hAnsi="Palatino Linotype" w:cs="Palatino Linotype"/>
          <w:i/>
          <w:sz w:val="22"/>
          <w:szCs w:val="22"/>
        </w:rPr>
        <w:t>Los Comités de Transparencia tendrán las siguientes atribuciones:</w:t>
      </w:r>
    </w:p>
    <w:p w14:paraId="3A63020E"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VIII.</w:t>
      </w:r>
      <w:r w:rsidRPr="00A10456">
        <w:rPr>
          <w:rFonts w:ascii="Palatino Linotype" w:eastAsia="Palatino Linotype" w:hAnsi="Palatino Linotype" w:cs="Palatino Linotype"/>
          <w:i/>
          <w:sz w:val="22"/>
          <w:szCs w:val="22"/>
        </w:rPr>
        <w:t xml:space="preserve"> </w:t>
      </w:r>
      <w:r w:rsidRPr="00A10456">
        <w:rPr>
          <w:rFonts w:ascii="Palatino Linotype" w:eastAsia="Palatino Linotype" w:hAnsi="Palatino Linotype" w:cs="Palatino Linotype"/>
          <w:b/>
          <w:i/>
          <w:sz w:val="22"/>
          <w:szCs w:val="22"/>
        </w:rPr>
        <w:t>Aprobar</w:t>
      </w:r>
      <w:r w:rsidRPr="00A10456">
        <w:rPr>
          <w:rFonts w:ascii="Palatino Linotype" w:eastAsia="Palatino Linotype" w:hAnsi="Palatino Linotype" w:cs="Palatino Linotype"/>
          <w:i/>
          <w:sz w:val="22"/>
          <w:szCs w:val="22"/>
        </w:rPr>
        <w:t>, modificar o revocar la clasificación de la información;</w:t>
      </w:r>
    </w:p>
    <w:p w14:paraId="03529CAB" w14:textId="77777777" w:rsidR="00815F8D" w:rsidRPr="00A10456" w:rsidRDefault="00F25C9B">
      <w:pPr>
        <w:ind w:left="851" w:right="902"/>
        <w:jc w:val="both"/>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Artículo 132.</w:t>
      </w:r>
      <w:r w:rsidRPr="00A10456">
        <w:rPr>
          <w:rFonts w:ascii="Palatino Linotype" w:eastAsia="Palatino Linotype" w:hAnsi="Palatino Linotype" w:cs="Palatino Linotype"/>
          <w:i/>
          <w:sz w:val="22"/>
          <w:szCs w:val="22"/>
        </w:rPr>
        <w:t xml:space="preserve"> </w:t>
      </w:r>
      <w:r w:rsidRPr="00A10456">
        <w:rPr>
          <w:rFonts w:ascii="Palatino Linotype" w:eastAsia="Palatino Linotype" w:hAnsi="Palatino Linotype" w:cs="Palatino Linotype"/>
          <w:b/>
          <w:i/>
          <w:sz w:val="22"/>
          <w:szCs w:val="22"/>
        </w:rPr>
        <w:t>La clasificación de la información se llevará a cabo en el momento en que:</w:t>
      </w:r>
    </w:p>
    <w:p w14:paraId="13510DD6"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p>
    <w:p w14:paraId="278C89B0"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w:t>
      </w:r>
      <w:r w:rsidRPr="00A10456">
        <w:rPr>
          <w:rFonts w:ascii="Palatino Linotype" w:eastAsia="Palatino Linotype" w:hAnsi="Palatino Linotype" w:cs="Palatino Linotype"/>
          <w:i/>
          <w:sz w:val="22"/>
          <w:szCs w:val="22"/>
        </w:rPr>
        <w:t xml:space="preserve"> Se determine mediante resolución de autoridad competente; o</w:t>
      </w:r>
    </w:p>
    <w:p w14:paraId="558ADF3B"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lastRenderedPageBreak/>
        <w:t>III</w:t>
      </w:r>
      <w:r w:rsidRPr="00A10456">
        <w:rPr>
          <w:rFonts w:ascii="Palatino Linotype" w:eastAsia="Palatino Linotype" w:hAnsi="Palatino Linotype" w:cs="Palatino Linotype"/>
          <w:i/>
          <w:sz w:val="22"/>
          <w:szCs w:val="22"/>
        </w:rPr>
        <w:t xml:space="preserve">. </w:t>
      </w:r>
      <w:r w:rsidRPr="00A10456">
        <w:rPr>
          <w:rFonts w:ascii="Palatino Linotype" w:eastAsia="Palatino Linotype" w:hAnsi="Palatino Linotype" w:cs="Palatino Linotype"/>
          <w:b/>
          <w:i/>
          <w:sz w:val="22"/>
          <w:szCs w:val="22"/>
        </w:rPr>
        <w:t>Se generen versiones públicas para dar cumplimiento a las obligaciones de transparencia previstas en esta Ley</w:t>
      </w:r>
      <w:r w:rsidRPr="00A10456">
        <w:rPr>
          <w:rFonts w:ascii="Palatino Linotype" w:eastAsia="Palatino Linotype" w:hAnsi="Palatino Linotype" w:cs="Palatino Linotype"/>
          <w:i/>
          <w:sz w:val="22"/>
          <w:szCs w:val="22"/>
        </w:rPr>
        <w:t>.”</w:t>
      </w:r>
    </w:p>
    <w:p w14:paraId="4BA2C069" w14:textId="77777777" w:rsidR="00815F8D" w:rsidRPr="00A10456" w:rsidRDefault="00F25C9B">
      <w:pPr>
        <w:ind w:left="851" w:right="902"/>
        <w:jc w:val="center"/>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Lineamientos Generales en materia de Clasificación y Desclasificación de la Información</w:t>
      </w:r>
    </w:p>
    <w:p w14:paraId="3DBC5E27"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proofErr w:type="gramStart"/>
      <w:r w:rsidRPr="00A10456">
        <w:rPr>
          <w:rFonts w:ascii="Palatino Linotype" w:eastAsia="Palatino Linotype" w:hAnsi="Palatino Linotype" w:cs="Palatino Linotype"/>
          <w:b/>
          <w:i/>
          <w:sz w:val="22"/>
          <w:szCs w:val="22"/>
        </w:rPr>
        <w:t>Segundo.-</w:t>
      </w:r>
      <w:proofErr w:type="gramEnd"/>
      <w:r w:rsidRPr="00A10456">
        <w:rPr>
          <w:rFonts w:ascii="Palatino Linotype" w:eastAsia="Palatino Linotype" w:hAnsi="Palatino Linotype" w:cs="Palatino Linotype"/>
          <w:i/>
          <w:sz w:val="22"/>
          <w:szCs w:val="22"/>
        </w:rPr>
        <w:t xml:space="preserve"> Para efectos de los presentes Lineamientos Generales, se entenderá por:</w:t>
      </w:r>
    </w:p>
    <w:p w14:paraId="7E74C81E"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XVIII.</w:t>
      </w:r>
      <w:r w:rsidRPr="00A10456">
        <w:rPr>
          <w:rFonts w:ascii="Palatino Linotype" w:eastAsia="Palatino Linotype" w:hAnsi="Palatino Linotype" w:cs="Palatino Linotype"/>
          <w:i/>
          <w:sz w:val="22"/>
          <w:szCs w:val="22"/>
        </w:rPr>
        <w:t xml:space="preserve"> </w:t>
      </w:r>
      <w:r w:rsidRPr="00A10456">
        <w:rPr>
          <w:rFonts w:ascii="Palatino Linotype" w:eastAsia="Palatino Linotype" w:hAnsi="Palatino Linotype" w:cs="Palatino Linotype"/>
          <w:b/>
          <w:i/>
          <w:sz w:val="22"/>
          <w:szCs w:val="22"/>
        </w:rPr>
        <w:t>Versión pública:</w:t>
      </w:r>
      <w:r w:rsidRPr="00A1045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A10456">
        <w:rPr>
          <w:rFonts w:ascii="Palatino Linotype" w:eastAsia="Palatino Linotype" w:hAnsi="Palatino Linotype" w:cs="Palatino Linotype"/>
          <w:b/>
          <w:i/>
          <w:sz w:val="22"/>
          <w:szCs w:val="22"/>
        </w:rPr>
        <w:t>fundando y motivando la</w:t>
      </w:r>
      <w:r w:rsidRPr="00A10456">
        <w:rPr>
          <w:rFonts w:ascii="Palatino Linotype" w:eastAsia="Palatino Linotype" w:hAnsi="Palatino Linotype" w:cs="Palatino Linotype"/>
          <w:i/>
          <w:sz w:val="22"/>
          <w:szCs w:val="22"/>
        </w:rPr>
        <w:t xml:space="preserve"> reserva o </w:t>
      </w:r>
      <w:r w:rsidRPr="00A10456">
        <w:rPr>
          <w:rFonts w:ascii="Palatino Linotype" w:eastAsia="Palatino Linotype" w:hAnsi="Palatino Linotype" w:cs="Palatino Linotype"/>
          <w:b/>
          <w:i/>
          <w:sz w:val="22"/>
          <w:szCs w:val="22"/>
        </w:rPr>
        <w:t>confidencialidad</w:t>
      </w:r>
      <w:r w:rsidRPr="00A10456">
        <w:rPr>
          <w:rFonts w:ascii="Palatino Linotype" w:eastAsia="Palatino Linotype" w:hAnsi="Palatino Linotype" w:cs="Palatino Linotype"/>
          <w:i/>
          <w:sz w:val="22"/>
          <w:szCs w:val="22"/>
        </w:rPr>
        <w:t>, a través de la resolución que para tal efecto emita el Comité de Transparencia.</w:t>
      </w:r>
    </w:p>
    <w:p w14:paraId="612E31D0"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Cuarto.</w:t>
      </w:r>
      <w:r w:rsidRPr="00A10456">
        <w:rPr>
          <w:rFonts w:ascii="Palatino Linotype" w:eastAsia="Palatino Linotype" w:hAnsi="Palatino Linotype" w:cs="Palatino Linotype"/>
          <w:i/>
          <w:sz w:val="22"/>
          <w:szCs w:val="22"/>
        </w:rPr>
        <w:t xml:space="preserve"> </w:t>
      </w:r>
      <w:r w:rsidRPr="00A10456">
        <w:rPr>
          <w:rFonts w:ascii="Palatino Linotype" w:eastAsia="Palatino Linotype" w:hAnsi="Palatino Linotype" w:cs="Palatino Linotype"/>
          <w:b/>
          <w:i/>
          <w:sz w:val="22"/>
          <w:szCs w:val="22"/>
        </w:rPr>
        <w:t>Para clasificar la información como</w:t>
      </w:r>
      <w:r w:rsidRPr="00A10456">
        <w:rPr>
          <w:rFonts w:ascii="Palatino Linotype" w:eastAsia="Palatino Linotype" w:hAnsi="Palatino Linotype" w:cs="Palatino Linotype"/>
          <w:i/>
          <w:sz w:val="22"/>
          <w:szCs w:val="22"/>
        </w:rPr>
        <w:t xml:space="preserve"> reservada o </w:t>
      </w:r>
      <w:r w:rsidRPr="00A10456">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A10456">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439EFC6"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DB05864"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Quinto.</w:t>
      </w:r>
      <w:r w:rsidRPr="00A1045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3BEFE2"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Sexto.</w:t>
      </w:r>
      <w:r w:rsidRPr="00A1045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36E9F2C"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5DD2E61"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Séptimo.</w:t>
      </w:r>
      <w:r w:rsidRPr="00A10456">
        <w:rPr>
          <w:rFonts w:ascii="Palatino Linotype" w:eastAsia="Palatino Linotype" w:hAnsi="Palatino Linotype" w:cs="Palatino Linotype"/>
          <w:i/>
          <w:sz w:val="22"/>
          <w:szCs w:val="22"/>
        </w:rPr>
        <w:t xml:space="preserve"> La clasificación de la información se llevará a cabo en el momento en que:</w:t>
      </w:r>
    </w:p>
    <w:p w14:paraId="71491F72"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w:t>
      </w:r>
      <w:r w:rsidRPr="00A10456">
        <w:rPr>
          <w:rFonts w:ascii="Palatino Linotype" w:eastAsia="Palatino Linotype" w:hAnsi="Palatino Linotype" w:cs="Palatino Linotype"/>
          <w:i/>
          <w:sz w:val="22"/>
          <w:szCs w:val="22"/>
        </w:rPr>
        <w:t xml:space="preserve"> Se reciba una solicitud de acceso a la información;</w:t>
      </w:r>
    </w:p>
    <w:p w14:paraId="1D483AF2"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II.</w:t>
      </w:r>
      <w:r w:rsidRPr="00A10456">
        <w:rPr>
          <w:rFonts w:ascii="Palatino Linotype" w:eastAsia="Palatino Linotype" w:hAnsi="Palatino Linotype" w:cs="Palatino Linotype"/>
          <w:i/>
          <w:sz w:val="22"/>
          <w:szCs w:val="22"/>
        </w:rPr>
        <w:t xml:space="preserve"> Se determine mediante resolución de autoridad competente, o</w:t>
      </w:r>
    </w:p>
    <w:p w14:paraId="770A2A5B"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lastRenderedPageBreak/>
        <w:t>III.</w:t>
      </w:r>
      <w:r w:rsidRPr="00A1045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C07DA18"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446C06F"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Octavo.</w:t>
      </w:r>
      <w:r w:rsidRPr="00A1045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9512384"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8CC337A"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CDFB5D3"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D4F25B6"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0668A97"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Noveno.</w:t>
      </w:r>
      <w:r w:rsidRPr="00A1045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8DF83AA"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Décimo.</w:t>
      </w:r>
      <w:r w:rsidRPr="00A10456">
        <w:rPr>
          <w:rFonts w:ascii="Palatino Linotype" w:eastAsia="Palatino Linotype" w:hAnsi="Palatino Linotype" w:cs="Palatino Linotype"/>
          <w:i/>
          <w:sz w:val="22"/>
          <w:szCs w:val="22"/>
        </w:rPr>
        <w:t xml:space="preserve"> Los titulares de las </w:t>
      </w:r>
      <w:proofErr w:type="gramStart"/>
      <w:r w:rsidRPr="00A10456">
        <w:rPr>
          <w:rFonts w:ascii="Palatino Linotype" w:eastAsia="Palatino Linotype" w:hAnsi="Palatino Linotype" w:cs="Palatino Linotype"/>
          <w:i/>
          <w:sz w:val="22"/>
          <w:szCs w:val="22"/>
        </w:rPr>
        <w:t>áreas,</w:t>
      </w:r>
      <w:proofErr w:type="gramEnd"/>
      <w:r w:rsidRPr="00A10456">
        <w:rPr>
          <w:rFonts w:ascii="Palatino Linotype" w:eastAsia="Palatino Linotype" w:hAnsi="Palatino Linotype" w:cs="Palatino Linotype"/>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1CB1589"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705E589" w14:textId="77777777" w:rsidR="00815F8D" w:rsidRPr="00A10456" w:rsidRDefault="00F25C9B">
      <w:pPr>
        <w:ind w:left="851" w:right="90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Décimo primero.</w:t>
      </w:r>
      <w:r w:rsidRPr="00A1045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A10456">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18439E86" w14:textId="77777777" w:rsidR="00815F8D" w:rsidRPr="00A10456" w:rsidRDefault="00815F8D">
      <w:pPr>
        <w:ind w:left="851" w:right="902"/>
        <w:jc w:val="both"/>
        <w:rPr>
          <w:rFonts w:ascii="Palatino Linotype" w:eastAsia="Palatino Linotype" w:hAnsi="Palatino Linotype" w:cs="Palatino Linotype"/>
          <w:i/>
          <w:sz w:val="22"/>
          <w:szCs w:val="22"/>
        </w:rPr>
      </w:pPr>
    </w:p>
    <w:p w14:paraId="752547C7" w14:textId="77777777" w:rsidR="00815F8D" w:rsidRPr="00A10456" w:rsidRDefault="00F25C9B">
      <w:pPr>
        <w:ind w:left="850" w:right="901"/>
        <w:jc w:val="center"/>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CAPÍTULO VIII</w:t>
      </w:r>
    </w:p>
    <w:p w14:paraId="323F99FA" w14:textId="77777777" w:rsidR="00815F8D" w:rsidRPr="00A10456" w:rsidRDefault="00F25C9B">
      <w:pPr>
        <w:ind w:left="850" w:right="901"/>
        <w:jc w:val="center"/>
        <w:rPr>
          <w:rFonts w:ascii="Palatino Linotype" w:eastAsia="Palatino Linotype" w:hAnsi="Palatino Linotype" w:cs="Palatino Linotype"/>
          <w:b/>
          <w:i/>
          <w:sz w:val="22"/>
          <w:szCs w:val="22"/>
        </w:rPr>
      </w:pPr>
      <w:r w:rsidRPr="00A10456">
        <w:rPr>
          <w:rFonts w:ascii="Palatino Linotype" w:eastAsia="Palatino Linotype" w:hAnsi="Palatino Linotype" w:cs="Palatino Linotype"/>
          <w:b/>
          <w:i/>
          <w:sz w:val="22"/>
          <w:szCs w:val="22"/>
        </w:rPr>
        <w:t>DE LA LEYENDA DE CLASIFICACIÓN</w:t>
      </w:r>
    </w:p>
    <w:p w14:paraId="4D02C8E3" w14:textId="77777777" w:rsidR="00815F8D" w:rsidRPr="00A10456" w:rsidRDefault="00F25C9B">
      <w:pPr>
        <w:ind w:left="850" w:right="901"/>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Quincuagésimo. </w:t>
      </w:r>
      <w:r w:rsidRPr="00A10456">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A10456">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7EE187B9" w14:textId="77777777" w:rsidR="00815F8D" w:rsidRPr="00A10456" w:rsidRDefault="00F25C9B">
      <w:pPr>
        <w:ind w:left="850" w:right="901"/>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p>
    <w:p w14:paraId="2D20CD8D" w14:textId="77777777" w:rsidR="00815F8D" w:rsidRPr="00A10456" w:rsidRDefault="00F25C9B">
      <w:pPr>
        <w:ind w:left="850" w:right="901"/>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b/>
          <w:i/>
          <w:sz w:val="22"/>
          <w:szCs w:val="22"/>
        </w:rPr>
        <w:t xml:space="preserve">Quincuagésimo tercero. </w:t>
      </w:r>
      <w:r w:rsidRPr="00A10456">
        <w:rPr>
          <w:rFonts w:ascii="Palatino Linotype" w:eastAsia="Palatino Linotype" w:hAnsi="Palatino Linotype" w:cs="Palatino Linotype"/>
          <w:b/>
          <w:i/>
          <w:sz w:val="22"/>
          <w:szCs w:val="22"/>
          <w:u w:val="single"/>
        </w:rPr>
        <w:t xml:space="preserve">El formato para señalar la clasificación parcial de un </w:t>
      </w:r>
      <w:proofErr w:type="gramStart"/>
      <w:r w:rsidRPr="00A10456">
        <w:rPr>
          <w:rFonts w:ascii="Palatino Linotype" w:eastAsia="Palatino Linotype" w:hAnsi="Palatino Linotype" w:cs="Palatino Linotype"/>
          <w:b/>
          <w:i/>
          <w:sz w:val="22"/>
          <w:szCs w:val="22"/>
          <w:u w:val="single"/>
        </w:rPr>
        <w:t>documento</w:t>
      </w:r>
      <w:r w:rsidRPr="00A10456">
        <w:rPr>
          <w:rFonts w:ascii="Palatino Linotype" w:eastAsia="Palatino Linotype" w:hAnsi="Palatino Linotype" w:cs="Palatino Linotype"/>
          <w:i/>
          <w:sz w:val="22"/>
          <w:szCs w:val="22"/>
        </w:rPr>
        <w:t>,</w:t>
      </w:r>
      <w:proofErr w:type="gramEnd"/>
      <w:r w:rsidRPr="00A10456">
        <w:rPr>
          <w:rFonts w:ascii="Palatino Linotype" w:eastAsia="Palatino Linotype" w:hAnsi="Palatino Linotype" w:cs="Palatino Linotype"/>
          <w:i/>
          <w:sz w:val="22"/>
          <w:szCs w:val="22"/>
        </w:rPr>
        <w:t xml:space="preserve"> es el siguiente:</w:t>
      </w:r>
    </w:p>
    <w:p w14:paraId="5E7A721D" w14:textId="77777777" w:rsidR="00815F8D" w:rsidRPr="00A10456" w:rsidRDefault="00815F8D">
      <w:pPr>
        <w:ind w:left="850" w:right="901"/>
        <w:jc w:val="both"/>
        <w:rPr>
          <w:rFonts w:ascii="Palatino Linotype" w:eastAsia="Palatino Linotype" w:hAnsi="Palatino Linotype" w:cs="Palatino Linotype"/>
          <w:i/>
          <w:sz w:val="22"/>
          <w:szCs w:val="22"/>
        </w:rPr>
      </w:pPr>
    </w:p>
    <w:tbl>
      <w:tblPr>
        <w:tblStyle w:val="afffffffb"/>
        <w:tblW w:w="76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815F8D" w:rsidRPr="00A10456" w14:paraId="64A9A02A" w14:textId="77777777">
        <w:trPr>
          <w:jc w:val="center"/>
        </w:trPr>
        <w:tc>
          <w:tcPr>
            <w:tcW w:w="1129" w:type="dxa"/>
            <w:tcBorders>
              <w:top w:val="single" w:sz="4" w:space="0" w:color="000000"/>
              <w:left w:val="single" w:sz="4" w:space="0" w:color="000000"/>
              <w:bottom w:val="single" w:sz="4" w:space="0" w:color="000000"/>
              <w:right w:val="single" w:sz="4" w:space="0" w:color="000000"/>
            </w:tcBorders>
          </w:tcPr>
          <w:p w14:paraId="1A789ED9" w14:textId="77777777" w:rsidR="00815F8D" w:rsidRPr="00A10456" w:rsidRDefault="00815F8D">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072BC48" w14:textId="77777777" w:rsidR="00815F8D" w:rsidRPr="00A10456" w:rsidRDefault="00F25C9B">
            <w:pPr>
              <w:jc w:val="center"/>
              <w:rPr>
                <w:rFonts w:ascii="Palatino Linotype" w:eastAsia="Palatino Linotype" w:hAnsi="Palatino Linotype" w:cs="Palatino Linotype"/>
                <w:b/>
                <w:i/>
              </w:rPr>
            </w:pPr>
            <w:r w:rsidRPr="00A10456">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6CADDAA3" w14:textId="77777777" w:rsidR="00815F8D" w:rsidRPr="00A10456" w:rsidRDefault="00F25C9B">
            <w:pPr>
              <w:jc w:val="center"/>
              <w:rPr>
                <w:rFonts w:ascii="Palatino Linotype" w:eastAsia="Palatino Linotype" w:hAnsi="Palatino Linotype" w:cs="Palatino Linotype"/>
                <w:b/>
                <w:i/>
              </w:rPr>
            </w:pPr>
            <w:r w:rsidRPr="00A10456">
              <w:rPr>
                <w:rFonts w:ascii="Palatino Linotype" w:eastAsia="Palatino Linotype" w:hAnsi="Palatino Linotype" w:cs="Palatino Linotype"/>
                <w:b/>
                <w:i/>
              </w:rPr>
              <w:t>Dónde:</w:t>
            </w:r>
          </w:p>
        </w:tc>
      </w:tr>
      <w:tr w:rsidR="00815F8D" w:rsidRPr="00A10456" w14:paraId="7E683C04" w14:textId="77777777">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tcPr>
          <w:p w14:paraId="5A725C53" w14:textId="77777777" w:rsidR="00815F8D" w:rsidRPr="00A10456" w:rsidRDefault="00F25C9B">
            <w:pPr>
              <w:jc w:val="center"/>
              <w:rPr>
                <w:rFonts w:ascii="Palatino Linotype" w:eastAsia="Palatino Linotype" w:hAnsi="Palatino Linotype" w:cs="Palatino Linotype"/>
                <w:b/>
                <w:i/>
              </w:rPr>
            </w:pPr>
            <w:r w:rsidRPr="00A10456">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704CB9A9"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A7B7C9C"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Se anotará la fecha en la que el Comité de Transparencia confirmó la clasificación del documento, en su caso.</w:t>
            </w:r>
          </w:p>
        </w:tc>
      </w:tr>
      <w:tr w:rsidR="00815F8D" w:rsidRPr="00A10456" w14:paraId="5E4E80B7"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7FD3735D"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DFDB82F"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98FD797"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Se señalará el nombre del área del cual es titular quien clasifica.</w:t>
            </w:r>
          </w:p>
        </w:tc>
      </w:tr>
      <w:tr w:rsidR="00815F8D" w:rsidRPr="00A10456" w14:paraId="3C0B93B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4ACC38D"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2D6AE3E"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30E77F4E"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815F8D" w:rsidRPr="00A10456" w14:paraId="7F0BC1F9"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32E14FE"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9E81B62"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86F408B"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 xml:space="preserve">Se anotará el número de años o meses por los que se mantendrá el documento o las partes </w:t>
            </w:r>
            <w:proofErr w:type="gramStart"/>
            <w:r w:rsidRPr="00A10456">
              <w:rPr>
                <w:rFonts w:ascii="Palatino Linotype" w:eastAsia="Palatino Linotype" w:hAnsi="Palatino Linotype" w:cs="Palatino Linotype"/>
                <w:i/>
              </w:rPr>
              <w:t>del mismo</w:t>
            </w:r>
            <w:proofErr w:type="gramEnd"/>
            <w:r w:rsidRPr="00A10456">
              <w:rPr>
                <w:rFonts w:ascii="Palatino Linotype" w:eastAsia="Palatino Linotype" w:hAnsi="Palatino Linotype" w:cs="Palatino Linotype"/>
                <w:i/>
              </w:rPr>
              <w:t xml:space="preserve"> como reservado.</w:t>
            </w:r>
          </w:p>
        </w:tc>
      </w:tr>
      <w:tr w:rsidR="00815F8D" w:rsidRPr="00A10456" w14:paraId="345151B6"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011D777B"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27D4D46"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C0A5AFB"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Se señalará el nombre del ordenamiento, el o los artículos, fracción(es), párrafo(s) con base en los cuales se sustente la reserva.</w:t>
            </w:r>
          </w:p>
        </w:tc>
      </w:tr>
      <w:tr w:rsidR="00815F8D" w:rsidRPr="00A10456" w14:paraId="4799A871"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EB876C7"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5B18AF4"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72CAA9A"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15F8D" w:rsidRPr="00A10456" w14:paraId="16971E8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6CDFD05D"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1496D67" w14:textId="77777777" w:rsidR="00815F8D" w:rsidRPr="00A10456" w:rsidRDefault="00F25C9B">
            <w:pPr>
              <w:jc w:val="center"/>
              <w:rPr>
                <w:rFonts w:ascii="Palatino Linotype" w:eastAsia="Palatino Linotype" w:hAnsi="Palatino Linotype" w:cs="Palatino Linotype"/>
                <w:b/>
                <w:i/>
                <w:u w:val="single"/>
              </w:rPr>
            </w:pPr>
            <w:r w:rsidRPr="00A10456">
              <w:rPr>
                <w:rFonts w:ascii="Palatino Linotype" w:eastAsia="Palatino Linotype" w:hAnsi="Palatino Linotype" w:cs="Palatino Linotype"/>
                <w:b/>
                <w:i/>
                <w:u w:val="single"/>
              </w:rPr>
              <w:t>Confidencial</w:t>
            </w:r>
          </w:p>
        </w:tc>
        <w:tc>
          <w:tcPr>
            <w:tcW w:w="4531" w:type="dxa"/>
            <w:tcBorders>
              <w:top w:val="single" w:sz="4" w:space="0" w:color="000000"/>
              <w:left w:val="single" w:sz="4" w:space="0" w:color="000000"/>
              <w:bottom w:val="single" w:sz="4" w:space="0" w:color="000000"/>
              <w:right w:val="single" w:sz="4" w:space="0" w:color="000000"/>
            </w:tcBorders>
          </w:tcPr>
          <w:p w14:paraId="58F6FEBB"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 xml:space="preserve">Se indicarán, en su caso, </w:t>
            </w:r>
            <w:r w:rsidRPr="00A10456">
              <w:rPr>
                <w:rFonts w:ascii="Palatino Linotype" w:eastAsia="Palatino Linotype" w:hAnsi="Palatino Linotype" w:cs="Palatino Linotype"/>
                <w:b/>
                <w:i/>
                <w:u w:val="single"/>
              </w:rPr>
              <w:t>las partes o páginas del documento que se clasifica como confidencial</w:t>
            </w:r>
            <w:r w:rsidRPr="00A10456">
              <w:rPr>
                <w:rFonts w:ascii="Palatino Linotype" w:eastAsia="Palatino Linotype" w:hAnsi="Palatino Linotype" w:cs="Palatino Linotype"/>
                <w:i/>
              </w:rPr>
              <w:t xml:space="preserve">. </w:t>
            </w:r>
            <w:r w:rsidRPr="00A10456">
              <w:rPr>
                <w:rFonts w:ascii="Palatino Linotype" w:eastAsia="Palatino Linotype" w:hAnsi="Palatino Linotype" w:cs="Palatino Linotype"/>
                <w:b/>
                <w:i/>
                <w:u w:val="single"/>
              </w:rPr>
              <w:t>Si el documento fuera confidencial en su totalidad, se anotarán todas las páginas que lo conforman</w:t>
            </w:r>
            <w:r w:rsidRPr="00A10456">
              <w:rPr>
                <w:rFonts w:ascii="Palatino Linotype" w:eastAsia="Palatino Linotype" w:hAnsi="Palatino Linotype" w:cs="Palatino Linotype"/>
                <w:i/>
              </w:rPr>
              <w:t>. Si el documento no contiene información confidencial, se tachará este apartado.</w:t>
            </w:r>
          </w:p>
        </w:tc>
      </w:tr>
      <w:tr w:rsidR="00815F8D" w:rsidRPr="00A10456" w14:paraId="0ABB34A2"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E7A1B26"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D7043F0"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06EB44CE"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815F8D" w:rsidRPr="00A10456" w14:paraId="123C5AEE"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4ADEDB41"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28E337D"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045A2B50"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Rúbrica autógrafa de quien clasifica.</w:t>
            </w:r>
          </w:p>
        </w:tc>
      </w:tr>
      <w:tr w:rsidR="00815F8D" w:rsidRPr="00A10456" w14:paraId="5D51A473"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30791F26"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1ACC19B"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B8C381E" w14:textId="77777777" w:rsidR="00815F8D" w:rsidRPr="00A10456" w:rsidRDefault="00F25C9B">
            <w:pPr>
              <w:jc w:val="both"/>
              <w:rPr>
                <w:rFonts w:ascii="Palatino Linotype" w:eastAsia="Palatino Linotype" w:hAnsi="Palatino Linotype" w:cs="Palatino Linotype"/>
                <w:i/>
              </w:rPr>
            </w:pPr>
            <w:r w:rsidRPr="00A10456">
              <w:rPr>
                <w:rFonts w:ascii="Palatino Linotype" w:eastAsia="Palatino Linotype" w:hAnsi="Palatino Linotype" w:cs="Palatino Linotype"/>
                <w:i/>
              </w:rPr>
              <w:t>Se anotará la fecha en que se desclasifica el documento.</w:t>
            </w:r>
          </w:p>
        </w:tc>
      </w:tr>
      <w:tr w:rsidR="00815F8D" w:rsidRPr="00A10456" w14:paraId="1D37AB7C" w14:textId="77777777">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tcPr>
          <w:p w14:paraId="201EA98B" w14:textId="77777777" w:rsidR="00815F8D" w:rsidRPr="00A10456" w:rsidRDefault="00815F8D">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35B0433" w14:textId="77777777" w:rsidR="00815F8D" w:rsidRPr="00A10456" w:rsidRDefault="00F25C9B">
            <w:pPr>
              <w:jc w:val="center"/>
              <w:rPr>
                <w:rFonts w:ascii="Palatino Linotype" w:eastAsia="Palatino Linotype" w:hAnsi="Palatino Linotype" w:cs="Palatino Linotype"/>
                <w:i/>
              </w:rPr>
            </w:pPr>
            <w:r w:rsidRPr="00A10456">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5BCF609" w14:textId="77777777" w:rsidR="00815F8D" w:rsidRPr="00A10456" w:rsidRDefault="00F25C9B">
            <w:pPr>
              <w:rPr>
                <w:rFonts w:ascii="Palatino Linotype" w:eastAsia="Palatino Linotype" w:hAnsi="Palatino Linotype" w:cs="Palatino Linotype"/>
                <w:i/>
              </w:rPr>
            </w:pPr>
            <w:r w:rsidRPr="00A10456">
              <w:rPr>
                <w:rFonts w:ascii="Palatino Linotype" w:eastAsia="Palatino Linotype" w:hAnsi="Palatino Linotype" w:cs="Palatino Linotype"/>
                <w:i/>
              </w:rPr>
              <w:t>Rúbrica autógrafa de quien desclasifica.</w:t>
            </w:r>
          </w:p>
        </w:tc>
      </w:tr>
    </w:tbl>
    <w:p w14:paraId="7BBA8351" w14:textId="77777777" w:rsidR="00815F8D" w:rsidRPr="00A10456" w:rsidRDefault="00F25C9B">
      <w:pPr>
        <w:ind w:left="709" w:right="709"/>
        <w:jc w:val="both"/>
        <w:rPr>
          <w:rFonts w:ascii="Palatino Linotype" w:eastAsia="Palatino Linotype" w:hAnsi="Palatino Linotype" w:cs="Palatino Linotype"/>
          <w:sz w:val="22"/>
          <w:szCs w:val="22"/>
        </w:rPr>
      </w:pPr>
      <w:r w:rsidRPr="00A10456">
        <w:rPr>
          <w:rFonts w:ascii="Palatino Linotype" w:eastAsia="Palatino Linotype" w:hAnsi="Palatino Linotype" w:cs="Palatino Linotype"/>
          <w:sz w:val="22"/>
          <w:szCs w:val="22"/>
        </w:rPr>
        <w:t>(Énfasis Añadido)</w:t>
      </w:r>
    </w:p>
    <w:p w14:paraId="3D4CC15F" w14:textId="77777777" w:rsidR="00815F8D" w:rsidRPr="00A10456" w:rsidRDefault="00815F8D">
      <w:pPr>
        <w:spacing w:line="360" w:lineRule="auto"/>
        <w:jc w:val="both"/>
        <w:rPr>
          <w:rFonts w:ascii="Palatino Linotype" w:eastAsia="Palatino Linotype" w:hAnsi="Palatino Linotype" w:cs="Palatino Linotype"/>
        </w:rPr>
      </w:pPr>
    </w:p>
    <w:p w14:paraId="44A33899"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Es importante referir que, </w:t>
      </w:r>
      <w:r w:rsidRPr="00A10456">
        <w:rPr>
          <w:rFonts w:ascii="Palatino Linotype" w:eastAsia="Palatino Linotype" w:hAnsi="Palatino Linotype" w:cs="Palatino Linotype"/>
          <w:b/>
        </w:rPr>
        <w:t>EL SUJETO OBLIGADO</w:t>
      </w:r>
      <w:r w:rsidRPr="00A10456">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A10456">
        <w:rPr>
          <w:rFonts w:ascii="Palatino Linotype" w:eastAsia="Palatino Linotype" w:hAnsi="Palatino Linotype" w:cs="Palatino Linotype"/>
          <w:b/>
        </w:rPr>
        <w:t xml:space="preserve"> </w:t>
      </w:r>
      <w:r w:rsidRPr="00A10456">
        <w:rPr>
          <w:rFonts w:ascii="Palatino Linotype" w:eastAsia="Palatino Linotype" w:hAnsi="Palatino Linotype" w:cs="Palatino Linotype"/>
        </w:rPr>
        <w:t xml:space="preserve">que lo sustente, en el que se expongan los fundamentos y razones que llevaron a la autoridad a testar, suprimir o eliminar datos de dicho soporte documental, ya que el no hacerlo, implica que lo entregado no es legal ni formalmente una versión pública, </w:t>
      </w:r>
      <w:r w:rsidRPr="00A10456">
        <w:rPr>
          <w:rFonts w:ascii="Palatino Linotype" w:eastAsia="Palatino Linotype" w:hAnsi="Palatino Linotype" w:cs="Palatino Linotype"/>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4BF0C50" w14:textId="77777777" w:rsidR="00815F8D" w:rsidRPr="00A10456" w:rsidRDefault="00815F8D">
      <w:pPr>
        <w:spacing w:line="360" w:lineRule="auto"/>
        <w:jc w:val="both"/>
        <w:rPr>
          <w:rFonts w:ascii="Palatino Linotype" w:eastAsia="Palatino Linotype" w:hAnsi="Palatino Linotype" w:cs="Palatino Linotype"/>
        </w:rPr>
      </w:pPr>
    </w:p>
    <w:p w14:paraId="704844E2"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No escapa de la óptica de este Órgano Garante que parte la información que se ordena, como el nombre y cargo de los miembros de la Comisión de Honor y Justicia, así como las Actas de las sesiones Ordinarias y Extraordinarias de la misma puede contener información relacionada con los elementos operativos de seguridad pública.</w:t>
      </w:r>
    </w:p>
    <w:p w14:paraId="1F877A8E" w14:textId="77777777" w:rsidR="00815F8D" w:rsidRPr="00A10456" w:rsidRDefault="00815F8D">
      <w:pPr>
        <w:spacing w:line="360" w:lineRule="auto"/>
        <w:jc w:val="both"/>
        <w:rPr>
          <w:rFonts w:ascii="Palatino Linotype" w:eastAsia="Palatino Linotype" w:hAnsi="Palatino Linotype" w:cs="Palatino Linotype"/>
        </w:rPr>
      </w:pPr>
    </w:p>
    <w:p w14:paraId="2B755528"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Luego entonces, con relación al </w:t>
      </w:r>
      <w:r w:rsidRPr="00A10456">
        <w:rPr>
          <w:rFonts w:ascii="Palatino Linotype" w:eastAsia="Palatino Linotype" w:hAnsi="Palatino Linotype" w:cs="Palatino Linotype"/>
          <w:b/>
        </w:rPr>
        <w:t>nombre de personal operativo y/o administrativo que NO ostente mando medio o superior, deberá de ser objeto de un proceso de reserva de la información para no hacer identificable al titular del dato personal.</w:t>
      </w:r>
    </w:p>
    <w:p w14:paraId="4F50A284" w14:textId="77777777" w:rsidR="00815F8D" w:rsidRPr="00A10456" w:rsidRDefault="00815F8D">
      <w:pPr>
        <w:spacing w:line="360" w:lineRule="auto"/>
        <w:jc w:val="both"/>
        <w:rPr>
          <w:rFonts w:ascii="Palatino Linotype" w:eastAsia="Palatino Linotype" w:hAnsi="Palatino Linotype" w:cs="Palatino Linotype"/>
        </w:rPr>
      </w:pPr>
    </w:p>
    <w:p w14:paraId="63778AA0"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Ello, conforme al propio concepto de versión pública contenido en el artículo 3, fracción XXIV, de la multicitada Ley de Transparencia se define como:</w:t>
      </w:r>
    </w:p>
    <w:p w14:paraId="7C0E12CF" w14:textId="77777777" w:rsidR="00815F8D" w:rsidRPr="00A10456" w:rsidRDefault="00815F8D">
      <w:pPr>
        <w:spacing w:line="360" w:lineRule="auto"/>
        <w:jc w:val="both"/>
        <w:rPr>
          <w:rFonts w:ascii="Palatino Linotype" w:eastAsia="Palatino Linotype" w:hAnsi="Palatino Linotype" w:cs="Palatino Linotype"/>
        </w:rPr>
      </w:pPr>
    </w:p>
    <w:p w14:paraId="42F4849D"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XXIV. Información reservada:</w:t>
      </w:r>
      <w:r w:rsidRPr="00A10456">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 (Sic)</w:t>
      </w:r>
    </w:p>
    <w:p w14:paraId="399046CA" w14:textId="77777777" w:rsidR="00815F8D" w:rsidRPr="00A10456" w:rsidRDefault="00815F8D">
      <w:pPr>
        <w:spacing w:line="360" w:lineRule="auto"/>
        <w:jc w:val="both"/>
        <w:rPr>
          <w:rFonts w:ascii="Palatino Linotype" w:eastAsia="Palatino Linotype" w:hAnsi="Palatino Linotype" w:cs="Palatino Linotype"/>
        </w:rPr>
      </w:pPr>
    </w:p>
    <w:p w14:paraId="6EF87F5C"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No obstante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analizada, lo cierto es que, en lo que respecta a los elementos de seguridad pública, la elaboración de versiones públicas pudiera variar, eliminando información adicional, siempre y cuando se demuestre que pueda poner en riesgo la vida e integridad física con motivo de las funciones de servidores públicos.</w:t>
      </w:r>
    </w:p>
    <w:p w14:paraId="4E3ACD4E" w14:textId="77777777" w:rsidR="00815F8D" w:rsidRPr="00A10456" w:rsidRDefault="00815F8D">
      <w:pPr>
        <w:spacing w:line="360" w:lineRule="auto"/>
        <w:jc w:val="both"/>
        <w:rPr>
          <w:rFonts w:ascii="Palatino Linotype" w:eastAsia="Palatino Linotype" w:hAnsi="Palatino Linotype" w:cs="Palatino Linotype"/>
        </w:rPr>
      </w:pPr>
    </w:p>
    <w:p w14:paraId="40E2FDEE"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Esto es así, ya que el artículo 81, fracción III, de la Ley de Seguridad del Estado de México, establece lo siguiente: </w:t>
      </w:r>
    </w:p>
    <w:p w14:paraId="5F347012" w14:textId="77777777" w:rsidR="00815F8D" w:rsidRPr="00A10456" w:rsidRDefault="00815F8D">
      <w:pPr>
        <w:spacing w:line="360" w:lineRule="auto"/>
        <w:jc w:val="both"/>
        <w:rPr>
          <w:rFonts w:ascii="Palatino Linotype" w:eastAsia="Palatino Linotype" w:hAnsi="Palatino Linotype" w:cs="Palatino Linotype"/>
        </w:rPr>
      </w:pPr>
    </w:p>
    <w:p w14:paraId="79BC4FDB"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Artículo 81.-</w:t>
      </w:r>
      <w:r w:rsidRPr="00A10456">
        <w:rPr>
          <w:rFonts w:ascii="Palatino Linotype" w:eastAsia="Palatino Linotype" w:hAnsi="Palatino Linotype" w:cs="Palatino Linotype"/>
          <w:i/>
          <w:sz w:val="22"/>
          <w:szCs w:val="22"/>
        </w:rPr>
        <w:t xml:space="preserve"> </w:t>
      </w:r>
      <w:r w:rsidRPr="00A10456">
        <w:rPr>
          <w:rFonts w:ascii="Palatino Linotype" w:eastAsia="Palatino Linotype" w:hAnsi="Palatino Linotype" w:cs="Palatino Linotype"/>
          <w:i/>
          <w:sz w:val="22"/>
          <w:szCs w:val="22"/>
          <w:u w:val="single"/>
        </w:rPr>
        <w:t>Toda información para la seguridad pública</w:t>
      </w:r>
      <w:r w:rsidRPr="00A10456">
        <w:rPr>
          <w:rFonts w:ascii="Palatino Linotype" w:eastAsia="Palatino Linotype" w:hAnsi="Palatino Linotype" w:cs="Palatino Linotype"/>
          <w:i/>
          <w:sz w:val="22"/>
          <w:szCs w:val="22"/>
        </w:rPr>
        <w:t xml:space="preserve"> generada o en poder de Instituciones de Seguridad Pública o de cualquier instancia del Sistema Estatal </w:t>
      </w:r>
      <w:r w:rsidRPr="00A10456">
        <w:rPr>
          <w:rFonts w:ascii="Palatino Linotype" w:eastAsia="Palatino Linotype" w:hAnsi="Palatino Linotype" w:cs="Palatino Linotype"/>
          <w:i/>
          <w:sz w:val="22"/>
          <w:szCs w:val="22"/>
          <w:u w:val="single"/>
        </w:rPr>
        <w:t>debe</w:t>
      </w:r>
      <w:r w:rsidRPr="00A10456">
        <w:rPr>
          <w:rFonts w:ascii="Palatino Linotype" w:eastAsia="Palatino Linotype" w:hAnsi="Palatino Linotype" w:cs="Palatino Linotype"/>
          <w:i/>
          <w:sz w:val="22"/>
          <w:szCs w:val="22"/>
        </w:rPr>
        <w:t xml:space="preserve"> registrarse, </w:t>
      </w:r>
      <w:r w:rsidRPr="00A10456">
        <w:rPr>
          <w:rFonts w:ascii="Palatino Linotype" w:eastAsia="Palatino Linotype" w:hAnsi="Palatino Linotype" w:cs="Palatino Linotype"/>
          <w:i/>
          <w:sz w:val="22"/>
          <w:szCs w:val="22"/>
          <w:u w:val="single"/>
        </w:rPr>
        <w:t>clasificarse</w:t>
      </w:r>
      <w:r w:rsidRPr="00A10456">
        <w:rPr>
          <w:rFonts w:ascii="Palatino Linotype" w:eastAsia="Palatino Linotype" w:hAnsi="Palatino Linotype" w:cs="Palatino Linotype"/>
          <w:i/>
          <w:sz w:val="22"/>
          <w:szCs w:val="22"/>
        </w:rPr>
        <w:t xml:space="preserve"> y tratarse de conformidad con las disposiciones aplicables. No </w:t>
      </w:r>
      <w:proofErr w:type="gramStart"/>
      <w:r w:rsidRPr="00A10456">
        <w:rPr>
          <w:rFonts w:ascii="Palatino Linotype" w:eastAsia="Palatino Linotype" w:hAnsi="Palatino Linotype" w:cs="Palatino Linotype"/>
          <w:i/>
          <w:sz w:val="22"/>
          <w:szCs w:val="22"/>
        </w:rPr>
        <w:t>obstante</w:t>
      </w:r>
      <w:proofErr w:type="gramEnd"/>
      <w:r w:rsidRPr="00A10456">
        <w:rPr>
          <w:rFonts w:ascii="Palatino Linotype" w:eastAsia="Palatino Linotype" w:hAnsi="Palatino Linotype" w:cs="Palatino Linotype"/>
          <w:i/>
          <w:sz w:val="22"/>
          <w:szCs w:val="22"/>
        </w:rPr>
        <w:t xml:space="preserve"> lo anterior, esta información se considerará reservada en los casos siguientes:</w:t>
      </w:r>
    </w:p>
    <w:p w14:paraId="48508549"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p>
    <w:p w14:paraId="54161DC1"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III. La relativa a servidores públicos miembros de las instituciones de seguridad pública, </w:t>
      </w:r>
      <w:r w:rsidRPr="00A10456">
        <w:rPr>
          <w:rFonts w:ascii="Palatino Linotype" w:eastAsia="Palatino Linotype" w:hAnsi="Palatino Linotype" w:cs="Palatino Linotype"/>
          <w:i/>
          <w:sz w:val="22"/>
          <w:szCs w:val="22"/>
          <w:u w:val="single"/>
        </w:rPr>
        <w:t>cuya revelación pueda poner en riesgo su vida e integridad física con motivo de sus funciones</w:t>
      </w:r>
      <w:r w:rsidRPr="00A10456">
        <w:rPr>
          <w:rFonts w:ascii="Palatino Linotype" w:eastAsia="Palatino Linotype" w:hAnsi="Palatino Linotype" w:cs="Palatino Linotype"/>
          <w:i/>
          <w:sz w:val="22"/>
          <w:szCs w:val="22"/>
        </w:rPr>
        <w:t>;” (Sic)</w:t>
      </w:r>
    </w:p>
    <w:p w14:paraId="6F8065F4" w14:textId="77777777" w:rsidR="00815F8D" w:rsidRPr="00A10456" w:rsidRDefault="00815F8D">
      <w:pPr>
        <w:spacing w:line="360" w:lineRule="auto"/>
        <w:jc w:val="both"/>
        <w:rPr>
          <w:rFonts w:ascii="Palatino Linotype" w:eastAsia="Palatino Linotype" w:hAnsi="Palatino Linotype" w:cs="Palatino Linotype"/>
        </w:rPr>
      </w:pPr>
    </w:p>
    <w:p w14:paraId="2BD4309C"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Por tanto, el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deberá clasificar dicha información, justificando de manera fundada y motivada las circunstancias por las cuales se podría en riesgo la vida de los elementos de seguridad municipal en caso de que se dieran a conocer sus datos; además deberá cumplir con los requisitos para su clasificación en términos de la Ley </w:t>
      </w:r>
      <w:r w:rsidRPr="00A10456">
        <w:rPr>
          <w:rFonts w:ascii="Palatino Linotype" w:eastAsia="Palatino Linotype" w:hAnsi="Palatino Linotype" w:cs="Palatino Linotype"/>
        </w:rPr>
        <w:lastRenderedPageBreak/>
        <w:t>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659AAF7" w14:textId="77777777" w:rsidR="00815F8D" w:rsidRPr="00A10456" w:rsidRDefault="00815F8D">
      <w:pPr>
        <w:spacing w:line="360" w:lineRule="auto"/>
        <w:jc w:val="both"/>
        <w:rPr>
          <w:rFonts w:ascii="Palatino Linotype" w:eastAsia="Palatino Linotype" w:hAnsi="Palatino Linotype" w:cs="Palatino Linotype"/>
        </w:rPr>
      </w:pPr>
    </w:p>
    <w:p w14:paraId="3900747D"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181A012" w14:textId="77777777" w:rsidR="00815F8D" w:rsidRPr="00A10456" w:rsidRDefault="00815F8D">
      <w:pPr>
        <w:spacing w:line="360" w:lineRule="auto"/>
        <w:jc w:val="both"/>
        <w:rPr>
          <w:rFonts w:ascii="Palatino Linotype" w:eastAsia="Palatino Linotype" w:hAnsi="Palatino Linotype" w:cs="Palatino Linotype"/>
        </w:rPr>
      </w:pPr>
    </w:p>
    <w:p w14:paraId="44E6C960"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4C844DC" w14:textId="77777777" w:rsidR="00815F8D" w:rsidRPr="00A10456" w:rsidRDefault="00815F8D">
      <w:pPr>
        <w:spacing w:line="360" w:lineRule="auto"/>
        <w:jc w:val="both"/>
        <w:rPr>
          <w:rFonts w:ascii="Palatino Linotype" w:eastAsia="Palatino Linotype" w:hAnsi="Palatino Linotype" w:cs="Palatino Linotype"/>
        </w:rPr>
      </w:pPr>
    </w:p>
    <w:p w14:paraId="720695B8"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Al respecto, el Pleno del Órgano Garante Nacional ha sostenido el criterio número 006/2009 cuyo rubro y texto disponen a la literalidad lo siguiente: </w:t>
      </w:r>
    </w:p>
    <w:p w14:paraId="01AA9FF8" w14:textId="77777777" w:rsidR="00815F8D" w:rsidRPr="00A10456" w:rsidRDefault="00815F8D">
      <w:pPr>
        <w:spacing w:line="360" w:lineRule="auto"/>
        <w:jc w:val="both"/>
        <w:rPr>
          <w:rFonts w:ascii="Palatino Linotype" w:eastAsia="Palatino Linotype" w:hAnsi="Palatino Linotype" w:cs="Palatino Linotype"/>
        </w:rPr>
      </w:pPr>
    </w:p>
    <w:p w14:paraId="09C7A4C5" w14:textId="77777777" w:rsidR="00815F8D" w:rsidRPr="00A10456" w:rsidRDefault="00F25C9B">
      <w:pPr>
        <w:ind w:left="567" w:right="616"/>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w:t>
      </w:r>
      <w:r w:rsidRPr="00A10456">
        <w:rPr>
          <w:rFonts w:ascii="Palatino Linotype" w:eastAsia="Palatino Linotype" w:hAnsi="Palatino Linotype" w:cs="Palatino Linotype"/>
          <w:b/>
          <w:i/>
          <w:sz w:val="22"/>
          <w:szCs w:val="22"/>
        </w:rPr>
        <w:t xml:space="preserve">NOMBRES DE SERVIDORES PÚBLICOS DEDICADOS A ACTIVIDADES EN MATERIA DE SEGURIDAD, POR EXCEPCIÓN PUEDEN CONSIDERARSE INFORMACIÓN RESERVADA. </w:t>
      </w:r>
      <w:r w:rsidRPr="00A10456">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A10456">
        <w:rPr>
          <w:rFonts w:ascii="Palatino Linotype" w:eastAsia="Palatino Linotype" w:hAnsi="Palatino Linotype" w:cs="Palatino Linotype"/>
          <w:i/>
          <w:sz w:val="22"/>
          <w:szCs w:val="22"/>
        </w:rPr>
        <w:t>obstante</w:t>
      </w:r>
      <w:proofErr w:type="gramEnd"/>
      <w:r w:rsidRPr="00A10456">
        <w:rPr>
          <w:rFonts w:ascii="Palatino Linotype" w:eastAsia="Palatino Linotype" w:hAnsi="Palatino Linotype" w:cs="Palatino Linotype"/>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sidRPr="00A10456">
        <w:rPr>
          <w:rFonts w:ascii="Palatino Linotype" w:eastAsia="Palatino Linotype" w:hAnsi="Palatino Linotype" w:cs="Palatino Linotype"/>
          <w:i/>
          <w:sz w:val="20"/>
          <w:szCs w:val="20"/>
        </w:rPr>
        <w:t>.” (Sic)</w:t>
      </w:r>
    </w:p>
    <w:p w14:paraId="4B08CB78" w14:textId="77777777" w:rsidR="00815F8D" w:rsidRPr="00A10456" w:rsidRDefault="00815F8D">
      <w:pPr>
        <w:spacing w:line="360" w:lineRule="auto"/>
        <w:jc w:val="both"/>
        <w:rPr>
          <w:rFonts w:ascii="Palatino Linotype" w:eastAsia="Palatino Linotype" w:hAnsi="Palatino Linotype" w:cs="Palatino Linotype"/>
        </w:rPr>
      </w:pPr>
    </w:p>
    <w:p w14:paraId="2B72AA61"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Bajo este contexto, con relación al nombre de personal de seguridad para realizar la reserva de la información no basta con exponer alguna de las causales previstas en la Ley de Transparencia local, en sentido contrario dicha valoración debe de realizarse a través de la “</w:t>
      </w:r>
      <w:r w:rsidRPr="00A10456">
        <w:rPr>
          <w:rFonts w:ascii="Palatino Linotype" w:eastAsia="Palatino Linotype" w:hAnsi="Palatino Linotype" w:cs="Palatino Linotype"/>
          <w:b/>
          <w:i/>
        </w:rPr>
        <w:t>prueba de daño</w:t>
      </w:r>
      <w:r w:rsidRPr="00A10456">
        <w:rPr>
          <w:rFonts w:ascii="Palatino Linotype" w:eastAsia="Palatino Linotype" w:hAnsi="Palatino Linotype" w:cs="Palatino Linotype"/>
        </w:rPr>
        <w:t xml:space="preserve">” que consiste en exponer los argumentos y razones, basados en elementos objetivos o verificables, a partir de los cuales se derive que la </w:t>
      </w:r>
      <w:r w:rsidRPr="00A10456">
        <w:rPr>
          <w:rFonts w:ascii="Palatino Linotype" w:eastAsia="Palatino Linotype" w:hAnsi="Palatino Linotype" w:cs="Palatino Linotype"/>
        </w:rPr>
        <w:lastRenderedPageBreak/>
        <w:t xml:space="preserve">divulgación de información, en particular, puede afectar, poner en riesgo o dañar el interés protegido. </w:t>
      </w:r>
    </w:p>
    <w:p w14:paraId="68FF1617" w14:textId="77777777" w:rsidR="00815F8D" w:rsidRPr="00A10456" w:rsidRDefault="00815F8D">
      <w:pPr>
        <w:spacing w:line="360" w:lineRule="auto"/>
        <w:jc w:val="both"/>
        <w:rPr>
          <w:rFonts w:ascii="Palatino Linotype" w:eastAsia="Palatino Linotype" w:hAnsi="Palatino Linotype" w:cs="Palatino Linotype"/>
        </w:rPr>
      </w:pPr>
    </w:p>
    <w:p w14:paraId="1CFF5BCE"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Para aplicar la prueba de daño, se deberán de precisar las razones objetivas por las que la apertura genera una afectación, acreditando que:</w:t>
      </w:r>
    </w:p>
    <w:p w14:paraId="0B71B373" w14:textId="77777777" w:rsidR="00815F8D" w:rsidRPr="00A10456" w:rsidRDefault="00815F8D">
      <w:pPr>
        <w:spacing w:line="360" w:lineRule="auto"/>
        <w:jc w:val="both"/>
        <w:rPr>
          <w:rFonts w:ascii="Palatino Linotype" w:eastAsia="Palatino Linotype" w:hAnsi="Palatino Linotype" w:cs="Palatino Linotype"/>
        </w:rPr>
      </w:pPr>
    </w:p>
    <w:p w14:paraId="23FDEC71" w14:textId="77777777" w:rsidR="00815F8D" w:rsidRPr="00A10456" w:rsidRDefault="00F25C9B">
      <w:pPr>
        <w:spacing w:line="360" w:lineRule="auto"/>
        <w:ind w:left="993" w:hanging="426"/>
        <w:jc w:val="both"/>
        <w:rPr>
          <w:rFonts w:ascii="Palatino Linotype" w:eastAsia="Palatino Linotype" w:hAnsi="Palatino Linotype" w:cs="Palatino Linotype"/>
        </w:rPr>
      </w:pPr>
      <w:r w:rsidRPr="00A10456">
        <w:rPr>
          <w:rFonts w:ascii="Palatino Linotype" w:eastAsia="Palatino Linotype" w:hAnsi="Palatino Linotype" w:cs="Palatino Linotype"/>
        </w:rPr>
        <w:t></w:t>
      </w:r>
      <w:r w:rsidRPr="00A10456">
        <w:rPr>
          <w:rFonts w:ascii="Palatino Linotype" w:eastAsia="Palatino Linotype" w:hAnsi="Palatino Linotype" w:cs="Palatino Linotype"/>
        </w:rPr>
        <w:tab/>
        <w:t xml:space="preserve">La divulgación de la información representa un riesgo real, demostrable e identificable del perjuicio significativo al interés público o a la seguridad pública; </w:t>
      </w:r>
    </w:p>
    <w:p w14:paraId="5F645E3A" w14:textId="77777777" w:rsidR="00815F8D" w:rsidRPr="00A10456" w:rsidRDefault="00F25C9B">
      <w:pPr>
        <w:spacing w:line="360" w:lineRule="auto"/>
        <w:ind w:left="993" w:hanging="426"/>
        <w:jc w:val="both"/>
        <w:rPr>
          <w:rFonts w:ascii="Palatino Linotype" w:eastAsia="Palatino Linotype" w:hAnsi="Palatino Linotype" w:cs="Palatino Linotype"/>
        </w:rPr>
      </w:pPr>
      <w:r w:rsidRPr="00A10456">
        <w:rPr>
          <w:rFonts w:ascii="Palatino Linotype" w:eastAsia="Palatino Linotype" w:hAnsi="Palatino Linotype" w:cs="Palatino Linotype"/>
        </w:rPr>
        <w:t></w:t>
      </w:r>
      <w:r w:rsidRPr="00A10456">
        <w:rPr>
          <w:rFonts w:ascii="Palatino Linotype" w:eastAsia="Palatino Linotype" w:hAnsi="Palatino Linotype" w:cs="Palatino Linotype"/>
        </w:rPr>
        <w:tab/>
        <w:t xml:space="preserve">El riesgo de perjuicio que supondría la divulgación supera el interés público general de que se difunda; y </w:t>
      </w:r>
    </w:p>
    <w:p w14:paraId="287FB33C" w14:textId="77777777" w:rsidR="00815F8D" w:rsidRPr="00A10456" w:rsidRDefault="00F25C9B">
      <w:pPr>
        <w:spacing w:line="360" w:lineRule="auto"/>
        <w:ind w:left="993" w:hanging="426"/>
        <w:jc w:val="both"/>
        <w:rPr>
          <w:rFonts w:ascii="Palatino Linotype" w:eastAsia="Palatino Linotype" w:hAnsi="Palatino Linotype" w:cs="Palatino Linotype"/>
        </w:rPr>
      </w:pPr>
      <w:r w:rsidRPr="00A10456">
        <w:rPr>
          <w:rFonts w:ascii="Palatino Linotype" w:eastAsia="Palatino Linotype" w:hAnsi="Palatino Linotype" w:cs="Palatino Linotype"/>
        </w:rPr>
        <w:t></w:t>
      </w:r>
      <w:r w:rsidRPr="00A10456">
        <w:rPr>
          <w:rFonts w:ascii="Palatino Linotype" w:eastAsia="Palatino Linotype" w:hAnsi="Palatino Linotype" w:cs="Palatino Linotype"/>
        </w:rPr>
        <w:tab/>
        <w:t xml:space="preserve">La limitación se adecua al principio de proporcionalidad y representa el medio menos restrictivo disponible para evitar el perjuicio. </w:t>
      </w:r>
    </w:p>
    <w:p w14:paraId="460BC84F" w14:textId="77777777" w:rsidR="00815F8D" w:rsidRPr="00A10456" w:rsidRDefault="00815F8D">
      <w:pPr>
        <w:spacing w:line="360" w:lineRule="auto"/>
        <w:jc w:val="both"/>
        <w:rPr>
          <w:rFonts w:ascii="Palatino Linotype" w:eastAsia="Palatino Linotype" w:hAnsi="Palatino Linotype" w:cs="Palatino Linotype"/>
        </w:rPr>
      </w:pPr>
    </w:p>
    <w:p w14:paraId="4D104B6D"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Los acuerdos de reserva deberán de cumplir con los siguientes parámetros de forma y fondo: </w:t>
      </w:r>
    </w:p>
    <w:p w14:paraId="052A6E71"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t>1.</w:t>
      </w:r>
      <w:r w:rsidRPr="00A10456">
        <w:rPr>
          <w:rFonts w:ascii="Palatino Linotype" w:eastAsia="Palatino Linotype" w:hAnsi="Palatino Linotype" w:cs="Palatino Linotype"/>
        </w:rPr>
        <w:tab/>
        <w:t>Número de folio de la solicitud</w:t>
      </w:r>
    </w:p>
    <w:p w14:paraId="47DB905C"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t>2.</w:t>
      </w:r>
      <w:r w:rsidRPr="00A10456">
        <w:rPr>
          <w:rFonts w:ascii="Palatino Linotype" w:eastAsia="Palatino Linotype" w:hAnsi="Palatino Linotype" w:cs="Palatino Linotype"/>
        </w:rPr>
        <w:tab/>
        <w:t>Referencia de la información solicitada</w:t>
      </w:r>
    </w:p>
    <w:p w14:paraId="4D3DF2D0"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t>3.</w:t>
      </w:r>
      <w:r w:rsidRPr="00A10456">
        <w:rPr>
          <w:rFonts w:ascii="Palatino Linotype" w:eastAsia="Palatino Linotype" w:hAnsi="Palatino Linotype" w:cs="Palatino Linotype"/>
        </w:rPr>
        <w:tab/>
        <w:t xml:space="preserve">Causal aplicable del artículo 113 de la Ley General, vinculándola con el Lineamiento específico del presente ordenamiento y, cuando corresponda, el supuesto normativo que expresamente le otorga el carácter de información reservada. </w:t>
      </w:r>
    </w:p>
    <w:p w14:paraId="5C98E3C9"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4.</w:t>
      </w:r>
      <w:r w:rsidRPr="00A10456">
        <w:rPr>
          <w:rFonts w:ascii="Palatino Linotype" w:eastAsia="Palatino Linotype" w:hAnsi="Palatino Linotype" w:cs="Palatino Linotype"/>
        </w:rPr>
        <w:tab/>
        <w:t xml:space="preserve">Fundamento y Motivación Legal. </w:t>
      </w:r>
    </w:p>
    <w:p w14:paraId="70678822"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t>5.</w:t>
      </w:r>
      <w:r w:rsidRPr="00A10456">
        <w:rPr>
          <w:rFonts w:ascii="Palatino Linotype" w:eastAsia="Palatino Linotype" w:hAnsi="Palatino Linotype" w:cs="Palatino Linotype"/>
        </w:rPr>
        <w:tab/>
        <w:t xml:space="preserve">Conexión entre los fundamentos y motivos que dieron origen a la Reserva de la información. </w:t>
      </w:r>
    </w:p>
    <w:p w14:paraId="4EDE72B1" w14:textId="77777777" w:rsidR="00815F8D" w:rsidRPr="00A10456" w:rsidRDefault="00815F8D">
      <w:pPr>
        <w:spacing w:line="360" w:lineRule="auto"/>
        <w:jc w:val="both"/>
        <w:rPr>
          <w:rFonts w:ascii="Palatino Linotype" w:eastAsia="Palatino Linotype" w:hAnsi="Palatino Linotype" w:cs="Palatino Linotype"/>
          <w:b/>
        </w:rPr>
      </w:pPr>
    </w:p>
    <w:p w14:paraId="46E2D155" w14:textId="77777777" w:rsidR="00815F8D" w:rsidRPr="00A10456" w:rsidRDefault="00F25C9B">
      <w:pPr>
        <w:spacing w:line="360" w:lineRule="auto"/>
        <w:jc w:val="both"/>
        <w:rPr>
          <w:rFonts w:ascii="Palatino Linotype" w:eastAsia="Palatino Linotype" w:hAnsi="Palatino Linotype" w:cs="Palatino Linotype"/>
          <w:b/>
        </w:rPr>
      </w:pPr>
      <w:r w:rsidRPr="00A10456">
        <w:rPr>
          <w:rFonts w:ascii="Palatino Linotype" w:eastAsia="Palatino Linotype" w:hAnsi="Palatino Linotype" w:cs="Palatino Linotype"/>
          <w:b/>
        </w:rPr>
        <w:t>Prueba de Daño</w:t>
      </w:r>
    </w:p>
    <w:p w14:paraId="06858C57" w14:textId="77777777" w:rsidR="00815F8D" w:rsidRPr="00A10456" w:rsidRDefault="00815F8D">
      <w:pPr>
        <w:spacing w:line="360" w:lineRule="auto"/>
        <w:jc w:val="both"/>
        <w:rPr>
          <w:rFonts w:ascii="Palatino Linotype" w:eastAsia="Palatino Linotype" w:hAnsi="Palatino Linotype" w:cs="Palatino Linotype"/>
          <w:b/>
        </w:rPr>
      </w:pPr>
    </w:p>
    <w:p w14:paraId="4C658CA5"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t>6.</w:t>
      </w:r>
      <w:r w:rsidRPr="00A10456">
        <w:rPr>
          <w:rFonts w:ascii="Palatino Linotype" w:eastAsia="Palatino Linotype" w:hAnsi="Palatino Linotype" w:cs="Palatino Linotype"/>
        </w:rPr>
        <w:tab/>
        <w:t>Riesgo real, demostrable e identificable (Modo, Tiempo y lugar)</w:t>
      </w:r>
    </w:p>
    <w:p w14:paraId="6ED161C4"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t>7.</w:t>
      </w:r>
      <w:r w:rsidRPr="00A10456">
        <w:rPr>
          <w:rFonts w:ascii="Palatino Linotype" w:eastAsia="Palatino Linotype" w:hAnsi="Palatino Linotype" w:cs="Palatino Linotype"/>
        </w:rPr>
        <w:tab/>
        <w:t>Temporalidad de la Reserva de la Información</w:t>
      </w:r>
    </w:p>
    <w:p w14:paraId="71A09582" w14:textId="77777777" w:rsidR="00815F8D" w:rsidRPr="00A10456" w:rsidRDefault="00F25C9B">
      <w:pPr>
        <w:spacing w:line="360" w:lineRule="auto"/>
        <w:ind w:left="1134" w:hanging="567"/>
        <w:jc w:val="both"/>
        <w:rPr>
          <w:rFonts w:ascii="Palatino Linotype" w:eastAsia="Palatino Linotype" w:hAnsi="Palatino Linotype" w:cs="Palatino Linotype"/>
        </w:rPr>
      </w:pPr>
      <w:r w:rsidRPr="00A10456">
        <w:rPr>
          <w:rFonts w:ascii="Palatino Linotype" w:eastAsia="Palatino Linotype" w:hAnsi="Palatino Linotype" w:cs="Palatino Linotype"/>
        </w:rPr>
        <w:t>8.</w:t>
      </w:r>
      <w:r w:rsidRPr="00A10456">
        <w:rPr>
          <w:rFonts w:ascii="Palatino Linotype" w:eastAsia="Palatino Linotype" w:hAnsi="Palatino Linotype" w:cs="Palatino Linotype"/>
        </w:rPr>
        <w:tab/>
        <w:t>Autoridades competentes.</w:t>
      </w:r>
    </w:p>
    <w:p w14:paraId="38949F6D" w14:textId="77777777" w:rsidR="00815F8D" w:rsidRPr="00A10456" w:rsidRDefault="00815F8D">
      <w:pPr>
        <w:spacing w:line="360" w:lineRule="auto"/>
        <w:ind w:left="1134" w:hanging="567"/>
        <w:jc w:val="both"/>
        <w:rPr>
          <w:rFonts w:ascii="Palatino Linotype" w:eastAsia="Palatino Linotype" w:hAnsi="Palatino Linotype" w:cs="Palatino Linotype"/>
        </w:rPr>
      </w:pPr>
    </w:p>
    <w:p w14:paraId="38B4F489"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t xml:space="preserve">Así, con fundamento en lo previsto en los artículos 5, </w:t>
      </w:r>
      <w:proofErr w:type="gramStart"/>
      <w:r w:rsidRPr="00A10456">
        <w:rPr>
          <w:rFonts w:ascii="Palatino Linotype" w:eastAsia="Palatino Linotype" w:hAnsi="Palatino Linotype" w:cs="Palatino Linotype"/>
        </w:rPr>
        <w:t>párrafos trigésimo, trigésimo primero y trigésimo segundo</w:t>
      </w:r>
      <w:proofErr w:type="gramEnd"/>
      <w:r w:rsidRPr="00A10456">
        <w:rPr>
          <w:rFonts w:ascii="Palatino Linotype" w:eastAsia="Palatino Linotype" w:hAnsi="Palatino Linotype" w:cs="Palatino Linotype"/>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11600BE" w14:textId="77777777" w:rsidR="00815F8D" w:rsidRPr="00A10456" w:rsidRDefault="00815F8D">
      <w:pPr>
        <w:spacing w:line="360" w:lineRule="auto"/>
        <w:jc w:val="center"/>
        <w:rPr>
          <w:rFonts w:ascii="Palatino Linotype" w:eastAsia="Palatino Linotype" w:hAnsi="Palatino Linotype" w:cs="Palatino Linotype"/>
          <w:b/>
          <w:sz w:val="26"/>
          <w:szCs w:val="26"/>
        </w:rPr>
      </w:pPr>
    </w:p>
    <w:p w14:paraId="14272BC1" w14:textId="77777777" w:rsidR="00815F8D" w:rsidRPr="00A10456" w:rsidRDefault="00F25C9B">
      <w:pPr>
        <w:spacing w:line="360" w:lineRule="auto"/>
        <w:jc w:val="center"/>
        <w:rPr>
          <w:rFonts w:ascii="Palatino Linotype" w:eastAsia="Palatino Linotype" w:hAnsi="Palatino Linotype" w:cs="Palatino Linotype"/>
          <w:b/>
          <w:sz w:val="26"/>
          <w:szCs w:val="26"/>
        </w:rPr>
      </w:pPr>
      <w:r w:rsidRPr="00A10456">
        <w:rPr>
          <w:rFonts w:ascii="Palatino Linotype" w:eastAsia="Palatino Linotype" w:hAnsi="Palatino Linotype" w:cs="Palatino Linotype"/>
          <w:b/>
          <w:sz w:val="26"/>
          <w:szCs w:val="26"/>
        </w:rPr>
        <w:t>RESUELVE</w:t>
      </w:r>
    </w:p>
    <w:p w14:paraId="3DC63D77" w14:textId="77777777" w:rsidR="00815F8D" w:rsidRPr="00A10456" w:rsidRDefault="00815F8D">
      <w:pPr>
        <w:spacing w:line="360" w:lineRule="auto"/>
        <w:ind w:right="49"/>
        <w:jc w:val="both"/>
        <w:rPr>
          <w:rFonts w:ascii="Palatino Linotype" w:eastAsia="Palatino Linotype" w:hAnsi="Palatino Linotype" w:cs="Palatino Linotype"/>
          <w:b/>
        </w:rPr>
      </w:pPr>
    </w:p>
    <w:p w14:paraId="7930DA77" w14:textId="77777777" w:rsidR="00815F8D" w:rsidRPr="00A10456" w:rsidRDefault="00F25C9B">
      <w:pPr>
        <w:spacing w:line="360" w:lineRule="auto"/>
        <w:ind w:right="49"/>
        <w:jc w:val="both"/>
        <w:rPr>
          <w:rFonts w:ascii="Palatino Linotype" w:eastAsia="Palatino Linotype" w:hAnsi="Palatino Linotype" w:cs="Palatino Linotype"/>
        </w:rPr>
      </w:pPr>
      <w:r w:rsidRPr="00A10456">
        <w:rPr>
          <w:rFonts w:ascii="Palatino Linotype" w:eastAsia="Palatino Linotype" w:hAnsi="Palatino Linotype" w:cs="Palatino Linotype"/>
          <w:b/>
        </w:rPr>
        <w:t>PRIMERO.</w:t>
      </w:r>
      <w:r w:rsidRPr="00A10456">
        <w:rPr>
          <w:rFonts w:ascii="Palatino Linotype" w:eastAsia="Palatino Linotype" w:hAnsi="Palatino Linotype" w:cs="Palatino Linotype"/>
        </w:rPr>
        <w:t xml:space="preserve"> Resultan </w:t>
      </w:r>
      <w:r w:rsidRPr="00A10456">
        <w:rPr>
          <w:rFonts w:ascii="Palatino Linotype" w:eastAsia="Palatino Linotype" w:hAnsi="Palatino Linotype" w:cs="Palatino Linotype"/>
          <w:b/>
        </w:rPr>
        <w:t>fundadas</w:t>
      </w:r>
      <w:r w:rsidRPr="00A10456">
        <w:rPr>
          <w:rFonts w:ascii="Palatino Linotype" w:eastAsia="Palatino Linotype" w:hAnsi="Palatino Linotype" w:cs="Palatino Linotype"/>
        </w:rPr>
        <w:t xml:space="preserve"> las manifestaciones hechas valer por </w:t>
      </w:r>
      <w:r w:rsidRPr="00A10456">
        <w:rPr>
          <w:rFonts w:ascii="Palatino Linotype" w:eastAsia="Palatino Linotype" w:hAnsi="Palatino Linotype" w:cs="Palatino Linotype"/>
          <w:b/>
        </w:rPr>
        <w:t>EL RECURRENTE</w:t>
      </w:r>
      <w:r w:rsidRPr="00A10456">
        <w:rPr>
          <w:rFonts w:ascii="Palatino Linotype" w:eastAsia="Palatino Linotype" w:hAnsi="Palatino Linotype" w:cs="Palatino Linotype"/>
        </w:rPr>
        <w:t xml:space="preserve"> en el Recurso de Revisión </w:t>
      </w:r>
      <w:r w:rsidRPr="00A10456">
        <w:rPr>
          <w:rFonts w:ascii="Palatino Linotype" w:eastAsia="Palatino Linotype" w:hAnsi="Palatino Linotype" w:cs="Palatino Linotype"/>
          <w:b/>
        </w:rPr>
        <w:t>11937/INFOEM/IP/RR/2022</w:t>
      </w:r>
      <w:r w:rsidRPr="00A10456">
        <w:rPr>
          <w:rFonts w:ascii="Palatino Linotype" w:eastAsia="Palatino Linotype" w:hAnsi="Palatino Linotype" w:cs="Palatino Linotype"/>
        </w:rPr>
        <w:t xml:space="preserve">, en términos del considerando </w:t>
      </w:r>
      <w:r w:rsidRPr="00A10456">
        <w:rPr>
          <w:rFonts w:ascii="Palatino Linotype" w:eastAsia="Palatino Linotype" w:hAnsi="Palatino Linotype" w:cs="Palatino Linotype"/>
          <w:b/>
        </w:rPr>
        <w:t>QUINTO</w:t>
      </w:r>
      <w:r w:rsidRPr="00A10456">
        <w:rPr>
          <w:rFonts w:ascii="Palatino Linotype" w:eastAsia="Palatino Linotype" w:hAnsi="Palatino Linotype" w:cs="Palatino Linotype"/>
        </w:rPr>
        <w:t>.</w:t>
      </w:r>
    </w:p>
    <w:p w14:paraId="6239F812" w14:textId="77777777" w:rsidR="00815F8D" w:rsidRPr="00A10456" w:rsidRDefault="00815F8D">
      <w:pPr>
        <w:spacing w:line="360" w:lineRule="auto"/>
        <w:ind w:right="49"/>
        <w:jc w:val="both"/>
        <w:rPr>
          <w:rFonts w:ascii="Palatino Linotype" w:eastAsia="Palatino Linotype" w:hAnsi="Palatino Linotype" w:cs="Palatino Linotype"/>
        </w:rPr>
      </w:pPr>
    </w:p>
    <w:p w14:paraId="64EEB9A8"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b/>
        </w:rPr>
        <w:lastRenderedPageBreak/>
        <w:t xml:space="preserve">SEGUNDO. </w:t>
      </w:r>
      <w:r w:rsidRPr="00A10456">
        <w:rPr>
          <w:rFonts w:ascii="Palatino Linotype" w:eastAsia="Palatino Linotype" w:hAnsi="Palatino Linotype" w:cs="Palatino Linotype"/>
        </w:rPr>
        <w:t xml:space="preserve">Se </w:t>
      </w:r>
      <w:r w:rsidRPr="00A10456">
        <w:rPr>
          <w:rFonts w:ascii="Palatino Linotype" w:eastAsia="Palatino Linotype" w:hAnsi="Palatino Linotype" w:cs="Palatino Linotype"/>
          <w:b/>
        </w:rPr>
        <w:t>REVOCA</w:t>
      </w:r>
      <w:r w:rsidRPr="00A10456">
        <w:rPr>
          <w:rFonts w:ascii="Palatino Linotype" w:eastAsia="Palatino Linotype" w:hAnsi="Palatino Linotype" w:cs="Palatino Linotype"/>
        </w:rPr>
        <w:t xml:space="preserve"> la respuesta del </w:t>
      </w:r>
      <w:r w:rsidRPr="00A10456">
        <w:rPr>
          <w:rFonts w:ascii="Palatino Linotype" w:eastAsia="Palatino Linotype" w:hAnsi="Palatino Linotype" w:cs="Palatino Linotype"/>
          <w:b/>
        </w:rPr>
        <w:t xml:space="preserve">SUJETO OBLIGADO </w:t>
      </w:r>
      <w:r w:rsidRPr="00A10456">
        <w:rPr>
          <w:rFonts w:ascii="Palatino Linotype" w:eastAsia="Palatino Linotype" w:hAnsi="Palatino Linotype" w:cs="Palatino Linotype"/>
        </w:rPr>
        <w:t xml:space="preserve">a la solicitud de acceso a la información pública y se le </w:t>
      </w:r>
      <w:r w:rsidRPr="00A10456">
        <w:rPr>
          <w:rFonts w:ascii="Palatino Linotype" w:eastAsia="Palatino Linotype" w:hAnsi="Palatino Linotype" w:cs="Palatino Linotype"/>
          <w:b/>
        </w:rPr>
        <w:t>ORDENA al</w:t>
      </w:r>
      <w:r w:rsidRPr="00A10456">
        <w:rPr>
          <w:rFonts w:ascii="Palatino Linotype" w:eastAsia="Palatino Linotype" w:hAnsi="Palatino Linotype" w:cs="Palatino Linotype"/>
        </w:rPr>
        <w:t xml:space="preserve"> </w:t>
      </w:r>
      <w:r w:rsidRPr="00A10456">
        <w:rPr>
          <w:rFonts w:ascii="Palatino Linotype" w:eastAsia="Palatino Linotype" w:hAnsi="Palatino Linotype" w:cs="Palatino Linotype"/>
          <w:b/>
        </w:rPr>
        <w:t>SUJETO OBLIGADO</w:t>
      </w:r>
      <w:r w:rsidRPr="00A10456">
        <w:rPr>
          <w:rFonts w:ascii="Palatino Linotype" w:eastAsia="Palatino Linotype" w:hAnsi="Palatino Linotype" w:cs="Palatino Linotype"/>
        </w:rPr>
        <w:t xml:space="preserve"> que en términos del Considerando </w:t>
      </w:r>
      <w:r w:rsidRPr="00A10456">
        <w:rPr>
          <w:rFonts w:ascii="Palatino Linotype" w:eastAsia="Palatino Linotype" w:hAnsi="Palatino Linotype" w:cs="Palatino Linotype"/>
          <w:b/>
        </w:rPr>
        <w:t>Quinto</w:t>
      </w:r>
      <w:r w:rsidRPr="00A10456">
        <w:rPr>
          <w:rFonts w:ascii="Palatino Linotype" w:eastAsia="Palatino Linotype" w:hAnsi="Palatino Linotype" w:cs="Palatino Linotype"/>
        </w:rPr>
        <w:t xml:space="preserve"> haga entrega al </w:t>
      </w:r>
      <w:r w:rsidR="00A10456" w:rsidRPr="00A10456">
        <w:rPr>
          <w:rFonts w:ascii="Palatino Linotype" w:eastAsia="Palatino Linotype" w:hAnsi="Palatino Linotype" w:cs="Palatino Linotype"/>
          <w:b/>
        </w:rPr>
        <w:t>RECURRENTE</w:t>
      </w:r>
      <w:r w:rsidRPr="00A10456">
        <w:rPr>
          <w:rFonts w:ascii="Palatino Linotype" w:eastAsia="Palatino Linotype" w:hAnsi="Palatino Linotype" w:cs="Palatino Linotype"/>
        </w:rPr>
        <w:t xml:space="preserve"> mediante el Sistema de Acceso a la Información Mexiquense (SAIMEX), del soporte documental, de ser procedente en versión pública donde conste lo siguiente: </w:t>
      </w:r>
    </w:p>
    <w:p w14:paraId="35554A2F" w14:textId="77777777" w:rsidR="00815F8D" w:rsidRPr="00A10456" w:rsidRDefault="00F25C9B">
      <w:pPr>
        <w:ind w:left="850" w:right="332"/>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-Vigentes al veinticinco de mayo de dos mil veintidós: </w:t>
      </w:r>
    </w:p>
    <w:p w14:paraId="240BB2FC" w14:textId="77777777" w:rsidR="00815F8D" w:rsidRPr="00A10456" w:rsidRDefault="00F25C9B">
      <w:pPr>
        <w:numPr>
          <w:ilvl w:val="0"/>
          <w:numId w:val="1"/>
        </w:numPr>
        <w:ind w:left="850" w:right="332"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El salario de los policías </w:t>
      </w:r>
      <w:proofErr w:type="gramStart"/>
      <w:r w:rsidRPr="00A10456">
        <w:rPr>
          <w:rFonts w:ascii="Palatino Linotype" w:eastAsia="Palatino Linotype" w:hAnsi="Palatino Linotype" w:cs="Palatino Linotype"/>
          <w:i/>
          <w:sz w:val="22"/>
          <w:szCs w:val="22"/>
        </w:rPr>
        <w:t>de acuerdo a</w:t>
      </w:r>
      <w:proofErr w:type="gramEnd"/>
      <w:r w:rsidRPr="00A10456">
        <w:rPr>
          <w:rFonts w:ascii="Palatino Linotype" w:eastAsia="Palatino Linotype" w:hAnsi="Palatino Linotype" w:cs="Palatino Linotype"/>
          <w:i/>
          <w:sz w:val="22"/>
          <w:szCs w:val="22"/>
        </w:rPr>
        <w:t xml:space="preserve"> su categoría</w:t>
      </w:r>
    </w:p>
    <w:p w14:paraId="6FDE3314" w14:textId="77777777" w:rsidR="00815F8D" w:rsidRPr="00A10456" w:rsidRDefault="00F25C9B" w:rsidP="0032677B">
      <w:pPr>
        <w:numPr>
          <w:ilvl w:val="0"/>
          <w:numId w:val="1"/>
        </w:numPr>
        <w:ind w:left="850" w:right="332"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El programa municipal de seguridad pública 2022 </w:t>
      </w:r>
    </w:p>
    <w:p w14:paraId="3A5A75AF" w14:textId="77777777" w:rsidR="00815F8D" w:rsidRPr="00A10456" w:rsidRDefault="00F25C9B" w:rsidP="0032677B">
      <w:pPr>
        <w:numPr>
          <w:ilvl w:val="0"/>
          <w:numId w:val="1"/>
        </w:numPr>
        <w:ind w:left="850" w:right="332"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El programa municipal de prevención de la violencia y la delincuencia 2022</w:t>
      </w:r>
    </w:p>
    <w:p w14:paraId="3B61984F" w14:textId="77777777" w:rsidR="00815F8D" w:rsidRPr="00A10456" w:rsidRDefault="00F25C9B" w:rsidP="0032677B">
      <w:pPr>
        <w:numPr>
          <w:ilvl w:val="0"/>
          <w:numId w:val="1"/>
        </w:numPr>
        <w:ind w:left="850" w:right="332"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El nombre y </w:t>
      </w:r>
      <w:proofErr w:type="gramStart"/>
      <w:r w:rsidRPr="00A10456">
        <w:rPr>
          <w:rFonts w:ascii="Palatino Linotype" w:eastAsia="Palatino Linotype" w:hAnsi="Palatino Linotype" w:cs="Palatino Linotype"/>
          <w:i/>
          <w:sz w:val="22"/>
          <w:szCs w:val="22"/>
        </w:rPr>
        <w:t>cargo  de</w:t>
      </w:r>
      <w:proofErr w:type="gramEnd"/>
      <w:r w:rsidRPr="00A10456">
        <w:rPr>
          <w:rFonts w:ascii="Palatino Linotype" w:eastAsia="Palatino Linotype" w:hAnsi="Palatino Linotype" w:cs="Palatino Linotype"/>
          <w:i/>
          <w:sz w:val="22"/>
          <w:szCs w:val="22"/>
        </w:rPr>
        <w:t xml:space="preserve"> los integrantes de la Comisión de Honor y Justicia</w:t>
      </w:r>
    </w:p>
    <w:p w14:paraId="2A1CF175" w14:textId="77777777" w:rsidR="00815F8D" w:rsidRPr="00A10456" w:rsidRDefault="00F25C9B" w:rsidP="0032677B">
      <w:pPr>
        <w:numPr>
          <w:ilvl w:val="0"/>
          <w:numId w:val="1"/>
        </w:numPr>
        <w:ind w:left="850" w:right="332"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Número de policías de seguridad y de tránsito en activo </w:t>
      </w:r>
    </w:p>
    <w:p w14:paraId="3367D86A" w14:textId="77777777" w:rsidR="00815F8D" w:rsidRPr="00A10456" w:rsidRDefault="00F25C9B" w:rsidP="0032677B">
      <w:pPr>
        <w:numPr>
          <w:ilvl w:val="0"/>
          <w:numId w:val="1"/>
        </w:numPr>
        <w:ind w:left="850" w:right="332"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Número de patrullas en el parque vehicular, indicando cuales no circulan y el motivo. </w:t>
      </w:r>
    </w:p>
    <w:p w14:paraId="31E63C37" w14:textId="77777777" w:rsidR="00815F8D" w:rsidRPr="00A10456" w:rsidRDefault="00F25C9B" w:rsidP="0032677B">
      <w:pPr>
        <w:numPr>
          <w:ilvl w:val="0"/>
          <w:numId w:val="1"/>
        </w:numPr>
        <w:ind w:left="850" w:right="332"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Número de elementos que tienen iniciado procedimiento administrativo disciplinario ante dicha Comisión y el motivo del inicio de esos procedimientos</w:t>
      </w:r>
    </w:p>
    <w:p w14:paraId="68A0DE6C" w14:textId="77777777" w:rsidR="00815F8D" w:rsidRPr="00A10456" w:rsidRDefault="00F25C9B" w:rsidP="0032677B">
      <w:pPr>
        <w:widowControl w:val="0"/>
        <w:numPr>
          <w:ilvl w:val="0"/>
          <w:numId w:val="1"/>
        </w:numPr>
        <w:tabs>
          <w:tab w:val="left" w:pos="1701"/>
          <w:tab w:val="left" w:pos="1843"/>
        </w:tabs>
        <w:ind w:left="850"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El monto del presupuesto destinado para seguridad pública. </w:t>
      </w:r>
    </w:p>
    <w:p w14:paraId="7E81CA45" w14:textId="77777777" w:rsidR="00815F8D" w:rsidRPr="00A10456" w:rsidRDefault="00815F8D" w:rsidP="0032677B">
      <w:pPr>
        <w:widowControl w:val="0"/>
        <w:tabs>
          <w:tab w:val="left" w:pos="1701"/>
          <w:tab w:val="left" w:pos="1843"/>
        </w:tabs>
        <w:ind w:left="850"/>
        <w:jc w:val="both"/>
        <w:rPr>
          <w:rFonts w:ascii="Palatino Linotype" w:eastAsia="Palatino Linotype" w:hAnsi="Palatino Linotype" w:cs="Palatino Linotype"/>
          <w:i/>
          <w:sz w:val="22"/>
          <w:szCs w:val="22"/>
        </w:rPr>
      </w:pPr>
    </w:p>
    <w:p w14:paraId="5439AEA1" w14:textId="77777777" w:rsidR="00815F8D" w:rsidRPr="00A10456" w:rsidRDefault="00F25C9B" w:rsidP="0032677B">
      <w:pPr>
        <w:widowControl w:val="0"/>
        <w:tabs>
          <w:tab w:val="left" w:pos="1701"/>
          <w:tab w:val="left" w:pos="1843"/>
        </w:tabs>
        <w:ind w:left="85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-Del primero de enero de dos mil veintiuno al veinticinco de mayo de dos mil veintidós </w:t>
      </w:r>
    </w:p>
    <w:p w14:paraId="43ED302D" w14:textId="77777777" w:rsidR="00815F8D" w:rsidRPr="00A10456" w:rsidRDefault="00F25C9B" w:rsidP="0032677B">
      <w:pPr>
        <w:widowControl w:val="0"/>
        <w:numPr>
          <w:ilvl w:val="0"/>
          <w:numId w:val="1"/>
        </w:numPr>
        <w:tabs>
          <w:tab w:val="left" w:pos="1701"/>
          <w:tab w:val="left" w:pos="1843"/>
        </w:tabs>
        <w:ind w:left="850"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Actas de la Comisión de Honor y Justicia del primero de enero de dos mil veintiuno al veinticinco de mayo de dos mil veintidós.</w:t>
      </w:r>
    </w:p>
    <w:p w14:paraId="7D5E1871" w14:textId="77777777" w:rsidR="00815F8D" w:rsidRPr="00A10456" w:rsidRDefault="00F25C9B" w:rsidP="0032677B">
      <w:pPr>
        <w:widowControl w:val="0"/>
        <w:numPr>
          <w:ilvl w:val="0"/>
          <w:numId w:val="1"/>
        </w:numPr>
        <w:tabs>
          <w:tab w:val="left" w:pos="1701"/>
          <w:tab w:val="left" w:pos="1843"/>
        </w:tabs>
        <w:ind w:left="850" w:firstLine="0"/>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Expedientes generados con motivo de la no aprobación del examen de control y confianza. </w:t>
      </w:r>
    </w:p>
    <w:p w14:paraId="1DDCAF0C" w14:textId="77777777" w:rsidR="00815F8D" w:rsidRPr="00A10456" w:rsidRDefault="00815F8D">
      <w:pPr>
        <w:ind w:left="850" w:right="332"/>
        <w:jc w:val="both"/>
        <w:rPr>
          <w:rFonts w:ascii="Palatino Linotype" w:eastAsia="Palatino Linotype" w:hAnsi="Palatino Linotype" w:cs="Palatino Linotype"/>
          <w:i/>
          <w:sz w:val="22"/>
          <w:szCs w:val="22"/>
        </w:rPr>
      </w:pPr>
    </w:p>
    <w:p w14:paraId="36342CE9"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Debiendo notificar al </w:t>
      </w:r>
      <w:r w:rsidRPr="00A10456">
        <w:rPr>
          <w:rFonts w:ascii="Palatino Linotype" w:eastAsia="Palatino Linotype" w:hAnsi="Palatino Linotype" w:cs="Palatino Linotype"/>
          <w:b/>
          <w:i/>
          <w:sz w:val="22"/>
          <w:szCs w:val="22"/>
        </w:rPr>
        <w:t>RECURRENTE</w:t>
      </w:r>
      <w:r w:rsidRPr="00A10456">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0AABC06A"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7A0146D8"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t xml:space="preserve">Para la información que se ordena en los punto 6 y 7 con respecto al </w:t>
      </w:r>
      <w:proofErr w:type="gramStart"/>
      <w:r w:rsidRPr="00A10456">
        <w:rPr>
          <w:rFonts w:ascii="Palatino Linotype" w:eastAsia="Palatino Linotype" w:hAnsi="Palatino Linotype" w:cs="Palatino Linotype"/>
          <w:i/>
          <w:sz w:val="22"/>
          <w:szCs w:val="22"/>
        </w:rPr>
        <w:t>motivo,  en</w:t>
      </w:r>
      <w:proofErr w:type="gramEnd"/>
      <w:r w:rsidRPr="00A10456">
        <w:rPr>
          <w:rFonts w:ascii="Palatino Linotype" w:eastAsia="Palatino Linotype" w:hAnsi="Palatino Linotype" w:cs="Palatino Linotype"/>
          <w:i/>
          <w:sz w:val="22"/>
          <w:szCs w:val="22"/>
        </w:rPr>
        <w:t xml:space="preserve"> caso de encontrarse en la circunstancia fáctica en la que no se hubiera generado  la razón de la no circulación, bastará con el sólo pronunciamiento del </w:t>
      </w:r>
      <w:r w:rsidRPr="00A10456">
        <w:rPr>
          <w:rFonts w:ascii="Palatino Linotype" w:eastAsia="Palatino Linotype" w:hAnsi="Palatino Linotype" w:cs="Palatino Linotype"/>
          <w:b/>
          <w:i/>
          <w:sz w:val="22"/>
          <w:szCs w:val="22"/>
        </w:rPr>
        <w:t>SUJETO OBLIGADO</w:t>
      </w:r>
      <w:r w:rsidRPr="00A10456">
        <w:rPr>
          <w:rFonts w:ascii="Palatino Linotype" w:eastAsia="Palatino Linotype" w:hAnsi="Palatino Linotype" w:cs="Palatino Linotype"/>
          <w:i/>
          <w:sz w:val="22"/>
          <w:szCs w:val="22"/>
        </w:rPr>
        <w:t xml:space="preserve"> de manera fundada y motivada en términos del segundo párrafo del  artículo 19 de la Ley de Transparencia local, para dar por satisfecho el derecho de acceso a la información.</w:t>
      </w:r>
    </w:p>
    <w:p w14:paraId="1E07D058" w14:textId="77777777" w:rsidR="00815F8D" w:rsidRPr="00A10456" w:rsidRDefault="00815F8D">
      <w:pPr>
        <w:tabs>
          <w:tab w:val="left" w:pos="709"/>
        </w:tabs>
        <w:ind w:left="850" w:right="899"/>
        <w:jc w:val="both"/>
        <w:rPr>
          <w:rFonts w:ascii="Palatino Linotype" w:eastAsia="Palatino Linotype" w:hAnsi="Palatino Linotype" w:cs="Palatino Linotype"/>
          <w:i/>
          <w:sz w:val="22"/>
          <w:szCs w:val="22"/>
        </w:rPr>
      </w:pPr>
    </w:p>
    <w:p w14:paraId="2CD08DD2" w14:textId="77777777" w:rsidR="00815F8D" w:rsidRPr="00A10456" w:rsidRDefault="00F25C9B">
      <w:pPr>
        <w:tabs>
          <w:tab w:val="left" w:pos="709"/>
        </w:tabs>
        <w:ind w:left="850" w:right="899"/>
        <w:jc w:val="both"/>
        <w:rPr>
          <w:rFonts w:ascii="Palatino Linotype" w:eastAsia="Palatino Linotype" w:hAnsi="Palatino Linotype" w:cs="Palatino Linotype"/>
          <w:i/>
          <w:sz w:val="22"/>
          <w:szCs w:val="22"/>
        </w:rPr>
      </w:pPr>
      <w:r w:rsidRPr="00A10456">
        <w:rPr>
          <w:rFonts w:ascii="Palatino Linotype" w:eastAsia="Palatino Linotype" w:hAnsi="Palatino Linotype" w:cs="Palatino Linotype"/>
          <w:i/>
          <w:sz w:val="22"/>
          <w:szCs w:val="22"/>
        </w:rPr>
        <w:lastRenderedPageBreak/>
        <w:t xml:space="preserve">Para la información que se ordena en el punto 9 si a la fecha que se ordena la misma no ha causado estado, estos deberán clasificarse como reservados en términos del artículo 140 de la Ley de Transparencia y Acceso a la Información Pública del Estado de México y Municipios. </w:t>
      </w:r>
    </w:p>
    <w:p w14:paraId="57DD8090" w14:textId="77777777" w:rsidR="00815F8D" w:rsidRPr="00A10456" w:rsidRDefault="00815F8D">
      <w:pPr>
        <w:spacing w:line="360" w:lineRule="auto"/>
        <w:jc w:val="both"/>
        <w:rPr>
          <w:rFonts w:ascii="Palatino Linotype" w:eastAsia="Palatino Linotype" w:hAnsi="Palatino Linotype" w:cs="Palatino Linotype"/>
          <w:b/>
        </w:rPr>
      </w:pPr>
    </w:p>
    <w:p w14:paraId="6799F4E5"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b/>
        </w:rPr>
        <w:t>TERCERO.</w:t>
      </w:r>
      <w:r w:rsidRPr="00A10456">
        <w:rPr>
          <w:rFonts w:ascii="Palatino Linotype" w:eastAsia="Palatino Linotype" w:hAnsi="Palatino Linotype" w:cs="Palatino Linotype"/>
        </w:rPr>
        <w:t xml:space="preserve"> </w:t>
      </w:r>
      <w:r w:rsidRPr="00A10456">
        <w:rPr>
          <w:rFonts w:ascii="Palatino Linotype" w:eastAsia="Palatino Linotype" w:hAnsi="Palatino Linotype" w:cs="Palatino Linotype"/>
          <w:b/>
        </w:rPr>
        <w:t xml:space="preserve">NOTIFÍQUESE </w:t>
      </w:r>
      <w:r w:rsidRPr="00A10456">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854D434" w14:textId="77777777" w:rsidR="00815F8D" w:rsidRPr="00A10456" w:rsidRDefault="00815F8D">
      <w:pPr>
        <w:spacing w:line="360" w:lineRule="auto"/>
        <w:jc w:val="both"/>
        <w:rPr>
          <w:rFonts w:ascii="Palatino Linotype" w:eastAsia="Palatino Linotype" w:hAnsi="Palatino Linotype" w:cs="Palatino Linotype"/>
          <w:sz w:val="22"/>
          <w:szCs w:val="22"/>
        </w:rPr>
      </w:pPr>
    </w:p>
    <w:p w14:paraId="095D8EA9"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b/>
        </w:rPr>
        <w:t xml:space="preserve">CUARTO. </w:t>
      </w:r>
      <w:r w:rsidRPr="00A10456">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5368C9C" w14:textId="77777777" w:rsidR="00815F8D" w:rsidRPr="00A10456" w:rsidRDefault="00815F8D">
      <w:pPr>
        <w:spacing w:line="360" w:lineRule="auto"/>
        <w:jc w:val="both"/>
        <w:rPr>
          <w:rFonts w:ascii="Palatino Linotype" w:eastAsia="Palatino Linotype" w:hAnsi="Palatino Linotype" w:cs="Palatino Linotype"/>
          <w:sz w:val="22"/>
          <w:szCs w:val="22"/>
        </w:rPr>
      </w:pPr>
    </w:p>
    <w:p w14:paraId="78BD24BE"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b/>
        </w:rPr>
        <w:t>QUINTO.</w:t>
      </w:r>
      <w:r w:rsidRPr="00A10456">
        <w:rPr>
          <w:rFonts w:ascii="Palatino Linotype" w:eastAsia="Palatino Linotype" w:hAnsi="Palatino Linotype" w:cs="Palatino Linotype"/>
        </w:rPr>
        <w:t xml:space="preserve"> </w:t>
      </w:r>
      <w:r w:rsidRPr="00A10456">
        <w:rPr>
          <w:rFonts w:ascii="Palatino Linotype" w:eastAsia="Palatino Linotype" w:hAnsi="Palatino Linotype" w:cs="Palatino Linotype"/>
          <w:b/>
        </w:rPr>
        <w:t>NOTIFÍQUESE</w:t>
      </w:r>
      <w:r w:rsidRPr="00A10456">
        <w:rPr>
          <w:rFonts w:ascii="Palatino Linotype" w:eastAsia="Palatino Linotype" w:hAnsi="Palatino Linotype" w:cs="Palatino Linotype"/>
        </w:rPr>
        <w:t xml:space="preserve"> al </w:t>
      </w:r>
      <w:r w:rsidR="00A10456" w:rsidRPr="00A10456">
        <w:rPr>
          <w:rFonts w:ascii="Palatino Linotype" w:eastAsia="Palatino Linotype" w:hAnsi="Palatino Linotype" w:cs="Palatino Linotype"/>
          <w:b/>
        </w:rPr>
        <w:t>RECURRENTE</w:t>
      </w:r>
      <w:r w:rsidRPr="00A10456">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B3798B1" w14:textId="77777777" w:rsidR="00815F8D" w:rsidRPr="00A10456" w:rsidRDefault="00815F8D">
      <w:pPr>
        <w:spacing w:line="360" w:lineRule="auto"/>
        <w:jc w:val="both"/>
        <w:rPr>
          <w:rFonts w:ascii="Palatino Linotype" w:eastAsia="Palatino Linotype" w:hAnsi="Palatino Linotype" w:cs="Palatino Linotype"/>
        </w:rPr>
      </w:pPr>
    </w:p>
    <w:p w14:paraId="6EE987F4" w14:textId="77777777" w:rsidR="00815F8D" w:rsidRPr="00A10456" w:rsidRDefault="00F25C9B">
      <w:pPr>
        <w:spacing w:line="360" w:lineRule="auto"/>
        <w:jc w:val="both"/>
        <w:rPr>
          <w:rFonts w:ascii="Palatino Linotype" w:eastAsia="Palatino Linotype" w:hAnsi="Palatino Linotype" w:cs="Palatino Linotype"/>
        </w:rPr>
      </w:pPr>
      <w:r w:rsidRPr="00A10456">
        <w:rPr>
          <w:rFonts w:ascii="Palatino Linotype" w:eastAsia="Palatino Linotype" w:hAnsi="Palatino Linotype" w:cs="Palatino Linotype"/>
        </w:rPr>
        <w:lastRenderedPageBreak/>
        <w:t xml:space="preserve">ASÍ LO RESUELVE, POR MAYORÍA DE VOTOS EL PLENO DEL INSTITUTO DE TRANSPARENCIA, ACCESO A LA INFORMACIÓN PÚBLICA Y PROTECCIÓN DE DATOS PERSONALES DEL ESTADO DE MÉXICO Y MUNICIPIOS, CONFORMADO POR LOS COMISIONADOS JOSÉ MARTÍNEZ VILCHIS </w:t>
      </w:r>
      <w:r w:rsidRPr="00A10456">
        <w:rPr>
          <w:rFonts w:ascii="Palatino Linotype" w:hAnsi="Palatino Linotype" w:cs="Arial"/>
          <w:color w:val="000000" w:themeColor="text1"/>
        </w:rPr>
        <w:t>EMITIENDO VOTO PARTICULAR</w:t>
      </w:r>
      <w:r w:rsidRPr="00A10456">
        <w:rPr>
          <w:rFonts w:ascii="Palatino Linotype" w:eastAsia="Palatino Linotype" w:hAnsi="Palatino Linotype" w:cs="Palatino Linotype"/>
        </w:rPr>
        <w:t xml:space="preserve">; MARÍA DEL ROSARIO MEJÍA AYALA; SHARON CRISTINA MORALES MARTÍNEZ </w:t>
      </w:r>
      <w:r w:rsidRPr="00A10456">
        <w:rPr>
          <w:rFonts w:ascii="Palatino Linotype" w:hAnsi="Palatino Linotype" w:cs="Arial"/>
          <w:color w:val="000000" w:themeColor="text1"/>
        </w:rPr>
        <w:t>EMITIENDO VOTO DISIDENTE</w:t>
      </w:r>
      <w:r w:rsidRPr="00A10456">
        <w:rPr>
          <w:rFonts w:ascii="Palatino Linotype" w:eastAsia="Palatino Linotype" w:hAnsi="Palatino Linotype" w:cs="Palatino Linotype"/>
        </w:rPr>
        <w:t xml:space="preserve">; LUIS GUSTAVO PARRA NORIEGA </w:t>
      </w:r>
      <w:r w:rsidRPr="00A10456">
        <w:rPr>
          <w:rFonts w:ascii="Palatino Linotype" w:hAnsi="Palatino Linotype" w:cs="Arial"/>
          <w:color w:val="000000" w:themeColor="text1"/>
        </w:rPr>
        <w:t>EMITIENDO VOTO PARTICULAR</w:t>
      </w:r>
      <w:r w:rsidRPr="00A10456">
        <w:rPr>
          <w:rFonts w:ascii="Palatino Linotype" w:eastAsia="Palatino Linotype" w:hAnsi="Palatino Linotype" w:cs="Palatino Linotype"/>
        </w:rPr>
        <w:t xml:space="preserve"> Y GUADALUPE RAMÍREZ PEÑA; EN LA CUADRAGÉSIMA CUARTA SESIÓN ORDINARIA CELEBRADA EL SIETE DE DICIEMBRE DE DOS MIL VEINTIDÓS, ANTE EL SECRETARIO TÉCNICO DEL PLENO, ALEXIS TAPIA RAMÍREZ.</w:t>
      </w:r>
    </w:p>
    <w:p w14:paraId="10118AB0" w14:textId="77777777" w:rsidR="00815F8D" w:rsidRDefault="00F25C9B">
      <w:pPr>
        <w:spacing w:line="360" w:lineRule="auto"/>
        <w:jc w:val="both"/>
        <w:rPr>
          <w:rFonts w:ascii="Palatino Linotype" w:eastAsia="Palatino Linotype" w:hAnsi="Palatino Linotype" w:cs="Palatino Linotype"/>
          <w:sz w:val="14"/>
          <w:szCs w:val="14"/>
        </w:rPr>
      </w:pPr>
      <w:r w:rsidRPr="00A10456">
        <w:rPr>
          <w:rFonts w:ascii="Palatino Linotype" w:eastAsia="Palatino Linotype" w:hAnsi="Palatino Linotype" w:cs="Palatino Linotype"/>
          <w:sz w:val="14"/>
          <w:szCs w:val="14"/>
        </w:rPr>
        <w:t>SCMM/BLA/DEMF/PMRE</w:t>
      </w:r>
    </w:p>
    <w:p w14:paraId="0C023CE9" w14:textId="77777777" w:rsidR="00815F8D" w:rsidRDefault="00F25C9B">
      <w:pPr>
        <w:rPr>
          <w:rFonts w:ascii="Palatino Linotype" w:eastAsia="Palatino Linotype" w:hAnsi="Palatino Linotype" w:cs="Palatino Linotype"/>
        </w:rPr>
      </w:pPr>
      <w:r>
        <w:br w:type="page"/>
      </w:r>
    </w:p>
    <w:p w14:paraId="4CE7683F" w14:textId="77777777" w:rsidR="00815F8D" w:rsidRDefault="00815F8D">
      <w:pPr>
        <w:spacing w:line="360" w:lineRule="auto"/>
        <w:jc w:val="both"/>
        <w:rPr>
          <w:rFonts w:ascii="Palatino Linotype" w:eastAsia="Palatino Linotype" w:hAnsi="Palatino Linotype" w:cs="Palatino Linotype"/>
        </w:rPr>
      </w:pPr>
    </w:p>
    <w:p w14:paraId="64971C2A" w14:textId="77777777" w:rsidR="00815F8D" w:rsidRDefault="00815F8D">
      <w:pPr>
        <w:spacing w:line="360" w:lineRule="auto"/>
        <w:jc w:val="both"/>
        <w:rPr>
          <w:rFonts w:ascii="Palatino Linotype" w:eastAsia="Palatino Linotype" w:hAnsi="Palatino Linotype" w:cs="Palatino Linotype"/>
        </w:rPr>
      </w:pPr>
    </w:p>
    <w:p w14:paraId="14206AF3" w14:textId="77777777" w:rsidR="00815F8D" w:rsidRDefault="00815F8D">
      <w:pPr>
        <w:spacing w:line="360" w:lineRule="auto"/>
        <w:jc w:val="both"/>
        <w:rPr>
          <w:rFonts w:ascii="Palatino Linotype" w:eastAsia="Palatino Linotype" w:hAnsi="Palatino Linotype" w:cs="Palatino Linotype"/>
        </w:rPr>
      </w:pPr>
    </w:p>
    <w:p w14:paraId="3AB3B123" w14:textId="77777777" w:rsidR="00815F8D" w:rsidRDefault="00815F8D">
      <w:pPr>
        <w:spacing w:line="360" w:lineRule="auto"/>
        <w:jc w:val="both"/>
        <w:rPr>
          <w:rFonts w:ascii="Palatino Linotype" w:eastAsia="Palatino Linotype" w:hAnsi="Palatino Linotype" w:cs="Palatino Linotype"/>
        </w:rPr>
      </w:pPr>
    </w:p>
    <w:p w14:paraId="1A9F62C9" w14:textId="77777777" w:rsidR="00815F8D" w:rsidRDefault="00815F8D">
      <w:pPr>
        <w:spacing w:line="360" w:lineRule="auto"/>
        <w:jc w:val="both"/>
        <w:rPr>
          <w:rFonts w:ascii="Palatino Linotype" w:eastAsia="Palatino Linotype" w:hAnsi="Palatino Linotype" w:cs="Palatino Linotype"/>
        </w:rPr>
      </w:pPr>
    </w:p>
    <w:p w14:paraId="6F9D6F0A" w14:textId="77777777" w:rsidR="00815F8D" w:rsidRDefault="00815F8D">
      <w:pPr>
        <w:spacing w:line="360" w:lineRule="auto"/>
        <w:jc w:val="both"/>
        <w:rPr>
          <w:rFonts w:ascii="Palatino Linotype" w:eastAsia="Palatino Linotype" w:hAnsi="Palatino Linotype" w:cs="Palatino Linotype"/>
        </w:rPr>
      </w:pPr>
    </w:p>
    <w:p w14:paraId="05B9D16A" w14:textId="77777777" w:rsidR="00815F8D" w:rsidRDefault="00815F8D">
      <w:pPr>
        <w:spacing w:line="360" w:lineRule="auto"/>
        <w:jc w:val="both"/>
        <w:rPr>
          <w:rFonts w:ascii="Palatino Linotype" w:eastAsia="Palatino Linotype" w:hAnsi="Palatino Linotype" w:cs="Palatino Linotype"/>
        </w:rPr>
      </w:pPr>
    </w:p>
    <w:p w14:paraId="44A38FDF" w14:textId="77777777" w:rsidR="00815F8D" w:rsidRDefault="00815F8D">
      <w:pPr>
        <w:spacing w:line="360" w:lineRule="auto"/>
        <w:jc w:val="both"/>
        <w:rPr>
          <w:rFonts w:ascii="Palatino Linotype" w:eastAsia="Palatino Linotype" w:hAnsi="Palatino Linotype" w:cs="Palatino Linotype"/>
        </w:rPr>
      </w:pPr>
    </w:p>
    <w:p w14:paraId="51D338F9" w14:textId="77777777" w:rsidR="00815F8D" w:rsidRDefault="00815F8D">
      <w:pPr>
        <w:spacing w:line="360" w:lineRule="auto"/>
        <w:jc w:val="both"/>
        <w:rPr>
          <w:rFonts w:ascii="Palatino Linotype" w:eastAsia="Palatino Linotype" w:hAnsi="Palatino Linotype" w:cs="Palatino Linotype"/>
        </w:rPr>
      </w:pPr>
      <w:bookmarkStart w:id="5" w:name="_heading=h.30j0zll" w:colFirst="0" w:colLast="0"/>
      <w:bookmarkEnd w:id="5"/>
    </w:p>
    <w:p w14:paraId="2F3D95EE" w14:textId="77777777" w:rsidR="00815F8D" w:rsidRDefault="00815F8D">
      <w:pPr>
        <w:spacing w:line="360" w:lineRule="auto"/>
        <w:jc w:val="both"/>
        <w:rPr>
          <w:rFonts w:ascii="Palatino Linotype" w:eastAsia="Palatino Linotype" w:hAnsi="Palatino Linotype" w:cs="Palatino Linotype"/>
        </w:rPr>
      </w:pPr>
    </w:p>
    <w:p w14:paraId="68AD8D65" w14:textId="77777777" w:rsidR="00815F8D" w:rsidRDefault="00815F8D">
      <w:pPr>
        <w:spacing w:line="360" w:lineRule="auto"/>
        <w:jc w:val="both"/>
        <w:rPr>
          <w:rFonts w:ascii="Palatino Linotype" w:eastAsia="Palatino Linotype" w:hAnsi="Palatino Linotype" w:cs="Palatino Linotype"/>
        </w:rPr>
      </w:pPr>
    </w:p>
    <w:p w14:paraId="651655E6" w14:textId="77777777" w:rsidR="00815F8D" w:rsidRDefault="00815F8D">
      <w:pPr>
        <w:spacing w:line="360" w:lineRule="auto"/>
        <w:jc w:val="both"/>
        <w:rPr>
          <w:rFonts w:ascii="Palatino Linotype" w:eastAsia="Palatino Linotype" w:hAnsi="Palatino Linotype" w:cs="Palatino Linotype"/>
        </w:rPr>
      </w:pPr>
    </w:p>
    <w:p w14:paraId="24EA3C36" w14:textId="77777777" w:rsidR="00815F8D" w:rsidRDefault="00815F8D">
      <w:pPr>
        <w:spacing w:line="360" w:lineRule="auto"/>
        <w:jc w:val="both"/>
        <w:rPr>
          <w:rFonts w:ascii="Palatino Linotype" w:eastAsia="Palatino Linotype" w:hAnsi="Palatino Linotype" w:cs="Palatino Linotype"/>
        </w:rPr>
      </w:pPr>
    </w:p>
    <w:p w14:paraId="4914AD6C" w14:textId="77777777" w:rsidR="00815F8D" w:rsidRDefault="00815F8D">
      <w:pPr>
        <w:spacing w:line="360" w:lineRule="auto"/>
        <w:jc w:val="both"/>
        <w:rPr>
          <w:rFonts w:ascii="Palatino Linotype" w:eastAsia="Palatino Linotype" w:hAnsi="Palatino Linotype" w:cs="Palatino Linotype"/>
        </w:rPr>
      </w:pPr>
    </w:p>
    <w:p w14:paraId="394DDEDA" w14:textId="77777777" w:rsidR="00815F8D" w:rsidRDefault="00815F8D">
      <w:pPr>
        <w:spacing w:line="360" w:lineRule="auto"/>
        <w:jc w:val="both"/>
        <w:rPr>
          <w:rFonts w:ascii="Palatino Linotype" w:eastAsia="Palatino Linotype" w:hAnsi="Palatino Linotype" w:cs="Palatino Linotype"/>
        </w:rPr>
      </w:pPr>
    </w:p>
    <w:p w14:paraId="7B6B2A22" w14:textId="77777777" w:rsidR="00815F8D" w:rsidRDefault="00815F8D">
      <w:pPr>
        <w:spacing w:line="360" w:lineRule="auto"/>
        <w:jc w:val="both"/>
        <w:rPr>
          <w:rFonts w:ascii="Palatino Linotype" w:eastAsia="Palatino Linotype" w:hAnsi="Palatino Linotype" w:cs="Palatino Linotype"/>
        </w:rPr>
      </w:pPr>
    </w:p>
    <w:p w14:paraId="593C4B7E" w14:textId="77777777" w:rsidR="00815F8D" w:rsidRDefault="00815F8D">
      <w:pPr>
        <w:spacing w:line="360" w:lineRule="auto"/>
        <w:jc w:val="both"/>
        <w:rPr>
          <w:rFonts w:ascii="Palatino Linotype" w:eastAsia="Palatino Linotype" w:hAnsi="Palatino Linotype" w:cs="Palatino Linotype"/>
        </w:rPr>
      </w:pPr>
    </w:p>
    <w:p w14:paraId="79290566" w14:textId="77777777" w:rsidR="00815F8D" w:rsidRDefault="00815F8D">
      <w:pPr>
        <w:spacing w:line="360" w:lineRule="auto"/>
        <w:jc w:val="both"/>
        <w:rPr>
          <w:rFonts w:ascii="Palatino Linotype" w:eastAsia="Palatino Linotype" w:hAnsi="Palatino Linotype" w:cs="Palatino Linotype"/>
        </w:rPr>
      </w:pPr>
      <w:bookmarkStart w:id="6" w:name="_heading=h.gjdgxs" w:colFirst="0" w:colLast="0"/>
      <w:bookmarkEnd w:id="6"/>
    </w:p>
    <w:sectPr w:rsidR="00815F8D">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818DC" w14:textId="77777777" w:rsidR="00D64316" w:rsidRDefault="00D64316">
      <w:r>
        <w:separator/>
      </w:r>
    </w:p>
  </w:endnote>
  <w:endnote w:type="continuationSeparator" w:id="0">
    <w:p w14:paraId="1014B395" w14:textId="77777777" w:rsidR="00D64316" w:rsidRDefault="00D64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altName w:val="Times New Roman"/>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F566" w14:textId="77777777" w:rsidR="00815F8D" w:rsidRDefault="00F25C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2677B">
      <w:rPr>
        <w:rFonts w:ascii="Palatino Linotype" w:eastAsia="Palatino Linotype" w:hAnsi="Palatino Linotype" w:cs="Palatino Linotype"/>
        <w:noProof/>
        <w:color w:val="000000"/>
        <w:sz w:val="22"/>
        <w:szCs w:val="22"/>
      </w:rPr>
      <w:t>52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2677B">
      <w:rPr>
        <w:rFonts w:ascii="Palatino Linotype" w:eastAsia="Palatino Linotype" w:hAnsi="Palatino Linotype" w:cs="Palatino Linotype"/>
        <w:noProof/>
        <w:color w:val="000000"/>
        <w:sz w:val="22"/>
        <w:szCs w:val="22"/>
      </w:rPr>
      <w:t>65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627E" w14:textId="77777777" w:rsidR="00815F8D" w:rsidRDefault="00F25C9B">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2677B">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2677B">
      <w:rPr>
        <w:rFonts w:ascii="Palatino Linotype" w:eastAsia="Palatino Linotype" w:hAnsi="Palatino Linotype" w:cs="Palatino Linotype"/>
        <w:noProof/>
        <w:color w:val="000000"/>
        <w:sz w:val="22"/>
        <w:szCs w:val="22"/>
      </w:rPr>
      <w:t>65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3367A" w14:textId="77777777" w:rsidR="00D64316" w:rsidRDefault="00D64316">
      <w:r>
        <w:separator/>
      </w:r>
    </w:p>
  </w:footnote>
  <w:footnote w:type="continuationSeparator" w:id="0">
    <w:p w14:paraId="1D077C76" w14:textId="77777777" w:rsidR="00D64316" w:rsidRDefault="00D64316">
      <w:r>
        <w:continuationSeparator/>
      </w:r>
    </w:p>
  </w:footnote>
  <w:footnote w:id="1">
    <w:p w14:paraId="2ECEA187" w14:textId="77777777" w:rsidR="00815F8D" w:rsidRDefault="00F25C9B">
      <w:pPr>
        <w:jc w:val="both"/>
        <w:rPr>
          <w:rFonts w:ascii="Palatino Linotype" w:eastAsia="Palatino Linotype" w:hAnsi="Palatino Linotype" w:cs="Palatino Linotype"/>
          <w:i/>
          <w:sz w:val="16"/>
          <w:szCs w:val="16"/>
        </w:rPr>
      </w:pPr>
      <w:r>
        <w:rPr>
          <w:vertAlign w:val="superscript"/>
        </w:rPr>
        <w:footnoteRef/>
      </w:r>
      <w:r>
        <w:rPr>
          <w:rFonts w:ascii="Calibri" w:eastAsia="Calibri" w:hAnsi="Calibri" w:cs="Calibri"/>
          <w:sz w:val="20"/>
          <w:szCs w:val="20"/>
        </w:rPr>
        <w:t xml:space="preserve"> </w:t>
      </w:r>
      <w:r>
        <w:rPr>
          <w:rFonts w:ascii="Palatino Linotype" w:eastAsia="Palatino Linotype" w:hAnsi="Palatino Linotype" w:cs="Palatino Linotype"/>
          <w:i/>
          <w:sz w:val="16"/>
          <w:szCs w:val="16"/>
        </w:rPr>
        <w:t xml:space="preserve">Artículo 129. En la aplicación de la prueba de daño, el sujeto obligado deberá precisar las razones objetivas por las que la apertura de la información generaría una afectación, justificando que:  </w:t>
      </w:r>
    </w:p>
    <w:p w14:paraId="48179088" w14:textId="77777777" w:rsidR="00815F8D" w:rsidRDefault="00F25C9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I. La divulgación de la información representa un riesgo real, demostrable e identificable del perjuicio significativo al interés público o a la seguridad pública;  </w:t>
      </w:r>
    </w:p>
    <w:p w14:paraId="4B109F1A" w14:textId="77777777" w:rsidR="00815F8D" w:rsidRDefault="00F25C9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 xml:space="preserve">II. El riesgo de perjuicio que supondría la divulgación supera el interés público general de que se difunda; y  </w:t>
      </w:r>
    </w:p>
    <w:p w14:paraId="57B47F49" w14:textId="77777777" w:rsidR="00815F8D" w:rsidRDefault="00F25C9B">
      <w:pPr>
        <w:jc w:val="both"/>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III. La limitación se adecua al principio de proporcionalidad y representa el medio menos restrictivo disponible representa el medio menos restrictivo disponible para evitar el perjuicio.</w:t>
      </w:r>
      <w:r>
        <w:rPr>
          <w:rFonts w:ascii="Palatino Linotype" w:eastAsia="Palatino Linotype" w:hAnsi="Palatino Linotype" w:cs="Palatino Linotype"/>
          <w:sz w:val="16"/>
          <w:szCs w:val="16"/>
        </w:rPr>
        <w:t xml:space="preserve">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F035" w14:textId="77777777" w:rsidR="00815F8D" w:rsidRDefault="007023C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09E8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2653" w14:textId="77777777" w:rsidR="00815F8D" w:rsidRDefault="007023C4">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5CCDD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99.7pt;margin-top:-120.15pt;width:540pt;height:10in;z-index:-251659776;mso-position-horizontal:absolute;mso-position-horizontal-relative:margin;mso-position-vertical:absolute;mso-position-vertical-relative:margin">
          <v:imagedata r:id="rId1" o:title="image10"/>
          <w10:wrap anchorx="margin" anchory="margin"/>
        </v:shape>
      </w:pict>
    </w:r>
  </w:p>
  <w:tbl>
    <w:tblPr>
      <w:tblStyle w:val="afffffffc"/>
      <w:tblW w:w="9534" w:type="dxa"/>
      <w:tblInd w:w="-257" w:type="dxa"/>
      <w:tblLayout w:type="fixed"/>
      <w:tblLook w:val="0400" w:firstRow="0" w:lastRow="0" w:firstColumn="0" w:lastColumn="0" w:noHBand="0" w:noVBand="1"/>
    </w:tblPr>
    <w:tblGrid>
      <w:gridCol w:w="3261"/>
      <w:gridCol w:w="2551"/>
      <w:gridCol w:w="3722"/>
    </w:tblGrid>
    <w:tr w:rsidR="00815F8D" w14:paraId="11F8E796" w14:textId="77777777">
      <w:tc>
        <w:tcPr>
          <w:tcW w:w="3261" w:type="dxa"/>
          <w:vMerge w:val="restart"/>
        </w:tcPr>
        <w:p w14:paraId="105E0DA8"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5F9FBBAB" wp14:editId="0DEF8390">
                <wp:extent cx="1692162" cy="852673"/>
                <wp:effectExtent l="0" t="0" r="0" b="0"/>
                <wp:docPr id="3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033E8ECC"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11F8D465" w14:textId="77777777" w:rsidR="00815F8D" w:rsidRDefault="00F25C9B">
          <w:pPr>
            <w:jc w:val="both"/>
            <w:rPr>
              <w:rFonts w:ascii="Palatino Linotype" w:eastAsia="Palatino Linotype" w:hAnsi="Palatino Linotype" w:cs="Palatino Linotype"/>
              <w:b/>
            </w:rPr>
          </w:pPr>
          <w:r>
            <w:rPr>
              <w:rFonts w:ascii="Palatino Linotype" w:eastAsia="Palatino Linotype" w:hAnsi="Palatino Linotype" w:cs="Palatino Linotype"/>
              <w:b/>
            </w:rPr>
            <w:t>11937/INFOEM/IP/RR/2022</w:t>
          </w:r>
        </w:p>
      </w:tc>
    </w:tr>
    <w:tr w:rsidR="00815F8D" w14:paraId="66207E1A" w14:textId="77777777">
      <w:tc>
        <w:tcPr>
          <w:tcW w:w="3261" w:type="dxa"/>
          <w:vMerge/>
        </w:tcPr>
        <w:p w14:paraId="14D91526" w14:textId="77777777" w:rsidR="00815F8D" w:rsidRDefault="00815F8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670D1A5C"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7CB9272A" w14:textId="77777777" w:rsidR="00815F8D" w:rsidRDefault="00F25C9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Lerma </w:t>
          </w:r>
        </w:p>
      </w:tc>
    </w:tr>
    <w:tr w:rsidR="00815F8D" w14:paraId="51A09EE0" w14:textId="77777777">
      <w:trPr>
        <w:trHeight w:val="790"/>
      </w:trPr>
      <w:tc>
        <w:tcPr>
          <w:tcW w:w="3261" w:type="dxa"/>
          <w:vMerge/>
        </w:tcPr>
        <w:p w14:paraId="0792916D" w14:textId="77777777" w:rsidR="00815F8D" w:rsidRDefault="00815F8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CE1BE3E"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1B4C1A7B" w14:textId="77777777" w:rsidR="00815F8D" w:rsidRDefault="00F25C9B">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19FBC813" w14:textId="77777777" w:rsidR="00815F8D" w:rsidRDefault="00815F8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7A73" w14:textId="77777777" w:rsidR="00815F8D" w:rsidRDefault="007023C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3896E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1" o:title="image10"/>
          <w10:wrap anchorx="margin" anchory="margin"/>
        </v:shape>
      </w:pict>
    </w:r>
  </w:p>
  <w:tbl>
    <w:tblPr>
      <w:tblStyle w:val="afffffffd"/>
      <w:tblW w:w="9900" w:type="dxa"/>
      <w:tblInd w:w="-948" w:type="dxa"/>
      <w:tblLayout w:type="fixed"/>
      <w:tblLook w:val="0400" w:firstRow="0" w:lastRow="0" w:firstColumn="0" w:lastColumn="0" w:noHBand="0" w:noVBand="1"/>
    </w:tblPr>
    <w:tblGrid>
      <w:gridCol w:w="3805"/>
      <w:gridCol w:w="3000"/>
      <w:gridCol w:w="3095"/>
    </w:tblGrid>
    <w:tr w:rsidR="00815F8D" w14:paraId="4F2F7F96" w14:textId="77777777">
      <w:tc>
        <w:tcPr>
          <w:tcW w:w="3805" w:type="dxa"/>
          <w:vMerge w:val="restart"/>
          <w:shd w:val="clear" w:color="auto" w:fill="auto"/>
        </w:tcPr>
        <w:p w14:paraId="710D903A" w14:textId="77777777" w:rsidR="00815F8D" w:rsidRDefault="00F25C9B">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107A6B36" wp14:editId="436FB063">
                <wp:extent cx="1692162" cy="852673"/>
                <wp:effectExtent l="0" t="0" r="0" b="0"/>
                <wp:docPr id="3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3062E3FA"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5CD0BEAB" w14:textId="77777777" w:rsidR="00815F8D" w:rsidRDefault="00F25C9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11937/INFOEM/IP/RR/2022 </w:t>
          </w:r>
        </w:p>
      </w:tc>
    </w:tr>
    <w:tr w:rsidR="00815F8D" w14:paraId="4B338BB0" w14:textId="77777777">
      <w:tc>
        <w:tcPr>
          <w:tcW w:w="3805" w:type="dxa"/>
          <w:vMerge/>
          <w:shd w:val="clear" w:color="auto" w:fill="auto"/>
        </w:tcPr>
        <w:p w14:paraId="6C3E72AF" w14:textId="77777777" w:rsidR="00815F8D" w:rsidRDefault="00815F8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32C29192"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6D575A63" w14:textId="77777777" w:rsidR="00815F8D" w:rsidRDefault="00815F8D">
          <w:pPr>
            <w:jc w:val="both"/>
            <w:rPr>
              <w:rFonts w:ascii="Palatino Linotype" w:eastAsia="Palatino Linotype" w:hAnsi="Palatino Linotype" w:cs="Palatino Linotype"/>
              <w:b/>
            </w:rPr>
          </w:pPr>
        </w:p>
      </w:tc>
    </w:tr>
    <w:tr w:rsidR="00815F8D" w14:paraId="222FF18E" w14:textId="77777777">
      <w:trPr>
        <w:trHeight w:val="228"/>
      </w:trPr>
      <w:tc>
        <w:tcPr>
          <w:tcW w:w="3805" w:type="dxa"/>
          <w:vMerge/>
          <w:shd w:val="clear" w:color="auto" w:fill="auto"/>
        </w:tcPr>
        <w:p w14:paraId="1382C55E" w14:textId="77777777" w:rsidR="00815F8D" w:rsidRDefault="00815F8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1ADA663E"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479109C0" w14:textId="77777777" w:rsidR="00815F8D" w:rsidRDefault="00F25C9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Lerma </w:t>
          </w:r>
        </w:p>
      </w:tc>
    </w:tr>
    <w:tr w:rsidR="00815F8D" w14:paraId="4F7839D0" w14:textId="77777777">
      <w:tc>
        <w:tcPr>
          <w:tcW w:w="3805" w:type="dxa"/>
          <w:vMerge/>
          <w:shd w:val="clear" w:color="auto" w:fill="auto"/>
        </w:tcPr>
        <w:p w14:paraId="24529028" w14:textId="77777777" w:rsidR="00815F8D" w:rsidRDefault="00815F8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0E711185" w14:textId="77777777" w:rsidR="00815F8D" w:rsidRDefault="00F25C9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22B9DDA1" w14:textId="77777777" w:rsidR="00815F8D" w:rsidRDefault="00F25C9B">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24EAF9C" w14:textId="77777777" w:rsidR="00815F8D" w:rsidRDefault="00815F8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C3E1D"/>
    <w:multiLevelType w:val="multilevel"/>
    <w:tmpl w:val="41548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C729AB"/>
    <w:multiLevelType w:val="multilevel"/>
    <w:tmpl w:val="6C686BF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774144C4"/>
    <w:multiLevelType w:val="multilevel"/>
    <w:tmpl w:val="8B9AFC3C"/>
    <w:lvl w:ilvl="0">
      <w:start w:val="1"/>
      <w:numFmt w:val="bullet"/>
      <w:lvlText w:val="●"/>
      <w:lvlJc w:val="left"/>
      <w:pPr>
        <w:ind w:left="1077" w:hanging="360"/>
      </w:pPr>
      <w:rPr>
        <w:rFonts w:ascii="Noto Sans" w:eastAsia="Noto Sans" w:hAnsi="Noto Sans" w:cs="Noto San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w:eastAsia="Noto Sans" w:hAnsi="Noto Sans" w:cs="Noto Sans"/>
      </w:rPr>
    </w:lvl>
    <w:lvl w:ilvl="3">
      <w:start w:val="1"/>
      <w:numFmt w:val="bullet"/>
      <w:lvlText w:val="●"/>
      <w:lvlJc w:val="left"/>
      <w:pPr>
        <w:ind w:left="3237" w:hanging="360"/>
      </w:pPr>
      <w:rPr>
        <w:rFonts w:ascii="Noto Sans" w:eastAsia="Noto Sans" w:hAnsi="Noto Sans" w:cs="Noto San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w:eastAsia="Noto Sans" w:hAnsi="Noto Sans" w:cs="Noto Sans"/>
      </w:rPr>
    </w:lvl>
    <w:lvl w:ilvl="6">
      <w:start w:val="1"/>
      <w:numFmt w:val="bullet"/>
      <w:lvlText w:val="●"/>
      <w:lvlJc w:val="left"/>
      <w:pPr>
        <w:ind w:left="5397" w:hanging="360"/>
      </w:pPr>
      <w:rPr>
        <w:rFonts w:ascii="Noto Sans" w:eastAsia="Noto Sans" w:hAnsi="Noto Sans" w:cs="Noto San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w:eastAsia="Noto Sans" w:hAnsi="Noto Sans" w:cs="Noto Sans"/>
      </w:rPr>
    </w:lvl>
  </w:abstractNum>
  <w:num w:numId="1" w16cid:durableId="437987712">
    <w:abstractNumId w:val="1"/>
  </w:num>
  <w:num w:numId="2" w16cid:durableId="2062554446">
    <w:abstractNumId w:val="0"/>
  </w:num>
  <w:num w:numId="3" w16cid:durableId="303463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F8D"/>
    <w:rsid w:val="0032677B"/>
    <w:rsid w:val="007023C4"/>
    <w:rsid w:val="00815F8D"/>
    <w:rsid w:val="008416E1"/>
    <w:rsid w:val="00A10456"/>
    <w:rsid w:val="00D64316"/>
    <w:rsid w:val="00F25C9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BB46EA"/>
  <w15:docId w15:val="{6BB0F5EA-41D7-4CB2-8D76-D3EAC16F0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c"/>
    <w:tblPr>
      <w:tblStyleRowBandSize w:val="1"/>
      <w:tblStyleColBandSize w:val="1"/>
      <w:tblCellMar>
        <w:top w:w="100" w:type="dxa"/>
        <w:left w:w="100" w:type="dxa"/>
        <w:bottom w:w="100" w:type="dxa"/>
        <w:right w:w="100" w:type="dxa"/>
      </w:tblCellMar>
    </w:tblPr>
  </w:style>
  <w:style w:type="table" w:customStyle="1" w:styleId="a0">
    <w:basedOn w:val="TableNormalffc"/>
    <w:tblPr>
      <w:tblStyleRowBandSize w:val="1"/>
      <w:tblStyleColBandSize w:val="1"/>
      <w:tblCellMar>
        <w:left w:w="115" w:type="dxa"/>
        <w:right w:w="115" w:type="dxa"/>
      </w:tblCellMar>
    </w:tblPr>
  </w:style>
  <w:style w:type="table" w:customStyle="1" w:styleId="a1">
    <w:basedOn w:val="TableNormalffc"/>
    <w:tblPr>
      <w:tblStyleRowBandSize w:val="1"/>
      <w:tblStyleColBandSize w:val="1"/>
      <w:tblCellMar>
        <w:left w:w="115" w:type="dxa"/>
        <w:right w:w="115" w:type="dxa"/>
      </w:tblCellMar>
    </w:tblPr>
  </w:style>
  <w:style w:type="table" w:customStyle="1" w:styleId="a2">
    <w:basedOn w:val="TableNormalffc"/>
    <w:tblPr>
      <w:tblStyleRowBandSize w:val="1"/>
      <w:tblStyleColBandSize w:val="1"/>
      <w:tblCellMar>
        <w:left w:w="115" w:type="dxa"/>
        <w:right w:w="115" w:type="dxa"/>
      </w:tblCellMar>
    </w:tblPr>
  </w:style>
  <w:style w:type="table" w:customStyle="1" w:styleId="a3">
    <w:basedOn w:val="TableNormalffc"/>
    <w:tblPr>
      <w:tblStyleRowBandSize w:val="1"/>
      <w:tblStyleColBandSize w:val="1"/>
      <w:tblCellMar>
        <w:left w:w="115" w:type="dxa"/>
        <w:right w:w="115" w:type="dxa"/>
      </w:tblCellMar>
    </w:tblPr>
  </w:style>
  <w:style w:type="table" w:customStyle="1" w:styleId="a4">
    <w:basedOn w:val="TableNormalffc"/>
    <w:tblPr>
      <w:tblStyleRowBandSize w:val="1"/>
      <w:tblStyleColBandSize w:val="1"/>
      <w:tblCellMar>
        <w:left w:w="115" w:type="dxa"/>
        <w:right w:w="115" w:type="dxa"/>
      </w:tblCellMar>
    </w:tblPr>
  </w:style>
  <w:style w:type="table" w:customStyle="1" w:styleId="a5">
    <w:basedOn w:val="TableNormalffc"/>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c"/>
    <w:tblPr>
      <w:tblStyleRowBandSize w:val="1"/>
      <w:tblStyleColBandSize w:val="1"/>
      <w:tblCellMar>
        <w:left w:w="115" w:type="dxa"/>
        <w:right w:w="115" w:type="dxa"/>
      </w:tblCellMar>
    </w:tblPr>
  </w:style>
  <w:style w:type="table" w:customStyle="1" w:styleId="a7">
    <w:basedOn w:val="TableNormalffc"/>
    <w:tblPr>
      <w:tblStyleRowBandSize w:val="1"/>
      <w:tblStyleColBandSize w:val="1"/>
      <w:tblCellMar>
        <w:left w:w="115" w:type="dxa"/>
        <w:right w:w="115" w:type="dxa"/>
      </w:tblCellMar>
    </w:tblPr>
  </w:style>
  <w:style w:type="table" w:customStyle="1" w:styleId="a8">
    <w:basedOn w:val="TableNormalffc"/>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c"/>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9"/>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c"/>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b"/>
    <w:tblPr>
      <w:tblStyleRowBandSize w:val="1"/>
      <w:tblStyleColBandSize w:val="1"/>
      <w:tblCellMar>
        <w:left w:w="115" w:type="dxa"/>
        <w:right w:w="115" w:type="dxa"/>
      </w:tblCellMar>
    </w:tblPr>
  </w:style>
  <w:style w:type="table" w:customStyle="1" w:styleId="afff3">
    <w:basedOn w:val="TableNormalfb"/>
    <w:tblPr>
      <w:tblStyleRowBandSize w:val="1"/>
      <w:tblStyleColBandSize w:val="1"/>
      <w:tblCellMar>
        <w:top w:w="100" w:type="dxa"/>
        <w:left w:w="100" w:type="dxa"/>
        <w:bottom w:w="100" w:type="dxa"/>
        <w:right w:w="100" w:type="dxa"/>
      </w:tblCellMar>
    </w:tblPr>
  </w:style>
  <w:style w:type="table" w:customStyle="1" w:styleId="afff4">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b"/>
    <w:tblPr>
      <w:tblStyleRowBandSize w:val="1"/>
      <w:tblStyleColBandSize w:val="1"/>
      <w:tblCellMar>
        <w:top w:w="100" w:type="dxa"/>
        <w:left w:w="100" w:type="dxa"/>
        <w:bottom w:w="100" w:type="dxa"/>
        <w:right w:w="100" w:type="dxa"/>
      </w:tblCellMar>
    </w:tblPr>
  </w:style>
  <w:style w:type="table" w:customStyle="1" w:styleId="afff7">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b"/>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b"/>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b"/>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d">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e">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
    <w:basedOn w:val="TableNormal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2">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3">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4">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5">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6">
    <w:basedOn w:val="TableNormal3"/>
    <w:tblPr>
      <w:tblStyleRowBandSize w:val="1"/>
      <w:tblStyleColBandSize w:val="1"/>
      <w:tblCellMar>
        <w:left w:w="115" w:type="dxa"/>
        <w:right w:w="115" w:type="dxa"/>
      </w:tblCellMar>
    </w:tblPr>
  </w:style>
  <w:style w:type="table" w:customStyle="1" w:styleId="afffffff7">
    <w:basedOn w:val="TableNormal3"/>
    <w:rPr>
      <w:rFonts w:ascii="Arial" w:eastAsia="Arial" w:hAnsi="Arial" w:cs="Arial"/>
      <w:sz w:val="22"/>
      <w:szCs w:val="22"/>
    </w:rPr>
    <w:tblPr>
      <w:tblStyleRowBandSize w:val="1"/>
      <w:tblStyleColBandSize w:val="1"/>
      <w:tblCellMar>
        <w:left w:w="115" w:type="dxa"/>
        <w:right w:w="115" w:type="dxa"/>
      </w:tblCellMar>
    </w:tblPr>
  </w:style>
  <w:style w:type="table" w:customStyle="1" w:styleId="afffffff8">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9">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a">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b">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c">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fd">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GQN+DNuE10mT1qeLY9/qwhpjQw==">AMUW2mVUsfBSYRM+DFm3eiaAXSDaSoMplfWA/Jqq+G6UenuC1CcxG9WqT5QbsAkimAAI6jA6jJlO2TZwvOxItdhyobzcAkQoiT9g9Isn7fG/jS62Y+XlN03l53u3Sg45W+V5F82CYptkyUJJNL9Y6Vw9DsuUznFrQXVFCnxMSdBuWof2iwnURSwa5m2Y96XEO49GmPy+blsNnKEtP7bUIFngClRtZMG/x8IO6EmCsXCqPhWs+5yhnDY=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65</Pages>
  <Words>14849</Words>
  <Characters>81672</Characters>
  <Application>Microsoft Office Word</Application>
  <DocSecurity>0</DocSecurity>
  <Lines>680</Lines>
  <Paragraphs>192</Paragraphs>
  <ScaleCrop>false</ScaleCrop>
  <Company/>
  <LinksUpToDate>false</LinksUpToDate>
  <CharactersWithSpaces>96329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Jorge Luis Penunuri Loredo</cp:lastModifiedBy>
  <cp:revision>5</cp:revision>
  <cp:lastPrinted>2022-12-09T05:04:00Z</cp:lastPrinted>
  <dcterms:created xsi:type="dcterms:W3CDTF">2022-12-01T20:27:00Z</dcterms:created>
  <dcterms:modified xsi:type="dcterms:W3CDTF">2022-12-09T05:04:00Z</dcterms:modified>
</cp:coreProperties>
</file>