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4B5" w:rsidRDefault="008C01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eastAsia="Palatino Linotype" w:hAnsi="Palatino Linotype" w:cs="Palatino Linotype"/>
          <w:b/>
        </w:rPr>
        <w:t>dieciséis de marzo del dos mil veintidós.</w:t>
      </w:r>
    </w:p>
    <w:p w:rsidR="00D614B5" w:rsidRPr="002E7EF4" w:rsidRDefault="008C01B8" w:rsidP="002E7EF4">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00299/INFOEM/IP/RR/2022</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w:t>
      </w:r>
      <w:r w:rsidR="002E7EF4">
        <w:rPr>
          <w:rFonts w:ascii="Palatino Linotype" w:eastAsia="Palatino Linotype" w:hAnsi="Palatino Linotype" w:cs="Palatino Linotype"/>
          <w:b/>
        </w:rPr>
        <w:t xml:space="preserve">xxxxx xxxxxxx xxxxxxxx xxxxxx </w:t>
      </w:r>
      <w:bookmarkStart w:id="0" w:name="_GoBack"/>
      <w:bookmarkEnd w:id="0"/>
      <w:r w:rsidR="002E7EF4" w:rsidRPr="002E7EF4">
        <w:rPr>
          <w:rFonts w:ascii="Palatino Linotype" w:eastAsia="Palatino Linotype" w:hAnsi="Palatino Linotype" w:cs="Palatino Linotype"/>
          <w:b/>
        </w:rPr>
        <w:t>Ayuntamiento de Ixtapaluca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color w:val="000000"/>
        </w:rPr>
        <w:t>00221/IXTAPALU/IP/2021</w:t>
      </w:r>
      <w:r>
        <w:rPr>
          <w:rFonts w:ascii="Palatino Linotype" w:eastAsia="Palatino Linotype" w:hAnsi="Palatino Linotype" w:cs="Palatino Linotype"/>
          <w:b/>
        </w:rPr>
        <w:t>,</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Ayuntamiento de Ixtapaluca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rsidR="00D614B5" w:rsidRDefault="008C01B8">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D614B5" w:rsidRDefault="008C01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DE LA SOLICITUD DE INFORMACIÓN. </w:t>
      </w:r>
      <w:r>
        <w:rPr>
          <w:rFonts w:ascii="Palatino Linotype" w:eastAsia="Palatino Linotype" w:hAnsi="Palatino Linotype" w:cs="Palatino Linotype"/>
        </w:rPr>
        <w:t>Con fecha nueve de agosto del dos mil veintiuno</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D614B5" w:rsidRDefault="008C01B8">
      <w:pPr>
        <w:pBdr>
          <w:top w:val="nil"/>
          <w:left w:val="nil"/>
          <w:bottom w:val="nil"/>
          <w:right w:val="nil"/>
          <w:between w:val="nil"/>
        </w:pBdr>
        <w:spacing w:line="276" w:lineRule="auto"/>
        <w:ind w:left="1077"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rPr>
        <w:t>“</w:t>
      </w:r>
      <w:r>
        <w:rPr>
          <w:rFonts w:ascii="Palatino Linotype" w:eastAsia="Palatino Linotype" w:hAnsi="Palatino Linotype" w:cs="Palatino Linotype"/>
          <w:i/>
          <w:color w:val="000000"/>
          <w:sz w:val="22"/>
          <w:szCs w:val="22"/>
        </w:rPr>
        <w:t>1 Detalle de las acciones afirmativas llevadas a cabo por la u</w:t>
      </w:r>
      <w:r>
        <w:rPr>
          <w:rFonts w:ascii="Palatino Linotype" w:eastAsia="Palatino Linotype" w:hAnsi="Palatino Linotype" w:cs="Palatino Linotype"/>
          <w:i/>
          <w:color w:val="000000"/>
          <w:sz w:val="22"/>
          <w:szCs w:val="22"/>
        </w:rPr>
        <w:t xml:space="preserve">nidad administrativa encargada de las tareas de seguridad pública para los años 2018, 2019, 2020 y 2021 para lograr la igualdad sustantiva y la conformación paritaria. 2 Número de denuncias y llamadas de emergencias atendidas, respectivamente por crímenes </w:t>
      </w:r>
      <w:r>
        <w:rPr>
          <w:rFonts w:ascii="Palatino Linotype" w:eastAsia="Palatino Linotype" w:hAnsi="Palatino Linotype" w:cs="Palatino Linotype"/>
          <w:i/>
          <w:color w:val="000000"/>
          <w:sz w:val="22"/>
          <w:szCs w:val="22"/>
        </w:rPr>
        <w:t>en contra de las mujeres ( desglosando cada uno: violencia de género, acoso, hostigamiento, violencia intrafamiliar) para los años 2018, 2019, 2020 y 2021. 3 Número de aplicaciones de botón de pánico y alerta de genero instalados en smartphones por la unid</w:t>
      </w:r>
      <w:r>
        <w:rPr>
          <w:rFonts w:ascii="Palatino Linotype" w:eastAsia="Palatino Linotype" w:hAnsi="Palatino Linotype" w:cs="Palatino Linotype"/>
          <w:i/>
          <w:color w:val="000000"/>
          <w:sz w:val="22"/>
          <w:szCs w:val="22"/>
        </w:rPr>
        <w:t xml:space="preserve">ad administrativa encargada de las tareas de seguridad pública para los años 2018, 2019, 2020 y 2021. 4 Acciones y avances obtenidos y </w:t>
      </w:r>
      <w:r>
        <w:rPr>
          <w:rFonts w:ascii="Palatino Linotype" w:eastAsia="Palatino Linotype" w:hAnsi="Palatino Linotype" w:cs="Palatino Linotype"/>
          <w:i/>
          <w:color w:val="000000"/>
          <w:sz w:val="22"/>
          <w:szCs w:val="22"/>
        </w:rPr>
        <w:lastRenderedPageBreak/>
        <w:t>realizados por la del área o unidad administrativa encargada de las tareas de seguridad pública para los años 2018, 2019,</w:t>
      </w:r>
      <w:r>
        <w:rPr>
          <w:rFonts w:ascii="Palatino Linotype" w:eastAsia="Palatino Linotype" w:hAnsi="Palatino Linotype" w:cs="Palatino Linotype"/>
          <w:i/>
          <w:color w:val="000000"/>
          <w:sz w:val="22"/>
          <w:szCs w:val="22"/>
        </w:rPr>
        <w:t xml:space="preserve"> 2020 y 2021 en relación a la alerta de genero emitida por el Gobierno del Estado de México. 5 Avances del PROIGUALDAD para 2018, 2019, 2020 y 2021” (Sic)</w:t>
      </w:r>
    </w:p>
    <w:p w:rsidR="00D614B5" w:rsidRDefault="008C01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rsidR="00D614B5" w:rsidRDefault="008C01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2. DE LA RESPUESTA DEL SUJE</w:t>
      </w:r>
      <w:r>
        <w:rPr>
          <w:rFonts w:ascii="Palatino Linotype" w:eastAsia="Palatino Linotype" w:hAnsi="Palatino Linotype" w:cs="Palatino Linotype"/>
          <w:b/>
        </w:rPr>
        <w:t xml:space="preserve">TO OBLIGADO.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observa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emitió respuesta a la solicitud de información formulada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p>
    <w:p w:rsidR="00D614B5" w:rsidRDefault="008C01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el solicitante con la falta de </w:t>
      </w:r>
      <w:r>
        <w:rPr>
          <w:rFonts w:ascii="Palatino Linotype" w:eastAsia="Palatino Linotype" w:hAnsi="Palatino Linotype" w:cs="Palatino Linotype"/>
        </w:rPr>
        <w:t xml:space="preserve">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interpuso recurso de revisión a través del SAIMEX en fecha veinticuatro de enero del año dos mil veintidós, expresando lo siguiente:</w:t>
      </w:r>
    </w:p>
    <w:p w:rsidR="00D614B5" w:rsidRDefault="008C01B8">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D614B5" w:rsidRDefault="008C01B8">
      <w:pPr>
        <w:spacing w:line="276"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falta de respuesta a una solicitud de información, señalada con el número 00221/IXTAPALU/IP/2021, en términos del artículo 179 fracción VII de la Ley de Transparencia y Acceso a la Información Pública del Estado de México y Municipios” (Sic)</w:t>
      </w:r>
    </w:p>
    <w:p w:rsidR="00D614B5" w:rsidRDefault="00D614B5">
      <w:pPr>
        <w:spacing w:line="360" w:lineRule="auto"/>
        <w:jc w:val="both"/>
        <w:rPr>
          <w:rFonts w:ascii="Palatino Linotype" w:eastAsia="Palatino Linotype" w:hAnsi="Palatino Linotype" w:cs="Palatino Linotype"/>
          <w:b/>
          <w:i/>
        </w:rPr>
      </w:pPr>
    </w:p>
    <w:p w:rsidR="00D614B5" w:rsidRDefault="008C01B8">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D614B5" w:rsidRDefault="00D614B5">
      <w:pPr>
        <w:spacing w:line="360" w:lineRule="auto"/>
        <w:jc w:val="both"/>
        <w:rPr>
          <w:rFonts w:ascii="Palatino Linotype" w:eastAsia="Palatino Linotype" w:hAnsi="Palatino Linotype" w:cs="Palatino Linotype"/>
          <w:b/>
        </w:rPr>
      </w:pPr>
    </w:p>
    <w:p w:rsidR="00D614B5" w:rsidRDefault="008C01B8">
      <w:pPr>
        <w:spacing w:line="276" w:lineRule="auto"/>
        <w:ind w:left="567"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i/>
        </w:rPr>
        <w:t>De acuerdo al artículo 53, fracciones II, IV y 162 de la Ley de Transparencia y Acceso a la Información Pública del Estado de México y Municipios, las Unidades de Transparencia de los Sujetos Obligados tienen la función de ca</w:t>
      </w:r>
      <w:r>
        <w:rPr>
          <w:rFonts w:ascii="Palatino Linotype" w:eastAsia="Palatino Linotype" w:hAnsi="Palatino Linotype" w:cs="Palatino Linotype"/>
          <w:i/>
        </w:rPr>
        <w:t xml:space="preserve">pturar, ordenar, analizar y procesar las solicitudes de información presentadas y respondiendo sustancialmente a las solicitudes de información formuladas. Sin </w:t>
      </w:r>
      <w:r>
        <w:rPr>
          <w:rFonts w:ascii="Palatino Linotype" w:eastAsia="Palatino Linotype" w:hAnsi="Palatino Linotype" w:cs="Palatino Linotype"/>
          <w:i/>
        </w:rPr>
        <w:lastRenderedPageBreak/>
        <w:t>embargo en la solicitud 00221/IXTAPALU/IP/2021, se observa que a la fecha de la interposición de</w:t>
      </w:r>
      <w:r>
        <w:rPr>
          <w:rFonts w:ascii="Palatino Linotype" w:eastAsia="Palatino Linotype" w:hAnsi="Palatino Linotype" w:cs="Palatino Linotype"/>
          <w:i/>
        </w:rPr>
        <w:t>l recurso de revisión no se cuenta con respuesta alguna por parte del sujeto obligado, mediante el Sistema de Acceso a la Información Mexiquense, por lo que el denominado Ayuntamiento de Ixtapaluca, se encuentra transgrediendo el derecho de acceso a la inf</w:t>
      </w:r>
      <w:r>
        <w:rPr>
          <w:rFonts w:ascii="Palatino Linotype" w:eastAsia="Palatino Linotype" w:hAnsi="Palatino Linotype" w:cs="Palatino Linotype"/>
          <w:i/>
        </w:rPr>
        <w:t>ormación reconocido en el artículo 6 de la Constitución Política de los Estados Unidos Mexicanos y 5 de la Constitución Política del Estado Libre y Soberano de México al no haber brindado información tras fenecer el plazo estipulado en el artículo 178 de l</w:t>
      </w:r>
      <w:r>
        <w:rPr>
          <w:rFonts w:ascii="Palatino Linotype" w:eastAsia="Palatino Linotype" w:hAnsi="Palatino Linotype" w:cs="Palatino Linotype"/>
          <w:i/>
        </w:rPr>
        <w:t>a Ley de Transparencia y Acceso a la Información Pública del Estado de México y Municipios, el cual establece que será de de quince días hábiles posteriores a la presentación de ésta; por lo que, transcurrido este término, cuando no entregue la respuesta a</w:t>
      </w:r>
      <w:r>
        <w:rPr>
          <w:rFonts w:ascii="Palatino Linotype" w:eastAsia="Palatino Linotype" w:hAnsi="Palatino Linotype" w:cs="Palatino Linotype"/>
          <w:i/>
        </w:rPr>
        <w:t xml:space="preserve"> la solicitud dentro del plazo previsto en la Ley, la solicitud se entenderá negada y el solicitante podrá interponer el recurso de revisión previsto en el ordenamiento en cita. Además, la falta de respuesta, adolece por tanto de los principios establecido</w:t>
      </w:r>
      <w:r>
        <w:rPr>
          <w:rFonts w:ascii="Palatino Linotype" w:eastAsia="Palatino Linotype" w:hAnsi="Palatino Linotype" w:cs="Palatino Linotype"/>
          <w:i/>
        </w:rPr>
        <w:t xml:space="preserve">s en el artículo 173 de la ley. Por tanto, atendiendo a lo dispuesto por los artículos 176, 177, 178 y 179 fracción VII de la ley en la materia, se cuenta con los elementos necesarios para promover el recurso de revisión, haciendo mención que este derecho </w:t>
      </w:r>
      <w:r>
        <w:rPr>
          <w:rFonts w:ascii="Palatino Linotype" w:eastAsia="Palatino Linotype" w:hAnsi="Palatino Linotype" w:cs="Palatino Linotype"/>
          <w:i/>
        </w:rPr>
        <w:t>únicamente fenece al obtener respuesta del sujeto obligado.</w:t>
      </w:r>
      <w:r>
        <w:rPr>
          <w:rFonts w:ascii="Palatino Linotype" w:eastAsia="Palatino Linotype" w:hAnsi="Palatino Linotype" w:cs="Palatino Linotype"/>
          <w:i/>
          <w:color w:val="000000"/>
        </w:rPr>
        <w:t>” (Sic)</w:t>
      </w:r>
    </w:p>
    <w:p w:rsidR="00D614B5" w:rsidRDefault="00D614B5">
      <w:pPr>
        <w:spacing w:line="276" w:lineRule="auto"/>
        <w:ind w:left="567" w:right="616"/>
        <w:jc w:val="both"/>
        <w:rPr>
          <w:rFonts w:ascii="Palatino Linotype" w:eastAsia="Palatino Linotype" w:hAnsi="Palatino Linotype" w:cs="Palatino Linotype"/>
          <w:i/>
          <w:color w:val="FF0000"/>
        </w:rPr>
      </w:pPr>
    </w:p>
    <w:p w:rsidR="00D614B5" w:rsidRDefault="008C01B8">
      <w:pPr>
        <w:spacing w:line="360" w:lineRule="auto"/>
        <w:jc w:val="both"/>
        <w:rPr>
          <w:rFonts w:ascii="Palatino Linotype" w:eastAsia="Palatino Linotype" w:hAnsi="Palatino Linotype" w:cs="Palatino Linotype"/>
          <w:b/>
          <w:i/>
          <w:color w:val="000000"/>
        </w:rPr>
      </w:pPr>
      <w:r>
        <w:rPr>
          <w:rFonts w:ascii="Palatino Linotype" w:eastAsia="Palatino Linotype" w:hAnsi="Palatino Linotype" w:cs="Palatino Linotype"/>
          <w:color w:val="000000"/>
        </w:rPr>
        <w:t>Resulta preciso señalar que el Recurrente adjuntó el documento electrónico “</w:t>
      </w:r>
      <w:r>
        <w:rPr>
          <w:rFonts w:ascii="Palatino Linotype" w:eastAsia="Palatino Linotype" w:hAnsi="Palatino Linotype" w:cs="Palatino Linotype"/>
          <w:b/>
          <w:color w:val="000000"/>
          <w:u w:val="single"/>
        </w:rPr>
        <w:t>95E2E525-EEB7-465E-90FF-7FBAF8934E18.png</w:t>
      </w:r>
      <w:r>
        <w:rPr>
          <w:rFonts w:ascii="Palatino Linotype" w:eastAsia="Palatino Linotype" w:hAnsi="Palatino Linotype" w:cs="Palatino Linotype"/>
          <w:i/>
          <w:color w:val="000000"/>
        </w:rPr>
        <w:t>”,</w:t>
      </w:r>
      <w:r>
        <w:rPr>
          <w:rFonts w:ascii="Palatino Linotype" w:eastAsia="Palatino Linotype" w:hAnsi="Palatino Linotype" w:cs="Palatino Linotype"/>
          <w:color w:val="000000"/>
        </w:rPr>
        <w:t xml:space="preserve"> en el cual se aprecia una captura de pantalla del seguimiento de la s</w:t>
      </w:r>
      <w:r>
        <w:rPr>
          <w:rFonts w:ascii="Palatino Linotype" w:eastAsia="Palatino Linotype" w:hAnsi="Palatino Linotype" w:cs="Palatino Linotype"/>
          <w:color w:val="000000"/>
        </w:rPr>
        <w:t xml:space="preserve">olicitud de información en la cuenta del SAIMEX del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w:t>
      </w:r>
    </w:p>
    <w:p w:rsidR="00D614B5" w:rsidRDefault="008C01B8">
      <w:pPr>
        <w:spacing w:line="360" w:lineRule="auto"/>
        <w:jc w:val="both"/>
        <w:rPr>
          <w:rFonts w:ascii="Palatino Linotype" w:eastAsia="Palatino Linotype" w:hAnsi="Palatino Linotype" w:cs="Palatino Linotype"/>
          <w:b/>
          <w:i/>
          <w:color w:val="000000"/>
        </w:rPr>
      </w:pPr>
      <w:r>
        <w:rPr>
          <w:noProof/>
          <w:lang w:val="es-MX" w:eastAsia="es-MX"/>
        </w:rPr>
        <w:lastRenderedPageBreak/>
        <w:drawing>
          <wp:inline distT="0" distB="0" distL="0" distR="0">
            <wp:extent cx="5562600" cy="1876425"/>
            <wp:effectExtent l="0" t="0" r="0" b="0"/>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14766" t="28968" r="35166" b="17622"/>
                    <a:stretch>
                      <a:fillRect/>
                    </a:stretch>
                  </pic:blipFill>
                  <pic:spPr>
                    <a:xfrm>
                      <a:off x="0" y="0"/>
                      <a:ext cx="5562600" cy="1876425"/>
                    </a:xfrm>
                    <a:prstGeom prst="rect">
                      <a:avLst/>
                    </a:prstGeom>
                    <a:ln/>
                  </pic:spPr>
                </pic:pic>
              </a:graphicData>
            </a:graphic>
          </wp:inline>
        </w:drawing>
      </w:r>
    </w:p>
    <w:p w:rsidR="00D614B5" w:rsidRDefault="008C01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w:t>
      </w:r>
      <w:r>
        <w:rPr>
          <w:rFonts w:ascii="Palatino Linotype" w:eastAsia="Palatino Linotype" w:hAnsi="Palatino Linotype" w:cs="Palatino Linotype"/>
          <w:highlight w:val="white"/>
        </w:rPr>
        <w:t>de la Ley Transparencia y Acceso a la Información Pública</w:t>
      </w:r>
      <w:r>
        <w:rPr>
          <w:rFonts w:ascii="Palatino Linotype" w:eastAsia="Palatino Linotype" w:hAnsi="Palatino Linotype" w:cs="Palatino Linotype"/>
        </w:rPr>
        <w:t>, el recurso de revisión número</w:t>
      </w:r>
      <w:r>
        <w:rPr>
          <w:rFonts w:ascii="Palatino Linotype" w:eastAsia="Palatino Linotype" w:hAnsi="Palatino Linotype" w:cs="Palatino Linotype"/>
          <w:b/>
        </w:rPr>
        <w:t xml:space="preserve"> </w:t>
      </w:r>
      <w:r>
        <w:rPr>
          <w:rFonts w:ascii="Palatino Linotype" w:eastAsia="Palatino Linotype" w:hAnsi="Palatino Linotype" w:cs="Palatino Linotype"/>
          <w:b/>
          <w:sz w:val="23"/>
          <w:szCs w:val="23"/>
        </w:rPr>
        <w:t xml:space="preserve">00299/INFOEM/IP/RR/2022 </w:t>
      </w:r>
      <w:r>
        <w:rPr>
          <w:rFonts w:ascii="Palatino Linotype" w:eastAsia="Palatino Linotype" w:hAnsi="Palatino Linotype" w:cs="Palatino Linotype"/>
        </w:rPr>
        <w:t xml:space="preserve">fue turnado a la </w:t>
      </w:r>
      <w:r>
        <w:rPr>
          <w:rFonts w:ascii="Palatino Linotype" w:eastAsia="Palatino Linotype" w:hAnsi="Palatino Linotype" w:cs="Palatino Linotype"/>
          <w:b/>
        </w:rPr>
        <w:t>Comisionada Guadalupe Ramírez Peña</w:t>
      </w:r>
      <w:r>
        <w:rPr>
          <w:rFonts w:ascii="Palatino Linotype" w:eastAsia="Palatino Linotype" w:hAnsi="Palatino Linotype" w:cs="Palatino Linotype"/>
        </w:rPr>
        <w:t>, a efecto de presentar al Pleno el proyecto de resolución correspondiente.</w:t>
      </w:r>
    </w:p>
    <w:p w:rsidR="00D614B5" w:rsidRDefault="008C01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veintisiete de enero del año dos mil veintidós</w:t>
      </w:r>
      <w:r>
        <w:rPr>
          <w:rFonts w:ascii="Palatino Linotype" w:eastAsia="Palatino Linotype" w:hAnsi="Palatino Linotype" w:cs="Palatino Linotype"/>
        </w:rPr>
        <w:t>, en términos de lo dispuesto en el artículo 185 fracciones I, II y IV de la L</w:t>
      </w:r>
      <w:r>
        <w:rPr>
          <w:rFonts w:ascii="Palatino Linotype" w:eastAsia="Palatino Linotype" w:hAnsi="Palatino Linotype" w:cs="Palatino Linotype"/>
        </w:rPr>
        <w:t>ey de Transparencia y Acceso a la Información Pública del Estado de México y Municipios, se admitió a trámite el recurso de revisión al rubro indicado.</w:t>
      </w:r>
    </w:p>
    <w:p w:rsidR="00D614B5" w:rsidRDefault="008C01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INFORME JUSTIFICADO O MANIFESTACIONES. </w:t>
      </w:r>
      <w:r>
        <w:rPr>
          <w:rFonts w:ascii="Palatino Linotype" w:eastAsia="Palatino Linotype" w:hAnsi="Palatino Linotype" w:cs="Palatino Linotype"/>
        </w:rPr>
        <w:t xml:space="preserve">De las constancias que obran en el expediente electrónico del </w:t>
      </w:r>
      <w:r>
        <w:rPr>
          <w:rFonts w:ascii="Palatino Linotype" w:eastAsia="Palatino Linotype" w:hAnsi="Palatino Linotype" w:cs="Palatino Linotype"/>
        </w:rPr>
        <w:t xml:space="preserve">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tal como se advierte a continuación: </w:t>
      </w:r>
    </w:p>
    <w:p w:rsidR="00D614B5" w:rsidRDefault="008C01B8">
      <w:pPr>
        <w:spacing w:before="240" w:after="240" w:line="360" w:lineRule="auto"/>
        <w:jc w:val="both"/>
        <w:rPr>
          <w:rFonts w:ascii="Palatino Linotype" w:eastAsia="Palatino Linotype" w:hAnsi="Palatino Linotype" w:cs="Palatino Linotype"/>
        </w:rPr>
      </w:pPr>
      <w:r>
        <w:rPr>
          <w:noProof/>
          <w:lang w:val="es-MX" w:eastAsia="es-MX"/>
        </w:rPr>
        <w:lastRenderedPageBreak/>
        <w:drawing>
          <wp:inline distT="0" distB="0" distL="0" distR="0">
            <wp:extent cx="5612130" cy="1485265"/>
            <wp:effectExtent l="0" t="0" r="0" b="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2130" cy="1485265"/>
                    </a:xfrm>
                    <a:prstGeom prst="rect">
                      <a:avLst/>
                    </a:prstGeom>
                    <a:ln/>
                  </pic:spPr>
                </pic:pic>
              </a:graphicData>
            </a:graphic>
          </wp:inline>
        </w:drawing>
      </w:r>
    </w:p>
    <w:p w:rsidR="00D614B5" w:rsidRDefault="008C01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uno </w:t>
      </w:r>
      <w:r>
        <w:rPr>
          <w:rFonts w:ascii="Palatino Linotype" w:eastAsia="Palatino Linotype" w:hAnsi="Palatino Linotype" w:cs="Palatino Linotype"/>
          <w:b/>
        </w:rPr>
        <w:t>de marzo del año dos mil veintidós</w:t>
      </w:r>
      <w:r>
        <w:rPr>
          <w:rFonts w:ascii="Palatino Linotype" w:eastAsia="Palatino Linotype" w:hAnsi="Palatino Linotype" w:cs="Palatino Linotype"/>
        </w:rPr>
        <w:t>, co</w:t>
      </w:r>
      <w:r>
        <w:rPr>
          <w:rFonts w:ascii="Palatino Linotype" w:eastAsia="Palatino Linotype" w:hAnsi="Palatino Linotype" w:cs="Palatino Linotype"/>
        </w:rPr>
        <w:t>n fundamento en lo establecido en los artículos 185, fracción VI de la Ley de Transparencia y Acceso a la Información Pública del Estado de México y Municipios y 30, fracción IV del Reglamento Interior del Instituto de Transparencia, Acceso a la Informació</w:t>
      </w:r>
      <w:r>
        <w:rPr>
          <w:rFonts w:ascii="Palatino Linotype" w:eastAsia="Palatino Linotype" w:hAnsi="Palatino Linotype" w:cs="Palatino Linotype"/>
        </w:rPr>
        <w:t>n Pública y Protección de Datos Personales del Estado de México y Municipios, al no existir trámite pendiente por realizar y haber sido sustanciado el medio de impugnación se acordó el cierre de instrucción y se procede a formular la resolución que en dere</w:t>
      </w:r>
      <w:r>
        <w:rPr>
          <w:rFonts w:ascii="Palatino Linotype" w:eastAsia="Palatino Linotype" w:hAnsi="Palatino Linotype" w:cs="Palatino Linotype"/>
        </w:rPr>
        <w:t>cho corresponda.</w:t>
      </w:r>
    </w:p>
    <w:p w:rsidR="00D614B5" w:rsidRDefault="008C01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 DE LA AMPLIACIÓN DE PLAZO.</w:t>
      </w:r>
      <w:r>
        <w:rPr>
          <w:rFonts w:ascii="Palatino Linotype" w:eastAsia="Palatino Linotype" w:hAnsi="Palatino Linotype" w:cs="Palatino Linotype"/>
          <w:color w:val="202124"/>
          <w:highlight w:val="white"/>
        </w:rPr>
        <w:t xml:space="preserve"> En fecha </w:t>
      </w:r>
      <w:r>
        <w:rPr>
          <w:rFonts w:ascii="Palatino Linotype" w:eastAsia="Palatino Linotype" w:hAnsi="Palatino Linotype" w:cs="Palatino Linotype"/>
          <w:color w:val="000000"/>
        </w:rPr>
        <w:t>diez de marzo</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color w:val="202124"/>
          <w:highlight w:val="white"/>
        </w:rPr>
        <w:t>del dos mil veintidós, este Instituto con fundamento en el artículo 181, párrafo tercero de la Ley de Transparencia y Acceso a la Información Pública del Estado de México y Municipios, d</w:t>
      </w:r>
      <w:r>
        <w:rPr>
          <w:rFonts w:ascii="Palatino Linotype" w:eastAsia="Palatino Linotype" w:hAnsi="Palatino Linotype" w:cs="Palatino Linotype"/>
          <w:color w:val="202124"/>
          <w:highlight w:val="white"/>
        </w:rPr>
        <w:t>eterminó mediante el acuerdo respectivo, ampliar por quince días hábiles adicionales el plazo para emitir la presente resolución a fin de realizar un mejor estudio del asunto.</w:t>
      </w:r>
    </w:p>
    <w:p w:rsidR="00D614B5" w:rsidRDefault="008C01B8">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OS:</w:t>
      </w:r>
    </w:p>
    <w:p w:rsidR="00D614B5" w:rsidRDefault="008C01B8">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lastRenderedPageBreak/>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el </w:t>
      </w:r>
      <w:r>
        <w:rPr>
          <w:rFonts w:ascii="Palatino Linotype" w:eastAsia="Palatino Linotype" w:hAnsi="Palatino Linotype" w:cs="Palatino Linotype"/>
          <w:b/>
          <w:highlight w:val="white"/>
        </w:rPr>
        <w:t>RECURRENTE,</w:t>
      </w:r>
      <w:r>
        <w:rPr>
          <w:rFonts w:ascii="Palatino Linotype" w:eastAsia="Palatino Linotype" w:hAnsi="Palatino Linotype" w:cs="Palatino Linotype"/>
          <w:highlight w:val="white"/>
        </w:rPr>
        <w:t xml:space="preserve"> conforme a lo dispuesto </w:t>
      </w:r>
      <w:r>
        <w:rPr>
          <w:rFonts w:ascii="Palatino Linotype" w:eastAsia="Palatino Linotype" w:hAnsi="Palatino Linotype" w:cs="Palatino Linotype"/>
          <w:highlight w:val="white"/>
        </w:rPr>
        <w:t>en los artículos 6, apartado A de la Constitución Política de los Estados Unidos Mexicanos; 5, párrafos trigésimo, trigésimo primero y trigésimo segundo fracciones IV y V de la Constitución Política del Estado Libre y Soberano de México; 1, 2, fracción II;</w:t>
      </w:r>
      <w:r>
        <w:rPr>
          <w:rFonts w:ascii="Palatino Linotype" w:eastAsia="Palatino Linotype" w:hAnsi="Palatino Linotype" w:cs="Palatino Linotype"/>
          <w:highlight w:val="white"/>
        </w:rPr>
        <w:t xml:space="preserve"> 13,  29, 36, fracciones I y II; 176, 178, 179, 181 párrafo 3 y 185 de la Ley Transparencia y Acceso a la Información Pública; 7,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w:t>
      </w:r>
      <w:r>
        <w:rPr>
          <w:rFonts w:ascii="Palatino Linotype" w:eastAsia="Palatino Linotype" w:hAnsi="Palatino Linotype" w:cs="Palatino Linotype"/>
          <w:highlight w:val="white"/>
        </w:rPr>
        <w:t>ón de Datos Personales del Estado de México y Municipios.</w:t>
      </w:r>
    </w:p>
    <w:p w:rsidR="00D614B5" w:rsidRDefault="008C01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Ley de Transparencia y Acceso a la Información Pública del Estado de México y Municipios, describe el mecanismo de procedencia de los rec</w:t>
      </w:r>
      <w:r>
        <w:rPr>
          <w:rFonts w:ascii="Palatino Linotype" w:eastAsia="Palatino Linotype" w:hAnsi="Palatino Linotype" w:cs="Palatino Linotype"/>
        </w:rPr>
        <w:t xml:space="preserve">ursos de revisión, como se dispone en los artículos 163 y 166, del tenor literal siguiente: </w:t>
      </w:r>
    </w:p>
    <w:p w:rsidR="00D614B5" w:rsidRDefault="008C01B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La Unidad de Transparencia deberá notificar la respuesta a la solicitud al interesado en el menor tiempo posible, que no podrá exceder de quince día</w:t>
      </w:r>
      <w:r>
        <w:rPr>
          <w:rFonts w:ascii="Palatino Linotype" w:eastAsia="Palatino Linotype" w:hAnsi="Palatino Linotype" w:cs="Palatino Linotype"/>
          <w:i/>
          <w:sz w:val="22"/>
          <w:szCs w:val="22"/>
        </w:rPr>
        <w:t xml:space="preserve">s hábiles, contados a partir del día siguiente a la presentación de aquélla. </w:t>
      </w:r>
    </w:p>
    <w:p w:rsidR="00D614B5" w:rsidRDefault="008C01B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D614B5" w:rsidRDefault="008C01B8">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D614B5" w:rsidRDefault="008C01B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rsidR="00D614B5" w:rsidRDefault="008C01B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 </w:t>
      </w:r>
    </w:p>
    <w:p w:rsidR="00D614B5" w:rsidRDefault="008C01B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(Énfasis añadido)</w:t>
      </w:r>
    </w:p>
    <w:p w:rsidR="00D614B5" w:rsidRDefault="008C01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la in</w:t>
      </w:r>
      <w:r>
        <w:rPr>
          <w:rFonts w:ascii="Palatino Linotype" w:eastAsia="Palatino Linotype" w:hAnsi="Palatino Linotype" w:cs="Palatino Linotype"/>
        </w:rPr>
        <w:t>terpretación sistemática a los preceptos legales insertos, se obtiene que el plazo que les asiste a los Sujetos Obligados para entregar la respuesta a una solicitud de información pública es de quince días hábiles posteriores a la presentación de ésta; sin</w:t>
      </w:r>
      <w:r>
        <w:rPr>
          <w:rFonts w:ascii="Palatino Linotype" w:eastAsia="Palatino Linotype" w:hAnsi="Palatino Linotype" w:cs="Palatino Linotype"/>
        </w:rPr>
        <w:t xml:space="preserve"> embargo, en aquellos casos en que transcurre el referido plazo de quince días hábiles, sin que los Sujetos Obligados entreguen la respuesta a la solicitud de información, ésta se considera negada; por lo que al solicitante le asiste el derecho para presen</w:t>
      </w:r>
      <w:r>
        <w:rPr>
          <w:rFonts w:ascii="Palatino Linotype" w:eastAsia="Palatino Linotype" w:hAnsi="Palatino Linotype" w:cs="Palatino Linotype"/>
        </w:rPr>
        <w:t>tar el recurso de revisión.</w:t>
      </w:r>
    </w:p>
    <w:p w:rsidR="00D614B5" w:rsidRDefault="008C01B8">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Derivado de lo anterior, se constituye lo que en la doctrina se conoce como negativa ficta, figura jurídica cuya esencia consiste en atribuir un efecto negativo al silencio de la autoridad administrativa frente a las instancias </w:t>
      </w:r>
      <w:r>
        <w:rPr>
          <w:rFonts w:ascii="Palatino Linotype" w:eastAsia="Palatino Linotype" w:hAnsi="Palatino Linotype" w:cs="Palatino Linotype"/>
        </w:rPr>
        <w:t>y solicitudes que hagan los particulares.</w:t>
      </w:r>
    </w:p>
    <w:p w:rsidR="00D614B5" w:rsidRDefault="008C01B8">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D614B5" w:rsidRDefault="008C01B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w:t>
      </w:r>
      <w:r>
        <w:rPr>
          <w:rFonts w:ascii="Palatino Linotype" w:eastAsia="Palatino Linotype" w:hAnsi="Palatino Linotype" w:cs="Palatino Linotype"/>
          <w:i/>
          <w:sz w:val="22"/>
          <w:szCs w:val="22"/>
        </w:rPr>
        <w:t>ábiles, siguientes a la fecha de la notificación de la respuesta</w:t>
      </w:r>
      <w:r>
        <w:rPr>
          <w:rFonts w:ascii="Palatino Linotype" w:eastAsia="Palatino Linotype" w:hAnsi="Palatino Linotype" w:cs="Palatino Linotype"/>
          <w:b/>
          <w:i/>
          <w:sz w:val="22"/>
          <w:szCs w:val="22"/>
        </w:rPr>
        <w:t>.”</w:t>
      </w:r>
    </w:p>
    <w:p w:rsidR="00D614B5" w:rsidRDefault="008C01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w:t>
      </w:r>
      <w:r>
        <w:rPr>
          <w:rFonts w:ascii="Palatino Linotype" w:eastAsia="Palatino Linotype" w:hAnsi="Palatino Linotype" w:cs="Palatino Linotype"/>
        </w:rPr>
        <w:t xml:space="preserve">d de información; sin embargo, tratándose de negativa ficta no existe resolución que se haga del conocimiento del particular a partir de la cual pueda computarse dicho plazo, por lo que se concluye que la interposición del recurso de revisión puede ser en </w:t>
      </w:r>
      <w:r>
        <w:rPr>
          <w:rFonts w:ascii="Palatino Linotype" w:eastAsia="Palatino Linotype" w:hAnsi="Palatino Linotype" w:cs="Palatino Linotype"/>
        </w:rPr>
        <w:t>cualquier momento.</w:t>
      </w:r>
    </w:p>
    <w:p w:rsidR="00D614B5" w:rsidRDefault="008C01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w:t>
      </w:r>
      <w:r>
        <w:rPr>
          <w:rFonts w:ascii="Palatino Linotype" w:eastAsia="Palatino Linotype" w:hAnsi="Palatino Linotype" w:cs="Palatino Linotype"/>
        </w:rPr>
        <w:t xml:space="preserve">igura se encuentra íntimamente vinculada con el Derecho de Petición, consagrado en nuestra Constitución, es por ello que constituye un instrumento que garantiza la posibilidad de defensa del particular en contra de la incertidumbre jurídica y que tiende a </w:t>
      </w:r>
      <w:r>
        <w:rPr>
          <w:rFonts w:ascii="Palatino Linotype" w:eastAsia="Palatino Linotype" w:hAnsi="Palatino Linotype" w:cs="Palatino Linotype"/>
        </w:rPr>
        <w:t>realizar ese Estado de Derecho en el que, el particular, tiene siempre una vía de defensa en contra de los actos autoritarios que le perjudican.</w:t>
      </w:r>
    </w:p>
    <w:p w:rsidR="00D614B5" w:rsidRDefault="008C01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w:t>
      </w:r>
      <w:r>
        <w:rPr>
          <w:rFonts w:ascii="Palatino Linotype" w:eastAsia="Palatino Linotype" w:hAnsi="Palatino Linotype" w:cs="Palatino Linotype"/>
        </w:rPr>
        <w:t>la oportunidad de inconformarse en los casos en que estime violentado su derecho; permitiendo a este Instituto cumplir los principios por los cuales la misma ley se rige que atienden a la simplicidad y rapidez al acceso a la información, por lo tanto antes</w:t>
      </w:r>
      <w:r>
        <w:rPr>
          <w:rFonts w:ascii="Palatino Linotype" w:eastAsia="Palatino Linotype" w:hAnsi="Palatino Linotype" w:cs="Palatino Linotype"/>
        </w:rPr>
        <w:t xml:space="preserve"> de que se actualice un recurso extemporáneo, se actualiza la omisión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dar respuesta, por lo que este Órgano Garante del derecho de acceso a la información y en aras de privilegiar el principio de máxima publicidad deberá dar entrada </w:t>
      </w:r>
      <w:r>
        <w:rPr>
          <w:rFonts w:ascii="Palatino Linotype" w:eastAsia="Palatino Linotype" w:hAnsi="Palatino Linotype" w:cs="Palatino Linotype"/>
        </w:rPr>
        <w:t>al estudio del fondo del recurso interpuesto en dichos casos y no optar por el desechamiento del mismo.</w:t>
      </w:r>
    </w:p>
    <w:p w:rsidR="00D614B5" w:rsidRDefault="008C01B8">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lo tanto, con la finalidad de no reducir ni limitar el derecho de acceso a la información y concederle una protección más eficaz al solicitante para</w:t>
      </w:r>
      <w:r>
        <w:rPr>
          <w:rFonts w:ascii="Palatino Linotype" w:eastAsia="Palatino Linotype" w:hAnsi="Palatino Linotype" w:cs="Palatino Linotype"/>
        </w:rPr>
        <w:t xml:space="preserve">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éste tiene la posibilidad de impugnar dicha omisión en cualquier tiempo mediante el recurso de revisión y con ello satisfacer su pretensión; postura que ha sido adoptada mediante criterio número 001-15, </w:t>
      </w:r>
      <w:r>
        <w:rPr>
          <w:rFonts w:ascii="Palatino Linotype" w:eastAsia="Palatino Linotype" w:hAnsi="Palatino Linotype" w:cs="Palatino Linotype"/>
        </w:rPr>
        <w:lastRenderedPageBreak/>
        <w:t>aprobado p</w:t>
      </w:r>
      <w:r>
        <w:rPr>
          <w:rFonts w:ascii="Palatino Linotype" w:eastAsia="Palatino Linotype" w:hAnsi="Palatino Linotype" w:cs="Palatino Linotype"/>
        </w:rPr>
        <w:t>or el Pleno del Instituto de Transparencia, Acceso a la Información Pública y Protección de Datos Personales del Estado de México y Municipios y publicado en el Periódico Oficial del Estado de México “Gaceta del Gobierno”, el veintitrés de abril de dos mil</w:t>
      </w:r>
      <w:r>
        <w:rPr>
          <w:rFonts w:ascii="Palatino Linotype" w:eastAsia="Palatino Linotype" w:hAnsi="Palatino Linotype" w:cs="Palatino Linotype"/>
        </w:rPr>
        <w:t xml:space="preserve"> quince, que establece:</w:t>
      </w:r>
    </w:p>
    <w:p w:rsidR="00D614B5" w:rsidRDefault="008C01B8">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w:t>
      </w:r>
      <w:r>
        <w:rPr>
          <w:rFonts w:ascii="Palatino Linotype" w:eastAsia="Palatino Linotype" w:hAnsi="Palatino Linotype" w:cs="Palatino Linotype"/>
          <w:i/>
          <w:sz w:val="22"/>
          <w:szCs w:val="22"/>
        </w:rPr>
        <w:t>que, cuando no se entregue la respuesta a la solicitud dentro del plazo de 15 días establecidos en el artículo 46 de la Ley de la materia, se entenderá por negada la solicitud y podrá interponerse el recurso correspondiente. Por su parte, el artículo 72 de</w:t>
      </w:r>
      <w:r>
        <w:rPr>
          <w:rFonts w:ascii="Palatino Linotype" w:eastAsia="Palatino Linotype" w:hAnsi="Palatino Linotype" w:cs="Palatino Linotype"/>
          <w:i/>
          <w:sz w:val="22"/>
          <w:szCs w:val="22"/>
        </w:rPr>
        <w:t>l mismo ordenamiento legal establece el plazo de 15 días para interponer el recurso de revisión a partir del día siguiente al que tuvo conocimiento de la respuesta recaída a su solicitud, sin que se establezca excepción alguna tratándose de una falta de re</w:t>
      </w:r>
      <w:r>
        <w:rPr>
          <w:rFonts w:ascii="Palatino Linotype" w:eastAsia="Palatino Linotype" w:hAnsi="Palatino Linotype" w:cs="Palatino Linotype"/>
          <w:i/>
          <w:sz w:val="22"/>
          <w:szCs w:val="22"/>
        </w:rPr>
        <w:t>spuesta del sujeto obligado. Así, entonces, resulta evidente que, al no emitirse respuesta dentro del plazo establecido, se genera la ficción legal de una respuesta en sentido negativo; en el entendido de que el plazo para impugnar esa negativa podrá ser e</w:t>
      </w:r>
      <w:r>
        <w:rPr>
          <w:rFonts w:ascii="Palatino Linotype" w:eastAsia="Palatino Linotype" w:hAnsi="Palatino Linotype" w:cs="Palatino Linotype"/>
          <w:i/>
          <w:sz w:val="22"/>
          <w:szCs w:val="22"/>
        </w:rPr>
        <w:t>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(Sic)</w:t>
      </w:r>
    </w:p>
    <w:p w:rsidR="00D614B5" w:rsidRDefault="008C01B8">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Ahora bien, del</w:t>
      </w:r>
      <w:r>
        <w:rPr>
          <w:rFonts w:ascii="Palatino Linotype" w:eastAsia="Palatino Linotype" w:hAnsi="Palatino Linotype" w:cs="Palatino Linotype"/>
        </w:rPr>
        <w:t xml:space="preserve"> análisis efectuado se advierte que resulta procedente la interposición del recurso y se concluye la acreditación plena de todos y cada uno de los elementos formales exigidos por el artículo 180 de la Ley de Transparencia y Acceso a la Información Pública </w:t>
      </w:r>
      <w:r>
        <w:rPr>
          <w:rFonts w:ascii="Palatino Linotype" w:eastAsia="Palatino Linotype" w:hAnsi="Palatino Linotype" w:cs="Palatino Linotype"/>
        </w:rPr>
        <w:t xml:space="preserve">del Estado de México y Municipios en vigor, en atención a que fue presentado mediante el formato visible </w:t>
      </w:r>
      <w:r>
        <w:rPr>
          <w:rFonts w:ascii="Palatino Linotype" w:eastAsia="Palatino Linotype" w:hAnsi="Palatino Linotype" w:cs="Palatino Linotype"/>
          <w:b/>
        </w:rPr>
        <w:t xml:space="preserve">en el SAIMEX.  </w:t>
      </w:r>
    </w:p>
    <w:p w:rsidR="00D614B5" w:rsidRDefault="008C01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Antes de entrar al estudio de la presente resolución es preciso determinar si resulta procedente la interposición del recurso de revisi</w:t>
      </w:r>
      <w:r>
        <w:rPr>
          <w:rFonts w:ascii="Palatino Linotype" w:eastAsia="Palatino Linotype" w:hAnsi="Palatino Linotype" w:cs="Palatino Linotype"/>
        </w:rPr>
        <w:t xml:space="preserve">ón, toda vez que se actualizan la </w:t>
      </w:r>
      <w:r>
        <w:rPr>
          <w:rFonts w:ascii="Palatino Linotype" w:eastAsia="Palatino Linotype" w:hAnsi="Palatino Linotype" w:cs="Palatino Linotype"/>
        </w:rPr>
        <w:lastRenderedPageBreak/>
        <w:t>hipótesis prevista en el artículo 179, fracción VII de la ley de la materia, que a la letra dice:</w:t>
      </w:r>
    </w:p>
    <w:p w:rsidR="00D614B5" w:rsidRDefault="008C01B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w:t>
      </w:r>
      <w:r>
        <w:rPr>
          <w:rFonts w:ascii="Palatino Linotype" w:eastAsia="Palatino Linotype" w:hAnsi="Palatino Linotype" w:cs="Palatino Linotype"/>
          <w:i/>
          <w:sz w:val="22"/>
          <w:szCs w:val="22"/>
        </w:rPr>
        <w:t>recho de acceso a la información pública, y procederá en contra de las siguientes causas:</w:t>
      </w:r>
    </w:p>
    <w:p w:rsidR="00D614B5" w:rsidRDefault="008C01B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rsidR="00D614B5" w:rsidRDefault="008C01B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rsidR="00D614B5" w:rsidRDefault="008C01B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D614B5" w:rsidRDefault="00D614B5">
      <w:pPr>
        <w:ind w:left="851" w:right="851"/>
        <w:jc w:val="both"/>
        <w:rPr>
          <w:rFonts w:ascii="Palatino Linotype" w:eastAsia="Palatino Linotype" w:hAnsi="Palatino Linotype" w:cs="Palatino Linotype"/>
          <w:i/>
        </w:rPr>
      </w:pPr>
    </w:p>
    <w:p w:rsidR="00D614B5" w:rsidRDefault="008C01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El precepto legal citado, establece como supuesto de procedencia del recurso de revisión,</w:t>
      </w:r>
      <w:r>
        <w:rPr>
          <w:rFonts w:ascii="Palatino Linotype" w:eastAsia="Palatino Linotype" w:hAnsi="Palatino Linotype" w:cs="Palatino Linotype"/>
        </w:rPr>
        <w:t xml:space="preserve"> en aquellos casos en que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ella.</w:t>
      </w:r>
    </w:p>
    <w:p w:rsidR="00D614B5" w:rsidRDefault="008C01B8">
      <w:pPr>
        <w:tabs>
          <w:tab w:val="left" w:pos="8647"/>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Este Órgano Garante procede del análisis de los agravios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a fin de determinar si se violenta en perjuicio de éste, e</w:t>
      </w:r>
      <w:r>
        <w:rPr>
          <w:rFonts w:ascii="Palatino Linotype" w:eastAsia="Palatino Linotype" w:hAnsi="Palatino Linotype" w:cs="Palatino Linotype"/>
        </w:rPr>
        <w:t>l derecho de acceso a la información previsto en la Constitución Política de los Estados Unidos Mexicanos y en la Constitución Política del Estado Libre y Soberano de México.</w:t>
      </w:r>
    </w:p>
    <w:p w:rsidR="00D614B5" w:rsidRDefault="008C01B8">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Una vez determinada la vía sobre la que versará el pr</w:t>
      </w:r>
      <w:r>
        <w:rPr>
          <w:rFonts w:ascii="Palatino Linotype" w:eastAsia="Palatino Linotype" w:hAnsi="Palatino Linotype" w:cs="Palatino Linotype"/>
        </w:rPr>
        <w:t xml:space="preserve">esente recurso, y previa revisión del expediente del recurso de revisión materia de la presente resolución, se advierte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dio respuesta a la solicitud de información planteada por 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lo que se </w:t>
      </w:r>
      <w:r>
        <w:rPr>
          <w:rFonts w:ascii="Palatino Linotype" w:eastAsia="Palatino Linotype" w:hAnsi="Palatino Linotype" w:cs="Palatino Linotype"/>
        </w:rPr>
        <w:lastRenderedPageBreak/>
        <w:t>traduce como la configuraci</w:t>
      </w:r>
      <w:r>
        <w:rPr>
          <w:rFonts w:ascii="Palatino Linotype" w:eastAsia="Palatino Linotype" w:hAnsi="Palatino Linotype" w:cs="Palatino Linotype"/>
        </w:rPr>
        <w:t xml:space="preserve">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Verdana" w:eastAsia="Verdana" w:hAnsi="Verdana" w:cs="Verdana"/>
          <w:color w:val="000000"/>
          <w:sz w:val="15"/>
          <w:szCs w:val="15"/>
        </w:rPr>
        <w:t> </w:t>
      </w:r>
      <w:r>
        <w:rPr>
          <w:rFonts w:ascii="Palatino Linotype" w:eastAsia="Palatino Linotype" w:hAnsi="Palatino Linotype" w:cs="Palatino Linotype"/>
          <w:b/>
          <w:color w:val="000000"/>
        </w:rPr>
        <w:t>00221/IXTAPALU/IP/2021</w:t>
      </w:r>
      <w:r>
        <w:rPr>
          <w:rFonts w:ascii="Palatino Linotype" w:eastAsia="Palatino Linotype" w:hAnsi="Palatino Linotype" w:cs="Palatino Linotype"/>
          <w:b/>
        </w:rPr>
        <w:t>,</w:t>
      </w:r>
      <w:r>
        <w:rPr>
          <w:rFonts w:ascii="Palatino Linotype" w:eastAsia="Palatino Linotype" w:hAnsi="Palatino Linotype" w:cs="Palatino Linotype"/>
        </w:rPr>
        <w:t xml:space="preserve"> dentro </w:t>
      </w:r>
      <w:r>
        <w:rPr>
          <w:rFonts w:ascii="Palatino Linotype" w:eastAsia="Palatino Linotype" w:hAnsi="Palatino Linotype" w:cs="Palatino Linotype"/>
        </w:rPr>
        <w:t>del plazo legal previsto para ello.</w:t>
      </w:r>
    </w:p>
    <w:p w:rsidR="00D614B5" w:rsidRDefault="008C01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Pr>
          <w:rFonts w:ascii="Palatino Linotype" w:eastAsia="Palatino Linotype" w:hAnsi="Palatino Linotype" w:cs="Palatino Linotype"/>
        </w:rPr>
        <w:t>le proporcionara, lo siguiente:</w:t>
      </w:r>
    </w:p>
    <w:p w:rsidR="00D614B5" w:rsidRDefault="008C01B8">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Detalle de las acciones afirmativas llevadas a cabo por la unidad administrativa encargada de las tareas de seguridad pública para los años 2018, 2019, 2020 y 2021 para lograr la igualdad sustantiva y la conformación paritaria. 2 Número de denuncias y l</w:t>
      </w:r>
      <w:r>
        <w:rPr>
          <w:rFonts w:ascii="Palatino Linotype" w:eastAsia="Palatino Linotype" w:hAnsi="Palatino Linotype" w:cs="Palatino Linotype"/>
          <w:i/>
          <w:sz w:val="22"/>
          <w:szCs w:val="22"/>
        </w:rPr>
        <w:t xml:space="preserve">lamadas de emergencias atendidas, respectivamente por crímenes en contra de las mujeres ( desglosando cada uno: violencia de género, acoso, hostigamiento, violencia intrafamiliar) para los años 2018, 2019, 2020 y 2021. 3 Número de aplicaciones de botón de </w:t>
      </w:r>
      <w:r>
        <w:rPr>
          <w:rFonts w:ascii="Palatino Linotype" w:eastAsia="Palatino Linotype" w:hAnsi="Palatino Linotype" w:cs="Palatino Linotype"/>
          <w:i/>
          <w:sz w:val="22"/>
          <w:szCs w:val="22"/>
        </w:rPr>
        <w:t>pánico y alerta de genero instalados en smartphones por la unidad administrativa encargada de las tareas de seguridad pública para los años 2018, 2019, 2020 y 2021. 4 Acciones y avances obtenidos y realizados por la del área o unidad administrativa encarga</w:t>
      </w:r>
      <w:r>
        <w:rPr>
          <w:rFonts w:ascii="Palatino Linotype" w:eastAsia="Palatino Linotype" w:hAnsi="Palatino Linotype" w:cs="Palatino Linotype"/>
          <w:i/>
          <w:sz w:val="22"/>
          <w:szCs w:val="22"/>
        </w:rPr>
        <w:t xml:space="preserve">da de las tareas de seguridad pública para los años 2018, 2019, 2020 y 2021 en relación a la alerta de genero emitida por el Gobierno del Estado de México. 5 Avances del PROIGUALDAD para 2018, 2019, 2020 y 2021” (Sic). </w:t>
      </w:r>
    </w:p>
    <w:p w:rsidR="00D614B5" w:rsidRDefault="008C01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 se procede al</w:t>
      </w:r>
      <w:r>
        <w:rPr>
          <w:rFonts w:ascii="Palatino Linotype" w:eastAsia="Palatino Linotype" w:hAnsi="Palatino Linotype" w:cs="Palatino Linotype"/>
        </w:rPr>
        <w:t xml:space="preserve"> análisis del presente recurso, así como al contenido íntegro de las actuaciones que obran en el expediente electrónico, para así estar en posibilidad este Organismo Garante de dictar el fallo correspondiente conforme a derecho, tomando en consideración lo</w:t>
      </w:r>
      <w:r>
        <w:rPr>
          <w:rFonts w:ascii="Palatino Linotype" w:eastAsia="Palatino Linotype" w:hAnsi="Palatino Linotype" w:cs="Palatino Linotype"/>
        </w:rPr>
        <w:t xml:space="preserve">s elementos aportados por las partes y apegándose en todo momento al principio de máxima publicidad consagrado en nuestra Constitución Federal, Local y demás leyes aplicables en la </w:t>
      </w:r>
      <w:r>
        <w:rPr>
          <w:rFonts w:ascii="Palatino Linotype" w:eastAsia="Palatino Linotype" w:hAnsi="Palatino Linotype" w:cs="Palatino Linotype"/>
        </w:rPr>
        <w:lastRenderedPageBreak/>
        <w:t>materia, así como en los tratados internacionales en los que el Estado Mexi</w:t>
      </w:r>
      <w:r>
        <w:rPr>
          <w:rFonts w:ascii="Palatino Linotype" w:eastAsia="Palatino Linotype" w:hAnsi="Palatino Linotype" w:cs="Palatino Linotype"/>
        </w:rPr>
        <w:t>cano sea parte, en concordancia con el artículo 8 de la Ley de Transparencia local.</w:t>
      </w:r>
    </w:p>
    <w:p w:rsidR="00D614B5" w:rsidRDefault="008C01B8">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anterior, es menester mencionar que el derecho de acceso a la información está consagrado en instrumentos internacionales de los cuales el Estado Mexicano se ha adhe</w:t>
      </w:r>
      <w:r>
        <w:rPr>
          <w:rFonts w:ascii="Palatino Linotype" w:eastAsia="Palatino Linotype" w:hAnsi="Palatino Linotype" w:cs="Palatino Linotype"/>
        </w:rPr>
        <w:t>rido, sin oponer reserva alguna sobre lo que nos interesa, adoptando dichas disposiciones al Derecho Interno, específicamente a nivel Constitucional, tal y como lo prevén los arábigos 1 párrafos primero, segundo y tercero y 6 apartado A fracciones I, II, I</w:t>
      </w:r>
      <w:r>
        <w:rPr>
          <w:rFonts w:ascii="Palatino Linotype" w:eastAsia="Palatino Linotype" w:hAnsi="Palatino Linotype" w:cs="Palatino Linotype"/>
        </w:rPr>
        <w:t>II, IV, V, VI y VII que a la letra señalan:</w:t>
      </w:r>
    </w:p>
    <w:p w:rsidR="00D614B5" w:rsidRDefault="00D614B5">
      <w:pPr>
        <w:tabs>
          <w:tab w:val="left" w:pos="709"/>
        </w:tabs>
        <w:ind w:left="851" w:right="850"/>
        <w:jc w:val="both"/>
        <w:rPr>
          <w:rFonts w:ascii="Palatino Linotype" w:eastAsia="Palatino Linotype" w:hAnsi="Palatino Linotype" w:cs="Palatino Linotype"/>
        </w:rPr>
      </w:pPr>
    </w:p>
    <w:p w:rsidR="00D614B5" w:rsidRDefault="008C01B8">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w:t>
      </w:r>
      <w:r>
        <w:rPr>
          <w:rFonts w:ascii="Palatino Linotype" w:eastAsia="Palatino Linotype" w:hAnsi="Palatino Linotype" w:cs="Palatino Linotype"/>
          <w:i/>
          <w:sz w:val="22"/>
          <w:szCs w:val="22"/>
        </w:rPr>
        <w:t>mo de las garantías para su protección, cuyo ejercicio no podrá restringirse ni suspenderse, salvo en los casos y bajo las condiciones que esta Constitución establece.</w:t>
      </w:r>
    </w:p>
    <w:p w:rsidR="00D614B5" w:rsidRDefault="008C01B8">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D614B5" w:rsidRDefault="008C01B8">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w:t>
      </w:r>
      <w:r>
        <w:rPr>
          <w:rFonts w:ascii="Palatino Linotype" w:eastAsia="Palatino Linotype" w:hAnsi="Palatino Linotype" w:cs="Palatino Linotype"/>
          <w:b/>
          <w:i/>
          <w:sz w:val="22"/>
          <w:szCs w:val="22"/>
          <w:u w:val="single"/>
        </w:rPr>
        <w:t>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w:t>
      </w:r>
      <w:r>
        <w:rPr>
          <w:rFonts w:ascii="Palatino Linotype" w:eastAsia="Palatino Linotype" w:hAnsi="Palatino Linotype" w:cs="Palatino Linotype"/>
          <w:i/>
          <w:sz w:val="22"/>
          <w:szCs w:val="22"/>
        </w:rPr>
        <w:t>tigar, sancionar y reparar las violaciones a los derechos humanos, en los términos que establezca la ley</w:t>
      </w:r>
    </w:p>
    <w:p w:rsidR="00D614B5" w:rsidRDefault="008C01B8">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614B5" w:rsidRDefault="008C01B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D614B5" w:rsidRDefault="008C01B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614B5" w:rsidRDefault="008C01B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w:t>
      </w:r>
      <w:r>
        <w:rPr>
          <w:rFonts w:ascii="Palatino Linotype" w:eastAsia="Palatino Linotype" w:hAnsi="Palatino Linotype" w:cs="Palatino Linotype"/>
          <w:i/>
          <w:sz w:val="22"/>
          <w:szCs w:val="22"/>
        </w:rPr>
        <w:t>pectivas competencias, se regirán por los siguientes principios y bases:</w:t>
      </w:r>
    </w:p>
    <w:p w:rsidR="00D614B5" w:rsidRDefault="008C01B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D614B5" w:rsidRDefault="008C01B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órganos autónomos, partidos políticos, fidei</w:t>
      </w:r>
      <w:r>
        <w:rPr>
          <w:rFonts w:ascii="Palatino Linotype" w:eastAsia="Palatino Linotype" w:hAnsi="Palatino Linotype" w:cs="Palatino Linotype"/>
          <w:i/>
          <w:sz w:val="22"/>
          <w:szCs w:val="22"/>
        </w:rPr>
        <w:t xml:space="preserve">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w:t>
      </w:r>
      <w:r>
        <w:rPr>
          <w:rFonts w:ascii="Palatino Linotype" w:eastAsia="Palatino Linotype" w:hAnsi="Palatino Linotype" w:cs="Palatino Linotype"/>
          <w:b/>
          <w:i/>
          <w:sz w:val="22"/>
          <w:szCs w:val="22"/>
        </w:rPr>
        <w:t xml:space="preserve">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w:t>
      </w:r>
      <w:r>
        <w:rPr>
          <w:rFonts w:ascii="Palatino Linotype" w:eastAsia="Palatino Linotype" w:hAnsi="Palatino Linotype" w:cs="Palatino Linotype"/>
          <w:i/>
          <w:sz w:val="22"/>
          <w:szCs w:val="22"/>
        </w:rPr>
        <w:t>ltades, competencias o funciones, la ley determinará los supuestos específicos bajo los cuales procederá la declaración de inexistencia de la información.</w:t>
      </w:r>
    </w:p>
    <w:p w:rsidR="00D614B5" w:rsidRDefault="008C01B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D614B5" w:rsidRDefault="008C01B8">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w:t>
      </w:r>
      <w:r>
        <w:rPr>
          <w:rFonts w:ascii="Palatino Linotype" w:eastAsia="Palatino Linotype" w:hAnsi="Palatino Linotype" w:cs="Palatino Linotype"/>
          <w:b/>
          <w:i/>
          <w:sz w:val="22"/>
          <w:szCs w:val="22"/>
        </w:rPr>
        <w:t>rminos y con las excepciones que fijen las leyes.</w:t>
      </w:r>
    </w:p>
    <w:p w:rsidR="00D614B5" w:rsidRDefault="008C01B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D614B5" w:rsidRDefault="008C01B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D614B5" w:rsidRDefault="008C01B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D614B5" w:rsidRDefault="008C01B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w:t>
      </w:r>
      <w:r>
        <w:rPr>
          <w:rFonts w:ascii="Palatino Linotype" w:eastAsia="Palatino Linotype" w:hAnsi="Palatino Linotype" w:cs="Palatino Linotype"/>
          <w:i/>
          <w:sz w:val="22"/>
          <w:szCs w:val="22"/>
        </w:rPr>
        <w:t>tablecerán mecanismos de acceso a la información y procedimientos de revisión expeditos que se sustanciarán ante los organismos autónomos especializados e imparciales que establece esta Constitución.</w:t>
      </w:r>
    </w:p>
    <w:p w:rsidR="00D614B5" w:rsidRDefault="00D614B5">
      <w:pPr>
        <w:ind w:left="851" w:right="851"/>
        <w:jc w:val="both"/>
        <w:rPr>
          <w:rFonts w:ascii="Palatino Linotype" w:eastAsia="Palatino Linotype" w:hAnsi="Palatino Linotype" w:cs="Palatino Linotype"/>
          <w:i/>
          <w:sz w:val="22"/>
          <w:szCs w:val="22"/>
        </w:rPr>
      </w:pPr>
    </w:p>
    <w:p w:rsidR="00D614B5" w:rsidRDefault="008C01B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w:t>
      </w:r>
      <w:r>
        <w:rPr>
          <w:rFonts w:ascii="Palatino Linotype" w:eastAsia="Palatino Linotype" w:hAnsi="Palatino Linotype" w:cs="Palatino Linotype"/>
          <w:i/>
          <w:sz w:val="22"/>
          <w:szCs w:val="22"/>
        </w:rPr>
        <w:t>es que permitan rendir cuenta del cumplimiento de sus objetivos y de los resultados obtenidos.</w:t>
      </w:r>
    </w:p>
    <w:p w:rsidR="00D614B5" w:rsidRDefault="008C01B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D614B5" w:rsidRDefault="008C01B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w:t>
      </w:r>
      <w:r>
        <w:rPr>
          <w:rFonts w:ascii="Palatino Linotype" w:eastAsia="Palatino Linotype" w:hAnsi="Palatino Linotype" w:cs="Palatino Linotype"/>
          <w:i/>
          <w:sz w:val="22"/>
          <w:szCs w:val="22"/>
        </w:rPr>
        <w:t>s físicas o morales.</w:t>
      </w:r>
    </w:p>
    <w:p w:rsidR="00D614B5" w:rsidRDefault="008C01B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D614B5" w:rsidRDefault="008C01B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rsidR="00D614B5" w:rsidRDefault="00D614B5">
      <w:pPr>
        <w:ind w:left="851" w:right="851"/>
        <w:jc w:val="both"/>
        <w:rPr>
          <w:rFonts w:ascii="Palatino Linotype" w:eastAsia="Palatino Linotype" w:hAnsi="Palatino Linotype" w:cs="Palatino Linotype"/>
          <w:i/>
          <w:sz w:val="22"/>
          <w:szCs w:val="22"/>
        </w:rPr>
      </w:pPr>
    </w:p>
    <w:p w:rsidR="00D614B5" w:rsidRDefault="008C01B8">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de la interpretación sistémica de los numerales inmersos en los instrumentos</w:t>
      </w:r>
      <w:r>
        <w:rPr>
          <w:rFonts w:ascii="Palatino Linotype" w:eastAsia="Palatino Linotype" w:hAnsi="Palatino Linotype" w:cs="Palatino Linotype"/>
        </w:rPr>
        <w:t xml:space="preserve"> legales Internacionales y Nacional, el derecho de acceso a la información es un derecho del cual goza toda persona sin discriminación alguna, el cual se ejerce ante los Poderes del Estado, entidades, dependencias o cualquiera persona física o moral que re</w:t>
      </w:r>
      <w:r>
        <w:rPr>
          <w:rFonts w:ascii="Palatino Linotype" w:eastAsia="Palatino Linotype" w:hAnsi="Palatino Linotype" w:cs="Palatino Linotype"/>
        </w:rPr>
        <w:t>ciba y ejerza recursos públicos, siendo pública toda la información que posean con las excepciones enmarcadas, para lo cual queda demostrado que los sujetos obligados deben cumplir con dichos dispositivos legales.</w:t>
      </w:r>
    </w:p>
    <w:p w:rsidR="00D614B5" w:rsidRDefault="008C01B8">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D614B5" w:rsidRDefault="008C01B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D614B5" w:rsidRDefault="008C01B8">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D614B5" w:rsidRDefault="008C01B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D614B5" w:rsidRDefault="008C01B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D614B5" w:rsidRDefault="008C01B8">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D614B5" w:rsidRDefault="008C01B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D614B5" w:rsidRDefault="008C01B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D614B5" w:rsidRDefault="008C01B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D614B5" w:rsidRDefault="008C01B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D614B5" w:rsidRDefault="008C01B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D614B5" w:rsidRDefault="008C01B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D614B5" w:rsidRDefault="008C01B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D614B5" w:rsidRDefault="008C01B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D614B5" w:rsidRDefault="008C01B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(Sic)</w:t>
      </w:r>
    </w:p>
    <w:p w:rsidR="00D614B5" w:rsidRDefault="00D614B5">
      <w:pPr>
        <w:ind w:left="851" w:right="902"/>
        <w:jc w:val="both"/>
        <w:rPr>
          <w:rFonts w:ascii="Palatino Linotype" w:eastAsia="Palatino Linotype" w:hAnsi="Palatino Linotype" w:cs="Palatino Linotype"/>
          <w:sz w:val="22"/>
          <w:szCs w:val="22"/>
        </w:rPr>
      </w:pPr>
    </w:p>
    <w:p w:rsidR="00D614B5" w:rsidRDefault="008C01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Pr>
          <w:rFonts w:ascii="Palatino Linotype" w:eastAsia="Palatino Linotype" w:hAnsi="Palatino Linotype" w:cs="Palatino Linotype"/>
        </w:rPr>
        <w:t xml:space="preserve">la Ciudad de México o Municipales, con el fin de que los particulares conozcan toda aquella información que es considerada como pública. </w:t>
      </w:r>
    </w:p>
    <w:p w:rsidR="00D614B5" w:rsidRDefault="008C01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esa tesitura, este Instituto no omite señalar que los Sujetos Obligados deben contar con un área responsable para l</w:t>
      </w:r>
      <w:r>
        <w:rPr>
          <w:rFonts w:ascii="Palatino Linotype" w:eastAsia="Palatino Linotype" w:hAnsi="Palatino Linotype" w:cs="Palatino Linotype"/>
        </w:rPr>
        <w:t xml:space="preserve">a atención de las solicitudes de información, a la que se le denominará Unidad de Transparencia; asimismo, deben designar a un responsable para atender dicha Unidad, quien fungirá como enlace entre éstos y los solicitantes. </w:t>
      </w:r>
    </w:p>
    <w:p w:rsidR="00D614B5" w:rsidRDefault="008C01B8">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w:t>
      </w:r>
      <w:r>
        <w:rPr>
          <w:rFonts w:ascii="Palatino Linotype" w:eastAsia="Palatino Linotype" w:hAnsi="Palatino Linotype" w:cs="Palatino Linotype"/>
        </w:rPr>
        <w:t>ue la ya mencionada Unidad de Transparencia es la encargada de tramitar internamente las solicitudes de información y tiene la responsabilidad de verificar, en cada caso, que la información no tenga el carácter de confidencial o reservada, en términos de l</w:t>
      </w:r>
      <w:r>
        <w:rPr>
          <w:rFonts w:ascii="Palatino Linotype" w:eastAsia="Palatino Linotype" w:hAnsi="Palatino Linotype" w:cs="Palatino Linotype"/>
        </w:rPr>
        <w:t>os artículos 50 y 51 de la Ley de Transparencia y Acceso a la Información del Estado de México y Municipios.</w:t>
      </w:r>
    </w:p>
    <w:p w:rsidR="00D614B5" w:rsidRDefault="008C01B8">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artículo 53, fracciones II, IV y V de la Ley antes citada establece que </w:t>
      </w:r>
      <w:r>
        <w:rPr>
          <w:rFonts w:ascii="Palatino Linotype" w:eastAsia="Palatino Linotype" w:hAnsi="Palatino Linotype" w:cs="Palatino Linotype"/>
        </w:rPr>
        <w:lastRenderedPageBreak/>
        <w:t>las Unidades de Transparencia tienen, entre otras, las fun</w:t>
      </w:r>
      <w:r>
        <w:rPr>
          <w:rFonts w:ascii="Palatino Linotype" w:eastAsia="Palatino Linotype" w:hAnsi="Palatino Linotype" w:cs="Palatino Linotype"/>
        </w:rPr>
        <w:t>ciones de recibir, tramitar y dar respuesta a las solicitudes de acceso a la información; realizar, con efectividad, los trámites internos necesarios para la atención de las solicitudes de acceso a la información; así como, entregar, en su caso, a los part</w:t>
      </w:r>
      <w:r>
        <w:rPr>
          <w:rFonts w:ascii="Palatino Linotype" w:eastAsia="Palatino Linotype" w:hAnsi="Palatino Linotype" w:cs="Palatino Linotype"/>
        </w:rPr>
        <w:t>iculares la información solicitada.</w:t>
      </w:r>
    </w:p>
    <w:p w:rsidR="00D614B5" w:rsidRDefault="008C01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w:t>
      </w:r>
      <w:r>
        <w:rPr>
          <w:rFonts w:ascii="Palatino Linotype" w:eastAsia="Palatino Linotype" w:hAnsi="Palatino Linotype" w:cs="Palatino Linotype"/>
        </w:rPr>
        <w:t>d de Transparencia, ésta dará aviso al superior jerárquico para que le ordene realizar sin demora las acciones conducentes y en caso de que persista la negativa de colaboración, hará del conocimiento de la autoridad competente para que se inicie, en su cas</w:t>
      </w:r>
      <w:r>
        <w:rPr>
          <w:rFonts w:ascii="Palatino Linotype" w:eastAsia="Palatino Linotype" w:hAnsi="Palatino Linotype" w:cs="Palatino Linotype"/>
        </w:rPr>
        <w:t>o, el procedimiento de responsabilidad respectivo.</w:t>
      </w:r>
    </w:p>
    <w:p w:rsidR="00D614B5" w:rsidRDefault="008C01B8">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w:t>
      </w:r>
      <w:r>
        <w:rPr>
          <w:rFonts w:ascii="Palatino Linotype" w:eastAsia="Palatino Linotype" w:hAnsi="Palatino Linotype" w:cs="Palatino Linotype"/>
        </w:rPr>
        <w:t>nidad de Transparencia; proporcionar la misma y apoyarla en lo que ésta le solicite para el cumplimiento de sus funciones.</w:t>
      </w:r>
    </w:p>
    <w:p w:rsidR="00D614B5" w:rsidRDefault="008C01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destaca que de conformidad con el artículo 163 de la legislación en cita, se desprende que la Unidad de Transparencia </w:t>
      </w:r>
      <w:r>
        <w:rPr>
          <w:rFonts w:ascii="Palatino Linotype" w:eastAsia="Palatino Linotype" w:hAnsi="Palatino Linotype" w:cs="Palatino Linotype"/>
        </w:rPr>
        <w:t>debe notificar la respuesta a las solicitudes de acceso a la información, en el menor tiempo posible, que no podrá exceder de quince días hábiles, teniendo como excepción al plazo referido, una prórroga de hasta siete días hábiles adicionales, siempre y cu</w:t>
      </w:r>
      <w:r>
        <w:rPr>
          <w:rFonts w:ascii="Palatino Linotype" w:eastAsia="Palatino Linotype" w:hAnsi="Palatino Linotype" w:cs="Palatino Linotype"/>
        </w:rPr>
        <w:t xml:space="preserve">ando existan razones fundadas y motivadas, las cuales deberán ser aprobadas por el Comité de </w:t>
      </w:r>
      <w:r>
        <w:rPr>
          <w:rFonts w:ascii="Palatino Linotype" w:eastAsia="Palatino Linotype" w:hAnsi="Palatino Linotype" w:cs="Palatino Linotype"/>
        </w:rPr>
        <w:lastRenderedPageBreak/>
        <w:t>Transparencia. Situación que en la especie no aconteció. Sirve de sustento a lo anterior el precepto legal en cita:</w:t>
      </w:r>
    </w:p>
    <w:p w:rsidR="00D614B5" w:rsidRDefault="008C01B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w:t>
      </w:r>
      <w:r>
        <w:rPr>
          <w:rFonts w:ascii="Palatino Linotype" w:eastAsia="Palatino Linotype" w:hAnsi="Palatino Linotype" w:cs="Palatino Linotype"/>
          <w:b/>
          <w:i/>
          <w:sz w:val="22"/>
          <w:szCs w:val="22"/>
        </w:rPr>
        <w:t>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D614B5" w:rsidRDefault="008C01B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w:t>
      </w:r>
      <w:r>
        <w:rPr>
          <w:rFonts w:ascii="Palatino Linotype" w:eastAsia="Palatino Linotype" w:hAnsi="Palatino Linotype" w:cs="Palatino Linotype"/>
          <w:i/>
          <w:sz w:val="22"/>
          <w:szCs w:val="22"/>
        </w:rPr>
        <w:t xml:space="preserve">rá ampliarse hasta por siete días hábiles más, siempre y cuando existan razones fundadas y motivadas, las cuales deberán ser aprobadas por el Comité de Transparencia, mediante la emisión de una resolución que deberá notificarse al solicitante, antes de su </w:t>
      </w:r>
      <w:r>
        <w:rPr>
          <w:rFonts w:ascii="Palatino Linotype" w:eastAsia="Palatino Linotype" w:hAnsi="Palatino Linotype" w:cs="Palatino Linotype"/>
          <w:i/>
          <w:sz w:val="22"/>
          <w:szCs w:val="22"/>
        </w:rPr>
        <w:t xml:space="preserve">vencimiento. No podrán invocarse como causales de ampliación del plazo motivos que supongan negligencia o descuido del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en el desahogo de la solicitud.” (Sic)</w:t>
      </w:r>
    </w:p>
    <w:p w:rsidR="00D614B5" w:rsidRDefault="008C01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en particular el </w:t>
      </w:r>
      <w:r>
        <w:rPr>
          <w:rFonts w:ascii="Palatino Linotype" w:eastAsia="Palatino Linotype" w:hAnsi="Palatino Linotype" w:cs="Palatino Linotype"/>
          <w:b/>
        </w:rPr>
        <w:t>SUJETO OBLIGA</w:t>
      </w:r>
      <w:r>
        <w:rPr>
          <w:rFonts w:ascii="Palatino Linotype" w:eastAsia="Palatino Linotype" w:hAnsi="Palatino Linotype" w:cs="Palatino Linotype"/>
          <w:b/>
        </w:rPr>
        <w:t>DO</w:t>
      </w:r>
      <w:r>
        <w:rPr>
          <w:rFonts w:ascii="Palatino Linotype" w:eastAsia="Palatino Linotype" w:hAnsi="Palatino Linotype" w:cs="Palatino Linotype"/>
        </w:rPr>
        <w:t xml:space="preserve"> incumplió la normatividad en la materia, puesto que no dio trámite ni respuesta a la solicitud de acceso a la información, limitando el derecho de acceso a la información, accionado por el particular.</w:t>
      </w:r>
    </w:p>
    <w:p w:rsidR="00D614B5" w:rsidRDefault="008C01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Consecuentemente, este Instituto estima toral reiterar que, de conformidad con el artículo 150 de la Ley de Transparencia y Acceso a la Información Pública del Estado de México y Municipios, el procedimiento de acceso a la información es la garantía primar</w:t>
      </w:r>
      <w:r>
        <w:rPr>
          <w:rFonts w:ascii="Palatino Linotype" w:eastAsia="Palatino Linotype" w:hAnsi="Palatino Linotype" w:cs="Palatino Linotype"/>
        </w:rPr>
        <w:t>ia del derecho en cuestión y se rige por los principios de simplicidad, rapidez gratuidad del procedimiento, auxilio y orientación a los particulares. Por ello, esta Autoridad como órgano garante del derecho de acceso a la información estima que lo procede</w:t>
      </w:r>
      <w:r>
        <w:rPr>
          <w:rFonts w:ascii="Palatino Linotype" w:eastAsia="Palatino Linotype" w:hAnsi="Palatino Linotype" w:cs="Palatino Linotype"/>
        </w:rPr>
        <w:t xml:space="preserv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del particular.</w:t>
      </w:r>
    </w:p>
    <w:p w:rsidR="00D614B5" w:rsidRDefault="008C01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Aunado a lo anterior, este Instituto estima dable referir lo que dispone el artículo 172, último párrafo de la Ley de Transparencia y Acceso a la Información Pública de</w:t>
      </w:r>
      <w:r>
        <w:rPr>
          <w:rFonts w:ascii="Palatino Linotype" w:eastAsia="Palatino Linotype" w:hAnsi="Palatino Linotype" w:cs="Palatino Linotype"/>
        </w:rPr>
        <w:t xml:space="preserv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w:t>
      </w:r>
      <w:r>
        <w:rPr>
          <w:rFonts w:ascii="Palatino Linotype" w:eastAsia="Palatino Linotype" w:hAnsi="Palatino Linotype" w:cs="Palatino Linotype"/>
        </w:rPr>
        <w:t>erá manifestarse al respecto.</w:t>
      </w:r>
    </w:p>
    <w:p w:rsidR="00D614B5" w:rsidRDefault="008C01B8">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Órgano Garante no omite señalar que, el derecho de acceso a la información puede ser restringido de manera excepcional por razones de</w:t>
      </w:r>
      <w:r>
        <w:rPr>
          <w:rFonts w:ascii="Palatino Linotype" w:eastAsia="Palatino Linotype" w:hAnsi="Palatino Linotype" w:cs="Palatino Linotype"/>
        </w:rPr>
        <w:t xml:space="preserve"> interés público, en los términos de las causas legítimas y estrictamente necesarias previstas por la Ley, a través de la clasificación de la información como confidencial o reservada para permitir el acceso, como se desprende del artículo 91 de la Ley de </w:t>
      </w:r>
      <w:r>
        <w:rPr>
          <w:rFonts w:ascii="Palatino Linotype" w:eastAsia="Palatino Linotype" w:hAnsi="Palatino Linotype" w:cs="Palatino Linotype"/>
        </w:rPr>
        <w:t>la Materia que es del tenor literal siguiente:</w:t>
      </w:r>
    </w:p>
    <w:p w:rsidR="00D614B5" w:rsidRDefault="008C01B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D614B5" w:rsidRDefault="008C01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w:t>
      </w:r>
      <w:r>
        <w:rPr>
          <w:rFonts w:ascii="Palatino Linotype" w:eastAsia="Palatino Linotype" w:hAnsi="Palatino Linotype" w:cs="Palatino Linotype"/>
        </w:rPr>
        <w:t xml:space="preserve">a de manera temporal cuya divulgación pueda causar algún daño; y como información confidencial, la relacionada con los secretos bancario, fiduciario, industrial, comercial, fiscal, bursátil y postal, cuya titularidad corresponde a particulares, sujetos de </w:t>
      </w:r>
      <w:r>
        <w:rPr>
          <w:rFonts w:ascii="Palatino Linotype" w:eastAsia="Palatino Linotype" w:hAnsi="Palatino Linotype" w:cs="Palatino Linotype"/>
        </w:rPr>
        <w:t xml:space="preserve">derecho internacional o a sujetos obligados cuando no involucren el ejercicio de recursos públicos, así como la información privada contenida en </w:t>
      </w:r>
      <w:r>
        <w:rPr>
          <w:rFonts w:ascii="Palatino Linotype" w:eastAsia="Palatino Linotype" w:hAnsi="Palatino Linotype" w:cs="Palatino Linotype"/>
        </w:rPr>
        <w:lastRenderedPageBreak/>
        <w:t>documentos públicos o privados que refiera a la vida privada y/o los datos personales, que no son de acceso púb</w:t>
      </w:r>
      <w:r>
        <w:rPr>
          <w:rFonts w:ascii="Palatino Linotype" w:eastAsia="Palatino Linotype" w:hAnsi="Palatino Linotype" w:cs="Palatino Linotype"/>
        </w:rPr>
        <w:t>lico</w:t>
      </w:r>
      <w:r>
        <w:rPr>
          <w:rFonts w:ascii="Palatino Linotype" w:eastAsia="Palatino Linotype" w:hAnsi="Palatino Linotype" w:cs="Palatino Linotype"/>
          <w:sz w:val="18"/>
          <w:szCs w:val="18"/>
        </w:rPr>
        <w:t xml:space="preserve">. </w:t>
      </w:r>
    </w:p>
    <w:p w:rsidR="00D614B5" w:rsidRDefault="008C01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D614B5" w:rsidRDefault="008C01B8">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w:t>
      </w:r>
      <w:r>
        <w:rPr>
          <w:rFonts w:ascii="Palatino Linotype" w:eastAsia="Palatino Linotype" w:hAnsi="Palatino Linotype" w:cs="Palatino Linotype"/>
          <w:i/>
          <w:sz w:val="22"/>
          <w:szCs w:val="22"/>
        </w:rPr>
        <w:t>eso a la información pública será restringido excepcionalmente, cuando por razones de interés público, ésta sea clasificada como reservada, conforme a los criterios siguientes:</w:t>
      </w:r>
    </w:p>
    <w:p w:rsidR="00D614B5" w:rsidRDefault="008C01B8">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rsidR="00D614B5" w:rsidRDefault="008C01B8">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rsidR="00D614B5" w:rsidRDefault="008C01B8">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w:t>
      </w:r>
      <w:r>
        <w:rPr>
          <w:rFonts w:ascii="Palatino Linotype" w:eastAsia="Palatino Linotype" w:hAnsi="Palatino Linotype" w:cs="Palatino Linotype"/>
          <w:i/>
          <w:sz w:val="22"/>
          <w:szCs w:val="22"/>
        </w:rPr>
        <w:t>lidad por otro u otros sujetos de derecho internacional, excepto cuando se trate de violaciones graves de derechos humanos o delitos de lesa humanidad de conformidad con el derecho internacional;</w:t>
      </w:r>
    </w:p>
    <w:p w:rsidR="00D614B5" w:rsidRDefault="008C01B8">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 xml:space="preserve">Ponga en riesgo la vida, la seguridad o la salud de una </w:t>
      </w:r>
      <w:r>
        <w:rPr>
          <w:rFonts w:ascii="Palatino Linotype" w:eastAsia="Palatino Linotype" w:hAnsi="Palatino Linotype" w:cs="Palatino Linotype"/>
          <w:i/>
          <w:sz w:val="22"/>
          <w:szCs w:val="22"/>
        </w:rPr>
        <w:t>persona física;</w:t>
      </w:r>
    </w:p>
    <w:p w:rsidR="00D614B5" w:rsidRDefault="008C01B8">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rsidR="00D614B5" w:rsidRDefault="008C01B8">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D614B5" w:rsidRDefault="008C01B8">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r>
        <w:rPr>
          <w:rFonts w:ascii="Palatino Linotype" w:eastAsia="Palatino Linotype" w:hAnsi="Palatino Linotype" w:cs="Palatino Linotype"/>
          <w:i/>
          <w:sz w:val="22"/>
          <w:szCs w:val="22"/>
        </w:rPr>
        <w:t>.</w:t>
      </w:r>
    </w:p>
    <w:p w:rsidR="00D614B5" w:rsidRDefault="008C01B8">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w:t>
      </w:r>
      <w:r>
        <w:rPr>
          <w:rFonts w:ascii="Palatino Linotype" w:eastAsia="Palatino Linotype" w:hAnsi="Palatino Linotype" w:cs="Palatino Linotype"/>
          <w:i/>
          <w:sz w:val="22"/>
          <w:szCs w:val="22"/>
        </w:rPr>
        <w:t>rativos, incluidos los de quejas, denuncias, inconformidades, responsabilidades administrativas y resarcitorias en tanto no hayan quedado firmes o afecte la administración de justicia o la seguridad de un denunciante, querellante o testigo, así como sus fa</w:t>
      </w:r>
      <w:r>
        <w:rPr>
          <w:rFonts w:ascii="Palatino Linotype" w:eastAsia="Palatino Linotype" w:hAnsi="Palatino Linotype" w:cs="Palatino Linotype"/>
          <w:i/>
          <w:sz w:val="22"/>
          <w:szCs w:val="22"/>
        </w:rPr>
        <w:t>milias, en los términos de las disposiciones jurídicas aplicables;</w:t>
      </w:r>
    </w:p>
    <w:p w:rsidR="00D614B5" w:rsidRDefault="008C01B8">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w:t>
      </w:r>
      <w:r>
        <w:rPr>
          <w:rFonts w:ascii="Palatino Linotype" w:eastAsia="Palatino Linotype" w:hAnsi="Palatino Linotype" w:cs="Palatino Linotype"/>
          <w:i/>
          <w:sz w:val="22"/>
          <w:szCs w:val="22"/>
        </w:rPr>
        <w:t>va, la cual deberá estar documentada;</w:t>
      </w:r>
    </w:p>
    <w:p w:rsidR="00D614B5" w:rsidRDefault="008C01B8">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rsidR="00D614B5" w:rsidRDefault="008C01B8">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 xml:space="preserve">Se encuentre contenida dentro de las investigaciones </w:t>
      </w:r>
      <w:r>
        <w:rPr>
          <w:rFonts w:ascii="Palatino Linotype" w:eastAsia="Palatino Linotype" w:hAnsi="Palatino Linotype" w:cs="Palatino Linotype"/>
          <w:i/>
          <w:sz w:val="22"/>
          <w:szCs w:val="22"/>
        </w:rPr>
        <w:t>de hechos que la Ley señale como delitos y se tramiten ante el Ministerio Público;</w:t>
      </w:r>
    </w:p>
    <w:p w:rsidR="00D614B5" w:rsidRDefault="008C01B8">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w:t>
      </w:r>
      <w:r>
        <w:rPr>
          <w:rFonts w:ascii="Palatino Linotype" w:eastAsia="Palatino Linotype" w:hAnsi="Palatino Linotype" w:cs="Palatino Linotype"/>
          <w:i/>
          <w:sz w:val="22"/>
          <w:szCs w:val="22"/>
        </w:rPr>
        <w:t>edado firmes;</w:t>
      </w:r>
    </w:p>
    <w:p w:rsidR="00D614B5" w:rsidRDefault="008C01B8">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w:t>
      </w:r>
      <w:r>
        <w:rPr>
          <w:rFonts w:ascii="Palatino Linotype" w:eastAsia="Palatino Linotype" w:hAnsi="Palatino Linotype" w:cs="Palatino Linotype"/>
          <w:i/>
          <w:sz w:val="22"/>
          <w:szCs w:val="22"/>
        </w:rPr>
        <w:t>os o judiciales que no hayan quedado firmes; y</w:t>
      </w:r>
    </w:p>
    <w:p w:rsidR="00D614B5" w:rsidRDefault="008C01B8">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w:t>
      </w:r>
      <w:r>
        <w:rPr>
          <w:rFonts w:ascii="Palatino Linotype" w:eastAsia="Palatino Linotype" w:hAnsi="Palatino Linotype" w:cs="Palatino Linotype"/>
          <w:i/>
          <w:sz w:val="22"/>
          <w:szCs w:val="22"/>
        </w:rPr>
        <w:t>ratados internacionales.</w:t>
      </w:r>
    </w:p>
    <w:p w:rsidR="00D614B5" w:rsidRDefault="008C01B8">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614B5" w:rsidRDefault="008C01B8">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D614B5" w:rsidRDefault="008C01B8">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w:t>
      </w:r>
      <w:r>
        <w:rPr>
          <w:rFonts w:ascii="Palatino Linotype" w:eastAsia="Palatino Linotype" w:hAnsi="Palatino Linotype" w:cs="Palatino Linotype"/>
          <w:i/>
          <w:sz w:val="22"/>
          <w:szCs w:val="22"/>
        </w:rPr>
        <w:t>ntes a una persona física o jurídico colectiva identificada o identificable;</w:t>
      </w:r>
    </w:p>
    <w:p w:rsidR="00D614B5" w:rsidRDefault="008C01B8">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 xml:space="preserve">Los secretos bancario, fiduciario, industrial, comercial, fiscal, bursátil y postal, cuya titularidad corresponda a particulares, sujetos de derecho internacional o a sujetos </w:t>
      </w:r>
      <w:r>
        <w:rPr>
          <w:rFonts w:ascii="Palatino Linotype" w:eastAsia="Palatino Linotype" w:hAnsi="Palatino Linotype" w:cs="Palatino Linotype"/>
          <w:i/>
          <w:sz w:val="22"/>
          <w:szCs w:val="22"/>
        </w:rPr>
        <w:t>obligados cuando no involucren el ejercicio de recursos públicos; y</w:t>
      </w:r>
    </w:p>
    <w:p w:rsidR="00D614B5" w:rsidRDefault="008C01B8">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D614B5" w:rsidRDefault="008C01B8">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w:t>
      </w:r>
      <w:r>
        <w:rPr>
          <w:rFonts w:ascii="Palatino Linotype" w:eastAsia="Palatino Linotype" w:hAnsi="Palatino Linotype" w:cs="Palatino Linotype"/>
          <w:i/>
          <w:sz w:val="22"/>
          <w:szCs w:val="22"/>
        </w:rPr>
        <w:t xml:space="preserve"> temporalidad alguna y sólo podrán tener acceso a ella los titulares de la misma, sus representantes y los servidores públicos facultados para ello.</w:t>
      </w:r>
    </w:p>
    <w:p w:rsidR="00D614B5" w:rsidRDefault="008C01B8">
      <w:pPr>
        <w:spacing w:before="120" w:after="120"/>
        <w:ind w:left="709"/>
        <w:jc w:val="both"/>
        <w:rPr>
          <w:rFonts w:ascii="Palatino Linotype" w:eastAsia="Palatino Linotype" w:hAnsi="Palatino Linotype" w:cs="Palatino Linotype"/>
        </w:rPr>
      </w:pPr>
      <w:r>
        <w:rPr>
          <w:rFonts w:ascii="Palatino Linotype" w:eastAsia="Palatino Linotype" w:hAnsi="Palatino Linotype" w:cs="Palatino Linotype"/>
          <w:i/>
          <w:sz w:val="22"/>
          <w:szCs w:val="22"/>
        </w:rPr>
        <w:lastRenderedPageBreak/>
        <w:t>No se considerará confidencial la información que se encuentre en los registros públicos o en fuentes de ac</w:t>
      </w:r>
      <w:r>
        <w:rPr>
          <w:rFonts w:ascii="Palatino Linotype" w:eastAsia="Palatino Linotype" w:hAnsi="Palatino Linotype" w:cs="Palatino Linotype"/>
          <w:i/>
          <w:sz w:val="22"/>
          <w:szCs w:val="22"/>
        </w:rPr>
        <w:t>ceso público, ni tampoco la que sea considerada por la presente ley como información pública.”</w:t>
      </w:r>
    </w:p>
    <w:p w:rsidR="00D614B5" w:rsidRDefault="008C01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w:t>
      </w:r>
      <w:r>
        <w:rPr>
          <w:rFonts w:ascii="Palatino Linotype" w:eastAsia="Palatino Linotype" w:hAnsi="Palatino Linotype" w:cs="Palatino Linotype"/>
        </w:rPr>
        <w:t>carlas cuando acrediten su procedencia, debiendo clasificar la información en el momento en que:</w:t>
      </w:r>
    </w:p>
    <w:p w:rsidR="00D614B5" w:rsidRDefault="008C01B8">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D614B5" w:rsidRDefault="008C01B8">
      <w:pPr>
        <w:numPr>
          <w:ilvl w:val="0"/>
          <w:numId w:val="1"/>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D614B5" w:rsidRDefault="008C01B8">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w:t>
      </w:r>
      <w:r>
        <w:rPr>
          <w:rFonts w:ascii="Palatino Linotype" w:eastAsia="Palatino Linotype" w:hAnsi="Palatino Linotype" w:cs="Palatino Linotype"/>
        </w:rPr>
        <w:t>miento a las obligaciones de transparencia previstas en la Ley.</w:t>
      </w:r>
    </w:p>
    <w:p w:rsidR="00D614B5" w:rsidRDefault="008C01B8">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w:t>
      </w:r>
      <w:r>
        <w:rPr>
          <w:rFonts w:ascii="Palatino Linotype" w:eastAsia="Palatino Linotype" w:hAnsi="Palatino Linotype" w:cs="Palatino Linotype"/>
        </w:rPr>
        <w:t xml:space="preserve">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w:t>
      </w:r>
      <w:r>
        <w:rPr>
          <w:rFonts w:ascii="Palatino Linotype" w:eastAsia="Palatino Linotype" w:hAnsi="Palatino Linotype" w:cs="Palatino Linotype"/>
        </w:rPr>
        <w:t xml:space="preserve"> de clasificación de la información y que finalmente sea éste último quien apruebe, modifique o </w:t>
      </w:r>
      <w:r>
        <w:rPr>
          <w:rFonts w:ascii="Palatino Linotype" w:eastAsia="Palatino Linotype" w:hAnsi="Palatino Linotype" w:cs="Palatino Linotype"/>
        </w:rPr>
        <w:lastRenderedPageBreak/>
        <w:t>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w:t>
      </w:r>
      <w:r>
        <w:rPr>
          <w:rFonts w:ascii="Palatino Linotype" w:eastAsia="Palatino Linotype" w:hAnsi="Palatino Linotype" w:cs="Palatino Linotype"/>
        </w:rPr>
        <w:t>ción Pública del Estado de México y Municipios.</w:t>
      </w:r>
    </w:p>
    <w:p w:rsidR="00D614B5" w:rsidRDefault="008C01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Órgano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clasificados como con</w:t>
      </w:r>
      <w:r>
        <w:rPr>
          <w:rFonts w:ascii="Palatino Linotype" w:eastAsia="Palatino Linotype" w:hAnsi="Palatino Linotype" w:cs="Palatino Linotype"/>
          <w:b/>
        </w:rPr>
        <w:t xml:space="preserve">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w:t>
      </w:r>
      <w:r>
        <w:rPr>
          <w:rFonts w:ascii="Palatino Linotype" w:eastAsia="Palatino Linotype" w:hAnsi="Palatino Linotype" w:cs="Palatino Linotype"/>
          <w:b/>
        </w:rPr>
        <w:t>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rsidR="00D614B5" w:rsidRDefault="008C01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w:t>
      </w:r>
      <w:r>
        <w:rPr>
          <w:rFonts w:ascii="Palatino Linotype" w:eastAsia="Palatino Linotype" w:hAnsi="Palatino Linotype" w:cs="Palatino Linotype"/>
        </w:rPr>
        <w:t xml:space="preserve">de su titular cuya utilización indebida pueda dar origen a discriminación o conlleve un riesgo grave para éste. De manera enunciativa más no limitativa, se consideran sensibles los datos personales que puedan revelar aspectos como origen racial o </w:t>
      </w:r>
      <w:r>
        <w:rPr>
          <w:rFonts w:ascii="Palatino Linotype" w:eastAsia="Palatino Linotype" w:hAnsi="Palatino Linotype" w:cs="Palatino Linotype"/>
        </w:rPr>
        <w:lastRenderedPageBreak/>
        <w:t>étnico, e</w:t>
      </w:r>
      <w:r>
        <w:rPr>
          <w:rFonts w:ascii="Palatino Linotype" w:eastAsia="Palatino Linotype" w:hAnsi="Palatino Linotype" w:cs="Palatino Linotype"/>
        </w:rPr>
        <w:t>stado de salud física o mental, presente o futura, información genética, creencias religiosas, filosóficas y morales, opiniones políticas y preferencia sexual, de conformidad con el artículo 4, fracción XII de la Ley de Protección de Datos Personales en Po</w:t>
      </w:r>
      <w:r>
        <w:rPr>
          <w:rFonts w:ascii="Palatino Linotype" w:eastAsia="Palatino Linotype" w:hAnsi="Palatino Linotype" w:cs="Palatino Linotype"/>
        </w:rPr>
        <w:t>sesión de Sujetos Obligados del Estado de México y Municipios.</w:t>
      </w:r>
    </w:p>
    <w:p w:rsidR="00D614B5" w:rsidRDefault="008C01B8">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cuanto hace a la reserva y ampliación del plazo de reserva de la información, para motivar la clasificación se deberán de señalar las razones, motivos o circunstancias especiales que llevar</w:t>
      </w:r>
      <w:r>
        <w:rPr>
          <w:rFonts w:ascii="Palatino Linotype" w:eastAsia="Palatino Linotype" w:hAnsi="Palatino Linotype" w:cs="Palatino Linotype"/>
        </w:rPr>
        <w:t xml:space="preserve">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w:t>
      </w:r>
      <w:r>
        <w:rPr>
          <w:rFonts w:ascii="Palatino Linotype" w:eastAsia="Palatino Linotype" w:hAnsi="Palatino Linotype" w:cs="Palatino Linotype"/>
        </w:rPr>
        <w:t>tos Obligados de demostrar, de manera fundada y motivada, que la divulgación de la información lesiona el interés debidamente protegido por la Ley y que el menoscabo o daño que puede producirse con la publicidad de la información, es mayor que el interés d</w:t>
      </w:r>
      <w:r>
        <w:rPr>
          <w:rFonts w:ascii="Palatino Linotype" w:eastAsia="Palatino Linotype" w:hAnsi="Palatino Linotype" w:cs="Palatino Linotype"/>
        </w:rPr>
        <w:t>e conocerla; debiendo clasificarse como reservada.</w:t>
      </w:r>
    </w:p>
    <w:p w:rsidR="00D614B5" w:rsidRDefault="008C01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otras palabras, para la clasificación de la información como reservada se deben establecer, de manera fundada y motivada, las hipótesis normativas aplicables al caso concreto y se analice la prueba de d</w:t>
      </w:r>
      <w:r>
        <w:rPr>
          <w:rFonts w:ascii="Palatino Linotype" w:eastAsia="Palatino Linotype" w:hAnsi="Palatino Linotype" w:cs="Palatino Linotype"/>
        </w:rPr>
        <w:t xml:space="preserve">año, misma que se encuentra prevista en el artículo 129 de la Ley de Transparencia Local, para lo cual, los Sujetos Obligados deberán considerar que: </w:t>
      </w:r>
    </w:p>
    <w:p w:rsidR="00D614B5" w:rsidRDefault="008C01B8">
      <w:pPr>
        <w:numPr>
          <w:ilvl w:val="0"/>
          <w:numId w:val="2"/>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w:t>
      </w:r>
      <w:r>
        <w:rPr>
          <w:rFonts w:ascii="Palatino Linotype" w:eastAsia="Palatino Linotype" w:hAnsi="Palatino Linotype" w:cs="Palatino Linotype"/>
          <w:b/>
        </w:rPr>
        <w:t>nificativo al interés público o a la seguridad pública</w:t>
      </w:r>
      <w:r>
        <w:rPr>
          <w:rFonts w:ascii="Palatino Linotype" w:eastAsia="Palatino Linotype" w:hAnsi="Palatino Linotype" w:cs="Palatino Linotype"/>
        </w:rPr>
        <w:t>;</w:t>
      </w:r>
    </w:p>
    <w:p w:rsidR="00D614B5" w:rsidRDefault="008C01B8">
      <w:pPr>
        <w:numPr>
          <w:ilvl w:val="0"/>
          <w:numId w:val="2"/>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lastRenderedPageBreak/>
        <w:t>El riesgo de perjuicio que supondría la divulgación supera el interés público general de que se difunda; y,</w:t>
      </w:r>
    </w:p>
    <w:p w:rsidR="00D614B5" w:rsidRDefault="008C01B8">
      <w:pPr>
        <w:numPr>
          <w:ilvl w:val="0"/>
          <w:numId w:val="2"/>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D614B5" w:rsidRDefault="008C01B8">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en el caso de que existan causas presentes que impiden la publicida</w:t>
      </w:r>
      <w:r>
        <w:rPr>
          <w:rFonts w:ascii="Palatino Linotype" w:eastAsia="Palatino Linotype" w:hAnsi="Palatino Linotype" w:cs="Palatino Linotype"/>
          <w:color w:val="000000"/>
        </w:rPr>
        <w:t>d de la información durante cierto periodo de tiempo, las razones objetivas por las que la apertura de la información generaría una afectación, deben aplicar de manera restrictiva y limitada las hipótesis de clasificación y no hacerlas valer de manera gene</w:t>
      </w:r>
      <w:r>
        <w:rPr>
          <w:rFonts w:ascii="Palatino Linotype" w:eastAsia="Palatino Linotype" w:hAnsi="Palatino Linotype" w:cs="Palatino Linotype"/>
          <w:color w:val="000000"/>
        </w:rPr>
        <w:t>ral.</w:t>
      </w:r>
    </w:p>
    <w:p w:rsidR="00D614B5" w:rsidRDefault="008C01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w:t>
      </w:r>
      <w:r>
        <w:rPr>
          <w:rFonts w:ascii="Palatino Linotype" w:eastAsia="Palatino Linotype" w:hAnsi="Palatino Linotype" w:cs="Palatino Linotype"/>
        </w:rPr>
        <w:t>iará la información de manera especial, y una vez transcurrido el plazo de reserva, el documento podrá divulgarse.</w:t>
      </w:r>
    </w:p>
    <w:p w:rsidR="00D614B5" w:rsidRDefault="008C01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w:t>
      </w:r>
      <w:r>
        <w:rPr>
          <w:rFonts w:ascii="Palatino Linotype" w:eastAsia="Palatino Linotype" w:hAnsi="Palatino Linotype" w:cs="Palatino Linotype"/>
        </w:rPr>
        <w:t>nta qué información puede generar un daño desproporcionado o innecesario a valores jurídicamente protegidos. Lo anterior encuentra sustento en la Tesis de la Décima Época, publicada en la Gaceta del Semanario Judicial de la Federación, sección Tribunales C</w:t>
      </w:r>
      <w:r>
        <w:rPr>
          <w:rFonts w:ascii="Palatino Linotype" w:eastAsia="Palatino Linotype" w:hAnsi="Palatino Linotype" w:cs="Palatino Linotype"/>
        </w:rPr>
        <w:t>olegiados de Circuito, Libro 5, de fecha abril de 2014, pág. 1523, Registro, 2,006,299. I.1o.A.E.3 K (10a.), que literalmente señala:</w:t>
      </w:r>
    </w:p>
    <w:p w:rsidR="00D614B5" w:rsidRDefault="008C01B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w:t>
      </w:r>
      <w:r>
        <w:rPr>
          <w:rFonts w:ascii="Palatino Linotype" w:eastAsia="Palatino Linotype" w:hAnsi="Palatino Linotype" w:cs="Palatino Linotype"/>
          <w:b/>
          <w:i/>
          <w:sz w:val="22"/>
          <w:szCs w:val="22"/>
        </w:rPr>
        <w:t xml:space="preserve">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w:t>
      </w:r>
      <w:r>
        <w:rPr>
          <w:rFonts w:ascii="Palatino Linotype" w:eastAsia="Palatino Linotype" w:hAnsi="Palatino Linotype" w:cs="Palatino Linotype"/>
          <w:i/>
          <w:sz w:val="22"/>
          <w:szCs w:val="22"/>
        </w:rPr>
        <w:t xml:space="preserve">, cuál es la específica y precisa, cuya divulgación puede generar un daño desproporcionado o innecesario a valores jurídicamente protegidos, lo cual debe evitarse, en la medida de lo posible, frente a aquella que debe ser accesible al quejoso en el amparo </w:t>
      </w:r>
      <w:r>
        <w:rPr>
          <w:rFonts w:ascii="Palatino Linotype" w:eastAsia="Palatino Linotype" w:hAnsi="Palatino Linotype" w:cs="Palatino Linotype"/>
          <w:i/>
          <w:sz w:val="22"/>
          <w:szCs w:val="22"/>
        </w:rPr>
        <w:t>para hacer viable su defensa efectiva y cuestionar violaciones a derechos fundamentales, lo que implica un interés público en abrir o desclasificar la información necesaria para ese efecto, cuando la autoridad responsable que la aporta al juicio la clasifi</w:t>
      </w:r>
      <w:r>
        <w:rPr>
          <w:rFonts w:ascii="Palatino Linotype" w:eastAsia="Palatino Linotype" w:hAnsi="Palatino Linotype" w:cs="Palatino Linotype"/>
          <w:i/>
          <w:sz w:val="22"/>
          <w:szCs w:val="22"/>
        </w:rPr>
        <w:t>ca como reservada. Por tanto, es necesario distinguir esas diferencias y formular una idónea y adecuada clasificación de la información, generando así una regla individualizada y pertinente para el caso, a través de aplicar la "prueba de daño e interés púb</w:t>
      </w:r>
      <w:r>
        <w:rPr>
          <w:rFonts w:ascii="Palatino Linotype" w:eastAsia="Palatino Linotype" w:hAnsi="Palatino Linotype" w:cs="Palatino Linotype"/>
          <w:i/>
          <w:sz w:val="22"/>
          <w:szCs w:val="22"/>
        </w:rPr>
        <w:t>lico" ex officio, con el propósito de obtener una versión que sea pública para la parte interesada.”</w:t>
      </w:r>
    </w:p>
    <w:p w:rsidR="00D614B5" w:rsidRDefault="008C01B8">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w:t>
      </w:r>
      <w:r>
        <w:rPr>
          <w:rFonts w:ascii="Palatino Linotype" w:eastAsia="Palatino Linotype" w:hAnsi="Palatino Linotype" w:cs="Palatino Linotype"/>
        </w:rPr>
        <w:t>su totalidad, bajo la premisa de que el derecho de acceso a la información pública tiene como limitante el respeto a la intimidad y a la vida privada de las personas, es por ello que este Instituto debe cuidar que los datos personales que obren en poder de</w:t>
      </w:r>
      <w:r>
        <w:rPr>
          <w:rFonts w:ascii="Palatino Linotype" w:eastAsia="Palatino Linotype" w:hAnsi="Palatino Linotype" w:cs="Palatino Linotype"/>
        </w:rPr>
        <w:t xml:space="preserve"> los Sujetos Obligados estén protegidos, quienes deberán adoptar las medidas de seguridad administrativa, física y técnica necesarias para garantizar la integridad, confidencialidad y disponibilidad de los datos personales, considerando además, que conform</w:t>
      </w:r>
      <w:r>
        <w:rPr>
          <w:rFonts w:ascii="Palatino Linotype" w:eastAsia="Palatino Linotype" w:hAnsi="Palatino Linotype" w:cs="Palatino Linotype"/>
        </w:rPr>
        <w:t xml:space="preserve">e al principio de finalidad todo tratamiento de datos personales que efectúen los sujetos obligados deberá estar justificado en la Ley, lo anterior en términos de lo dispuesto por los artículos 6, 22, 38 y 43, de la Ley de Protección de </w:t>
      </w:r>
      <w:r>
        <w:rPr>
          <w:rFonts w:ascii="Palatino Linotype" w:eastAsia="Palatino Linotype" w:hAnsi="Palatino Linotype" w:cs="Palatino Linotype"/>
        </w:rPr>
        <w:lastRenderedPageBreak/>
        <w:t>Datos Personales en</w:t>
      </w:r>
      <w:r>
        <w:rPr>
          <w:rFonts w:ascii="Palatino Linotype" w:eastAsia="Palatino Linotype" w:hAnsi="Palatino Linotype" w:cs="Palatino Linotype"/>
        </w:rPr>
        <w:t xml:space="preserve"> Posesión de los sujetos Obligados del Estado de México y Municipios.</w:t>
      </w:r>
    </w:p>
    <w:p w:rsidR="00D614B5" w:rsidRDefault="008C01B8">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w:t>
      </w:r>
      <w:r>
        <w:rPr>
          <w:rFonts w:ascii="Palatino Linotype" w:eastAsia="Palatino Linotype" w:hAnsi="Palatino Linotype" w:cs="Palatino Linotype"/>
        </w:rPr>
        <w:t>se siguiendo las formalidades previstas en la Ley de Transparencia y Acceso a la Información Pública del Estado de México y en los Lineamientos Generales en Materia de Clasificación y Desclasificación de la Información, así como para la Elaboración de Vers</w:t>
      </w:r>
      <w:r>
        <w:rPr>
          <w:rFonts w:ascii="Palatino Linotype" w:eastAsia="Palatino Linotype" w:hAnsi="Palatino Linotype" w:cs="Palatino Linotype"/>
        </w:rPr>
        <w:t>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w:t>
      </w:r>
      <w:r>
        <w:rPr>
          <w:rFonts w:ascii="Palatino Linotype" w:eastAsia="Palatino Linotype" w:hAnsi="Palatino Linotype" w:cs="Palatino Linotype"/>
        </w:rPr>
        <w:t>omprender las razones por las que se clasifica la documentación respectiva, es decir, si no se exponen de manera puntual las razones, de ello se estaría violentando el Derecho de Acceso a la Información del solicitante.</w:t>
      </w:r>
    </w:p>
    <w:p w:rsidR="00D614B5" w:rsidRDefault="008C01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otro lado, estima prudente señal</w:t>
      </w:r>
      <w:r>
        <w:rPr>
          <w:rFonts w:ascii="Palatino Linotype" w:eastAsia="Palatino Linotype" w:hAnsi="Palatino Linotype" w:cs="Palatino Linotype"/>
        </w:rPr>
        <w:t xml:space="preserve">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D614B5" w:rsidRDefault="008C01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w:t>
      </w:r>
      <w:r>
        <w:rPr>
          <w:rFonts w:ascii="Palatino Linotype" w:eastAsia="Palatino Linotype" w:hAnsi="Palatino Linotype" w:cs="Palatino Linotype"/>
        </w:rPr>
        <w:lastRenderedPageBreak/>
        <w:t xml:space="preserve">los sujetos obligados deben documentar todo acto que derive del ejercicio de sus facultades, </w:t>
      </w:r>
      <w:r>
        <w:rPr>
          <w:rFonts w:ascii="Palatino Linotype" w:eastAsia="Palatino Linotype" w:hAnsi="Palatino Linotype" w:cs="Palatino Linotype"/>
        </w:rPr>
        <w:t>competencias o funciones y que se presume que la información debe existir si se refiere a dichas facultades, competencias y/o funciones.</w:t>
      </w:r>
    </w:p>
    <w:p w:rsidR="00D614B5" w:rsidRDefault="008C01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w:t>
      </w:r>
      <w:r>
        <w:rPr>
          <w:rFonts w:ascii="Palatino Linotype" w:eastAsia="Palatino Linotype" w:hAnsi="Palatino Linotype" w:cs="Palatino Linotype"/>
        </w:rPr>
        <w:t>9, fracciones II y XIII, 169 y 170 de la Ley de Transparencia y Acceso a la Información Pública del Estado de México y Municipios, que establecen la forma en que los Sujetos Obligados deben dar curso a las Declaratorias de Inexistencia.</w:t>
      </w:r>
    </w:p>
    <w:p w:rsidR="00D614B5" w:rsidRDefault="008C01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w:t>
      </w:r>
      <w:r>
        <w:rPr>
          <w:rFonts w:ascii="Palatino Linotype" w:eastAsia="Palatino Linotype" w:hAnsi="Palatino Linotype" w:cs="Palatino Linotype"/>
        </w:rPr>
        <w:t>l criterio de interpretación en el orden administrativo número 0008-19 emitido por Acuerdo del Pleno del Instituto de Transparencia y Acceso a la Información Pública del Estado de México y Municipios, que a la letra dice:</w:t>
      </w:r>
    </w:p>
    <w:p w:rsidR="00D614B5" w:rsidRDefault="008C01B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“INEXISTENCIA DE LA INFORMACIÓN. S</w:t>
      </w:r>
      <w:r>
        <w:rPr>
          <w:rFonts w:ascii="Palatino Linotype" w:eastAsia="Palatino Linotype" w:hAnsi="Palatino Linotype" w:cs="Palatino Linotype"/>
          <w:b/>
          <w:i/>
          <w:sz w:val="22"/>
          <w:szCs w:val="22"/>
        </w:rPr>
        <w:t xml:space="preserve">UPUESTOS PARA EMITIR LA RESOLUCIÓN DE LA. </w:t>
      </w:r>
      <w:r>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w:t>
      </w:r>
      <w:r>
        <w:rPr>
          <w:rFonts w:ascii="Palatino Linotype" w:eastAsia="Palatino Linotype" w:hAnsi="Palatino Linotype" w:cs="Palatino Linotype"/>
          <w:i/>
          <w:sz w:val="22"/>
          <w:szCs w:val="22"/>
        </w:rPr>
        <w:t>istencia de información debidamente fundado y motivado, para justificar por qué no obra en los archivos del Sujeto Obligado la información que deriva de las facultades, competencias y atribuciones que los ordenamientos jurídicos aplicables le otorgan, la c</w:t>
      </w:r>
      <w:r>
        <w:rPr>
          <w:rFonts w:ascii="Palatino Linotype" w:eastAsia="Palatino Linotype" w:hAnsi="Palatino Linotype" w:cs="Palatino Linotype"/>
          <w:i/>
          <w:sz w:val="22"/>
          <w:szCs w:val="22"/>
        </w:rPr>
        <w:t>ual debió generar, poseer y administrar. Por tanto, en términos de los numerales previamente citados, el referido acuerdo de inexistencia procede en los siguientes momentos: a) cuando no se generó, poseyó o administró el documento teniendo la obligación co</w:t>
      </w:r>
      <w:r>
        <w:rPr>
          <w:rFonts w:ascii="Palatino Linotype" w:eastAsia="Palatino Linotype" w:hAnsi="Palatino Linotype" w:cs="Palatino Linotype"/>
          <w:i/>
          <w:sz w:val="22"/>
          <w:szCs w:val="22"/>
        </w:rPr>
        <w:t>nforme a la presunción legal que deriva de las facultades, competencias y atribuciones que los ordenamientos jurídicos aplicables le otorgan; b) que habiendo sido generada, poseída o administrada, por algún motivo ya no se cuenta con la información solicit</w:t>
      </w:r>
      <w:r>
        <w:rPr>
          <w:rFonts w:ascii="Palatino Linotype" w:eastAsia="Palatino Linotype" w:hAnsi="Palatino Linotype" w:cs="Palatino Linotype"/>
          <w:i/>
          <w:sz w:val="22"/>
          <w:szCs w:val="22"/>
        </w:rPr>
        <w:t xml:space="preserve">ada; o bien, c) cuando el Sujeto Obligado fue omiso en ejercer una facultad, competencia o atribución inexcusable. Supuestos que, de actualizarse, deberán acreditarse con las exigencias legales contempladas en los numerales 49, fracción II, 169 y 170 de </w:t>
      </w:r>
      <w:r>
        <w:rPr>
          <w:rFonts w:ascii="Palatino Linotype" w:eastAsia="Palatino Linotype" w:hAnsi="Palatino Linotype" w:cs="Palatino Linotype"/>
          <w:i/>
          <w:sz w:val="22"/>
          <w:szCs w:val="22"/>
        </w:rPr>
        <w:lastRenderedPageBreak/>
        <w:t>la</w:t>
      </w:r>
      <w:r>
        <w:rPr>
          <w:rFonts w:ascii="Palatino Linotype" w:eastAsia="Palatino Linotype" w:hAnsi="Palatino Linotype" w:cs="Palatino Linotype"/>
          <w:i/>
          <w:sz w:val="22"/>
          <w:szCs w:val="22"/>
        </w:rPr>
        <w:t xml:space="preserve"> Ley de Transparencia de la entidad, a través de una resolución del Comité de Transparencia del Sujeto Obligado que confirme la inexistencia de la información, acto jurídico que genera certeza jurídica al particular de que se realizó un criterio de búsqued</w:t>
      </w:r>
      <w:r>
        <w:rPr>
          <w:rFonts w:ascii="Palatino Linotype" w:eastAsia="Palatino Linotype" w:hAnsi="Palatino Linotype" w:cs="Palatino Linotype"/>
          <w:i/>
          <w:sz w:val="22"/>
          <w:szCs w:val="22"/>
        </w:rPr>
        <w:t>a exhaustivo y razonable con la debida justificación de la falta de información y en su caso, las consecuencias de ello.”</w:t>
      </w:r>
    </w:p>
    <w:p w:rsidR="00D614B5" w:rsidRDefault="008C01B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rsidR="00D614B5" w:rsidRDefault="008C01B8">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omitió pro</w:t>
      </w:r>
      <w:r>
        <w:rPr>
          <w:rFonts w:ascii="Palatino Linotype" w:eastAsia="Palatino Linotype" w:hAnsi="Palatino Linotype" w:cs="Palatino Linotype"/>
        </w:rPr>
        <w:t xml:space="preserve">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w:t>
      </w:r>
      <w:r>
        <w:rPr>
          <w:rFonts w:ascii="Palatino Linotype" w:eastAsia="Palatino Linotype" w:hAnsi="Palatino Linotype" w:cs="Palatino Linotype"/>
          <w:b/>
        </w:rPr>
        <w:t>ncia de este Instituto</w:t>
      </w:r>
      <w:r>
        <w:rPr>
          <w:rFonts w:ascii="Palatino Linotype" w:eastAsia="Palatino Linotype" w:hAnsi="Palatino Linotype" w:cs="Palatino Linotype"/>
        </w:rPr>
        <w:t xml:space="preserve">, para que resuelva lo conducente y determine en su caso el grado de responsabilidad en el incumplimiento de las obligaciones establecidas en la misma, en términos del artículo 190 de la Ley de Transparencia y Acceso a la Información </w:t>
      </w:r>
      <w:r>
        <w:rPr>
          <w:rFonts w:ascii="Palatino Linotype" w:eastAsia="Palatino Linotype" w:hAnsi="Palatino Linotype" w:cs="Palatino Linotype"/>
        </w:rPr>
        <w:t>Pública del Estado de México y Municipios.</w:t>
      </w:r>
    </w:p>
    <w:p w:rsidR="00D614B5" w:rsidRDefault="008C01B8">
      <w:pPr>
        <w:spacing w:before="240" w:after="240" w:line="360" w:lineRule="auto"/>
        <w:jc w:val="both"/>
        <w:rPr>
          <w:rFonts w:ascii="Palatino Linotype" w:eastAsia="Palatino Linotype" w:hAnsi="Palatino Linotype" w:cs="Palatino Linotype"/>
        </w:rPr>
      </w:pPr>
      <w:bookmarkStart w:id="1" w:name="_heading=h.gjdgxs" w:colFirst="0" w:colLast="0"/>
      <w:bookmarkEnd w:id="1"/>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w:t>
      </w:r>
      <w:r>
        <w:rPr>
          <w:rFonts w:ascii="Palatino Linotype" w:eastAsia="Palatino Linotype" w:hAnsi="Palatino Linotype" w:cs="Palatino Linotype"/>
        </w:rPr>
        <w:t xml:space="preserve"> 29, 36 fracciones I y II; 176, 178, 181, 185, fracción I, 186 y 188 de la Ley de Transparencia y Acceso a la Información Pública del Estado de México y Municipios, este Pleno:</w:t>
      </w:r>
    </w:p>
    <w:p w:rsidR="00D614B5" w:rsidRDefault="008C01B8">
      <w:pPr>
        <w:spacing w:before="240" w:after="240" w:line="360" w:lineRule="auto"/>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RESUELVE</w:t>
      </w:r>
    </w:p>
    <w:p w:rsidR="00D614B5" w:rsidRDefault="008C01B8">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la presente resolución.</w:t>
      </w:r>
    </w:p>
    <w:p w:rsidR="00D614B5" w:rsidRDefault="008C01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w:t>
      </w:r>
      <w:r>
        <w:rPr>
          <w:rFonts w:ascii="Palatino Linotype" w:eastAsia="Palatino Linotype" w:hAnsi="Palatino Linotype" w:cs="Palatino Linotype"/>
          <w:b/>
          <w:color w:val="222222"/>
        </w:rPr>
        <w:t xml:space="preserve">ORDENA </w:t>
      </w:r>
      <w:r>
        <w:rPr>
          <w:rFonts w:ascii="Palatino Linotype" w:eastAsia="Palatino Linotype" w:hAnsi="Palatino Linotype" w:cs="Palatino Linotype"/>
          <w:color w:val="222222"/>
        </w:rPr>
        <w:t xml:space="preserve">al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dé trámite a la solicitud de acceso a la información pública que dio origen al recurso de revisión </w:t>
      </w:r>
      <w:r>
        <w:rPr>
          <w:rFonts w:ascii="Palatino Linotype" w:eastAsia="Palatino Linotype" w:hAnsi="Palatino Linotype" w:cs="Palatino Linotype"/>
          <w:b/>
        </w:rPr>
        <w:t>00299/INFOEM/IP/RR/2022</w:t>
      </w:r>
      <w:r>
        <w:rPr>
          <w:rFonts w:ascii="Palatino Linotype" w:eastAsia="Palatino Linotype" w:hAnsi="Palatino Linotype" w:cs="Palatino Linotype"/>
          <w:color w:val="222222"/>
        </w:rPr>
        <w:t>,</w:t>
      </w:r>
      <w:r>
        <w:rPr>
          <w:rFonts w:ascii="Palatino Linotype" w:eastAsia="Palatino Linotype" w:hAnsi="Palatino Linotype" w:cs="Palatino Linotype"/>
          <w:b/>
          <w:color w:val="222222"/>
        </w:rPr>
        <w:t xml:space="preserve"> </w:t>
      </w:r>
      <w:r>
        <w:rPr>
          <w:rFonts w:ascii="Palatino Linotype" w:eastAsia="Palatino Linotype" w:hAnsi="Palatino Linotype" w:cs="Palatino Linotype"/>
          <w:color w:val="222222"/>
        </w:rPr>
        <w:t xml:space="preserve">vía </w:t>
      </w:r>
      <w:r>
        <w:rPr>
          <w:rFonts w:ascii="Palatino Linotype" w:eastAsia="Palatino Linotype" w:hAnsi="Palatino Linotype" w:cs="Palatino Linotype"/>
          <w:b/>
          <w:color w:val="222222"/>
        </w:rPr>
        <w:t xml:space="preserve">SAIMEX, </w:t>
      </w:r>
      <w:r>
        <w:rPr>
          <w:rFonts w:ascii="Palatino Linotype" w:eastAsia="Palatino Linotype" w:hAnsi="Palatino Linotype" w:cs="Palatino Linotype"/>
          <w:color w:val="222222"/>
        </w:rPr>
        <w:t>en términos del Considerando Cuarto de esta resolución y emita respuesta, debiendo observar las excepciones contenidas en la Ley de Transparencia y Acceso a la Información Pública del Estado de México y Municipios.</w:t>
      </w:r>
    </w:p>
    <w:p w:rsidR="00D614B5" w:rsidRDefault="008C01B8">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highlight w:val="white"/>
        </w:rPr>
      </w:pPr>
      <w:r>
        <w:rPr>
          <w:rFonts w:ascii="Palatino Linotype" w:eastAsia="Palatino Linotype" w:hAnsi="Palatino Linotype" w:cs="Palatino Linotype"/>
          <w:b/>
          <w:color w:val="000000"/>
          <w:highlight w:val="white"/>
        </w:rPr>
        <w:t xml:space="preserve">TERCERO. </w:t>
      </w:r>
      <w:r>
        <w:rPr>
          <w:rFonts w:ascii="Palatino Linotype" w:eastAsia="Palatino Linotype" w:hAnsi="Palatino Linotype" w:cs="Palatino Linotype"/>
          <w:b/>
          <w:color w:val="000000"/>
        </w:rPr>
        <w:t>Notifíquese</w:t>
      </w:r>
      <w:r>
        <w:rPr>
          <w:rFonts w:ascii="Palatino Linotype" w:eastAsia="Palatino Linotype" w:hAnsi="Palatino Linotype" w:cs="Palatino Linotype"/>
          <w:b/>
          <w:color w:val="000000"/>
          <w:highlight w:val="white"/>
        </w:rPr>
        <w:t xml:space="preserve"> vía SAIMEX </w:t>
      </w:r>
      <w:r>
        <w:rPr>
          <w:rFonts w:ascii="Palatino Linotype" w:eastAsia="Palatino Linotype" w:hAnsi="Palatino Linotype" w:cs="Palatino Linotype"/>
          <w:color w:val="000000"/>
          <w:highlight w:val="white"/>
        </w:rPr>
        <w:t>al Titula</w:t>
      </w:r>
      <w:r>
        <w:rPr>
          <w:rFonts w:ascii="Palatino Linotype" w:eastAsia="Palatino Linotype" w:hAnsi="Palatino Linotype" w:cs="Palatino Linotype"/>
          <w:color w:val="000000"/>
          <w:highlight w:val="white"/>
        </w:rPr>
        <w:t>r de la Unidad de Transparencia del</w:t>
      </w:r>
      <w:r>
        <w:rPr>
          <w:rFonts w:ascii="Palatino Linotype" w:eastAsia="Palatino Linotype" w:hAnsi="Palatino Linotype" w:cs="Palatino Linotype"/>
          <w:b/>
          <w:color w:val="000000"/>
          <w:highlight w:val="white"/>
        </w:rPr>
        <w:t xml:space="preserve">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highlight w:val="white"/>
        </w:rPr>
        <w:t>, la presente resolución para que conforme a los artículos 186 último párrafo y 189 párrafo segundo de la Ley de Transparencia y Acceso a la Información Pública del Estado de México y Municipios, dé cumpli</w:t>
      </w:r>
      <w:r>
        <w:rPr>
          <w:rFonts w:ascii="Palatino Linotype" w:eastAsia="Palatino Linotype" w:hAnsi="Palatino Linotype" w:cs="Palatino Linotype"/>
          <w:color w:val="000000"/>
          <w:highlight w:val="white"/>
        </w:rPr>
        <w:t>miento a lo ordenado dentro del plazo de diez días hábiles, debiendo informar a este Instituto en un plazo de tres días hábiles siguientes sobre el cumplimiento dado a la presente resolución.</w:t>
      </w:r>
    </w:p>
    <w:p w:rsidR="00D614B5" w:rsidRDefault="008C01B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 Notifíquese</w:t>
      </w:r>
      <w:r>
        <w:rPr>
          <w:rFonts w:ascii="Palatino Linotype" w:eastAsia="Palatino Linotype" w:hAnsi="Palatino Linotype" w:cs="Palatino Linotype"/>
          <w:b/>
          <w:highlight w:val="white"/>
        </w:rPr>
        <w:t xml:space="preserve"> </w:t>
      </w:r>
      <w:r>
        <w:rPr>
          <w:rFonts w:ascii="Palatino Linotype" w:eastAsia="Palatino Linotype" w:hAnsi="Palatino Linotype" w:cs="Palatino Linotype"/>
          <w:highlight w:val="white"/>
        </w:rPr>
        <w:t xml:space="preserve">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vía SAIMEX</w:t>
      </w:r>
      <w:r>
        <w:rPr>
          <w:rFonts w:ascii="Palatino Linotype" w:eastAsia="Palatino Linotype" w:hAnsi="Palatino Linotype" w:cs="Palatino Linotype"/>
          <w:b/>
        </w:rPr>
        <w:t xml:space="preserve">, </w:t>
      </w:r>
      <w:r>
        <w:rPr>
          <w:rFonts w:ascii="Palatino Linotype" w:eastAsia="Palatino Linotype" w:hAnsi="Palatino Linotype" w:cs="Palatino Linotype"/>
        </w:rPr>
        <w:t>la presente resolu</w:t>
      </w:r>
      <w:r>
        <w:rPr>
          <w:rFonts w:ascii="Palatino Linotype" w:eastAsia="Palatino Linotype" w:hAnsi="Palatino Linotype" w:cs="Palatino Linotype"/>
        </w:rPr>
        <w:t>ción, así como, que de conformidad con lo establecido en el artículo 196 de la Ley de Transparencia y Acceso a la Información Pública del Estado de México y Municipios, en caso de que considere que le causa algún perjuicio podrá impugnarla vía Juicio de Am</w:t>
      </w:r>
      <w:r>
        <w:rPr>
          <w:rFonts w:ascii="Palatino Linotype" w:eastAsia="Palatino Linotype" w:hAnsi="Palatino Linotype" w:cs="Palatino Linotype"/>
        </w:rPr>
        <w:t>paro en los términos de las leyes aplicables.</w:t>
      </w:r>
    </w:p>
    <w:p w:rsidR="00D614B5" w:rsidRDefault="008C01B8">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QUINTO. Notifíquese,</w:t>
      </w:r>
      <w:r>
        <w:rPr>
          <w:rFonts w:ascii="Palatino Linotype" w:eastAsia="Palatino Linotype" w:hAnsi="Palatino Linotype" w:cs="Palatino Linotype"/>
        </w:rPr>
        <w:t xml:space="preserve"> vía SAIMEX</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r>
        <w:rPr>
          <w:rFonts w:ascii="Palatino Linotype" w:eastAsia="Palatino Linotype" w:hAnsi="Palatino Linotype" w:cs="Palatino Linotype"/>
          <w:color w:val="222222"/>
        </w:rPr>
        <w:t xml:space="preserve">que la respuesta que dé </w:t>
      </w:r>
      <w:r>
        <w:rPr>
          <w:rFonts w:ascii="Palatino Linotype" w:eastAsia="Palatino Linotype" w:hAnsi="Palatino Linotype" w:cs="Palatino Linotype"/>
          <w:b/>
          <w:color w:val="222222"/>
        </w:rPr>
        <w:t>el SUJETO OBLIGADO</w:t>
      </w:r>
      <w:r>
        <w:rPr>
          <w:rFonts w:ascii="Palatino Linotype" w:eastAsia="Palatino Linotype" w:hAnsi="Palatino Linotype" w:cs="Palatino Linotype"/>
          <w:color w:val="2222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w:t>
      </w:r>
      <w:r>
        <w:rPr>
          <w:rFonts w:ascii="Palatino Linotype" w:eastAsia="Palatino Linotype" w:hAnsi="Palatino Linotype" w:cs="Palatino Linotype"/>
          <w:color w:val="222222"/>
        </w:rPr>
        <w:t>y Municipios.</w:t>
      </w:r>
    </w:p>
    <w:p w:rsidR="00D614B5" w:rsidRDefault="008C01B8">
      <w:pPr>
        <w:widowControl w:val="0"/>
        <w:tabs>
          <w:tab w:val="left" w:pos="1701"/>
        </w:tabs>
        <w:spacing w:before="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SEXTO.</w:t>
      </w:r>
      <w:r>
        <w:rPr>
          <w:rFonts w:ascii="Palatino Linotype" w:eastAsia="Palatino Linotype" w:hAnsi="Palatino Linotype" w:cs="Palatino Linotype"/>
          <w:b/>
          <w:highlight w:val="white"/>
        </w:rPr>
        <w:t xml:space="preserve"> </w:t>
      </w:r>
      <w:r>
        <w:rPr>
          <w:rFonts w:ascii="Palatino Linotype" w:eastAsia="Palatino Linotype" w:hAnsi="Palatino Linotype" w:cs="Palatino Linotype"/>
        </w:rPr>
        <w:t xml:space="preserve">Con fundamento en el artículo 198 de la Ley de Transparencia y Acceso a la Información Pública del Estado de México y Municipios, se apercibe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negarse a cumplir la presente resolución o hacerlo de mane</w:t>
      </w:r>
      <w:r>
        <w:rPr>
          <w:rFonts w:ascii="Palatino Linotype" w:eastAsia="Palatino Linotype" w:hAnsi="Palatino Linotype" w:cs="Palatino Linotype"/>
        </w:rPr>
        <w:t>ra parcial se actuará de conformidad con lo previsto en los artículos 213, 214, 216 y 217 de dicha Ley.</w:t>
      </w:r>
    </w:p>
    <w:p w:rsidR="00D614B5" w:rsidRDefault="00D614B5">
      <w:pPr>
        <w:widowControl w:val="0"/>
        <w:tabs>
          <w:tab w:val="left" w:pos="1701"/>
        </w:tabs>
        <w:spacing w:line="360" w:lineRule="auto"/>
        <w:ind w:right="51"/>
        <w:jc w:val="both"/>
        <w:rPr>
          <w:rFonts w:ascii="Palatino Linotype" w:eastAsia="Palatino Linotype" w:hAnsi="Palatino Linotype" w:cs="Palatino Linotype"/>
        </w:rPr>
      </w:pPr>
    </w:p>
    <w:p w:rsidR="00D614B5" w:rsidRDefault="008C01B8">
      <w:pPr>
        <w:widowControl w:val="0"/>
        <w:tabs>
          <w:tab w:val="left" w:pos="1701"/>
        </w:tabs>
        <w:spacing w:line="360" w:lineRule="auto"/>
        <w:ind w:right="51"/>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b/>
        </w:rPr>
        <w:t xml:space="preserve">SÉPTIMO. Gírese </w:t>
      </w:r>
      <w:r>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w:t>
      </w:r>
      <w:r>
        <w:rPr>
          <w:rFonts w:ascii="Palatino Linotype" w:eastAsia="Palatino Linotype" w:hAnsi="Palatino Linotype" w:cs="Palatino Linotype"/>
        </w:rPr>
        <w:t>a Información Pública del Estado de México y Municipios, determine lo conducente, en términos de lo señalado en el considerando</w:t>
      </w:r>
      <w:r>
        <w:rPr>
          <w:rFonts w:ascii="Palatino Linotype" w:eastAsia="Palatino Linotype" w:hAnsi="Palatino Linotype" w:cs="Palatino Linotype"/>
          <w:b/>
        </w:rPr>
        <w:t xml:space="preserve"> Cuarto </w:t>
      </w:r>
      <w:r>
        <w:rPr>
          <w:rFonts w:ascii="Palatino Linotype" w:eastAsia="Palatino Linotype" w:hAnsi="Palatino Linotype" w:cs="Palatino Linotype"/>
        </w:rPr>
        <w:t>de la presente resolución.</w:t>
      </w:r>
    </w:p>
    <w:p w:rsidR="00D614B5" w:rsidRDefault="00D614B5">
      <w:pPr>
        <w:widowControl w:val="0"/>
        <w:tabs>
          <w:tab w:val="left" w:pos="1701"/>
        </w:tabs>
        <w:spacing w:line="360" w:lineRule="auto"/>
        <w:ind w:right="51"/>
        <w:jc w:val="both"/>
        <w:rPr>
          <w:rFonts w:ascii="Palatino Linotype" w:eastAsia="Palatino Linotype" w:hAnsi="Palatino Linotype" w:cs="Palatino Linotype"/>
        </w:rPr>
      </w:pPr>
    </w:p>
    <w:p w:rsidR="00D614B5" w:rsidRDefault="008C01B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w:t>
      </w:r>
      <w:r>
        <w:rPr>
          <w:rFonts w:ascii="Palatino Linotype" w:eastAsia="Palatino Linotype" w:hAnsi="Palatino Linotype" w:cs="Palatino Linotype"/>
        </w:rPr>
        <w:t xml:space="preserve">A INFORMACIÓN PÚBLICA Y PROTECCIÓN DE DATOS PERSONALES DEL ESTADO DE MÉXICO Y MUNICIPIOS, CONFORMADO POR LOS COMISIONADOS JOSÉ MARTÍNEZ VILCHIS, MARÍA DEL ROSARIO MEJÍA AYALA, SHARON CRISTINA </w:t>
      </w:r>
      <w:r>
        <w:rPr>
          <w:rFonts w:ascii="Palatino Linotype" w:eastAsia="Palatino Linotype" w:hAnsi="Palatino Linotype" w:cs="Palatino Linotype"/>
        </w:rPr>
        <w:lastRenderedPageBreak/>
        <w:t>MORALES MARTÍNEZ, LUIS GUSTAVO PARRA NORIEGA Y GUADALUPE RAMÍREZ</w:t>
      </w:r>
      <w:r>
        <w:rPr>
          <w:rFonts w:ascii="Palatino Linotype" w:eastAsia="Palatino Linotype" w:hAnsi="Palatino Linotype" w:cs="Palatino Linotype"/>
        </w:rPr>
        <w:t xml:space="preserve"> PEÑA; EN LA DÉCIMA SESIÓN ORDINARIA CELEBRADA EL DIECISÉIS DE MARZO DE DOS MIL VEINTIDÓS, ANTE EL SECRETARIO TÉCNICO DEL PLENO ALEXIS TAPIA RAMÍREZ.</w:t>
      </w:r>
    </w:p>
    <w:p w:rsidR="00D614B5" w:rsidRDefault="00D614B5">
      <w:pPr>
        <w:spacing w:before="240" w:after="240" w:line="360" w:lineRule="auto"/>
        <w:jc w:val="both"/>
        <w:rPr>
          <w:rFonts w:ascii="Palatino Linotype" w:eastAsia="Palatino Linotype" w:hAnsi="Palatino Linotype" w:cs="Palatino Linotype"/>
        </w:rPr>
      </w:pPr>
    </w:p>
    <w:p w:rsidR="00D614B5" w:rsidRDefault="00D614B5">
      <w:pPr>
        <w:spacing w:before="240" w:after="240" w:line="360" w:lineRule="auto"/>
        <w:jc w:val="both"/>
        <w:rPr>
          <w:rFonts w:ascii="Palatino Linotype" w:eastAsia="Palatino Linotype" w:hAnsi="Palatino Linotype" w:cs="Palatino Linotype"/>
          <w:b/>
        </w:rPr>
      </w:pPr>
    </w:p>
    <w:p w:rsidR="00D614B5" w:rsidRDefault="00D614B5">
      <w:pPr>
        <w:spacing w:before="240" w:after="240" w:line="360" w:lineRule="auto"/>
        <w:jc w:val="both"/>
        <w:rPr>
          <w:rFonts w:ascii="Palatino Linotype" w:eastAsia="Palatino Linotype" w:hAnsi="Palatino Linotype" w:cs="Palatino Linotype"/>
        </w:rPr>
      </w:pPr>
    </w:p>
    <w:p w:rsidR="00D614B5" w:rsidRDefault="00D614B5"/>
    <w:sectPr w:rsidR="00D614B5">
      <w:headerReference w:type="default" r:id="rId10"/>
      <w:footerReference w:type="default" r:id="rId11"/>
      <w:headerReference w:type="first" r:id="rId12"/>
      <w:footerReference w:type="first" r:id="rId13"/>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1B8" w:rsidRDefault="008C01B8">
      <w:r>
        <w:separator/>
      </w:r>
    </w:p>
  </w:endnote>
  <w:endnote w:type="continuationSeparator" w:id="0">
    <w:p w:rsidR="008C01B8" w:rsidRDefault="008C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4B5" w:rsidRDefault="008C01B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2E7EF4">
      <w:rPr>
        <w:rFonts w:ascii="Arial" w:eastAsia="Arial" w:hAnsi="Arial" w:cs="Arial"/>
        <w:b/>
        <w:color w:val="000000"/>
        <w:sz w:val="20"/>
        <w:szCs w:val="20"/>
      </w:rPr>
      <w:fldChar w:fldCharType="separate"/>
    </w:r>
    <w:r w:rsidR="002E7EF4">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2E7EF4">
      <w:rPr>
        <w:rFonts w:ascii="Arial" w:eastAsia="Arial" w:hAnsi="Arial" w:cs="Arial"/>
        <w:b/>
        <w:color w:val="000000"/>
        <w:sz w:val="20"/>
        <w:szCs w:val="20"/>
      </w:rPr>
      <w:fldChar w:fldCharType="separate"/>
    </w:r>
    <w:r w:rsidR="002E7EF4">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rsidR="00D614B5" w:rsidRDefault="00D614B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4B5" w:rsidRDefault="008C01B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2E7EF4">
      <w:rPr>
        <w:rFonts w:ascii="Arial" w:eastAsia="Arial" w:hAnsi="Arial" w:cs="Arial"/>
        <w:b/>
        <w:color w:val="000000"/>
        <w:sz w:val="20"/>
        <w:szCs w:val="20"/>
      </w:rPr>
      <w:fldChar w:fldCharType="separate"/>
    </w:r>
    <w:r w:rsidR="002E7EF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2E7EF4">
      <w:rPr>
        <w:rFonts w:ascii="Arial" w:eastAsia="Arial" w:hAnsi="Arial" w:cs="Arial"/>
        <w:b/>
        <w:color w:val="000000"/>
        <w:sz w:val="20"/>
        <w:szCs w:val="20"/>
      </w:rPr>
      <w:fldChar w:fldCharType="separate"/>
    </w:r>
    <w:r w:rsidR="002E7EF4">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rsidR="00D614B5" w:rsidRDefault="00D614B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1B8" w:rsidRDefault="008C01B8">
      <w:r>
        <w:separator/>
      </w:r>
    </w:p>
  </w:footnote>
  <w:footnote w:type="continuationSeparator" w:id="0">
    <w:p w:rsidR="008C01B8" w:rsidRDefault="008C01B8">
      <w:r>
        <w:continuationSeparator/>
      </w:r>
    </w:p>
  </w:footnote>
  <w:footnote w:id="1">
    <w:p w:rsidR="00D614B5" w:rsidRDefault="008C01B8">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rsidR="00D614B5" w:rsidRDefault="008C01B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D614B5" w:rsidRDefault="008C01B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D614B5" w:rsidRDefault="008C01B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w:t>
      </w:r>
      <w:r>
        <w:rPr>
          <w:rFonts w:ascii="Palatino Linotype" w:eastAsia="Palatino Linotype" w:hAnsi="Palatino Linotype" w:cs="Palatino Linotype"/>
          <w:color w:val="000000"/>
          <w:sz w:val="16"/>
          <w:szCs w:val="16"/>
        </w:rPr>
        <w:t>es funciones:</w:t>
      </w:r>
    </w:p>
    <w:p w:rsidR="00D614B5" w:rsidRDefault="008C01B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D614B5" w:rsidRDefault="008C01B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D614B5" w:rsidRDefault="008C01B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w:t>
      </w:r>
      <w:r>
        <w:rPr>
          <w:rFonts w:ascii="Palatino Linotype" w:eastAsia="Palatino Linotype" w:hAnsi="Palatino Linotype" w:cs="Palatino Linotype"/>
          <w:color w:val="000000"/>
          <w:sz w:val="16"/>
          <w:szCs w:val="16"/>
        </w:rPr>
        <w:t xml:space="preserve"> plazo de respuesta, clasificación de la información y declaración de inexistencia o de incompetencia realicen los titulares de las áreas de los sujetos obligados;</w:t>
      </w:r>
    </w:p>
    <w:p w:rsidR="00D614B5" w:rsidRDefault="008C01B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D614B5" w:rsidRDefault="008C01B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w:t>
      </w:r>
      <w:r>
        <w:rPr>
          <w:rFonts w:ascii="Palatino Linotype" w:eastAsia="Palatino Linotype" w:hAnsi="Palatino Linotype" w:cs="Palatino Linotype"/>
          <w:color w:val="000000"/>
          <w:sz w:val="16"/>
          <w:szCs w:val="16"/>
        </w:rPr>
        <w:t>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4B5" w:rsidRDefault="00D614B5">
    <w:pPr>
      <w:widowControl w:val="0"/>
      <w:pBdr>
        <w:top w:val="nil"/>
        <w:left w:val="nil"/>
        <w:bottom w:val="nil"/>
        <w:right w:val="nil"/>
        <w:between w:val="nil"/>
      </w:pBdr>
      <w:spacing w:line="276" w:lineRule="auto"/>
      <w:rPr>
        <w:color w:val="000000"/>
      </w:rPr>
    </w:pPr>
  </w:p>
  <w:tbl>
    <w:tblPr>
      <w:tblStyle w:val="a0"/>
      <w:tblW w:w="10302" w:type="dxa"/>
      <w:tblInd w:w="-1281" w:type="dxa"/>
      <w:tblLayout w:type="fixed"/>
      <w:tblLook w:val="0400" w:firstRow="0" w:lastRow="0" w:firstColumn="0" w:lastColumn="0" w:noHBand="0" w:noVBand="1"/>
    </w:tblPr>
    <w:tblGrid>
      <w:gridCol w:w="5660"/>
      <w:gridCol w:w="4642"/>
    </w:tblGrid>
    <w:tr w:rsidR="00D614B5">
      <w:trPr>
        <w:trHeight w:val="260"/>
      </w:trPr>
      <w:tc>
        <w:tcPr>
          <w:tcW w:w="5660" w:type="dxa"/>
        </w:tcPr>
        <w:p w:rsidR="00D614B5" w:rsidRDefault="008C01B8">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642" w:type="dxa"/>
        </w:tcPr>
        <w:p w:rsidR="00D614B5" w:rsidRDefault="008C01B8">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00299/INFOEM/IP/RR/2022</w:t>
          </w:r>
        </w:p>
      </w:tc>
    </w:tr>
    <w:tr w:rsidR="00D614B5">
      <w:trPr>
        <w:trHeight w:val="224"/>
      </w:trPr>
      <w:tc>
        <w:tcPr>
          <w:tcW w:w="5660" w:type="dxa"/>
        </w:tcPr>
        <w:p w:rsidR="00D614B5" w:rsidRDefault="008C01B8">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42" w:type="dxa"/>
        </w:tcPr>
        <w:p w:rsidR="00D614B5" w:rsidRDefault="00D614B5">
          <w:pPr>
            <w:spacing w:after="120"/>
            <w:ind w:left="-486" w:right="214" w:firstLine="567"/>
            <w:jc w:val="right"/>
            <w:rPr>
              <w:rFonts w:ascii="Palatino Linotype" w:eastAsia="Palatino Linotype" w:hAnsi="Palatino Linotype" w:cs="Palatino Linotype"/>
            </w:rPr>
          </w:pPr>
        </w:p>
      </w:tc>
    </w:tr>
    <w:tr w:rsidR="00D614B5">
      <w:trPr>
        <w:trHeight w:val="278"/>
      </w:trPr>
      <w:tc>
        <w:tcPr>
          <w:tcW w:w="5660" w:type="dxa"/>
        </w:tcPr>
        <w:p w:rsidR="00D614B5" w:rsidRDefault="008C01B8">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42" w:type="dxa"/>
        </w:tcPr>
        <w:p w:rsidR="00D614B5" w:rsidRDefault="008C01B8">
          <w:pPr>
            <w:ind w:left="-495" w:right="214" w:firstLine="567"/>
            <w:jc w:val="right"/>
            <w:rPr>
              <w:rFonts w:ascii="Palatino Linotype" w:eastAsia="Palatino Linotype" w:hAnsi="Palatino Linotype" w:cs="Palatino Linotype"/>
            </w:rPr>
          </w:pPr>
          <w:r>
            <w:rPr>
              <w:rFonts w:ascii="Palatino Linotype" w:eastAsia="Palatino Linotype" w:hAnsi="Palatino Linotype" w:cs="Palatino Linotype"/>
            </w:rPr>
            <w:t>Ayuntamiento de Ixtapaluca</w:t>
          </w:r>
        </w:p>
      </w:tc>
    </w:tr>
    <w:tr w:rsidR="00D614B5">
      <w:trPr>
        <w:trHeight w:val="393"/>
      </w:trPr>
      <w:tc>
        <w:tcPr>
          <w:tcW w:w="5660" w:type="dxa"/>
        </w:tcPr>
        <w:p w:rsidR="00D614B5" w:rsidRDefault="008C01B8">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42" w:type="dxa"/>
        </w:tcPr>
        <w:p w:rsidR="00D614B5" w:rsidRDefault="008C01B8">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rsidR="00D614B5" w:rsidRDefault="008C01B8">
    <w:pPr>
      <w:pBdr>
        <w:top w:val="nil"/>
        <w:left w:val="nil"/>
        <w:bottom w:val="nil"/>
        <w:right w:val="nil"/>
        <w:between w:val="nil"/>
      </w:pBdr>
      <w:tabs>
        <w:tab w:val="center" w:pos="4419"/>
        <w:tab w:val="right" w:pos="8838"/>
      </w:tabs>
      <w:rPr>
        <w:color w:val="000000"/>
      </w:rPr>
    </w:pPr>
    <w:r>
      <w:rPr>
        <w:noProof/>
        <w:lang w:val="es-MX" w:eastAsia="es-MX"/>
      </w:rPr>
      <w:drawing>
        <wp:anchor distT="0" distB="0" distL="0" distR="0" simplePos="0" relativeHeight="251658240" behindDoc="1" locked="0" layoutInCell="1" hidden="0" allowOverlap="1">
          <wp:simplePos x="0" y="0"/>
          <wp:positionH relativeFrom="column">
            <wp:posOffset>-1080134</wp:posOffset>
          </wp:positionH>
          <wp:positionV relativeFrom="paragraph">
            <wp:posOffset>-1470659</wp:posOffset>
          </wp:positionV>
          <wp:extent cx="7867650" cy="10133330"/>
          <wp:effectExtent l="0" t="0" r="0" b="0"/>
          <wp:wrapNone/>
          <wp:docPr id="2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4B5" w:rsidRDefault="00D614B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
      <w:tblW w:w="10302" w:type="dxa"/>
      <w:tblInd w:w="-1281" w:type="dxa"/>
      <w:tblLayout w:type="fixed"/>
      <w:tblLook w:val="0400" w:firstRow="0" w:lastRow="0" w:firstColumn="0" w:lastColumn="0" w:noHBand="0" w:noVBand="1"/>
    </w:tblPr>
    <w:tblGrid>
      <w:gridCol w:w="5660"/>
      <w:gridCol w:w="4642"/>
    </w:tblGrid>
    <w:tr w:rsidR="00D614B5">
      <w:trPr>
        <w:trHeight w:val="260"/>
      </w:trPr>
      <w:tc>
        <w:tcPr>
          <w:tcW w:w="5660" w:type="dxa"/>
        </w:tcPr>
        <w:p w:rsidR="00D614B5" w:rsidRDefault="008C01B8">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642" w:type="dxa"/>
        </w:tcPr>
        <w:p w:rsidR="00D614B5" w:rsidRDefault="008C01B8">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00299/INFOEM/IP/RR/2022</w:t>
          </w:r>
        </w:p>
      </w:tc>
    </w:tr>
    <w:tr w:rsidR="00D614B5">
      <w:trPr>
        <w:trHeight w:val="224"/>
      </w:trPr>
      <w:tc>
        <w:tcPr>
          <w:tcW w:w="5660" w:type="dxa"/>
        </w:tcPr>
        <w:p w:rsidR="00D614B5" w:rsidRDefault="008C01B8">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42" w:type="dxa"/>
        </w:tcPr>
        <w:p w:rsidR="00D614B5" w:rsidRDefault="002E7EF4" w:rsidP="002E7EF4">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xxxxx</w:t>
          </w:r>
          <w:r w:rsidR="008C01B8">
            <w:rPr>
              <w:rFonts w:ascii="Palatino Linotype" w:eastAsia="Palatino Linotype" w:hAnsi="Palatino Linotype" w:cs="Palatino Linotype"/>
            </w:rPr>
            <w:t xml:space="preserve"> </w:t>
          </w:r>
          <w:r>
            <w:rPr>
              <w:rFonts w:ascii="Palatino Linotype" w:eastAsia="Palatino Linotype" w:hAnsi="Palatino Linotype" w:cs="Palatino Linotype"/>
            </w:rPr>
            <w:t>xxxxxxx</w:t>
          </w:r>
          <w:r w:rsidR="008C01B8">
            <w:rPr>
              <w:rFonts w:ascii="Palatino Linotype" w:eastAsia="Palatino Linotype" w:hAnsi="Palatino Linotype" w:cs="Palatino Linotype"/>
            </w:rPr>
            <w:t xml:space="preserve"> </w:t>
          </w:r>
          <w:r>
            <w:rPr>
              <w:rFonts w:ascii="Palatino Linotype" w:eastAsia="Palatino Linotype" w:hAnsi="Palatino Linotype" w:cs="Palatino Linotype"/>
            </w:rPr>
            <w:t>xxxxxxxx</w:t>
          </w:r>
          <w:r w:rsidR="008C01B8">
            <w:rPr>
              <w:rFonts w:ascii="Palatino Linotype" w:eastAsia="Palatino Linotype" w:hAnsi="Palatino Linotype" w:cs="Palatino Linotype"/>
            </w:rPr>
            <w:t xml:space="preserve"> </w:t>
          </w:r>
          <w:r>
            <w:rPr>
              <w:rFonts w:ascii="Palatino Linotype" w:eastAsia="Palatino Linotype" w:hAnsi="Palatino Linotype" w:cs="Palatino Linotype"/>
            </w:rPr>
            <w:t>xxxxxx</w:t>
          </w:r>
        </w:p>
      </w:tc>
    </w:tr>
    <w:tr w:rsidR="00D614B5">
      <w:trPr>
        <w:trHeight w:val="278"/>
      </w:trPr>
      <w:tc>
        <w:tcPr>
          <w:tcW w:w="5660" w:type="dxa"/>
        </w:tcPr>
        <w:p w:rsidR="00D614B5" w:rsidRDefault="008C01B8">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42" w:type="dxa"/>
        </w:tcPr>
        <w:p w:rsidR="00D614B5" w:rsidRDefault="008C01B8">
          <w:pPr>
            <w:ind w:left="-495" w:right="214" w:firstLine="567"/>
            <w:jc w:val="right"/>
            <w:rPr>
              <w:rFonts w:ascii="Palatino Linotype" w:eastAsia="Palatino Linotype" w:hAnsi="Palatino Linotype" w:cs="Palatino Linotype"/>
            </w:rPr>
          </w:pPr>
          <w:r>
            <w:rPr>
              <w:rFonts w:ascii="Palatino Linotype" w:eastAsia="Palatino Linotype" w:hAnsi="Palatino Linotype" w:cs="Palatino Linotype"/>
            </w:rPr>
            <w:t>Ayuntamiento de Ixtapaluca</w:t>
          </w:r>
        </w:p>
      </w:tc>
    </w:tr>
    <w:tr w:rsidR="00D614B5">
      <w:trPr>
        <w:trHeight w:val="393"/>
      </w:trPr>
      <w:tc>
        <w:tcPr>
          <w:tcW w:w="5660" w:type="dxa"/>
        </w:tcPr>
        <w:p w:rsidR="00D614B5" w:rsidRDefault="008C01B8">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42" w:type="dxa"/>
        </w:tcPr>
        <w:p w:rsidR="00D614B5" w:rsidRDefault="008C01B8">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rsidR="00D614B5" w:rsidRDefault="008C01B8">
    <w:pPr>
      <w:pBdr>
        <w:top w:val="nil"/>
        <w:left w:val="nil"/>
        <w:bottom w:val="nil"/>
        <w:right w:val="nil"/>
        <w:between w:val="nil"/>
      </w:pBdr>
      <w:tabs>
        <w:tab w:val="center" w:pos="4419"/>
        <w:tab w:val="right" w:pos="8838"/>
      </w:tabs>
      <w:rPr>
        <w:color w:val="000000"/>
      </w:rPr>
    </w:pPr>
    <w:r>
      <w:rPr>
        <w:noProof/>
        <w:lang w:val="es-MX" w:eastAsia="es-MX"/>
      </w:rPr>
      <w:drawing>
        <wp:anchor distT="0" distB="0" distL="0" distR="0" simplePos="0" relativeHeight="251659264" behindDoc="1" locked="0" layoutInCell="1" hidden="0" allowOverlap="1">
          <wp:simplePos x="0" y="0"/>
          <wp:positionH relativeFrom="column">
            <wp:posOffset>-1080134</wp:posOffset>
          </wp:positionH>
          <wp:positionV relativeFrom="paragraph">
            <wp:posOffset>-1499234</wp:posOffset>
          </wp:positionV>
          <wp:extent cx="7867650" cy="10133330"/>
          <wp:effectExtent l="0" t="0" r="0" b="0"/>
          <wp:wrapNone/>
          <wp:docPr id="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292C58"/>
    <w:multiLevelType w:val="multilevel"/>
    <w:tmpl w:val="BCB050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46D7B8D"/>
    <w:multiLevelType w:val="multilevel"/>
    <w:tmpl w:val="260E66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B5"/>
    <w:rsid w:val="002E7EF4"/>
    <w:rsid w:val="008C01B8"/>
    <w:rsid w:val="00D614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E34416-94B4-4FEC-9BF9-91EE8701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A8C"/>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F6A8C"/>
    <w:pPr>
      <w:tabs>
        <w:tab w:val="center" w:pos="4419"/>
        <w:tab w:val="right" w:pos="8838"/>
      </w:tabs>
    </w:pPr>
  </w:style>
  <w:style w:type="character" w:customStyle="1" w:styleId="EncabezadoCar">
    <w:name w:val="Encabezado Car"/>
    <w:basedOn w:val="Fuentedeprrafopredeter"/>
    <w:link w:val="Encabezado"/>
    <w:uiPriority w:val="99"/>
    <w:rsid w:val="006F6A8C"/>
  </w:style>
  <w:style w:type="paragraph" w:styleId="Piedepgina">
    <w:name w:val="footer"/>
    <w:basedOn w:val="Normal"/>
    <w:link w:val="PiedepginaCar"/>
    <w:uiPriority w:val="99"/>
    <w:unhideWhenUsed/>
    <w:rsid w:val="006F6A8C"/>
    <w:pPr>
      <w:tabs>
        <w:tab w:val="center" w:pos="4419"/>
        <w:tab w:val="right" w:pos="8838"/>
      </w:tabs>
    </w:pPr>
  </w:style>
  <w:style w:type="character" w:customStyle="1" w:styleId="PiedepginaCar">
    <w:name w:val="Pie de página Car"/>
    <w:basedOn w:val="Fuentedeprrafopredeter"/>
    <w:link w:val="Piedepgina"/>
    <w:uiPriority w:val="99"/>
    <w:rsid w:val="006F6A8C"/>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46807"/>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46807"/>
    <w:pPr>
      <w:ind w:left="708"/>
    </w:pPr>
    <w:rPr>
      <w:sz w:val="22"/>
      <w:szCs w:val="22"/>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730C1"/>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730C1"/>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730C1"/>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Tcu7gugbHO5BCiykdKdB5ejGYw==">AMUW2mU5i76brZqq7YKBduQ5CV3dgdZK9TpCpwvpAY/xNdes0MbW69F9g48X20q2Hc058mASSn36sAGkjDlMSWZPu75PZJi9NESdgEgw8AWdQxkNTypcYn0Zhv8nHKhTKZT6s2Vi6iOSDWQz+ELXjPJ2/tFMM9yh0Q==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7806</Words>
  <Characters>42935</Characters>
  <Application>Microsoft Office Word</Application>
  <DocSecurity>0</DocSecurity>
  <Lines>357</Lines>
  <Paragraphs>101</Paragraphs>
  <ScaleCrop>false</ScaleCrop>
  <Company/>
  <LinksUpToDate>false</LinksUpToDate>
  <CharactersWithSpaces>50640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LAURA RENDON GARCIA</dc:creator>
  <cp:lastModifiedBy>USUARIO</cp:lastModifiedBy>
  <cp:revision>2</cp:revision>
  <dcterms:created xsi:type="dcterms:W3CDTF">2022-03-10T17:03:00Z</dcterms:created>
  <dcterms:modified xsi:type="dcterms:W3CDTF">2022-04-04T15:42:00Z</dcterms:modified>
</cp:coreProperties>
</file>