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EB2" w:rsidRPr="001F33E7" w:rsidRDefault="004C6419">
      <w:pPr>
        <w:spacing w:before="240" w:after="240" w:line="360" w:lineRule="auto"/>
        <w:jc w:val="both"/>
        <w:rPr>
          <w:rFonts w:ascii="Palatino Linotype" w:eastAsia="Palatino Linotype" w:hAnsi="Palatino Linotype" w:cs="Palatino Linotype"/>
          <w:b/>
        </w:rPr>
      </w:pPr>
      <w:r w:rsidRPr="001F33E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Pr="001F33E7">
        <w:rPr>
          <w:rFonts w:ascii="Palatino Linotype" w:eastAsia="Palatino Linotype" w:hAnsi="Palatino Linotype" w:cs="Palatino Linotype"/>
          <w:b/>
        </w:rPr>
        <w:t xml:space="preserve">veintiocho de septiembre del dos mil veintidós. </w:t>
      </w:r>
    </w:p>
    <w:p w:rsidR="001B2EB2" w:rsidRPr="001F33E7" w:rsidRDefault="004C6419">
      <w:pPr>
        <w:spacing w:before="240" w:after="240"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b/>
        </w:rPr>
        <w:t>Visto</w:t>
      </w:r>
      <w:r w:rsidRPr="001F33E7">
        <w:rPr>
          <w:rFonts w:ascii="Palatino Linotype" w:eastAsia="Palatino Linotype" w:hAnsi="Palatino Linotype" w:cs="Palatino Linotype"/>
        </w:rPr>
        <w:t xml:space="preserve"> el expediente relativo al recurso de revisión </w:t>
      </w:r>
      <w:r w:rsidRPr="001F33E7">
        <w:rPr>
          <w:rFonts w:ascii="Palatino Linotype" w:eastAsia="Palatino Linotype" w:hAnsi="Palatino Linotype" w:cs="Palatino Linotype"/>
          <w:b/>
        </w:rPr>
        <w:t>09834/INFOEM/IP/RR/2022</w:t>
      </w:r>
      <w:r w:rsidRPr="001F33E7">
        <w:rPr>
          <w:rFonts w:ascii="Palatino Linotype" w:eastAsia="Palatino Linotype" w:hAnsi="Palatino Linotype" w:cs="Palatino Linotype"/>
        </w:rPr>
        <w:t>, interpuesto por la C.</w:t>
      </w:r>
      <w:r w:rsidR="00672228">
        <w:rPr>
          <w:rFonts w:ascii="Palatino Linotype" w:eastAsia="Palatino Linotype" w:hAnsi="Palatino Linotype" w:cs="Palatino Linotype"/>
          <w:b/>
        </w:rPr>
        <w:t xml:space="preserve"> XXXX </w:t>
      </w:r>
      <w:proofErr w:type="spellStart"/>
      <w:r w:rsidR="00672228">
        <w:rPr>
          <w:rFonts w:ascii="Palatino Linotype" w:eastAsia="Palatino Linotype" w:hAnsi="Palatino Linotype" w:cs="Palatino Linotype"/>
          <w:b/>
        </w:rPr>
        <w:t>XXXX</w:t>
      </w:r>
      <w:proofErr w:type="spellEnd"/>
      <w:r w:rsidR="00672228">
        <w:rPr>
          <w:rFonts w:ascii="Palatino Linotype" w:eastAsia="Palatino Linotype" w:hAnsi="Palatino Linotype" w:cs="Palatino Linotype"/>
          <w:b/>
        </w:rPr>
        <w:t xml:space="preserve"> XXXXXXXX</w:t>
      </w:r>
      <w:bookmarkStart w:id="0" w:name="_GoBack"/>
      <w:bookmarkEnd w:id="0"/>
      <w:r w:rsidRPr="001F33E7">
        <w:rPr>
          <w:rFonts w:ascii="Palatino Linotype" w:eastAsia="Palatino Linotype" w:hAnsi="Palatino Linotype" w:cs="Palatino Linotype"/>
          <w:b/>
        </w:rPr>
        <w:t>,</w:t>
      </w:r>
      <w:r w:rsidRPr="001F33E7">
        <w:rPr>
          <w:rFonts w:ascii="Palatino Linotype" w:eastAsia="Palatino Linotype" w:hAnsi="Palatino Linotype" w:cs="Palatino Linotype"/>
        </w:rPr>
        <w:t xml:space="preserve"> en lo sucesivo la </w:t>
      </w:r>
      <w:r w:rsidRPr="001F33E7">
        <w:rPr>
          <w:rFonts w:ascii="Palatino Linotype" w:eastAsia="Palatino Linotype" w:hAnsi="Palatino Linotype" w:cs="Palatino Linotype"/>
          <w:b/>
        </w:rPr>
        <w:t>RECURRENTE</w:t>
      </w:r>
      <w:r w:rsidRPr="001F33E7">
        <w:rPr>
          <w:rFonts w:ascii="Palatino Linotype" w:eastAsia="Palatino Linotype" w:hAnsi="Palatino Linotype" w:cs="Palatino Linotype"/>
        </w:rPr>
        <w:t xml:space="preserve">, en contra de la respuesta a su solicitud de información con número de folio </w:t>
      </w:r>
      <w:r w:rsidRPr="001F33E7">
        <w:rPr>
          <w:rFonts w:ascii="Palatino Linotype" w:eastAsia="Palatino Linotype" w:hAnsi="Palatino Linotype" w:cs="Palatino Linotype"/>
          <w:b/>
        </w:rPr>
        <w:t>00551/ECATEPEC/IP/2022</w:t>
      </w:r>
      <w:r w:rsidRPr="001F33E7">
        <w:rPr>
          <w:rFonts w:ascii="Palatino Linotype" w:eastAsia="Palatino Linotype" w:hAnsi="Palatino Linotype" w:cs="Palatino Linotype"/>
        </w:rPr>
        <w:t xml:space="preserve">, por parte del </w:t>
      </w:r>
      <w:r w:rsidRPr="001F33E7">
        <w:rPr>
          <w:rFonts w:ascii="Palatino Linotype" w:eastAsia="Palatino Linotype" w:hAnsi="Palatino Linotype" w:cs="Palatino Linotype"/>
          <w:b/>
        </w:rPr>
        <w:t>Ayuntamiento de Ecatepec de Morelos,</w:t>
      </w:r>
      <w:r w:rsidRPr="001F33E7">
        <w:rPr>
          <w:rFonts w:ascii="Palatino Linotype" w:eastAsia="Palatino Linotype" w:hAnsi="Palatino Linotype" w:cs="Palatino Linotype"/>
        </w:rPr>
        <w:t xml:space="preserve"> en lo sucesivo el </w:t>
      </w:r>
      <w:r w:rsidRPr="001F33E7">
        <w:rPr>
          <w:rFonts w:ascii="Palatino Linotype" w:eastAsia="Palatino Linotype" w:hAnsi="Palatino Linotype" w:cs="Palatino Linotype"/>
          <w:b/>
        </w:rPr>
        <w:t xml:space="preserve">SUJETO OBLIGADO; </w:t>
      </w:r>
      <w:r w:rsidRPr="001F33E7">
        <w:rPr>
          <w:rFonts w:ascii="Palatino Linotype" w:eastAsia="Palatino Linotype" w:hAnsi="Palatino Linotype" w:cs="Palatino Linotype"/>
        </w:rPr>
        <w:t>se procede a dictar la presente resolución, con base en los siguientes:</w:t>
      </w:r>
    </w:p>
    <w:p w:rsidR="001B2EB2" w:rsidRPr="001F33E7" w:rsidRDefault="004C6419">
      <w:pPr>
        <w:numPr>
          <w:ilvl w:val="0"/>
          <w:numId w:val="1"/>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rPr>
      </w:pPr>
      <w:r w:rsidRPr="001F33E7">
        <w:rPr>
          <w:rFonts w:ascii="Palatino Linotype" w:eastAsia="Palatino Linotype" w:hAnsi="Palatino Linotype" w:cs="Palatino Linotype"/>
          <w:b/>
        </w:rPr>
        <w:t>A N T E C E D E N T E S</w:t>
      </w:r>
    </w:p>
    <w:p w:rsidR="001B2EB2" w:rsidRPr="001F33E7" w:rsidRDefault="004C6419">
      <w:pPr>
        <w:spacing w:before="240" w:after="240" w:line="360" w:lineRule="auto"/>
        <w:jc w:val="both"/>
        <w:rPr>
          <w:rFonts w:ascii="Palatino Linotype" w:eastAsia="Palatino Linotype" w:hAnsi="Palatino Linotype" w:cs="Palatino Linotype"/>
          <w:b/>
        </w:rPr>
      </w:pPr>
      <w:r w:rsidRPr="001F33E7">
        <w:rPr>
          <w:rFonts w:ascii="Palatino Linotype" w:eastAsia="Palatino Linotype" w:hAnsi="Palatino Linotype" w:cs="Palatino Linotype"/>
          <w:b/>
        </w:rPr>
        <w:t xml:space="preserve">1. Solicitud de acceso a la información. </w:t>
      </w:r>
      <w:r w:rsidRPr="001F33E7">
        <w:rPr>
          <w:rFonts w:ascii="Palatino Linotype" w:eastAsia="Palatino Linotype" w:hAnsi="Palatino Linotype" w:cs="Palatino Linotype"/>
        </w:rPr>
        <w:t xml:space="preserve">Con fecha </w:t>
      </w:r>
      <w:r w:rsidRPr="001F33E7">
        <w:rPr>
          <w:rFonts w:ascii="Palatino Linotype" w:eastAsia="Palatino Linotype" w:hAnsi="Palatino Linotype" w:cs="Palatino Linotype"/>
          <w:b/>
        </w:rPr>
        <w:t>once de mayo del dos mil veintidós</w:t>
      </w:r>
      <w:r w:rsidRPr="001F33E7">
        <w:rPr>
          <w:rFonts w:ascii="Palatino Linotype" w:eastAsia="Palatino Linotype" w:hAnsi="Palatino Linotype" w:cs="Palatino Linotype"/>
        </w:rPr>
        <w:t xml:space="preserve">, la </w:t>
      </w:r>
      <w:r w:rsidRPr="001F33E7">
        <w:rPr>
          <w:rFonts w:ascii="Palatino Linotype" w:eastAsia="Palatino Linotype" w:hAnsi="Palatino Linotype" w:cs="Palatino Linotype"/>
          <w:b/>
        </w:rPr>
        <w:t>RECURRENTE</w:t>
      </w:r>
      <w:r w:rsidRPr="001F33E7">
        <w:rPr>
          <w:rFonts w:ascii="Palatino Linotype" w:eastAsia="Palatino Linotype" w:hAnsi="Palatino Linotype" w:cs="Palatino Linotype"/>
        </w:rPr>
        <w:t xml:space="preserve"> formuló solicitud de acceso a información pública al </w:t>
      </w:r>
      <w:r w:rsidRPr="001F33E7">
        <w:rPr>
          <w:rFonts w:ascii="Palatino Linotype" w:eastAsia="Palatino Linotype" w:hAnsi="Palatino Linotype" w:cs="Palatino Linotype"/>
          <w:b/>
        </w:rPr>
        <w:t>SUJETO OBLIGADO</w:t>
      </w:r>
      <w:r w:rsidRPr="001F33E7">
        <w:rPr>
          <w:rFonts w:ascii="Palatino Linotype" w:eastAsia="Palatino Linotype" w:hAnsi="Palatino Linotype" w:cs="Palatino Linotype"/>
        </w:rPr>
        <w:t xml:space="preserve"> a través del Sistema de Acceso a la Información Mexiquense, en adelante </w:t>
      </w:r>
      <w:r w:rsidRPr="001F33E7">
        <w:rPr>
          <w:rFonts w:ascii="Palatino Linotype" w:eastAsia="Palatino Linotype" w:hAnsi="Palatino Linotype" w:cs="Palatino Linotype"/>
          <w:b/>
        </w:rPr>
        <w:t>SAIMEX,</w:t>
      </w:r>
      <w:r w:rsidRPr="001F33E7">
        <w:rPr>
          <w:rFonts w:ascii="Palatino Linotype" w:eastAsia="Palatino Linotype" w:hAnsi="Palatino Linotype" w:cs="Palatino Linotype"/>
        </w:rPr>
        <w:t xml:space="preserve"> requiriéndole lo siguiente:</w:t>
      </w:r>
    </w:p>
    <w:p w:rsidR="001B2EB2" w:rsidRPr="001F33E7" w:rsidRDefault="004C6419">
      <w:pPr>
        <w:spacing w:before="240" w:after="240"/>
        <w:ind w:left="851" w:right="900"/>
        <w:jc w:val="both"/>
        <w:rPr>
          <w:rFonts w:ascii="Palatino Linotype" w:eastAsia="Palatino Linotype" w:hAnsi="Palatino Linotype" w:cs="Palatino Linotype"/>
          <w:i/>
          <w:sz w:val="22"/>
          <w:szCs w:val="22"/>
        </w:rPr>
      </w:pPr>
      <w:bookmarkStart w:id="1" w:name="_heading=h.gjdgxs" w:colFirst="0" w:colLast="0"/>
      <w:bookmarkEnd w:id="1"/>
      <w:r w:rsidRPr="001F33E7">
        <w:rPr>
          <w:rFonts w:ascii="Palatino Linotype" w:eastAsia="Palatino Linotype" w:hAnsi="Palatino Linotype" w:cs="Palatino Linotype"/>
          <w:i/>
          <w:sz w:val="22"/>
          <w:szCs w:val="22"/>
        </w:rPr>
        <w:t xml:space="preserve">“Los datos crudos en formato </w:t>
      </w:r>
      <w:proofErr w:type="spellStart"/>
      <w:r w:rsidRPr="001F33E7">
        <w:rPr>
          <w:rFonts w:ascii="Palatino Linotype" w:eastAsia="Palatino Linotype" w:hAnsi="Palatino Linotype" w:cs="Palatino Linotype"/>
          <w:i/>
          <w:sz w:val="22"/>
          <w:szCs w:val="22"/>
        </w:rPr>
        <w:t>txt</w:t>
      </w:r>
      <w:proofErr w:type="spellEnd"/>
      <w:r w:rsidRPr="001F33E7">
        <w:rPr>
          <w:rFonts w:ascii="Palatino Linotype" w:eastAsia="Palatino Linotype" w:hAnsi="Palatino Linotype" w:cs="Palatino Linotype"/>
          <w:i/>
          <w:sz w:val="22"/>
          <w:szCs w:val="22"/>
        </w:rPr>
        <w:t xml:space="preserve">, </w:t>
      </w:r>
      <w:proofErr w:type="spellStart"/>
      <w:r w:rsidRPr="001F33E7">
        <w:rPr>
          <w:rFonts w:ascii="Palatino Linotype" w:eastAsia="Palatino Linotype" w:hAnsi="Palatino Linotype" w:cs="Palatino Linotype"/>
          <w:i/>
          <w:sz w:val="22"/>
          <w:szCs w:val="22"/>
        </w:rPr>
        <w:t>csv</w:t>
      </w:r>
      <w:proofErr w:type="spellEnd"/>
      <w:r w:rsidRPr="001F33E7">
        <w:rPr>
          <w:rFonts w:ascii="Palatino Linotype" w:eastAsia="Palatino Linotype" w:hAnsi="Palatino Linotype" w:cs="Palatino Linotype"/>
          <w:i/>
          <w:sz w:val="22"/>
          <w:szCs w:val="22"/>
        </w:rPr>
        <w:t xml:space="preserve"> o </w:t>
      </w:r>
      <w:proofErr w:type="spellStart"/>
      <w:r w:rsidRPr="001F33E7">
        <w:rPr>
          <w:rFonts w:ascii="Palatino Linotype" w:eastAsia="Palatino Linotype" w:hAnsi="Palatino Linotype" w:cs="Palatino Linotype"/>
          <w:i/>
          <w:sz w:val="22"/>
          <w:szCs w:val="22"/>
        </w:rPr>
        <w:t>xls</w:t>
      </w:r>
      <w:proofErr w:type="spellEnd"/>
      <w:r w:rsidRPr="001F33E7">
        <w:rPr>
          <w:rFonts w:ascii="Palatino Linotype" w:eastAsia="Palatino Linotype" w:hAnsi="Palatino Linotype" w:cs="Palatino Linotype"/>
          <w:i/>
          <w:sz w:val="22"/>
          <w:szCs w:val="22"/>
        </w:rPr>
        <w:t xml:space="preserve"> de los eventos atendidos por todas las estaciones de bomberos registradas en el municipio durante el periodo 2016-2021 que incluyan entre otros: - Fecha y hora - Colonia donde se prestó el servicio - Tipo de evento atendido - Tipo de inmueble - Causa - Número de heridos - Número de muertos - El cuerpo o cuerpos que atendieron - Los recursos utilizados para atender la emergencia - El número de personal operativo que asistió en la atención, o la información con la que cuenten.” (Sic)</w:t>
      </w:r>
    </w:p>
    <w:p w:rsidR="001B2EB2" w:rsidRPr="001F33E7" w:rsidRDefault="004C6419">
      <w:pPr>
        <w:spacing w:before="240" w:after="240"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b/>
        </w:rPr>
        <w:t xml:space="preserve">Modalidad elegida para la entrega de la información: </w:t>
      </w:r>
      <w:r w:rsidRPr="001F33E7">
        <w:rPr>
          <w:rFonts w:ascii="Palatino Linotype" w:eastAsia="Palatino Linotype" w:hAnsi="Palatino Linotype" w:cs="Palatino Linotype"/>
        </w:rPr>
        <w:t xml:space="preserve">a través del </w:t>
      </w:r>
      <w:r w:rsidRPr="001F33E7">
        <w:rPr>
          <w:rFonts w:ascii="Palatino Linotype" w:eastAsia="Palatino Linotype" w:hAnsi="Palatino Linotype" w:cs="Palatino Linotype"/>
          <w:b/>
        </w:rPr>
        <w:t>SAIMEX</w:t>
      </w:r>
      <w:r w:rsidRPr="001F33E7">
        <w:rPr>
          <w:rFonts w:ascii="Palatino Linotype" w:eastAsia="Palatino Linotype" w:hAnsi="Palatino Linotype" w:cs="Palatino Linotype"/>
        </w:rPr>
        <w:t>.</w:t>
      </w:r>
    </w:p>
    <w:p w:rsidR="001B2EB2" w:rsidRPr="001F33E7" w:rsidRDefault="004C6419">
      <w:pPr>
        <w:spacing w:before="240" w:after="240"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b/>
        </w:rPr>
        <w:lastRenderedPageBreak/>
        <w:t xml:space="preserve">2. Respuesta. </w:t>
      </w:r>
      <w:r w:rsidRPr="001F33E7">
        <w:rPr>
          <w:rFonts w:ascii="Palatino Linotype" w:eastAsia="Palatino Linotype" w:hAnsi="Palatino Linotype" w:cs="Palatino Linotype"/>
        </w:rPr>
        <w:t xml:space="preserve">Con fecha </w:t>
      </w:r>
      <w:r w:rsidRPr="001F33E7">
        <w:rPr>
          <w:rFonts w:ascii="Palatino Linotype" w:eastAsia="Palatino Linotype" w:hAnsi="Palatino Linotype" w:cs="Palatino Linotype"/>
          <w:b/>
        </w:rPr>
        <w:t>veintisiete de mayo de dos mil veintidós</w:t>
      </w:r>
      <w:r w:rsidRPr="001F33E7">
        <w:rPr>
          <w:rFonts w:ascii="Palatino Linotype" w:eastAsia="Palatino Linotype" w:hAnsi="Palatino Linotype" w:cs="Palatino Linotype"/>
        </w:rPr>
        <w:t xml:space="preserve"> el </w:t>
      </w:r>
      <w:r w:rsidRPr="001F33E7">
        <w:rPr>
          <w:rFonts w:ascii="Palatino Linotype" w:eastAsia="Palatino Linotype" w:hAnsi="Palatino Linotype" w:cs="Palatino Linotype"/>
          <w:b/>
        </w:rPr>
        <w:t>SUJETO OBLIGADO</w:t>
      </w:r>
      <w:r w:rsidRPr="001F33E7">
        <w:rPr>
          <w:rFonts w:ascii="Palatino Linotype" w:eastAsia="Palatino Linotype" w:hAnsi="Palatino Linotype" w:cs="Palatino Linotype"/>
        </w:rPr>
        <w:t xml:space="preserve"> envió su respuesta a la solicitud de acceso a la información a través del SAIMEX, la cual versa como sigue:</w:t>
      </w:r>
    </w:p>
    <w:p w:rsidR="001B2EB2" w:rsidRPr="001F33E7" w:rsidRDefault="004C6419">
      <w:pPr>
        <w:spacing w:before="240"/>
        <w:ind w:left="851" w:right="902"/>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B2EB2" w:rsidRPr="001F33E7" w:rsidRDefault="004C6419">
      <w:pPr>
        <w:spacing w:before="240"/>
        <w:ind w:left="851" w:right="902"/>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El H. Ayuntamiento Constitucional de Ecatepec de Morelos hace de su conocimiento la respuesta emitida por DIRECCIÓN DE ADMINISTRACIÓN, la cual se anexa al presente en formato PDF. De igual manera envió ACTA: ACT/CT/ECA/EXT/035/2022, de fecha: 25de mayo de 2022.</w:t>
      </w:r>
    </w:p>
    <w:p w:rsidR="001B2EB2" w:rsidRPr="001F33E7" w:rsidRDefault="004C6419">
      <w:pPr>
        <w:spacing w:before="240"/>
        <w:ind w:left="851" w:right="902"/>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ATENTAMENTE</w:t>
      </w:r>
    </w:p>
    <w:p w:rsidR="001B2EB2" w:rsidRPr="001F33E7" w:rsidRDefault="004C6419">
      <w:pPr>
        <w:spacing w:before="240"/>
        <w:ind w:left="851" w:right="902"/>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 xml:space="preserve">Lic. </w:t>
      </w:r>
      <w:proofErr w:type="spellStart"/>
      <w:r w:rsidRPr="001F33E7">
        <w:rPr>
          <w:rFonts w:ascii="Palatino Linotype" w:eastAsia="Palatino Linotype" w:hAnsi="Palatino Linotype" w:cs="Palatino Linotype"/>
          <w:i/>
          <w:sz w:val="22"/>
          <w:szCs w:val="22"/>
        </w:rPr>
        <w:t>Brianda</w:t>
      </w:r>
      <w:proofErr w:type="spellEnd"/>
      <w:r w:rsidRPr="001F33E7">
        <w:rPr>
          <w:rFonts w:ascii="Palatino Linotype" w:eastAsia="Palatino Linotype" w:hAnsi="Palatino Linotype" w:cs="Palatino Linotype"/>
          <w:i/>
          <w:sz w:val="22"/>
          <w:szCs w:val="22"/>
        </w:rPr>
        <w:t xml:space="preserve"> Eunice </w:t>
      </w:r>
      <w:proofErr w:type="spellStart"/>
      <w:r w:rsidRPr="001F33E7">
        <w:rPr>
          <w:rFonts w:ascii="Palatino Linotype" w:eastAsia="Palatino Linotype" w:hAnsi="Palatino Linotype" w:cs="Palatino Linotype"/>
          <w:i/>
          <w:sz w:val="22"/>
          <w:szCs w:val="22"/>
        </w:rPr>
        <w:t>Iberri</w:t>
      </w:r>
      <w:proofErr w:type="spellEnd"/>
      <w:r w:rsidRPr="001F33E7">
        <w:rPr>
          <w:rFonts w:ascii="Palatino Linotype" w:eastAsia="Palatino Linotype" w:hAnsi="Palatino Linotype" w:cs="Palatino Linotype"/>
          <w:i/>
          <w:sz w:val="22"/>
          <w:szCs w:val="22"/>
        </w:rPr>
        <w:t xml:space="preserve"> Estrada” (Sic)</w:t>
      </w:r>
    </w:p>
    <w:p w:rsidR="001B2EB2" w:rsidRPr="001F33E7" w:rsidRDefault="001B2EB2">
      <w:pPr>
        <w:ind w:left="851" w:right="902"/>
        <w:jc w:val="both"/>
        <w:rPr>
          <w:rFonts w:ascii="Palatino Linotype" w:eastAsia="Palatino Linotype" w:hAnsi="Palatino Linotype" w:cs="Palatino Linotype"/>
          <w:i/>
          <w:sz w:val="22"/>
          <w:szCs w:val="22"/>
        </w:rPr>
      </w:pPr>
    </w:p>
    <w:p w:rsidR="001B2EB2" w:rsidRPr="001F33E7" w:rsidRDefault="004C6419">
      <w:pPr>
        <w:spacing w:after="240"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rPr>
        <w:t xml:space="preserve">El </w:t>
      </w:r>
      <w:r w:rsidRPr="001F33E7">
        <w:rPr>
          <w:rFonts w:ascii="Palatino Linotype" w:eastAsia="Palatino Linotype" w:hAnsi="Palatino Linotype" w:cs="Palatino Linotype"/>
          <w:b/>
        </w:rPr>
        <w:t>SUJETO OBLIGADO</w:t>
      </w:r>
      <w:r w:rsidRPr="001F33E7">
        <w:rPr>
          <w:rFonts w:ascii="Palatino Linotype" w:eastAsia="Palatino Linotype" w:hAnsi="Palatino Linotype" w:cs="Palatino Linotype"/>
        </w:rPr>
        <w:t xml:space="preserve">,  adjuntó a su respuesta el archivo electrónico denominado </w:t>
      </w:r>
      <w:r w:rsidRPr="001F33E7">
        <w:rPr>
          <w:rFonts w:ascii="Palatino Linotype" w:eastAsia="Palatino Linotype" w:hAnsi="Palatino Linotype" w:cs="Palatino Linotype"/>
          <w:b/>
        </w:rPr>
        <w:t>“</w:t>
      </w:r>
      <w:hyperlink r:id="rId8">
        <w:r w:rsidRPr="001F33E7">
          <w:rPr>
            <w:rFonts w:ascii="Palatino Linotype" w:eastAsia="Palatino Linotype" w:hAnsi="Palatino Linotype" w:cs="Palatino Linotype"/>
            <w:b/>
          </w:rPr>
          <w:t>551.pdf</w:t>
        </w:r>
      </w:hyperlink>
      <w:r w:rsidRPr="001F33E7">
        <w:rPr>
          <w:rFonts w:ascii="Palatino Linotype" w:eastAsia="Palatino Linotype" w:hAnsi="Palatino Linotype" w:cs="Palatino Linotype"/>
          <w:b/>
        </w:rPr>
        <w:t>”,</w:t>
      </w:r>
      <w:r w:rsidRPr="001F33E7">
        <w:rPr>
          <w:rFonts w:ascii="Palatino Linotype" w:eastAsia="Palatino Linotype" w:hAnsi="Palatino Linotype" w:cs="Palatino Linotype"/>
        </w:rPr>
        <w:t xml:space="preserve"> el cual contiene:</w:t>
      </w:r>
    </w:p>
    <w:p w:rsidR="001B2EB2" w:rsidRPr="001F33E7" w:rsidRDefault="004C6419">
      <w:pPr>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sz w:val="22"/>
          <w:szCs w:val="22"/>
        </w:rPr>
      </w:pPr>
      <w:r w:rsidRPr="001F33E7">
        <w:rPr>
          <w:rFonts w:ascii="Palatino Linotype" w:eastAsia="Palatino Linotype" w:hAnsi="Palatino Linotype" w:cs="Palatino Linotype"/>
          <w:sz w:val="22"/>
          <w:szCs w:val="22"/>
        </w:rPr>
        <w:t xml:space="preserve">Oficio sin número, de fecha veintisiete de mayo de dos mil veintidós, suscrito y signado por el Secretario Técnico de Gabinete, dirigido al solicitante, en el que remite Acta del Comité de Transparencia de fecha veinticinco de mayo de dos mil veintidós. </w:t>
      </w:r>
    </w:p>
    <w:p w:rsidR="001B2EB2" w:rsidRPr="001F33E7" w:rsidRDefault="004C6419">
      <w:pPr>
        <w:spacing w:after="240" w:line="360" w:lineRule="auto"/>
        <w:jc w:val="both"/>
        <w:rPr>
          <w:rFonts w:ascii="Palatino Linotype" w:eastAsia="Palatino Linotype" w:hAnsi="Palatino Linotype" w:cs="Palatino Linotype"/>
        </w:rPr>
      </w:pPr>
      <w:r w:rsidRPr="001F33E7">
        <w:rPr>
          <w:noProof/>
          <w:lang w:val="es-MX" w:eastAsia="es-MX"/>
        </w:rPr>
        <w:lastRenderedPageBreak/>
        <w:drawing>
          <wp:inline distT="0" distB="0" distL="0" distR="0">
            <wp:extent cx="5419103" cy="4856463"/>
            <wp:effectExtent l="0" t="0" r="0" b="0"/>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18670" t="31683" r="50271" b="18828"/>
                    <a:stretch>
                      <a:fillRect/>
                    </a:stretch>
                  </pic:blipFill>
                  <pic:spPr>
                    <a:xfrm>
                      <a:off x="0" y="0"/>
                      <a:ext cx="5419103" cy="4856463"/>
                    </a:xfrm>
                    <a:prstGeom prst="rect">
                      <a:avLst/>
                    </a:prstGeom>
                    <a:ln/>
                  </pic:spPr>
                </pic:pic>
              </a:graphicData>
            </a:graphic>
          </wp:inline>
        </w:drawing>
      </w:r>
    </w:p>
    <w:p w:rsidR="001B2EB2" w:rsidRPr="001F33E7" w:rsidRDefault="004C6419">
      <w:pPr>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sz w:val="22"/>
          <w:szCs w:val="22"/>
        </w:rPr>
      </w:pPr>
      <w:r w:rsidRPr="001F33E7">
        <w:rPr>
          <w:rFonts w:ascii="Palatino Linotype" w:eastAsia="Palatino Linotype" w:hAnsi="Palatino Linotype" w:cs="Palatino Linotype"/>
          <w:sz w:val="22"/>
          <w:szCs w:val="22"/>
        </w:rPr>
        <w:t>Oficio número DA/ECA/1330/2022, de fecha diecisiete de mayo de dos mil veintidós, suscrito por el Director de Administración, mediante el cual señala una respuesta diversa, la cual corresponde a contratos por adquisición de alerta sísmica y anexa contrato con anexo.</w:t>
      </w:r>
    </w:p>
    <w:p w:rsidR="001B2EB2" w:rsidRPr="001F33E7" w:rsidRDefault="004C6419">
      <w:pPr>
        <w:spacing w:before="240" w:after="240"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b/>
        </w:rPr>
        <w:t xml:space="preserve">3. Interposición del recurso de revisión. </w:t>
      </w:r>
      <w:r w:rsidRPr="001F33E7">
        <w:rPr>
          <w:rFonts w:ascii="Palatino Linotype" w:eastAsia="Palatino Linotype" w:hAnsi="Palatino Linotype" w:cs="Palatino Linotype"/>
        </w:rPr>
        <w:t xml:space="preserve">Inconforme la solicitante con la respuesta del </w:t>
      </w:r>
      <w:r w:rsidRPr="001F33E7">
        <w:rPr>
          <w:rFonts w:ascii="Palatino Linotype" w:eastAsia="Palatino Linotype" w:hAnsi="Palatino Linotype" w:cs="Palatino Linotype"/>
          <w:b/>
        </w:rPr>
        <w:t>SUJETO OBLIGADO</w:t>
      </w:r>
      <w:r w:rsidRPr="001F33E7">
        <w:rPr>
          <w:rFonts w:ascii="Palatino Linotype" w:eastAsia="Palatino Linotype" w:hAnsi="Palatino Linotype" w:cs="Palatino Linotype"/>
        </w:rPr>
        <w:t xml:space="preserve"> interpuso recurso de revisión a través del SAIMEX en </w:t>
      </w:r>
      <w:r w:rsidRPr="001F33E7">
        <w:rPr>
          <w:rFonts w:ascii="Palatino Linotype" w:eastAsia="Palatino Linotype" w:hAnsi="Palatino Linotype" w:cs="Palatino Linotype"/>
        </w:rPr>
        <w:lastRenderedPageBreak/>
        <w:t xml:space="preserve">fecha </w:t>
      </w:r>
      <w:r w:rsidRPr="001F33E7">
        <w:rPr>
          <w:rFonts w:ascii="Palatino Linotype" w:eastAsia="Palatino Linotype" w:hAnsi="Palatino Linotype" w:cs="Palatino Linotype"/>
          <w:b/>
        </w:rPr>
        <w:t>veintisiete de mayo de dos mil veintidós</w:t>
      </w:r>
      <w:r w:rsidRPr="001F33E7">
        <w:rPr>
          <w:rFonts w:ascii="Palatino Linotype" w:eastAsia="Palatino Linotype" w:hAnsi="Palatino Linotype" w:cs="Palatino Linotype"/>
        </w:rPr>
        <w:t>, a través del cual expresó lo siguiente:</w:t>
      </w:r>
    </w:p>
    <w:p w:rsidR="001B2EB2" w:rsidRPr="001F33E7" w:rsidRDefault="004C6419">
      <w:pPr>
        <w:spacing w:line="360" w:lineRule="auto"/>
        <w:rPr>
          <w:rFonts w:ascii="Palatino Linotype" w:eastAsia="Palatino Linotype" w:hAnsi="Palatino Linotype" w:cs="Palatino Linotype"/>
          <w:b/>
        </w:rPr>
      </w:pPr>
      <w:r w:rsidRPr="001F33E7">
        <w:rPr>
          <w:rFonts w:ascii="Palatino Linotype" w:eastAsia="Palatino Linotype" w:hAnsi="Palatino Linotype" w:cs="Palatino Linotype"/>
          <w:b/>
        </w:rPr>
        <w:t>a) Acto impugnado.</w:t>
      </w:r>
    </w:p>
    <w:p w:rsidR="001B2EB2" w:rsidRPr="001F33E7" w:rsidRDefault="004C6419">
      <w:pPr>
        <w:spacing w:after="240"/>
        <w:ind w:left="851" w:right="900"/>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“No entregaron la información solicitada.” (Sic)</w:t>
      </w:r>
    </w:p>
    <w:p w:rsidR="001B2EB2" w:rsidRPr="001F33E7" w:rsidRDefault="004C6419">
      <w:pPr>
        <w:spacing w:line="360" w:lineRule="auto"/>
        <w:jc w:val="both"/>
        <w:rPr>
          <w:rFonts w:ascii="Palatino Linotype" w:eastAsia="Palatino Linotype" w:hAnsi="Palatino Linotype" w:cs="Palatino Linotype"/>
          <w:b/>
        </w:rPr>
      </w:pPr>
      <w:r w:rsidRPr="001F33E7">
        <w:rPr>
          <w:rFonts w:ascii="Palatino Linotype" w:eastAsia="Palatino Linotype" w:hAnsi="Palatino Linotype" w:cs="Palatino Linotype"/>
          <w:b/>
        </w:rPr>
        <w:t>b) Motivos de inconformidad.</w:t>
      </w:r>
    </w:p>
    <w:p w:rsidR="001B2EB2" w:rsidRPr="001F33E7" w:rsidRDefault="004C6419">
      <w:pPr>
        <w:spacing w:after="240" w:line="276" w:lineRule="auto"/>
        <w:ind w:left="851" w:right="900"/>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 xml:space="preserve">“Entregaron respuesta a la solicitud de todos los contratos celebrados con MDREIECK S.A.DE C.V. y no la información solicitada que consiste en los datos crudos en formato </w:t>
      </w:r>
      <w:proofErr w:type="spellStart"/>
      <w:r w:rsidRPr="001F33E7">
        <w:rPr>
          <w:rFonts w:ascii="Palatino Linotype" w:eastAsia="Palatino Linotype" w:hAnsi="Palatino Linotype" w:cs="Palatino Linotype"/>
          <w:i/>
          <w:sz w:val="22"/>
          <w:szCs w:val="22"/>
        </w:rPr>
        <w:t>txt</w:t>
      </w:r>
      <w:proofErr w:type="spellEnd"/>
      <w:r w:rsidRPr="001F33E7">
        <w:rPr>
          <w:rFonts w:ascii="Palatino Linotype" w:eastAsia="Palatino Linotype" w:hAnsi="Palatino Linotype" w:cs="Palatino Linotype"/>
          <w:i/>
          <w:sz w:val="22"/>
          <w:szCs w:val="22"/>
        </w:rPr>
        <w:t xml:space="preserve">, </w:t>
      </w:r>
      <w:proofErr w:type="spellStart"/>
      <w:r w:rsidRPr="001F33E7">
        <w:rPr>
          <w:rFonts w:ascii="Palatino Linotype" w:eastAsia="Palatino Linotype" w:hAnsi="Palatino Linotype" w:cs="Palatino Linotype"/>
          <w:i/>
          <w:sz w:val="22"/>
          <w:szCs w:val="22"/>
        </w:rPr>
        <w:t>csv</w:t>
      </w:r>
      <w:proofErr w:type="spellEnd"/>
      <w:r w:rsidRPr="001F33E7">
        <w:rPr>
          <w:rFonts w:ascii="Palatino Linotype" w:eastAsia="Palatino Linotype" w:hAnsi="Palatino Linotype" w:cs="Palatino Linotype"/>
          <w:i/>
          <w:sz w:val="22"/>
          <w:szCs w:val="22"/>
        </w:rPr>
        <w:t xml:space="preserve"> o </w:t>
      </w:r>
      <w:proofErr w:type="spellStart"/>
      <w:r w:rsidRPr="001F33E7">
        <w:rPr>
          <w:rFonts w:ascii="Palatino Linotype" w:eastAsia="Palatino Linotype" w:hAnsi="Palatino Linotype" w:cs="Palatino Linotype"/>
          <w:i/>
          <w:sz w:val="22"/>
          <w:szCs w:val="22"/>
        </w:rPr>
        <w:t>xls</w:t>
      </w:r>
      <w:proofErr w:type="spellEnd"/>
      <w:r w:rsidRPr="001F33E7">
        <w:rPr>
          <w:rFonts w:ascii="Palatino Linotype" w:eastAsia="Palatino Linotype" w:hAnsi="Palatino Linotype" w:cs="Palatino Linotype"/>
          <w:i/>
          <w:sz w:val="22"/>
          <w:szCs w:val="22"/>
        </w:rPr>
        <w:t xml:space="preserve"> de los eventos atendidos por todas las estaciones de bomberos registradas en el municipio durante el periodo2016-2021 que incluyan entre otros: - Fecha y hora - Colonia donde se prestó el servicio - Tipo de evento atendido - Tipo de inmueble - Causa - Número de heridos - Número de muertos - El cuerpo o cuerpos que atendieron - Los recursos utilizados para atender la emergencia - El número de personal operativo que asistió en la atención, o la información con la que cuenten.” (Sic)</w:t>
      </w:r>
    </w:p>
    <w:p w:rsidR="001B2EB2" w:rsidRPr="001F33E7" w:rsidRDefault="004C6419">
      <w:pPr>
        <w:spacing w:before="240"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b/>
        </w:rPr>
        <w:t xml:space="preserve">4. Turno. </w:t>
      </w:r>
      <w:r w:rsidRPr="001F33E7">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1F33E7">
        <w:rPr>
          <w:rFonts w:ascii="Palatino Linotype" w:eastAsia="Palatino Linotype" w:hAnsi="Palatino Linotype" w:cs="Palatino Linotype"/>
          <w:b/>
        </w:rPr>
        <w:t xml:space="preserve">09834/INFOEM/IP/RR/2022, </w:t>
      </w:r>
      <w:r w:rsidRPr="001F33E7">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Pr="001F33E7">
        <w:rPr>
          <w:rFonts w:ascii="Palatino Linotype" w:eastAsia="Palatino Linotype" w:hAnsi="Palatino Linotype" w:cs="Palatino Linotype"/>
          <w:b/>
        </w:rPr>
        <w:t>Guadalupe Ramírez Peña</w:t>
      </w:r>
      <w:r w:rsidRPr="001F33E7">
        <w:rPr>
          <w:rFonts w:ascii="Palatino Linotype" w:eastAsia="Palatino Linotype" w:hAnsi="Palatino Linotype" w:cs="Palatino Linotype"/>
        </w:rPr>
        <w:t>, para su análisis, estudio, elaboración del proyecto y presentación ante el Pleno de este Instituto.</w:t>
      </w:r>
    </w:p>
    <w:p w:rsidR="001B2EB2" w:rsidRPr="001F33E7" w:rsidRDefault="001B2EB2">
      <w:pPr>
        <w:spacing w:line="360" w:lineRule="auto"/>
        <w:jc w:val="both"/>
        <w:rPr>
          <w:rFonts w:ascii="Palatino Linotype" w:eastAsia="Palatino Linotype" w:hAnsi="Palatino Linotype" w:cs="Palatino Linotype"/>
        </w:rPr>
      </w:pPr>
    </w:p>
    <w:p w:rsidR="001B2EB2" w:rsidRPr="001F33E7" w:rsidRDefault="004C6419">
      <w:pPr>
        <w:spacing w:after="240"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b/>
        </w:rPr>
        <w:t xml:space="preserve">5. Admisión del recurso de revisión: </w:t>
      </w:r>
      <w:r w:rsidRPr="001F33E7">
        <w:rPr>
          <w:rFonts w:ascii="Palatino Linotype" w:eastAsia="Palatino Linotype" w:hAnsi="Palatino Linotype" w:cs="Palatino Linotype"/>
        </w:rPr>
        <w:t xml:space="preserve">En fecha </w:t>
      </w:r>
      <w:r w:rsidRPr="001F33E7">
        <w:rPr>
          <w:rFonts w:ascii="Palatino Linotype" w:eastAsia="Palatino Linotype" w:hAnsi="Palatino Linotype" w:cs="Palatino Linotype"/>
          <w:b/>
        </w:rPr>
        <w:t>uno de junio de dos mil veintidós</w:t>
      </w:r>
      <w:r w:rsidRPr="001F33E7">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w:t>
      </w:r>
      <w:r w:rsidRPr="001F33E7">
        <w:rPr>
          <w:rFonts w:ascii="Palatino Linotype" w:eastAsia="Palatino Linotype" w:hAnsi="Palatino Linotype" w:cs="Palatino Linotype"/>
        </w:rPr>
        <w:lastRenderedPageBreak/>
        <w:t xml:space="preserve">manifestaran lo que a su derecho resultara conveniente, ofrecieran pruebas, formularan alegatos y el Sujeto Obligado presentara su informe justificado. </w:t>
      </w:r>
    </w:p>
    <w:p w:rsidR="001B2EB2" w:rsidRPr="001F33E7" w:rsidRDefault="004C6419">
      <w:pPr>
        <w:spacing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b/>
        </w:rPr>
        <w:t>6. Manifestaciones</w:t>
      </w:r>
      <w:r w:rsidRPr="001F33E7">
        <w:rPr>
          <w:rFonts w:ascii="Palatino Linotype" w:eastAsia="Palatino Linotype" w:hAnsi="Palatino Linotype" w:cs="Palatino Linotype"/>
        </w:rPr>
        <w:t xml:space="preserve">: De las constancias que integran el expediente en que se actúa, se advierte que tanto la </w:t>
      </w:r>
      <w:r w:rsidRPr="001F33E7">
        <w:rPr>
          <w:rFonts w:ascii="Palatino Linotype" w:eastAsia="Palatino Linotype" w:hAnsi="Palatino Linotype" w:cs="Palatino Linotype"/>
          <w:b/>
        </w:rPr>
        <w:t>RECURRENTE</w:t>
      </w:r>
      <w:r w:rsidRPr="001F33E7">
        <w:rPr>
          <w:rFonts w:ascii="Palatino Linotype" w:eastAsia="Palatino Linotype" w:hAnsi="Palatino Linotype" w:cs="Palatino Linotype"/>
        </w:rPr>
        <w:t xml:space="preserve"> como el </w:t>
      </w:r>
      <w:r w:rsidRPr="001F33E7">
        <w:rPr>
          <w:rFonts w:ascii="Palatino Linotype" w:eastAsia="Palatino Linotype" w:hAnsi="Palatino Linotype" w:cs="Palatino Linotype"/>
          <w:b/>
        </w:rPr>
        <w:t>SUJETO OBLIGADO</w:t>
      </w:r>
      <w:r w:rsidRPr="001F33E7">
        <w:rPr>
          <w:rFonts w:ascii="Palatino Linotype" w:eastAsia="Palatino Linotype" w:hAnsi="Palatino Linotype" w:cs="Palatino Linotype"/>
        </w:rPr>
        <w:t xml:space="preserve"> fueron omisos en presentar alegatos o manifestación alguna,  y en su caso el informe justificado, como se muestra a continuación:</w:t>
      </w:r>
    </w:p>
    <w:p w:rsidR="001B2EB2" w:rsidRPr="001F33E7" w:rsidRDefault="004C6419">
      <w:pPr>
        <w:spacing w:line="360" w:lineRule="auto"/>
        <w:jc w:val="both"/>
        <w:rPr>
          <w:rFonts w:ascii="Palatino Linotype" w:eastAsia="Palatino Linotype" w:hAnsi="Palatino Linotype" w:cs="Palatino Linotype"/>
        </w:rPr>
      </w:pPr>
      <w:r w:rsidRPr="001F33E7">
        <w:rPr>
          <w:noProof/>
          <w:lang w:val="es-MX" w:eastAsia="es-MX"/>
        </w:rPr>
        <w:drawing>
          <wp:inline distT="0" distB="0" distL="0" distR="0">
            <wp:extent cx="5746664" cy="1515852"/>
            <wp:effectExtent l="0" t="0" r="0" b="0"/>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5261" t="25045" r="51627" b="54737"/>
                    <a:stretch>
                      <a:fillRect/>
                    </a:stretch>
                  </pic:blipFill>
                  <pic:spPr>
                    <a:xfrm>
                      <a:off x="0" y="0"/>
                      <a:ext cx="5746664" cy="1515852"/>
                    </a:xfrm>
                    <a:prstGeom prst="rect">
                      <a:avLst/>
                    </a:prstGeom>
                    <a:ln/>
                  </pic:spPr>
                </pic:pic>
              </a:graphicData>
            </a:graphic>
          </wp:inline>
        </w:drawing>
      </w:r>
    </w:p>
    <w:p w:rsidR="001B2EB2" w:rsidRPr="001F33E7" w:rsidRDefault="004C6419">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b/>
        </w:rPr>
        <w:t xml:space="preserve">7. Cierre de instrucción. </w:t>
      </w:r>
      <w:r w:rsidRPr="001F33E7">
        <w:rPr>
          <w:rFonts w:ascii="Palatino Linotype" w:eastAsia="Palatino Linotype" w:hAnsi="Palatino Linotype" w:cs="Palatino Linotype"/>
        </w:rPr>
        <w:t xml:space="preserve">En fecha </w:t>
      </w:r>
      <w:r w:rsidRPr="001F33E7">
        <w:rPr>
          <w:rFonts w:ascii="Palatino Linotype" w:eastAsia="Palatino Linotype" w:hAnsi="Palatino Linotype" w:cs="Palatino Linotype"/>
          <w:b/>
        </w:rPr>
        <w:t>veintidós de junio de dos mil veintidós</w:t>
      </w:r>
      <w:r w:rsidRPr="001F33E7">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w:t>
      </w:r>
    </w:p>
    <w:p w:rsidR="001B2EB2" w:rsidRPr="001F33E7" w:rsidRDefault="004C6419">
      <w:pPr>
        <w:widowControl w:val="0"/>
        <w:spacing w:after="240"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b/>
        </w:rPr>
        <w:t>8. Ampliación del plazo.</w:t>
      </w:r>
      <w:r w:rsidRPr="001F33E7">
        <w:rPr>
          <w:rFonts w:ascii="Palatino Linotype" w:eastAsia="Palatino Linotype" w:hAnsi="Palatino Linotype" w:cs="Palatino Linotype"/>
        </w:rPr>
        <w:t xml:space="preserve"> En fecha </w:t>
      </w:r>
      <w:r w:rsidRPr="001F33E7">
        <w:rPr>
          <w:rFonts w:ascii="Palatino Linotype" w:eastAsia="Palatino Linotype" w:hAnsi="Palatino Linotype" w:cs="Palatino Linotype"/>
          <w:b/>
        </w:rPr>
        <w:t>veinticuatro de agosto del año dos mil veintidós</w:t>
      </w:r>
      <w:r w:rsidRPr="001F33E7">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rsidR="001B2EB2" w:rsidRPr="001F33E7" w:rsidRDefault="004C6419">
      <w:pPr>
        <w:spacing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w:t>
      </w:r>
      <w:r w:rsidRPr="001F33E7">
        <w:rPr>
          <w:rFonts w:ascii="Palatino Linotype" w:eastAsia="Palatino Linotype" w:hAnsi="Palatino Linotype" w:cs="Palatino Linotype"/>
        </w:rPr>
        <w:lastRenderedPageBreak/>
        <w:t>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1B2EB2" w:rsidRPr="001F33E7" w:rsidRDefault="001B2EB2">
      <w:pPr>
        <w:spacing w:line="360" w:lineRule="auto"/>
        <w:jc w:val="both"/>
        <w:rPr>
          <w:rFonts w:ascii="Palatino Linotype" w:eastAsia="Palatino Linotype" w:hAnsi="Palatino Linotype" w:cs="Palatino Linotype"/>
        </w:rPr>
      </w:pPr>
    </w:p>
    <w:p w:rsidR="001B2EB2" w:rsidRPr="001F33E7" w:rsidRDefault="004C6419">
      <w:pPr>
        <w:spacing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1B2EB2" w:rsidRPr="001F33E7" w:rsidRDefault="001B2EB2">
      <w:pPr>
        <w:spacing w:line="360" w:lineRule="auto"/>
        <w:jc w:val="both"/>
        <w:rPr>
          <w:rFonts w:ascii="Palatino Linotype" w:eastAsia="Palatino Linotype" w:hAnsi="Palatino Linotype" w:cs="Palatino Linotype"/>
        </w:rPr>
      </w:pPr>
    </w:p>
    <w:p w:rsidR="001B2EB2" w:rsidRPr="001F33E7" w:rsidRDefault="004C6419">
      <w:pPr>
        <w:spacing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1B2EB2" w:rsidRPr="001F33E7" w:rsidRDefault="001B2EB2">
      <w:pPr>
        <w:spacing w:line="360" w:lineRule="auto"/>
        <w:jc w:val="both"/>
        <w:rPr>
          <w:rFonts w:ascii="Palatino Linotype" w:eastAsia="Palatino Linotype" w:hAnsi="Palatino Linotype" w:cs="Palatino Linotype"/>
        </w:rPr>
      </w:pPr>
    </w:p>
    <w:p w:rsidR="001B2EB2" w:rsidRPr="001F33E7" w:rsidRDefault="004C6419">
      <w:pPr>
        <w:spacing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1B2EB2" w:rsidRPr="001F33E7" w:rsidRDefault="001B2EB2">
      <w:pPr>
        <w:spacing w:line="360" w:lineRule="auto"/>
        <w:jc w:val="both"/>
        <w:rPr>
          <w:rFonts w:ascii="Palatino Linotype" w:eastAsia="Palatino Linotype" w:hAnsi="Palatino Linotype" w:cs="Palatino Linotype"/>
        </w:rPr>
      </w:pPr>
    </w:p>
    <w:p w:rsidR="001B2EB2" w:rsidRPr="001F33E7" w:rsidRDefault="004C6419">
      <w:pPr>
        <w:spacing w:line="360" w:lineRule="auto"/>
        <w:jc w:val="both"/>
        <w:rPr>
          <w:rFonts w:ascii="Palatino Linotype" w:eastAsia="Palatino Linotype" w:hAnsi="Palatino Linotype" w:cs="Palatino Linotype"/>
          <w:strike/>
        </w:rPr>
      </w:pPr>
      <w:r w:rsidRPr="001F33E7">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rsidR="001B2EB2" w:rsidRPr="001F33E7" w:rsidRDefault="001B2EB2">
      <w:pPr>
        <w:spacing w:line="360" w:lineRule="auto"/>
        <w:jc w:val="both"/>
        <w:rPr>
          <w:rFonts w:ascii="Palatino Linotype" w:eastAsia="Palatino Linotype" w:hAnsi="Palatino Linotype" w:cs="Palatino Linotype"/>
        </w:rPr>
      </w:pPr>
    </w:p>
    <w:p w:rsidR="001B2EB2" w:rsidRPr="001F33E7" w:rsidRDefault="004C6419">
      <w:pPr>
        <w:numPr>
          <w:ilvl w:val="0"/>
          <w:numId w:val="2"/>
        </w:numPr>
        <w:spacing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1B2EB2" w:rsidRPr="001F33E7" w:rsidRDefault="001B2EB2">
      <w:pPr>
        <w:spacing w:line="360" w:lineRule="auto"/>
        <w:ind w:left="927"/>
        <w:jc w:val="both"/>
        <w:rPr>
          <w:rFonts w:ascii="Palatino Linotype" w:eastAsia="Palatino Linotype" w:hAnsi="Palatino Linotype" w:cs="Palatino Linotype"/>
        </w:rPr>
      </w:pPr>
    </w:p>
    <w:p w:rsidR="001B2EB2" w:rsidRPr="001F33E7" w:rsidRDefault="004C6419">
      <w:pPr>
        <w:numPr>
          <w:ilvl w:val="0"/>
          <w:numId w:val="2"/>
        </w:numPr>
        <w:spacing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rPr>
        <w:t>Actividad Procesal del interesado. Acciones u omisiones del interesado.</w:t>
      </w:r>
    </w:p>
    <w:p w:rsidR="001B2EB2" w:rsidRPr="001F33E7" w:rsidRDefault="001B2EB2">
      <w:pPr>
        <w:spacing w:line="360" w:lineRule="auto"/>
        <w:jc w:val="both"/>
        <w:rPr>
          <w:rFonts w:ascii="Palatino Linotype" w:eastAsia="Palatino Linotype" w:hAnsi="Palatino Linotype" w:cs="Palatino Linotype"/>
        </w:rPr>
      </w:pPr>
    </w:p>
    <w:p w:rsidR="001B2EB2" w:rsidRPr="001F33E7" w:rsidRDefault="004C6419">
      <w:pPr>
        <w:numPr>
          <w:ilvl w:val="0"/>
          <w:numId w:val="2"/>
        </w:numPr>
        <w:spacing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rPr>
        <w:t>Conducta de la Autoridad: Las Acciones u omisiones realizadas en el procedimiento. Así como si la autoridad actuó con la debida diligencia.</w:t>
      </w:r>
    </w:p>
    <w:p w:rsidR="001B2EB2" w:rsidRPr="001F33E7" w:rsidRDefault="001B2EB2">
      <w:pPr>
        <w:spacing w:line="360" w:lineRule="auto"/>
        <w:ind w:left="708"/>
        <w:rPr>
          <w:rFonts w:ascii="Palatino Linotype" w:eastAsia="Palatino Linotype" w:hAnsi="Palatino Linotype" w:cs="Palatino Linotype"/>
        </w:rPr>
      </w:pPr>
    </w:p>
    <w:p w:rsidR="001B2EB2" w:rsidRPr="001F33E7" w:rsidRDefault="004C6419">
      <w:pPr>
        <w:spacing w:line="360" w:lineRule="auto"/>
        <w:ind w:left="567"/>
        <w:jc w:val="both"/>
        <w:rPr>
          <w:rFonts w:ascii="Palatino Linotype" w:eastAsia="Palatino Linotype" w:hAnsi="Palatino Linotype" w:cs="Palatino Linotype"/>
        </w:rPr>
      </w:pPr>
      <w:r w:rsidRPr="001F33E7">
        <w:rPr>
          <w:rFonts w:ascii="Palatino Linotype" w:eastAsia="Palatino Linotype" w:hAnsi="Palatino Linotype" w:cs="Palatino Linotype"/>
        </w:rPr>
        <w:t>d) La afectación generada en la situación jurídica de la persona involucrada en el proceso: Violación a sus derechos humanos.</w:t>
      </w:r>
    </w:p>
    <w:p w:rsidR="001B2EB2" w:rsidRPr="001F33E7" w:rsidRDefault="001B2EB2">
      <w:pPr>
        <w:spacing w:line="360" w:lineRule="auto"/>
        <w:jc w:val="both"/>
        <w:rPr>
          <w:rFonts w:ascii="Palatino Linotype" w:eastAsia="Palatino Linotype" w:hAnsi="Palatino Linotype" w:cs="Palatino Linotype"/>
        </w:rPr>
      </w:pPr>
    </w:p>
    <w:p w:rsidR="001B2EB2" w:rsidRPr="001F33E7" w:rsidRDefault="004C6419">
      <w:pPr>
        <w:spacing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1B2EB2" w:rsidRPr="001F33E7" w:rsidRDefault="001B2EB2">
      <w:pPr>
        <w:spacing w:line="360" w:lineRule="auto"/>
        <w:jc w:val="both"/>
        <w:rPr>
          <w:rFonts w:ascii="Palatino Linotype" w:eastAsia="Palatino Linotype" w:hAnsi="Palatino Linotype" w:cs="Palatino Linotype"/>
        </w:rPr>
      </w:pPr>
    </w:p>
    <w:p w:rsidR="001B2EB2" w:rsidRPr="001F33E7" w:rsidRDefault="004C6419">
      <w:pPr>
        <w:spacing w:line="360" w:lineRule="auto"/>
        <w:jc w:val="both"/>
        <w:rPr>
          <w:rFonts w:ascii="Palatino Linotype" w:eastAsia="Palatino Linotype" w:hAnsi="Palatino Linotype" w:cs="Palatino Linotype"/>
          <w:b/>
        </w:rPr>
      </w:pPr>
      <w:r w:rsidRPr="001F33E7">
        <w:rPr>
          <w:rFonts w:ascii="Palatino Linotype" w:eastAsia="Palatino Linotype" w:hAnsi="Palatino Linotype" w:cs="Palatino Linotype"/>
        </w:rPr>
        <w:lastRenderedPageBreak/>
        <w:t>Argumento que encuentra sustento en la jurisprudencia P</w:t>
      </w:r>
      <w:proofErr w:type="gramStart"/>
      <w:r w:rsidRPr="001F33E7">
        <w:rPr>
          <w:rFonts w:ascii="Palatino Linotype" w:eastAsia="Palatino Linotype" w:hAnsi="Palatino Linotype" w:cs="Palatino Linotype"/>
        </w:rPr>
        <w:t>./</w:t>
      </w:r>
      <w:proofErr w:type="gramEnd"/>
      <w:r w:rsidRPr="001F33E7">
        <w:rPr>
          <w:rFonts w:ascii="Palatino Linotype" w:eastAsia="Palatino Linotype" w:hAnsi="Palatino Linotype" w:cs="Palatino Linotype"/>
        </w:rPr>
        <w:t xml:space="preserve">J. 32/92 emitida por el Pleno de la Suprema Corte de Justicia de la Nación de rubro </w:t>
      </w:r>
      <w:r w:rsidRPr="001F33E7">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1F33E7">
        <w:rPr>
          <w:rFonts w:ascii="Palatino Linotype" w:eastAsia="Palatino Linotype" w:hAnsi="Palatino Linotype" w:cs="Palatino Linotype"/>
        </w:rPr>
        <w:t>, visible en la Gaceta del Seminario Judicial de la Federación con el registro digital 205635.</w:t>
      </w:r>
    </w:p>
    <w:p w:rsidR="001B2EB2" w:rsidRPr="001F33E7" w:rsidRDefault="001B2EB2">
      <w:pPr>
        <w:spacing w:line="360" w:lineRule="auto"/>
        <w:jc w:val="both"/>
        <w:rPr>
          <w:rFonts w:ascii="Palatino Linotype" w:eastAsia="Palatino Linotype" w:hAnsi="Palatino Linotype" w:cs="Palatino Linotype"/>
        </w:rPr>
      </w:pPr>
    </w:p>
    <w:p w:rsidR="001B2EB2" w:rsidRPr="001F33E7" w:rsidRDefault="004C6419">
      <w:pPr>
        <w:spacing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1B2EB2" w:rsidRPr="001F33E7" w:rsidRDefault="001B2EB2">
      <w:pPr>
        <w:spacing w:line="360" w:lineRule="auto"/>
        <w:jc w:val="both"/>
        <w:rPr>
          <w:rFonts w:ascii="Palatino Linotype" w:eastAsia="Palatino Linotype" w:hAnsi="Palatino Linotype" w:cs="Palatino Linotype"/>
        </w:rPr>
      </w:pPr>
    </w:p>
    <w:p w:rsidR="001B2EB2" w:rsidRPr="001F33E7" w:rsidRDefault="004C6419">
      <w:pPr>
        <w:spacing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1B2EB2" w:rsidRPr="001F33E7" w:rsidRDefault="001B2EB2">
      <w:pPr>
        <w:spacing w:line="360" w:lineRule="auto"/>
        <w:jc w:val="both"/>
        <w:rPr>
          <w:rFonts w:ascii="Palatino Linotype" w:eastAsia="Palatino Linotype" w:hAnsi="Palatino Linotype" w:cs="Palatino Linotype"/>
        </w:rPr>
      </w:pPr>
    </w:p>
    <w:p w:rsidR="001B2EB2" w:rsidRPr="001F33E7" w:rsidRDefault="004C6419">
      <w:pPr>
        <w:spacing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rPr>
        <w:lastRenderedPageBreak/>
        <w:t xml:space="preserve"> </w:t>
      </w:r>
      <w:r w:rsidRPr="001F33E7">
        <w:rPr>
          <w:rFonts w:ascii="Palatino Linotype" w:eastAsia="Palatino Linotype" w:hAnsi="Palatino Linotype" w:cs="Palatino Linotype"/>
          <w:i/>
        </w:rPr>
        <w:t>“PLAZO RAZONABLE PARA RESOLVER. DIMENSIÓN Y EFECTOS DE ESTE CONCEPTO CUANDO SE ADUCE EXCESIVA CARGA DE TRABAJO.”</w:t>
      </w:r>
      <w:r w:rsidRPr="001F33E7">
        <w:rPr>
          <w:rFonts w:ascii="Palatino Linotype" w:eastAsia="Palatino Linotype" w:hAnsi="Palatino Linotype" w:cs="Palatino Linotype"/>
        </w:rPr>
        <w:t xml:space="preserve"> consultable en el Seminario Judicial de la Federación y su gaceta, con el registro digital 2002351.</w:t>
      </w:r>
    </w:p>
    <w:p w:rsidR="001B2EB2" w:rsidRPr="001F33E7" w:rsidRDefault="001B2EB2">
      <w:pPr>
        <w:spacing w:line="360" w:lineRule="auto"/>
        <w:jc w:val="both"/>
        <w:rPr>
          <w:rFonts w:ascii="Palatino Linotype" w:eastAsia="Palatino Linotype" w:hAnsi="Palatino Linotype" w:cs="Palatino Linotype"/>
          <w:b/>
        </w:rPr>
      </w:pPr>
    </w:p>
    <w:p w:rsidR="001B2EB2" w:rsidRPr="001F33E7" w:rsidRDefault="004C6419">
      <w:pPr>
        <w:spacing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i/>
        </w:rPr>
        <w:t>“PLAZO RAZONABLE PARA RESOLVER. CONCEPTO Y ELEMENTOS QUE LO INTEGRAN A LA LUZ DEL DERECHO INTERNACIONAL DE LOS DERECHOS HUMANOS.”</w:t>
      </w:r>
      <w:r w:rsidRPr="001F33E7">
        <w:rPr>
          <w:rFonts w:ascii="Palatino Linotype" w:eastAsia="Palatino Linotype" w:hAnsi="Palatino Linotype" w:cs="Palatino Linotype"/>
        </w:rPr>
        <w:t>, visible en el Seminario Judicial de la Federación y su gaceta, con el registro digital 2002350.</w:t>
      </w:r>
    </w:p>
    <w:p w:rsidR="001B2EB2" w:rsidRPr="001F33E7" w:rsidRDefault="001B2EB2">
      <w:pPr>
        <w:spacing w:line="360" w:lineRule="auto"/>
        <w:jc w:val="both"/>
        <w:rPr>
          <w:rFonts w:ascii="Palatino Linotype" w:eastAsia="Palatino Linotype" w:hAnsi="Palatino Linotype" w:cs="Palatino Linotype"/>
        </w:rPr>
      </w:pPr>
    </w:p>
    <w:p w:rsidR="001B2EB2" w:rsidRPr="001F33E7" w:rsidRDefault="004C6419">
      <w:pPr>
        <w:spacing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1B2EB2" w:rsidRPr="001F33E7" w:rsidRDefault="001B2EB2">
      <w:pPr>
        <w:spacing w:line="360" w:lineRule="auto"/>
        <w:jc w:val="both"/>
        <w:rPr>
          <w:rFonts w:ascii="Palatino Linotype" w:eastAsia="Palatino Linotype" w:hAnsi="Palatino Linotype" w:cs="Palatino Linotype"/>
        </w:rPr>
      </w:pPr>
    </w:p>
    <w:p w:rsidR="001B2EB2" w:rsidRPr="001F33E7" w:rsidRDefault="004C6419">
      <w:pPr>
        <w:spacing w:before="240" w:after="240"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1B2EB2" w:rsidRPr="001F33E7" w:rsidRDefault="004C6419">
      <w:pPr>
        <w:numPr>
          <w:ilvl w:val="0"/>
          <w:numId w:val="1"/>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rPr>
      </w:pPr>
      <w:r w:rsidRPr="001F33E7">
        <w:rPr>
          <w:rFonts w:ascii="Palatino Linotype" w:eastAsia="Palatino Linotype" w:hAnsi="Palatino Linotype" w:cs="Palatino Linotype"/>
          <w:b/>
        </w:rPr>
        <w:t>C O N S I D E R A N D O S</w:t>
      </w:r>
    </w:p>
    <w:p w:rsidR="001B2EB2" w:rsidRPr="001F33E7" w:rsidRDefault="004C6419">
      <w:pPr>
        <w:spacing w:before="240" w:after="240"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b/>
        </w:rPr>
        <w:t xml:space="preserve">Primero. Competencia. </w:t>
      </w:r>
      <w:r w:rsidRPr="001F33E7">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w:t>
      </w:r>
      <w:r w:rsidRPr="001F33E7">
        <w:rPr>
          <w:rFonts w:ascii="Palatino Linotype" w:eastAsia="Palatino Linotype" w:hAnsi="Palatino Linotype" w:cs="Palatino Linotype"/>
          <w:b/>
        </w:rPr>
        <w:t>RECURRENTE</w:t>
      </w:r>
      <w:r w:rsidRPr="001F33E7">
        <w:rPr>
          <w:rFonts w:ascii="Palatino Linotype" w:eastAsia="Palatino Linotype" w:hAnsi="Palatino Linotype" w:cs="Palatino Linotype"/>
        </w:rPr>
        <w:t xml:space="preserve">, conforme a lo dispuesto en los artículos 6, apartado A de la Constitución Política de los Estados Unidos Mexicanos; 5, párrafos trigésimo, </w:t>
      </w:r>
      <w:r w:rsidRPr="001F33E7">
        <w:rPr>
          <w:rFonts w:ascii="Palatino Linotype" w:eastAsia="Palatino Linotype" w:hAnsi="Palatino Linotype" w:cs="Palatino Linotype"/>
        </w:rPr>
        <w:lastRenderedPageBreak/>
        <w:t>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1B2EB2" w:rsidRPr="001F33E7" w:rsidRDefault="004C6419">
      <w:pPr>
        <w:spacing w:before="240" w:after="240"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b/>
        </w:rPr>
        <w:t>Segundo. Oportunidad y Procedibilidad del Recurso de Revisión</w:t>
      </w:r>
      <w:r w:rsidRPr="001F33E7">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1B2EB2" w:rsidRPr="001F33E7" w:rsidRDefault="004C6419">
      <w:pPr>
        <w:spacing w:before="240" w:after="240"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1F33E7">
        <w:rPr>
          <w:rFonts w:ascii="Palatino Linotype" w:eastAsia="Palatino Linotype" w:hAnsi="Palatino Linotype" w:cs="Palatino Linotype"/>
          <w:b/>
        </w:rPr>
        <w:t>SUJETO OBLIGADO</w:t>
      </w:r>
      <w:r w:rsidRPr="001F33E7">
        <w:rPr>
          <w:rFonts w:ascii="Palatino Linotype" w:eastAsia="Palatino Linotype" w:hAnsi="Palatino Linotype" w:cs="Palatino Linotype"/>
        </w:rPr>
        <w:t xml:space="preserve"> proporcionó su respuesta a la solicitud de información el </w:t>
      </w:r>
      <w:r w:rsidRPr="001F33E7">
        <w:rPr>
          <w:rFonts w:ascii="Palatino Linotype" w:eastAsia="Palatino Linotype" w:hAnsi="Palatino Linotype" w:cs="Palatino Linotype"/>
          <w:b/>
        </w:rPr>
        <w:t>veintisiete de mayo del dos mil veintidós</w:t>
      </w:r>
      <w:r w:rsidRPr="001F33E7">
        <w:rPr>
          <w:rFonts w:ascii="Palatino Linotype" w:eastAsia="Palatino Linotype" w:hAnsi="Palatino Linotype" w:cs="Palatino Linotype"/>
        </w:rPr>
        <w:t xml:space="preserve">, y la </w:t>
      </w:r>
      <w:r w:rsidRPr="001F33E7">
        <w:rPr>
          <w:rFonts w:ascii="Palatino Linotype" w:eastAsia="Palatino Linotype" w:hAnsi="Palatino Linotype" w:cs="Palatino Linotype"/>
          <w:b/>
        </w:rPr>
        <w:t>RECURRENTE</w:t>
      </w:r>
      <w:r w:rsidRPr="001F33E7">
        <w:rPr>
          <w:rFonts w:ascii="Palatino Linotype" w:eastAsia="Palatino Linotype" w:hAnsi="Palatino Linotype" w:cs="Palatino Linotype"/>
        </w:rPr>
        <w:t xml:space="preserve"> presentó su recurso de revisión el </w:t>
      </w:r>
      <w:r w:rsidRPr="001F33E7">
        <w:rPr>
          <w:rFonts w:ascii="Palatino Linotype" w:eastAsia="Palatino Linotype" w:hAnsi="Palatino Linotype" w:cs="Palatino Linotype"/>
          <w:b/>
        </w:rPr>
        <w:t>veintisiete de mayo del dos mil veintidós</w:t>
      </w:r>
      <w:r w:rsidRPr="001F33E7">
        <w:rPr>
          <w:rFonts w:ascii="Palatino Linotype" w:eastAsia="Palatino Linotype" w:hAnsi="Palatino Linotype" w:cs="Palatino Linotype"/>
        </w:rPr>
        <w:t>,  esto es el mismo día hábil en que tuvo conocimiento de la respuesta.</w:t>
      </w:r>
    </w:p>
    <w:p w:rsidR="001B2EB2" w:rsidRPr="001F33E7" w:rsidRDefault="004C6419">
      <w:pPr>
        <w:spacing w:before="240" w:after="240"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w:t>
      </w:r>
      <w:r w:rsidRPr="001F33E7">
        <w:rPr>
          <w:rFonts w:ascii="Palatino Linotype" w:eastAsia="Palatino Linotype" w:hAnsi="Palatino Linotype" w:cs="Palatino Linotype"/>
        </w:rPr>
        <w:lastRenderedPageBreak/>
        <w:t>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1B2EB2" w:rsidRPr="001F33E7" w:rsidRDefault="004C6419">
      <w:pPr>
        <w:spacing w:before="240" w:after="240" w:line="276" w:lineRule="auto"/>
        <w:ind w:left="1134" w:right="900"/>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“RECURSO DE RECLAMACIÓN. SU INTERPOSICIÓN NO ES EXTEMPORÁNEA SI SE REALIZA ANTES DE QUE INICIE EL PLAZO PARA HACERLO.</w:t>
      </w:r>
    </w:p>
    <w:p w:rsidR="001B2EB2" w:rsidRPr="001F33E7" w:rsidRDefault="004C6419">
      <w:pPr>
        <w:spacing w:before="240" w:after="240" w:line="276" w:lineRule="auto"/>
        <w:ind w:left="1134" w:right="900"/>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1B2EB2" w:rsidRPr="001F33E7" w:rsidRDefault="004C6419">
      <w:pPr>
        <w:pBdr>
          <w:top w:val="nil"/>
          <w:left w:val="nil"/>
          <w:bottom w:val="nil"/>
          <w:right w:val="nil"/>
          <w:between w:val="nil"/>
        </w:pBdr>
        <w:spacing w:after="240" w:line="360" w:lineRule="auto"/>
        <w:ind w:right="-147"/>
        <w:jc w:val="both"/>
        <w:rPr>
          <w:rFonts w:ascii="Palatino Linotype" w:eastAsia="Palatino Linotype" w:hAnsi="Palatino Linotype" w:cs="Palatino Linotype"/>
        </w:rPr>
      </w:pPr>
      <w:r w:rsidRPr="001F33E7">
        <w:rPr>
          <w:rFonts w:ascii="Palatino Linotype" w:eastAsia="Palatino Linotype" w:hAnsi="Palatino Linotype" w:cs="Palatino Linotype"/>
        </w:rPr>
        <w:t xml:space="preserve">Además, por cuanto hace a la procedibilidad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el </w:t>
      </w:r>
      <w:r w:rsidRPr="001F33E7">
        <w:rPr>
          <w:rFonts w:ascii="Palatino Linotype" w:eastAsia="Palatino Linotype" w:hAnsi="Palatino Linotype" w:cs="Palatino Linotype"/>
          <w:b/>
        </w:rPr>
        <w:t>SAIMEX</w:t>
      </w:r>
      <w:r w:rsidRPr="001F33E7">
        <w:rPr>
          <w:rFonts w:ascii="Palatino Linotype" w:eastAsia="Palatino Linotype" w:hAnsi="Palatino Linotype" w:cs="Palatino Linotype"/>
        </w:rPr>
        <w:t>.</w:t>
      </w:r>
    </w:p>
    <w:p w:rsidR="001B2EB2" w:rsidRPr="001F33E7" w:rsidRDefault="004C6419">
      <w:pPr>
        <w:spacing w:before="240" w:after="240"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VI de la ley de la materia, que a la letra dice:</w:t>
      </w:r>
    </w:p>
    <w:p w:rsidR="001B2EB2" w:rsidRPr="001F33E7" w:rsidRDefault="004C6419">
      <w:pPr>
        <w:ind w:left="1276" w:right="1752"/>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lastRenderedPageBreak/>
        <w:t>“</w:t>
      </w:r>
      <w:r w:rsidRPr="001F33E7">
        <w:rPr>
          <w:rFonts w:ascii="Palatino Linotype" w:eastAsia="Palatino Linotype" w:hAnsi="Palatino Linotype" w:cs="Palatino Linotype"/>
          <w:b/>
          <w:i/>
          <w:sz w:val="22"/>
          <w:szCs w:val="22"/>
        </w:rPr>
        <w:t xml:space="preserve">Artículo 179. </w:t>
      </w:r>
      <w:r w:rsidRPr="001F33E7">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1F33E7">
        <w:rPr>
          <w:rFonts w:ascii="Palatino Linotype" w:eastAsia="Palatino Linotype" w:hAnsi="Palatino Linotype" w:cs="Palatino Linotype"/>
          <w:i/>
        </w:rPr>
        <w:t>causas</w:t>
      </w:r>
      <w:r w:rsidRPr="001F33E7">
        <w:rPr>
          <w:rFonts w:ascii="Palatino Linotype" w:eastAsia="Palatino Linotype" w:hAnsi="Palatino Linotype" w:cs="Palatino Linotype"/>
          <w:i/>
          <w:sz w:val="22"/>
          <w:szCs w:val="22"/>
        </w:rPr>
        <w:t>:</w:t>
      </w:r>
    </w:p>
    <w:p w:rsidR="001B2EB2" w:rsidRPr="001F33E7" w:rsidRDefault="004C6419">
      <w:pPr>
        <w:ind w:left="1276" w:right="1752"/>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w:t>
      </w:r>
    </w:p>
    <w:p w:rsidR="001B2EB2" w:rsidRPr="001F33E7" w:rsidRDefault="004C6419">
      <w:pPr>
        <w:ind w:left="1276" w:right="1752"/>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b/>
          <w:i/>
          <w:sz w:val="22"/>
          <w:szCs w:val="22"/>
        </w:rPr>
        <w:t>VI. La entrega de información que no corresponda con lo solicitado;</w:t>
      </w:r>
      <w:r w:rsidRPr="001F33E7">
        <w:rPr>
          <w:rFonts w:ascii="Palatino Linotype" w:eastAsia="Palatino Linotype" w:hAnsi="Palatino Linotype" w:cs="Palatino Linotype"/>
          <w:i/>
          <w:sz w:val="22"/>
          <w:szCs w:val="22"/>
        </w:rPr>
        <w:t xml:space="preserve"> (Sic)</w:t>
      </w:r>
    </w:p>
    <w:p w:rsidR="001B2EB2" w:rsidRPr="001F33E7" w:rsidRDefault="001B2EB2">
      <w:pPr>
        <w:ind w:left="1276" w:right="1752"/>
        <w:jc w:val="both"/>
        <w:rPr>
          <w:rFonts w:ascii="Palatino Linotype" w:eastAsia="Palatino Linotype" w:hAnsi="Palatino Linotype" w:cs="Palatino Linotype"/>
          <w:i/>
          <w:sz w:val="22"/>
          <w:szCs w:val="22"/>
        </w:rPr>
      </w:pPr>
    </w:p>
    <w:p w:rsidR="001B2EB2" w:rsidRPr="001F33E7" w:rsidRDefault="004C6419">
      <w:pPr>
        <w:spacing w:before="280" w:after="280"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b/>
        </w:rPr>
        <w:t>Tercero. Materia de Revisión</w:t>
      </w:r>
      <w:r w:rsidRPr="001F33E7">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1F33E7">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1F33E7">
        <w:rPr>
          <w:rFonts w:ascii="Palatino Linotype" w:eastAsia="Palatino Linotype" w:hAnsi="Palatino Linotype" w:cs="Palatino Linotype"/>
        </w:rPr>
        <w:t xml:space="preserve">de la </w:t>
      </w:r>
      <w:r w:rsidRPr="001F33E7">
        <w:rPr>
          <w:rFonts w:ascii="Palatino Linotype" w:eastAsia="Palatino Linotype" w:hAnsi="Palatino Linotype" w:cs="Palatino Linotype"/>
          <w:b/>
        </w:rPr>
        <w:t>RECURRENTE</w:t>
      </w:r>
      <w:r w:rsidRPr="001F33E7">
        <w:rPr>
          <w:rFonts w:ascii="Palatino Linotype" w:eastAsia="Palatino Linotype" w:hAnsi="Palatino Linotype" w:cs="Palatino Linotype"/>
        </w:rPr>
        <w:t>, o en su defecto, en caso de ser procedente, ordenar la entrega de información.</w:t>
      </w:r>
    </w:p>
    <w:p w:rsidR="001B2EB2" w:rsidRPr="001F33E7" w:rsidRDefault="004C6419">
      <w:pPr>
        <w:spacing w:before="240" w:after="240"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b/>
        </w:rPr>
        <w:t xml:space="preserve">Cuarto. Estudio de fondo del asunto. </w:t>
      </w:r>
      <w:r w:rsidRPr="001F33E7">
        <w:rPr>
          <w:rFonts w:ascii="Palatino Linotype" w:eastAsia="Palatino Linotype" w:hAnsi="Palatino Linotype" w:cs="Palatino Linotype"/>
        </w:rPr>
        <w:t xml:space="preserve">Es conveniente analizar si la respuesta del </w:t>
      </w:r>
      <w:r w:rsidRPr="001F33E7">
        <w:rPr>
          <w:rFonts w:ascii="Palatino Linotype" w:eastAsia="Palatino Linotype" w:hAnsi="Palatino Linotype" w:cs="Palatino Linotype"/>
          <w:b/>
        </w:rPr>
        <w:t>SUJETO OBLIGADO</w:t>
      </w:r>
      <w:r w:rsidRPr="001F33E7">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1B2EB2" w:rsidRPr="001F33E7" w:rsidRDefault="004C6419">
      <w:pPr>
        <w:spacing w:before="240"/>
        <w:ind w:left="709" w:right="760"/>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w:t>
      </w:r>
      <w:r w:rsidRPr="001F33E7">
        <w:rPr>
          <w:rFonts w:ascii="Palatino Linotype" w:eastAsia="Palatino Linotype" w:hAnsi="Palatino Linotype" w:cs="Palatino Linotype"/>
          <w:b/>
          <w:i/>
          <w:sz w:val="22"/>
          <w:szCs w:val="22"/>
        </w:rPr>
        <w:t>Artículo 4</w:t>
      </w:r>
      <w:r w:rsidRPr="001F33E7">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1B2EB2" w:rsidRPr="001F33E7" w:rsidRDefault="004C6419">
      <w:pPr>
        <w:ind w:left="709" w:right="760"/>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b/>
          <w:i/>
          <w:sz w:val="22"/>
          <w:szCs w:val="22"/>
        </w:rPr>
        <w:lastRenderedPageBreak/>
        <w:t>Toda la información generada, obtenida, adquirida, transformada, administrada o en posesión de los sujetos obligados es pública y accesible de manera permanente a cualquier persona</w:t>
      </w:r>
      <w:r w:rsidRPr="001F33E7">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1B2EB2" w:rsidRPr="001F33E7" w:rsidRDefault="004C6419">
      <w:pPr>
        <w:ind w:left="709" w:right="760"/>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1F33E7">
        <w:rPr>
          <w:rFonts w:ascii="Palatino Linotype" w:eastAsia="Palatino Linotype" w:hAnsi="Palatino Linotype" w:cs="Palatino Linotype"/>
          <w:i/>
          <w:sz w:val="22"/>
          <w:szCs w:val="22"/>
        </w:rPr>
        <w:t>.”(Sic)</w:t>
      </w:r>
    </w:p>
    <w:p w:rsidR="001B2EB2" w:rsidRPr="001F33E7" w:rsidRDefault="001B2EB2">
      <w:pPr>
        <w:spacing w:line="360" w:lineRule="auto"/>
        <w:jc w:val="both"/>
        <w:rPr>
          <w:rFonts w:ascii="Palatino Linotype" w:eastAsia="Palatino Linotype" w:hAnsi="Palatino Linotype" w:cs="Palatino Linotype"/>
        </w:rPr>
      </w:pPr>
    </w:p>
    <w:p w:rsidR="001B2EB2" w:rsidRPr="001F33E7" w:rsidRDefault="004C6419">
      <w:pPr>
        <w:spacing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1B2EB2" w:rsidRPr="001F33E7" w:rsidRDefault="001B2EB2">
      <w:pPr>
        <w:spacing w:line="360" w:lineRule="auto"/>
        <w:jc w:val="both"/>
        <w:rPr>
          <w:rFonts w:ascii="Palatino Linotype" w:eastAsia="Palatino Linotype" w:hAnsi="Palatino Linotype" w:cs="Palatino Linotype"/>
        </w:rPr>
      </w:pPr>
    </w:p>
    <w:p w:rsidR="001B2EB2" w:rsidRPr="001F33E7" w:rsidRDefault="004C6419">
      <w:pPr>
        <w:ind w:left="567" w:right="758"/>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b/>
          <w:i/>
          <w:sz w:val="22"/>
          <w:szCs w:val="22"/>
        </w:rPr>
        <w:t>“Artículo 12.-</w:t>
      </w:r>
      <w:r w:rsidRPr="001F33E7">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1B2EB2" w:rsidRPr="001F33E7" w:rsidRDefault="001B2EB2">
      <w:pPr>
        <w:ind w:left="567" w:right="758"/>
        <w:jc w:val="both"/>
        <w:rPr>
          <w:rFonts w:ascii="Palatino Linotype" w:eastAsia="Palatino Linotype" w:hAnsi="Palatino Linotype" w:cs="Palatino Linotype"/>
          <w:i/>
          <w:sz w:val="22"/>
          <w:szCs w:val="22"/>
        </w:rPr>
      </w:pPr>
    </w:p>
    <w:p w:rsidR="001B2EB2" w:rsidRPr="001F33E7" w:rsidRDefault="004C6419">
      <w:pPr>
        <w:ind w:left="567" w:right="758"/>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1F33E7">
        <w:rPr>
          <w:rFonts w:ascii="Palatino Linotype" w:eastAsia="Palatino Linotype" w:hAnsi="Palatino Linotype" w:cs="Palatino Linotype"/>
          <w:i/>
          <w:sz w:val="22"/>
          <w:szCs w:val="22"/>
        </w:rPr>
        <w:t xml:space="preserve">. </w:t>
      </w:r>
      <w:r w:rsidRPr="001F33E7">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1B2EB2" w:rsidRPr="001F33E7" w:rsidRDefault="001B2EB2">
      <w:pPr>
        <w:spacing w:line="360" w:lineRule="auto"/>
        <w:ind w:right="-93"/>
        <w:jc w:val="both"/>
        <w:rPr>
          <w:rFonts w:ascii="Palatino Linotype" w:eastAsia="Palatino Linotype" w:hAnsi="Palatino Linotype" w:cs="Palatino Linotype"/>
        </w:rPr>
      </w:pPr>
    </w:p>
    <w:p w:rsidR="001B2EB2" w:rsidRPr="001F33E7" w:rsidRDefault="004C6419">
      <w:pPr>
        <w:spacing w:line="360" w:lineRule="auto"/>
        <w:ind w:right="-93"/>
        <w:jc w:val="both"/>
        <w:rPr>
          <w:rFonts w:ascii="Palatino Linotype" w:eastAsia="Palatino Linotype" w:hAnsi="Palatino Linotype" w:cs="Palatino Linotype"/>
        </w:rPr>
      </w:pPr>
      <w:r w:rsidRPr="001F33E7">
        <w:rPr>
          <w:rFonts w:ascii="Palatino Linotype" w:eastAsia="Palatino Linotype" w:hAnsi="Palatino Linotype" w:cs="Palatino Linotype"/>
        </w:rPr>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1B2EB2" w:rsidRPr="001F33E7" w:rsidRDefault="001B2EB2">
      <w:pPr>
        <w:spacing w:line="360" w:lineRule="auto"/>
        <w:ind w:right="-93"/>
        <w:jc w:val="both"/>
        <w:rPr>
          <w:rFonts w:ascii="Palatino Linotype" w:eastAsia="Palatino Linotype" w:hAnsi="Palatino Linotype" w:cs="Palatino Linotype"/>
        </w:rPr>
      </w:pPr>
    </w:p>
    <w:p w:rsidR="001B2EB2" w:rsidRPr="001F33E7" w:rsidRDefault="004C6419">
      <w:pPr>
        <w:spacing w:line="360" w:lineRule="auto"/>
        <w:jc w:val="both"/>
        <w:rPr>
          <w:rFonts w:ascii="Palatino Linotype" w:eastAsia="Palatino Linotype" w:hAnsi="Palatino Linotype" w:cs="Palatino Linotype"/>
          <w:b/>
        </w:rPr>
      </w:pPr>
      <w:r w:rsidRPr="001F33E7">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1F33E7">
        <w:rPr>
          <w:rFonts w:ascii="Palatino Linotype" w:eastAsia="Palatino Linotype" w:hAnsi="Palatino Linotype" w:cs="Palatino Linotype"/>
          <w:b/>
        </w:rPr>
        <w:t xml:space="preserve"> </w:t>
      </w:r>
    </w:p>
    <w:p w:rsidR="001B2EB2" w:rsidRPr="001F33E7" w:rsidRDefault="001B2EB2">
      <w:pPr>
        <w:ind w:left="851" w:right="850"/>
        <w:jc w:val="both"/>
        <w:rPr>
          <w:rFonts w:ascii="Palatino Linotype" w:eastAsia="Palatino Linotype" w:hAnsi="Palatino Linotype" w:cs="Palatino Linotype"/>
        </w:rPr>
      </w:pPr>
    </w:p>
    <w:p w:rsidR="001B2EB2" w:rsidRPr="001F33E7" w:rsidRDefault="004C6419">
      <w:pPr>
        <w:ind w:left="851" w:right="901"/>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w:t>
      </w:r>
      <w:r w:rsidRPr="001F33E7">
        <w:rPr>
          <w:rFonts w:ascii="Palatino Linotype" w:eastAsia="Palatino Linotype" w:hAnsi="Palatino Linotype" w:cs="Palatino Linotype"/>
          <w:b/>
          <w:i/>
          <w:sz w:val="22"/>
          <w:szCs w:val="22"/>
        </w:rPr>
        <w:t>No existe obligación de elaborar documentos ad hoc para atender las solicitudes de acceso a la información.</w:t>
      </w:r>
      <w:r w:rsidRPr="001F33E7">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1B2EB2" w:rsidRPr="001F33E7" w:rsidRDefault="004C6419">
      <w:pPr>
        <w:ind w:left="851" w:right="901"/>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 xml:space="preserve">Resoluciones: </w:t>
      </w:r>
    </w:p>
    <w:p w:rsidR="001B2EB2" w:rsidRPr="001F33E7" w:rsidRDefault="004C6419">
      <w:pPr>
        <w:ind w:left="851" w:right="901"/>
        <w:jc w:val="both"/>
        <w:rPr>
          <w:rFonts w:ascii="Palatino Linotype" w:eastAsia="Palatino Linotype" w:hAnsi="Palatino Linotype" w:cs="Palatino Linotype"/>
          <w:i/>
          <w:sz w:val="22"/>
          <w:szCs w:val="22"/>
        </w:rPr>
      </w:pPr>
      <w:r w:rsidRPr="001F33E7">
        <w:rPr>
          <w:rFonts w:ascii="Noto Sans Symbols" w:eastAsia="Noto Sans Symbols" w:hAnsi="Noto Sans Symbols" w:cs="Noto Sans Symbols"/>
          <w:i/>
          <w:sz w:val="22"/>
          <w:szCs w:val="22"/>
        </w:rPr>
        <w:t>∙</w:t>
      </w:r>
      <w:r w:rsidRPr="001F33E7">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rsidR="001B2EB2" w:rsidRPr="001F33E7" w:rsidRDefault="004C6419">
      <w:pPr>
        <w:ind w:left="851" w:right="901"/>
        <w:jc w:val="both"/>
        <w:rPr>
          <w:rFonts w:ascii="Palatino Linotype" w:eastAsia="Palatino Linotype" w:hAnsi="Palatino Linotype" w:cs="Palatino Linotype"/>
          <w:i/>
          <w:sz w:val="22"/>
          <w:szCs w:val="22"/>
        </w:rPr>
      </w:pPr>
      <w:r w:rsidRPr="001F33E7">
        <w:rPr>
          <w:rFonts w:ascii="Noto Sans Symbols" w:eastAsia="Noto Sans Symbols" w:hAnsi="Noto Sans Symbols" w:cs="Noto Sans Symbols"/>
          <w:i/>
          <w:sz w:val="22"/>
          <w:szCs w:val="22"/>
        </w:rPr>
        <w:t>∙</w:t>
      </w:r>
      <w:r w:rsidRPr="001F33E7">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rsidR="001B2EB2" w:rsidRPr="001F33E7" w:rsidRDefault="004C6419">
      <w:pPr>
        <w:ind w:left="851" w:right="901"/>
        <w:jc w:val="both"/>
        <w:rPr>
          <w:rFonts w:ascii="Palatino Linotype" w:eastAsia="Palatino Linotype" w:hAnsi="Palatino Linotype" w:cs="Palatino Linotype"/>
          <w:i/>
          <w:sz w:val="22"/>
          <w:szCs w:val="22"/>
        </w:rPr>
      </w:pPr>
      <w:r w:rsidRPr="001F33E7">
        <w:rPr>
          <w:rFonts w:ascii="Noto Sans Symbols" w:eastAsia="Noto Sans Symbols" w:hAnsi="Noto Sans Symbols" w:cs="Noto Sans Symbols"/>
          <w:i/>
          <w:sz w:val="22"/>
          <w:szCs w:val="22"/>
        </w:rPr>
        <w:t>∙</w:t>
      </w:r>
      <w:r w:rsidRPr="001F33E7">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rsidR="001B2EB2" w:rsidRPr="001F33E7" w:rsidRDefault="001B2EB2">
      <w:pPr>
        <w:spacing w:line="360" w:lineRule="auto"/>
        <w:ind w:right="-93"/>
        <w:jc w:val="both"/>
        <w:rPr>
          <w:rFonts w:ascii="Palatino Linotype" w:eastAsia="Palatino Linotype" w:hAnsi="Palatino Linotype" w:cs="Palatino Linotype"/>
        </w:rPr>
      </w:pPr>
    </w:p>
    <w:p w:rsidR="001B2EB2" w:rsidRPr="001F33E7" w:rsidRDefault="004C6419">
      <w:pPr>
        <w:spacing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1B2EB2" w:rsidRPr="001F33E7" w:rsidRDefault="001B2EB2">
      <w:pPr>
        <w:spacing w:line="360" w:lineRule="auto"/>
        <w:jc w:val="both"/>
        <w:rPr>
          <w:rFonts w:ascii="Palatino Linotype" w:eastAsia="Palatino Linotype" w:hAnsi="Palatino Linotype" w:cs="Palatino Linotype"/>
        </w:rPr>
      </w:pPr>
    </w:p>
    <w:p w:rsidR="001B2EB2" w:rsidRPr="001F33E7" w:rsidRDefault="004C6419">
      <w:pPr>
        <w:spacing w:line="360" w:lineRule="auto"/>
        <w:ind w:right="49"/>
        <w:jc w:val="both"/>
        <w:rPr>
          <w:rFonts w:ascii="Palatino Linotype" w:eastAsia="Palatino Linotype" w:hAnsi="Palatino Linotype" w:cs="Palatino Linotype"/>
        </w:rPr>
      </w:pPr>
      <w:r w:rsidRPr="001F33E7">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1B2EB2" w:rsidRPr="001F33E7" w:rsidRDefault="001B2EB2">
      <w:pPr>
        <w:spacing w:line="360" w:lineRule="auto"/>
        <w:ind w:right="49"/>
        <w:jc w:val="both"/>
        <w:rPr>
          <w:rFonts w:ascii="Palatino Linotype" w:eastAsia="Palatino Linotype" w:hAnsi="Palatino Linotype" w:cs="Palatino Linotype"/>
        </w:rPr>
      </w:pPr>
    </w:p>
    <w:p w:rsidR="001B2EB2" w:rsidRPr="001F33E7" w:rsidRDefault="004C6419">
      <w:pPr>
        <w:spacing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1B2EB2" w:rsidRPr="001F33E7" w:rsidRDefault="001B2EB2">
      <w:pPr>
        <w:ind w:left="851" w:right="899"/>
        <w:jc w:val="both"/>
        <w:rPr>
          <w:rFonts w:ascii="Palatino Linotype" w:eastAsia="Palatino Linotype" w:hAnsi="Palatino Linotype" w:cs="Palatino Linotype"/>
          <w:i/>
          <w:sz w:val="22"/>
          <w:szCs w:val="22"/>
        </w:rPr>
      </w:pPr>
    </w:p>
    <w:p w:rsidR="001B2EB2" w:rsidRPr="001F33E7" w:rsidRDefault="004C6419">
      <w:pPr>
        <w:ind w:left="851" w:right="899"/>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w:t>
      </w:r>
      <w:r w:rsidRPr="001F33E7">
        <w:rPr>
          <w:rFonts w:ascii="Palatino Linotype" w:eastAsia="Palatino Linotype" w:hAnsi="Palatino Linotype" w:cs="Palatino Linotype"/>
          <w:b/>
          <w:i/>
          <w:sz w:val="22"/>
          <w:szCs w:val="22"/>
        </w:rPr>
        <w:t xml:space="preserve">Artículo 3. </w:t>
      </w:r>
      <w:r w:rsidRPr="001F33E7">
        <w:rPr>
          <w:rFonts w:ascii="Palatino Linotype" w:eastAsia="Palatino Linotype" w:hAnsi="Palatino Linotype" w:cs="Palatino Linotype"/>
          <w:i/>
          <w:sz w:val="22"/>
          <w:szCs w:val="22"/>
        </w:rPr>
        <w:t>Para los efectos de la presente Ley se entenderá por:</w:t>
      </w:r>
    </w:p>
    <w:p w:rsidR="001B2EB2" w:rsidRPr="001F33E7" w:rsidRDefault="004C6419">
      <w:pPr>
        <w:ind w:left="851" w:right="899"/>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w:t>
      </w:r>
    </w:p>
    <w:p w:rsidR="001B2EB2" w:rsidRPr="001F33E7" w:rsidRDefault="004C6419">
      <w:pPr>
        <w:ind w:left="851" w:right="899"/>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b/>
          <w:i/>
          <w:sz w:val="22"/>
          <w:szCs w:val="22"/>
        </w:rPr>
        <w:t>XI. Documento:</w:t>
      </w:r>
      <w:r w:rsidRPr="001F33E7">
        <w:rPr>
          <w:rFonts w:ascii="Palatino Linotype" w:eastAsia="Palatino Linotype" w:hAnsi="Palatino Linotype" w:cs="Palatino Linotype"/>
          <w:i/>
          <w:sz w:val="22"/>
          <w:szCs w:val="22"/>
        </w:rPr>
        <w:t xml:space="preserve"> Los expedientes, reportes, estudios, actas</w:t>
      </w:r>
      <w:r w:rsidRPr="001F33E7">
        <w:rPr>
          <w:rFonts w:ascii="Palatino Linotype" w:eastAsia="Palatino Linotype" w:hAnsi="Palatino Linotype" w:cs="Palatino Linotype"/>
          <w:b/>
          <w:i/>
          <w:sz w:val="22"/>
          <w:szCs w:val="22"/>
        </w:rPr>
        <w:t>,</w:t>
      </w:r>
      <w:r w:rsidRPr="001F33E7">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1B2EB2" w:rsidRPr="001F33E7" w:rsidRDefault="001B2EB2">
      <w:pPr>
        <w:ind w:left="851" w:right="899"/>
        <w:jc w:val="both"/>
        <w:rPr>
          <w:rFonts w:ascii="Palatino Linotype" w:eastAsia="Palatino Linotype" w:hAnsi="Palatino Linotype" w:cs="Palatino Linotype"/>
          <w:sz w:val="22"/>
          <w:szCs w:val="22"/>
        </w:rPr>
      </w:pPr>
    </w:p>
    <w:p w:rsidR="001B2EB2" w:rsidRPr="001F33E7" w:rsidRDefault="004C6419">
      <w:pPr>
        <w:spacing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1B2EB2" w:rsidRPr="001F33E7" w:rsidRDefault="001B2EB2">
      <w:pPr>
        <w:ind w:left="851" w:right="899"/>
        <w:jc w:val="both"/>
        <w:rPr>
          <w:rFonts w:ascii="Palatino Linotype" w:eastAsia="Palatino Linotype" w:hAnsi="Palatino Linotype" w:cs="Palatino Linotype"/>
        </w:rPr>
      </w:pPr>
    </w:p>
    <w:p w:rsidR="001B2EB2" w:rsidRPr="001F33E7" w:rsidRDefault="004C6419">
      <w:pPr>
        <w:ind w:left="851" w:right="899"/>
        <w:jc w:val="both"/>
        <w:rPr>
          <w:rFonts w:ascii="Palatino Linotype" w:eastAsia="Palatino Linotype" w:hAnsi="Palatino Linotype" w:cs="Palatino Linotype"/>
          <w:b/>
          <w:i/>
          <w:sz w:val="22"/>
          <w:szCs w:val="22"/>
        </w:rPr>
      </w:pPr>
      <w:r w:rsidRPr="001F33E7">
        <w:rPr>
          <w:rFonts w:ascii="Palatino Linotype" w:eastAsia="Palatino Linotype" w:hAnsi="Palatino Linotype" w:cs="Palatino Linotype"/>
          <w:b/>
          <w:sz w:val="22"/>
          <w:szCs w:val="22"/>
        </w:rPr>
        <w:t>“</w:t>
      </w:r>
      <w:r w:rsidRPr="001F33E7">
        <w:rPr>
          <w:rFonts w:ascii="Palatino Linotype" w:eastAsia="Palatino Linotype" w:hAnsi="Palatino Linotype" w:cs="Palatino Linotype"/>
          <w:b/>
          <w:i/>
          <w:sz w:val="22"/>
          <w:szCs w:val="22"/>
        </w:rPr>
        <w:t>CRITERIO 0002-11</w:t>
      </w:r>
    </w:p>
    <w:p w:rsidR="001B2EB2" w:rsidRPr="001F33E7" w:rsidRDefault="004C6419">
      <w:pPr>
        <w:ind w:left="851" w:right="899"/>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1F33E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B2EB2" w:rsidRPr="001F33E7" w:rsidRDefault="004C6419">
      <w:pPr>
        <w:ind w:left="851" w:right="899"/>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En consecuencia el acceso a la información se refiere a que se cumplan cualquiera de los siguientes tres supuestos:</w:t>
      </w:r>
    </w:p>
    <w:p w:rsidR="001B2EB2" w:rsidRPr="001F33E7" w:rsidRDefault="004C6419">
      <w:pPr>
        <w:ind w:left="851" w:right="899"/>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1B2EB2" w:rsidRPr="001F33E7" w:rsidRDefault="004C6419">
      <w:pPr>
        <w:ind w:left="851" w:right="899"/>
        <w:jc w:val="both"/>
        <w:rPr>
          <w:rFonts w:ascii="Palatino Linotype" w:eastAsia="Palatino Linotype" w:hAnsi="Palatino Linotype" w:cs="Palatino Linotype"/>
          <w:b/>
          <w:i/>
          <w:sz w:val="22"/>
          <w:szCs w:val="22"/>
        </w:rPr>
      </w:pPr>
      <w:r w:rsidRPr="001F33E7">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1B2EB2" w:rsidRPr="001F33E7" w:rsidRDefault="004C6419">
      <w:pPr>
        <w:ind w:left="851" w:right="899"/>
        <w:jc w:val="both"/>
        <w:rPr>
          <w:rFonts w:ascii="Palatino Linotype" w:eastAsia="Palatino Linotype" w:hAnsi="Palatino Linotype" w:cs="Palatino Linotype"/>
          <w:b/>
          <w:i/>
          <w:sz w:val="22"/>
          <w:szCs w:val="22"/>
        </w:rPr>
      </w:pPr>
      <w:r w:rsidRPr="001F33E7">
        <w:rPr>
          <w:rFonts w:ascii="Palatino Linotype" w:eastAsia="Palatino Linotype" w:hAnsi="Palatino Linotype" w:cs="Palatino Linotype"/>
          <w:b/>
          <w:i/>
          <w:sz w:val="22"/>
          <w:szCs w:val="22"/>
        </w:rPr>
        <w:lastRenderedPageBreak/>
        <w:t>3) Que se trate de información registrada en cualquier soporte documental, que en ejercicio de las atribuciones conferidas, se encuentre en posesión de los Sujetos Obligados.” (Sic)</w:t>
      </w:r>
    </w:p>
    <w:p w:rsidR="001B2EB2" w:rsidRPr="001F33E7" w:rsidRDefault="001B2EB2">
      <w:pPr>
        <w:spacing w:line="360" w:lineRule="auto"/>
        <w:ind w:right="-93"/>
        <w:jc w:val="both"/>
        <w:rPr>
          <w:rFonts w:ascii="Palatino Linotype" w:eastAsia="Palatino Linotype" w:hAnsi="Palatino Linotype" w:cs="Palatino Linotype"/>
        </w:rPr>
      </w:pPr>
    </w:p>
    <w:p w:rsidR="001B2EB2" w:rsidRPr="001F33E7" w:rsidRDefault="004C6419">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sidRPr="001F33E7">
        <w:rPr>
          <w:rFonts w:ascii="Palatino Linotype" w:eastAsia="Palatino Linotype" w:hAnsi="Palatino Linotype" w:cs="Palatino Linotype"/>
        </w:rPr>
        <w:t xml:space="preserve">Ahora bien, del análisis de la solicitud de información motivo del recurso de revisión que ahora se resuelve, se advierte que el particular requirió al </w:t>
      </w:r>
      <w:r w:rsidRPr="001F33E7">
        <w:rPr>
          <w:rFonts w:ascii="Palatino Linotype" w:eastAsia="Palatino Linotype" w:hAnsi="Palatino Linotype" w:cs="Palatino Linotype"/>
          <w:b/>
        </w:rPr>
        <w:t>SUJETO OBLIGADO</w:t>
      </w:r>
      <w:r w:rsidRPr="001F33E7">
        <w:rPr>
          <w:rFonts w:ascii="Palatino Linotype" w:eastAsia="Palatino Linotype" w:hAnsi="Palatino Linotype" w:cs="Palatino Linotype"/>
        </w:rPr>
        <w:t xml:space="preserve">, </w:t>
      </w:r>
      <w:r w:rsidRPr="001F33E7">
        <w:rPr>
          <w:rFonts w:ascii="Palatino Linotype" w:eastAsia="Palatino Linotype" w:hAnsi="Palatino Linotype" w:cs="Palatino Linotype"/>
          <w:i/>
        </w:rPr>
        <w:t xml:space="preserve"> datos crudos en formato </w:t>
      </w:r>
      <w:proofErr w:type="spellStart"/>
      <w:r w:rsidRPr="001F33E7">
        <w:rPr>
          <w:rFonts w:ascii="Palatino Linotype" w:eastAsia="Palatino Linotype" w:hAnsi="Palatino Linotype" w:cs="Palatino Linotype"/>
          <w:i/>
        </w:rPr>
        <w:t>txt</w:t>
      </w:r>
      <w:proofErr w:type="spellEnd"/>
      <w:r w:rsidRPr="001F33E7">
        <w:rPr>
          <w:rFonts w:ascii="Palatino Linotype" w:eastAsia="Palatino Linotype" w:hAnsi="Palatino Linotype" w:cs="Palatino Linotype"/>
          <w:i/>
        </w:rPr>
        <w:t xml:space="preserve">, </w:t>
      </w:r>
      <w:proofErr w:type="spellStart"/>
      <w:r w:rsidRPr="001F33E7">
        <w:rPr>
          <w:rFonts w:ascii="Palatino Linotype" w:eastAsia="Palatino Linotype" w:hAnsi="Palatino Linotype" w:cs="Palatino Linotype"/>
          <w:i/>
        </w:rPr>
        <w:t>csv</w:t>
      </w:r>
      <w:proofErr w:type="spellEnd"/>
      <w:r w:rsidRPr="001F33E7">
        <w:rPr>
          <w:rFonts w:ascii="Palatino Linotype" w:eastAsia="Palatino Linotype" w:hAnsi="Palatino Linotype" w:cs="Palatino Linotype"/>
          <w:i/>
        </w:rPr>
        <w:t xml:space="preserve"> o </w:t>
      </w:r>
      <w:proofErr w:type="spellStart"/>
      <w:r w:rsidRPr="001F33E7">
        <w:rPr>
          <w:rFonts w:ascii="Palatino Linotype" w:eastAsia="Palatino Linotype" w:hAnsi="Palatino Linotype" w:cs="Palatino Linotype"/>
          <w:i/>
        </w:rPr>
        <w:t>xls</w:t>
      </w:r>
      <w:proofErr w:type="spellEnd"/>
      <w:r w:rsidRPr="001F33E7">
        <w:rPr>
          <w:rFonts w:ascii="Palatino Linotype" w:eastAsia="Palatino Linotype" w:hAnsi="Palatino Linotype" w:cs="Palatino Linotype"/>
          <w:i/>
        </w:rPr>
        <w:t xml:space="preserve"> de los eventos atendidos por todas las estaciones de bomberos registradas en el municipio durante el periodo 2016-2021 que incluyan entre otros: - Fecha y hora - Colonia donde se prestó el servicio - Tipo de evento atendido - Tipo de inmueble - Causa - Número de heridos - Número de muertos - El cuerpo o cuerpos que atendieron - Los recursos utilizados para atender la emergencia - El número de personal operativo que asistió en la atención, </w:t>
      </w:r>
      <w:r w:rsidRPr="001F33E7">
        <w:rPr>
          <w:rFonts w:ascii="Palatino Linotype" w:eastAsia="Palatino Linotype" w:hAnsi="Palatino Linotype" w:cs="Palatino Linotype"/>
          <w:b/>
          <w:i/>
          <w:u w:val="single"/>
        </w:rPr>
        <w:t>o la información con la que cuenten</w:t>
      </w:r>
      <w:r w:rsidRPr="001F33E7">
        <w:rPr>
          <w:rFonts w:ascii="Palatino Linotype" w:eastAsia="Palatino Linotype" w:hAnsi="Palatino Linotype" w:cs="Palatino Linotype"/>
          <w:b/>
          <w:u w:val="single"/>
        </w:rPr>
        <w:t>”</w:t>
      </w:r>
      <w:r w:rsidRPr="001F33E7">
        <w:rPr>
          <w:rFonts w:ascii="Palatino Linotype" w:eastAsia="Palatino Linotype" w:hAnsi="Palatino Linotype" w:cs="Palatino Linotype"/>
        </w:rPr>
        <w:t xml:space="preserve"> (Sic)</w:t>
      </w:r>
    </w:p>
    <w:p w:rsidR="001B2EB2" w:rsidRPr="001F33E7" w:rsidRDefault="004C6419">
      <w:pPr>
        <w:spacing w:after="240"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rPr>
        <w:t xml:space="preserve">Por su parte el </w:t>
      </w:r>
      <w:r w:rsidRPr="001F33E7">
        <w:rPr>
          <w:rFonts w:ascii="Palatino Linotype" w:eastAsia="Palatino Linotype" w:hAnsi="Palatino Linotype" w:cs="Palatino Linotype"/>
          <w:b/>
        </w:rPr>
        <w:t>SUJETO OBLIGADO</w:t>
      </w:r>
      <w:r w:rsidRPr="001F33E7">
        <w:rPr>
          <w:rFonts w:ascii="Palatino Linotype" w:eastAsia="Palatino Linotype" w:hAnsi="Palatino Linotype" w:cs="Palatino Linotype"/>
        </w:rPr>
        <w:t xml:space="preserve"> emitió respuesta y remitió Acta del Comité de Transparencia de fecha veinticinco de mayo de dos mil veintidós, con el siguiente acuerdo:</w:t>
      </w:r>
    </w:p>
    <w:p w:rsidR="001B2EB2" w:rsidRPr="001F33E7" w:rsidRDefault="004C6419">
      <w:pPr>
        <w:spacing w:after="240" w:line="360" w:lineRule="auto"/>
        <w:jc w:val="both"/>
        <w:rPr>
          <w:rFonts w:ascii="Palatino Linotype" w:eastAsia="Palatino Linotype" w:hAnsi="Palatino Linotype" w:cs="Palatino Linotype"/>
        </w:rPr>
      </w:pPr>
      <w:r w:rsidRPr="001F33E7">
        <w:rPr>
          <w:noProof/>
          <w:lang w:val="es-MX" w:eastAsia="es-MX"/>
        </w:rPr>
        <w:lastRenderedPageBreak/>
        <w:drawing>
          <wp:inline distT="0" distB="0" distL="0" distR="0">
            <wp:extent cx="5419103" cy="4856463"/>
            <wp:effectExtent l="0" t="0" r="0" b="0"/>
            <wp:docPr id="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18670" t="31683" r="50271" b="18828"/>
                    <a:stretch>
                      <a:fillRect/>
                    </a:stretch>
                  </pic:blipFill>
                  <pic:spPr>
                    <a:xfrm>
                      <a:off x="0" y="0"/>
                      <a:ext cx="5419103" cy="4856463"/>
                    </a:xfrm>
                    <a:prstGeom prst="rect">
                      <a:avLst/>
                    </a:prstGeom>
                    <a:ln/>
                  </pic:spPr>
                </pic:pic>
              </a:graphicData>
            </a:graphic>
          </wp:inline>
        </w:drawing>
      </w:r>
      <w:r w:rsidRPr="001F33E7">
        <w:rPr>
          <w:noProof/>
          <w:lang w:val="es-MX" w:eastAsia="es-MX"/>
        </w:rPr>
        <mc:AlternateContent>
          <mc:Choice Requires="wpg">
            <w:drawing>
              <wp:anchor distT="0" distB="0" distL="114300" distR="114300" simplePos="0" relativeHeight="251658240" behindDoc="0" locked="0" layoutInCell="1" hidden="0" allowOverlap="1">
                <wp:simplePos x="0" y="0"/>
                <wp:positionH relativeFrom="column">
                  <wp:posOffset>190500</wp:posOffset>
                </wp:positionH>
                <wp:positionV relativeFrom="paragraph">
                  <wp:posOffset>292100</wp:posOffset>
                </wp:positionV>
                <wp:extent cx="5130877" cy="823281"/>
                <wp:effectExtent l="0" t="0" r="0" b="0"/>
                <wp:wrapNone/>
                <wp:docPr id="46" name="Rectángulo 46"/>
                <wp:cNvGraphicFramePr/>
                <a:graphic xmlns:a="http://schemas.openxmlformats.org/drawingml/2006/main">
                  <a:graphicData uri="http://schemas.microsoft.com/office/word/2010/wordprocessingShape">
                    <wps:wsp>
                      <wps:cNvSpPr/>
                      <wps:spPr>
                        <a:xfrm>
                          <a:off x="2790087" y="3377885"/>
                          <a:ext cx="5111827" cy="804231"/>
                        </a:xfrm>
                        <a:prstGeom prst="rect">
                          <a:avLst/>
                        </a:prstGeom>
                        <a:noFill/>
                        <a:ln w="9525" cap="flat" cmpd="sng">
                          <a:solidFill>
                            <a:srgbClr val="FF0000">
                              <a:alpha val="80000"/>
                            </a:srgbClr>
                          </a:solidFill>
                          <a:prstDash val="solid"/>
                          <a:miter lim="800000"/>
                          <a:headEnd type="none" w="sm" len="sm"/>
                          <a:tailEnd type="none" w="sm" len="sm"/>
                        </a:ln>
                      </wps:spPr>
                      <wps:txbx>
                        <w:txbxContent>
                          <w:p w:rsidR="001B2EB2" w:rsidRDefault="001B2EB2">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190500</wp:posOffset>
                </wp:positionH>
                <wp:positionV relativeFrom="paragraph">
                  <wp:posOffset>292100</wp:posOffset>
                </wp:positionV>
                <wp:extent cx="5130877" cy="823281"/>
                <wp:effectExtent b="0" l="0" r="0" t="0"/>
                <wp:wrapNone/>
                <wp:docPr id="46"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5130877" cy="823281"/>
                        </a:xfrm>
                        <a:prstGeom prst="rect"/>
                        <a:ln/>
                      </pic:spPr>
                    </pic:pic>
                  </a:graphicData>
                </a:graphic>
              </wp:anchor>
            </w:drawing>
          </mc:Fallback>
        </mc:AlternateContent>
      </w:r>
    </w:p>
    <w:p w:rsidR="001B2EB2" w:rsidRPr="001F33E7" w:rsidRDefault="004C6419">
      <w:pPr>
        <w:spacing w:after="240"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rPr>
        <w:t>Así también agregó el oficio número DA/ECA/1330/2022, de fecha diecisiete de mayo de dos mil veintidós, suscrito por el Director de Administración, mediante el cual señala una respuesta que corresponde a contratos por adquisición de alerta sísmica y anexa contrato con anexo.</w:t>
      </w:r>
    </w:p>
    <w:p w:rsidR="001B2EB2" w:rsidRPr="001F33E7" w:rsidRDefault="004C6419">
      <w:pPr>
        <w:spacing w:after="240" w:line="360" w:lineRule="auto"/>
        <w:jc w:val="both"/>
        <w:rPr>
          <w:rFonts w:ascii="Palatino Linotype" w:eastAsia="Palatino Linotype" w:hAnsi="Palatino Linotype" w:cs="Palatino Linotype"/>
        </w:rPr>
      </w:pPr>
      <w:r w:rsidRPr="001F33E7">
        <w:rPr>
          <w:noProof/>
          <w:lang w:val="es-MX" w:eastAsia="es-MX"/>
        </w:rPr>
        <w:lastRenderedPageBreak/>
        <w:drawing>
          <wp:inline distT="0" distB="0" distL="0" distR="0">
            <wp:extent cx="5398070" cy="6471718"/>
            <wp:effectExtent l="0" t="0" r="0" b="0"/>
            <wp:docPr id="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17990" t="16295" r="51290" b="18225"/>
                    <a:stretch>
                      <a:fillRect/>
                    </a:stretch>
                  </pic:blipFill>
                  <pic:spPr>
                    <a:xfrm>
                      <a:off x="0" y="0"/>
                      <a:ext cx="5398070" cy="6471718"/>
                    </a:xfrm>
                    <a:prstGeom prst="rect">
                      <a:avLst/>
                    </a:prstGeom>
                    <a:ln/>
                  </pic:spPr>
                </pic:pic>
              </a:graphicData>
            </a:graphic>
          </wp:inline>
        </w:drawing>
      </w:r>
      <w:r w:rsidRPr="001F33E7">
        <w:rPr>
          <w:noProof/>
          <w:lang w:val="es-MX" w:eastAsia="es-MX"/>
        </w:rPr>
        <mc:AlternateContent>
          <mc:Choice Requires="wpg">
            <w:drawing>
              <wp:anchor distT="0" distB="0" distL="114300" distR="114300" simplePos="0" relativeHeight="251659264" behindDoc="0" locked="0" layoutInCell="1" hidden="0" allowOverlap="1">
                <wp:simplePos x="0" y="0"/>
                <wp:positionH relativeFrom="column">
                  <wp:posOffset>330200</wp:posOffset>
                </wp:positionH>
                <wp:positionV relativeFrom="paragraph">
                  <wp:posOffset>2044700</wp:posOffset>
                </wp:positionV>
                <wp:extent cx="5130877" cy="1517283"/>
                <wp:effectExtent l="0" t="0" r="0" b="0"/>
                <wp:wrapNone/>
                <wp:docPr id="45" name="Rectángulo 45"/>
                <wp:cNvGraphicFramePr/>
                <a:graphic xmlns:a="http://schemas.openxmlformats.org/drawingml/2006/main">
                  <a:graphicData uri="http://schemas.microsoft.com/office/word/2010/wordprocessingShape">
                    <wps:wsp>
                      <wps:cNvSpPr/>
                      <wps:spPr>
                        <a:xfrm>
                          <a:off x="2790087" y="3030884"/>
                          <a:ext cx="5111827" cy="1498233"/>
                        </a:xfrm>
                        <a:prstGeom prst="rect">
                          <a:avLst/>
                        </a:prstGeom>
                        <a:noFill/>
                        <a:ln w="9525" cap="flat" cmpd="sng">
                          <a:solidFill>
                            <a:srgbClr val="FF0000">
                              <a:alpha val="80000"/>
                            </a:srgbClr>
                          </a:solidFill>
                          <a:prstDash val="solid"/>
                          <a:miter lim="800000"/>
                          <a:headEnd type="none" w="sm" len="sm"/>
                          <a:tailEnd type="none" w="sm" len="sm"/>
                        </a:ln>
                      </wps:spPr>
                      <wps:txbx>
                        <w:txbxContent>
                          <w:p w:rsidR="001B2EB2" w:rsidRDefault="001B2EB2">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330200</wp:posOffset>
                </wp:positionH>
                <wp:positionV relativeFrom="paragraph">
                  <wp:posOffset>2044700</wp:posOffset>
                </wp:positionV>
                <wp:extent cx="5130877" cy="1517283"/>
                <wp:effectExtent b="0" l="0" r="0" t="0"/>
                <wp:wrapNone/>
                <wp:docPr id="45"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5130877" cy="1517283"/>
                        </a:xfrm>
                        <a:prstGeom prst="rect"/>
                        <a:ln/>
                      </pic:spPr>
                    </pic:pic>
                  </a:graphicData>
                </a:graphic>
              </wp:anchor>
            </w:drawing>
          </mc:Fallback>
        </mc:AlternateContent>
      </w:r>
    </w:p>
    <w:p w:rsidR="001B2EB2" w:rsidRPr="001F33E7" w:rsidRDefault="001B2EB2">
      <w:pPr>
        <w:spacing w:after="240" w:line="360" w:lineRule="auto"/>
        <w:jc w:val="both"/>
        <w:rPr>
          <w:rFonts w:ascii="Palatino Linotype" w:eastAsia="Palatino Linotype" w:hAnsi="Palatino Linotype" w:cs="Palatino Linotype"/>
        </w:rPr>
      </w:pPr>
    </w:p>
    <w:p w:rsidR="001B2EB2" w:rsidRPr="001F33E7" w:rsidRDefault="004C6419">
      <w:pPr>
        <w:spacing w:after="240"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rPr>
        <w:lastRenderedPageBreak/>
        <w:t xml:space="preserve">No conforme la particular con la respuesta, interpone el recurso de revisión que se resuelve, señalando en lo medular que </w:t>
      </w:r>
      <w:r w:rsidRPr="001F33E7">
        <w:rPr>
          <w:rFonts w:ascii="Palatino Linotype" w:eastAsia="Palatino Linotype" w:hAnsi="Palatino Linotype" w:cs="Palatino Linotype"/>
          <w:b/>
        </w:rPr>
        <w:t>no le entregaron la información solicitada, y como motivos de  inconformidad que entregaron respuesta a la solicitud todos los contratos celebrados con MDREIECK S.A.DE C.V. y no la información solicitada</w:t>
      </w:r>
      <w:r w:rsidRPr="001F33E7">
        <w:rPr>
          <w:rFonts w:ascii="Palatino Linotype" w:eastAsia="Palatino Linotype" w:hAnsi="Palatino Linotype" w:cs="Palatino Linotype"/>
        </w:rPr>
        <w:t>.</w:t>
      </w:r>
    </w:p>
    <w:p w:rsidR="001B2EB2" w:rsidRPr="001F33E7" w:rsidRDefault="004C6419">
      <w:pPr>
        <w:shd w:val="clear" w:color="auto" w:fill="FFFFFF"/>
        <w:spacing w:before="240" w:after="240"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rPr>
        <w:t>Ante la interposición del recurso tanto la</w:t>
      </w:r>
      <w:r w:rsidRPr="001F33E7">
        <w:rPr>
          <w:rFonts w:ascii="Palatino Linotype" w:eastAsia="Palatino Linotype" w:hAnsi="Palatino Linotype" w:cs="Palatino Linotype"/>
          <w:b/>
        </w:rPr>
        <w:t xml:space="preserve"> RECURRENTE</w:t>
      </w:r>
      <w:r w:rsidRPr="001F33E7">
        <w:rPr>
          <w:rFonts w:ascii="Palatino Linotype" w:eastAsia="Palatino Linotype" w:hAnsi="Palatino Linotype" w:cs="Palatino Linotype"/>
        </w:rPr>
        <w:t xml:space="preserve"> como el </w:t>
      </w:r>
      <w:r w:rsidRPr="001F33E7">
        <w:rPr>
          <w:rFonts w:ascii="Palatino Linotype" w:eastAsia="Palatino Linotype" w:hAnsi="Palatino Linotype" w:cs="Palatino Linotype"/>
          <w:b/>
        </w:rPr>
        <w:t>SUJETO OBLIGADO</w:t>
      </w:r>
      <w:r w:rsidRPr="001F33E7">
        <w:rPr>
          <w:rFonts w:ascii="Palatino Linotype" w:eastAsia="Palatino Linotype" w:hAnsi="Palatino Linotype" w:cs="Palatino Linotype"/>
        </w:rPr>
        <w:t xml:space="preserve"> fueron omisos en presentar alegatos o manifestación alguna, y en su caso el informe justificado.</w:t>
      </w:r>
    </w:p>
    <w:p w:rsidR="001B2EB2" w:rsidRPr="001F33E7" w:rsidRDefault="004C6419">
      <w:pPr>
        <w:spacing w:before="240"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rPr>
        <w:t xml:space="preserve">Con base en lo precedente, se determina que la información proporcionada por el </w:t>
      </w:r>
      <w:r w:rsidRPr="001F33E7">
        <w:rPr>
          <w:rFonts w:ascii="Palatino Linotype" w:eastAsia="Palatino Linotype" w:hAnsi="Palatino Linotype" w:cs="Palatino Linotype"/>
          <w:b/>
        </w:rPr>
        <w:t>SUJETO OBLIGADO</w:t>
      </w:r>
      <w:r w:rsidRPr="001F33E7">
        <w:rPr>
          <w:rFonts w:ascii="Palatino Linotype" w:eastAsia="Palatino Linotype" w:hAnsi="Palatino Linotype" w:cs="Palatino Linotype"/>
        </w:rPr>
        <w:t xml:space="preserve"> en su respuesta, no cumple con lo establecido por los artículos 4, 12 y 24 último párrafo, de la Ley de Transparencia y Acceso a la Información Pública del Estado de México y Municipios; de ahí que, los motivos de inconformidad acontecen fundados para revocar la respuesta del </w:t>
      </w:r>
      <w:r w:rsidRPr="001F33E7">
        <w:rPr>
          <w:rFonts w:ascii="Palatino Linotype" w:eastAsia="Palatino Linotype" w:hAnsi="Palatino Linotype" w:cs="Palatino Linotype"/>
          <w:b/>
        </w:rPr>
        <w:t>SUJETO OBLIGADO</w:t>
      </w:r>
      <w:r w:rsidRPr="001F33E7">
        <w:rPr>
          <w:rFonts w:ascii="Palatino Linotype" w:eastAsia="Palatino Linotype" w:hAnsi="Palatino Linotype" w:cs="Palatino Linotype"/>
        </w:rPr>
        <w:t xml:space="preserve"> en razón de que en efecto la información proporcionada no corresponde con lo solicitado. </w:t>
      </w:r>
    </w:p>
    <w:p w:rsidR="001B2EB2" w:rsidRPr="001F33E7" w:rsidRDefault="001B2EB2">
      <w:pPr>
        <w:spacing w:before="240" w:line="360" w:lineRule="auto"/>
        <w:jc w:val="both"/>
        <w:rPr>
          <w:rFonts w:ascii="Palatino Linotype" w:eastAsia="Palatino Linotype" w:hAnsi="Palatino Linotype" w:cs="Palatino Linotype"/>
        </w:rPr>
      </w:pPr>
    </w:p>
    <w:p w:rsidR="001B2EB2" w:rsidRPr="001F33E7" w:rsidRDefault="004C6419">
      <w:pPr>
        <w:spacing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rPr>
        <w:t xml:space="preserve">Acotado lo anterior y demostrado en los antecedentes lo contradictorio de la respuesta del </w:t>
      </w:r>
      <w:r w:rsidRPr="001F33E7">
        <w:rPr>
          <w:rFonts w:ascii="Palatino Linotype" w:eastAsia="Palatino Linotype" w:hAnsi="Palatino Linotype" w:cs="Palatino Linotype"/>
          <w:b/>
        </w:rPr>
        <w:t>SUJETO OBLIGADO</w:t>
      </w:r>
      <w:r w:rsidRPr="001F33E7">
        <w:rPr>
          <w:rFonts w:ascii="Palatino Linotype" w:eastAsia="Palatino Linotype" w:hAnsi="Palatino Linotype" w:cs="Palatino Linotype"/>
        </w:rPr>
        <w:t xml:space="preserve">,  si bien es cierto, la solicitud se realiza en forma de requerimiento de elaboración de un documento específico que no constituye un derecho de acceso a la información pública, también lo es, que de acuerdo con el </w:t>
      </w:r>
      <w:r w:rsidRPr="001F33E7">
        <w:rPr>
          <w:rFonts w:ascii="Palatino Linotype" w:eastAsia="Palatino Linotype" w:hAnsi="Palatino Linotype" w:cs="Palatino Linotype"/>
          <w:b/>
        </w:rPr>
        <w:t>Criterio 16/17</w:t>
      </w:r>
      <w:r w:rsidRPr="001F33E7">
        <w:rPr>
          <w:rFonts w:ascii="Palatino Linotype" w:eastAsia="Palatino Linotype" w:hAnsi="Palatino Linotype" w:cs="Palatino Linotype"/>
        </w:rPr>
        <w:t xml:space="preserve"> del Instituto Nacional de Transparencia, Acceso a la Información y Protección de Datos Personales, cuando los particulares presenten solicitudes de </w:t>
      </w:r>
      <w:r w:rsidRPr="001F33E7">
        <w:rPr>
          <w:rFonts w:ascii="Palatino Linotype" w:eastAsia="Palatino Linotype" w:hAnsi="Palatino Linotype" w:cs="Palatino Linotype"/>
        </w:rPr>
        <w:lastRenderedPageBreak/>
        <w:t xml:space="preserve">acceso a la información en donde no se identifica de forma precisa la documentación que pudiera colmar su pretensión, el </w:t>
      </w:r>
      <w:r w:rsidRPr="001F33E7">
        <w:rPr>
          <w:rFonts w:ascii="Palatino Linotype" w:eastAsia="Palatino Linotype" w:hAnsi="Palatino Linotype" w:cs="Palatino Linotype"/>
          <w:b/>
        </w:rPr>
        <w:t>Sujeto Obligado</w:t>
      </w:r>
      <w:r w:rsidRPr="001F33E7">
        <w:rPr>
          <w:rFonts w:ascii="Palatino Linotype" w:eastAsia="Palatino Linotype" w:hAnsi="Palatino Linotype" w:cs="Palatino Linotype"/>
        </w:rPr>
        <w:t xml:space="preserve"> deberá otorgar una expresión documental, tal como se prevé a continuación: </w:t>
      </w:r>
    </w:p>
    <w:p w:rsidR="001B2EB2" w:rsidRPr="001F33E7" w:rsidRDefault="001B2EB2">
      <w:pPr>
        <w:spacing w:line="360" w:lineRule="auto"/>
        <w:jc w:val="both"/>
        <w:rPr>
          <w:rFonts w:ascii="Palatino Linotype" w:eastAsia="Palatino Linotype" w:hAnsi="Palatino Linotype" w:cs="Palatino Linotype"/>
        </w:rPr>
      </w:pPr>
    </w:p>
    <w:p w:rsidR="001B2EB2" w:rsidRPr="001F33E7" w:rsidRDefault="004C6419">
      <w:pPr>
        <w:ind w:left="1134" w:right="900"/>
        <w:jc w:val="both"/>
        <w:rPr>
          <w:rFonts w:ascii="Palatino Linotype" w:eastAsia="Palatino Linotype" w:hAnsi="Palatino Linotype" w:cs="Palatino Linotype"/>
          <w:i/>
        </w:rPr>
      </w:pPr>
      <w:r w:rsidRPr="001F33E7">
        <w:rPr>
          <w:rFonts w:ascii="Palatino Linotype" w:eastAsia="Palatino Linotype" w:hAnsi="Palatino Linotype" w:cs="Palatino Linotype"/>
          <w:i/>
        </w:rPr>
        <w:t>“</w:t>
      </w:r>
      <w:r w:rsidRPr="001F33E7">
        <w:rPr>
          <w:rFonts w:ascii="Palatino Linotype" w:eastAsia="Palatino Linotype" w:hAnsi="Palatino Linotype" w:cs="Palatino Linotype"/>
          <w:b/>
          <w:i/>
        </w:rPr>
        <w:t xml:space="preserve">Expresión documental. </w:t>
      </w:r>
      <w:r w:rsidRPr="001F33E7">
        <w:rPr>
          <w:rFonts w:ascii="Palatino Linotype" w:eastAsia="Palatino Linotype" w:hAnsi="Palatino Linotype" w:cs="Palatino Linotype"/>
          <w:i/>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1B2EB2" w:rsidRPr="001F33E7" w:rsidRDefault="001B2EB2">
      <w:pPr>
        <w:spacing w:line="360" w:lineRule="auto"/>
        <w:jc w:val="both"/>
        <w:rPr>
          <w:rFonts w:ascii="Palatino Linotype" w:eastAsia="Palatino Linotype" w:hAnsi="Palatino Linotype" w:cs="Palatino Linotype"/>
        </w:rPr>
      </w:pPr>
    </w:p>
    <w:p w:rsidR="001B2EB2" w:rsidRPr="001F33E7" w:rsidRDefault="004C6419">
      <w:pPr>
        <w:spacing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rPr>
        <w:t>Al respecto, es pertinente traer a colación los artículos 81, 81 Ter y 87 de la Ley Orgánica Municipal del Estado de México, los cuales establecen lo siguiente:</w:t>
      </w:r>
    </w:p>
    <w:p w:rsidR="001B2EB2" w:rsidRPr="001F33E7" w:rsidRDefault="001B2EB2">
      <w:pPr>
        <w:spacing w:line="360" w:lineRule="auto"/>
        <w:jc w:val="both"/>
        <w:rPr>
          <w:rFonts w:ascii="Palatino Linotype" w:eastAsia="Palatino Linotype" w:hAnsi="Palatino Linotype" w:cs="Palatino Linotype"/>
        </w:rPr>
      </w:pPr>
    </w:p>
    <w:p w:rsidR="001B2EB2" w:rsidRPr="001F33E7" w:rsidRDefault="004C6419">
      <w:pPr>
        <w:ind w:left="1134" w:right="900"/>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w:t>
      </w:r>
      <w:r w:rsidRPr="001F33E7">
        <w:rPr>
          <w:rFonts w:ascii="Palatino Linotype" w:eastAsia="Palatino Linotype" w:hAnsi="Palatino Linotype" w:cs="Palatino Linotype"/>
          <w:b/>
          <w:i/>
          <w:sz w:val="22"/>
          <w:szCs w:val="22"/>
        </w:rPr>
        <w:t>Artículo 81.-</w:t>
      </w:r>
      <w:r w:rsidRPr="001F33E7">
        <w:rPr>
          <w:rFonts w:ascii="Palatino Linotype" w:eastAsia="Palatino Linotype" w:hAnsi="Palatino Linotype" w:cs="Palatino Linotype"/>
          <w:i/>
          <w:sz w:val="22"/>
          <w:szCs w:val="22"/>
        </w:rPr>
        <w:t xml:space="preserve"> En cada municipio </w:t>
      </w:r>
      <w:r w:rsidRPr="001F33E7">
        <w:rPr>
          <w:rFonts w:ascii="Palatino Linotype" w:eastAsia="Palatino Linotype" w:hAnsi="Palatino Linotype" w:cs="Palatino Linotype"/>
          <w:b/>
          <w:i/>
          <w:sz w:val="22"/>
          <w:szCs w:val="22"/>
          <w:u w:val="single"/>
        </w:rPr>
        <w:t xml:space="preserve">se establecerá una Coordinación Municipal de Protección Civil </w:t>
      </w:r>
      <w:r w:rsidRPr="001F33E7">
        <w:rPr>
          <w:rFonts w:ascii="Palatino Linotype" w:eastAsia="Palatino Linotype" w:hAnsi="Palatino Linotype" w:cs="Palatino Linotype"/>
          <w:i/>
          <w:sz w:val="22"/>
          <w:szCs w:val="22"/>
        </w:rPr>
        <w:t>misma que se coordinará con las dependencias de la administración pública que sean necesarias y cuyo jefe inmediato será el Presidente Municipal.</w:t>
      </w:r>
    </w:p>
    <w:p w:rsidR="001B2EB2" w:rsidRPr="001F33E7" w:rsidRDefault="004C6419">
      <w:pPr>
        <w:ind w:left="1134" w:right="900"/>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Las Coordinaciones Municipales de Protección Civil tendrán a su cargo la organización, coordinación y operación de programas municipales de protección civil apoyándose en el respectivo Consejo Municipal.</w:t>
      </w:r>
    </w:p>
    <w:p w:rsidR="001B2EB2" w:rsidRPr="001F33E7" w:rsidRDefault="001B2EB2">
      <w:pPr>
        <w:ind w:left="1134" w:right="900"/>
        <w:jc w:val="both"/>
        <w:rPr>
          <w:rFonts w:ascii="Palatino Linotype" w:eastAsia="Palatino Linotype" w:hAnsi="Palatino Linotype" w:cs="Palatino Linotype"/>
          <w:i/>
          <w:sz w:val="22"/>
          <w:szCs w:val="22"/>
        </w:rPr>
      </w:pPr>
    </w:p>
    <w:p w:rsidR="001B2EB2" w:rsidRPr="001F33E7" w:rsidRDefault="004C6419">
      <w:pPr>
        <w:ind w:left="1134" w:right="900"/>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La Coordinación Municipal de Protección Civil será la autoridad encargada de dar la primer respuesta en la materia, debiendo asistir a las emergencias que se presenten en su demarcación; en caso de que su capacidad de respuesta sea superada, está obligada a notificar al Presidente Municipal para solicitar la intervención de la Coordinación General de Protección Civil del Estado de México.</w:t>
      </w:r>
    </w:p>
    <w:p w:rsidR="001B2EB2" w:rsidRPr="001F33E7" w:rsidRDefault="001B2EB2">
      <w:pPr>
        <w:ind w:left="1134" w:right="900"/>
        <w:jc w:val="both"/>
        <w:rPr>
          <w:rFonts w:ascii="Palatino Linotype" w:eastAsia="Palatino Linotype" w:hAnsi="Palatino Linotype" w:cs="Palatino Linotype"/>
          <w:i/>
          <w:sz w:val="22"/>
          <w:szCs w:val="22"/>
        </w:rPr>
      </w:pPr>
    </w:p>
    <w:p w:rsidR="001B2EB2" w:rsidRPr="001F33E7" w:rsidRDefault="004C6419">
      <w:pPr>
        <w:ind w:left="1134" w:right="900"/>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A la Coordinación Municipal de Protección Civil le corresponde otorgar el registro a los Comités Ciudadanos de Prevención de Protección Civil.</w:t>
      </w:r>
    </w:p>
    <w:p w:rsidR="001B2EB2" w:rsidRPr="001F33E7" w:rsidRDefault="001B2EB2">
      <w:pPr>
        <w:ind w:left="1134" w:right="900"/>
        <w:jc w:val="both"/>
        <w:rPr>
          <w:rFonts w:ascii="Palatino Linotype" w:eastAsia="Palatino Linotype" w:hAnsi="Palatino Linotype" w:cs="Palatino Linotype"/>
          <w:i/>
          <w:sz w:val="22"/>
          <w:szCs w:val="22"/>
        </w:rPr>
      </w:pPr>
    </w:p>
    <w:p w:rsidR="001B2EB2" w:rsidRPr="001F33E7" w:rsidRDefault="004C6419">
      <w:pPr>
        <w:ind w:left="1134" w:right="900"/>
        <w:jc w:val="both"/>
        <w:rPr>
          <w:rFonts w:ascii="Palatino Linotype" w:eastAsia="Palatino Linotype" w:hAnsi="Palatino Linotype" w:cs="Palatino Linotype"/>
          <w:b/>
          <w:i/>
          <w:sz w:val="22"/>
          <w:szCs w:val="22"/>
        </w:rPr>
      </w:pPr>
      <w:r w:rsidRPr="001F33E7">
        <w:rPr>
          <w:rFonts w:ascii="Palatino Linotype" w:eastAsia="Palatino Linotype" w:hAnsi="Palatino Linotype" w:cs="Palatino Linotype"/>
          <w:b/>
          <w:i/>
          <w:sz w:val="22"/>
          <w:szCs w:val="22"/>
        </w:rPr>
        <w:lastRenderedPageBreak/>
        <w:t>Artículo 81 TER.-</w:t>
      </w:r>
      <w:r w:rsidRPr="001F33E7">
        <w:rPr>
          <w:rFonts w:ascii="Palatino Linotype" w:eastAsia="Palatino Linotype" w:hAnsi="Palatino Linotype" w:cs="Palatino Linotype"/>
          <w:i/>
          <w:sz w:val="22"/>
          <w:szCs w:val="22"/>
        </w:rPr>
        <w:t xml:space="preserve"> Cada Ayuntamiento constituirá un </w:t>
      </w:r>
      <w:r w:rsidRPr="001F33E7">
        <w:rPr>
          <w:rFonts w:ascii="Palatino Linotype" w:eastAsia="Palatino Linotype" w:hAnsi="Palatino Linotype" w:cs="Palatino Linotype"/>
          <w:b/>
          <w:i/>
          <w:sz w:val="22"/>
          <w:szCs w:val="22"/>
        </w:rPr>
        <w:t xml:space="preserve">consejo municipal de protección civil que encabezará el presidente municipal, con funciones de órgano de consulta y participación de los sectores público, social y privado para la prevención y adopción de acuerdos, ejecución de acciones y en general, de todas las actividades necesarias para la atención inmediata y eficaz de los asuntos relacionados con situaciones de emergencia, desastre, o calamidad pública que afecten a la población. </w:t>
      </w:r>
    </w:p>
    <w:p w:rsidR="001B2EB2" w:rsidRPr="001F33E7" w:rsidRDefault="001B2EB2">
      <w:pPr>
        <w:ind w:left="1134" w:right="900"/>
        <w:jc w:val="both"/>
        <w:rPr>
          <w:rFonts w:ascii="Palatino Linotype" w:eastAsia="Palatino Linotype" w:hAnsi="Palatino Linotype" w:cs="Palatino Linotype"/>
          <w:i/>
          <w:sz w:val="22"/>
          <w:szCs w:val="22"/>
        </w:rPr>
      </w:pPr>
    </w:p>
    <w:p w:rsidR="001B2EB2" w:rsidRPr="001F33E7" w:rsidRDefault="004C6419">
      <w:pPr>
        <w:ind w:left="1134" w:right="900"/>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 xml:space="preserve">Son atribuciones de los Consejos Municipales de Protección Civil: </w:t>
      </w:r>
    </w:p>
    <w:p w:rsidR="001B2EB2" w:rsidRPr="001F33E7" w:rsidRDefault="001B2EB2">
      <w:pPr>
        <w:ind w:left="1134" w:right="900"/>
        <w:jc w:val="both"/>
        <w:rPr>
          <w:rFonts w:ascii="Palatino Linotype" w:eastAsia="Palatino Linotype" w:hAnsi="Palatino Linotype" w:cs="Palatino Linotype"/>
          <w:i/>
          <w:sz w:val="22"/>
          <w:szCs w:val="22"/>
        </w:rPr>
      </w:pPr>
    </w:p>
    <w:p w:rsidR="001B2EB2" w:rsidRPr="001F33E7" w:rsidRDefault="004C6419">
      <w:pPr>
        <w:ind w:left="1134" w:right="900"/>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b/>
          <w:i/>
          <w:sz w:val="22"/>
          <w:szCs w:val="22"/>
        </w:rPr>
        <w:t>I.</w:t>
      </w:r>
      <w:r w:rsidRPr="001F33E7">
        <w:rPr>
          <w:rFonts w:ascii="Palatino Linotype" w:eastAsia="Palatino Linotype" w:hAnsi="Palatino Linotype" w:cs="Palatino Linotype"/>
          <w:i/>
          <w:sz w:val="22"/>
          <w:szCs w:val="22"/>
        </w:rPr>
        <w:t xml:space="preserve"> Identificar en un Atlas de Riesgos Municipal, que deberá actualizarse permanentemente y publicarse en la Gaceta Municipal durante el primer año de gestión de cada ayuntamiento, sitios que por sus características específicas puedan ser escenarios de situaciones de emergencia, desastre o calamidad públicas; </w:t>
      </w:r>
    </w:p>
    <w:p w:rsidR="001B2EB2" w:rsidRPr="001F33E7" w:rsidRDefault="004C6419">
      <w:pPr>
        <w:ind w:left="1134" w:right="900"/>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b/>
          <w:i/>
          <w:sz w:val="22"/>
          <w:szCs w:val="22"/>
        </w:rPr>
        <w:t>II.</w:t>
      </w:r>
      <w:r w:rsidRPr="001F33E7">
        <w:rPr>
          <w:rFonts w:ascii="Palatino Linotype" w:eastAsia="Palatino Linotype" w:hAnsi="Palatino Linotype" w:cs="Palatino Linotype"/>
          <w:i/>
          <w:sz w:val="22"/>
          <w:szCs w:val="22"/>
        </w:rPr>
        <w:t xml:space="preserve"> Formular, en coordinación con las autoridades estatales de la materia, planes operativos para fomentar la cultura de la prevención, detección de riesgos, auxilio, protección a la población, restablecimiento a la normalidad y conocimientos básicos que permitan el aprendizaje de medidas de autoprotección y de auxilio, con la oportunidad y eficacia debidas. </w:t>
      </w:r>
    </w:p>
    <w:p w:rsidR="001B2EB2" w:rsidRPr="001F33E7" w:rsidRDefault="004C6419">
      <w:pPr>
        <w:ind w:left="1134" w:right="900"/>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b/>
          <w:i/>
          <w:sz w:val="22"/>
          <w:szCs w:val="22"/>
        </w:rPr>
        <w:t>III.</w:t>
      </w:r>
      <w:r w:rsidRPr="001F33E7">
        <w:rPr>
          <w:rFonts w:ascii="Palatino Linotype" w:eastAsia="Palatino Linotype" w:hAnsi="Palatino Linotype" w:cs="Palatino Linotype"/>
          <w:i/>
          <w:sz w:val="22"/>
          <w:szCs w:val="22"/>
        </w:rPr>
        <w:t xml:space="preserve"> Definir y poner en práctica los instrumentos de concertación que se requieran entre los sectores del municipio, con otros municipios y el Gobierno del Estado, con la finalidad de coordinar acciones y recursos para la mejor ejecución de los programas y planes operativos. </w:t>
      </w:r>
    </w:p>
    <w:p w:rsidR="001B2EB2" w:rsidRPr="001F33E7" w:rsidRDefault="001B2EB2">
      <w:pPr>
        <w:ind w:left="1134" w:right="900"/>
        <w:jc w:val="both"/>
        <w:rPr>
          <w:rFonts w:ascii="Palatino Linotype" w:eastAsia="Palatino Linotype" w:hAnsi="Palatino Linotype" w:cs="Palatino Linotype"/>
          <w:i/>
          <w:sz w:val="22"/>
          <w:szCs w:val="22"/>
        </w:rPr>
      </w:pPr>
    </w:p>
    <w:p w:rsidR="001B2EB2" w:rsidRPr="001F33E7" w:rsidRDefault="004C6419">
      <w:pPr>
        <w:ind w:left="1134" w:right="900"/>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b/>
          <w:i/>
          <w:sz w:val="22"/>
          <w:szCs w:val="22"/>
        </w:rPr>
        <w:t>IV.</w:t>
      </w:r>
      <w:r w:rsidRPr="001F33E7">
        <w:rPr>
          <w:rFonts w:ascii="Palatino Linotype" w:eastAsia="Palatino Linotype" w:hAnsi="Palatino Linotype" w:cs="Palatino Linotype"/>
          <w:i/>
          <w:sz w:val="22"/>
          <w:szCs w:val="22"/>
        </w:rPr>
        <w:t xml:space="preserve"> Coordinar sus acciones con los sistemas nacional y estatal de protección civil;</w:t>
      </w:r>
    </w:p>
    <w:p w:rsidR="001B2EB2" w:rsidRPr="001F33E7" w:rsidRDefault="004C6419">
      <w:pPr>
        <w:ind w:left="1134" w:right="900"/>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 xml:space="preserve"> </w:t>
      </w:r>
    </w:p>
    <w:p w:rsidR="001B2EB2" w:rsidRPr="001F33E7" w:rsidRDefault="004C6419">
      <w:pPr>
        <w:ind w:left="1134" w:right="900"/>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b/>
          <w:i/>
          <w:sz w:val="22"/>
          <w:szCs w:val="22"/>
        </w:rPr>
        <w:t>V.</w:t>
      </w:r>
      <w:r w:rsidRPr="001F33E7">
        <w:rPr>
          <w:rFonts w:ascii="Palatino Linotype" w:eastAsia="Palatino Linotype" w:hAnsi="Palatino Linotype" w:cs="Palatino Linotype"/>
          <w:i/>
          <w:sz w:val="22"/>
          <w:szCs w:val="22"/>
        </w:rPr>
        <w:t xml:space="preserve"> Crear y establecer los órganos y mecanismos que promuevan y aseguren la participación de la comunidad municipal, las decisiones y acciones del Consejo, especialmente a través de la formación del Voluntariado de Protección Civil; </w:t>
      </w:r>
    </w:p>
    <w:p w:rsidR="001B2EB2" w:rsidRPr="001F33E7" w:rsidRDefault="001B2EB2">
      <w:pPr>
        <w:ind w:left="1134" w:right="900"/>
        <w:jc w:val="both"/>
        <w:rPr>
          <w:rFonts w:ascii="Palatino Linotype" w:eastAsia="Palatino Linotype" w:hAnsi="Palatino Linotype" w:cs="Palatino Linotype"/>
          <w:i/>
          <w:sz w:val="22"/>
          <w:szCs w:val="22"/>
        </w:rPr>
      </w:pPr>
    </w:p>
    <w:p w:rsidR="001B2EB2" w:rsidRPr="001F33E7" w:rsidRDefault="004C6419">
      <w:pPr>
        <w:ind w:left="1134" w:right="900"/>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b/>
          <w:i/>
          <w:sz w:val="22"/>
          <w:szCs w:val="22"/>
        </w:rPr>
        <w:t>VI.</w:t>
      </w:r>
      <w:r w:rsidRPr="001F33E7">
        <w:rPr>
          <w:rFonts w:ascii="Palatino Linotype" w:eastAsia="Palatino Linotype" w:hAnsi="Palatino Linotype" w:cs="Palatino Linotype"/>
          <w:i/>
          <w:sz w:val="22"/>
          <w:szCs w:val="22"/>
        </w:rPr>
        <w:t xml:space="preserve"> Operar, sobre la base de las dependencias municipales, las agrupaciones sociales y voluntariado participantes, un sistema municipal en materia de prevención, información, capacitación, auxilio y protección civil en favor de la población del municipio.</w:t>
      </w:r>
    </w:p>
    <w:p w:rsidR="001B2EB2" w:rsidRPr="001F33E7" w:rsidRDefault="001B2EB2">
      <w:pPr>
        <w:ind w:left="1134" w:right="900"/>
        <w:jc w:val="both"/>
        <w:rPr>
          <w:rFonts w:ascii="Palatino Linotype" w:eastAsia="Palatino Linotype" w:hAnsi="Palatino Linotype" w:cs="Palatino Linotype"/>
          <w:i/>
          <w:sz w:val="22"/>
          <w:szCs w:val="22"/>
        </w:rPr>
      </w:pPr>
    </w:p>
    <w:p w:rsidR="001B2EB2" w:rsidRPr="001F33E7" w:rsidRDefault="004C6419">
      <w:pPr>
        <w:ind w:left="1134" w:right="900"/>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b/>
          <w:i/>
          <w:sz w:val="22"/>
          <w:szCs w:val="22"/>
        </w:rPr>
        <w:lastRenderedPageBreak/>
        <w:t>Artículo 87.-</w:t>
      </w:r>
      <w:r w:rsidRPr="001F33E7">
        <w:rPr>
          <w:rFonts w:ascii="Palatino Linotype" w:eastAsia="Palatino Linotype" w:hAnsi="Palatino Linotype" w:cs="Palatino Linotype"/>
          <w:i/>
          <w:sz w:val="22"/>
          <w:szCs w:val="22"/>
        </w:rPr>
        <w:t xml:space="preserve"> Para el despacho, estudio y planeación de los diversos asuntos de la administración municipal, el ayuntamiento contará por lo menos con las siguientes Dependencias:</w:t>
      </w:r>
    </w:p>
    <w:p w:rsidR="001B2EB2" w:rsidRPr="001F33E7" w:rsidRDefault="004C6419">
      <w:pPr>
        <w:ind w:left="1134" w:right="900"/>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I. La secretaría del ayuntamiento;</w:t>
      </w:r>
    </w:p>
    <w:p w:rsidR="001B2EB2" w:rsidRPr="001F33E7" w:rsidRDefault="004C6419">
      <w:pPr>
        <w:ind w:left="1134" w:right="900"/>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II. La tesorería municipal.</w:t>
      </w:r>
    </w:p>
    <w:p w:rsidR="001B2EB2" w:rsidRPr="001F33E7" w:rsidRDefault="004C6419">
      <w:pPr>
        <w:ind w:left="1134" w:right="900"/>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III. La Dirección de Obras Públicas o equivalente.</w:t>
      </w:r>
    </w:p>
    <w:p w:rsidR="001B2EB2" w:rsidRPr="001F33E7" w:rsidRDefault="004C6419">
      <w:pPr>
        <w:ind w:left="1134" w:right="900"/>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IV. La Dirección de Desarrollo Económico o equivalente.</w:t>
      </w:r>
    </w:p>
    <w:p w:rsidR="001B2EB2" w:rsidRPr="001F33E7" w:rsidRDefault="004C6419">
      <w:pPr>
        <w:ind w:left="1134" w:right="900"/>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V. La Dirección de Desarrollo Urbano o equivalente;</w:t>
      </w:r>
    </w:p>
    <w:p w:rsidR="001B2EB2" w:rsidRPr="001F33E7" w:rsidRDefault="004C6419">
      <w:pPr>
        <w:ind w:left="1134" w:right="900"/>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VI. La Dirección de Ecología o equivalente.</w:t>
      </w:r>
    </w:p>
    <w:p w:rsidR="001B2EB2" w:rsidRPr="001F33E7" w:rsidRDefault="004C6419">
      <w:pPr>
        <w:ind w:left="1134" w:right="900"/>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VII. La Dirección de Desarrollo Social o equivalente.</w:t>
      </w:r>
    </w:p>
    <w:p w:rsidR="001B2EB2" w:rsidRPr="001F33E7" w:rsidRDefault="004C6419">
      <w:pPr>
        <w:ind w:left="1134" w:right="900"/>
        <w:jc w:val="both"/>
        <w:rPr>
          <w:rFonts w:ascii="Palatino Linotype" w:eastAsia="Palatino Linotype" w:hAnsi="Palatino Linotype" w:cs="Palatino Linotype"/>
          <w:b/>
          <w:i/>
          <w:sz w:val="22"/>
          <w:szCs w:val="22"/>
        </w:rPr>
      </w:pPr>
      <w:r w:rsidRPr="001F33E7">
        <w:rPr>
          <w:rFonts w:ascii="Palatino Linotype" w:eastAsia="Palatino Linotype" w:hAnsi="Palatino Linotype" w:cs="Palatino Linotype"/>
          <w:b/>
          <w:i/>
          <w:sz w:val="22"/>
          <w:szCs w:val="22"/>
          <w:u w:val="single"/>
        </w:rPr>
        <w:t>VIII. La Coordinación Municipal de Protección Civil o equivalente</w:t>
      </w:r>
      <w:r w:rsidRPr="001F33E7">
        <w:rPr>
          <w:rFonts w:ascii="Palatino Linotype" w:eastAsia="Palatino Linotype" w:hAnsi="Palatino Linotype" w:cs="Palatino Linotype"/>
          <w:b/>
          <w:i/>
          <w:sz w:val="22"/>
          <w:szCs w:val="22"/>
        </w:rPr>
        <w:t>.</w:t>
      </w:r>
    </w:p>
    <w:p w:rsidR="001B2EB2" w:rsidRPr="001F33E7" w:rsidRDefault="004C6419">
      <w:pPr>
        <w:ind w:left="1134" w:right="900"/>
        <w:jc w:val="both"/>
        <w:rPr>
          <w:rFonts w:ascii="Palatino Linotype" w:eastAsia="Palatino Linotype" w:hAnsi="Palatino Linotype" w:cs="Palatino Linotype"/>
          <w:i/>
        </w:rPr>
      </w:pPr>
      <w:r w:rsidRPr="001F33E7">
        <w:rPr>
          <w:rFonts w:ascii="Palatino Linotype" w:eastAsia="Palatino Linotype" w:hAnsi="Palatino Linotype" w:cs="Palatino Linotype"/>
          <w:i/>
          <w:sz w:val="22"/>
          <w:szCs w:val="22"/>
        </w:rPr>
        <w:t>IX. La Dirección de las Mujeres o equivalente</w:t>
      </w:r>
      <w:r w:rsidRPr="001F33E7">
        <w:rPr>
          <w:rFonts w:ascii="Palatino Linotype" w:eastAsia="Palatino Linotype" w:hAnsi="Palatino Linotype" w:cs="Palatino Linotype"/>
          <w:i/>
        </w:rPr>
        <w:t>.</w:t>
      </w:r>
    </w:p>
    <w:p w:rsidR="001B2EB2" w:rsidRPr="001F33E7" w:rsidRDefault="001B2EB2">
      <w:pPr>
        <w:ind w:left="567" w:right="567"/>
        <w:jc w:val="both"/>
        <w:rPr>
          <w:rFonts w:ascii="Palatino Linotype" w:eastAsia="Palatino Linotype" w:hAnsi="Palatino Linotype" w:cs="Palatino Linotype"/>
          <w:i/>
        </w:rPr>
      </w:pPr>
    </w:p>
    <w:p w:rsidR="001B2EB2" w:rsidRPr="001F33E7" w:rsidRDefault="004C6419">
      <w:pPr>
        <w:spacing w:line="360" w:lineRule="auto"/>
        <w:ind w:right="567"/>
        <w:jc w:val="both"/>
        <w:rPr>
          <w:rFonts w:ascii="Palatino Linotype" w:eastAsia="Palatino Linotype" w:hAnsi="Palatino Linotype" w:cs="Palatino Linotype"/>
        </w:rPr>
      </w:pPr>
      <w:r w:rsidRPr="001F33E7">
        <w:rPr>
          <w:rFonts w:ascii="Palatino Linotype" w:eastAsia="Palatino Linotype" w:hAnsi="Palatino Linotype" w:cs="Palatino Linotype"/>
        </w:rPr>
        <w:t>Por otra parte el Bando Municipal de Ecatepec 2016 - 2018, muestra lo siguiente:</w:t>
      </w:r>
    </w:p>
    <w:p w:rsidR="001B2EB2" w:rsidRPr="001F33E7" w:rsidRDefault="001B2EB2">
      <w:pPr>
        <w:ind w:right="567"/>
        <w:rPr>
          <w:rFonts w:ascii="Palatino Linotype" w:eastAsia="Palatino Linotype" w:hAnsi="Palatino Linotype" w:cs="Palatino Linotype"/>
        </w:rPr>
      </w:pPr>
    </w:p>
    <w:p w:rsidR="001B2EB2" w:rsidRPr="001F33E7" w:rsidRDefault="004C6419">
      <w:pPr>
        <w:ind w:left="1134" w:right="900"/>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 xml:space="preserve">Artículo 63. La </w:t>
      </w:r>
      <w:r w:rsidRPr="001F33E7">
        <w:rPr>
          <w:rFonts w:ascii="Palatino Linotype" w:eastAsia="Palatino Linotype" w:hAnsi="Palatino Linotype" w:cs="Palatino Linotype"/>
          <w:b/>
          <w:i/>
          <w:sz w:val="22"/>
          <w:szCs w:val="22"/>
          <w:u w:val="single"/>
        </w:rPr>
        <w:t>Dirección de Protección Civil y Bomberos</w:t>
      </w:r>
      <w:r w:rsidRPr="001F33E7">
        <w:rPr>
          <w:rFonts w:ascii="Palatino Linotype" w:eastAsia="Palatino Linotype" w:hAnsi="Palatino Linotype" w:cs="Palatino Linotype"/>
          <w:i/>
          <w:sz w:val="22"/>
          <w:szCs w:val="22"/>
        </w:rPr>
        <w:t xml:space="preserve"> mantendrá actualizado el Atlas Dinámico de Riesgo Municipal, con el fin de priorizar su atención en las zonas que éste le señala, previniendo y atendiendo los eventos causados por siniestros o desastres, protegiendo y auxiliando a la población ante la eventualidad de dichos fenómenos y será la encargada de fomentar y conducir la cultura de la prevención en materia de protección civil.</w:t>
      </w:r>
    </w:p>
    <w:p w:rsidR="001B2EB2" w:rsidRPr="001F33E7" w:rsidRDefault="001B2EB2">
      <w:pPr>
        <w:ind w:left="1134" w:right="900"/>
        <w:jc w:val="both"/>
        <w:rPr>
          <w:rFonts w:ascii="Palatino Linotype" w:eastAsia="Palatino Linotype" w:hAnsi="Palatino Linotype" w:cs="Palatino Linotype"/>
          <w:i/>
          <w:sz w:val="22"/>
          <w:szCs w:val="22"/>
        </w:rPr>
      </w:pPr>
    </w:p>
    <w:p w:rsidR="001B2EB2" w:rsidRPr="001F33E7" w:rsidRDefault="004C6419">
      <w:pPr>
        <w:ind w:left="1134" w:right="900"/>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Asimismo, dictará las medidas necesarias para el restablecimiento de la normalidad en la población afectada. Para tal efecto, la Dirección encauzará los esfuerzos de los sectores público, social y privado, a través de la capacitación, organización y realización de acciones, programas y simulacros que permitan responder adecuada e inmediatamente a las necesidades de la comunidad en caso de contingencias.</w:t>
      </w:r>
    </w:p>
    <w:p w:rsidR="001B2EB2" w:rsidRPr="001F33E7" w:rsidRDefault="004C6419">
      <w:pPr>
        <w:ind w:left="1134" w:right="900"/>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En el cumplimiento de sus objetivos, se coordinará con las Autoridades Federales, Estatales y Municipales, de conformidad con las disposiciones aplicables en la materia.</w:t>
      </w:r>
    </w:p>
    <w:p w:rsidR="001B2EB2" w:rsidRPr="001F33E7" w:rsidRDefault="004C6419">
      <w:pPr>
        <w:ind w:left="1134" w:right="900"/>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Artículo 64. La Dirección de Protección Civil y Bomberos, será la encargada de expedir en favor de los responsables de los eventos masivos, la constancia de inscripción al Registro Estatal de Protección Civil del programa correspondiente, en términos de la Ley de Eventos Públicos del Estado de México.</w:t>
      </w:r>
    </w:p>
    <w:p w:rsidR="001B2EB2" w:rsidRPr="001F33E7" w:rsidRDefault="004C6419">
      <w:pPr>
        <w:ind w:left="1134" w:right="900"/>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lastRenderedPageBreak/>
        <w:t>La Dirección de Protección Civil y Bomberos establecerá el Registro Municipal de inmuebles aptos, donde puedan realizarse eventos públicos.</w:t>
      </w:r>
    </w:p>
    <w:p w:rsidR="001B2EB2" w:rsidRPr="001F33E7" w:rsidRDefault="004C6419">
      <w:pPr>
        <w:ind w:left="1134" w:right="900"/>
        <w:jc w:val="both"/>
        <w:rPr>
          <w:rFonts w:ascii="Palatino Linotype" w:eastAsia="Palatino Linotype" w:hAnsi="Palatino Linotype" w:cs="Palatino Linotype"/>
          <w:b/>
          <w:i/>
          <w:sz w:val="22"/>
          <w:szCs w:val="22"/>
          <w:u w:val="single"/>
        </w:rPr>
      </w:pPr>
      <w:r w:rsidRPr="001F33E7">
        <w:rPr>
          <w:rFonts w:ascii="Palatino Linotype" w:eastAsia="Palatino Linotype" w:hAnsi="Palatino Linotype" w:cs="Palatino Linotype"/>
          <w:i/>
          <w:sz w:val="22"/>
          <w:szCs w:val="22"/>
        </w:rPr>
        <w:t xml:space="preserve">Artículo 65. </w:t>
      </w:r>
      <w:r w:rsidRPr="001F33E7">
        <w:rPr>
          <w:rFonts w:ascii="Palatino Linotype" w:eastAsia="Palatino Linotype" w:hAnsi="Palatino Linotype" w:cs="Palatino Linotype"/>
          <w:b/>
          <w:i/>
          <w:sz w:val="22"/>
          <w:szCs w:val="22"/>
          <w:u w:val="single"/>
        </w:rPr>
        <w:t>La Dirección podrá auxiliar a la población en la prestación de primeros auxilios y traslados en casos de emergencia, coadyuvando con las instituciones del Sector Salud.</w:t>
      </w:r>
    </w:p>
    <w:p w:rsidR="001B2EB2" w:rsidRPr="001F33E7" w:rsidRDefault="004C6419">
      <w:pPr>
        <w:ind w:left="1134" w:right="900"/>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La Dirección podrá solicitar la colaboración de los elementos de la Dirección de Seguridad Ciudadana y Seguridad Vial en eventos de emergencia, desastre o siniestro a efecto de salvaguardar la integridad física de los habitantes del municipio y de quienes transiten por él.</w:t>
      </w:r>
    </w:p>
    <w:p w:rsidR="001B2EB2" w:rsidRPr="001F33E7" w:rsidRDefault="004C6419">
      <w:pPr>
        <w:ind w:left="1134" w:right="900"/>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La Dirección de Protección Civil, en caso de solicitud para quema de pirotecnia en cualquier tipo de evento, emitirá la factibilidad correspondiente, previa presentación de los requisitos que deberá exhibir la persona física o moral responsable de la quema.</w:t>
      </w:r>
    </w:p>
    <w:p w:rsidR="001B2EB2" w:rsidRPr="001F33E7" w:rsidRDefault="001B2EB2">
      <w:pPr>
        <w:ind w:right="567"/>
        <w:rPr>
          <w:rFonts w:ascii="Palatino Linotype" w:eastAsia="Palatino Linotype" w:hAnsi="Palatino Linotype" w:cs="Palatino Linotype"/>
        </w:rPr>
      </w:pPr>
    </w:p>
    <w:p w:rsidR="001B2EB2" w:rsidRPr="001F33E7" w:rsidRDefault="004C6419">
      <w:pPr>
        <w:ind w:right="49"/>
        <w:jc w:val="both"/>
        <w:rPr>
          <w:rFonts w:ascii="Palatino Linotype" w:eastAsia="Palatino Linotype" w:hAnsi="Palatino Linotype" w:cs="Palatino Linotype"/>
        </w:rPr>
      </w:pPr>
      <w:r w:rsidRPr="001F33E7">
        <w:rPr>
          <w:rFonts w:ascii="Palatino Linotype" w:eastAsia="Palatino Linotype" w:hAnsi="Palatino Linotype" w:cs="Palatino Linotype"/>
        </w:rPr>
        <w:t>En este sentido el Bando Municipal de Ecatepec 2019 -2021, refiere lo siguiente:</w:t>
      </w:r>
    </w:p>
    <w:p w:rsidR="001B2EB2" w:rsidRPr="001F33E7" w:rsidRDefault="001B2EB2">
      <w:pPr>
        <w:ind w:right="567"/>
        <w:rPr>
          <w:rFonts w:ascii="Palatino Linotype" w:eastAsia="Palatino Linotype" w:hAnsi="Palatino Linotype" w:cs="Palatino Linotype"/>
        </w:rPr>
      </w:pPr>
    </w:p>
    <w:p w:rsidR="001B2EB2" w:rsidRPr="001F33E7" w:rsidRDefault="004C6419">
      <w:pPr>
        <w:spacing w:line="276" w:lineRule="auto"/>
        <w:ind w:left="1134" w:right="900"/>
        <w:jc w:val="both"/>
        <w:rPr>
          <w:rFonts w:ascii="Palatino Linotype" w:eastAsia="Palatino Linotype" w:hAnsi="Palatino Linotype" w:cs="Palatino Linotype"/>
          <w:b/>
          <w:i/>
          <w:sz w:val="22"/>
          <w:szCs w:val="22"/>
        </w:rPr>
      </w:pPr>
      <w:r w:rsidRPr="001F33E7">
        <w:rPr>
          <w:rFonts w:ascii="Palatino Linotype" w:eastAsia="Palatino Linotype" w:hAnsi="Palatino Linotype" w:cs="Palatino Linotype"/>
          <w:i/>
        </w:rPr>
        <w:t>“</w:t>
      </w:r>
      <w:r w:rsidRPr="001F33E7">
        <w:rPr>
          <w:rFonts w:ascii="Palatino Linotype" w:eastAsia="Palatino Linotype" w:hAnsi="Palatino Linotype" w:cs="Palatino Linotype"/>
          <w:b/>
          <w:i/>
          <w:sz w:val="22"/>
          <w:szCs w:val="22"/>
        </w:rPr>
        <w:t xml:space="preserve">De la Dirección de Protección Civil y Bomberos </w:t>
      </w:r>
    </w:p>
    <w:p w:rsidR="001B2EB2" w:rsidRPr="001F33E7" w:rsidRDefault="001B2EB2">
      <w:pPr>
        <w:spacing w:line="276" w:lineRule="auto"/>
        <w:ind w:left="1134" w:right="900"/>
        <w:jc w:val="both"/>
        <w:rPr>
          <w:rFonts w:ascii="Palatino Linotype" w:eastAsia="Palatino Linotype" w:hAnsi="Palatino Linotype" w:cs="Palatino Linotype"/>
          <w:i/>
          <w:sz w:val="22"/>
          <w:szCs w:val="22"/>
        </w:rPr>
      </w:pPr>
    </w:p>
    <w:p w:rsidR="001B2EB2" w:rsidRPr="001F33E7" w:rsidRDefault="004C6419">
      <w:pPr>
        <w:spacing w:line="276" w:lineRule="auto"/>
        <w:ind w:left="1134" w:right="900"/>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 xml:space="preserve">Artículo 68. </w:t>
      </w:r>
      <w:r w:rsidRPr="001F33E7">
        <w:rPr>
          <w:rFonts w:ascii="Palatino Linotype" w:eastAsia="Palatino Linotype" w:hAnsi="Palatino Linotype" w:cs="Palatino Linotype"/>
          <w:b/>
          <w:i/>
          <w:sz w:val="22"/>
          <w:szCs w:val="22"/>
          <w:u w:val="single"/>
        </w:rPr>
        <w:t>La Dirección de Protección Civil y Bomberos</w:t>
      </w:r>
      <w:r w:rsidRPr="001F33E7">
        <w:rPr>
          <w:rFonts w:ascii="Palatino Linotype" w:eastAsia="Palatino Linotype" w:hAnsi="Palatino Linotype" w:cs="Palatino Linotype"/>
          <w:i/>
          <w:sz w:val="22"/>
          <w:szCs w:val="22"/>
        </w:rPr>
        <w:t>, en aras del orden público e interés social, establecerá las bases de coordinación entre los distintos órdenes de gobierno en materia de gestión integral de riesgos y protección civil, así como con los sectores privado y social participará en la consecución de los objetivos de este capítulo, en los términos y condiciones que él mismo establece, a saber:</w:t>
      </w:r>
      <w:r w:rsidRPr="001F33E7">
        <w:rPr>
          <w:rFonts w:ascii="Palatino Linotype" w:eastAsia="Palatino Linotype" w:hAnsi="Palatino Linotype" w:cs="Palatino Linotype"/>
          <w:i/>
          <w:sz w:val="20"/>
          <w:szCs w:val="20"/>
        </w:rPr>
        <w:t xml:space="preserve"> </w:t>
      </w:r>
      <w:r w:rsidRPr="001F33E7">
        <w:rPr>
          <w:rFonts w:ascii="Palatino Linotype" w:eastAsia="Palatino Linotype" w:hAnsi="Palatino Linotype" w:cs="Palatino Linotype"/>
          <w:i/>
          <w:sz w:val="22"/>
          <w:szCs w:val="22"/>
        </w:rPr>
        <w:t>…” (Sic)</w:t>
      </w:r>
    </w:p>
    <w:p w:rsidR="001B2EB2" w:rsidRPr="001F33E7" w:rsidRDefault="001B2EB2">
      <w:pPr>
        <w:spacing w:line="360" w:lineRule="auto"/>
        <w:jc w:val="both"/>
        <w:rPr>
          <w:rFonts w:ascii="Palatino Linotype" w:eastAsia="Palatino Linotype" w:hAnsi="Palatino Linotype" w:cs="Palatino Linotype"/>
        </w:rPr>
      </w:pPr>
    </w:p>
    <w:p w:rsidR="001B2EB2" w:rsidRPr="001F33E7" w:rsidRDefault="004C6419">
      <w:pPr>
        <w:spacing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rPr>
        <w:t xml:space="preserve">De los ordenamientos normativos citados, se advierte que dentro de las distintas Unidades Administrativas que integran la Administración Pública Municipal en los años 2016 a 2021, se encontraba la </w:t>
      </w:r>
      <w:r w:rsidRPr="001F33E7">
        <w:rPr>
          <w:rFonts w:ascii="Palatino Linotype" w:eastAsia="Palatino Linotype" w:hAnsi="Palatino Linotype" w:cs="Palatino Linotype"/>
          <w:b/>
        </w:rPr>
        <w:t>Dirección de Protección Civil y Bomberos</w:t>
      </w:r>
      <w:r w:rsidRPr="001F33E7">
        <w:rPr>
          <w:rFonts w:ascii="Palatino Linotype" w:eastAsia="Palatino Linotype" w:hAnsi="Palatino Linotype" w:cs="Palatino Linotype"/>
        </w:rPr>
        <w:t>, la cual tiene por objeto  prevenir y atender los eventos causados por siniestros o desastres, protegiendo y auxiliando a la población ante la eventualidad de dichos fenómenos y  encargada de fomentar y conducir la cultura de la prevención en materia de protección civil.</w:t>
      </w:r>
    </w:p>
    <w:p w:rsidR="001B2EB2" w:rsidRPr="001F33E7" w:rsidRDefault="004C6419">
      <w:pPr>
        <w:spacing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rPr>
        <w:lastRenderedPageBreak/>
        <w:t>Atribuciones concatenadas con los artículos 18 y 19 de la Ley de Transparencia y Acceso a la Información Pública del Estado de México y Municipios</w:t>
      </w:r>
      <w:r w:rsidRPr="001F33E7">
        <w:rPr>
          <w:rFonts w:ascii="Palatino Linotype" w:eastAsia="Palatino Linotype" w:hAnsi="Palatino Linotype" w:cs="Palatino Linotype"/>
          <w:vertAlign w:val="superscript"/>
        </w:rPr>
        <w:footnoteReference w:id="1"/>
      </w:r>
      <w:r w:rsidRPr="001F33E7">
        <w:rPr>
          <w:rFonts w:ascii="Palatino Linotype" w:eastAsia="Palatino Linotype" w:hAnsi="Palatino Linotype" w:cs="Palatino Linotype"/>
        </w:rPr>
        <w:t>, relativos a la obligación de documentar todo acto de autoridad en ejercicio de sus facultades, funciones y atribuciones, así como la presunción de la existencia del soporte documental en que consta la información en comento. Con las cuales, podemos tener por acreditada la existencia del soporte documental en que obre la información, resultando dable ordenar su entrega, debiendo observar lo relativo a la clasificación de los datos de carácter sensible y personal, en términos de la Ley de Protección de Datos Personales en Posesión de Sujetos Obligados del Estado de México y Municipios, lo cual será analizado en el siguiente Considerando.</w:t>
      </w:r>
    </w:p>
    <w:p w:rsidR="001B2EB2" w:rsidRPr="001F33E7" w:rsidRDefault="004C6419">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rPr>
      </w:pPr>
      <w:r w:rsidRPr="001F33E7">
        <w:rPr>
          <w:rFonts w:ascii="Palatino Linotype" w:eastAsia="Palatino Linotype" w:hAnsi="Palatino Linotype" w:cs="Palatino Linotype"/>
        </w:rPr>
        <w:t>En este sentido, se reitera que los Sujetos Obligados, no se encuentran constreñidos a procesar la información, sino que deberán entregarla, como obre en sus archivos, esto precisado en dichos términos, por el artículo 12 de la Ley de Transparencia vigente en la entidad:</w:t>
      </w:r>
    </w:p>
    <w:p w:rsidR="001B2EB2" w:rsidRPr="001F33E7" w:rsidRDefault="001B2EB2">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rPr>
      </w:pPr>
    </w:p>
    <w:p w:rsidR="001B2EB2" w:rsidRPr="001F33E7" w:rsidRDefault="004C6419">
      <w:pPr>
        <w:tabs>
          <w:tab w:val="left" w:pos="1134"/>
        </w:tabs>
        <w:spacing w:line="276" w:lineRule="auto"/>
        <w:ind w:left="1134" w:right="900"/>
        <w:jc w:val="both"/>
        <w:rPr>
          <w:rFonts w:ascii="Palatino Linotype" w:eastAsia="Palatino Linotype" w:hAnsi="Palatino Linotype" w:cs="Palatino Linotype"/>
          <w:i/>
          <w:sz w:val="21"/>
          <w:szCs w:val="21"/>
        </w:rPr>
      </w:pPr>
      <w:r w:rsidRPr="001F33E7">
        <w:rPr>
          <w:rFonts w:ascii="Palatino Linotype" w:eastAsia="Palatino Linotype" w:hAnsi="Palatino Linotype" w:cs="Palatino Linotype"/>
          <w:b/>
          <w:i/>
          <w:sz w:val="21"/>
          <w:szCs w:val="21"/>
        </w:rPr>
        <w:lastRenderedPageBreak/>
        <w:t>“Artículo 12</w:t>
      </w:r>
      <w:r w:rsidRPr="001F33E7">
        <w:rPr>
          <w:rFonts w:ascii="Palatino Linotype" w:eastAsia="Palatino Linotype" w:hAnsi="Palatino Linotype" w:cs="Palatino Linotype"/>
          <w:i/>
          <w:sz w:val="21"/>
          <w:szCs w:val="21"/>
        </w:rPr>
        <w:t>. Quienes generen, recopilen, administren, manejen, procesen, archiven o conserven información pública serán responsables de la misma en los términos de las disposiciones jurídicas aplicables.</w:t>
      </w:r>
    </w:p>
    <w:p w:rsidR="001B2EB2" w:rsidRPr="001F33E7" w:rsidRDefault="001B2EB2">
      <w:pPr>
        <w:tabs>
          <w:tab w:val="left" w:pos="1134"/>
        </w:tabs>
        <w:spacing w:line="276" w:lineRule="auto"/>
        <w:ind w:left="1134" w:right="900"/>
        <w:jc w:val="both"/>
        <w:rPr>
          <w:rFonts w:ascii="Palatino Linotype" w:eastAsia="Palatino Linotype" w:hAnsi="Palatino Linotype" w:cs="Palatino Linotype"/>
          <w:i/>
          <w:sz w:val="21"/>
          <w:szCs w:val="21"/>
        </w:rPr>
      </w:pPr>
    </w:p>
    <w:p w:rsidR="001B2EB2" w:rsidRPr="001F33E7" w:rsidRDefault="004C6419">
      <w:pPr>
        <w:tabs>
          <w:tab w:val="left" w:pos="1134"/>
        </w:tabs>
        <w:spacing w:line="276" w:lineRule="auto"/>
        <w:ind w:left="1134" w:right="900"/>
        <w:jc w:val="both"/>
        <w:rPr>
          <w:rFonts w:ascii="Palatino Linotype" w:eastAsia="Palatino Linotype" w:hAnsi="Palatino Linotype" w:cs="Palatino Linotype"/>
          <w:i/>
          <w:sz w:val="21"/>
          <w:szCs w:val="21"/>
        </w:rPr>
      </w:pPr>
      <w:r w:rsidRPr="001F33E7">
        <w:rPr>
          <w:rFonts w:ascii="Palatino Linotype" w:eastAsia="Palatino Linotype" w:hAnsi="Palatino Linotype" w:cs="Palatino Linotype"/>
          <w:i/>
          <w:sz w:val="21"/>
          <w:szCs w:val="21"/>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1B2EB2" w:rsidRPr="001F33E7" w:rsidRDefault="004C6419">
      <w:pPr>
        <w:pBdr>
          <w:top w:val="nil"/>
          <w:left w:val="nil"/>
          <w:bottom w:val="nil"/>
          <w:right w:val="nil"/>
          <w:between w:val="nil"/>
        </w:pBdr>
        <w:tabs>
          <w:tab w:val="left" w:pos="426"/>
        </w:tabs>
        <w:spacing w:before="240" w:after="240" w:line="360" w:lineRule="auto"/>
        <w:ind w:right="51"/>
        <w:jc w:val="both"/>
        <w:rPr>
          <w:rFonts w:ascii="Palatino Linotype" w:eastAsia="Palatino Linotype" w:hAnsi="Palatino Linotype" w:cs="Palatino Linotype"/>
        </w:rPr>
      </w:pPr>
      <w:r w:rsidRPr="001F33E7">
        <w:rPr>
          <w:rFonts w:ascii="Palatino Linotype" w:eastAsia="Palatino Linotype" w:hAnsi="Palatino Linotype" w:cs="Palatino Linotype"/>
        </w:rPr>
        <w:t xml:space="preserve">Por tanto, es de señalar que no existe fuente obligacional de generar estadística con los datos proporcionados por la </w:t>
      </w:r>
      <w:r w:rsidRPr="001F33E7">
        <w:rPr>
          <w:rFonts w:ascii="Palatino Linotype" w:eastAsia="Palatino Linotype" w:hAnsi="Palatino Linotype" w:cs="Palatino Linotype"/>
          <w:b/>
        </w:rPr>
        <w:t>RECURRENTE</w:t>
      </w:r>
      <w:r w:rsidRPr="001F33E7">
        <w:rPr>
          <w:rFonts w:ascii="Palatino Linotype" w:eastAsia="Palatino Linotype" w:hAnsi="Palatino Linotype" w:cs="Palatino Linotype"/>
        </w:rPr>
        <w:t xml:space="preserve">; sin embargo, es importante referir que si bien el </w:t>
      </w:r>
      <w:r w:rsidRPr="001F33E7">
        <w:rPr>
          <w:rFonts w:ascii="Palatino Linotype" w:eastAsia="Palatino Linotype" w:hAnsi="Palatino Linotype" w:cs="Palatino Linotype"/>
          <w:b/>
        </w:rPr>
        <w:t>SUJETO OBLIGADO</w:t>
      </w:r>
      <w:r w:rsidRPr="001F33E7">
        <w:rPr>
          <w:rFonts w:ascii="Palatino Linotype" w:eastAsia="Palatino Linotype" w:hAnsi="Palatino Linotype" w:cs="Palatino Linotype"/>
        </w:rPr>
        <w:t xml:space="preserve"> pretendió atender lo solicitado por la </w:t>
      </w:r>
      <w:r w:rsidRPr="001F33E7">
        <w:rPr>
          <w:rFonts w:ascii="Palatino Linotype" w:eastAsia="Palatino Linotype" w:hAnsi="Palatino Linotype" w:cs="Palatino Linotype"/>
          <w:b/>
        </w:rPr>
        <w:t>RECURRENTE</w:t>
      </w:r>
      <w:r w:rsidRPr="001F33E7">
        <w:rPr>
          <w:rFonts w:ascii="Palatino Linotype" w:eastAsia="Palatino Linotype" w:hAnsi="Palatino Linotype" w:cs="Palatino Linotype"/>
        </w:rPr>
        <w:t>, también lo es que proporcionó una respuesta que no correspondió a sus requerimientos, ni fue elaborada por el servidor público habilitado competente.</w:t>
      </w:r>
    </w:p>
    <w:p w:rsidR="001B2EB2" w:rsidRPr="001F33E7" w:rsidRDefault="004C6419">
      <w:pPr>
        <w:spacing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rPr>
        <w:t>Por lo antes expuesto, se puede determinar que durante la respuesta, el</w:t>
      </w:r>
      <w:r w:rsidRPr="001F33E7">
        <w:rPr>
          <w:rFonts w:ascii="Palatino Linotype" w:eastAsia="Palatino Linotype" w:hAnsi="Palatino Linotype" w:cs="Palatino Linotype"/>
          <w:b/>
        </w:rPr>
        <w:t xml:space="preserve"> SUJETO OBLIGADO</w:t>
      </w:r>
      <w:r w:rsidRPr="001F33E7">
        <w:rPr>
          <w:rFonts w:ascii="Palatino Linotype" w:eastAsia="Palatino Linotype" w:hAnsi="Palatino Linotype" w:cs="Palatino Linotype"/>
        </w:rPr>
        <w:t xml:space="preserve"> no siguió a cabalidad el procedimiento de acceso a la información previsto en el artículo 162 de la Ley de Transparencia y Acceso a la Información Pública del Estado de México y Municipios, esto dado que </w:t>
      </w:r>
      <w:r w:rsidRPr="001F33E7">
        <w:rPr>
          <w:rFonts w:ascii="Palatino Linotype" w:eastAsia="Palatino Linotype" w:hAnsi="Palatino Linotype" w:cs="Palatino Linotype"/>
          <w:b/>
        </w:rPr>
        <w:t>omitió turnar a todas las Áreas competentes</w:t>
      </w:r>
      <w:r w:rsidRPr="001F33E7">
        <w:rPr>
          <w:rFonts w:ascii="Palatino Linotype" w:eastAsia="Palatino Linotype" w:hAnsi="Palatino Linotype" w:cs="Palatino Linotype"/>
        </w:rPr>
        <w:t xml:space="preserve"> que pudiesen contar con la información o deban tenerla de acuerdo a sus facultades, competencias y funciones, con el objeto de que realizaran una </w:t>
      </w:r>
      <w:r w:rsidRPr="001F33E7">
        <w:rPr>
          <w:rFonts w:ascii="Palatino Linotype" w:eastAsia="Palatino Linotype" w:hAnsi="Palatino Linotype" w:cs="Palatino Linotype"/>
          <w:b/>
        </w:rPr>
        <w:t>búsqueda exhaustiva y razonable</w:t>
      </w:r>
      <w:r w:rsidRPr="001F33E7">
        <w:rPr>
          <w:rFonts w:ascii="Palatino Linotype" w:eastAsia="Palatino Linotype" w:hAnsi="Palatino Linotype" w:cs="Palatino Linotype"/>
        </w:rPr>
        <w:t xml:space="preserve"> de la información solicitada; y para ello en necesario tomar en consideración las siguientes disposiciones de la Ley de la materia:</w:t>
      </w:r>
    </w:p>
    <w:p w:rsidR="001B2EB2" w:rsidRPr="001F33E7" w:rsidRDefault="004C6419">
      <w:pPr>
        <w:spacing w:line="276" w:lineRule="auto"/>
        <w:ind w:left="1134" w:right="901"/>
        <w:jc w:val="both"/>
        <w:rPr>
          <w:sz w:val="22"/>
          <w:szCs w:val="22"/>
        </w:rPr>
      </w:pPr>
      <w:r w:rsidRPr="001F33E7">
        <w:rPr>
          <w:rFonts w:ascii="Palatino Linotype" w:eastAsia="Palatino Linotype" w:hAnsi="Palatino Linotype" w:cs="Palatino Linotype"/>
          <w:i/>
        </w:rPr>
        <w:lastRenderedPageBreak/>
        <w:t>“</w:t>
      </w:r>
      <w:r w:rsidRPr="001F33E7">
        <w:rPr>
          <w:rFonts w:ascii="Palatino Linotype" w:eastAsia="Palatino Linotype" w:hAnsi="Palatino Linotype" w:cs="Palatino Linotype"/>
          <w:b/>
          <w:i/>
          <w:sz w:val="22"/>
          <w:szCs w:val="22"/>
        </w:rPr>
        <w:t>Artículo 50.</w:t>
      </w:r>
      <w:r w:rsidRPr="001F33E7">
        <w:rPr>
          <w:rFonts w:ascii="Palatino Linotype" w:eastAsia="Palatino Linotype" w:hAnsi="Palatino Linotype" w:cs="Palatino Linotype"/>
          <w:i/>
          <w:sz w:val="22"/>
          <w:szCs w:val="22"/>
        </w:rPr>
        <w:t xml:space="preserve"> Los sujetos obligados contarán con un área responsable para la atención de las solicitudes de información, a la que se le denominará Unidad de Transparencia.</w:t>
      </w:r>
    </w:p>
    <w:p w:rsidR="001B2EB2" w:rsidRPr="001F33E7" w:rsidRDefault="001B2EB2">
      <w:pPr>
        <w:spacing w:line="276" w:lineRule="auto"/>
        <w:ind w:left="1134"/>
        <w:rPr>
          <w:sz w:val="22"/>
          <w:szCs w:val="22"/>
        </w:rPr>
      </w:pPr>
    </w:p>
    <w:p w:rsidR="001B2EB2" w:rsidRPr="001F33E7" w:rsidRDefault="004C6419">
      <w:pPr>
        <w:spacing w:line="276" w:lineRule="auto"/>
        <w:ind w:left="1134" w:right="901"/>
        <w:jc w:val="both"/>
        <w:rPr>
          <w:sz w:val="22"/>
          <w:szCs w:val="22"/>
        </w:rPr>
      </w:pPr>
      <w:r w:rsidRPr="001F33E7">
        <w:rPr>
          <w:rFonts w:ascii="Palatino Linotype" w:eastAsia="Palatino Linotype" w:hAnsi="Palatino Linotype" w:cs="Palatino Linotype"/>
          <w:b/>
          <w:i/>
          <w:sz w:val="22"/>
          <w:szCs w:val="22"/>
        </w:rPr>
        <w:t>Artículo 51</w:t>
      </w:r>
      <w:r w:rsidRPr="001F33E7">
        <w:rPr>
          <w:rFonts w:ascii="Palatino Linotype" w:eastAsia="Palatino Linotype" w:hAnsi="Palatino Linotype" w:cs="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1B2EB2" w:rsidRPr="001F33E7" w:rsidRDefault="001B2EB2">
      <w:pPr>
        <w:spacing w:line="276" w:lineRule="auto"/>
        <w:ind w:left="1134"/>
        <w:rPr>
          <w:sz w:val="22"/>
          <w:szCs w:val="22"/>
        </w:rPr>
      </w:pPr>
    </w:p>
    <w:p w:rsidR="001B2EB2" w:rsidRPr="001F33E7" w:rsidRDefault="004C6419">
      <w:pPr>
        <w:spacing w:line="276" w:lineRule="auto"/>
        <w:ind w:left="1134" w:right="901"/>
        <w:jc w:val="both"/>
        <w:rPr>
          <w:sz w:val="22"/>
          <w:szCs w:val="22"/>
        </w:rPr>
      </w:pPr>
      <w:r w:rsidRPr="001F33E7">
        <w:rPr>
          <w:rFonts w:ascii="Palatino Linotype" w:eastAsia="Palatino Linotype" w:hAnsi="Palatino Linotype" w:cs="Palatino Linotype"/>
          <w:b/>
          <w:i/>
          <w:sz w:val="22"/>
          <w:szCs w:val="22"/>
        </w:rPr>
        <w:t>Artículo 53</w:t>
      </w:r>
      <w:r w:rsidRPr="001F33E7">
        <w:rPr>
          <w:rFonts w:ascii="Palatino Linotype" w:eastAsia="Palatino Linotype" w:hAnsi="Palatino Linotype" w:cs="Palatino Linotype"/>
          <w:i/>
          <w:sz w:val="22"/>
          <w:szCs w:val="22"/>
        </w:rPr>
        <w:t>. Las Unidades de Transparencia tendrán las siguientes funciones:</w:t>
      </w:r>
    </w:p>
    <w:p w:rsidR="001B2EB2" w:rsidRPr="001F33E7" w:rsidRDefault="004C6419">
      <w:pPr>
        <w:spacing w:line="276" w:lineRule="auto"/>
        <w:ind w:left="1134" w:right="901"/>
        <w:jc w:val="both"/>
        <w:rPr>
          <w:sz w:val="22"/>
          <w:szCs w:val="22"/>
        </w:rPr>
      </w:pPr>
      <w:r w:rsidRPr="001F33E7">
        <w:rPr>
          <w:rFonts w:ascii="Palatino Linotype" w:eastAsia="Palatino Linotype" w:hAnsi="Palatino Linotype" w:cs="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1B2EB2" w:rsidRPr="001F33E7" w:rsidRDefault="004C6419">
      <w:pPr>
        <w:spacing w:line="276" w:lineRule="auto"/>
        <w:ind w:left="1134" w:right="901"/>
        <w:jc w:val="both"/>
        <w:rPr>
          <w:sz w:val="22"/>
          <w:szCs w:val="22"/>
        </w:rPr>
      </w:pPr>
      <w:r w:rsidRPr="001F33E7">
        <w:rPr>
          <w:rFonts w:ascii="Palatino Linotype" w:eastAsia="Palatino Linotype" w:hAnsi="Palatino Linotype" w:cs="Palatino Linotype"/>
          <w:b/>
          <w:i/>
          <w:sz w:val="22"/>
          <w:szCs w:val="22"/>
        </w:rPr>
        <w:t xml:space="preserve">II. Recibir, </w:t>
      </w:r>
      <w:r w:rsidRPr="001F33E7">
        <w:rPr>
          <w:rFonts w:ascii="Palatino Linotype" w:eastAsia="Palatino Linotype" w:hAnsi="Palatino Linotype" w:cs="Palatino Linotype"/>
          <w:b/>
          <w:i/>
          <w:sz w:val="22"/>
          <w:szCs w:val="22"/>
          <w:u w:val="single"/>
        </w:rPr>
        <w:t>tramitar</w:t>
      </w:r>
      <w:r w:rsidRPr="001F33E7">
        <w:rPr>
          <w:rFonts w:ascii="Palatino Linotype" w:eastAsia="Palatino Linotype" w:hAnsi="Palatino Linotype" w:cs="Palatino Linotype"/>
          <w:b/>
          <w:i/>
          <w:sz w:val="22"/>
          <w:szCs w:val="22"/>
        </w:rPr>
        <w:t xml:space="preserve"> y dar respuesta a las solicitudes de acceso a la información;</w:t>
      </w:r>
    </w:p>
    <w:p w:rsidR="001B2EB2" w:rsidRPr="001F33E7" w:rsidRDefault="004C6419">
      <w:pPr>
        <w:spacing w:line="276" w:lineRule="auto"/>
        <w:ind w:left="1134" w:right="901"/>
        <w:jc w:val="both"/>
        <w:rPr>
          <w:sz w:val="22"/>
          <w:szCs w:val="22"/>
        </w:rPr>
      </w:pPr>
      <w:r w:rsidRPr="001F33E7">
        <w:rPr>
          <w:rFonts w:ascii="Palatino Linotype" w:eastAsia="Palatino Linotype" w:hAnsi="Palatino Linotype" w:cs="Palatino Linotype"/>
          <w:i/>
          <w:sz w:val="22"/>
          <w:szCs w:val="22"/>
        </w:rPr>
        <w:t>III. Auxiliar a los particulares en la elaboración de solicitudes de acceso a la información y, en su caso, orientarlos sobre los sujetos obligados competentes conforme a la normatividad aplicable;</w:t>
      </w:r>
    </w:p>
    <w:p w:rsidR="001B2EB2" w:rsidRPr="001F33E7" w:rsidRDefault="004C6419">
      <w:pPr>
        <w:spacing w:line="276" w:lineRule="auto"/>
        <w:ind w:left="1134" w:right="901"/>
        <w:jc w:val="both"/>
        <w:rPr>
          <w:sz w:val="22"/>
          <w:szCs w:val="22"/>
        </w:rPr>
      </w:pPr>
      <w:r w:rsidRPr="001F33E7">
        <w:rPr>
          <w:rFonts w:ascii="Palatino Linotype" w:eastAsia="Palatino Linotype" w:hAnsi="Palatino Linotype" w:cs="Palatino Linotype"/>
          <w:i/>
          <w:sz w:val="22"/>
          <w:szCs w:val="22"/>
        </w:rPr>
        <w:t>IV. Realizar, con efectividad, los trámites internos necesarios para la atención de las solicitudes de acceso a la información;</w:t>
      </w:r>
    </w:p>
    <w:p w:rsidR="001B2EB2" w:rsidRPr="001F33E7" w:rsidRDefault="004C6419">
      <w:pPr>
        <w:spacing w:line="276" w:lineRule="auto"/>
        <w:ind w:left="1134" w:right="901"/>
        <w:jc w:val="both"/>
        <w:rPr>
          <w:sz w:val="22"/>
          <w:szCs w:val="22"/>
        </w:rPr>
      </w:pPr>
      <w:r w:rsidRPr="001F33E7">
        <w:rPr>
          <w:rFonts w:ascii="Palatino Linotype" w:eastAsia="Palatino Linotype" w:hAnsi="Palatino Linotype" w:cs="Palatino Linotype"/>
          <w:i/>
          <w:sz w:val="22"/>
          <w:szCs w:val="22"/>
        </w:rPr>
        <w:t>V. Entregar, en su caso, a los particulares la información solicitada;</w:t>
      </w:r>
    </w:p>
    <w:p w:rsidR="001B2EB2" w:rsidRPr="001F33E7" w:rsidRDefault="004C6419">
      <w:pPr>
        <w:spacing w:line="276" w:lineRule="auto"/>
        <w:ind w:left="1134" w:right="901"/>
        <w:jc w:val="both"/>
        <w:rPr>
          <w:sz w:val="22"/>
          <w:szCs w:val="22"/>
        </w:rPr>
      </w:pPr>
      <w:r w:rsidRPr="001F33E7">
        <w:rPr>
          <w:rFonts w:ascii="Palatino Linotype" w:eastAsia="Palatino Linotype" w:hAnsi="Palatino Linotype" w:cs="Palatino Linotype"/>
          <w:i/>
          <w:sz w:val="22"/>
          <w:szCs w:val="22"/>
        </w:rPr>
        <w:t>VI. Efectuar las notificaciones a los solicitantes;</w:t>
      </w:r>
    </w:p>
    <w:p w:rsidR="001B2EB2" w:rsidRPr="001F33E7" w:rsidRDefault="004C6419">
      <w:pPr>
        <w:spacing w:line="276" w:lineRule="auto"/>
        <w:ind w:left="1134" w:right="901"/>
        <w:jc w:val="both"/>
        <w:rPr>
          <w:sz w:val="22"/>
          <w:szCs w:val="22"/>
        </w:rPr>
      </w:pPr>
      <w:r w:rsidRPr="001F33E7">
        <w:rPr>
          <w:rFonts w:ascii="Palatino Linotype" w:eastAsia="Palatino Linotype" w:hAnsi="Palatino Linotype" w:cs="Palatino Linotype"/>
          <w:i/>
          <w:sz w:val="22"/>
          <w:szCs w:val="22"/>
        </w:rPr>
        <w:t>VII. Proponer al Comité de Transparencia, los procedimientos internos que aseguren la mayor eficiencia en la gestión de las solicitudes de acceso a la información, conforme a la normatividad aplicable;</w:t>
      </w:r>
    </w:p>
    <w:p w:rsidR="001B2EB2" w:rsidRPr="001F33E7" w:rsidRDefault="004C6419">
      <w:pPr>
        <w:spacing w:line="276" w:lineRule="auto"/>
        <w:ind w:left="1134" w:right="901"/>
        <w:jc w:val="both"/>
        <w:rPr>
          <w:sz w:val="22"/>
          <w:szCs w:val="22"/>
        </w:rPr>
      </w:pPr>
      <w:r w:rsidRPr="001F33E7">
        <w:rPr>
          <w:rFonts w:ascii="Palatino Linotype" w:eastAsia="Palatino Linotype" w:hAnsi="Palatino Linotype" w:cs="Palatino Linotype"/>
          <w:i/>
          <w:sz w:val="22"/>
          <w:szCs w:val="22"/>
        </w:rPr>
        <w:t>VIII. Proponer a quien preside el Comité de Transparencia, personal habilitado que sea necesario para recibir y dar trámite a las solicitudes de acceso a la información;</w:t>
      </w:r>
    </w:p>
    <w:p w:rsidR="001B2EB2" w:rsidRPr="001F33E7" w:rsidRDefault="004C6419">
      <w:pPr>
        <w:spacing w:line="276" w:lineRule="auto"/>
        <w:ind w:left="1134" w:right="901"/>
        <w:jc w:val="both"/>
        <w:rPr>
          <w:sz w:val="22"/>
          <w:szCs w:val="22"/>
        </w:rPr>
      </w:pPr>
      <w:r w:rsidRPr="001F33E7">
        <w:rPr>
          <w:rFonts w:ascii="Palatino Linotype" w:eastAsia="Palatino Linotype" w:hAnsi="Palatino Linotype" w:cs="Palatino Linotype"/>
          <w:i/>
          <w:sz w:val="22"/>
          <w:szCs w:val="22"/>
        </w:rPr>
        <w:lastRenderedPageBreak/>
        <w:t>IX. Llevar un registro de las solicitudes de acceso a la información, sus respuestas, resultados, costos de reproducción y envío, resolución a los recursos de revisión que se hayan emitido en contra de sus respuestas y del cumplimiento de las mismas;</w:t>
      </w:r>
    </w:p>
    <w:p w:rsidR="001B2EB2" w:rsidRPr="001F33E7" w:rsidRDefault="004C6419">
      <w:pPr>
        <w:spacing w:line="276" w:lineRule="auto"/>
        <w:ind w:left="1134" w:right="901"/>
        <w:jc w:val="both"/>
        <w:rPr>
          <w:sz w:val="22"/>
          <w:szCs w:val="22"/>
        </w:rPr>
      </w:pPr>
      <w:r w:rsidRPr="001F33E7">
        <w:rPr>
          <w:rFonts w:ascii="Palatino Linotype" w:eastAsia="Palatino Linotype" w:hAnsi="Palatino Linotype" w:cs="Palatino Linotype"/>
          <w:i/>
          <w:sz w:val="22"/>
          <w:szCs w:val="22"/>
        </w:rPr>
        <w:t>X. Presentar ante el Comité, el proyecto de clasificación de información;</w:t>
      </w:r>
    </w:p>
    <w:p w:rsidR="001B2EB2" w:rsidRPr="001F33E7" w:rsidRDefault="004C6419">
      <w:pPr>
        <w:spacing w:line="276" w:lineRule="auto"/>
        <w:ind w:left="1134" w:right="901"/>
        <w:jc w:val="both"/>
        <w:rPr>
          <w:sz w:val="22"/>
          <w:szCs w:val="22"/>
        </w:rPr>
      </w:pPr>
      <w:r w:rsidRPr="001F33E7">
        <w:rPr>
          <w:rFonts w:ascii="Palatino Linotype" w:eastAsia="Palatino Linotype" w:hAnsi="Palatino Linotype" w:cs="Palatino Linotype"/>
          <w:i/>
          <w:sz w:val="22"/>
          <w:szCs w:val="22"/>
        </w:rPr>
        <w:t>XI. Promover e implementar políticas de transparencia proactiva procurando su accesibilidad;</w:t>
      </w:r>
    </w:p>
    <w:p w:rsidR="001B2EB2" w:rsidRPr="001F33E7" w:rsidRDefault="004C6419">
      <w:pPr>
        <w:spacing w:line="276" w:lineRule="auto"/>
        <w:ind w:left="1134" w:right="901"/>
        <w:jc w:val="both"/>
        <w:rPr>
          <w:sz w:val="22"/>
          <w:szCs w:val="22"/>
        </w:rPr>
      </w:pPr>
      <w:r w:rsidRPr="001F33E7">
        <w:rPr>
          <w:rFonts w:ascii="Palatino Linotype" w:eastAsia="Palatino Linotype" w:hAnsi="Palatino Linotype" w:cs="Palatino Linotype"/>
          <w:i/>
          <w:sz w:val="22"/>
          <w:szCs w:val="22"/>
        </w:rPr>
        <w:t>XII. Fomentar la transparencia y accesibilidad al interior del sujeto obligado;</w:t>
      </w:r>
    </w:p>
    <w:p w:rsidR="001B2EB2" w:rsidRPr="001F33E7" w:rsidRDefault="004C6419">
      <w:pPr>
        <w:spacing w:line="276" w:lineRule="auto"/>
        <w:ind w:left="1134" w:right="901"/>
        <w:jc w:val="both"/>
        <w:rPr>
          <w:sz w:val="22"/>
          <w:szCs w:val="22"/>
        </w:rPr>
      </w:pPr>
      <w:r w:rsidRPr="001F33E7">
        <w:rPr>
          <w:rFonts w:ascii="Palatino Linotype" w:eastAsia="Palatino Linotype" w:hAnsi="Palatino Linotype" w:cs="Palatino Linotype"/>
          <w:i/>
          <w:sz w:val="22"/>
          <w:szCs w:val="22"/>
        </w:rPr>
        <w:t>XIII. Hacer del conocimiento de la instancia competente la probable responsabilidad por el incumplimiento de las obligaciones previstas en la presente Ley; y</w:t>
      </w:r>
    </w:p>
    <w:p w:rsidR="001B2EB2" w:rsidRPr="001F33E7" w:rsidRDefault="004C6419">
      <w:pPr>
        <w:spacing w:line="276" w:lineRule="auto"/>
        <w:ind w:left="1134" w:right="901"/>
        <w:jc w:val="both"/>
        <w:rPr>
          <w:sz w:val="22"/>
          <w:szCs w:val="22"/>
        </w:rPr>
      </w:pPr>
      <w:r w:rsidRPr="001F33E7">
        <w:rPr>
          <w:rFonts w:ascii="Palatino Linotype" w:eastAsia="Palatino Linotype" w:hAnsi="Palatino Linotype" w:cs="Palatino Linotype"/>
          <w:i/>
          <w:sz w:val="22"/>
          <w:szCs w:val="22"/>
        </w:rPr>
        <w:t>XIV. Las demás que resulten necesarias para facilitar el acceso a la información y aquellas que se desprenden de la presente Ley y demás disposiciones jurídicas aplicables.</w:t>
      </w:r>
    </w:p>
    <w:p w:rsidR="001B2EB2" w:rsidRPr="001F33E7" w:rsidRDefault="004C6419">
      <w:pPr>
        <w:spacing w:line="276" w:lineRule="auto"/>
        <w:ind w:left="1134" w:right="901"/>
        <w:jc w:val="both"/>
        <w:rPr>
          <w:sz w:val="22"/>
          <w:szCs w:val="22"/>
        </w:rPr>
      </w:pPr>
      <w:r w:rsidRPr="001F33E7">
        <w:rPr>
          <w:rFonts w:ascii="Palatino Linotype" w:eastAsia="Palatino Linotype" w:hAnsi="Palatino Linotype" w:cs="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1B2EB2" w:rsidRPr="001F33E7" w:rsidRDefault="004C6419">
      <w:pPr>
        <w:spacing w:line="276" w:lineRule="auto"/>
        <w:ind w:left="1134" w:right="901"/>
        <w:jc w:val="both"/>
        <w:rPr>
          <w:sz w:val="22"/>
          <w:szCs w:val="22"/>
        </w:rPr>
      </w:pPr>
      <w:r w:rsidRPr="001F33E7">
        <w:rPr>
          <w:rFonts w:ascii="Palatino Linotype" w:eastAsia="Palatino Linotype" w:hAnsi="Palatino Linotype" w:cs="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1B2EB2" w:rsidRPr="001F33E7" w:rsidRDefault="001B2EB2">
      <w:pPr>
        <w:spacing w:line="276" w:lineRule="auto"/>
        <w:ind w:left="1134"/>
        <w:rPr>
          <w:sz w:val="22"/>
          <w:szCs w:val="22"/>
        </w:rPr>
      </w:pPr>
    </w:p>
    <w:p w:rsidR="001B2EB2" w:rsidRPr="001F33E7" w:rsidRDefault="004C6419">
      <w:pPr>
        <w:spacing w:line="276" w:lineRule="auto"/>
        <w:ind w:left="1134" w:right="901"/>
        <w:jc w:val="both"/>
        <w:rPr>
          <w:sz w:val="22"/>
          <w:szCs w:val="22"/>
        </w:rPr>
      </w:pPr>
      <w:r w:rsidRPr="001F33E7">
        <w:rPr>
          <w:rFonts w:ascii="Palatino Linotype" w:eastAsia="Palatino Linotype" w:hAnsi="Palatino Linotype" w:cs="Palatino Linotype"/>
          <w:b/>
          <w:i/>
          <w:sz w:val="22"/>
          <w:szCs w:val="22"/>
        </w:rPr>
        <w:t>Artículo 59</w:t>
      </w:r>
      <w:r w:rsidRPr="001F33E7">
        <w:rPr>
          <w:rFonts w:ascii="Palatino Linotype" w:eastAsia="Palatino Linotype" w:hAnsi="Palatino Linotype" w:cs="Palatino Linotype"/>
          <w:i/>
          <w:sz w:val="22"/>
          <w:szCs w:val="22"/>
        </w:rPr>
        <w:t>. Los servidores públicos habilitados tendrán las funciones siguientes:</w:t>
      </w:r>
    </w:p>
    <w:p w:rsidR="001B2EB2" w:rsidRPr="001F33E7" w:rsidRDefault="004C6419">
      <w:pPr>
        <w:spacing w:line="276" w:lineRule="auto"/>
        <w:ind w:left="1134" w:right="901"/>
        <w:jc w:val="both"/>
        <w:rPr>
          <w:sz w:val="22"/>
          <w:szCs w:val="22"/>
        </w:rPr>
      </w:pPr>
      <w:r w:rsidRPr="001F33E7">
        <w:rPr>
          <w:rFonts w:ascii="Palatino Linotype" w:eastAsia="Palatino Linotype" w:hAnsi="Palatino Linotype" w:cs="Palatino Linotype"/>
          <w:i/>
          <w:sz w:val="22"/>
          <w:szCs w:val="22"/>
        </w:rPr>
        <w:t>I. Localizar la información que le solicite la Unidad de Transparencia;</w:t>
      </w:r>
    </w:p>
    <w:p w:rsidR="001B2EB2" w:rsidRPr="001F33E7" w:rsidRDefault="004C6419">
      <w:pPr>
        <w:spacing w:line="276" w:lineRule="auto"/>
        <w:ind w:left="1134" w:right="901"/>
        <w:jc w:val="both"/>
        <w:rPr>
          <w:sz w:val="22"/>
          <w:szCs w:val="22"/>
        </w:rPr>
      </w:pPr>
      <w:r w:rsidRPr="001F33E7">
        <w:rPr>
          <w:rFonts w:ascii="Palatino Linotype" w:eastAsia="Palatino Linotype" w:hAnsi="Palatino Linotype" w:cs="Palatino Linotype"/>
          <w:i/>
          <w:sz w:val="22"/>
          <w:szCs w:val="22"/>
        </w:rPr>
        <w:t>II. Proporcionar la información que obre en los archivos y que le sea solicitada por la Unidad de Transparencia;</w:t>
      </w:r>
    </w:p>
    <w:p w:rsidR="001B2EB2" w:rsidRPr="001F33E7" w:rsidRDefault="004C6419">
      <w:pPr>
        <w:spacing w:line="276" w:lineRule="auto"/>
        <w:ind w:left="1134" w:right="901"/>
        <w:jc w:val="both"/>
        <w:rPr>
          <w:sz w:val="22"/>
          <w:szCs w:val="22"/>
        </w:rPr>
      </w:pPr>
      <w:r w:rsidRPr="001F33E7">
        <w:rPr>
          <w:rFonts w:ascii="Palatino Linotype" w:eastAsia="Palatino Linotype" w:hAnsi="Palatino Linotype" w:cs="Palatino Linotype"/>
          <w:i/>
          <w:sz w:val="22"/>
          <w:szCs w:val="22"/>
        </w:rPr>
        <w:lastRenderedPageBreak/>
        <w:t>III. Apoyar a la Unidad de Transparencia en lo que esta le solicite para el cumplimiento de sus funciones;</w:t>
      </w:r>
    </w:p>
    <w:p w:rsidR="001B2EB2" w:rsidRPr="001F33E7" w:rsidRDefault="004C6419">
      <w:pPr>
        <w:spacing w:line="276" w:lineRule="auto"/>
        <w:ind w:left="1134" w:right="901"/>
        <w:jc w:val="both"/>
        <w:rPr>
          <w:sz w:val="22"/>
          <w:szCs w:val="22"/>
        </w:rPr>
      </w:pPr>
      <w:r w:rsidRPr="001F33E7">
        <w:rPr>
          <w:rFonts w:ascii="Palatino Linotype" w:eastAsia="Palatino Linotype" w:hAnsi="Palatino Linotype" w:cs="Palatino Linotype"/>
          <w:i/>
          <w:sz w:val="22"/>
          <w:szCs w:val="22"/>
        </w:rPr>
        <w:t>IV. Proporcionar a la Unidad de Transparencia, las modificaciones a la información pública de oficio que obre en su poder;</w:t>
      </w:r>
    </w:p>
    <w:p w:rsidR="001B2EB2" w:rsidRPr="001F33E7" w:rsidRDefault="004C6419">
      <w:pPr>
        <w:spacing w:line="276" w:lineRule="auto"/>
        <w:ind w:left="1134" w:right="901"/>
        <w:jc w:val="both"/>
        <w:rPr>
          <w:sz w:val="22"/>
          <w:szCs w:val="22"/>
        </w:rPr>
      </w:pPr>
      <w:r w:rsidRPr="001F33E7">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rsidR="001B2EB2" w:rsidRPr="001F33E7" w:rsidRDefault="004C6419">
      <w:pPr>
        <w:spacing w:line="276" w:lineRule="auto"/>
        <w:ind w:left="1134" w:right="901"/>
        <w:jc w:val="both"/>
        <w:rPr>
          <w:sz w:val="22"/>
          <w:szCs w:val="22"/>
        </w:rPr>
      </w:pPr>
      <w:r w:rsidRPr="001F33E7">
        <w:rPr>
          <w:rFonts w:ascii="Palatino Linotype" w:eastAsia="Palatino Linotype" w:hAnsi="Palatino Linotype" w:cs="Palatino Linotype"/>
          <w:i/>
          <w:sz w:val="22"/>
          <w:szCs w:val="22"/>
        </w:rPr>
        <w:t>VI. Verificar, una vez analizado el contenido de la información, que no se encuentre en los supuestos de información clasificada; y</w:t>
      </w:r>
    </w:p>
    <w:p w:rsidR="001B2EB2" w:rsidRPr="001F33E7" w:rsidRDefault="004C6419">
      <w:pPr>
        <w:spacing w:line="276" w:lineRule="auto"/>
        <w:ind w:left="1134" w:right="901"/>
        <w:jc w:val="both"/>
        <w:rPr>
          <w:sz w:val="22"/>
          <w:szCs w:val="22"/>
        </w:rPr>
      </w:pPr>
      <w:r w:rsidRPr="001F33E7">
        <w:rPr>
          <w:rFonts w:ascii="Palatino Linotype" w:eastAsia="Palatino Linotype" w:hAnsi="Palatino Linotype" w:cs="Palatino Linotype"/>
          <w:i/>
          <w:sz w:val="22"/>
          <w:szCs w:val="22"/>
        </w:rPr>
        <w:t>VII. Dar cuenta a la Unidad de Transparencia del vencimiento de los plazos de reserva.</w:t>
      </w:r>
    </w:p>
    <w:p w:rsidR="001B2EB2" w:rsidRPr="001F33E7" w:rsidRDefault="001B2EB2">
      <w:pPr>
        <w:spacing w:line="276" w:lineRule="auto"/>
        <w:ind w:left="1134"/>
        <w:rPr>
          <w:sz w:val="22"/>
          <w:szCs w:val="22"/>
        </w:rPr>
      </w:pPr>
    </w:p>
    <w:p w:rsidR="001B2EB2" w:rsidRPr="001F33E7" w:rsidRDefault="004C6419">
      <w:pPr>
        <w:spacing w:line="276" w:lineRule="auto"/>
        <w:ind w:left="1134" w:right="901"/>
        <w:jc w:val="both"/>
        <w:rPr>
          <w:sz w:val="22"/>
          <w:szCs w:val="22"/>
        </w:rPr>
      </w:pPr>
      <w:r w:rsidRPr="001F33E7">
        <w:rPr>
          <w:rFonts w:ascii="Palatino Linotype" w:eastAsia="Palatino Linotype" w:hAnsi="Palatino Linotype" w:cs="Palatino Linotype"/>
          <w:b/>
          <w:i/>
          <w:sz w:val="22"/>
          <w:szCs w:val="22"/>
        </w:rPr>
        <w:t>Artículo 162</w:t>
      </w:r>
      <w:r w:rsidRPr="001F33E7">
        <w:rPr>
          <w:rFonts w:ascii="Palatino Linotype" w:eastAsia="Palatino Linotype" w:hAnsi="Palatino Linotype" w:cs="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1B2EB2" w:rsidRPr="001F33E7" w:rsidRDefault="004C6419">
      <w:pPr>
        <w:spacing w:line="276" w:lineRule="auto"/>
        <w:ind w:left="1134" w:right="901"/>
        <w:jc w:val="both"/>
        <w:rPr>
          <w:sz w:val="22"/>
          <w:szCs w:val="22"/>
        </w:rPr>
      </w:pPr>
      <w:r w:rsidRPr="001F33E7">
        <w:rPr>
          <w:rFonts w:ascii="Palatino Linotype" w:eastAsia="Palatino Linotype" w:hAnsi="Palatino Linotype" w:cs="Palatino Linotype"/>
          <w:i/>
          <w:sz w:val="22"/>
          <w:szCs w:val="22"/>
        </w:rPr>
        <w:t>(Énfasis añadido)</w:t>
      </w:r>
    </w:p>
    <w:p w:rsidR="001B2EB2" w:rsidRPr="001F33E7" w:rsidRDefault="001B2EB2">
      <w:pPr>
        <w:spacing w:line="360" w:lineRule="auto"/>
        <w:jc w:val="both"/>
        <w:rPr>
          <w:rFonts w:ascii="Palatino Linotype" w:eastAsia="Palatino Linotype" w:hAnsi="Palatino Linotype" w:cs="Palatino Linotype"/>
        </w:rPr>
      </w:pPr>
    </w:p>
    <w:p w:rsidR="001B2EB2" w:rsidRPr="001F33E7" w:rsidRDefault="004C6419">
      <w:pPr>
        <w:spacing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1F33E7">
        <w:rPr>
          <w:rFonts w:ascii="Palatino Linotype" w:eastAsia="Palatino Linotype" w:hAnsi="Palatino Linotype" w:cs="Palatino Linotype"/>
          <w:b/>
        </w:rPr>
        <w:t>EL SUJETO OBLIGADO</w:t>
      </w:r>
      <w:r w:rsidRPr="001F33E7">
        <w:rPr>
          <w:rFonts w:ascii="Palatino Linotype" w:eastAsia="Palatino Linotype" w:hAnsi="Palatino Linotype" w:cs="Palatino Linotype"/>
        </w:rPr>
        <w:t xml:space="preserve"> y los solicitantes, y tiene bajo su responsabilidad el tramitar internamente la solicitud de información.</w:t>
      </w:r>
    </w:p>
    <w:p w:rsidR="001B2EB2" w:rsidRPr="001F33E7" w:rsidRDefault="001B2EB2">
      <w:pPr>
        <w:spacing w:line="360" w:lineRule="auto"/>
        <w:jc w:val="both"/>
      </w:pPr>
    </w:p>
    <w:p w:rsidR="001B2EB2" w:rsidRPr="001F33E7" w:rsidRDefault="004C6419">
      <w:pPr>
        <w:spacing w:line="360" w:lineRule="auto"/>
        <w:jc w:val="both"/>
      </w:pPr>
      <w:r w:rsidRPr="001F33E7">
        <w:rPr>
          <w:rFonts w:ascii="Palatino Linotype" w:eastAsia="Palatino Linotype" w:hAnsi="Palatino Linotype" w:cs="Palatino Linotype"/>
        </w:rPr>
        <w:t xml:space="preserve">De tal manera que, si bien, el Titular de la Unidad de Transparencia no tiene bajo su resguardo el archivo que contiene la documentación en donde consta la información solicitada, sino que pudiera obrar en las distintas áreas que conforman la estructura </w:t>
      </w:r>
      <w:r w:rsidRPr="001F33E7">
        <w:rPr>
          <w:rFonts w:ascii="Palatino Linotype" w:eastAsia="Palatino Linotype" w:hAnsi="Palatino Linotype" w:cs="Palatino Linotype"/>
        </w:rPr>
        <w:lastRenderedPageBreak/>
        <w:t xml:space="preserve">del </w:t>
      </w:r>
      <w:r w:rsidRPr="001F33E7">
        <w:rPr>
          <w:rFonts w:ascii="Palatino Linotype" w:eastAsia="Palatino Linotype" w:hAnsi="Palatino Linotype" w:cs="Palatino Linotype"/>
          <w:b/>
        </w:rPr>
        <w:t xml:space="preserve">SUJETO OBLIGADO; </w:t>
      </w:r>
      <w:r w:rsidRPr="001F33E7">
        <w:rPr>
          <w:rFonts w:ascii="Palatino Linotype" w:eastAsia="Palatino Linotype" w:hAnsi="Palatino Linotype" w:cs="Palatino Linotype"/>
        </w:rPr>
        <w:t>es por ello que, debe turnar la solicitud a todas las áreas que pudieran generar, administrar o poseer la información requerida por el particular; pues tienen como función, buscar, localizar y poseer la información, así como entregarla.</w:t>
      </w:r>
    </w:p>
    <w:p w:rsidR="001B2EB2" w:rsidRPr="001F33E7" w:rsidRDefault="001B2EB2">
      <w:pPr>
        <w:spacing w:line="360" w:lineRule="auto"/>
      </w:pPr>
    </w:p>
    <w:p w:rsidR="001B2EB2" w:rsidRPr="001F33E7" w:rsidRDefault="004C6419">
      <w:pPr>
        <w:spacing w:line="360" w:lineRule="auto"/>
        <w:jc w:val="both"/>
      </w:pPr>
      <w:r w:rsidRPr="001F33E7">
        <w:rPr>
          <w:rFonts w:ascii="Palatino Linotype" w:eastAsia="Palatino Linotype" w:hAnsi="Palatino Linotype" w:cs="Palatino Linotype"/>
        </w:rPr>
        <w:t xml:space="preserve">Es así que, le corresponde al </w:t>
      </w:r>
      <w:r w:rsidRPr="001F33E7">
        <w:rPr>
          <w:rFonts w:ascii="Palatino Linotype" w:eastAsia="Palatino Linotype" w:hAnsi="Palatino Linotype" w:cs="Palatino Linotype"/>
          <w:b/>
        </w:rPr>
        <w:t>Titular de la Unidad de Transparencia el garantizar que las solicitudes se turnen a las áreas competentes que puedan contar con la información</w:t>
      </w:r>
      <w:r w:rsidRPr="001F33E7">
        <w:rPr>
          <w:rFonts w:ascii="Palatino Linotype" w:eastAsia="Palatino Linotype" w:hAnsi="Palatino Linotype" w:cs="Palatino Linotype"/>
        </w:rPr>
        <w:t>, con el objeto de que se realice una búsqueda exhaustiva y razonable de la misma. </w:t>
      </w:r>
    </w:p>
    <w:p w:rsidR="001B2EB2" w:rsidRPr="001F33E7" w:rsidRDefault="004C6419">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rPr>
      </w:pPr>
      <w:r w:rsidRPr="001F33E7">
        <w:rPr>
          <w:rFonts w:ascii="Palatino Linotype" w:eastAsia="Palatino Linotype" w:hAnsi="Palatino Linotype" w:cs="Palatino Linotype"/>
        </w:rPr>
        <w:t xml:space="preserve">Por lo tanto, el </w:t>
      </w:r>
      <w:r w:rsidRPr="001F33E7">
        <w:rPr>
          <w:rFonts w:ascii="Palatino Linotype" w:eastAsia="Palatino Linotype" w:hAnsi="Palatino Linotype" w:cs="Palatino Linotype"/>
          <w:b/>
        </w:rPr>
        <w:t>SUJETO OBLIGADO</w:t>
      </w:r>
      <w:r w:rsidRPr="001F33E7">
        <w:rPr>
          <w:rFonts w:ascii="Palatino Linotype" w:eastAsia="Palatino Linotype" w:hAnsi="Palatino Linotype" w:cs="Palatino Linotype"/>
        </w:rPr>
        <w:t xml:space="preserve">, deberá entregar previa búsqueda </w:t>
      </w:r>
      <w:proofErr w:type="spellStart"/>
      <w:r w:rsidRPr="001F33E7">
        <w:rPr>
          <w:rFonts w:ascii="Palatino Linotype" w:eastAsia="Palatino Linotype" w:hAnsi="Palatino Linotype" w:cs="Palatino Linotype"/>
        </w:rPr>
        <w:t>exahustiva</w:t>
      </w:r>
      <w:proofErr w:type="spellEnd"/>
      <w:r w:rsidRPr="001F33E7">
        <w:rPr>
          <w:rFonts w:ascii="Palatino Linotype" w:eastAsia="Palatino Linotype" w:hAnsi="Palatino Linotype" w:cs="Palatino Linotype"/>
        </w:rPr>
        <w:t xml:space="preserve"> y razonable, las estadísticas que obren en sus archivos con el mayor nivel de desagregación, de los eventos atendidos por la </w:t>
      </w:r>
      <w:r w:rsidRPr="001F33E7">
        <w:rPr>
          <w:rFonts w:ascii="Palatino Linotype" w:eastAsia="Palatino Linotype" w:hAnsi="Palatino Linotype" w:cs="Palatino Linotype"/>
          <w:b/>
        </w:rPr>
        <w:t xml:space="preserve">Dirección de Protección Civil y Bomberos </w:t>
      </w:r>
      <w:r w:rsidRPr="001F33E7">
        <w:rPr>
          <w:rFonts w:ascii="Palatino Linotype" w:eastAsia="Palatino Linotype" w:hAnsi="Palatino Linotype" w:cs="Palatino Linotype"/>
        </w:rPr>
        <w:t xml:space="preserve">de enero de dos mil dieciséis al treinta y uno de diciembre de dos mil veintiuno. </w:t>
      </w:r>
    </w:p>
    <w:p w:rsidR="001B2EB2" w:rsidRPr="001F33E7" w:rsidRDefault="001B2EB2">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p>
    <w:p w:rsidR="001B2EB2" w:rsidRPr="001F33E7" w:rsidRDefault="004C6419">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b/>
        </w:rPr>
      </w:pPr>
      <w:r w:rsidRPr="001F33E7">
        <w:rPr>
          <w:rFonts w:ascii="Palatino Linotype" w:eastAsia="Palatino Linotype" w:hAnsi="Palatino Linotype" w:cs="Palatino Linotype"/>
        </w:rPr>
        <w:t xml:space="preserve">Ahora bien, respecto a la parte de las solicitud donde se especificó que la información se requiere en formato </w:t>
      </w:r>
      <w:proofErr w:type="spellStart"/>
      <w:r w:rsidRPr="001F33E7">
        <w:rPr>
          <w:rFonts w:ascii="Palatino Linotype" w:eastAsia="Palatino Linotype" w:hAnsi="Palatino Linotype" w:cs="Palatino Linotype"/>
          <w:b/>
        </w:rPr>
        <w:t>txt</w:t>
      </w:r>
      <w:proofErr w:type="spellEnd"/>
      <w:r w:rsidRPr="001F33E7">
        <w:rPr>
          <w:rFonts w:ascii="Palatino Linotype" w:eastAsia="Palatino Linotype" w:hAnsi="Palatino Linotype" w:cs="Palatino Linotype"/>
          <w:b/>
        </w:rPr>
        <w:t xml:space="preserve">, </w:t>
      </w:r>
      <w:proofErr w:type="spellStart"/>
      <w:r w:rsidRPr="001F33E7">
        <w:rPr>
          <w:rFonts w:ascii="Palatino Linotype" w:eastAsia="Palatino Linotype" w:hAnsi="Palatino Linotype" w:cs="Palatino Linotype"/>
          <w:b/>
        </w:rPr>
        <w:t>csv</w:t>
      </w:r>
      <w:proofErr w:type="spellEnd"/>
      <w:r w:rsidRPr="001F33E7">
        <w:rPr>
          <w:rFonts w:ascii="Palatino Linotype" w:eastAsia="Palatino Linotype" w:hAnsi="Palatino Linotype" w:cs="Palatino Linotype"/>
          <w:b/>
        </w:rPr>
        <w:t xml:space="preserve"> o </w:t>
      </w:r>
      <w:proofErr w:type="spellStart"/>
      <w:r w:rsidRPr="001F33E7">
        <w:rPr>
          <w:rFonts w:ascii="Palatino Linotype" w:eastAsia="Palatino Linotype" w:hAnsi="Palatino Linotype" w:cs="Palatino Linotype"/>
          <w:b/>
        </w:rPr>
        <w:t>xlx</w:t>
      </w:r>
      <w:proofErr w:type="spellEnd"/>
      <w:r w:rsidRPr="001F33E7">
        <w:rPr>
          <w:rFonts w:ascii="Palatino Linotype" w:eastAsia="Palatino Linotype" w:hAnsi="Palatino Linotype" w:cs="Palatino Linotype"/>
          <w:b/>
        </w:rPr>
        <w:t xml:space="preserve">, </w:t>
      </w:r>
      <w:r w:rsidRPr="001F33E7">
        <w:rPr>
          <w:rFonts w:ascii="Palatino Linotype" w:eastAsia="Palatino Linotype" w:hAnsi="Palatino Linotype" w:cs="Palatino Linotype"/>
        </w:rPr>
        <w:t xml:space="preserve">se advierte que se debe privilegiar la entrega en </w:t>
      </w:r>
      <w:r w:rsidRPr="001F33E7">
        <w:rPr>
          <w:rFonts w:ascii="Palatino Linotype" w:eastAsia="Palatino Linotype" w:hAnsi="Palatino Linotype" w:cs="Palatino Linotype"/>
          <w:b/>
        </w:rPr>
        <w:t>formatos abiertos</w:t>
      </w:r>
      <w:r w:rsidRPr="001F33E7">
        <w:rPr>
          <w:rFonts w:ascii="Palatino Linotype" w:eastAsia="Palatino Linotype" w:hAnsi="Palatino Linotype" w:cs="Palatino Linotype"/>
        </w:rPr>
        <w:t xml:space="preserve"> para su reproducción; en este sentido, la Ley de Transparencia, en su artículo 3°, los define de la siguiente manera:</w:t>
      </w:r>
    </w:p>
    <w:p w:rsidR="001B2EB2" w:rsidRPr="001F33E7" w:rsidRDefault="004C6419">
      <w:pPr>
        <w:tabs>
          <w:tab w:val="left" w:pos="7938"/>
          <w:tab w:val="left" w:pos="8080"/>
        </w:tabs>
        <w:spacing w:line="276" w:lineRule="auto"/>
        <w:ind w:left="1134" w:right="900"/>
        <w:jc w:val="both"/>
        <w:rPr>
          <w:rFonts w:ascii="Palatino Linotype" w:eastAsia="Palatino Linotype" w:hAnsi="Palatino Linotype" w:cs="Palatino Linotype"/>
          <w:i/>
          <w:sz w:val="21"/>
          <w:szCs w:val="21"/>
        </w:rPr>
      </w:pPr>
      <w:r w:rsidRPr="001F33E7">
        <w:rPr>
          <w:rFonts w:ascii="Palatino Linotype" w:eastAsia="Palatino Linotype" w:hAnsi="Palatino Linotype" w:cs="Palatino Linotype"/>
          <w:i/>
          <w:sz w:val="21"/>
          <w:szCs w:val="21"/>
        </w:rPr>
        <w:t xml:space="preserve">XVI. </w:t>
      </w:r>
      <w:r w:rsidRPr="001F33E7">
        <w:rPr>
          <w:rFonts w:ascii="Palatino Linotype" w:eastAsia="Palatino Linotype" w:hAnsi="Palatino Linotype" w:cs="Palatino Linotype"/>
          <w:b/>
          <w:i/>
          <w:sz w:val="21"/>
          <w:szCs w:val="21"/>
        </w:rPr>
        <w:t>Formatos abiertos</w:t>
      </w:r>
      <w:r w:rsidRPr="001F33E7">
        <w:rPr>
          <w:rFonts w:ascii="Palatino Linotype" w:eastAsia="Palatino Linotype" w:hAnsi="Palatino Linotype" w:cs="Palatino Linotype"/>
          <w:i/>
          <w:sz w:val="21"/>
          <w:szCs w:val="21"/>
        </w:rPr>
        <w:t>: Conjunto de características técnicas y de presentación de la información que corresponden a la estructura lógica usada para almacenar datos de forma integral y facilitan su procesamiento digital, cuyas especificaciones están disponibles públicamente y que permiten el acceso sin restricción de uso por parte de los usuarios;</w:t>
      </w:r>
    </w:p>
    <w:p w:rsidR="001B2EB2" w:rsidRPr="001F33E7" w:rsidRDefault="001B2EB2">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i/>
          <w:sz w:val="21"/>
          <w:szCs w:val="21"/>
        </w:rPr>
      </w:pPr>
    </w:p>
    <w:p w:rsidR="001B2EB2" w:rsidRPr="001F33E7" w:rsidRDefault="004C6419">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rPr>
      </w:pPr>
      <w:r w:rsidRPr="001F33E7">
        <w:rPr>
          <w:rFonts w:ascii="Palatino Linotype" w:eastAsia="Palatino Linotype" w:hAnsi="Palatino Linotype" w:cs="Palatino Linotype"/>
        </w:rPr>
        <w:t xml:space="preserve">Así, la información deberá ser atendida por el </w:t>
      </w:r>
      <w:r w:rsidRPr="001F33E7">
        <w:rPr>
          <w:rFonts w:ascii="Palatino Linotype" w:eastAsia="Palatino Linotype" w:hAnsi="Palatino Linotype" w:cs="Palatino Linotype"/>
          <w:b/>
        </w:rPr>
        <w:t xml:space="preserve">SUJETO OBLIGADO </w:t>
      </w:r>
      <w:r w:rsidRPr="001F33E7">
        <w:rPr>
          <w:rFonts w:ascii="Palatino Linotype" w:eastAsia="Palatino Linotype" w:hAnsi="Palatino Linotype" w:cs="Palatino Linotype"/>
        </w:rPr>
        <w:t xml:space="preserve">en las extensiones solicitadas; sin embargo, en caso de no contar con la misma, deberá ser precisado para dar certeza a la </w:t>
      </w:r>
      <w:r w:rsidRPr="001F33E7">
        <w:rPr>
          <w:rFonts w:ascii="Palatino Linotype" w:eastAsia="Palatino Linotype" w:hAnsi="Palatino Linotype" w:cs="Palatino Linotype"/>
          <w:b/>
        </w:rPr>
        <w:t>RECURRENTE</w:t>
      </w:r>
      <w:r w:rsidRPr="001F33E7">
        <w:rPr>
          <w:rFonts w:ascii="Palatino Linotype" w:eastAsia="Palatino Linotype" w:hAnsi="Palatino Linotype" w:cs="Palatino Linotype"/>
        </w:rPr>
        <w:t xml:space="preserve">, de que se buscó atender al requerimiento en el formato correspondiente, de conformidad con el segundo párrafo del artículo 19 de la Ley en la materia. </w:t>
      </w:r>
    </w:p>
    <w:p w:rsidR="001B2EB2" w:rsidRPr="001F33E7" w:rsidRDefault="004C6419">
      <w:pPr>
        <w:spacing w:before="240" w:after="240"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b/>
        </w:rPr>
        <w:t>Quinto. Versión Pública.</w:t>
      </w:r>
      <w:r w:rsidRPr="001F33E7">
        <w:rPr>
          <w:rFonts w:ascii="Palatino Linotype" w:eastAsia="Palatino Linotype" w:hAnsi="Palatino Linotype" w:cs="Palatino Linotype"/>
          <w:sz w:val="28"/>
          <w:szCs w:val="28"/>
        </w:rPr>
        <w:t xml:space="preserve"> </w:t>
      </w:r>
      <w:r w:rsidRPr="001F33E7">
        <w:rPr>
          <w:rFonts w:ascii="Palatino Linotype" w:eastAsia="Palatino Linotype" w:hAnsi="Palatino Linotype" w:cs="Palatino Linotype"/>
        </w:rPr>
        <w:t>Finalmente, debe señalarse que de ser el caso en que los documentos que vayan a ser entregados por el</w:t>
      </w:r>
      <w:r w:rsidRPr="001F33E7">
        <w:rPr>
          <w:rFonts w:ascii="Palatino Linotype" w:eastAsia="Palatino Linotype" w:hAnsi="Palatino Linotype" w:cs="Palatino Linotype"/>
          <w:b/>
        </w:rPr>
        <w:t xml:space="preserve"> Sujeto Obligado,</w:t>
      </w:r>
      <w:r w:rsidRPr="001F33E7">
        <w:rPr>
          <w:rFonts w:ascii="Palatino Linotype" w:eastAsia="Palatino Linotype" w:hAnsi="Palatino Linotype" w:cs="Palatino Linotype"/>
        </w:rPr>
        <w:t xml:space="preserve"> para dar cumplimiento a la presente resolución, contengan datos que deban ser clasificados, el </w:t>
      </w:r>
      <w:r w:rsidRPr="001F33E7">
        <w:rPr>
          <w:rFonts w:ascii="Palatino Linotype" w:eastAsia="Palatino Linotype" w:hAnsi="Palatino Linotype" w:cs="Palatino Linotype"/>
          <w:b/>
        </w:rPr>
        <w:t>Sujeto Obligado</w:t>
      </w:r>
      <w:r w:rsidRPr="001F33E7">
        <w:rPr>
          <w:rFonts w:ascii="Palatino Linotype" w:eastAsia="Palatino Linotype" w:hAnsi="Palatino Linotype" w:cs="Palatino Linotype"/>
        </w:rPr>
        <w:t xml:space="preserve"> deberá hacer la elaboración de la versión pública de tales documentos a fin de satisfacer el derecho de acceso a la información pública del recurrente sin menoscabo al derecho a la protección de los datos personales de terceros.</w:t>
      </w:r>
    </w:p>
    <w:p w:rsidR="001B2EB2" w:rsidRPr="001F33E7" w:rsidRDefault="004C6419">
      <w:pPr>
        <w:spacing w:before="240" w:after="240"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rPr>
        <w:t xml:space="preserve">Para efectos de la elaboración de la versión pública se deberá observar lo dispuesto por los artículos 3 fracciones IX, XX, XXI y XLV, 91, 132 fracciones II y III, y 143 </w:t>
      </w:r>
      <w:proofErr w:type="gramStart"/>
      <w:r w:rsidRPr="001F33E7">
        <w:rPr>
          <w:rFonts w:ascii="Palatino Linotype" w:eastAsia="Palatino Linotype" w:hAnsi="Palatino Linotype" w:cs="Palatino Linotype"/>
        </w:rPr>
        <w:t>fracción</w:t>
      </w:r>
      <w:proofErr w:type="gramEnd"/>
      <w:r w:rsidRPr="001F33E7">
        <w:rPr>
          <w:rFonts w:ascii="Palatino Linotype" w:eastAsia="Palatino Linotype" w:hAnsi="Palatino Linotype" w:cs="Palatino Linotype"/>
        </w:rPr>
        <w:t xml:space="preserve"> I de la Ley de Transparencia y Acceso a la Información Pública del Estado de México y Municipios que establecen:</w:t>
      </w:r>
    </w:p>
    <w:p w:rsidR="001B2EB2" w:rsidRPr="001F33E7" w:rsidRDefault="004C6419">
      <w:pPr>
        <w:spacing w:before="120" w:after="120"/>
        <w:ind w:left="1134" w:right="902"/>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w:t>
      </w:r>
      <w:r w:rsidRPr="001F33E7">
        <w:rPr>
          <w:rFonts w:ascii="Palatino Linotype" w:eastAsia="Palatino Linotype" w:hAnsi="Palatino Linotype" w:cs="Palatino Linotype"/>
          <w:b/>
          <w:i/>
          <w:sz w:val="22"/>
          <w:szCs w:val="22"/>
        </w:rPr>
        <w:t>Artículo 3</w:t>
      </w:r>
      <w:r w:rsidRPr="001F33E7">
        <w:rPr>
          <w:rFonts w:ascii="Palatino Linotype" w:eastAsia="Palatino Linotype" w:hAnsi="Palatino Linotype" w:cs="Palatino Linotype"/>
          <w:i/>
          <w:sz w:val="22"/>
          <w:szCs w:val="22"/>
        </w:rPr>
        <w:t>. Para los efectos de la presente Ley se entenderá por:</w:t>
      </w:r>
    </w:p>
    <w:p w:rsidR="001B2EB2" w:rsidRPr="001F33E7" w:rsidRDefault="004C6419">
      <w:pPr>
        <w:spacing w:before="120" w:after="120"/>
        <w:ind w:left="1134" w:right="902"/>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w:t>
      </w:r>
    </w:p>
    <w:p w:rsidR="001B2EB2" w:rsidRPr="001F33E7" w:rsidRDefault="004C6419">
      <w:pPr>
        <w:spacing w:before="120" w:after="120"/>
        <w:ind w:left="1134" w:right="902"/>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b/>
          <w:i/>
          <w:sz w:val="22"/>
          <w:szCs w:val="22"/>
        </w:rPr>
        <w:t>IX. Datos personales</w:t>
      </w:r>
      <w:r w:rsidRPr="001F33E7">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1B2EB2" w:rsidRPr="001F33E7" w:rsidRDefault="004C6419">
      <w:pPr>
        <w:spacing w:before="120" w:after="120"/>
        <w:ind w:left="1134" w:right="902"/>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b/>
          <w:i/>
          <w:sz w:val="22"/>
          <w:szCs w:val="22"/>
        </w:rPr>
        <w:t>XX. Información clasificada</w:t>
      </w:r>
      <w:r w:rsidRPr="001F33E7">
        <w:rPr>
          <w:rFonts w:ascii="Palatino Linotype" w:eastAsia="Palatino Linotype" w:hAnsi="Palatino Linotype" w:cs="Palatino Linotype"/>
          <w:i/>
          <w:sz w:val="22"/>
          <w:szCs w:val="22"/>
        </w:rPr>
        <w:t>: Aquella considerada por la presente Ley como reservada o confidencial;</w:t>
      </w:r>
    </w:p>
    <w:p w:rsidR="001B2EB2" w:rsidRPr="001F33E7" w:rsidRDefault="004C6419">
      <w:pPr>
        <w:spacing w:before="120" w:after="120"/>
        <w:ind w:left="1134" w:right="902"/>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b/>
          <w:i/>
          <w:sz w:val="22"/>
          <w:szCs w:val="22"/>
        </w:rPr>
        <w:lastRenderedPageBreak/>
        <w:t xml:space="preserve">XXI. Información confidencial: </w:t>
      </w:r>
      <w:r w:rsidRPr="001F33E7">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1B2EB2" w:rsidRPr="001F33E7" w:rsidRDefault="004C6419">
      <w:pPr>
        <w:spacing w:before="120" w:after="120"/>
        <w:ind w:left="1134" w:right="902"/>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b/>
          <w:i/>
          <w:sz w:val="22"/>
          <w:szCs w:val="22"/>
        </w:rPr>
        <w:t>XLV. Versión pública:</w:t>
      </w:r>
      <w:r w:rsidRPr="001F33E7">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1B2EB2" w:rsidRPr="001F33E7" w:rsidRDefault="004C6419">
      <w:pPr>
        <w:spacing w:before="120" w:after="120"/>
        <w:ind w:left="1134" w:right="902"/>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w:t>
      </w:r>
    </w:p>
    <w:p w:rsidR="001B2EB2" w:rsidRPr="001F33E7" w:rsidRDefault="004C6419">
      <w:pPr>
        <w:spacing w:before="120" w:after="120"/>
        <w:ind w:left="1134" w:right="902"/>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b/>
          <w:i/>
          <w:sz w:val="22"/>
          <w:szCs w:val="22"/>
        </w:rPr>
        <w:t>Artículo 91.</w:t>
      </w:r>
      <w:r w:rsidRPr="001F33E7">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rsidR="001B2EB2" w:rsidRPr="001F33E7" w:rsidRDefault="004C6419">
      <w:pPr>
        <w:spacing w:before="120" w:after="120"/>
        <w:ind w:left="1134" w:right="902"/>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b/>
          <w:i/>
          <w:sz w:val="22"/>
          <w:szCs w:val="22"/>
        </w:rPr>
        <w:t>Artículo 132.</w:t>
      </w:r>
      <w:r w:rsidRPr="001F33E7">
        <w:rPr>
          <w:rFonts w:ascii="Palatino Linotype" w:eastAsia="Palatino Linotype" w:hAnsi="Palatino Linotype" w:cs="Palatino Linotype"/>
          <w:i/>
          <w:sz w:val="22"/>
          <w:szCs w:val="22"/>
        </w:rPr>
        <w:t xml:space="preserve"> La clasificación de la información se llevará a cabo en el momento en que:</w:t>
      </w:r>
    </w:p>
    <w:p w:rsidR="001B2EB2" w:rsidRPr="001F33E7" w:rsidRDefault="004C6419">
      <w:pPr>
        <w:spacing w:before="120" w:after="120"/>
        <w:ind w:left="1134" w:right="902"/>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b/>
          <w:i/>
          <w:sz w:val="22"/>
          <w:szCs w:val="22"/>
        </w:rPr>
        <w:t>I</w:t>
      </w:r>
      <w:r w:rsidRPr="001F33E7">
        <w:rPr>
          <w:rFonts w:ascii="Palatino Linotype" w:eastAsia="Palatino Linotype" w:hAnsi="Palatino Linotype" w:cs="Palatino Linotype"/>
          <w:i/>
          <w:sz w:val="22"/>
          <w:szCs w:val="22"/>
        </w:rPr>
        <w:t>. Se reciba una solicitud de acceso a la información;</w:t>
      </w:r>
    </w:p>
    <w:p w:rsidR="001B2EB2" w:rsidRPr="001F33E7" w:rsidRDefault="004C6419">
      <w:pPr>
        <w:spacing w:before="120" w:after="120"/>
        <w:ind w:left="1134" w:right="902"/>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b/>
          <w:i/>
          <w:sz w:val="22"/>
          <w:szCs w:val="22"/>
        </w:rPr>
        <w:t>II.</w:t>
      </w:r>
      <w:r w:rsidRPr="001F33E7">
        <w:rPr>
          <w:rFonts w:ascii="Palatino Linotype" w:eastAsia="Palatino Linotype" w:hAnsi="Palatino Linotype" w:cs="Palatino Linotype"/>
          <w:i/>
          <w:sz w:val="22"/>
          <w:szCs w:val="22"/>
        </w:rPr>
        <w:t xml:space="preserve"> Se determine mediante resolución de autoridad competente; o</w:t>
      </w:r>
    </w:p>
    <w:p w:rsidR="001B2EB2" w:rsidRPr="001F33E7" w:rsidRDefault="004C6419">
      <w:pPr>
        <w:spacing w:before="120" w:after="120"/>
        <w:ind w:left="1134" w:right="902"/>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b/>
          <w:i/>
          <w:sz w:val="22"/>
          <w:szCs w:val="22"/>
        </w:rPr>
        <w:t>III.</w:t>
      </w:r>
      <w:r w:rsidRPr="001F33E7">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rsidR="001B2EB2" w:rsidRPr="001F33E7" w:rsidRDefault="004C6419">
      <w:pPr>
        <w:spacing w:before="120" w:after="120"/>
        <w:ind w:left="1134" w:right="902"/>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w:t>
      </w:r>
    </w:p>
    <w:p w:rsidR="001B2EB2" w:rsidRPr="001F33E7" w:rsidRDefault="004C6419">
      <w:pPr>
        <w:spacing w:before="120" w:after="120"/>
        <w:ind w:left="1134" w:right="902"/>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b/>
          <w:i/>
          <w:sz w:val="22"/>
          <w:szCs w:val="22"/>
        </w:rPr>
        <w:t>Artículo 143</w:t>
      </w:r>
      <w:r w:rsidRPr="001F33E7">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1B2EB2" w:rsidRPr="001F33E7" w:rsidRDefault="004C6419">
      <w:pPr>
        <w:spacing w:before="120" w:after="120"/>
        <w:ind w:left="1134" w:right="902"/>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b/>
          <w:i/>
          <w:sz w:val="22"/>
          <w:szCs w:val="22"/>
        </w:rPr>
        <w:t>I.</w:t>
      </w:r>
      <w:r w:rsidRPr="001F33E7">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1F33E7">
        <w:rPr>
          <w:rFonts w:ascii="Palatino Linotype" w:eastAsia="Palatino Linotype" w:hAnsi="Palatino Linotype" w:cs="Palatino Linotype"/>
          <w:i/>
          <w:sz w:val="22"/>
          <w:szCs w:val="22"/>
        </w:rPr>
        <w:t>jurídico</w:t>
      </w:r>
      <w:proofErr w:type="gramEnd"/>
      <w:r w:rsidRPr="001F33E7">
        <w:rPr>
          <w:rFonts w:ascii="Palatino Linotype" w:eastAsia="Palatino Linotype" w:hAnsi="Palatino Linotype" w:cs="Palatino Linotype"/>
          <w:i/>
          <w:sz w:val="22"/>
          <w:szCs w:val="22"/>
        </w:rPr>
        <w:t xml:space="preserve"> colectiva identificada o identificable;</w:t>
      </w:r>
    </w:p>
    <w:p w:rsidR="001B2EB2" w:rsidRPr="001F33E7" w:rsidRDefault="004C6419">
      <w:pPr>
        <w:spacing w:before="120" w:after="120"/>
        <w:ind w:left="1134" w:right="902"/>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b/>
          <w:i/>
          <w:sz w:val="22"/>
          <w:szCs w:val="22"/>
        </w:rPr>
        <w:t>II.</w:t>
      </w:r>
      <w:r w:rsidRPr="001F33E7">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1B2EB2" w:rsidRPr="001F33E7" w:rsidRDefault="004C6419">
      <w:pPr>
        <w:spacing w:before="120" w:after="120"/>
        <w:ind w:left="1134" w:right="902"/>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b/>
          <w:i/>
          <w:sz w:val="22"/>
          <w:szCs w:val="22"/>
        </w:rPr>
        <w:t>III.</w:t>
      </w:r>
      <w:r w:rsidRPr="001F33E7">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rsidR="001B2EB2" w:rsidRPr="001F33E7" w:rsidRDefault="004C6419">
      <w:pPr>
        <w:spacing w:before="120" w:after="120"/>
        <w:ind w:left="1134" w:right="902"/>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1B2EB2" w:rsidRPr="001F33E7" w:rsidRDefault="004C6419">
      <w:pPr>
        <w:spacing w:before="120" w:after="120"/>
        <w:ind w:left="1134" w:right="902"/>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lastRenderedPageBreak/>
        <w:t>No se considerará confidencial la información que se encuentre en los registros públicos o en fuentes de acceso público, ni tampoco la que sea considerada por la presente ley como información pública.”</w:t>
      </w:r>
    </w:p>
    <w:p w:rsidR="001B2EB2" w:rsidRPr="001F33E7" w:rsidRDefault="004C6419">
      <w:pPr>
        <w:spacing w:before="240" w:after="240"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1B2EB2" w:rsidRPr="001F33E7" w:rsidRDefault="004C6419">
      <w:pPr>
        <w:spacing w:before="240" w:after="240"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1B2EB2" w:rsidRPr="001F33E7" w:rsidRDefault="004C6419">
      <w:pPr>
        <w:spacing w:before="120" w:after="120" w:line="276" w:lineRule="auto"/>
        <w:ind w:left="1134" w:right="902"/>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b/>
          <w:i/>
          <w:sz w:val="22"/>
          <w:szCs w:val="22"/>
        </w:rPr>
        <w:t>“Quincuagésimo sexto</w:t>
      </w:r>
      <w:r w:rsidRPr="001F33E7">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1B2EB2" w:rsidRPr="001F33E7" w:rsidRDefault="004C6419">
      <w:pPr>
        <w:spacing w:before="120" w:after="120" w:line="276" w:lineRule="auto"/>
        <w:ind w:left="1134" w:right="902"/>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b/>
          <w:i/>
          <w:sz w:val="22"/>
          <w:szCs w:val="22"/>
        </w:rPr>
        <w:t>Quincuagésimo séptimo</w:t>
      </w:r>
      <w:r w:rsidRPr="001F33E7">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rsidR="001B2EB2" w:rsidRPr="001F33E7" w:rsidRDefault="004C6419">
      <w:pPr>
        <w:spacing w:before="120" w:after="120" w:line="276" w:lineRule="auto"/>
        <w:ind w:left="1134" w:right="902"/>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b/>
          <w:i/>
          <w:sz w:val="22"/>
          <w:szCs w:val="22"/>
        </w:rPr>
        <w:t>I.</w:t>
      </w:r>
      <w:r w:rsidRPr="001F33E7">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1B2EB2" w:rsidRPr="001F33E7" w:rsidRDefault="004C6419">
      <w:pPr>
        <w:spacing w:before="120" w:after="120" w:line="276" w:lineRule="auto"/>
        <w:ind w:left="1134" w:right="902"/>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b/>
          <w:i/>
          <w:sz w:val="22"/>
          <w:szCs w:val="22"/>
        </w:rPr>
        <w:t>II.</w:t>
      </w:r>
      <w:r w:rsidRPr="001F33E7">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rsidR="001B2EB2" w:rsidRPr="001F33E7" w:rsidRDefault="004C6419">
      <w:pPr>
        <w:spacing w:before="120" w:after="120" w:line="276" w:lineRule="auto"/>
        <w:ind w:left="1134" w:right="902"/>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b/>
          <w:i/>
          <w:sz w:val="22"/>
          <w:szCs w:val="22"/>
        </w:rPr>
        <w:lastRenderedPageBreak/>
        <w:t>III.</w:t>
      </w:r>
      <w:r w:rsidRPr="001F33E7">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1B2EB2" w:rsidRPr="001F33E7" w:rsidRDefault="004C6419">
      <w:pPr>
        <w:spacing w:before="120" w:after="120" w:line="276" w:lineRule="auto"/>
        <w:ind w:left="1134" w:right="902"/>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rsidR="001B2EB2" w:rsidRPr="001F33E7" w:rsidRDefault="004C6419">
      <w:pPr>
        <w:spacing w:before="120" w:after="120" w:line="276" w:lineRule="auto"/>
        <w:ind w:left="1134" w:right="902"/>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b/>
          <w:i/>
          <w:sz w:val="22"/>
          <w:szCs w:val="22"/>
        </w:rPr>
        <w:t>Quincuagésimo octavo</w:t>
      </w:r>
      <w:r w:rsidRPr="001F33E7">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rsidR="001B2EB2" w:rsidRPr="001F33E7" w:rsidRDefault="004C6419">
      <w:pPr>
        <w:spacing w:before="240" w:after="240"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1F33E7">
        <w:rPr>
          <w:rFonts w:ascii="Palatino Linotype" w:eastAsia="Palatino Linotype" w:hAnsi="Palatino Linotype" w:cs="Palatino Linotype"/>
          <w:b/>
        </w:rPr>
        <w:t>Sujeto Obligado</w:t>
      </w:r>
      <w:r w:rsidRPr="001F33E7">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1B2EB2" w:rsidRPr="001F33E7" w:rsidRDefault="004C6419">
      <w:pPr>
        <w:spacing w:before="240" w:after="240"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5"/>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421"/>
        <w:gridCol w:w="968"/>
        <w:gridCol w:w="3446"/>
      </w:tblGrid>
      <w:tr w:rsidR="001F33E7" w:rsidRPr="001F33E7" w:rsidTr="001B2E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rsidR="001B2EB2" w:rsidRPr="001F33E7" w:rsidRDefault="004C6419">
            <w:pPr>
              <w:jc w:val="center"/>
              <w:rPr>
                <w:rFonts w:ascii="Palatino Linotype" w:eastAsia="Palatino Linotype" w:hAnsi="Palatino Linotype" w:cs="Palatino Linotype"/>
                <w:sz w:val="12"/>
                <w:szCs w:val="12"/>
              </w:rPr>
            </w:pPr>
            <w:r w:rsidRPr="001F33E7">
              <w:rPr>
                <w:rFonts w:ascii="Palatino Linotype" w:eastAsia="Palatino Linotype" w:hAnsi="Palatino Linotype" w:cs="Palatino Linotype"/>
                <w:sz w:val="12"/>
                <w:szCs w:val="12"/>
              </w:rPr>
              <w:t>Parcial</w:t>
            </w:r>
          </w:p>
        </w:tc>
        <w:tc>
          <w:tcPr>
            <w:tcW w:w="4414" w:type="dxa"/>
            <w:gridSpan w:val="2"/>
          </w:tcPr>
          <w:p w:rsidR="001B2EB2" w:rsidRPr="001F33E7" w:rsidRDefault="004C6419">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1F33E7">
              <w:rPr>
                <w:rFonts w:ascii="Palatino Linotype" w:eastAsia="Palatino Linotype" w:hAnsi="Palatino Linotype" w:cs="Palatino Linotype"/>
                <w:sz w:val="12"/>
                <w:szCs w:val="12"/>
              </w:rPr>
              <w:t>Total</w:t>
            </w:r>
          </w:p>
        </w:tc>
      </w:tr>
      <w:tr w:rsidR="001F33E7" w:rsidRPr="001F33E7" w:rsidTr="001B2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1B2EB2" w:rsidRPr="001F33E7" w:rsidRDefault="004C6419">
            <w:pPr>
              <w:jc w:val="center"/>
              <w:rPr>
                <w:rFonts w:ascii="Palatino Linotype" w:eastAsia="Palatino Linotype" w:hAnsi="Palatino Linotype" w:cs="Palatino Linotype"/>
                <w:sz w:val="12"/>
                <w:szCs w:val="12"/>
              </w:rPr>
            </w:pPr>
            <w:r w:rsidRPr="001F33E7">
              <w:rPr>
                <w:rFonts w:ascii="Palatino Linotype" w:eastAsia="Palatino Linotype" w:hAnsi="Palatino Linotype" w:cs="Palatino Linotype"/>
                <w:sz w:val="12"/>
                <w:szCs w:val="12"/>
              </w:rPr>
              <w:t>Concepto</w:t>
            </w:r>
          </w:p>
        </w:tc>
        <w:tc>
          <w:tcPr>
            <w:tcW w:w="3421" w:type="dxa"/>
          </w:tcPr>
          <w:p w:rsidR="001B2EB2" w:rsidRPr="001F33E7" w:rsidRDefault="004C6419">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1F33E7">
              <w:rPr>
                <w:rFonts w:ascii="Palatino Linotype" w:eastAsia="Palatino Linotype" w:hAnsi="Palatino Linotype" w:cs="Palatino Linotype"/>
                <w:b/>
                <w:sz w:val="12"/>
                <w:szCs w:val="12"/>
              </w:rPr>
              <w:t>Dónde</w:t>
            </w:r>
          </w:p>
        </w:tc>
        <w:tc>
          <w:tcPr>
            <w:tcW w:w="968" w:type="dxa"/>
          </w:tcPr>
          <w:p w:rsidR="001B2EB2" w:rsidRPr="001F33E7" w:rsidRDefault="004C6419">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1F33E7">
              <w:rPr>
                <w:rFonts w:ascii="Palatino Linotype" w:eastAsia="Palatino Linotype" w:hAnsi="Palatino Linotype" w:cs="Palatino Linotype"/>
                <w:b/>
                <w:sz w:val="12"/>
                <w:szCs w:val="12"/>
              </w:rPr>
              <w:t>Concepto</w:t>
            </w:r>
          </w:p>
        </w:tc>
        <w:tc>
          <w:tcPr>
            <w:tcW w:w="3446" w:type="dxa"/>
          </w:tcPr>
          <w:p w:rsidR="001B2EB2" w:rsidRPr="001F33E7" w:rsidRDefault="004C6419">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1F33E7">
              <w:rPr>
                <w:rFonts w:ascii="Palatino Linotype" w:eastAsia="Palatino Linotype" w:hAnsi="Palatino Linotype" w:cs="Palatino Linotype"/>
                <w:b/>
                <w:sz w:val="12"/>
                <w:szCs w:val="12"/>
              </w:rPr>
              <w:t>Dónde</w:t>
            </w:r>
          </w:p>
        </w:tc>
      </w:tr>
      <w:tr w:rsidR="001F33E7" w:rsidRPr="001F33E7" w:rsidTr="001B2EB2">
        <w:tc>
          <w:tcPr>
            <w:cnfStyle w:val="001000000000" w:firstRow="0" w:lastRow="0" w:firstColumn="1" w:lastColumn="0" w:oddVBand="0" w:evenVBand="0" w:oddHBand="0" w:evenHBand="0" w:firstRowFirstColumn="0" w:firstRowLastColumn="0" w:lastRowFirstColumn="0" w:lastRowLastColumn="0"/>
            <w:tcW w:w="8828" w:type="dxa"/>
            <w:gridSpan w:val="4"/>
          </w:tcPr>
          <w:p w:rsidR="001B2EB2" w:rsidRPr="001F33E7" w:rsidRDefault="004C6419">
            <w:pPr>
              <w:jc w:val="center"/>
              <w:rPr>
                <w:rFonts w:ascii="Palatino Linotype" w:eastAsia="Palatino Linotype" w:hAnsi="Palatino Linotype" w:cs="Palatino Linotype"/>
                <w:sz w:val="12"/>
                <w:szCs w:val="12"/>
              </w:rPr>
            </w:pPr>
            <w:r w:rsidRPr="001F33E7">
              <w:rPr>
                <w:rFonts w:ascii="Palatino Linotype" w:eastAsia="Palatino Linotype" w:hAnsi="Palatino Linotype" w:cs="Palatino Linotype"/>
                <w:sz w:val="12"/>
                <w:szCs w:val="12"/>
              </w:rPr>
              <w:t>Sello oficial o logotipo del sujeto obligado</w:t>
            </w:r>
          </w:p>
        </w:tc>
      </w:tr>
      <w:tr w:rsidR="001F33E7" w:rsidRPr="001F33E7" w:rsidTr="001B2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1B2EB2" w:rsidRPr="001F33E7" w:rsidRDefault="004C6419">
            <w:pPr>
              <w:jc w:val="both"/>
              <w:rPr>
                <w:rFonts w:ascii="Palatino Linotype" w:eastAsia="Palatino Linotype" w:hAnsi="Palatino Linotype" w:cs="Palatino Linotype"/>
                <w:sz w:val="12"/>
                <w:szCs w:val="12"/>
              </w:rPr>
            </w:pPr>
            <w:r w:rsidRPr="001F33E7">
              <w:rPr>
                <w:rFonts w:ascii="Palatino Linotype" w:eastAsia="Palatino Linotype" w:hAnsi="Palatino Linotype" w:cs="Palatino Linotype"/>
                <w:sz w:val="12"/>
                <w:szCs w:val="12"/>
              </w:rPr>
              <w:t>Fecha de clasificación</w:t>
            </w:r>
          </w:p>
        </w:tc>
        <w:tc>
          <w:tcPr>
            <w:tcW w:w="3421" w:type="dxa"/>
          </w:tcPr>
          <w:p w:rsidR="001B2EB2" w:rsidRPr="001F33E7" w:rsidRDefault="004C641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1F33E7">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rsidR="001B2EB2" w:rsidRPr="001F33E7" w:rsidRDefault="004C641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1F33E7">
              <w:rPr>
                <w:rFonts w:ascii="Palatino Linotype" w:eastAsia="Palatino Linotype" w:hAnsi="Palatino Linotype" w:cs="Palatino Linotype"/>
                <w:b/>
                <w:sz w:val="12"/>
                <w:szCs w:val="12"/>
              </w:rPr>
              <w:t>Fecha de clasificación</w:t>
            </w:r>
          </w:p>
        </w:tc>
        <w:tc>
          <w:tcPr>
            <w:tcW w:w="3446" w:type="dxa"/>
          </w:tcPr>
          <w:p w:rsidR="001B2EB2" w:rsidRPr="001F33E7" w:rsidRDefault="004C641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1F33E7">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1F33E7" w:rsidRPr="001F33E7" w:rsidTr="001B2EB2">
        <w:tc>
          <w:tcPr>
            <w:cnfStyle w:val="001000000000" w:firstRow="0" w:lastRow="0" w:firstColumn="1" w:lastColumn="0" w:oddVBand="0" w:evenVBand="0" w:oddHBand="0" w:evenHBand="0" w:firstRowFirstColumn="0" w:firstRowLastColumn="0" w:lastRowFirstColumn="0" w:lastRowLastColumn="0"/>
            <w:tcW w:w="993" w:type="dxa"/>
          </w:tcPr>
          <w:p w:rsidR="001B2EB2" w:rsidRPr="001F33E7" w:rsidRDefault="004C6419">
            <w:pPr>
              <w:jc w:val="both"/>
              <w:rPr>
                <w:rFonts w:ascii="Palatino Linotype" w:eastAsia="Palatino Linotype" w:hAnsi="Palatino Linotype" w:cs="Palatino Linotype"/>
                <w:sz w:val="12"/>
                <w:szCs w:val="12"/>
              </w:rPr>
            </w:pPr>
            <w:r w:rsidRPr="001F33E7">
              <w:rPr>
                <w:rFonts w:ascii="Palatino Linotype" w:eastAsia="Palatino Linotype" w:hAnsi="Palatino Linotype" w:cs="Palatino Linotype"/>
                <w:sz w:val="12"/>
                <w:szCs w:val="12"/>
              </w:rPr>
              <w:t>Área</w:t>
            </w:r>
          </w:p>
        </w:tc>
        <w:tc>
          <w:tcPr>
            <w:tcW w:w="3421" w:type="dxa"/>
          </w:tcPr>
          <w:p w:rsidR="001B2EB2" w:rsidRPr="001F33E7" w:rsidRDefault="004C641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1F33E7">
              <w:rPr>
                <w:rFonts w:ascii="Palatino Linotype" w:eastAsia="Palatino Linotype" w:hAnsi="Palatino Linotype" w:cs="Palatino Linotype"/>
                <w:sz w:val="12"/>
                <w:szCs w:val="12"/>
              </w:rPr>
              <w:t>Se señalará el nombre del área del cual es titular quien clasifica.</w:t>
            </w:r>
          </w:p>
        </w:tc>
        <w:tc>
          <w:tcPr>
            <w:tcW w:w="968" w:type="dxa"/>
          </w:tcPr>
          <w:p w:rsidR="001B2EB2" w:rsidRPr="001F33E7" w:rsidRDefault="004C641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1F33E7">
              <w:rPr>
                <w:rFonts w:ascii="Palatino Linotype" w:eastAsia="Palatino Linotype" w:hAnsi="Palatino Linotype" w:cs="Palatino Linotype"/>
                <w:b/>
                <w:sz w:val="12"/>
                <w:szCs w:val="12"/>
              </w:rPr>
              <w:t>Área</w:t>
            </w:r>
          </w:p>
        </w:tc>
        <w:tc>
          <w:tcPr>
            <w:tcW w:w="3446" w:type="dxa"/>
          </w:tcPr>
          <w:p w:rsidR="001B2EB2" w:rsidRPr="001F33E7" w:rsidRDefault="004C641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1F33E7">
              <w:rPr>
                <w:rFonts w:ascii="Palatino Linotype" w:eastAsia="Palatino Linotype" w:hAnsi="Palatino Linotype" w:cs="Palatino Linotype"/>
                <w:sz w:val="12"/>
                <w:szCs w:val="12"/>
              </w:rPr>
              <w:t>Se señalará el nombre del área de la cual es el titular quien clasifica.</w:t>
            </w:r>
          </w:p>
        </w:tc>
      </w:tr>
      <w:tr w:rsidR="001F33E7" w:rsidRPr="001F33E7" w:rsidTr="001B2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1B2EB2" w:rsidRPr="001F33E7" w:rsidRDefault="004C6419">
            <w:pPr>
              <w:jc w:val="both"/>
              <w:rPr>
                <w:rFonts w:ascii="Palatino Linotype" w:eastAsia="Palatino Linotype" w:hAnsi="Palatino Linotype" w:cs="Palatino Linotype"/>
                <w:sz w:val="12"/>
                <w:szCs w:val="12"/>
              </w:rPr>
            </w:pPr>
            <w:r w:rsidRPr="001F33E7">
              <w:rPr>
                <w:rFonts w:ascii="Palatino Linotype" w:eastAsia="Palatino Linotype" w:hAnsi="Palatino Linotype" w:cs="Palatino Linotype"/>
                <w:sz w:val="12"/>
                <w:szCs w:val="12"/>
              </w:rPr>
              <w:lastRenderedPageBreak/>
              <w:t>Información reservada</w:t>
            </w:r>
          </w:p>
        </w:tc>
        <w:tc>
          <w:tcPr>
            <w:tcW w:w="3421" w:type="dxa"/>
          </w:tcPr>
          <w:p w:rsidR="001B2EB2" w:rsidRPr="001F33E7" w:rsidRDefault="004C641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1F33E7">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sidRPr="001F33E7">
              <w:rPr>
                <w:rFonts w:ascii="Palatino Linotype" w:eastAsia="Palatino Linotype" w:hAnsi="Palatino Linotype" w:cs="Palatino Linotype"/>
                <w:sz w:val="12"/>
                <w:szCs w:val="12"/>
              </w:rPr>
              <w:t>anotarán</w:t>
            </w:r>
            <w:proofErr w:type="gramEnd"/>
            <w:r w:rsidRPr="001F33E7">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968" w:type="dxa"/>
          </w:tcPr>
          <w:p w:rsidR="001B2EB2" w:rsidRPr="001F33E7" w:rsidRDefault="004C641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1F33E7">
              <w:rPr>
                <w:rFonts w:ascii="Palatino Linotype" w:eastAsia="Palatino Linotype" w:hAnsi="Palatino Linotype" w:cs="Palatino Linotype"/>
                <w:b/>
                <w:sz w:val="12"/>
                <w:szCs w:val="12"/>
              </w:rPr>
              <w:t>Reservado</w:t>
            </w:r>
          </w:p>
        </w:tc>
        <w:tc>
          <w:tcPr>
            <w:tcW w:w="3446" w:type="dxa"/>
          </w:tcPr>
          <w:p w:rsidR="001B2EB2" w:rsidRPr="001F33E7" w:rsidRDefault="004C641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1F33E7">
              <w:rPr>
                <w:rFonts w:ascii="Palatino Linotype" w:eastAsia="Palatino Linotype" w:hAnsi="Palatino Linotype" w:cs="Palatino Linotype"/>
                <w:sz w:val="12"/>
                <w:szCs w:val="12"/>
              </w:rPr>
              <w:t>Leyenda de información RESERVADA.</w:t>
            </w:r>
          </w:p>
        </w:tc>
      </w:tr>
      <w:tr w:rsidR="001F33E7" w:rsidRPr="001F33E7" w:rsidTr="001B2EB2">
        <w:tc>
          <w:tcPr>
            <w:cnfStyle w:val="001000000000" w:firstRow="0" w:lastRow="0" w:firstColumn="1" w:lastColumn="0" w:oddVBand="0" w:evenVBand="0" w:oddHBand="0" w:evenHBand="0" w:firstRowFirstColumn="0" w:firstRowLastColumn="0" w:lastRowFirstColumn="0" w:lastRowLastColumn="0"/>
            <w:tcW w:w="993" w:type="dxa"/>
          </w:tcPr>
          <w:p w:rsidR="001B2EB2" w:rsidRPr="001F33E7" w:rsidRDefault="004C6419">
            <w:pPr>
              <w:jc w:val="both"/>
              <w:rPr>
                <w:rFonts w:ascii="Palatino Linotype" w:eastAsia="Palatino Linotype" w:hAnsi="Palatino Linotype" w:cs="Palatino Linotype"/>
                <w:sz w:val="12"/>
                <w:szCs w:val="12"/>
              </w:rPr>
            </w:pPr>
            <w:r w:rsidRPr="001F33E7">
              <w:rPr>
                <w:rFonts w:ascii="Palatino Linotype" w:eastAsia="Palatino Linotype" w:hAnsi="Palatino Linotype" w:cs="Palatino Linotype"/>
                <w:sz w:val="12"/>
                <w:szCs w:val="12"/>
              </w:rPr>
              <w:t>Fundamento legal</w:t>
            </w:r>
          </w:p>
        </w:tc>
        <w:tc>
          <w:tcPr>
            <w:tcW w:w="3421" w:type="dxa"/>
          </w:tcPr>
          <w:p w:rsidR="001B2EB2" w:rsidRPr="001F33E7" w:rsidRDefault="004C641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1F33E7">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rsidR="001B2EB2" w:rsidRPr="001F33E7" w:rsidRDefault="004C641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1F33E7">
              <w:rPr>
                <w:rFonts w:ascii="Palatino Linotype" w:eastAsia="Palatino Linotype" w:hAnsi="Palatino Linotype" w:cs="Palatino Linotype"/>
                <w:b/>
                <w:sz w:val="12"/>
                <w:szCs w:val="12"/>
              </w:rPr>
              <w:t>Periodo de reserva</w:t>
            </w:r>
          </w:p>
        </w:tc>
        <w:tc>
          <w:tcPr>
            <w:tcW w:w="3446" w:type="dxa"/>
          </w:tcPr>
          <w:p w:rsidR="001B2EB2" w:rsidRPr="001F33E7" w:rsidRDefault="004C641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1F33E7">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1F33E7" w:rsidRPr="001F33E7" w:rsidTr="001B2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1B2EB2" w:rsidRPr="001F33E7" w:rsidRDefault="004C6419">
            <w:pPr>
              <w:jc w:val="both"/>
              <w:rPr>
                <w:rFonts w:ascii="Palatino Linotype" w:eastAsia="Palatino Linotype" w:hAnsi="Palatino Linotype" w:cs="Palatino Linotype"/>
                <w:sz w:val="12"/>
                <w:szCs w:val="12"/>
              </w:rPr>
            </w:pPr>
            <w:r w:rsidRPr="001F33E7">
              <w:rPr>
                <w:rFonts w:ascii="Palatino Linotype" w:eastAsia="Palatino Linotype" w:hAnsi="Palatino Linotype" w:cs="Palatino Linotype"/>
                <w:sz w:val="12"/>
                <w:szCs w:val="12"/>
              </w:rPr>
              <w:t>Ampliación del periodo de reserva</w:t>
            </w:r>
          </w:p>
        </w:tc>
        <w:tc>
          <w:tcPr>
            <w:tcW w:w="3421" w:type="dxa"/>
          </w:tcPr>
          <w:p w:rsidR="001B2EB2" w:rsidRPr="001F33E7" w:rsidRDefault="004C641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1F33E7">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rsidR="001B2EB2" w:rsidRPr="001F33E7" w:rsidRDefault="004C641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1F33E7">
              <w:rPr>
                <w:rFonts w:ascii="Palatino Linotype" w:eastAsia="Palatino Linotype" w:hAnsi="Palatino Linotype" w:cs="Palatino Linotype"/>
                <w:b/>
                <w:sz w:val="12"/>
                <w:szCs w:val="12"/>
              </w:rPr>
              <w:t>Fundamento legal</w:t>
            </w:r>
          </w:p>
        </w:tc>
        <w:tc>
          <w:tcPr>
            <w:tcW w:w="3446" w:type="dxa"/>
          </w:tcPr>
          <w:p w:rsidR="001B2EB2" w:rsidRPr="001F33E7" w:rsidRDefault="004C641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1F33E7">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1F33E7" w:rsidRPr="001F33E7" w:rsidTr="001B2EB2">
        <w:tc>
          <w:tcPr>
            <w:cnfStyle w:val="001000000000" w:firstRow="0" w:lastRow="0" w:firstColumn="1" w:lastColumn="0" w:oddVBand="0" w:evenVBand="0" w:oddHBand="0" w:evenHBand="0" w:firstRowFirstColumn="0" w:firstRowLastColumn="0" w:lastRowFirstColumn="0" w:lastRowLastColumn="0"/>
            <w:tcW w:w="993" w:type="dxa"/>
          </w:tcPr>
          <w:p w:rsidR="001B2EB2" w:rsidRPr="001F33E7" w:rsidRDefault="004C6419">
            <w:pPr>
              <w:jc w:val="both"/>
              <w:rPr>
                <w:rFonts w:ascii="Palatino Linotype" w:eastAsia="Palatino Linotype" w:hAnsi="Palatino Linotype" w:cs="Palatino Linotype"/>
                <w:sz w:val="12"/>
                <w:szCs w:val="12"/>
              </w:rPr>
            </w:pPr>
            <w:r w:rsidRPr="001F33E7">
              <w:rPr>
                <w:rFonts w:ascii="Palatino Linotype" w:eastAsia="Palatino Linotype" w:hAnsi="Palatino Linotype" w:cs="Palatino Linotype"/>
                <w:sz w:val="12"/>
                <w:szCs w:val="12"/>
              </w:rPr>
              <w:t>Confidencial</w:t>
            </w:r>
          </w:p>
        </w:tc>
        <w:tc>
          <w:tcPr>
            <w:tcW w:w="3421" w:type="dxa"/>
          </w:tcPr>
          <w:p w:rsidR="001B2EB2" w:rsidRPr="001F33E7" w:rsidRDefault="004C641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1F33E7">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rsidR="001B2EB2" w:rsidRPr="001F33E7" w:rsidRDefault="004C641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1F33E7">
              <w:rPr>
                <w:rFonts w:ascii="Palatino Linotype" w:eastAsia="Palatino Linotype" w:hAnsi="Palatino Linotype" w:cs="Palatino Linotype"/>
                <w:b/>
                <w:sz w:val="12"/>
                <w:szCs w:val="12"/>
              </w:rPr>
              <w:t>Ampliación del periodo de reserva</w:t>
            </w:r>
          </w:p>
        </w:tc>
        <w:tc>
          <w:tcPr>
            <w:tcW w:w="3446" w:type="dxa"/>
          </w:tcPr>
          <w:p w:rsidR="001B2EB2" w:rsidRPr="001F33E7" w:rsidRDefault="004C641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1F33E7">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1F33E7" w:rsidRPr="001F33E7" w:rsidTr="001B2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1B2EB2" w:rsidRPr="001F33E7" w:rsidRDefault="004C6419">
            <w:pPr>
              <w:jc w:val="both"/>
              <w:rPr>
                <w:rFonts w:ascii="Palatino Linotype" w:eastAsia="Palatino Linotype" w:hAnsi="Palatino Linotype" w:cs="Palatino Linotype"/>
                <w:sz w:val="12"/>
                <w:szCs w:val="12"/>
              </w:rPr>
            </w:pPr>
            <w:r w:rsidRPr="001F33E7">
              <w:rPr>
                <w:rFonts w:ascii="Palatino Linotype" w:eastAsia="Palatino Linotype" w:hAnsi="Palatino Linotype" w:cs="Palatino Linotype"/>
                <w:sz w:val="12"/>
                <w:szCs w:val="12"/>
              </w:rPr>
              <w:t>Fundamento legal</w:t>
            </w:r>
          </w:p>
        </w:tc>
        <w:tc>
          <w:tcPr>
            <w:tcW w:w="3421" w:type="dxa"/>
          </w:tcPr>
          <w:p w:rsidR="001B2EB2" w:rsidRPr="001F33E7" w:rsidRDefault="004C641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1F33E7">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rsidR="001B2EB2" w:rsidRPr="001F33E7" w:rsidRDefault="004C641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1F33E7">
              <w:rPr>
                <w:rFonts w:ascii="Palatino Linotype" w:eastAsia="Palatino Linotype" w:hAnsi="Palatino Linotype" w:cs="Palatino Linotype"/>
                <w:b/>
                <w:sz w:val="12"/>
                <w:szCs w:val="12"/>
              </w:rPr>
              <w:t>Confidencial</w:t>
            </w:r>
          </w:p>
        </w:tc>
        <w:tc>
          <w:tcPr>
            <w:tcW w:w="3446" w:type="dxa"/>
          </w:tcPr>
          <w:p w:rsidR="001B2EB2" w:rsidRPr="001F33E7" w:rsidRDefault="004C641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1F33E7">
              <w:rPr>
                <w:rFonts w:ascii="Palatino Linotype" w:eastAsia="Palatino Linotype" w:hAnsi="Palatino Linotype" w:cs="Palatino Linotype"/>
                <w:sz w:val="12"/>
                <w:szCs w:val="12"/>
              </w:rPr>
              <w:t>Leyenda de información CONFIDENCIAL.</w:t>
            </w:r>
          </w:p>
        </w:tc>
      </w:tr>
      <w:tr w:rsidR="001F33E7" w:rsidRPr="001F33E7" w:rsidTr="001B2EB2">
        <w:tc>
          <w:tcPr>
            <w:cnfStyle w:val="001000000000" w:firstRow="0" w:lastRow="0" w:firstColumn="1" w:lastColumn="0" w:oddVBand="0" w:evenVBand="0" w:oddHBand="0" w:evenHBand="0" w:firstRowFirstColumn="0" w:firstRowLastColumn="0" w:lastRowFirstColumn="0" w:lastRowLastColumn="0"/>
            <w:tcW w:w="993" w:type="dxa"/>
          </w:tcPr>
          <w:p w:rsidR="001B2EB2" w:rsidRPr="001F33E7" w:rsidRDefault="004C6419">
            <w:pPr>
              <w:jc w:val="both"/>
              <w:rPr>
                <w:rFonts w:ascii="Palatino Linotype" w:eastAsia="Palatino Linotype" w:hAnsi="Palatino Linotype" w:cs="Palatino Linotype"/>
                <w:sz w:val="12"/>
                <w:szCs w:val="12"/>
              </w:rPr>
            </w:pPr>
            <w:r w:rsidRPr="001F33E7">
              <w:rPr>
                <w:rFonts w:ascii="Palatino Linotype" w:eastAsia="Palatino Linotype" w:hAnsi="Palatino Linotype" w:cs="Palatino Linotype"/>
                <w:sz w:val="12"/>
                <w:szCs w:val="12"/>
              </w:rPr>
              <w:t>Rúbrica del titular del área</w:t>
            </w:r>
          </w:p>
        </w:tc>
        <w:tc>
          <w:tcPr>
            <w:tcW w:w="3421" w:type="dxa"/>
          </w:tcPr>
          <w:p w:rsidR="001B2EB2" w:rsidRPr="001F33E7" w:rsidRDefault="004C641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1F33E7">
              <w:rPr>
                <w:rFonts w:ascii="Palatino Linotype" w:eastAsia="Palatino Linotype" w:hAnsi="Palatino Linotype" w:cs="Palatino Linotype"/>
                <w:sz w:val="12"/>
                <w:szCs w:val="12"/>
              </w:rPr>
              <w:t>Rúbrica autógrafa de quien clasifica.</w:t>
            </w:r>
          </w:p>
        </w:tc>
        <w:tc>
          <w:tcPr>
            <w:tcW w:w="968" w:type="dxa"/>
          </w:tcPr>
          <w:p w:rsidR="001B2EB2" w:rsidRPr="001F33E7" w:rsidRDefault="004C641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1F33E7">
              <w:rPr>
                <w:rFonts w:ascii="Palatino Linotype" w:eastAsia="Palatino Linotype" w:hAnsi="Palatino Linotype" w:cs="Palatino Linotype"/>
                <w:b/>
                <w:sz w:val="12"/>
                <w:szCs w:val="12"/>
              </w:rPr>
              <w:t>Fundamento legal</w:t>
            </w:r>
          </w:p>
        </w:tc>
        <w:tc>
          <w:tcPr>
            <w:tcW w:w="3446" w:type="dxa"/>
          </w:tcPr>
          <w:p w:rsidR="001B2EB2" w:rsidRPr="001F33E7" w:rsidRDefault="004C641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1F33E7">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1F33E7" w:rsidRPr="001F33E7" w:rsidTr="001B2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1B2EB2" w:rsidRPr="001F33E7" w:rsidRDefault="004C6419">
            <w:pPr>
              <w:jc w:val="both"/>
              <w:rPr>
                <w:rFonts w:ascii="Palatino Linotype" w:eastAsia="Palatino Linotype" w:hAnsi="Palatino Linotype" w:cs="Palatino Linotype"/>
                <w:sz w:val="12"/>
                <w:szCs w:val="12"/>
              </w:rPr>
            </w:pPr>
            <w:r w:rsidRPr="001F33E7">
              <w:rPr>
                <w:rFonts w:ascii="Palatino Linotype" w:eastAsia="Palatino Linotype" w:hAnsi="Palatino Linotype" w:cs="Palatino Linotype"/>
                <w:sz w:val="12"/>
                <w:szCs w:val="12"/>
              </w:rPr>
              <w:t>Fecha de desclasificación</w:t>
            </w:r>
          </w:p>
        </w:tc>
        <w:tc>
          <w:tcPr>
            <w:tcW w:w="3421" w:type="dxa"/>
          </w:tcPr>
          <w:p w:rsidR="001B2EB2" w:rsidRPr="001F33E7" w:rsidRDefault="004C641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1F33E7">
              <w:rPr>
                <w:rFonts w:ascii="Palatino Linotype" w:eastAsia="Palatino Linotype" w:hAnsi="Palatino Linotype" w:cs="Palatino Linotype"/>
                <w:sz w:val="12"/>
                <w:szCs w:val="12"/>
              </w:rPr>
              <w:t>Se anotará la fecha en que se desclasifica el documento.</w:t>
            </w:r>
          </w:p>
        </w:tc>
        <w:tc>
          <w:tcPr>
            <w:tcW w:w="968" w:type="dxa"/>
          </w:tcPr>
          <w:p w:rsidR="001B2EB2" w:rsidRPr="001F33E7" w:rsidRDefault="004C641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1F33E7">
              <w:rPr>
                <w:rFonts w:ascii="Palatino Linotype" w:eastAsia="Palatino Linotype" w:hAnsi="Palatino Linotype" w:cs="Palatino Linotype"/>
                <w:b/>
                <w:sz w:val="12"/>
                <w:szCs w:val="12"/>
              </w:rPr>
              <w:t>Rúbrica del titular del área</w:t>
            </w:r>
          </w:p>
        </w:tc>
        <w:tc>
          <w:tcPr>
            <w:tcW w:w="3446" w:type="dxa"/>
          </w:tcPr>
          <w:p w:rsidR="001B2EB2" w:rsidRPr="001F33E7" w:rsidRDefault="004C641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1F33E7">
              <w:rPr>
                <w:rFonts w:ascii="Palatino Linotype" w:eastAsia="Palatino Linotype" w:hAnsi="Palatino Linotype" w:cs="Palatino Linotype"/>
                <w:sz w:val="12"/>
                <w:szCs w:val="12"/>
              </w:rPr>
              <w:t>Rúbrica autógrafa de quien clasifica.</w:t>
            </w:r>
          </w:p>
        </w:tc>
      </w:tr>
      <w:tr w:rsidR="001F33E7" w:rsidRPr="001F33E7" w:rsidTr="001B2EB2">
        <w:tc>
          <w:tcPr>
            <w:cnfStyle w:val="001000000000" w:firstRow="0" w:lastRow="0" w:firstColumn="1" w:lastColumn="0" w:oddVBand="0" w:evenVBand="0" w:oddHBand="0" w:evenHBand="0" w:firstRowFirstColumn="0" w:firstRowLastColumn="0" w:lastRowFirstColumn="0" w:lastRowLastColumn="0"/>
            <w:tcW w:w="993" w:type="dxa"/>
          </w:tcPr>
          <w:p w:rsidR="001B2EB2" w:rsidRPr="001F33E7" w:rsidRDefault="004C6419">
            <w:pPr>
              <w:jc w:val="both"/>
              <w:rPr>
                <w:rFonts w:ascii="Palatino Linotype" w:eastAsia="Palatino Linotype" w:hAnsi="Palatino Linotype" w:cs="Palatino Linotype"/>
                <w:sz w:val="12"/>
                <w:szCs w:val="12"/>
              </w:rPr>
            </w:pPr>
            <w:r w:rsidRPr="001F33E7">
              <w:rPr>
                <w:rFonts w:ascii="Palatino Linotype" w:eastAsia="Palatino Linotype" w:hAnsi="Palatino Linotype" w:cs="Palatino Linotype"/>
                <w:sz w:val="12"/>
                <w:szCs w:val="12"/>
              </w:rPr>
              <w:t>Rúbrica y cargo del servidor público</w:t>
            </w:r>
          </w:p>
        </w:tc>
        <w:tc>
          <w:tcPr>
            <w:tcW w:w="3421" w:type="dxa"/>
          </w:tcPr>
          <w:p w:rsidR="001B2EB2" w:rsidRPr="001F33E7" w:rsidRDefault="004C641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1F33E7">
              <w:rPr>
                <w:rFonts w:ascii="Palatino Linotype" w:eastAsia="Palatino Linotype" w:hAnsi="Palatino Linotype" w:cs="Palatino Linotype"/>
                <w:sz w:val="12"/>
                <w:szCs w:val="12"/>
              </w:rPr>
              <w:t>Rúbrica autógrafa de quien desclasifica.</w:t>
            </w:r>
          </w:p>
        </w:tc>
        <w:tc>
          <w:tcPr>
            <w:tcW w:w="968" w:type="dxa"/>
          </w:tcPr>
          <w:p w:rsidR="001B2EB2" w:rsidRPr="001F33E7" w:rsidRDefault="004C641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1F33E7">
              <w:rPr>
                <w:rFonts w:ascii="Palatino Linotype" w:eastAsia="Palatino Linotype" w:hAnsi="Palatino Linotype" w:cs="Palatino Linotype"/>
                <w:b/>
                <w:sz w:val="12"/>
                <w:szCs w:val="12"/>
              </w:rPr>
              <w:t>Fecha de desclasificación</w:t>
            </w:r>
          </w:p>
        </w:tc>
        <w:tc>
          <w:tcPr>
            <w:tcW w:w="3446" w:type="dxa"/>
          </w:tcPr>
          <w:p w:rsidR="001B2EB2" w:rsidRPr="001F33E7" w:rsidRDefault="004C641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1F33E7">
              <w:rPr>
                <w:rFonts w:ascii="Palatino Linotype" w:eastAsia="Palatino Linotype" w:hAnsi="Palatino Linotype" w:cs="Palatino Linotype"/>
                <w:sz w:val="12"/>
                <w:szCs w:val="12"/>
              </w:rPr>
              <w:t>Se anotará la fecha en que se desclasifica.</w:t>
            </w:r>
          </w:p>
        </w:tc>
      </w:tr>
      <w:tr w:rsidR="001F33E7" w:rsidRPr="001F33E7" w:rsidTr="001B2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1B2EB2" w:rsidRPr="001F33E7" w:rsidRDefault="001B2EB2">
            <w:pPr>
              <w:jc w:val="both"/>
              <w:rPr>
                <w:rFonts w:ascii="Palatino Linotype" w:eastAsia="Palatino Linotype" w:hAnsi="Palatino Linotype" w:cs="Palatino Linotype"/>
                <w:sz w:val="12"/>
                <w:szCs w:val="12"/>
              </w:rPr>
            </w:pPr>
          </w:p>
        </w:tc>
        <w:tc>
          <w:tcPr>
            <w:tcW w:w="3421" w:type="dxa"/>
          </w:tcPr>
          <w:p w:rsidR="001B2EB2" w:rsidRPr="001F33E7" w:rsidRDefault="001B2EB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rsidR="001B2EB2" w:rsidRPr="001F33E7" w:rsidRDefault="004C641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1F33E7">
              <w:rPr>
                <w:rFonts w:ascii="Palatino Linotype" w:eastAsia="Palatino Linotype" w:hAnsi="Palatino Linotype" w:cs="Palatino Linotype"/>
                <w:b/>
                <w:sz w:val="12"/>
                <w:szCs w:val="12"/>
              </w:rPr>
              <w:t>Partes o secciones reservadas o confidenciales</w:t>
            </w:r>
          </w:p>
        </w:tc>
        <w:tc>
          <w:tcPr>
            <w:tcW w:w="3446" w:type="dxa"/>
          </w:tcPr>
          <w:p w:rsidR="001B2EB2" w:rsidRPr="001F33E7" w:rsidRDefault="004C641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1F33E7">
              <w:rPr>
                <w:rFonts w:ascii="Palatino Linotype" w:eastAsia="Palatino Linotype" w:hAnsi="Palatino Linotype" w:cs="Palatino Linotype"/>
                <w:sz w:val="12"/>
                <w:szCs w:val="12"/>
              </w:rPr>
              <w:t xml:space="preserve">En caso que una vez desclasificado el expediente, </w:t>
            </w:r>
            <w:proofErr w:type="spellStart"/>
            <w:r w:rsidRPr="001F33E7">
              <w:rPr>
                <w:rFonts w:ascii="Palatino Linotype" w:eastAsia="Palatino Linotype" w:hAnsi="Palatino Linotype" w:cs="Palatino Linotype"/>
                <w:sz w:val="12"/>
                <w:szCs w:val="12"/>
              </w:rPr>
              <w:t>subsistanpartes</w:t>
            </w:r>
            <w:proofErr w:type="spellEnd"/>
            <w:r w:rsidRPr="001F33E7">
              <w:rPr>
                <w:rFonts w:ascii="Palatino Linotype" w:eastAsia="Palatino Linotype" w:hAnsi="Palatino Linotype" w:cs="Palatino Linotype"/>
                <w:sz w:val="12"/>
                <w:szCs w:val="12"/>
              </w:rPr>
              <w:t xml:space="preserve"> o secciones del mismo reservadas o confidenciales, se señalará este hecho.</w:t>
            </w:r>
          </w:p>
        </w:tc>
      </w:tr>
      <w:tr w:rsidR="001F33E7" w:rsidRPr="001F33E7" w:rsidTr="001B2EB2">
        <w:tc>
          <w:tcPr>
            <w:cnfStyle w:val="001000000000" w:firstRow="0" w:lastRow="0" w:firstColumn="1" w:lastColumn="0" w:oddVBand="0" w:evenVBand="0" w:oddHBand="0" w:evenHBand="0" w:firstRowFirstColumn="0" w:firstRowLastColumn="0" w:lastRowFirstColumn="0" w:lastRowLastColumn="0"/>
            <w:tcW w:w="993" w:type="dxa"/>
          </w:tcPr>
          <w:p w:rsidR="001B2EB2" w:rsidRPr="001F33E7" w:rsidRDefault="001B2EB2">
            <w:pPr>
              <w:jc w:val="both"/>
              <w:rPr>
                <w:rFonts w:ascii="Palatino Linotype" w:eastAsia="Palatino Linotype" w:hAnsi="Palatino Linotype" w:cs="Palatino Linotype"/>
                <w:sz w:val="12"/>
                <w:szCs w:val="12"/>
              </w:rPr>
            </w:pPr>
          </w:p>
        </w:tc>
        <w:tc>
          <w:tcPr>
            <w:tcW w:w="3421" w:type="dxa"/>
          </w:tcPr>
          <w:p w:rsidR="001B2EB2" w:rsidRPr="001F33E7" w:rsidRDefault="001B2EB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rsidR="001B2EB2" w:rsidRPr="001F33E7" w:rsidRDefault="004C641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1F33E7">
              <w:rPr>
                <w:rFonts w:ascii="Palatino Linotype" w:eastAsia="Palatino Linotype" w:hAnsi="Palatino Linotype" w:cs="Palatino Linotype"/>
                <w:b/>
                <w:sz w:val="12"/>
                <w:szCs w:val="12"/>
              </w:rPr>
              <w:t>Rúbrica y cargo del servidor público</w:t>
            </w:r>
          </w:p>
        </w:tc>
        <w:tc>
          <w:tcPr>
            <w:tcW w:w="3446" w:type="dxa"/>
          </w:tcPr>
          <w:p w:rsidR="001B2EB2" w:rsidRPr="001F33E7" w:rsidRDefault="004C641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1F33E7">
              <w:rPr>
                <w:rFonts w:ascii="Palatino Linotype" w:eastAsia="Palatino Linotype" w:hAnsi="Palatino Linotype" w:cs="Palatino Linotype"/>
                <w:sz w:val="12"/>
                <w:szCs w:val="12"/>
              </w:rPr>
              <w:t>Rúbrica autógrafa de quien desclasifica.</w:t>
            </w:r>
          </w:p>
        </w:tc>
      </w:tr>
    </w:tbl>
    <w:p w:rsidR="001B2EB2" w:rsidRPr="001F33E7" w:rsidRDefault="001B2EB2">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rPr>
      </w:pPr>
    </w:p>
    <w:p w:rsidR="001B2EB2" w:rsidRDefault="004C6419">
      <w:pPr>
        <w:spacing w:after="240"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1F33E7" w:rsidRDefault="001F33E7">
      <w:pPr>
        <w:spacing w:after="240" w:line="360" w:lineRule="auto"/>
        <w:jc w:val="both"/>
        <w:rPr>
          <w:rFonts w:ascii="Palatino Linotype" w:eastAsia="Palatino Linotype" w:hAnsi="Palatino Linotype" w:cs="Palatino Linotype"/>
        </w:rPr>
      </w:pPr>
    </w:p>
    <w:p w:rsidR="001F33E7" w:rsidRDefault="001F33E7">
      <w:pPr>
        <w:spacing w:after="240" w:line="360" w:lineRule="auto"/>
        <w:jc w:val="both"/>
        <w:rPr>
          <w:rFonts w:ascii="Palatino Linotype" w:eastAsia="Palatino Linotype" w:hAnsi="Palatino Linotype" w:cs="Palatino Linotype"/>
        </w:rPr>
      </w:pPr>
    </w:p>
    <w:p w:rsidR="001F33E7" w:rsidRPr="001F33E7" w:rsidRDefault="001F33E7">
      <w:pPr>
        <w:spacing w:after="240" w:line="360" w:lineRule="auto"/>
        <w:jc w:val="both"/>
        <w:rPr>
          <w:rFonts w:ascii="Palatino Linotype" w:eastAsia="Palatino Linotype" w:hAnsi="Palatino Linotype" w:cs="Palatino Linotype"/>
        </w:rPr>
      </w:pPr>
    </w:p>
    <w:p w:rsidR="001B2EB2" w:rsidRPr="001F33E7" w:rsidRDefault="004C6419">
      <w:pPr>
        <w:numPr>
          <w:ilvl w:val="0"/>
          <w:numId w:val="1"/>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1F33E7">
        <w:rPr>
          <w:rFonts w:ascii="Palatino Linotype" w:eastAsia="Palatino Linotype" w:hAnsi="Palatino Linotype" w:cs="Palatino Linotype"/>
          <w:b/>
        </w:rPr>
        <w:lastRenderedPageBreak/>
        <w:t>R E S U E L V E</w:t>
      </w:r>
    </w:p>
    <w:p w:rsidR="001B2EB2" w:rsidRPr="001F33E7" w:rsidRDefault="004C6419">
      <w:pPr>
        <w:spacing w:before="240" w:after="240"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b/>
        </w:rPr>
        <w:t xml:space="preserve">PRIMERO. </w:t>
      </w:r>
      <w:r w:rsidRPr="001F33E7">
        <w:rPr>
          <w:rFonts w:ascii="Palatino Linotype" w:eastAsia="Palatino Linotype" w:hAnsi="Palatino Linotype" w:cs="Palatino Linotype"/>
        </w:rPr>
        <w:t xml:space="preserve">Resultan </w:t>
      </w:r>
      <w:r w:rsidRPr="001F33E7">
        <w:rPr>
          <w:rFonts w:ascii="Palatino Linotype" w:eastAsia="Palatino Linotype" w:hAnsi="Palatino Linotype" w:cs="Palatino Linotype"/>
          <w:b/>
        </w:rPr>
        <w:t>FUNDADOS</w:t>
      </w:r>
      <w:r w:rsidRPr="001F33E7">
        <w:rPr>
          <w:rFonts w:ascii="Palatino Linotype" w:eastAsia="Palatino Linotype" w:hAnsi="Palatino Linotype" w:cs="Palatino Linotype"/>
        </w:rPr>
        <w:t xml:space="preserve"> los motivos de inconformidad hechos valer por la </w:t>
      </w:r>
      <w:r w:rsidRPr="001F33E7">
        <w:rPr>
          <w:rFonts w:ascii="Palatino Linotype" w:eastAsia="Palatino Linotype" w:hAnsi="Palatino Linotype" w:cs="Palatino Linotype"/>
          <w:b/>
        </w:rPr>
        <w:t>RECURRENTE</w:t>
      </w:r>
      <w:r w:rsidRPr="001F33E7">
        <w:rPr>
          <w:rFonts w:ascii="Palatino Linotype" w:eastAsia="Palatino Linotype" w:hAnsi="Palatino Linotype" w:cs="Palatino Linotype"/>
        </w:rPr>
        <w:t xml:space="preserve"> en el Recurso de Revisión </w:t>
      </w:r>
      <w:r w:rsidRPr="001F33E7">
        <w:rPr>
          <w:rFonts w:ascii="Palatino Linotype" w:eastAsia="Palatino Linotype" w:hAnsi="Palatino Linotype" w:cs="Palatino Linotype"/>
          <w:b/>
        </w:rPr>
        <w:t xml:space="preserve">09834/INFOEM/IP/RR/2022, </w:t>
      </w:r>
      <w:r w:rsidRPr="001F33E7">
        <w:rPr>
          <w:rFonts w:ascii="Palatino Linotype" w:eastAsia="Palatino Linotype" w:hAnsi="Palatino Linotype" w:cs="Palatino Linotype"/>
        </w:rPr>
        <w:t xml:space="preserve">por lo que, en términos del considerando </w:t>
      </w:r>
      <w:r w:rsidRPr="001F33E7">
        <w:rPr>
          <w:rFonts w:ascii="Palatino Linotype" w:eastAsia="Palatino Linotype" w:hAnsi="Palatino Linotype" w:cs="Palatino Linotype"/>
          <w:b/>
        </w:rPr>
        <w:t xml:space="preserve">Cuarto </w:t>
      </w:r>
      <w:r w:rsidRPr="001F33E7">
        <w:rPr>
          <w:rFonts w:ascii="Palatino Linotype" w:eastAsia="Palatino Linotype" w:hAnsi="Palatino Linotype" w:cs="Palatino Linotype"/>
        </w:rPr>
        <w:t xml:space="preserve">de esta resolución, se </w:t>
      </w:r>
      <w:r w:rsidRPr="001F33E7">
        <w:rPr>
          <w:rFonts w:ascii="Palatino Linotype" w:eastAsia="Palatino Linotype" w:hAnsi="Palatino Linotype" w:cs="Palatino Linotype"/>
          <w:b/>
        </w:rPr>
        <w:t xml:space="preserve">REVOCA </w:t>
      </w:r>
      <w:r w:rsidRPr="001F33E7">
        <w:rPr>
          <w:rFonts w:ascii="Palatino Linotype" w:eastAsia="Palatino Linotype" w:hAnsi="Palatino Linotype" w:cs="Palatino Linotype"/>
        </w:rPr>
        <w:t xml:space="preserve">la respuesta emitida por el </w:t>
      </w:r>
      <w:r w:rsidRPr="001F33E7">
        <w:rPr>
          <w:rFonts w:ascii="Palatino Linotype" w:eastAsia="Palatino Linotype" w:hAnsi="Palatino Linotype" w:cs="Palatino Linotype"/>
          <w:b/>
        </w:rPr>
        <w:t>SUJETO OBLIGADO</w:t>
      </w:r>
      <w:r w:rsidRPr="001F33E7">
        <w:rPr>
          <w:rFonts w:ascii="Palatino Linotype" w:eastAsia="Palatino Linotype" w:hAnsi="Palatino Linotype" w:cs="Palatino Linotype"/>
        </w:rPr>
        <w:t>.</w:t>
      </w:r>
    </w:p>
    <w:p w:rsidR="001B2EB2" w:rsidRDefault="004C6419">
      <w:pPr>
        <w:spacing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b/>
        </w:rPr>
        <w:t xml:space="preserve">SEGUNDO. </w:t>
      </w:r>
      <w:r w:rsidRPr="001F33E7">
        <w:rPr>
          <w:rFonts w:ascii="Palatino Linotype" w:eastAsia="Palatino Linotype" w:hAnsi="Palatino Linotype" w:cs="Palatino Linotype"/>
        </w:rPr>
        <w:t>Se</w:t>
      </w:r>
      <w:r w:rsidRPr="001F33E7">
        <w:rPr>
          <w:rFonts w:ascii="Palatino Linotype" w:eastAsia="Palatino Linotype" w:hAnsi="Palatino Linotype" w:cs="Palatino Linotype"/>
          <w:b/>
        </w:rPr>
        <w:t xml:space="preserve"> ORDENA </w:t>
      </w:r>
      <w:r w:rsidRPr="001F33E7">
        <w:rPr>
          <w:rFonts w:ascii="Palatino Linotype" w:eastAsia="Palatino Linotype" w:hAnsi="Palatino Linotype" w:cs="Palatino Linotype"/>
        </w:rPr>
        <w:t xml:space="preserve">al </w:t>
      </w:r>
      <w:r w:rsidRPr="001F33E7">
        <w:rPr>
          <w:rFonts w:ascii="Palatino Linotype" w:eastAsia="Palatino Linotype" w:hAnsi="Palatino Linotype" w:cs="Palatino Linotype"/>
          <w:b/>
        </w:rPr>
        <w:t>SUJETO OBLIGADO</w:t>
      </w:r>
      <w:r w:rsidRPr="001F33E7">
        <w:rPr>
          <w:rFonts w:ascii="Palatino Linotype" w:eastAsia="Palatino Linotype" w:hAnsi="Palatino Linotype" w:cs="Palatino Linotype"/>
        </w:rPr>
        <w:t xml:space="preserve"> a que,</w:t>
      </w:r>
      <w:r w:rsidRPr="001F33E7">
        <w:rPr>
          <w:rFonts w:ascii="Palatino Linotype" w:eastAsia="Palatino Linotype" w:hAnsi="Palatino Linotype" w:cs="Palatino Linotype"/>
          <w:b/>
        </w:rPr>
        <w:t xml:space="preserve"> </w:t>
      </w:r>
      <w:r w:rsidRPr="001F33E7">
        <w:rPr>
          <w:rFonts w:ascii="Palatino Linotype" w:eastAsia="Palatino Linotype" w:hAnsi="Palatino Linotype" w:cs="Palatino Linotype"/>
        </w:rPr>
        <w:t xml:space="preserve">en términos de los Considerandos Cuarto y Quinto de la presente resolución, haga entrega vía SAIMEX previa búsqueda exhaustiva y razonable, y de ser el caso en versión pública la siguiente información: </w:t>
      </w:r>
    </w:p>
    <w:p w:rsidR="001F33E7" w:rsidRPr="001F33E7" w:rsidRDefault="001F33E7">
      <w:pPr>
        <w:spacing w:line="360" w:lineRule="auto"/>
        <w:jc w:val="both"/>
        <w:rPr>
          <w:rFonts w:ascii="Palatino Linotype" w:eastAsia="Palatino Linotype" w:hAnsi="Palatino Linotype" w:cs="Palatino Linotype"/>
        </w:rPr>
      </w:pPr>
    </w:p>
    <w:p w:rsidR="001B2EB2" w:rsidRPr="001F33E7" w:rsidRDefault="004C6419">
      <w:pPr>
        <w:numPr>
          <w:ilvl w:val="0"/>
          <w:numId w:val="3"/>
        </w:numPr>
        <w:pBdr>
          <w:top w:val="nil"/>
          <w:left w:val="nil"/>
          <w:bottom w:val="nil"/>
          <w:right w:val="nil"/>
          <w:between w:val="nil"/>
        </w:pBdr>
        <w:tabs>
          <w:tab w:val="left" w:pos="993"/>
        </w:tabs>
        <w:spacing w:line="360" w:lineRule="auto"/>
        <w:ind w:right="900"/>
        <w:jc w:val="both"/>
        <w:rPr>
          <w:rFonts w:ascii="Palatino Linotype" w:eastAsia="Palatino Linotype" w:hAnsi="Palatino Linotype" w:cs="Palatino Linotype"/>
        </w:rPr>
      </w:pPr>
      <w:r w:rsidRPr="001F33E7">
        <w:rPr>
          <w:rFonts w:ascii="Palatino Linotype" w:eastAsia="Palatino Linotype" w:hAnsi="Palatino Linotype" w:cs="Palatino Linotype"/>
        </w:rPr>
        <w:t>Las estadísticas de los eventos atendidos por la Dirección de Protección Civil y Bomberos,  del periodo comprendido del uno de enero de dos mil dieciséis al treinta y uno de diciembre de dos mil veintiuno, con el mayor grado de desagregación con que la genere.</w:t>
      </w:r>
    </w:p>
    <w:p w:rsidR="001B2EB2" w:rsidRPr="001F33E7" w:rsidRDefault="001B2EB2">
      <w:pPr>
        <w:pBdr>
          <w:top w:val="nil"/>
          <w:left w:val="nil"/>
          <w:bottom w:val="nil"/>
          <w:right w:val="nil"/>
          <w:between w:val="nil"/>
        </w:pBdr>
        <w:tabs>
          <w:tab w:val="left" w:pos="993"/>
        </w:tabs>
        <w:spacing w:line="360" w:lineRule="auto"/>
        <w:ind w:left="720" w:right="616"/>
        <w:jc w:val="both"/>
        <w:rPr>
          <w:rFonts w:ascii="Palatino Linotype" w:eastAsia="Palatino Linotype" w:hAnsi="Palatino Linotype" w:cs="Palatino Linotype"/>
          <w:b/>
          <w:sz w:val="22"/>
          <w:szCs w:val="22"/>
        </w:rPr>
      </w:pPr>
    </w:p>
    <w:p w:rsidR="001B2EB2" w:rsidRPr="001F33E7" w:rsidRDefault="004C6419">
      <w:pPr>
        <w:spacing w:line="276" w:lineRule="auto"/>
        <w:ind w:left="567" w:right="629"/>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Recurrente.</w:t>
      </w:r>
    </w:p>
    <w:p w:rsidR="001B2EB2" w:rsidRPr="001F33E7" w:rsidRDefault="001B2EB2">
      <w:pPr>
        <w:spacing w:line="276" w:lineRule="auto"/>
        <w:ind w:left="567" w:right="629"/>
        <w:jc w:val="both"/>
        <w:rPr>
          <w:rFonts w:ascii="Palatino Linotype" w:eastAsia="Palatino Linotype" w:hAnsi="Palatino Linotype" w:cs="Palatino Linotype"/>
          <w:i/>
          <w:sz w:val="22"/>
          <w:szCs w:val="22"/>
        </w:rPr>
      </w:pPr>
    </w:p>
    <w:p w:rsidR="001B2EB2" w:rsidRPr="001F33E7" w:rsidRDefault="004C6419">
      <w:pPr>
        <w:spacing w:line="276" w:lineRule="auto"/>
        <w:ind w:left="567" w:right="629"/>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t xml:space="preserve">La entrega de la información se deberá privilegiar en formatos abiertos como archivos con extensión </w:t>
      </w:r>
      <w:proofErr w:type="spellStart"/>
      <w:r w:rsidRPr="001F33E7">
        <w:rPr>
          <w:rFonts w:ascii="Palatino Linotype" w:eastAsia="Palatino Linotype" w:hAnsi="Palatino Linotype" w:cs="Palatino Linotype"/>
          <w:i/>
          <w:sz w:val="22"/>
          <w:szCs w:val="22"/>
        </w:rPr>
        <w:t>xls</w:t>
      </w:r>
      <w:proofErr w:type="spellEnd"/>
      <w:r w:rsidRPr="001F33E7">
        <w:rPr>
          <w:rFonts w:ascii="Palatino Linotype" w:eastAsia="Palatino Linotype" w:hAnsi="Palatino Linotype" w:cs="Palatino Linotype"/>
          <w:i/>
          <w:sz w:val="22"/>
          <w:szCs w:val="22"/>
        </w:rPr>
        <w:t xml:space="preserve">, </w:t>
      </w:r>
      <w:proofErr w:type="spellStart"/>
      <w:r w:rsidRPr="001F33E7">
        <w:rPr>
          <w:rFonts w:ascii="Palatino Linotype" w:eastAsia="Palatino Linotype" w:hAnsi="Palatino Linotype" w:cs="Palatino Linotype"/>
          <w:i/>
          <w:sz w:val="22"/>
          <w:szCs w:val="22"/>
        </w:rPr>
        <w:t>txt</w:t>
      </w:r>
      <w:proofErr w:type="spellEnd"/>
      <w:r w:rsidRPr="001F33E7">
        <w:rPr>
          <w:rFonts w:ascii="Palatino Linotype" w:eastAsia="Palatino Linotype" w:hAnsi="Palatino Linotype" w:cs="Palatino Linotype"/>
          <w:i/>
          <w:sz w:val="22"/>
          <w:szCs w:val="22"/>
        </w:rPr>
        <w:t xml:space="preserve"> o </w:t>
      </w:r>
      <w:proofErr w:type="spellStart"/>
      <w:r w:rsidRPr="001F33E7">
        <w:rPr>
          <w:rFonts w:ascii="Palatino Linotype" w:eastAsia="Palatino Linotype" w:hAnsi="Palatino Linotype" w:cs="Palatino Linotype"/>
          <w:i/>
          <w:sz w:val="22"/>
          <w:szCs w:val="22"/>
        </w:rPr>
        <w:t>csv</w:t>
      </w:r>
      <w:proofErr w:type="spellEnd"/>
      <w:r w:rsidRPr="001F33E7">
        <w:rPr>
          <w:rFonts w:ascii="Palatino Linotype" w:eastAsia="Palatino Linotype" w:hAnsi="Palatino Linotype" w:cs="Palatino Linotype"/>
          <w:i/>
          <w:sz w:val="22"/>
          <w:szCs w:val="22"/>
        </w:rPr>
        <w:t>; sin embargo, en caso de no contar con la información en estos formatos, deberá entregarlos en el formato en que se hayan generado.</w:t>
      </w:r>
    </w:p>
    <w:p w:rsidR="001B2EB2" w:rsidRPr="001F33E7" w:rsidRDefault="001B2EB2">
      <w:pPr>
        <w:spacing w:line="276" w:lineRule="auto"/>
        <w:ind w:left="567" w:right="629"/>
        <w:jc w:val="both"/>
        <w:rPr>
          <w:rFonts w:ascii="Palatino Linotype" w:eastAsia="Palatino Linotype" w:hAnsi="Palatino Linotype" w:cs="Palatino Linotype"/>
          <w:i/>
          <w:sz w:val="22"/>
          <w:szCs w:val="22"/>
        </w:rPr>
      </w:pPr>
    </w:p>
    <w:p w:rsidR="001B2EB2" w:rsidRPr="001F33E7" w:rsidRDefault="004C6419">
      <w:pPr>
        <w:spacing w:line="276" w:lineRule="auto"/>
        <w:ind w:left="567" w:right="629"/>
        <w:jc w:val="both"/>
        <w:rPr>
          <w:rFonts w:ascii="Palatino Linotype" w:eastAsia="Palatino Linotype" w:hAnsi="Palatino Linotype" w:cs="Palatino Linotype"/>
          <w:i/>
          <w:sz w:val="22"/>
          <w:szCs w:val="22"/>
        </w:rPr>
      </w:pPr>
      <w:r w:rsidRPr="001F33E7">
        <w:rPr>
          <w:rFonts w:ascii="Palatino Linotype" w:eastAsia="Palatino Linotype" w:hAnsi="Palatino Linotype" w:cs="Palatino Linotype"/>
          <w:i/>
          <w:sz w:val="22"/>
          <w:szCs w:val="22"/>
        </w:rPr>
        <w:lastRenderedPageBreak/>
        <w:t xml:space="preserve">Para el caso de que, derivado de la búsqueda exhaustiva y razonable no obren en los archivos del </w:t>
      </w:r>
      <w:r w:rsidRPr="001F33E7">
        <w:rPr>
          <w:rFonts w:ascii="Palatino Linotype" w:eastAsia="Palatino Linotype" w:hAnsi="Palatino Linotype" w:cs="Palatino Linotype"/>
          <w:b/>
          <w:i/>
          <w:sz w:val="22"/>
          <w:szCs w:val="22"/>
        </w:rPr>
        <w:t>SUJETO OBLIGADO</w:t>
      </w:r>
      <w:r w:rsidRPr="001F33E7">
        <w:rPr>
          <w:rFonts w:ascii="Palatino Linotype" w:eastAsia="Palatino Linotype" w:hAnsi="Palatino Linotype" w:cs="Palatino Linotype"/>
          <w:i/>
          <w:sz w:val="22"/>
          <w:szCs w:val="22"/>
        </w:rPr>
        <w:t xml:space="preserve"> alguna o algunas de las estadísticas que se ordena entregar, deberá hacerlo del conocimiento de la </w:t>
      </w:r>
      <w:r w:rsidRPr="001F33E7">
        <w:rPr>
          <w:rFonts w:ascii="Palatino Linotype" w:eastAsia="Palatino Linotype" w:hAnsi="Palatino Linotype" w:cs="Palatino Linotype"/>
          <w:b/>
          <w:i/>
          <w:sz w:val="22"/>
          <w:szCs w:val="22"/>
        </w:rPr>
        <w:t xml:space="preserve">RECURRENTE </w:t>
      </w:r>
      <w:r w:rsidRPr="001F33E7">
        <w:rPr>
          <w:rFonts w:ascii="Palatino Linotype" w:eastAsia="Palatino Linotype" w:hAnsi="Palatino Linotype" w:cs="Palatino Linotype"/>
          <w:i/>
          <w:sz w:val="22"/>
          <w:szCs w:val="22"/>
        </w:rPr>
        <w:t>de manera precisa y clara, de conformidad con el segundo párrafo del artículo 19 de la Ley de Transparencia vigente en la entidad.</w:t>
      </w:r>
    </w:p>
    <w:p w:rsidR="001B2EB2" w:rsidRPr="001F33E7" w:rsidRDefault="001B2EB2">
      <w:pPr>
        <w:spacing w:line="360" w:lineRule="auto"/>
        <w:ind w:left="567"/>
        <w:jc w:val="both"/>
        <w:rPr>
          <w:rFonts w:ascii="Palatino Linotype" w:eastAsia="Palatino Linotype" w:hAnsi="Palatino Linotype" w:cs="Palatino Linotype"/>
          <w:b/>
          <w:i/>
          <w:sz w:val="22"/>
          <w:szCs w:val="22"/>
        </w:rPr>
      </w:pPr>
    </w:p>
    <w:p w:rsidR="001B2EB2" w:rsidRPr="001F33E7" w:rsidRDefault="004C6419">
      <w:pPr>
        <w:spacing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b/>
        </w:rPr>
        <w:t>TERCERO. Notifíquese vía SAIMEX,</w:t>
      </w:r>
      <w:r w:rsidRPr="001F33E7">
        <w:rPr>
          <w:rFonts w:ascii="Palatino Linotype" w:eastAsia="Palatino Linotype" w:hAnsi="Palatino Linotype" w:cs="Palatino Linotype"/>
          <w:b/>
          <w:i/>
        </w:rPr>
        <w:t xml:space="preserve"> </w:t>
      </w:r>
      <w:r w:rsidRPr="001F33E7">
        <w:rPr>
          <w:rFonts w:ascii="Palatino Linotype" w:eastAsia="Palatino Linotype" w:hAnsi="Palatino Linotype" w:cs="Palatino Linotype"/>
        </w:rPr>
        <w:t xml:space="preserve">a la Titular de la Unidad de Transparencia del </w:t>
      </w:r>
      <w:r w:rsidRPr="001F33E7">
        <w:rPr>
          <w:rFonts w:ascii="Palatino Linotype" w:eastAsia="Palatino Linotype" w:hAnsi="Palatino Linotype" w:cs="Palatino Linotype"/>
          <w:b/>
        </w:rPr>
        <w:t>SUJETO OBLIGADO</w:t>
      </w:r>
      <w:r w:rsidRPr="001F33E7">
        <w:rPr>
          <w:rFonts w:ascii="Palatino Linotype" w:eastAsia="Palatino Linotype" w:hAnsi="Palatino Linotype" w:cs="Palatino Linotype"/>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1B2EB2" w:rsidRPr="001F33E7" w:rsidRDefault="001B2EB2">
      <w:pPr>
        <w:spacing w:line="360" w:lineRule="auto"/>
        <w:jc w:val="both"/>
        <w:rPr>
          <w:rFonts w:ascii="Palatino Linotype" w:eastAsia="Palatino Linotype" w:hAnsi="Palatino Linotype" w:cs="Palatino Linotype"/>
        </w:rPr>
      </w:pPr>
    </w:p>
    <w:p w:rsidR="001B2EB2" w:rsidRPr="001F33E7" w:rsidRDefault="004C6419">
      <w:pPr>
        <w:spacing w:after="240"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b/>
        </w:rPr>
        <w:t>CUARTO. Notifíquese vía SAIMEX,</w:t>
      </w:r>
      <w:r w:rsidRPr="001F33E7">
        <w:rPr>
          <w:rFonts w:ascii="Palatino Linotype" w:eastAsia="Palatino Linotype" w:hAnsi="Palatino Linotype" w:cs="Palatino Linotype"/>
        </w:rPr>
        <w:t xml:space="preserve"> a la </w:t>
      </w:r>
      <w:r w:rsidRPr="001F33E7">
        <w:rPr>
          <w:rFonts w:ascii="Palatino Linotype" w:eastAsia="Palatino Linotype" w:hAnsi="Palatino Linotype" w:cs="Palatino Linotype"/>
          <w:b/>
        </w:rPr>
        <w:t>RECURRENTE</w:t>
      </w:r>
      <w:r w:rsidRPr="001F33E7">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1B2EB2" w:rsidRDefault="004C6419">
      <w:pPr>
        <w:spacing w:after="240" w:line="360" w:lineRule="auto"/>
        <w:jc w:val="both"/>
        <w:rPr>
          <w:rFonts w:ascii="Palatino Linotype" w:eastAsia="Palatino Linotype" w:hAnsi="Palatino Linotype" w:cs="Palatino Linotype"/>
        </w:rPr>
      </w:pPr>
      <w:r w:rsidRPr="001F33E7">
        <w:rPr>
          <w:rFonts w:ascii="Palatino Linotype" w:eastAsia="Palatino Linotype" w:hAnsi="Palatino Linotype" w:cs="Palatino Linotype"/>
          <w:b/>
        </w:rPr>
        <w:t>QUINTO.</w:t>
      </w:r>
      <w:r w:rsidRPr="001F33E7">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1F33E7">
        <w:rPr>
          <w:rFonts w:ascii="Palatino Linotype" w:eastAsia="Palatino Linotype" w:hAnsi="Palatino Linotype" w:cs="Palatino Linotype"/>
          <w:b/>
        </w:rPr>
        <w:t>SUJETO OBLIGADO</w:t>
      </w:r>
      <w:r w:rsidRPr="001F33E7">
        <w:rPr>
          <w:rFonts w:ascii="Palatino Linotype" w:eastAsia="Palatino Linotype" w:hAnsi="Palatino Linotype" w:cs="Palatino Linotype"/>
        </w:rPr>
        <w:t xml:space="preserve"> de manera fundada y motivada, podrá solicitar una ampliación de plazo para el cumplimiento de la presente resolución.</w:t>
      </w:r>
    </w:p>
    <w:p w:rsidR="001F33E7" w:rsidRPr="001F33E7" w:rsidRDefault="001F33E7">
      <w:pPr>
        <w:spacing w:after="240" w:line="360" w:lineRule="auto"/>
        <w:jc w:val="both"/>
        <w:rPr>
          <w:rFonts w:ascii="Palatino Linotype" w:eastAsia="Palatino Linotype" w:hAnsi="Palatino Linotype" w:cs="Palatino Linotype"/>
        </w:rPr>
      </w:pPr>
    </w:p>
    <w:p w:rsidR="001B2EB2" w:rsidRPr="001F33E7" w:rsidRDefault="004C6419">
      <w:pPr>
        <w:spacing w:before="240" w:after="240" w:line="360" w:lineRule="auto"/>
        <w:jc w:val="both"/>
        <w:rPr>
          <w:rFonts w:ascii="Palatino Linotype" w:eastAsia="Palatino Linotype" w:hAnsi="Palatino Linotype" w:cs="Palatino Linotype"/>
        </w:rPr>
        <w:sectPr w:rsidR="001B2EB2" w:rsidRPr="001F33E7">
          <w:headerReference w:type="default" r:id="rId14"/>
          <w:footerReference w:type="default" r:id="rId15"/>
          <w:headerReference w:type="first" r:id="rId16"/>
          <w:footerReference w:type="first" r:id="rId17"/>
          <w:pgSz w:w="12240" w:h="15840"/>
          <w:pgMar w:top="2041" w:right="1701" w:bottom="1701" w:left="1701" w:header="709" w:footer="709" w:gutter="0"/>
          <w:pgNumType w:start="1"/>
          <w:cols w:space="720"/>
          <w:titlePg/>
        </w:sectPr>
      </w:pPr>
      <w:r w:rsidRPr="001F33E7">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QUINTA SESIÓN ORDINARIA CELEBRADA EL VEINTIOCHO DE SEPTIEMBRE DEL DOS MIL VEINTIDÓS, ANTE EL SECRETARIO TÉCNICO DEL PLENO ALEXIS TAPIA RAMÍREZ.    </w:t>
      </w:r>
    </w:p>
    <w:p w:rsidR="001B2EB2" w:rsidRPr="001F33E7" w:rsidRDefault="001B2EB2">
      <w:pPr>
        <w:spacing w:before="240" w:after="240" w:line="360" w:lineRule="auto"/>
        <w:jc w:val="both"/>
        <w:rPr>
          <w:rFonts w:ascii="Palatino Linotype" w:eastAsia="Palatino Linotype" w:hAnsi="Palatino Linotype" w:cs="Palatino Linotype"/>
        </w:rPr>
      </w:pPr>
    </w:p>
    <w:sectPr w:rsidR="001B2EB2" w:rsidRPr="001F33E7">
      <w:headerReference w:type="first" r:id="rId18"/>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6419" w:rsidRDefault="004C6419">
      <w:r>
        <w:separator/>
      </w:r>
    </w:p>
  </w:endnote>
  <w:endnote w:type="continuationSeparator" w:id="0">
    <w:p w:rsidR="004C6419" w:rsidRDefault="004C6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EB2" w:rsidRDefault="004C641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72228">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72228">
      <w:rPr>
        <w:rFonts w:ascii="Arial" w:eastAsia="Arial" w:hAnsi="Arial" w:cs="Arial"/>
        <w:b/>
        <w:noProof/>
        <w:color w:val="000000"/>
        <w:sz w:val="20"/>
        <w:szCs w:val="20"/>
      </w:rPr>
      <w:t>39</w:t>
    </w:r>
    <w:r>
      <w:rPr>
        <w:rFonts w:ascii="Arial" w:eastAsia="Arial" w:hAnsi="Arial" w:cs="Arial"/>
        <w:b/>
        <w:color w:val="000000"/>
        <w:sz w:val="20"/>
        <w:szCs w:val="20"/>
      </w:rPr>
      <w:fldChar w:fldCharType="end"/>
    </w:r>
  </w:p>
  <w:p w:rsidR="001B2EB2" w:rsidRDefault="001B2EB2">
    <w:pPr>
      <w:pBdr>
        <w:top w:val="nil"/>
        <w:left w:val="nil"/>
        <w:bottom w:val="nil"/>
        <w:right w:val="nil"/>
        <w:between w:val="nil"/>
      </w:pBdr>
      <w:tabs>
        <w:tab w:val="center" w:pos="4252"/>
        <w:tab w:val="right" w:pos="8504"/>
      </w:tabs>
      <w:rPr>
        <w:color w:val="000000"/>
      </w:rPr>
    </w:pPr>
  </w:p>
  <w:p w:rsidR="001B2EB2" w:rsidRDefault="001B2EB2">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EB2" w:rsidRDefault="004C641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72228">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72228">
      <w:rPr>
        <w:rFonts w:ascii="Arial" w:eastAsia="Arial" w:hAnsi="Arial" w:cs="Arial"/>
        <w:b/>
        <w:noProof/>
        <w:color w:val="000000"/>
        <w:sz w:val="20"/>
        <w:szCs w:val="20"/>
      </w:rPr>
      <w:t>39</w:t>
    </w:r>
    <w:r>
      <w:rPr>
        <w:rFonts w:ascii="Arial" w:eastAsia="Arial" w:hAnsi="Arial" w:cs="Arial"/>
        <w:b/>
        <w:color w:val="000000"/>
        <w:sz w:val="20"/>
        <w:szCs w:val="20"/>
      </w:rPr>
      <w:fldChar w:fldCharType="end"/>
    </w:r>
  </w:p>
  <w:p w:rsidR="001B2EB2" w:rsidRDefault="001B2EB2">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6419" w:rsidRDefault="004C6419">
      <w:r>
        <w:separator/>
      </w:r>
    </w:p>
  </w:footnote>
  <w:footnote w:type="continuationSeparator" w:id="0">
    <w:p w:rsidR="004C6419" w:rsidRDefault="004C6419">
      <w:r>
        <w:continuationSeparator/>
      </w:r>
    </w:p>
  </w:footnote>
  <w:footnote w:id="1">
    <w:p w:rsidR="001B2EB2" w:rsidRDefault="004C6419">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b/>
          <w:color w:val="000000"/>
          <w:sz w:val="20"/>
          <w:szCs w:val="20"/>
        </w:rPr>
        <w:t>Artículo 18.</w:t>
      </w:r>
      <w:r>
        <w:rPr>
          <w:rFonts w:ascii="Palatino Linotype" w:eastAsia="Palatino Linotype" w:hAnsi="Palatino Linotype" w:cs="Palatino Linotype"/>
          <w:color w:val="000000"/>
          <w:sz w:val="20"/>
          <w:szCs w:val="20"/>
        </w:rPr>
        <w:t xml:space="preserve"> Los sujetos obligados deberán documentar todo acto que derive del ejercicio de sus facultades, competencias o funciones, considerando desde su origen la eventual publicidad y reutilización de la información que generen. </w:t>
      </w:r>
    </w:p>
    <w:p w:rsidR="001B2EB2" w:rsidRDefault="001B2EB2">
      <w:pPr>
        <w:pBdr>
          <w:top w:val="nil"/>
          <w:left w:val="nil"/>
          <w:bottom w:val="nil"/>
          <w:right w:val="nil"/>
          <w:between w:val="nil"/>
        </w:pBdr>
        <w:jc w:val="both"/>
        <w:rPr>
          <w:rFonts w:ascii="Palatino Linotype" w:eastAsia="Palatino Linotype" w:hAnsi="Palatino Linotype" w:cs="Palatino Linotype"/>
          <w:color w:val="000000"/>
          <w:sz w:val="20"/>
          <w:szCs w:val="20"/>
        </w:rPr>
      </w:pPr>
    </w:p>
    <w:p w:rsidR="001B2EB2" w:rsidRDefault="004C6419">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Artículo 19.</w:t>
      </w:r>
      <w:r>
        <w:rPr>
          <w:rFonts w:ascii="Palatino Linotype" w:eastAsia="Palatino Linotype" w:hAnsi="Palatino Linotype" w:cs="Palatino Linotype"/>
          <w:color w:val="000000"/>
          <w:sz w:val="20"/>
          <w:szCs w:val="20"/>
        </w:rPr>
        <w:t xml:space="preserve"> 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1B2EB2" w:rsidRDefault="001B2EB2">
      <w:pPr>
        <w:pBdr>
          <w:top w:val="nil"/>
          <w:left w:val="nil"/>
          <w:bottom w:val="nil"/>
          <w:right w:val="nil"/>
          <w:between w:val="nil"/>
        </w:pBdr>
        <w:jc w:val="both"/>
        <w:rPr>
          <w:rFonts w:ascii="Calibri" w:eastAsia="Calibri" w:hAnsi="Calibri" w:cs="Calibri"/>
          <w:color w:val="000000"/>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EB2" w:rsidRDefault="001B2EB2">
    <w:pPr>
      <w:widowControl w:val="0"/>
      <w:pBdr>
        <w:top w:val="nil"/>
        <w:left w:val="nil"/>
        <w:bottom w:val="nil"/>
        <w:right w:val="nil"/>
        <w:between w:val="nil"/>
      </w:pBdr>
      <w:spacing w:line="276" w:lineRule="auto"/>
      <w:rPr>
        <w:rFonts w:ascii="Calibri" w:eastAsia="Calibri" w:hAnsi="Calibri" w:cs="Calibri"/>
        <w:color w:val="000000"/>
      </w:rPr>
    </w:pPr>
  </w:p>
  <w:tbl>
    <w:tblPr>
      <w:tblStyle w:val="a7"/>
      <w:tblW w:w="5528" w:type="dxa"/>
      <w:tblInd w:w="3261" w:type="dxa"/>
      <w:tblLayout w:type="fixed"/>
      <w:tblLook w:val="0400" w:firstRow="0" w:lastRow="0" w:firstColumn="0" w:lastColumn="0" w:noHBand="0" w:noVBand="1"/>
    </w:tblPr>
    <w:tblGrid>
      <w:gridCol w:w="2551"/>
      <w:gridCol w:w="2977"/>
    </w:tblGrid>
    <w:tr w:rsidR="001B2EB2">
      <w:tc>
        <w:tcPr>
          <w:tcW w:w="2551" w:type="dxa"/>
          <w:vAlign w:val="center"/>
        </w:tcPr>
        <w:p w:rsidR="001B2EB2" w:rsidRDefault="004C641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rsidR="001B2EB2" w:rsidRDefault="004C641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09834/INFOEM/IP/RR/2022</w:t>
          </w:r>
        </w:p>
      </w:tc>
    </w:tr>
    <w:tr w:rsidR="001B2EB2">
      <w:trPr>
        <w:trHeight w:val="228"/>
      </w:trPr>
      <w:tc>
        <w:tcPr>
          <w:tcW w:w="2551" w:type="dxa"/>
          <w:vAlign w:val="center"/>
        </w:tcPr>
        <w:p w:rsidR="001B2EB2" w:rsidRDefault="004C641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rsidR="001B2EB2" w:rsidRDefault="004C641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Ecatepec de Morelos</w:t>
          </w:r>
        </w:p>
      </w:tc>
    </w:tr>
    <w:tr w:rsidR="001B2EB2">
      <w:tc>
        <w:tcPr>
          <w:tcW w:w="2551" w:type="dxa"/>
          <w:vAlign w:val="center"/>
        </w:tcPr>
        <w:p w:rsidR="001B2EB2" w:rsidRDefault="004C641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rsidR="001B2EB2" w:rsidRDefault="004C641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1B2EB2" w:rsidRDefault="004C6419">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simplePos x="0" y="0"/>
          <wp:positionH relativeFrom="column">
            <wp:posOffset>-695768</wp:posOffset>
          </wp:positionH>
          <wp:positionV relativeFrom="paragraph">
            <wp:posOffset>-1200943</wp:posOffset>
          </wp:positionV>
          <wp:extent cx="7809876" cy="10165823"/>
          <wp:effectExtent l="0" t="0" r="0" b="0"/>
          <wp:wrapNone/>
          <wp:docPr id="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EB2" w:rsidRDefault="004C6419">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simplePos x="0" y="0"/>
          <wp:positionH relativeFrom="column">
            <wp:posOffset>-846158</wp:posOffset>
          </wp:positionH>
          <wp:positionV relativeFrom="paragraph">
            <wp:posOffset>-171229</wp:posOffset>
          </wp:positionV>
          <wp:extent cx="7809876" cy="10165823"/>
          <wp:effectExtent l="0" t="0" r="0" b="0"/>
          <wp:wrapNone/>
          <wp:docPr id="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6"/>
      <w:tblW w:w="5670" w:type="dxa"/>
      <w:tblInd w:w="3119" w:type="dxa"/>
      <w:tblLayout w:type="fixed"/>
      <w:tblLook w:val="0400" w:firstRow="0" w:lastRow="0" w:firstColumn="0" w:lastColumn="0" w:noHBand="0" w:noVBand="1"/>
    </w:tblPr>
    <w:tblGrid>
      <w:gridCol w:w="2551"/>
      <w:gridCol w:w="3119"/>
    </w:tblGrid>
    <w:tr w:rsidR="001B2EB2">
      <w:tc>
        <w:tcPr>
          <w:tcW w:w="2551" w:type="dxa"/>
          <w:vAlign w:val="center"/>
        </w:tcPr>
        <w:p w:rsidR="001B2EB2" w:rsidRDefault="004C641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1B2EB2" w:rsidRDefault="004C641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09834/INFOEM/IP/RR/2022. </w:t>
          </w:r>
        </w:p>
      </w:tc>
    </w:tr>
    <w:tr w:rsidR="001B2EB2">
      <w:tc>
        <w:tcPr>
          <w:tcW w:w="2551" w:type="dxa"/>
          <w:vAlign w:val="center"/>
        </w:tcPr>
        <w:p w:rsidR="001B2EB2" w:rsidRDefault="004C6419">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1B2EB2" w:rsidRDefault="00672228" w:rsidP="00672228">
          <w:pPr>
            <w:ind w:right="18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 </w:t>
          </w:r>
          <w:proofErr w:type="spellStart"/>
          <w:r>
            <w:rPr>
              <w:rFonts w:ascii="Palatino Linotype" w:eastAsia="Palatino Linotype" w:hAnsi="Palatino Linotype" w:cs="Palatino Linotype"/>
              <w:b/>
              <w:sz w:val="22"/>
              <w:szCs w:val="22"/>
            </w:rPr>
            <w:t>XXXX</w:t>
          </w:r>
          <w:proofErr w:type="spellEnd"/>
          <w:r>
            <w:rPr>
              <w:rFonts w:ascii="Palatino Linotype" w:eastAsia="Palatino Linotype" w:hAnsi="Palatino Linotype" w:cs="Palatino Linotype"/>
              <w:b/>
              <w:sz w:val="22"/>
              <w:szCs w:val="22"/>
            </w:rPr>
            <w:t xml:space="preserve"> XXXXXXXX</w:t>
          </w:r>
        </w:p>
      </w:tc>
    </w:tr>
    <w:tr w:rsidR="001B2EB2">
      <w:trPr>
        <w:trHeight w:val="228"/>
      </w:trPr>
      <w:tc>
        <w:tcPr>
          <w:tcW w:w="2551" w:type="dxa"/>
          <w:vAlign w:val="center"/>
        </w:tcPr>
        <w:p w:rsidR="001B2EB2" w:rsidRDefault="004C641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1B2EB2" w:rsidRDefault="004C6419">
          <w:pPr>
            <w:ind w:right="18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Ecatepec de Morelos.</w:t>
          </w:r>
        </w:p>
      </w:tc>
    </w:tr>
    <w:tr w:rsidR="001B2EB2">
      <w:tc>
        <w:tcPr>
          <w:tcW w:w="2551" w:type="dxa"/>
          <w:vAlign w:val="center"/>
        </w:tcPr>
        <w:p w:rsidR="001B2EB2" w:rsidRDefault="004C641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1B2EB2" w:rsidRDefault="004C641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1B2EB2" w:rsidRDefault="001B2EB2">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EB2" w:rsidRDefault="001B2EB2">
    <w:pPr>
      <w:pBdr>
        <w:top w:val="nil"/>
        <w:left w:val="nil"/>
        <w:bottom w:val="nil"/>
        <w:right w:val="nil"/>
        <w:between w:val="nil"/>
      </w:pBdr>
      <w:tabs>
        <w:tab w:val="center" w:pos="4252"/>
        <w:tab w:val="right" w:pos="8504"/>
      </w:tabs>
      <w:jc w:val="both"/>
      <w:rPr>
        <w:rFonts w:ascii="Calibri" w:eastAsia="Calibri" w:hAnsi="Calibri" w:cs="Calibri"/>
        <w:color w:val="000000"/>
      </w:rPr>
    </w:pPr>
  </w:p>
  <w:p w:rsidR="001B2EB2" w:rsidRDefault="001B2EB2">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D81C5B"/>
    <w:multiLevelType w:val="multilevel"/>
    <w:tmpl w:val="2A6020E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45911917"/>
    <w:multiLevelType w:val="multilevel"/>
    <w:tmpl w:val="542CB2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DFF014D"/>
    <w:multiLevelType w:val="multilevel"/>
    <w:tmpl w:val="29BA436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EB2"/>
    <w:rsid w:val="001B2EB2"/>
    <w:rsid w:val="001F33E7"/>
    <w:rsid w:val="004C6419"/>
    <w:rsid w:val="00515FED"/>
    <w:rsid w:val="006722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76711E-93F6-47E3-B465-AB715154C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link w:val="Ttulo1Car"/>
    <w:uiPriority w:val="9"/>
    <w:qFormat/>
    <w:rsid w:val="0039279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9279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99"/>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99"/>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pple-tab-span">
    <w:name w:val="apple-tab-span"/>
    <w:basedOn w:val="Fuentedeprrafopredeter"/>
    <w:rsid w:val="00147361"/>
  </w:style>
  <w:style w:type="paragraph" w:customStyle="1" w:styleId="j">
    <w:name w:val="j"/>
    <w:basedOn w:val="Normal"/>
    <w:rsid w:val="00C2090B"/>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39279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39279D"/>
    <w:rPr>
      <w:rFonts w:asciiTheme="majorHAnsi" w:eastAsiaTheme="majorEastAsia" w:hAnsiTheme="majorHAnsi" w:cstheme="majorBidi"/>
      <w:color w:val="2E74B5" w:themeColor="accent1" w:themeShade="BF"/>
      <w:sz w:val="26"/>
      <w:szCs w:val="26"/>
      <w:lang w:val="es-ES" w:eastAsia="es-ES"/>
    </w:rPr>
  </w:style>
  <w:style w:type="character" w:styleId="Textoennegrita">
    <w:name w:val="Strong"/>
    <w:uiPriority w:val="22"/>
    <w:qFormat/>
    <w:rsid w:val="0039279D"/>
    <w:rPr>
      <w:b/>
      <w:bCs/>
    </w:rPr>
  </w:style>
  <w:style w:type="paragraph" w:customStyle="1" w:styleId="Texto">
    <w:name w:val="Texto"/>
    <w:basedOn w:val="Normal"/>
    <w:link w:val="TextoCar"/>
    <w:qFormat/>
    <w:rsid w:val="0039279D"/>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39279D"/>
    <w:rPr>
      <w:rFonts w:ascii="Arial" w:eastAsia="Times New Roman" w:hAnsi="Arial" w:cs="Arial"/>
      <w:sz w:val="18"/>
      <w:szCs w:val="18"/>
      <w:lang w:eastAsia="es-ES"/>
    </w:rPr>
  </w:style>
  <w:style w:type="paragraph" w:styleId="Textosinformato">
    <w:name w:val="Plain Text"/>
    <w:basedOn w:val="Normal"/>
    <w:link w:val="TextosinformatoCar"/>
    <w:rsid w:val="0039279D"/>
    <w:rPr>
      <w:rFonts w:ascii="Courier New" w:hAnsi="Courier New"/>
      <w:sz w:val="20"/>
      <w:szCs w:val="20"/>
    </w:rPr>
  </w:style>
  <w:style w:type="character" w:customStyle="1" w:styleId="TextosinformatoCar">
    <w:name w:val="Texto sin formato Car"/>
    <w:basedOn w:val="Fuentedeprrafopredeter"/>
    <w:link w:val="Textosinformato"/>
    <w:rsid w:val="0039279D"/>
    <w:rPr>
      <w:rFonts w:ascii="Courier New" w:eastAsia="Times New Roman" w:hAnsi="Courier New" w:cs="Times New Roman"/>
      <w:sz w:val="20"/>
      <w:szCs w:val="20"/>
      <w:lang w:val="es-ES" w:eastAsia="es-ES"/>
    </w:rPr>
  </w:style>
  <w:style w:type="paragraph" w:customStyle="1" w:styleId="Default">
    <w:name w:val="Default"/>
    <w:rsid w:val="0039279D"/>
    <w:pPr>
      <w:autoSpaceDE w:val="0"/>
      <w:autoSpaceDN w:val="0"/>
      <w:adjustRightInd w:val="0"/>
    </w:pPr>
    <w:rPr>
      <w:rFonts w:ascii="Arial" w:hAnsi="Arial" w:cs="Arial"/>
      <w:color w:val="000000"/>
    </w:rPr>
  </w:style>
  <w:style w:type="paragraph" w:customStyle="1" w:styleId="Standard">
    <w:name w:val="Standard"/>
    <w:rsid w:val="0039279D"/>
    <w:pPr>
      <w:widowControl w:val="0"/>
      <w:suppressAutoHyphens/>
      <w:autoSpaceDN w:val="0"/>
      <w:textAlignment w:val="baseline"/>
    </w:pPr>
    <w:rPr>
      <w:rFonts w:ascii="Liberation Serif" w:eastAsia="DejaVu Sans" w:hAnsi="Liberation Serif" w:cs="Lohit Hindi"/>
      <w:kern w:val="3"/>
      <w:lang w:eastAsia="zh-CN" w:bidi="hi-IN"/>
    </w:rPr>
  </w:style>
  <w:style w:type="paragraph" w:customStyle="1" w:styleId="q">
    <w:name w:val="q"/>
    <w:basedOn w:val="Normal"/>
    <w:rsid w:val="0039279D"/>
    <w:pPr>
      <w:spacing w:before="100" w:beforeAutospacing="1" w:after="100" w:afterAutospacing="1"/>
    </w:pPr>
    <w:rPr>
      <w:lang w:val="es-MX" w:eastAsia="es-MX"/>
    </w:rPr>
  </w:style>
  <w:style w:type="paragraph" w:styleId="Bibliografa">
    <w:name w:val="Bibliography"/>
    <w:basedOn w:val="Normal"/>
    <w:next w:val="Normal"/>
    <w:uiPriority w:val="37"/>
    <w:semiHidden/>
    <w:unhideWhenUsed/>
    <w:rsid w:val="0039279D"/>
  </w:style>
  <w:style w:type="character" w:customStyle="1" w:styleId="nacep">
    <w:name w:val="n_acep"/>
    <w:basedOn w:val="Fuentedeprrafopredeter"/>
    <w:rsid w:val="0039279D"/>
  </w:style>
  <w:style w:type="character" w:customStyle="1" w:styleId="m2871584667633129156gmail-apple-converted-space">
    <w:name w:val="m_2871584667633129156gmail-apple-converted-space"/>
    <w:basedOn w:val="Fuentedeprrafopredeter"/>
    <w:rsid w:val="0039279D"/>
  </w:style>
  <w:style w:type="character" w:customStyle="1" w:styleId="m2871584667633129156gmail-msofootnotereference">
    <w:name w:val="m_2871584667633129156gmail-msofootnotereference"/>
    <w:basedOn w:val="Fuentedeprrafopredeter"/>
    <w:rsid w:val="0039279D"/>
  </w:style>
  <w:style w:type="paragraph" w:customStyle="1" w:styleId="m2871584667633129156gmail-msofootnotetext">
    <w:name w:val="m_2871584667633129156gmail-msofootnotetext"/>
    <w:basedOn w:val="Normal"/>
    <w:rsid w:val="0039279D"/>
    <w:pPr>
      <w:spacing w:before="100" w:beforeAutospacing="1" w:after="100" w:afterAutospacing="1"/>
    </w:pPr>
    <w:rPr>
      <w:lang w:val="es-MX" w:eastAsia="es-MX"/>
    </w:rPr>
  </w:style>
  <w:style w:type="paragraph" w:styleId="Textoindependiente2">
    <w:name w:val="Body Text 2"/>
    <w:basedOn w:val="Normal"/>
    <w:link w:val="Textoindependiente2Car"/>
    <w:uiPriority w:val="99"/>
    <w:unhideWhenUsed/>
    <w:rsid w:val="0039279D"/>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39279D"/>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39279D"/>
    <w:rPr>
      <w:color w:val="954F72" w:themeColor="followedHyperlink"/>
      <w:u w:val="single"/>
    </w:rPr>
  </w:style>
  <w:style w:type="paragraph" w:styleId="Lista">
    <w:name w:val="List"/>
    <w:basedOn w:val="Normal"/>
    <w:uiPriority w:val="99"/>
    <w:unhideWhenUsed/>
    <w:rsid w:val="0039279D"/>
    <w:pPr>
      <w:ind w:left="283" w:hanging="283"/>
      <w:contextualSpacing/>
    </w:pPr>
  </w:style>
  <w:style w:type="paragraph" w:styleId="Lista2">
    <w:name w:val="List 2"/>
    <w:basedOn w:val="Normal"/>
    <w:uiPriority w:val="99"/>
    <w:unhideWhenUsed/>
    <w:rsid w:val="0039279D"/>
    <w:pPr>
      <w:ind w:left="566" w:hanging="283"/>
      <w:contextualSpacing/>
    </w:pPr>
  </w:style>
  <w:style w:type="paragraph" w:styleId="Saludo">
    <w:name w:val="Salutation"/>
    <w:basedOn w:val="Normal"/>
    <w:next w:val="Normal"/>
    <w:link w:val="SaludoCar"/>
    <w:uiPriority w:val="99"/>
    <w:unhideWhenUsed/>
    <w:rsid w:val="0039279D"/>
  </w:style>
  <w:style w:type="character" w:customStyle="1" w:styleId="SaludoCar">
    <w:name w:val="Saludo Car"/>
    <w:basedOn w:val="Fuentedeprrafopredeter"/>
    <w:link w:val="Saludo"/>
    <w:uiPriority w:val="99"/>
    <w:rsid w:val="0039279D"/>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39279D"/>
    <w:pPr>
      <w:spacing w:after="120"/>
      <w:ind w:left="283"/>
    </w:pPr>
  </w:style>
  <w:style w:type="character" w:customStyle="1" w:styleId="SangradetextonormalCar">
    <w:name w:val="Sangría de texto normal Car"/>
    <w:basedOn w:val="Fuentedeprrafopredeter"/>
    <w:link w:val="Sangradetextonormal"/>
    <w:uiPriority w:val="99"/>
    <w:rsid w:val="0039279D"/>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39279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39279D"/>
    <w:rPr>
      <w:rFonts w:ascii="Times New Roman" w:eastAsia="Times New Roman" w:hAnsi="Times New Roman" w:cs="Times New Roman"/>
      <w:sz w:val="24"/>
      <w:szCs w:val="24"/>
      <w:lang w:val="es-ES" w:eastAsia="es-ES"/>
    </w:rPr>
  </w:style>
  <w:style w:type="character" w:customStyle="1" w:styleId="u">
    <w:name w:val="u"/>
    <w:basedOn w:val="Fuentedeprrafopredeter"/>
    <w:rsid w:val="0039279D"/>
  </w:style>
  <w:style w:type="character" w:customStyle="1" w:styleId="TextonotapieCar1">
    <w:name w:val="Texto nota pie Car1"/>
    <w:basedOn w:val="Fuentedeprrafopredeter"/>
    <w:uiPriority w:val="99"/>
    <w:rsid w:val="0039279D"/>
    <w:rPr>
      <w:sz w:val="20"/>
      <w:szCs w:val="20"/>
    </w:rPr>
  </w:style>
  <w:style w:type="paragraph" w:customStyle="1" w:styleId="rtejustify">
    <w:name w:val="rtejustify"/>
    <w:basedOn w:val="Normal"/>
    <w:rsid w:val="0039279D"/>
    <w:pPr>
      <w:spacing w:before="100" w:beforeAutospacing="1" w:after="100" w:afterAutospacing="1"/>
    </w:pPr>
    <w:rPr>
      <w:lang w:val="es-MX" w:eastAsia="es-MX"/>
    </w:rPr>
  </w:style>
  <w:style w:type="character" w:styleId="nfasis">
    <w:name w:val="Emphasis"/>
    <w:basedOn w:val="Fuentedeprrafopredeter"/>
    <w:uiPriority w:val="20"/>
    <w:qFormat/>
    <w:rsid w:val="0039279D"/>
    <w:rPr>
      <w:i/>
      <w:iCs/>
    </w:rPr>
  </w:style>
  <w:style w:type="paragraph" w:customStyle="1" w:styleId="j1">
    <w:name w:val="j1"/>
    <w:basedOn w:val="Normal"/>
    <w:rsid w:val="0039279D"/>
    <w:pPr>
      <w:spacing w:before="100" w:beforeAutospacing="1" w:after="100" w:afterAutospacing="1"/>
    </w:pPr>
    <w:rPr>
      <w:lang w:val="es-MX" w:eastAsia="es-MX"/>
    </w:rPr>
  </w:style>
  <w:style w:type="character" w:customStyle="1" w:styleId="d">
    <w:name w:val="d"/>
    <w:basedOn w:val="Fuentedeprrafopredeter"/>
    <w:rsid w:val="0039279D"/>
  </w:style>
  <w:style w:type="character" w:customStyle="1" w:styleId="m-7180717751901043621gmail-msofootnotereference">
    <w:name w:val="m_-7180717751901043621gmail-msofootnotereference"/>
    <w:basedOn w:val="Fuentedeprrafopredeter"/>
    <w:rsid w:val="0039279D"/>
  </w:style>
  <w:style w:type="character" w:customStyle="1" w:styleId="m-3579365149168697376gmail-msofootnotereference">
    <w:name w:val="m_-3579365149168697376gmail-msofootnotereference"/>
    <w:basedOn w:val="Fuentedeprrafopredeter"/>
    <w:rsid w:val="0039279D"/>
  </w:style>
  <w:style w:type="paragraph" w:customStyle="1" w:styleId="m-3579365149168697376gmail-msofootnotetext">
    <w:name w:val="m_-3579365149168697376gmail-msofootnotetext"/>
    <w:basedOn w:val="Normal"/>
    <w:rsid w:val="0039279D"/>
    <w:pPr>
      <w:spacing w:before="100" w:beforeAutospacing="1" w:after="100" w:afterAutospacing="1"/>
    </w:pPr>
    <w:rPr>
      <w:lang w:val="es-MX" w:eastAsia="es-MX"/>
    </w:rPr>
  </w:style>
  <w:style w:type="character" w:customStyle="1" w:styleId="ams">
    <w:name w:val="ams"/>
    <w:basedOn w:val="Fuentedeprrafopredeter"/>
    <w:rsid w:val="0039279D"/>
  </w:style>
  <w:style w:type="character" w:customStyle="1" w:styleId="apple-style-span">
    <w:name w:val="apple-style-span"/>
    <w:rsid w:val="00910B44"/>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Tabladelista1clara-nfasis11">
    <w:name w:val="Tabla de lista 1 clara - Énfasis 11"/>
    <w:basedOn w:val="Tablanormal"/>
    <w:uiPriority w:val="46"/>
    <w:rsid w:val="00836108"/>
    <w:rPr>
      <w:rFonts w:asciiTheme="minorHAnsi" w:eastAsia="MS Mincho" w:hAnsiTheme="minorHAnsi" w:cstheme="minorBidi"/>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0"/>
    <w:rPr>
      <w:rFonts w:ascii="Calibri" w:eastAsia="Calibri" w:hAnsi="Calibri" w:cs="Calibri"/>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13824.page" TargetMode="Externa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r3oMoYDHzDP9aiLQ1fwGgPDn4Q==">AMUW2mVZVNLCv8tjTIhd5ZdgFE8Jzp7ZUkOwQhxUSLSJ7HaXxvuoY6XW/RoMZJI7pjzkt9+GVLB2YyxuGDuADYGpQKfVxtzLd6cVpu8pxbuw7sAFrv6iXmrRAbFpsu0M6E+O40K78kyD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8951</Words>
  <Characters>49234</Characters>
  <Application>Microsoft Office Word</Application>
  <DocSecurity>0</DocSecurity>
  <Lines>410</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2</cp:revision>
  <dcterms:created xsi:type="dcterms:W3CDTF">2022-10-05T18:49:00Z</dcterms:created>
  <dcterms:modified xsi:type="dcterms:W3CDTF">2022-10-05T18:49:00Z</dcterms:modified>
</cp:coreProperties>
</file>