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tres de marzo de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06519/INFOEM/IP/RR/2021</w:t>
      </w:r>
      <w:r w:rsidDel="00000000" w:rsidR="00000000" w:rsidRPr="00000000">
        <w:rPr>
          <w:rFonts w:ascii="Palatino Linotype" w:cs="Palatino Linotype" w:eastAsia="Palatino Linotype" w:hAnsi="Palatino Linotype"/>
          <w:sz w:val="24"/>
          <w:szCs w:val="24"/>
          <w:rtl w:val="0"/>
        </w:rPr>
        <w:t xml:space="preserve">, interpuesto por un particular que al momento de ingresar la solicitud de información e interponer el recurso de revisión, no señaló nombre o seudónimo con el cual desee ser identificado, al cual en lo sucesivo  se le denominara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00146/ATIZAPAN/IP/2021</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por parte de</w:t>
      </w:r>
      <w:r w:rsidDel="00000000" w:rsidR="00000000" w:rsidRPr="00000000">
        <w:rPr>
          <w:rFonts w:ascii="Palatino Linotype" w:cs="Palatino Linotype" w:eastAsia="Palatino Linotype" w:hAnsi="Palatino Linotype"/>
          <w:b w:val="1"/>
          <w:sz w:val="24"/>
          <w:szCs w:val="24"/>
          <w:rtl w:val="0"/>
        </w:rPr>
        <w:t xml:space="preserve">l Ayuntamiento de Atizapán</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los siguiente. </w:t>
      </w:r>
    </w:p>
    <w:p w:rsidR="00000000" w:rsidDel="00000000" w:rsidP="00000000" w:rsidRDefault="00000000" w:rsidRPr="00000000" w14:paraId="00000003">
      <w:pPr>
        <w:spacing w:after="240" w:before="24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AN T E C E D E N T E S   </w:t>
      </w:r>
    </w:p>
    <w:p w:rsidR="00000000" w:rsidDel="00000000" w:rsidP="00000000" w:rsidRDefault="00000000" w:rsidRPr="00000000" w14:paraId="00000004">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LA SOLICITUD DE INFORMACIÓN. </w:t>
      </w:r>
      <w:r w:rsidDel="00000000" w:rsidR="00000000" w:rsidRPr="00000000">
        <w:rPr>
          <w:rFonts w:ascii="Palatino Linotype" w:cs="Palatino Linotype" w:eastAsia="Palatino Linotype" w:hAnsi="Palatino Linotype"/>
          <w:sz w:val="24"/>
          <w:szCs w:val="24"/>
          <w:rtl w:val="0"/>
        </w:rPr>
        <w:t xml:space="preserve">Con fecha catorce de diciembre de dos mil veintiuno,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00146/ATIZAPAN/IP/2021</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información en el tenor siguiente:</w:t>
      </w:r>
    </w:p>
    <w:p w:rsidR="00000000" w:rsidDel="00000000" w:rsidP="00000000" w:rsidRDefault="00000000" w:rsidRPr="00000000" w14:paraId="00000005">
      <w:pPr>
        <w:spacing w:after="240" w:before="240" w:line="276" w:lineRule="auto"/>
        <w:ind w:left="709" w:right="758"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“Respecto de mi terreno baldío: Requiero el fundamento legal y administrativo sobre como subdividir mi cuenta predial; Conforme a su manual de procedimientos requiero el extracto de dicho manual donde se advierta la manera en que se subdivide una cuenta predial; Señale los requisitos para subdividir mi cuenta predial; Señale el fundamento legal y administrativo de los documentos que tengo que presentar para subdividir mi cuenta predial; Nombre del área a la cual tengo que acudir para subdividir mi cuenta predial.” (Sic).</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7">
      <w:pPr>
        <w:spacing w:after="240" w:before="240" w:line="360" w:lineRule="auto"/>
        <w:jc w:val="both"/>
        <w:rPr/>
      </w:pPr>
      <w:r w:rsidDel="00000000" w:rsidR="00000000" w:rsidRPr="00000000">
        <w:rPr>
          <w:rFonts w:ascii="Palatino Linotype" w:cs="Palatino Linotype" w:eastAsia="Palatino Linotype" w:hAnsi="Palatino Linotype"/>
          <w:b w:val="1"/>
          <w:sz w:val="24"/>
          <w:szCs w:val="24"/>
          <w:rtl w:val="0"/>
        </w:rPr>
        <w:t xml:space="preserve">2. DE LA RESPUESTA DEL SUJETO OBLIGADO.  </w:t>
      </w:r>
      <w:r w:rsidDel="00000000" w:rsidR="00000000" w:rsidRPr="00000000">
        <w:rPr>
          <w:rFonts w:ascii="Palatino Linotype" w:cs="Palatino Linotype" w:eastAsia="Palatino Linotype" w:hAnsi="Palatino Linotype"/>
          <w:sz w:val="24"/>
          <w:szCs w:val="24"/>
          <w:rtl w:val="0"/>
        </w:rPr>
        <w:t xml:space="preserve">Con fecha veinte de diciembre del dos mil veintiuno,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r w:rsidDel="00000000" w:rsidR="00000000" w:rsidRPr="00000000">
        <w:rPr>
          <w:rtl w:val="0"/>
        </w:rPr>
        <w:t xml:space="preserve"> </w:t>
      </w:r>
    </w:p>
    <w:p w:rsidR="00000000" w:rsidDel="00000000" w:rsidP="00000000" w:rsidRDefault="00000000" w:rsidRPr="00000000" w14:paraId="00000008">
      <w:pPr>
        <w:spacing w:after="240" w:before="240" w:lineRule="auto"/>
        <w:ind w:left="851" w:right="90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Se da respuesta a sus solicitud, manifestandole que respeecto al fundamente lo legal se encuentra en el Código financiero artículo 171 fracccion VII; Los Ayuntamientos, además de las atribuciones que este Código y otros ordenamientos les confieran en materia catastral, tendrán las facultades y obligaciones siguientes: VII. Practicar levantamientos topográficos catastrales y verificación de linderos, en los términos de los ordenamientos correspondientes y respecto a donde se realiza ese tramite se lleva acabo aqui dentro del Ayuntamiento de SANTA CRUZ ATIZAPÁN, MÉXICO en la DIRECCIÓN DE CATASTRO.</w:t>
      </w:r>
    </w:p>
    <w:p w:rsidR="00000000" w:rsidDel="00000000" w:rsidP="00000000" w:rsidRDefault="00000000" w:rsidRPr="00000000" w14:paraId="00000009">
      <w:pPr>
        <w:spacing w:after="240" w:before="240" w:lineRule="auto"/>
        <w:ind w:left="851" w:right="90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ATENTAMENTE</w:t>
      </w:r>
    </w:p>
    <w:p w:rsidR="00000000" w:rsidDel="00000000" w:rsidP="00000000" w:rsidRDefault="00000000" w:rsidRPr="00000000" w14:paraId="0000000A">
      <w:pPr>
        <w:spacing w:after="240" w:before="240" w:lineRule="auto"/>
        <w:ind w:left="851" w:right="90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ALEJANDRO REYES ESQUIVE</w:t>
      </w:r>
    </w:p>
    <w:p w:rsidR="00000000" w:rsidDel="00000000" w:rsidP="00000000" w:rsidRDefault="00000000" w:rsidRPr="00000000" w14:paraId="0000000B">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DEL RECURSO DE REVISIÓN. </w:t>
      </w:r>
      <w:r w:rsidDel="00000000" w:rsidR="00000000" w:rsidRPr="00000000">
        <w:rPr>
          <w:rFonts w:ascii="Palatino Linotype" w:cs="Palatino Linotype" w:eastAsia="Palatino Linotype" w:hAnsi="Palatino Linotype"/>
          <w:sz w:val="24"/>
          <w:szCs w:val="24"/>
          <w:rtl w:val="0"/>
        </w:rPr>
        <w:t xml:space="preserve">Inconforme con la respuesta del</w:t>
      </w:r>
      <w:r w:rsidDel="00000000" w:rsidR="00000000" w:rsidRPr="00000000">
        <w:rPr>
          <w:rFonts w:ascii="Palatino Linotype" w:cs="Palatino Linotype" w:eastAsia="Palatino Linotype" w:hAnsi="Palatino Linotype"/>
          <w:b w:val="1"/>
          <w:sz w:val="24"/>
          <w:szCs w:val="24"/>
          <w:rtl w:val="0"/>
        </w:rPr>
        <w:t xml:space="preserve"> SUJETO OBLIGADO, EL RECURRENTE </w:t>
      </w:r>
      <w:r w:rsidDel="00000000" w:rsidR="00000000" w:rsidRPr="00000000">
        <w:rPr>
          <w:rFonts w:ascii="Palatino Linotype" w:cs="Palatino Linotype" w:eastAsia="Palatino Linotype" w:hAnsi="Palatino Linotype"/>
          <w:sz w:val="24"/>
          <w:szCs w:val="24"/>
          <w:rtl w:val="0"/>
        </w:rPr>
        <w:t xml:space="preserve">interpuso el recurso de revisión, en fecha veintiuno de diciembre de dos mil veintiuno,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06519/INFOEM/IP/RR/2021</w:t>
      </w:r>
      <w:r w:rsidDel="00000000" w:rsidR="00000000" w:rsidRPr="00000000">
        <w:rPr>
          <w:rFonts w:ascii="Palatino Linotype" w:cs="Palatino Linotype" w:eastAsia="Palatino Linotype" w:hAnsi="Palatino Linotype"/>
          <w:sz w:val="24"/>
          <w:szCs w:val="24"/>
          <w:rtl w:val="0"/>
        </w:rPr>
        <w:t xml:space="preserve">, en el cual manifiesta, lo siguiente:</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Acto Impugnado:</w:t>
      </w:r>
    </w:p>
    <w:p w:rsidR="00000000" w:rsidDel="00000000" w:rsidP="00000000" w:rsidRDefault="00000000" w:rsidRPr="00000000" w14:paraId="0000000D">
      <w:pPr>
        <w:spacing w:after="240" w:before="240" w:line="276" w:lineRule="auto"/>
        <w:ind w:lef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i w:val="1"/>
          <w:color w:val="000000"/>
          <w:sz w:val="24"/>
          <w:szCs w:val="24"/>
          <w:rtl w:val="0"/>
        </w:rPr>
        <w:t xml:space="preserve">Impugno la respuesta emitida por el sujeto obligado, recordemos que una pregunta concreta merece una respuesta concreta, toda vez que, no atienden concretamente todos los puntos requeridos en la solicitud.</w:t>
      </w:r>
      <w:r w:rsidDel="00000000" w:rsidR="00000000" w:rsidRPr="00000000">
        <w:rPr>
          <w:rFonts w:ascii="Palatino Linotype" w:cs="Palatino Linotype" w:eastAsia="Palatino Linotype" w:hAnsi="Palatino Linotype"/>
          <w:i w:val="1"/>
          <w:sz w:val="24"/>
          <w:szCs w:val="24"/>
          <w:rtl w:val="0"/>
        </w:rPr>
        <w:t xml:space="preserve">” [sic]</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Razones o Motivos de Inconformidad</w:t>
      </w: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0F">
      <w:pPr>
        <w:spacing w:after="240" w:before="240" w:lineRule="auto"/>
        <w:ind w:lef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“A parte de ser una respuesta incompleta, están violando el principio de máxima publicidad y en consecuencia mi derecho humano al acceso a la información que obra en sus archivos."” </w:t>
      </w:r>
      <w:r w:rsidDel="00000000" w:rsidR="00000000" w:rsidRPr="00000000">
        <w:rPr>
          <w:rFonts w:ascii="Palatino Linotype" w:cs="Palatino Linotype" w:eastAsia="Palatino Linotype" w:hAnsi="Palatino Linotype"/>
          <w:i w:val="1"/>
          <w:sz w:val="24"/>
          <w:szCs w:val="24"/>
          <w:rtl w:val="0"/>
        </w:rPr>
        <w:t xml:space="preserve">[sic]</w:t>
      </w:r>
    </w:p>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w:t>
      </w:r>
      <w:r w:rsidDel="00000000" w:rsidR="00000000" w:rsidRPr="00000000">
        <w:rPr>
          <w:rFonts w:ascii="Palatino Linotype" w:cs="Palatino Linotype" w:eastAsia="Palatino Linotype" w:hAnsi="Palatino Linotype"/>
          <w:sz w:val="24"/>
          <w:szCs w:val="24"/>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sz w:val="24"/>
          <w:szCs w:val="24"/>
          <w:rtl w:val="0"/>
        </w:rPr>
        <w:t xml:space="preserve">, el recurso de revisión número</w:t>
      </w:r>
      <w:r w:rsidDel="00000000" w:rsidR="00000000" w:rsidRPr="00000000">
        <w:rPr>
          <w:rFonts w:ascii="Palatino Linotype" w:cs="Palatino Linotype" w:eastAsia="Palatino Linotype" w:hAnsi="Palatino Linotype"/>
          <w:b w:val="1"/>
          <w:sz w:val="24"/>
          <w:szCs w:val="24"/>
          <w:rtl w:val="0"/>
        </w:rPr>
        <w:t xml:space="preserve"> 06519/INFOEM/IP/RR/2021 </w:t>
      </w:r>
      <w:r w:rsidDel="00000000" w:rsidR="00000000" w:rsidRPr="00000000">
        <w:rPr>
          <w:rFonts w:ascii="Palatino Linotype" w:cs="Palatino Linotype" w:eastAsia="Palatino Linotype" w:hAnsi="Palatino Linotype"/>
          <w:sz w:val="24"/>
          <w:szCs w:val="24"/>
          <w:rtl w:val="0"/>
        </w:rPr>
        <w:t xml:space="preserve">fue turnado en fecha veintiuno de diciembre de dos mil veintiuno a la Comisionada Ponente </w:t>
      </w:r>
      <w:r w:rsidDel="00000000" w:rsidR="00000000" w:rsidRPr="00000000">
        <w:rPr>
          <w:rFonts w:ascii="Palatino Linotype" w:cs="Palatino Linotype" w:eastAsia="Palatino Linotype" w:hAnsi="Palatino Linotype"/>
          <w:b w:val="1"/>
          <w:sz w:val="24"/>
          <w:szCs w:val="24"/>
          <w:rtl w:val="0"/>
        </w:rPr>
        <w:t xml:space="preserve">Guadalupe Ramírez Peña</w:t>
      </w:r>
      <w:r w:rsidDel="00000000" w:rsidR="00000000" w:rsidRPr="00000000">
        <w:rPr>
          <w:rFonts w:ascii="Palatino Linotype" w:cs="Palatino Linotype" w:eastAsia="Palatino Linotype" w:hAnsi="Palatino Linotype"/>
          <w:sz w:val="24"/>
          <w:szCs w:val="24"/>
          <w:rtl w:val="0"/>
        </w:rPr>
        <w:t xml:space="preserve">; a efecto de presentar al Pleno el proyecto de resolución correspondiente.</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ADMISIÓN. </w:t>
      </w:r>
      <w:r w:rsidDel="00000000" w:rsidR="00000000" w:rsidRPr="00000000">
        <w:rPr>
          <w:rFonts w:ascii="Palatino Linotype" w:cs="Palatino Linotype" w:eastAsia="Palatino Linotype" w:hAnsi="Palatino Linotype"/>
          <w:sz w:val="24"/>
          <w:szCs w:val="24"/>
          <w:rtl w:val="0"/>
        </w:rPr>
        <w:t xml:space="preserve">En fecha once de enero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2">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202124"/>
          <w:sz w:val="24"/>
          <w:szCs w:val="24"/>
          <w:rtl w:val="0"/>
        </w:rPr>
        <w:t xml:space="preserve">7. </w:t>
      </w:r>
      <w:r w:rsidDel="00000000" w:rsidR="00000000" w:rsidRPr="00000000">
        <w:rPr>
          <w:rFonts w:ascii="Palatino Linotype" w:cs="Palatino Linotype" w:eastAsia="Palatino Linotype" w:hAnsi="Palatino Linotype"/>
          <w:b w:val="1"/>
          <w:sz w:val="24"/>
          <w:szCs w:val="24"/>
          <w:rtl w:val="0"/>
        </w:rPr>
        <w:t xml:space="preserve">INFORME JUSTIFICADO O MANIFESTACIONES. </w:t>
      </w:r>
      <w:r w:rsidDel="00000000" w:rsidR="00000000" w:rsidRPr="00000000">
        <w:rPr>
          <w:rFonts w:ascii="Palatino Linotype" w:cs="Palatino Linotype" w:eastAsia="Palatino Linotype" w:hAnsi="Palatino Linotype"/>
          <w:sz w:val="24"/>
          <w:szCs w:val="24"/>
          <w:rtl w:val="0"/>
        </w:rPr>
        <w:t xml:space="preserve">Las partes fueron omisas de emitir manifestaciones conforme a Derecho les corresponde, como se precisa a continuación. </w:t>
      </w:r>
    </w:p>
    <w:p w:rsidR="00000000" w:rsidDel="00000000" w:rsidP="00000000" w:rsidRDefault="00000000" w:rsidRPr="00000000" w14:paraId="00000013">
      <w:pPr>
        <w:spacing w:after="240" w:before="240" w:lineRule="auto"/>
        <w:rPr>
          <w:rFonts w:ascii="Palatino Linotype" w:cs="Palatino Linotype" w:eastAsia="Palatino Linotype" w:hAnsi="Palatino Linotype"/>
          <w:i w:val="1"/>
          <w:sz w:val="24"/>
          <w:szCs w:val="24"/>
        </w:rPr>
      </w:pPr>
      <w:r w:rsidDel="00000000" w:rsidR="00000000" w:rsidRPr="00000000">
        <w:rPr/>
        <w:drawing>
          <wp:inline distB="0" distT="0" distL="0" distR="0">
            <wp:extent cx="5692057" cy="1556604"/>
            <wp:effectExtent b="0" l="0" r="0" t="0"/>
            <wp:docPr id="17" name="image6.png"/>
            <a:graphic>
              <a:graphicData uri="http://schemas.openxmlformats.org/drawingml/2006/picture">
                <pic:pic>
                  <pic:nvPicPr>
                    <pic:cNvPr id="0" name="image6.png"/>
                    <pic:cNvPicPr preferRelativeResize="0"/>
                  </pic:nvPicPr>
                  <pic:blipFill>
                    <a:blip r:embed="rId7"/>
                    <a:srcRect b="54737" l="6449" r="51967" t="25045"/>
                    <a:stretch>
                      <a:fillRect/>
                    </a:stretch>
                  </pic:blipFill>
                  <pic:spPr>
                    <a:xfrm>
                      <a:off x="0" y="0"/>
                      <a:ext cx="5692057" cy="155660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360" w:lineRule="auto"/>
        <w:ind w:right="-23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sz w:val="24"/>
          <w:szCs w:val="24"/>
          <w:rtl w:val="0"/>
        </w:rPr>
        <w:t xml:space="preserve">8. DEL CIERRE DE INSTRUCCIÓN. </w:t>
      </w:r>
      <w:r w:rsidDel="00000000" w:rsidR="00000000" w:rsidRPr="00000000">
        <w:rPr>
          <w:rFonts w:ascii="Palatino Linotype" w:cs="Palatino Linotype" w:eastAsia="Palatino Linotype" w:hAnsi="Palatino Linotype"/>
          <w:color w:val="000000"/>
          <w:sz w:val="24"/>
          <w:szCs w:val="24"/>
          <w:rtl w:val="0"/>
        </w:rPr>
        <w:t xml:space="preserve">El veintisiete de enero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15">
      <w:pPr>
        <w:spacing w:after="0" w:line="360" w:lineRule="auto"/>
        <w:jc w:val="both"/>
        <w:rPr>
          <w:rFonts w:ascii="Palatino Linotype" w:cs="Palatino Linotype" w:eastAsia="Palatino Linotype" w:hAnsi="Palatino Linotype"/>
          <w:color w:val="202124"/>
          <w:highlight w:val="white"/>
        </w:rPr>
      </w:pPr>
      <w:r w:rsidDel="00000000" w:rsidR="00000000" w:rsidRPr="00000000">
        <w:rPr>
          <w:rFonts w:ascii="Palatino Linotype" w:cs="Palatino Linotype" w:eastAsia="Palatino Linotype" w:hAnsi="Palatino Linotype"/>
          <w:b w:val="1"/>
          <w:sz w:val="24"/>
          <w:szCs w:val="24"/>
          <w:rtl w:val="0"/>
        </w:rPr>
        <w:t xml:space="preserve">9. DE LA AMPLIACIÓN DE PLAZO.</w:t>
      </w:r>
      <w:r w:rsidDel="00000000" w:rsidR="00000000" w:rsidRPr="00000000">
        <w:rPr>
          <w:rFonts w:ascii="Palatino Linotype" w:cs="Palatino Linotype" w:eastAsia="Palatino Linotype" w:hAnsi="Palatino Linotype"/>
          <w:color w:val="202124"/>
          <w:highlight w:val="whit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234" w:hanging="22"/>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02124"/>
          <w:sz w:val="22"/>
          <w:szCs w:val="22"/>
          <w:highlight w:val="white"/>
          <w:u w:val="none"/>
          <w:vertAlign w:val="baseline"/>
          <w:rtl w:val="0"/>
        </w:rPr>
        <w:t xml:space="preserve">En fecha veintitrés de febrero 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r w:rsidDel="00000000" w:rsidR="00000000" w:rsidRPr="00000000">
        <w:rPr>
          <w:rtl w:val="0"/>
        </w:rPr>
      </w:r>
    </w:p>
    <w:p w:rsidR="00000000" w:rsidDel="00000000" w:rsidP="00000000" w:rsidRDefault="00000000" w:rsidRPr="00000000" w14:paraId="00000017">
      <w:pPr>
        <w:spacing w:after="240" w:before="24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CONSIDERANDOS:</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19">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A">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 respuesta, toda vez que ésta fue pronunciada el día veinte de diciembre de dos mil veintiuno, mientras que</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el recurso de revisión en fecha veintiuno de diciembre de dos mil veintiuno, resultando ser al siguiente día hábil. </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al considerar la fecha en que se formuló la solicitud y la fecha en la que respondió a ésta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así como, en la que se interpuso el recurso de revisión, éste se encuentra dentro de los márgenes temporales previstos en el citado precepto legal.</w:t>
      </w:r>
    </w:p>
    <w:p w:rsidR="00000000" w:rsidDel="00000000" w:rsidP="00000000" w:rsidRDefault="00000000" w:rsidRPr="00000000" w14:paraId="0000001C">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del recurso</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de revisión, es de suma importancia señalar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1D">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E">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w:t>
      </w:r>
      <w:r w:rsidDel="00000000" w:rsidR="00000000" w:rsidRPr="00000000">
        <w:rPr>
          <w:rFonts w:ascii="Palatino Linotype" w:cs="Palatino Linotype" w:eastAsia="Palatino Linotype" w:hAnsi="Palatino Linotype"/>
          <w:i w:val="1"/>
          <w:rtl w:val="0"/>
        </w:rPr>
        <w:t xml:space="preserve">, con nombre incompleto o seudónimo </w:t>
      </w:r>
      <w:r w:rsidDel="00000000" w:rsidR="00000000" w:rsidRPr="00000000">
        <w:rPr>
          <w:rFonts w:ascii="Palatino Linotype" w:cs="Palatino Linotype" w:eastAsia="Palatino Linotype" w:hAnsi="Palatino Linotype"/>
          <w:b w:val="1"/>
          <w:i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rtl w:val="0"/>
        </w:rPr>
        <w:t xml:space="preserve">. No podrá requerirse información adicional con motivo del nombre proporcionado por el solicitante."</w:t>
      </w:r>
    </w:p>
    <w:p w:rsidR="00000000" w:rsidDel="00000000" w:rsidP="00000000" w:rsidRDefault="00000000" w:rsidRPr="00000000" w14:paraId="0000001F">
      <w:pPr>
        <w:spacing w:after="0" w:before="0" w:line="360" w:lineRule="auto"/>
        <w:jc w:val="both"/>
        <w:rPr>
          <w:i w:val="1"/>
          <w:color w:val="1f1f1f"/>
          <w:sz w:val="24"/>
          <w:szCs w:val="24"/>
        </w:rPr>
      </w:pPr>
      <w:r w:rsidDel="00000000" w:rsidR="00000000" w:rsidRPr="00000000">
        <w:rPr>
          <w:rtl w:val="0"/>
        </w:rPr>
      </w:r>
    </w:p>
    <w:p w:rsidR="00000000" w:rsidDel="00000000" w:rsidP="00000000" w:rsidRDefault="00000000" w:rsidRPr="00000000" w14:paraId="00000020">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Robusteciendo lo anterior se encuentra lo dispuesto en el artículo 6, Apartado A, fracciones III de la Constitución Política de los Estados Unidos Mexicanos que establece:</w:t>
      </w:r>
    </w:p>
    <w:p w:rsidR="00000000" w:rsidDel="00000000" w:rsidP="00000000" w:rsidRDefault="00000000" w:rsidRPr="00000000" w14:paraId="00000021">
      <w:pPr>
        <w:spacing w:after="0" w:before="0" w:line="360" w:lineRule="auto"/>
        <w:ind w:right="474"/>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2">
      <w:pPr>
        <w:spacing w:after="0" w:before="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6.-</w:t>
      </w:r>
      <w:r w:rsidDel="00000000" w:rsidR="00000000" w:rsidRPr="00000000">
        <w:rPr>
          <w:rFonts w:ascii="Palatino Linotype" w:cs="Palatino Linotype" w:eastAsia="Palatino Linotype" w:hAnsi="Palatino Linotype"/>
          <w:i w:val="1"/>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00000" w:rsidDel="00000000" w:rsidP="00000000" w:rsidRDefault="00000000" w:rsidRPr="00000000" w14:paraId="00000023">
      <w:pPr>
        <w:spacing w:after="0" w:before="0" w:line="240" w:lineRule="auto"/>
        <w:ind w:left="851"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efectos de lo dispuesto en el presente artículo se observará lo siguiente:</w:t>
      </w:r>
    </w:p>
    <w:p w:rsidR="00000000" w:rsidDel="00000000" w:rsidP="00000000" w:rsidRDefault="00000000" w:rsidRPr="00000000" w14:paraId="00000024">
      <w:pPr>
        <w:spacing w:after="0" w:before="0" w:line="24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5">
      <w:pPr>
        <w:spacing w:after="0" w:before="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26">
      <w:pPr>
        <w:spacing w:after="0" w:before="0" w:line="24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7">
      <w:pPr>
        <w:spacing w:after="0" w:before="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Toda persona, sin necesidad de acreditar interés alguno o justificar su utilización, tendrá acceso gratuito a la información pública, a sus datos personales o a la rectificación de éstos.” (Sic)</w:t>
      </w:r>
    </w:p>
    <w:p w:rsidR="00000000" w:rsidDel="00000000" w:rsidP="00000000" w:rsidRDefault="00000000" w:rsidRPr="00000000" w14:paraId="00000028">
      <w:pPr>
        <w:spacing w:after="0" w:before="0" w:line="36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9">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como el artículo 5 fracción III, párrafo vigésimo primero, vigésimo segundo y vigésimo tercero, de la Constitución Política del Estado Libre y Soberano de México, que determina lo siguiente:</w:t>
      </w:r>
    </w:p>
    <w:p w:rsidR="00000000" w:rsidDel="00000000" w:rsidP="00000000" w:rsidRDefault="00000000" w:rsidRPr="00000000" w14:paraId="0000002A">
      <w:pPr>
        <w:spacing w:after="0" w:before="0" w:line="360" w:lineRule="auto"/>
        <w:ind w:right="474"/>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2B">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w:t>
      </w:r>
      <w:r w:rsidDel="00000000" w:rsidR="00000000" w:rsidRPr="00000000">
        <w:rPr>
          <w:rFonts w:ascii="Palatino Linotype" w:cs="Palatino Linotype" w:eastAsia="Palatino Linotype" w:hAnsi="Palatino Linotype"/>
          <w:i w:val="1"/>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00000" w:rsidDel="00000000" w:rsidP="00000000" w:rsidRDefault="00000000" w:rsidRPr="00000000" w14:paraId="0000002C">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D">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persona en el Estado de México, tiene derecho al libre acceso a la información plural y oportuna, así como a buscar recibir y difundir información e ideas de toda índole por cualquier medio de expresión.</w:t>
      </w:r>
    </w:p>
    <w:p w:rsidR="00000000" w:rsidDel="00000000" w:rsidP="00000000" w:rsidRDefault="00000000" w:rsidRPr="00000000" w14:paraId="0000002E">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F">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derecho a la información será garantizado por el Estado. La ley establecerá las previsiones que permitan asegurar la protección, el respeto y la difusión de este derecho.</w:t>
      </w:r>
    </w:p>
    <w:p w:rsidR="00000000" w:rsidDel="00000000" w:rsidP="00000000" w:rsidRDefault="00000000" w:rsidRPr="00000000" w14:paraId="00000030">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00000" w:rsidDel="00000000" w:rsidP="00000000" w:rsidRDefault="00000000" w:rsidRPr="00000000" w14:paraId="00000031">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32">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3">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000000" w:rsidDel="00000000" w:rsidP="00000000" w:rsidRDefault="00000000" w:rsidRPr="00000000" w14:paraId="00000034">
      <w:pPr>
        <w:spacing w:after="0" w:before="0" w:line="360" w:lineRule="auto"/>
        <w:ind w:left="567" w:right="47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35">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del contenido del artículo 1 de la Constitución Política de los Estados</w:t>
      </w:r>
    </w:p>
    <w:p w:rsidR="00000000" w:rsidDel="00000000" w:rsidP="00000000" w:rsidRDefault="00000000" w:rsidRPr="00000000" w14:paraId="00000036">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Unidos mexicanos, se destaca lo siguiente:</w:t>
      </w:r>
    </w:p>
    <w:p w:rsidR="00000000" w:rsidDel="00000000" w:rsidP="00000000" w:rsidRDefault="00000000" w:rsidRPr="00000000" w14:paraId="00000037">
      <w:pPr>
        <w:spacing w:after="0" w:before="0" w:line="360" w:lineRule="auto"/>
        <w:ind w:left="851" w:right="47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38">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9">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A">
      <w:pPr>
        <w:spacing w:after="0" w:before="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00000" w:rsidDel="00000000" w:rsidP="00000000" w:rsidRDefault="00000000" w:rsidRPr="00000000" w14:paraId="0000003B">
      <w:pPr>
        <w:spacing w:after="0" w:before="0" w:line="360" w:lineRule="auto"/>
        <w:jc w:val="both"/>
        <w:rPr>
          <w:i w:val="1"/>
        </w:rPr>
      </w:pPr>
      <w:r w:rsidDel="00000000" w:rsidR="00000000" w:rsidRPr="00000000">
        <w:rPr>
          <w:rtl w:val="0"/>
        </w:rPr>
      </w:r>
    </w:p>
    <w:p w:rsidR="00000000" w:rsidDel="00000000" w:rsidP="00000000" w:rsidRDefault="00000000" w:rsidRPr="00000000" w14:paraId="0000003C">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sz w:val="24"/>
          <w:szCs w:val="24"/>
          <w:rtl w:val="0"/>
        </w:rPr>
        <w:t xml:space="preserve">derecho fundamental exime a quien lo ejerce</w:t>
      </w:r>
      <w:r w:rsidDel="00000000" w:rsidR="00000000" w:rsidRPr="00000000">
        <w:rPr>
          <w:rFonts w:ascii="Palatino Linotype" w:cs="Palatino Linotype" w:eastAsia="Palatino Linotype" w:hAnsi="Palatino Linotype"/>
          <w:sz w:val="24"/>
          <w:szCs w:val="24"/>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3D">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spacing w:after="24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3F">
      <w:pPr>
        <w:spacing w:after="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000000" w:rsidDel="00000000" w:rsidP="00000000" w:rsidRDefault="00000000" w:rsidRPr="00000000" w14:paraId="00000040">
      <w:pPr>
        <w:spacing w:after="0" w:before="0" w:line="276"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1">
      <w:pPr>
        <w:spacing w:after="24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consecuencia, dado lo expuesto y fundado con anterioridad, se estima que el requisito relativo al nombre del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trigésimo, trigésimo primero y trigésimo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es la misma que realizó la solicitud de acceso a la información pública que ahora se impugna.</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before="24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el recurrente en sus razones o motivos de inconformidad, de acuerdo al artículo 179, fracciones I y V de la Ley de Transparencia y Acceso a la Información Pública del Estado de México y Municipios; que a la letra dice: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before="0"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 (Sic)</w:t>
      </w:r>
    </w:p>
    <w:p w:rsidR="00000000" w:rsidDel="00000000" w:rsidP="00000000" w:rsidRDefault="00000000" w:rsidRPr="00000000" w14:paraId="00000048">
      <w:pPr>
        <w:spacing w:after="240" w:before="0" w:line="360" w:lineRule="auto"/>
        <w:ind w:right="-234"/>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49">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8"/>
          <w:szCs w:val="28"/>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Una vez realizado el análisis de las constancias y documentos que obran en expediente electrónico, en que se actúa, se advierte que el tema sobre el que este Órgano Garante de Transparencia y Acceso a la Información se pronunciará será: verificar si la respuesta otorgada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es adecuada y suficiente para satisfacer el derecho de acceso a la información pública del recurrente, o en su defecto, en caso de ser procedente, ordenar la entrega de información oportuna.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CUARTO. Estudio y resolución del Asunto.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solicitud de información motivo del Recurso de Revisión que ahora se resuelve, se advierte que la parte solicitante requirió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 siguiente: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Fundamento legal y administrativo sobre como subdividir cuenta predial;</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Conforme a su manual de procedimientos requiero el extracto de dicho manual donde se advierta la manera en que se subdivide una cuenta predial;</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Señale los requisitos para subdividir mi cuenta predial; </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Señale el fundamento legal y administrativo de los documentos que tengo que presentar para subdividir mi cuenta predial; </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Nombre del área a la cual tengo que acudir para subdividir mi cuenta predial.</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color w:val="000000"/>
          <w:sz w:val="24"/>
          <w:szCs w:val="24"/>
          <w:rtl w:val="0"/>
        </w:rPr>
        <w:t xml:space="preserve">, emitió su respuesta a través de la Unidad de Transparencia, en la que señaló: </w:t>
      </w:r>
      <w:r w:rsidDel="00000000" w:rsidR="00000000" w:rsidRPr="00000000">
        <w:rPr>
          <w:rtl w:val="0"/>
        </w:rPr>
      </w:r>
    </w:p>
    <w:p w:rsidR="00000000" w:rsidDel="00000000" w:rsidP="00000000" w:rsidRDefault="00000000" w:rsidRPr="00000000" w14:paraId="00000052">
      <w:pPr>
        <w:spacing w:after="240" w:before="240" w:lineRule="auto"/>
        <w:rPr/>
      </w:pPr>
      <w:r w:rsidDel="00000000" w:rsidR="00000000" w:rsidRPr="00000000">
        <w:rPr/>
        <w:drawing>
          <wp:inline distB="0" distT="0" distL="0" distR="0">
            <wp:extent cx="5587486" cy="1511179"/>
            <wp:effectExtent b="0" l="0" r="0" t="0"/>
            <wp:docPr id="19" name="image7.png"/>
            <a:graphic>
              <a:graphicData uri="http://schemas.openxmlformats.org/drawingml/2006/picture">
                <pic:pic>
                  <pic:nvPicPr>
                    <pic:cNvPr id="0" name="image7.png"/>
                    <pic:cNvPicPr preferRelativeResize="0"/>
                  </pic:nvPicPr>
                  <pic:blipFill>
                    <a:blip r:embed="rId8"/>
                    <a:srcRect b="63790" l="7298" r="54514" t="24140"/>
                    <a:stretch>
                      <a:fillRect/>
                    </a:stretch>
                  </pic:blipFill>
                  <pic:spPr>
                    <a:xfrm>
                      <a:off x="0" y="0"/>
                      <a:ext cx="5587486" cy="1511179"/>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 que se advierta que la respuesta haya sido emitida por el servidor público habilitado competente. </w:t>
      </w:r>
    </w:p>
    <w:p w:rsidR="00000000" w:rsidDel="00000000" w:rsidP="00000000" w:rsidRDefault="00000000" w:rsidRPr="00000000" w14:paraId="00000054">
      <w:pPr>
        <w:tabs>
          <w:tab w:val="left" w:pos="8647"/>
        </w:tabs>
        <w:spacing w:after="240" w:before="240" w:line="360" w:lineRule="auto"/>
        <w:ind w:right="14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derivado de la respuesta emitida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interpuso el presente recurso de revisión, señalando sustancialmente como sus razones o motivos de inconformidad, lo siguiente:</w:t>
      </w:r>
    </w:p>
    <w:p w:rsidR="00000000" w:rsidDel="00000000" w:rsidP="00000000" w:rsidRDefault="00000000" w:rsidRPr="00000000" w14:paraId="00000055">
      <w:pPr>
        <w:spacing w:after="240" w:before="240" w:line="360" w:lineRule="auto"/>
        <w:ind w:right="14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tl w:val="0"/>
        </w:rPr>
      </w:r>
    </w:p>
    <w:p w:rsidR="00000000" w:rsidDel="00000000" w:rsidP="00000000" w:rsidRDefault="00000000" w:rsidRPr="00000000" w14:paraId="00000056">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Impugno la respuesta emitida por el sujeto obligado, recordemos que una pregunta concreta merece una respuesta concreta, toda vez que, no atienden concretamente todos los puntos requeridos en la solicitud.</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rtl w:val="0"/>
        </w:rPr>
        <w:t xml:space="preserve">Razones o Motivos de Inconformidad</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58">
      <w:pPr>
        <w:spacing w:after="240" w:befor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color w:val="000000"/>
          <w:rtl w:val="0"/>
        </w:rPr>
        <w:t xml:space="preserve"> “A parte de ser una respuesta incompleta, están violando el principio de máxima publicidad y en consecuencia mi derecho humano al acceso a la información que obra en sus archivos.” </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notificado el recurso de revisión al Sujeto Obligado, fue omiso en rendir </w:t>
      </w:r>
      <w:r w:rsidDel="00000000" w:rsidR="00000000" w:rsidRPr="00000000">
        <w:rPr>
          <w:rFonts w:ascii="Palatino Linotype" w:cs="Palatino Linotype" w:eastAsia="Palatino Linotype" w:hAnsi="Palatino Linotype"/>
          <w:sz w:val="24"/>
          <w:szCs w:val="24"/>
          <w:rtl w:val="0"/>
        </w:rPr>
        <w:t xml:space="preserve">su informe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justificado, de igual manera el ahora RECURRENTE fue omiso en emitir sus manifestaciones.   </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revocar la respuesta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en razón de las consideraciones de derecho que a continuación se exponen:</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primer lugar, es conveniente analizar si la respuesta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Del="00000000" w:rsidR="00000000" w:rsidRPr="00000000">
        <w:rPr>
          <w:rFonts w:ascii="Palatino Linotype" w:cs="Palatino Linotype" w:eastAsia="Palatino Linotype" w:hAnsi="Palatino Linotype"/>
          <w:sz w:val="24"/>
          <w:szCs w:val="24"/>
          <w:rtl w:val="0"/>
        </w:rPr>
        <w:t xml:space="preserve">transcribe</w:t>
      </w:r>
      <w:r w:rsidDel="00000000" w:rsidR="00000000" w:rsidRPr="00000000">
        <w:rPr>
          <w:rFonts w:ascii="Palatino Linotype" w:cs="Palatino Linotype" w:eastAsia="Palatino Linotype" w:hAnsi="Palatino Linotype"/>
          <w:color w:val="000000"/>
          <w:sz w:val="24"/>
          <w:szCs w:val="24"/>
          <w:rtl w:val="0"/>
        </w:rPr>
        <w:t xml:space="preserve"> para un mejor entendimiento:</w:t>
      </w:r>
    </w:p>
    <w:p w:rsidR="00000000" w:rsidDel="00000000" w:rsidP="00000000" w:rsidRDefault="00000000" w:rsidRPr="00000000" w14:paraId="0000005C">
      <w:pPr>
        <w:spacing w:after="240" w:before="24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05D">
      <w:pPr>
        <w:spacing w:after="240" w:before="24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5E">
      <w:pPr>
        <w:spacing w:after="240" w:before="24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5F">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60">
      <w:pPr>
        <w:spacing w:after="240" w:before="24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061">
      <w:pPr>
        <w:spacing w:after="240" w:before="240" w:line="240" w:lineRule="auto"/>
        <w:ind w:left="851" w:right="851"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b w:val="1"/>
          <w:i w:val="1"/>
          <w:u w:val="single"/>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62">
      <w:pPr>
        <w:spacing w:after="240" w:before="240" w:line="240" w:lineRule="auto"/>
        <w:ind w:left="851" w:right="851" w:firstLine="0"/>
        <w:jc w:val="righ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[Énfasis añadido]</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4">
      <w:pPr>
        <w:tabs>
          <w:tab w:val="left" w:pos="1597"/>
        </w:tabs>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 de apoyo a lo anterior, el criterio 03-17, expuesto por el Instituto Nacional de Transparencia, Acceso a la Información y Protección de Datos Personales, que dice: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720"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Resoluciones: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RRA 0310/16. Instituto Nacional de Transparencia, Acceso a la Información y Protección de Datos Personales. 10 de agosto de 2016.  Por unanimidad. Comisionada Ponente. Areli Cano Guadiana.</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w:t>
      </w:r>
    </w:p>
    <w:p w:rsidR="00000000" w:rsidDel="00000000" w:rsidP="00000000" w:rsidRDefault="00000000" w:rsidRPr="00000000" w14:paraId="0000006E">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3. Para los efectos de la presente Ley se entenderá por:</w:t>
      </w:r>
    </w:p>
    <w:p w:rsidR="00000000" w:rsidDel="00000000" w:rsidP="00000000" w:rsidRDefault="00000000" w:rsidRPr="00000000" w14:paraId="0000006F">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0">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071">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3">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4">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5">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6">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7">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7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En segundo lugar, de una revisión al expediente que no ocupa dentro del Sistema de Acceso a la Información Mexiquense, se advierte que no hay apartado de requerimientos; por consiguiente, la Titular de la Unidad de Transparencia no turnó la solicitud al área competente, y no basta con el simple pronunciamiento del Titular de la Unidad de Transparencia para tener por colmado el derecho de acceso a la información del particular, como sucedió en el presente caso.</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tenor,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A">
      <w:pPr>
        <w:tabs>
          <w:tab w:val="left" w:pos="709"/>
        </w:tabs>
        <w:spacing w:after="240" w:before="240" w:lineRule="auto"/>
        <w:ind w:left="851" w:right="76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7B">
      <w:pPr>
        <w:tabs>
          <w:tab w:val="left" w:pos="709"/>
        </w:tabs>
        <w:spacing w:after="240" w:before="240"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50. Los sujetos obligados contarán con un área responsable para la atención de las solicitudes de información, a la que se le denominará Unidad de Transparencia. </w:t>
      </w:r>
    </w:p>
    <w:p w:rsidR="00000000" w:rsidDel="00000000" w:rsidP="00000000" w:rsidRDefault="00000000" w:rsidRPr="00000000" w14:paraId="0000007C">
      <w:pPr>
        <w:tabs>
          <w:tab w:val="left" w:pos="709"/>
        </w:tabs>
        <w:spacing w:after="240" w:before="240"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51. Los sujetos obligados designaran a un responsable para atender la Unidad de Transparencia, quien fungirá como enlace entre éstos y los solicitantes. </w:t>
      </w:r>
      <w:r w:rsidDel="00000000" w:rsidR="00000000" w:rsidRPr="00000000">
        <w:rPr>
          <w:rFonts w:ascii="Palatino Linotype" w:cs="Palatino Linotype" w:eastAsia="Palatino Linotype" w:hAnsi="Palatino Linotype"/>
          <w:b w:val="1"/>
          <w:i w:val="1"/>
          <w:u w:val="single"/>
          <w:rtl w:val="0"/>
        </w:rPr>
        <w:t xml:space="preserve">Dicha Unidad será la encargada de tramitar internamente la solicitud de información</w:t>
      </w:r>
      <w:r w:rsidDel="00000000" w:rsidR="00000000" w:rsidRPr="00000000">
        <w:rPr>
          <w:rFonts w:ascii="Palatino Linotype" w:cs="Palatino Linotype" w:eastAsia="Palatino Linotype" w:hAnsi="Palatino Linotype"/>
          <w:i w:val="1"/>
          <w:rtl w:val="0"/>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00000" w:rsidDel="00000000" w:rsidP="00000000" w:rsidRDefault="00000000" w:rsidRPr="00000000" w14:paraId="0000007D">
      <w:pPr>
        <w:tabs>
          <w:tab w:val="left" w:pos="709"/>
        </w:tabs>
        <w:spacing w:after="240" w:before="240"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E">
      <w:pPr>
        <w:tabs>
          <w:tab w:val="left" w:pos="709"/>
        </w:tabs>
        <w:spacing w:after="240" w:before="240"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53. Las Unidades de Transparencia tendrán las siguientes funciones:</w:t>
      </w:r>
    </w:p>
    <w:p w:rsidR="00000000" w:rsidDel="00000000" w:rsidP="00000000" w:rsidRDefault="00000000" w:rsidRPr="00000000" w14:paraId="0000007F">
      <w:pPr>
        <w:tabs>
          <w:tab w:val="left" w:pos="709"/>
        </w:tabs>
        <w:spacing w:after="240" w:before="240"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0">
      <w:pPr>
        <w:tabs>
          <w:tab w:val="left" w:pos="709"/>
        </w:tabs>
        <w:spacing w:after="240" w:before="240"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Recibir, tramitar y dar respuesta a las solicitudes de acceso a la información; </w:t>
      </w:r>
    </w:p>
    <w:p w:rsidR="00000000" w:rsidDel="00000000" w:rsidP="00000000" w:rsidRDefault="00000000" w:rsidRPr="00000000" w14:paraId="00000081">
      <w:pPr>
        <w:tabs>
          <w:tab w:val="left" w:pos="709"/>
        </w:tabs>
        <w:spacing w:after="240" w:before="240"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2">
      <w:pPr>
        <w:tabs>
          <w:tab w:val="left" w:pos="709"/>
        </w:tabs>
        <w:spacing w:after="240" w:before="240" w:lineRule="auto"/>
        <w:ind w:left="851" w:right="7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IV. Realizar, con efectividad, los trámites internos necesarios para la atención de las solicitudes de acceso a la información; </w:t>
      </w:r>
    </w:p>
    <w:p w:rsidR="00000000" w:rsidDel="00000000" w:rsidP="00000000" w:rsidRDefault="00000000" w:rsidRPr="00000000" w14:paraId="00000083">
      <w:pPr>
        <w:tabs>
          <w:tab w:val="left" w:pos="709"/>
        </w:tabs>
        <w:spacing w:after="240" w:before="240"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Entregar, en su caso, a los particulares la información solicitada; </w:t>
      </w:r>
    </w:p>
    <w:p w:rsidR="00000000" w:rsidDel="00000000" w:rsidP="00000000" w:rsidRDefault="00000000" w:rsidRPr="00000000" w14:paraId="00000084">
      <w:pPr>
        <w:tabs>
          <w:tab w:val="left" w:pos="709"/>
        </w:tabs>
        <w:spacing w:after="240" w:before="240" w:lineRule="auto"/>
        <w:ind w:left="851" w:right="7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VI. Efectuar las notificaciones a los solicitantes;” (Sic)</w:t>
      </w:r>
      <w:r w:rsidDel="00000000" w:rsidR="00000000" w:rsidRPr="00000000">
        <w:rPr>
          <w:rtl w:val="0"/>
        </w:rPr>
      </w:r>
    </w:p>
    <w:p w:rsidR="00000000" w:rsidDel="00000000" w:rsidP="00000000" w:rsidRDefault="00000000" w:rsidRPr="00000000" w14:paraId="00000085">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lo anterior, se debe señalar que aunque la solicitud de información y la respuesta estén dirigidas y atendidas por un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000000" w:rsidDel="00000000" w:rsidP="00000000" w:rsidRDefault="00000000" w:rsidRPr="00000000" w14:paraId="00000086">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87">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8">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XXXIX. Servidor público habilitado: </w:t>
      </w:r>
      <w:r w:rsidDel="00000000" w:rsidR="00000000" w:rsidRPr="00000000">
        <w:rPr>
          <w:rFonts w:ascii="Palatino Linotype" w:cs="Palatino Linotype" w:eastAsia="Palatino Linotype" w:hAnsi="Palatino Linotype"/>
          <w:i w:val="1"/>
          <w:rtl w:val="0"/>
        </w:rPr>
        <w:t xml:space="preserve">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00000" w:rsidDel="00000000" w:rsidP="00000000" w:rsidRDefault="00000000" w:rsidRPr="00000000" w14:paraId="00000089">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A">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58.</w:t>
      </w:r>
      <w:r w:rsidDel="00000000" w:rsidR="00000000" w:rsidRPr="00000000">
        <w:rPr>
          <w:rFonts w:ascii="Palatino Linotype" w:cs="Palatino Linotype" w:eastAsia="Palatino Linotype" w:hAnsi="Palatino Linotype"/>
          <w:i w:val="1"/>
          <w:rtl w:val="0"/>
        </w:rPr>
        <w:t xml:space="preserve"> Los servidores públicos habilitados serán designados por el titular del sujeto obligado a propuesta del responsable de la Unidad de Transparencia.</w:t>
      </w:r>
    </w:p>
    <w:p w:rsidR="00000000" w:rsidDel="00000000" w:rsidP="00000000" w:rsidRDefault="00000000" w:rsidRPr="00000000" w14:paraId="0000008B">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servidores públicos habilitados</w:t>
      </w:r>
      <w:r w:rsidDel="00000000" w:rsidR="00000000" w:rsidRPr="00000000">
        <w:rPr>
          <w:rFonts w:ascii="Palatino Linotype" w:cs="Palatino Linotype" w:eastAsia="Palatino Linotype" w:hAnsi="Palatino Linotype"/>
          <w:i w:val="1"/>
          <w:rtl w:val="0"/>
        </w:rPr>
        <w:t xml:space="preserve"> tendrán las funciones siguientes:</w:t>
      </w:r>
    </w:p>
    <w:p w:rsidR="00000000" w:rsidDel="00000000" w:rsidP="00000000" w:rsidRDefault="00000000" w:rsidRPr="00000000" w14:paraId="0000008C">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Localizar la información que le solicite la Unidad de Transparencia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D">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w:t>
      </w:r>
      <w:r w:rsidDel="00000000" w:rsidR="00000000" w:rsidRPr="00000000">
        <w:rPr>
          <w:rFonts w:ascii="Palatino Linotype" w:cs="Palatino Linotype" w:eastAsia="Palatino Linotype" w:hAnsi="Palatino Linotype"/>
          <w:b w:val="1"/>
          <w:i w:val="1"/>
          <w:u w:val="single"/>
          <w:rtl w:val="0"/>
        </w:rPr>
        <w:t xml:space="preserve">Proporcionar la información que obre en los archivos y que le sea solicitada por la Unidad de Transparencia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E">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Apoyar a la Unidad de Transparencia en lo que esta le solicite para el cumplimiento de sus funciones;</w:t>
      </w:r>
    </w:p>
    <w:p w:rsidR="00000000" w:rsidDel="00000000" w:rsidP="00000000" w:rsidRDefault="00000000" w:rsidRPr="00000000" w14:paraId="0000008F">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Proporcionar a la Unidad de Transparencia, las modificaciones a la información pública de oficio que obre en su poder;</w:t>
      </w:r>
    </w:p>
    <w:p w:rsidR="00000000" w:rsidDel="00000000" w:rsidP="00000000" w:rsidRDefault="00000000" w:rsidRPr="00000000" w14:paraId="00000090">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91">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Verificar, una vez analizado el contenido de la información, que no se encuentre en los supuestos de información clasificada; y</w:t>
      </w:r>
    </w:p>
    <w:p w:rsidR="00000000" w:rsidDel="00000000" w:rsidP="00000000" w:rsidRDefault="00000000" w:rsidRPr="00000000" w14:paraId="00000092">
      <w:pPr>
        <w:spacing w:after="240" w:before="24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Dar cuenta a la Unidad de Transparencia del vencimiento de los plazos de reserva.” (Sic)</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otras palabras, no se cumplió con lo que, para tal efecto, dispone el artículo 162 de la Ley de Transparencia y Acceso a la Información Pública del Estado de México y Municipios, que índica:</w:t>
      </w:r>
    </w:p>
    <w:p w:rsidR="00000000" w:rsidDel="00000000" w:rsidP="00000000" w:rsidRDefault="00000000" w:rsidRPr="00000000" w14:paraId="00000094">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162. </w:t>
      </w:r>
      <w:r w:rsidDel="00000000" w:rsidR="00000000" w:rsidRPr="00000000">
        <w:rPr>
          <w:rFonts w:ascii="Palatino Linotype" w:cs="Palatino Linotype" w:eastAsia="Palatino Linotype" w:hAnsi="Palatino Linotype"/>
          <w:i w:val="1"/>
          <w:u w:val="single"/>
          <w:rtl w:val="0"/>
        </w:rPr>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95">
      <w:pPr>
        <w:spacing w:after="240" w:before="240" w:lineRule="auto"/>
        <w:rPr/>
      </w:pPr>
      <w:r w:rsidDel="00000000" w:rsidR="00000000" w:rsidRPr="00000000">
        <w:rPr>
          <w:rtl w:val="0"/>
        </w:rPr>
      </w:r>
    </w:p>
    <w:p w:rsidR="00000000" w:rsidDel="00000000" w:rsidP="00000000" w:rsidRDefault="00000000" w:rsidRPr="00000000" w14:paraId="00000096">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precisar, que no basta con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en el presente asunto es el Ayuntamiento de Atizapán en su conjunto, incluyendo todas y cada una de las áreas que lo conforman y por supuesto en donde pudiera obrar la información que se solicita.</w:t>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una vez hecha la búsqueda exhaustiva y razonable de la información en todas y cada una de las áreas que pudieran poseer la información, deberá informar al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el resultado de la misma, junto con las constancias que acrediten la búsqueda precisada.</w:t>
      </w:r>
    </w:p>
    <w:p w:rsidR="00000000" w:rsidDel="00000000" w:rsidP="00000000" w:rsidRDefault="00000000" w:rsidRPr="00000000" w14:paraId="00000099">
      <w:pPr>
        <w:tabs>
          <w:tab w:val="left" w:pos="7938"/>
        </w:tabs>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así ya que derivado de la solicitud de información (en la que se resuelve), se aprecia en el sistema SAIMEX, que la Titular de la Unidad de Transparencia del Sujeto Obligado, no tramitó ante las instancias del Municipio, que pudieran tener lo solicitado (derivado de sus funciones) lo requerido por el particular, sino que de </w:t>
      </w:r>
      <w:r w:rsidDel="00000000" w:rsidR="00000000" w:rsidRPr="00000000">
        <w:rPr>
          <w:rFonts w:ascii="Palatino Linotype" w:cs="Palatino Linotype" w:eastAsia="Palatino Linotype" w:hAnsi="Palatino Linotype"/>
          <w:i w:val="1"/>
          <w:sz w:val="24"/>
          <w:szCs w:val="24"/>
          <w:rtl w:val="0"/>
        </w:rPr>
        <w:t xml:space="preserve">motu proprio (por propia iniciativa)</w:t>
      </w:r>
      <w:r w:rsidDel="00000000" w:rsidR="00000000" w:rsidRPr="00000000">
        <w:rPr>
          <w:rFonts w:ascii="Palatino Linotype" w:cs="Palatino Linotype" w:eastAsia="Palatino Linotype" w:hAnsi="Palatino Linotype"/>
          <w:sz w:val="24"/>
          <w:szCs w:val="24"/>
          <w:rtl w:val="0"/>
        </w:rPr>
        <w:t xml:space="preserve"> respondió, sin que exista certeza de que las áreas que pudieran tener dicha información dieran cuenta de la atención a la solicitud antes citada, en virtud de ello, se advierte el hecho de que no se generó algún requerimiento o trámite interno por parte de la Titular de la Unidad de Transparencia que se haya dirigido a alguna otra dependencia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ya que no se aprecia alguna comunicación interna en el sistema que haya quedado registrada.</w:t>
      </w:r>
    </w:p>
    <w:p w:rsidR="00000000" w:rsidDel="00000000" w:rsidP="00000000" w:rsidRDefault="00000000" w:rsidRPr="00000000" w14:paraId="0000009A">
      <w:pPr>
        <w:tabs>
          <w:tab w:val="left" w:pos="7938"/>
        </w:tabs>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rsidR="00000000" w:rsidDel="00000000" w:rsidP="00000000" w:rsidRDefault="00000000" w:rsidRPr="00000000" w14:paraId="0000009B">
      <w:pPr>
        <w:tabs>
          <w:tab w:val="left" w:pos="7938"/>
        </w:tabs>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Es así como podemos concluir, que la respuesta proporcionada por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carece de certeza jurídica; ello en razón, primeramente, no existe evidencia documental en el SAIMEX de que se hayan turnado las solicitudes al servidor público habilitado de las distintas áreas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por lo que, la solicitud debe ser remitida a las áreas competentes de contar con la información y derivado a que no giró el requerimiento a la diferentes áreas con la que cuenta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es necesario se realice el procedimiento </w:t>
      </w:r>
      <w:r w:rsidDel="00000000" w:rsidR="00000000" w:rsidRPr="00000000">
        <w:rPr>
          <w:rFonts w:ascii="Palatino Linotype" w:cs="Palatino Linotype" w:eastAsia="Palatino Linotype" w:hAnsi="Palatino Linotype"/>
          <w:color w:val="000000"/>
          <w:sz w:val="24"/>
          <w:szCs w:val="24"/>
          <w:rtl w:val="0"/>
        </w:rPr>
        <w:t xml:space="preserve">correspondiente a fin de localizar la información solicitada, no sin antes precisar que pr</w:t>
      </w:r>
      <w:r w:rsidDel="00000000" w:rsidR="00000000" w:rsidRPr="00000000">
        <w:rPr>
          <w:rFonts w:ascii="Palatino Linotype" w:cs="Palatino Linotype" w:eastAsia="Palatino Linotype" w:hAnsi="Palatino Linotype"/>
          <w:sz w:val="24"/>
          <w:szCs w:val="24"/>
          <w:rtl w:val="0"/>
        </w:rPr>
        <w:t xml:space="preserve">evio a determinar la información que genera posee, administra y genera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la literalidad de la solicitud se aprecia que el particular posiblemente al no ser experto y en un intento de requerir información señala que requiere </w:t>
      </w:r>
      <w:r w:rsidDel="00000000" w:rsidR="00000000" w:rsidRPr="00000000">
        <w:rPr>
          <w:rFonts w:ascii="Palatino Linotype" w:cs="Palatino Linotype" w:eastAsia="Palatino Linotype" w:hAnsi="Palatino Linotype"/>
          <w:color w:val="000000"/>
          <w:sz w:val="24"/>
          <w:szCs w:val="24"/>
          <w:rtl w:val="0"/>
        </w:rPr>
        <w:t xml:space="preserve">conocer el fundamento legal y requisitos relacionados con el trámite de la subdivisión de una cuenta predial, sin embargo como se verá de la normatividad analizada no fue posible localizar el trámite indicado, sin embargo se estima que la información que el particular puede requerir es la relativa al trámite para la asignación de clave catastral derivada de la subdivisión, lotificación, relotificación, modificación de linderos de un predio, por lo que con el objeto de garantizar </w:t>
      </w:r>
      <w:r w:rsidDel="00000000" w:rsidR="00000000" w:rsidRPr="00000000">
        <w:rPr>
          <w:rFonts w:ascii="Palatino Linotype" w:cs="Palatino Linotype" w:eastAsia="Palatino Linotype" w:hAnsi="Palatino Linotype"/>
          <w:sz w:val="24"/>
          <w:szCs w:val="24"/>
          <w:rtl w:val="0"/>
        </w:rPr>
        <w:t xml:space="preserve">el derecho de acceso a la información pública con apego al principio de máxima publicidad no puede considerarse literal como lo solicita</w:t>
      </w: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sabiendas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en el ejercicio de sus funciones</w:t>
      </w:r>
      <w:r w:rsidDel="00000000" w:rsidR="00000000" w:rsidRPr="00000000">
        <w:rPr>
          <w:rFonts w:ascii="Palatino Linotype" w:cs="Palatino Linotype" w:eastAsia="Palatino Linotype" w:hAnsi="Palatino Linotype"/>
          <w:color w:val="000000"/>
          <w:sz w:val="24"/>
          <w:szCs w:val="24"/>
          <w:rtl w:val="0"/>
        </w:rPr>
        <w:t xml:space="preserve"> pudo haber requerido al particular una aclaración a la solicitud de información en términos de lo establecido en  el artículo 159 de la Ley en la materia, no obstante en lugar de ello dio respuesta proporcionando un fundamento jurídico para dar atención a la solicitud de información, por lo que ante la falta de diligencia en la actuación del Sujeto Obligado para dar atención a la presente solicitud y a fin de no dejar sin defensa al particular se realiza la suplencia de la deficiencia de la solicitud a fin de garantizar el derecho de acceso  la información del particular, lo anterior en términos de lo establecido en el artículo 13 de la Ley en la materia que cita: </w:t>
      </w:r>
    </w:p>
    <w:p w:rsidR="00000000" w:rsidDel="00000000" w:rsidP="00000000" w:rsidRDefault="00000000" w:rsidRPr="00000000" w14:paraId="0000009C">
      <w:pPr>
        <w:tabs>
          <w:tab w:val="left" w:pos="7938"/>
        </w:tabs>
        <w:spacing w:after="240" w:before="240" w:line="36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Artículo 13. El Instituto, en el ámbito de sus atribuciones, deberá suplir cualquier deficiencia para garantizar el ejercicio del derecho de acceso a la información. </w:t>
      </w:r>
    </w:p>
    <w:p w:rsidR="00000000" w:rsidDel="00000000" w:rsidP="00000000" w:rsidRDefault="00000000" w:rsidRPr="00000000" w14:paraId="0000009D">
      <w:pPr>
        <w:tabs>
          <w:tab w:val="left" w:pos="7938"/>
        </w:tabs>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 mayor abundamiento el Código Financiero del Estado de México establece: </w:t>
      </w:r>
    </w:p>
    <w:p w:rsidR="00000000" w:rsidDel="00000000" w:rsidP="00000000" w:rsidRDefault="00000000" w:rsidRPr="00000000" w14:paraId="0000009E">
      <w:pPr>
        <w:tabs>
          <w:tab w:val="left" w:pos="7938"/>
        </w:tabs>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47 Bis.- Las personas físicas y jurídicas colectivas obligadas al pago del Impuesto Predial, deberán dictaminar la determinación de la base declarada en la manifestación del valor catastral de sus inmuebles ubicados en el territorio del Estado correspondiente al año inmediato anterior, de conformidad con este Código y las demás disposiciones que se emitan.</w:t>
      </w:r>
    </w:p>
    <w:p w:rsidR="00000000" w:rsidDel="00000000" w:rsidP="00000000" w:rsidRDefault="00000000" w:rsidRPr="00000000" w14:paraId="0000009F">
      <w:pPr>
        <w:tabs>
          <w:tab w:val="left" w:pos="7938"/>
        </w:tabs>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107.-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w:t>
      </w:r>
    </w:p>
    <w:p w:rsidR="00000000" w:rsidDel="00000000" w:rsidP="00000000" w:rsidRDefault="00000000" w:rsidRPr="00000000" w14:paraId="000000A0">
      <w:pPr>
        <w:spacing w:after="240" w:before="240" w:line="360" w:lineRule="auto"/>
        <w:ind w:left="851" w:right="900"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i w:val="1"/>
          <w:rtl w:val="0"/>
        </w:rPr>
        <w:t xml:space="preserve">Artículo 108.- La </w:t>
      </w:r>
      <w:r w:rsidDel="00000000" w:rsidR="00000000" w:rsidRPr="00000000">
        <w:rPr>
          <w:rFonts w:ascii="Palatino Linotype" w:cs="Palatino Linotype" w:eastAsia="Palatino Linotype" w:hAnsi="Palatino Linotype"/>
          <w:b w:val="1"/>
          <w:i w:val="1"/>
          <w:u w:val="single"/>
          <w:rtl w:val="0"/>
        </w:rPr>
        <w:t xml:space="preserve">base gravable del Impuesto Predial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será el valor catastral</w:t>
      </w:r>
      <w:r w:rsidDel="00000000" w:rsidR="00000000" w:rsidRPr="00000000">
        <w:rPr>
          <w:rFonts w:ascii="Palatino Linotype" w:cs="Palatino Linotype" w:eastAsia="Palatino Linotype" w:hAnsi="Palatino Linotype"/>
          <w:i w:val="1"/>
          <w:rtl w:val="0"/>
        </w:rPr>
        <w:t xml:space="preserve">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w:t>
      </w:r>
      <w:r w:rsidDel="00000000" w:rsidR="00000000" w:rsidRPr="00000000">
        <w:rPr>
          <w:rtl w:val="0"/>
        </w:rPr>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De lo anterior se advierte que el predial es un impuesto que será determinado con base en el valor catastral de un inmueble. </w:t>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Ahora bien, respecto a la asignación de la clave catastral el </w:t>
      </w:r>
      <w:r w:rsidDel="00000000" w:rsidR="00000000" w:rsidRPr="00000000">
        <w:rPr>
          <w:rFonts w:ascii="Palatino Linotype" w:cs="Palatino Linotype" w:eastAsia="Palatino Linotype" w:hAnsi="Palatino Linotype"/>
          <w:b w:val="1"/>
          <w:i w:val="1"/>
          <w:color w:val="000000"/>
          <w:sz w:val="24"/>
          <w:szCs w:val="24"/>
          <w:rtl w:val="0"/>
        </w:rPr>
        <w:t xml:space="preserve">CÓDIGO FINANCIERO DEL ESTADO DE MÉXICO Y MUNICIPIOS </w:t>
      </w:r>
      <w:r w:rsidDel="00000000" w:rsidR="00000000" w:rsidRPr="00000000">
        <w:rPr>
          <w:rFonts w:ascii="Palatino Linotype" w:cs="Palatino Linotype" w:eastAsia="Palatino Linotype" w:hAnsi="Palatino Linotype"/>
          <w:color w:val="000000"/>
          <w:sz w:val="24"/>
          <w:szCs w:val="24"/>
          <w:rtl w:val="0"/>
        </w:rPr>
        <w:t xml:space="preserve">señala: </w:t>
      </w:r>
    </w:p>
    <w:p w:rsidR="00000000" w:rsidDel="00000000" w:rsidP="00000000" w:rsidRDefault="00000000" w:rsidRPr="00000000" w14:paraId="000000A3">
      <w:pPr>
        <w:spacing w:after="240" w:before="240" w:line="360" w:lineRule="auto"/>
        <w:ind w:left="851" w:right="900"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i w:val="1"/>
          <w:color w:val="000000"/>
          <w:rtl w:val="0"/>
        </w:rPr>
        <w:t xml:space="preserve">Artículo 171.- </w:t>
      </w:r>
      <w:r w:rsidDel="00000000" w:rsidR="00000000" w:rsidRPr="00000000">
        <w:rPr>
          <w:rFonts w:ascii="Palatino Linotype" w:cs="Palatino Linotype" w:eastAsia="Palatino Linotype" w:hAnsi="Palatino Linotype"/>
          <w:b w:val="1"/>
          <w:i w:val="1"/>
          <w:color w:val="000000"/>
          <w:rtl w:val="0"/>
        </w:rPr>
        <w:t xml:space="preserve">Los Ayuntamientos</w:t>
      </w:r>
      <w:r w:rsidDel="00000000" w:rsidR="00000000" w:rsidRPr="00000000">
        <w:rPr>
          <w:rFonts w:ascii="Palatino Linotype" w:cs="Palatino Linotype" w:eastAsia="Palatino Linotype" w:hAnsi="Palatino Linotype"/>
          <w:i w:val="1"/>
          <w:color w:val="000000"/>
          <w:rtl w:val="0"/>
        </w:rPr>
        <w:t xml:space="preserve">, además de las atribuciones que este Código y otros ordenamientos les confieran </w:t>
      </w:r>
      <w:r w:rsidDel="00000000" w:rsidR="00000000" w:rsidRPr="00000000">
        <w:rPr>
          <w:rFonts w:ascii="Palatino Linotype" w:cs="Palatino Linotype" w:eastAsia="Palatino Linotype" w:hAnsi="Palatino Linotype"/>
          <w:b w:val="1"/>
          <w:i w:val="1"/>
          <w:color w:val="000000"/>
          <w:rtl w:val="0"/>
        </w:rPr>
        <w:t xml:space="preserve">en materia catastral</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tendrán las facultades y obligaciones siguientes:</w:t>
      </w:r>
    </w:p>
    <w:p w:rsidR="00000000" w:rsidDel="00000000" w:rsidP="00000000" w:rsidRDefault="00000000" w:rsidRPr="00000000" w14:paraId="000000A4">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A5">
      <w:pPr>
        <w:spacing w:after="240" w:before="240" w:line="36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III. Recibir las manifestaciones catastrales de los propietarios o poseedores de inmuebles, para efectos de su inscripción o actualización en el padrón catastral municipal.</w:t>
      </w:r>
    </w:p>
    <w:p w:rsidR="00000000" w:rsidDel="00000000" w:rsidP="00000000" w:rsidRDefault="00000000" w:rsidRPr="00000000" w14:paraId="000000A6">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175 Bis.- </w:t>
      </w:r>
      <w:r w:rsidDel="00000000" w:rsidR="00000000" w:rsidRPr="00000000">
        <w:rPr>
          <w:rFonts w:ascii="Palatino Linotype" w:cs="Palatino Linotype" w:eastAsia="Palatino Linotype" w:hAnsi="Palatino Linotype"/>
          <w:b w:val="1"/>
          <w:i w:val="1"/>
          <w:rtl w:val="0"/>
        </w:rPr>
        <w:t xml:space="preserve">Cuando se modifique la superficie de terreno o de construcción, cualquiera que sea la causa, los propietarios o poseedores de esos inmuebles deberán declarar ante la autoridad catastral municipal dichas modificaciones</w:t>
      </w:r>
      <w:r w:rsidDel="00000000" w:rsidR="00000000" w:rsidRPr="00000000">
        <w:rPr>
          <w:rFonts w:ascii="Palatino Linotype" w:cs="Palatino Linotype" w:eastAsia="Palatino Linotype" w:hAnsi="Palatino Linotype"/>
          <w:i w:val="1"/>
          <w:rtl w:val="0"/>
        </w:rPr>
        <w:t xml:space="preserve">, mediante manifestación catastral que presenten en los formatos autorizados. </w:t>
      </w:r>
      <w:r w:rsidDel="00000000" w:rsidR="00000000" w:rsidRPr="00000000">
        <w:rPr>
          <w:rFonts w:ascii="Palatino Linotype" w:cs="Palatino Linotype" w:eastAsia="Palatino Linotype" w:hAnsi="Palatino Linotype"/>
          <w:b w:val="1"/>
          <w:i w:val="1"/>
          <w:rtl w:val="0"/>
        </w:rPr>
        <w:t xml:space="preserve">Cuando se fusione, </w:t>
      </w:r>
      <w:r w:rsidDel="00000000" w:rsidR="00000000" w:rsidRPr="00000000">
        <w:rPr>
          <w:rFonts w:ascii="Palatino Linotype" w:cs="Palatino Linotype" w:eastAsia="Palatino Linotype" w:hAnsi="Palatino Linotype"/>
          <w:b w:val="1"/>
          <w:i w:val="1"/>
          <w:u w:val="single"/>
          <w:rtl w:val="0"/>
        </w:rPr>
        <w:t xml:space="preserve">subdivida</w:t>
      </w:r>
      <w:r w:rsidDel="00000000" w:rsidR="00000000" w:rsidRPr="00000000">
        <w:rPr>
          <w:rFonts w:ascii="Palatino Linotype" w:cs="Palatino Linotype" w:eastAsia="Palatino Linotype" w:hAnsi="Palatino Linotype"/>
          <w:b w:val="1"/>
          <w:i w:val="1"/>
          <w:rtl w:val="0"/>
        </w:rPr>
        <w:t xml:space="preserve">, lotifique, relotifique, o se produzca una lotificación </w:t>
      </w:r>
      <w:r w:rsidDel="00000000" w:rsidR="00000000" w:rsidRPr="00000000">
        <w:rPr>
          <w:rFonts w:ascii="Palatino Linotype" w:cs="Palatino Linotype" w:eastAsia="Palatino Linotype" w:hAnsi="Palatino Linotype"/>
          <w:i w:val="1"/>
          <w:rtl w:val="0"/>
        </w:rPr>
        <w:t xml:space="preserve">en condominio o conjunto urbano de un inmueble, mediante autorización que emita la autoridad competente, </w:t>
      </w:r>
      <w:r w:rsidDel="00000000" w:rsidR="00000000" w:rsidRPr="00000000">
        <w:rPr>
          <w:rFonts w:ascii="Palatino Linotype" w:cs="Palatino Linotype" w:eastAsia="Palatino Linotype" w:hAnsi="Palatino Linotype"/>
          <w:b w:val="1"/>
          <w:i w:val="1"/>
          <w:rtl w:val="0"/>
        </w:rPr>
        <w:t xml:space="preserve">es necesario actualizar los datos técnicos, administrativos y el valor en el padrón catastral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municipal y en su caso, asignar claves e inscribirlos</w:t>
      </w:r>
      <w:r w:rsidDel="00000000" w:rsidR="00000000" w:rsidRPr="00000000">
        <w:rPr>
          <w:rFonts w:ascii="Palatino Linotype" w:cs="Palatino Linotype" w:eastAsia="Palatino Linotype" w:hAnsi="Palatino Linotype"/>
          <w:i w:val="1"/>
          <w:rtl w:val="0"/>
        </w:rPr>
        <w:t xml:space="preserve">; para tal efecto, los propietarios deberán declarar ante el Ayuntamiento, las modificaciones generadas, mediante manifestación catastral que presenten dentro de los treinta días siguientes a la fecha en que se haya otorgado la autorización correspondiente. En el caso de lotificaciones en condominio y conjuntos urbanos, previamente a la autorización correspondiente, se requiere un avalúo catastral del inmueble o inmuebles que conforman el proyecto que será practicado y emitido por el IGECEM o por especialista en valuación inmobiliaria con registro vigente expedido por el propio Instituto, como soporte técnico a los requerimientos señalados en el Manual Catastral.</w:t>
      </w:r>
    </w:p>
    <w:p w:rsidR="00000000" w:rsidDel="00000000" w:rsidP="00000000" w:rsidRDefault="00000000" w:rsidRPr="00000000" w14:paraId="000000A7">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177.- La autoridad catastral municipal está facultada para constatar la veracidad de los datos declarados en la manifestación catastral por los propietarios o poseedores de inmuebles, mediante la realización de los estudios técnicos catastrales que sean necesarios. Cuando no fuese presentada la manifestación, y hayan sido detectadas modificaciones en los inmuebles, la autoridad catastral municipal podrá requerir a los propietarios o poseedores que proporcionen los datos, documentos e informes de los inmuebles; y realizar levantamientos topográficos, investigaciones en campo y demás actividades catastrales.</w:t>
      </w:r>
    </w:p>
    <w:p w:rsidR="00000000" w:rsidDel="00000000" w:rsidP="00000000" w:rsidRDefault="00000000" w:rsidRPr="00000000" w14:paraId="000000A8">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179.- En términos de este capítulo, en lo sucesivo, salvo mención expresa, se entenderá por: </w:t>
      </w:r>
    </w:p>
    <w:p w:rsidR="00000000" w:rsidDel="00000000" w:rsidP="00000000" w:rsidRDefault="00000000" w:rsidRPr="00000000" w14:paraId="000000A9">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Clave catastral.-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rsidR="00000000" w:rsidDel="00000000" w:rsidP="00000000" w:rsidRDefault="00000000" w:rsidRPr="00000000" w14:paraId="000000AA">
      <w:pPr>
        <w:spacing w:after="240" w:before="240" w:line="360" w:lineRule="auto"/>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Asimismo el</w:t>
      </w:r>
      <w:r w:rsidDel="00000000" w:rsidR="00000000" w:rsidRPr="00000000">
        <w:rPr>
          <w:rFonts w:ascii="Palatino Linotype" w:cs="Palatino Linotype" w:eastAsia="Palatino Linotype" w:hAnsi="Palatino Linotype"/>
          <w:b w:val="1"/>
          <w:i w:val="1"/>
          <w:color w:val="000000"/>
          <w:sz w:val="24"/>
          <w:szCs w:val="24"/>
          <w:rtl w:val="0"/>
        </w:rPr>
        <w:t xml:space="preserve"> MANUAL CATASTRAL DEL ESTADO DE MÉXICO </w:t>
      </w:r>
      <w:r w:rsidDel="00000000" w:rsidR="00000000" w:rsidRPr="00000000">
        <w:rPr>
          <w:rFonts w:ascii="Palatino Linotype" w:cs="Palatino Linotype" w:eastAsia="Palatino Linotype" w:hAnsi="Palatino Linotype"/>
          <w:color w:val="000000"/>
          <w:sz w:val="24"/>
          <w:szCs w:val="24"/>
          <w:rtl w:val="0"/>
        </w:rPr>
        <w:t xml:space="preserve">establece:</w:t>
      </w:r>
      <w:r w:rsidDel="00000000" w:rsidR="00000000" w:rsidRPr="00000000">
        <w:rPr>
          <w:rFonts w:ascii="Palatino Linotype" w:cs="Palatino Linotype" w:eastAsia="Palatino Linotype" w:hAnsi="Palatino Linotype"/>
          <w:b w:val="1"/>
          <w:color w:val="000000"/>
          <w:sz w:val="24"/>
          <w:szCs w:val="24"/>
          <w:rtl w:val="0"/>
        </w:rPr>
        <w:t xml:space="preserve"> </w:t>
      </w:r>
    </w:p>
    <w:p w:rsidR="00000000" w:rsidDel="00000000" w:rsidP="00000000" w:rsidRDefault="00000000" w:rsidRPr="00000000" w14:paraId="000000AB">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ATENCIÓN AL PÚBLICO Y CONTROL DE GESTIÓN PARA LA PRESTACIÓN DE SERVICIOS Y GENERACIÓN DE PRODUCTOS CATASTRALES</w:t>
      </w:r>
    </w:p>
    <w:p w:rsidR="00000000" w:rsidDel="00000000" w:rsidP="00000000" w:rsidRDefault="00000000" w:rsidRPr="00000000" w14:paraId="000000AC">
      <w:pPr>
        <w:spacing w:after="240" w:before="240" w:line="288"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I.1. OBJETIVO</w:t>
      </w:r>
    </w:p>
    <w:p w:rsidR="00000000" w:rsidDel="00000000" w:rsidP="00000000" w:rsidRDefault="00000000" w:rsidRPr="00000000" w14:paraId="000000AD">
      <w:pPr>
        <w:tabs>
          <w:tab w:val="left" w:pos="1875"/>
        </w:tabs>
        <w:spacing w:after="240" w:before="240" w:line="288"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Proporcionar al personal que interviene en estas actividades catastrales, las bases técnicas y administrativas necesarias para llevar a cabo, de manera ordenada, la prestación de servicios y generación de productos; asimismo, proporcionar los conocimientos necesarios que les permita orientar y asesorar a las personas físicas y jurídicas colectivas sobre los trámites y requisitos que deberán cumplir para acceder a cualquier servicio o producto en materia catastral en los dos ámbitos de gobierno.</w:t>
      </w:r>
    </w:p>
    <w:p w:rsidR="00000000" w:rsidDel="00000000" w:rsidP="00000000" w:rsidRDefault="00000000" w:rsidRPr="00000000" w14:paraId="000000AE">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ACGC014. </w:t>
      </w:r>
      <w:r w:rsidDel="00000000" w:rsidR="00000000" w:rsidRPr="00000000">
        <w:rPr>
          <w:rFonts w:ascii="Palatino Linotype" w:cs="Palatino Linotype" w:eastAsia="Palatino Linotype" w:hAnsi="Palatino Linotype"/>
          <w:b w:val="1"/>
          <w:i w:val="1"/>
          <w:color w:val="000000"/>
          <w:sz w:val="24"/>
          <w:szCs w:val="24"/>
          <w:u w:val="single"/>
          <w:rtl w:val="0"/>
        </w:rPr>
        <w:t xml:space="preserve">Los servicios catastrales que presta el ayuntamiento son: </w:t>
      </w:r>
      <w:r w:rsidDel="00000000" w:rsidR="00000000" w:rsidRPr="00000000">
        <w:rPr>
          <w:rtl w:val="0"/>
        </w:rPr>
      </w:r>
    </w:p>
    <w:p w:rsidR="00000000" w:rsidDel="00000000" w:rsidP="00000000" w:rsidRDefault="00000000" w:rsidRPr="00000000" w14:paraId="000000AF">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 (…)</w:t>
      </w:r>
    </w:p>
    <w:p w:rsidR="00000000" w:rsidDel="00000000" w:rsidP="00000000" w:rsidRDefault="00000000" w:rsidRPr="00000000" w14:paraId="000000B0">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Symbol" w:cs="Symbol" w:eastAsia="Symbol" w:hAnsi="Symbol"/>
          <w:i w:val="1"/>
          <w:color w:val="000000"/>
          <w:sz w:val="24"/>
          <w:szCs w:val="24"/>
          <w:rtl w:val="0"/>
        </w:rPr>
        <w:t xml:space="preserve">∙</w:t>
      </w:r>
      <w:r w:rsidDel="00000000" w:rsidR="00000000" w:rsidRPr="00000000">
        <w:rPr>
          <w:rFonts w:ascii="Palatino Linotype" w:cs="Palatino Linotype" w:eastAsia="Palatino Linotype" w:hAnsi="Palatino Linotype"/>
          <w:i w:val="1"/>
          <w:color w:val="000000"/>
          <w:sz w:val="24"/>
          <w:szCs w:val="24"/>
          <w:rtl w:val="0"/>
        </w:rPr>
        <w:t xml:space="preserve"> </w:t>
      </w:r>
      <w:r w:rsidDel="00000000" w:rsidR="00000000" w:rsidRPr="00000000">
        <w:rPr>
          <w:rFonts w:ascii="Palatino Linotype" w:cs="Palatino Linotype" w:eastAsia="Palatino Linotype" w:hAnsi="Palatino Linotype"/>
          <w:b w:val="1"/>
          <w:i w:val="1"/>
          <w:color w:val="000000"/>
          <w:sz w:val="24"/>
          <w:szCs w:val="24"/>
          <w:u w:val="single"/>
          <w:rtl w:val="0"/>
        </w:rPr>
        <w:t xml:space="preserve">Actualización del padrón catastral</w:t>
      </w:r>
      <w:r w:rsidDel="00000000" w:rsidR="00000000" w:rsidRPr="00000000">
        <w:rPr>
          <w:rFonts w:ascii="Palatino Linotype" w:cs="Palatino Linotype" w:eastAsia="Palatino Linotype" w:hAnsi="Palatino Linotype"/>
          <w:i w:val="1"/>
          <w:color w:val="000000"/>
          <w:sz w:val="24"/>
          <w:szCs w:val="24"/>
          <w:rtl w:val="0"/>
        </w:rPr>
        <w:t xml:space="preserve"> de</w:t>
      </w:r>
      <w:r w:rsidDel="00000000" w:rsidR="00000000" w:rsidRPr="00000000">
        <w:rPr>
          <w:rFonts w:ascii="Palatino Linotype" w:cs="Palatino Linotype" w:eastAsia="Palatino Linotype" w:hAnsi="Palatino Linotype"/>
          <w:b w:val="1"/>
          <w:i w:val="1"/>
          <w:color w:val="000000"/>
          <w:sz w:val="24"/>
          <w:szCs w:val="24"/>
          <w:u w:val="single"/>
          <w:rtl w:val="0"/>
        </w:rPr>
        <w:t xml:space="preserve">rivada de subdivisión, </w:t>
      </w:r>
      <w:r w:rsidDel="00000000" w:rsidR="00000000" w:rsidRPr="00000000">
        <w:rPr>
          <w:rFonts w:ascii="Palatino Linotype" w:cs="Palatino Linotype" w:eastAsia="Palatino Linotype" w:hAnsi="Palatino Linotype"/>
          <w:i w:val="1"/>
          <w:color w:val="000000"/>
          <w:sz w:val="24"/>
          <w:szCs w:val="24"/>
          <w:rtl w:val="0"/>
        </w:rPr>
        <w:t xml:space="preserve">fusión, </w:t>
      </w:r>
      <w:r w:rsidDel="00000000" w:rsidR="00000000" w:rsidRPr="00000000">
        <w:rPr>
          <w:rFonts w:ascii="Palatino Linotype" w:cs="Palatino Linotype" w:eastAsia="Palatino Linotype" w:hAnsi="Palatino Linotype"/>
          <w:b w:val="1"/>
          <w:i w:val="1"/>
          <w:color w:val="000000"/>
          <w:sz w:val="24"/>
          <w:szCs w:val="24"/>
          <w:u w:val="single"/>
          <w:rtl w:val="0"/>
        </w:rPr>
        <w:t xml:space="preserve">lotificación, relotificación</w:t>
      </w:r>
      <w:r w:rsidDel="00000000" w:rsidR="00000000" w:rsidRPr="00000000">
        <w:rPr>
          <w:rFonts w:ascii="Palatino Linotype" w:cs="Palatino Linotype" w:eastAsia="Palatino Linotype" w:hAnsi="Palatino Linotype"/>
          <w:i w:val="1"/>
          <w:color w:val="000000"/>
          <w:sz w:val="24"/>
          <w:szCs w:val="24"/>
          <w:rtl w:val="0"/>
        </w:rPr>
        <w:t xml:space="preserve">, conjuntos urbanos, afectaciones y </w:t>
      </w:r>
      <w:r w:rsidDel="00000000" w:rsidR="00000000" w:rsidRPr="00000000">
        <w:rPr>
          <w:rFonts w:ascii="Palatino Linotype" w:cs="Palatino Linotype" w:eastAsia="Palatino Linotype" w:hAnsi="Palatino Linotype"/>
          <w:b w:val="1"/>
          <w:i w:val="1"/>
          <w:color w:val="000000"/>
          <w:sz w:val="24"/>
          <w:szCs w:val="24"/>
          <w:u w:val="single"/>
          <w:rtl w:val="0"/>
        </w:rPr>
        <w:t xml:space="preserve">modificación de linderos</w:t>
      </w:r>
      <w:r w:rsidDel="00000000" w:rsidR="00000000" w:rsidRPr="00000000">
        <w:rPr>
          <w:rFonts w:ascii="Palatino Linotype" w:cs="Palatino Linotype" w:eastAsia="Palatino Linotype" w:hAnsi="Palatino Linotype"/>
          <w:i w:val="1"/>
          <w:color w:val="000000"/>
          <w:sz w:val="24"/>
          <w:szCs w:val="24"/>
          <w:rtl w:val="0"/>
        </w:rPr>
        <w:t xml:space="preserve">, previa autorización emitida por la autoridad competente. </w:t>
      </w:r>
    </w:p>
    <w:p w:rsidR="00000000" w:rsidDel="00000000" w:rsidP="00000000" w:rsidRDefault="00000000" w:rsidRPr="00000000" w14:paraId="000000B1">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ACC001 </w:t>
      </w:r>
      <w:r w:rsidDel="00000000" w:rsidR="00000000" w:rsidRPr="00000000">
        <w:rPr>
          <w:rFonts w:ascii="Palatino Linotype" w:cs="Palatino Linotype" w:eastAsia="Palatino Linotype" w:hAnsi="Palatino Linotype"/>
          <w:b w:val="1"/>
          <w:i w:val="1"/>
          <w:u w:val="single"/>
          <w:rtl w:val="0"/>
        </w:rPr>
        <w:t xml:space="preserve">La asignación, reasignación y baja de claves catastrales es responsabilidad de la autoridad catastral municipal,</w:t>
      </w:r>
      <w:r w:rsidDel="00000000" w:rsidR="00000000" w:rsidRPr="00000000">
        <w:rPr>
          <w:rFonts w:ascii="Palatino Linotype" w:cs="Palatino Linotype" w:eastAsia="Palatino Linotype" w:hAnsi="Palatino Linotype"/>
          <w:i w:val="1"/>
          <w:rtl w:val="0"/>
        </w:rPr>
        <w:t xml:space="preserve"> quien deberá limitar el ejercicio de esta función a predios ubicados dentro de su jurisdicción territorial y conforme a los procedimientos establecidos en el presente manual. </w:t>
      </w:r>
    </w:p>
    <w:p w:rsidR="00000000" w:rsidDel="00000000" w:rsidP="00000000" w:rsidRDefault="00000000" w:rsidRPr="00000000" w14:paraId="000000B2">
      <w:pPr>
        <w:spacing w:after="240" w:before="240" w:line="360" w:lineRule="auto"/>
        <w:ind w:left="851" w:right="900" w:firstLine="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Por su parte el Bando Municipal 2021 Atizapán Santa Cruz señala:</w:t>
      </w:r>
    </w:p>
    <w:p w:rsidR="00000000" w:rsidDel="00000000" w:rsidP="00000000" w:rsidRDefault="00000000" w:rsidRPr="00000000" w14:paraId="000000B3">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Artículo 303. El Catastro Municipal se regirá por lo dispuesto en la Ley de Catastro del Estado de México, observando las siguientes disposiciones:</w:t>
      </w:r>
    </w:p>
    <w:p w:rsidR="00000000" w:rsidDel="00000000" w:rsidP="00000000" w:rsidRDefault="00000000" w:rsidRPr="00000000" w14:paraId="000000B4">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I. El Ayuntamiento podrá formular y promulgar disposiciones relativas al Catastro Municipal, siempre y cuando no estén en contra posición de su debida reglamentación municipal;</w:t>
      </w:r>
    </w:p>
    <w:p w:rsidR="00000000" w:rsidDel="00000000" w:rsidP="00000000" w:rsidRDefault="00000000" w:rsidRPr="00000000" w14:paraId="000000B5">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VIII. Los servicios catastrales que presta el Ayuntamiento son:</w:t>
      </w:r>
    </w:p>
    <w:p w:rsidR="00000000" w:rsidDel="00000000" w:rsidP="00000000" w:rsidRDefault="00000000" w:rsidRPr="00000000" w14:paraId="000000B6">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B7">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c. Actualización del padrón catastral derivada de cambios técnicos y administrativos. </w:t>
      </w:r>
    </w:p>
    <w:p w:rsidR="00000000" w:rsidDel="00000000" w:rsidP="00000000" w:rsidRDefault="00000000" w:rsidRPr="00000000" w14:paraId="000000B8">
      <w:pPr>
        <w:spacing w:after="240" w:before="240" w:line="360"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rtl w:val="0"/>
        </w:rPr>
        <w:t xml:space="preserve">d. Asignación de baja y reasignación de clave catastral.</w:t>
      </w:r>
      <w:r w:rsidDel="00000000" w:rsidR="00000000" w:rsidRPr="00000000">
        <w:rPr>
          <w:rFonts w:ascii="Palatino Linotype" w:cs="Palatino Linotype" w:eastAsia="Palatino Linotype" w:hAnsi="Palatino Linotype"/>
          <w:i w:val="1"/>
          <w:color w:val="ff0000"/>
          <w:sz w:val="24"/>
          <w:szCs w:val="24"/>
          <w:highlight w:val="yellow"/>
          <w:rtl w:val="0"/>
        </w:rPr>
        <w:t xml:space="preserve"> </w:t>
      </w:r>
      <w:r w:rsidDel="00000000" w:rsidR="00000000" w:rsidRPr="00000000">
        <w:rPr>
          <w:rtl w:val="0"/>
        </w:rPr>
      </w:r>
    </w:p>
    <w:p w:rsidR="00000000" w:rsidDel="00000000" w:rsidP="00000000" w:rsidRDefault="00000000" w:rsidRPr="00000000" w14:paraId="000000B9">
      <w:pPr>
        <w:spacing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Conforme a lo anterior se precisa que la clave catastral es el código alfanumérico único e irrepetible que se asigna con el propósito de localización geográfica, identificación, inscripción, control y registro de los inmuebles, por lo que cuando se modifique la superficie de terreno o de construcción, cualquiera que sea la causa, los propietarios o poseedores de esos inmuebles deberán declarar ante la autoridad catastral municipal dichas modificaciones, como es en el caso particular de la subdivisión, lotificación, relotificación mismo que da origen a </w:t>
      </w:r>
      <w:r w:rsidDel="00000000" w:rsidR="00000000" w:rsidRPr="00000000">
        <w:rPr>
          <w:rFonts w:ascii="Palatino Linotype" w:cs="Palatino Linotype" w:eastAsia="Palatino Linotype" w:hAnsi="Palatino Linotype"/>
          <w:color w:val="000000"/>
          <w:sz w:val="24"/>
          <w:szCs w:val="24"/>
          <w:rtl w:val="0"/>
        </w:rPr>
        <w:t xml:space="preserve">la actualización del padrón catastral</w:t>
      </w:r>
      <w:r w:rsidDel="00000000" w:rsidR="00000000" w:rsidRPr="00000000">
        <w:rPr>
          <w:rFonts w:ascii="Palatino Linotype" w:cs="Palatino Linotype" w:eastAsia="Palatino Linotype" w:hAnsi="Palatino Linotype"/>
          <w:sz w:val="24"/>
          <w:szCs w:val="24"/>
          <w:rtl w:val="0"/>
        </w:rPr>
        <w:t xml:space="preserve">, por lo que dicho servicio </w:t>
      </w:r>
      <w:r w:rsidDel="00000000" w:rsidR="00000000" w:rsidRPr="00000000">
        <w:rPr>
          <w:rFonts w:ascii="Palatino Linotype" w:cs="Palatino Linotype" w:eastAsia="Palatino Linotype" w:hAnsi="Palatino Linotype"/>
          <w:color w:val="000000"/>
          <w:sz w:val="24"/>
          <w:szCs w:val="24"/>
          <w:rtl w:val="0"/>
        </w:rPr>
        <w:t xml:space="preserve">catastral lo presta el Ayuntamiento de Atizapán. </w:t>
      </w:r>
      <w:r w:rsidDel="00000000" w:rsidR="00000000" w:rsidRPr="00000000">
        <w:rPr>
          <w:rtl w:val="0"/>
        </w:rPr>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De este modo existe la posibilidad de que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cuente con el procedimiento sobre la asignación de la clave catastral en caso de que un terreno sea subdividido, lotificado, relotificado, en caso de modificación o asignación de linderos, en el que se precise</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fundamento, requisitos y el área competente de realizar dicho proceso. </w:t>
      </w:r>
    </w:p>
    <w:p w:rsidR="00000000" w:rsidDel="00000000" w:rsidP="00000000" w:rsidRDefault="00000000" w:rsidRPr="00000000" w14:paraId="000000BB">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Bajo esa óptica y en razón de que el tema que nos ocupa, dicha información es considerada como un servicio o trámite que ofrece el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y por lo tanto</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se trata de una obligación de transparencia, por así determinarlo el artículo 92, fracción XXIII y XXIV, de la Ley de Transparencia y Acceso a la Información Pública del Estado de México y Municipios, que señala:</w:t>
      </w:r>
      <w:r w:rsidDel="00000000" w:rsidR="00000000" w:rsidRPr="00000000">
        <w:rPr>
          <w:rtl w:val="0"/>
        </w:rPr>
      </w:r>
    </w:p>
    <w:p w:rsidR="00000000" w:rsidDel="00000000" w:rsidP="00000000" w:rsidRDefault="00000000" w:rsidRPr="00000000" w14:paraId="000000BC">
      <w:pPr>
        <w:spacing w:after="0" w:line="240"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92.</w:t>
      </w:r>
      <w:r w:rsidDel="00000000" w:rsidR="00000000" w:rsidRPr="00000000">
        <w:rPr>
          <w:rFonts w:ascii="Palatino Linotype" w:cs="Palatino Linotype" w:eastAsia="Palatino Linotype" w:hAnsi="Palatino Linotype"/>
          <w:i w:val="1"/>
          <w:color w:val="000000"/>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BD">
      <w:pPr>
        <w:spacing w:after="0" w:line="240"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BE">
      <w:pPr>
        <w:spacing w:after="0" w:line="240"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XXIII.</w:t>
      </w:r>
      <w:r w:rsidDel="00000000" w:rsidR="00000000" w:rsidRPr="00000000">
        <w:rPr>
          <w:rFonts w:ascii="Palatino Linotype" w:cs="Palatino Linotype" w:eastAsia="Palatino Linotype" w:hAnsi="Palatino Linotype"/>
          <w:i w:val="1"/>
          <w:color w:val="000000"/>
          <w:rtl w:val="0"/>
        </w:rPr>
        <w:t xml:space="preserve"> Los servicios que ofrecen señalando los requisitos para acceder a ellos, así como los tiempos de respuesta; </w:t>
      </w:r>
      <w:r w:rsidDel="00000000" w:rsidR="00000000" w:rsidRPr="00000000">
        <w:rPr>
          <w:rtl w:val="0"/>
        </w:rPr>
      </w:r>
    </w:p>
    <w:p w:rsidR="00000000" w:rsidDel="00000000" w:rsidP="00000000" w:rsidRDefault="00000000" w:rsidRPr="00000000" w14:paraId="000000BF">
      <w:pPr>
        <w:spacing w:after="0" w:line="240"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XXIV. </w:t>
      </w:r>
      <w:r w:rsidDel="00000000" w:rsidR="00000000" w:rsidRPr="00000000">
        <w:rPr>
          <w:rFonts w:ascii="Palatino Linotype" w:cs="Palatino Linotype" w:eastAsia="Palatino Linotype" w:hAnsi="Palatino Linotype"/>
          <w:i w:val="1"/>
          <w:color w:val="000000"/>
          <w:rtl w:val="0"/>
        </w:rPr>
        <w:t xml:space="preserve">Los trámites, requisitos y formatos que ofrecen, así como los tiempos de respuesta;</w:t>
      </w:r>
      <w:r w:rsidDel="00000000" w:rsidR="00000000" w:rsidRPr="00000000">
        <w:rPr>
          <w:rtl w:val="0"/>
        </w:rPr>
      </w:r>
    </w:p>
    <w:p w:rsidR="00000000" w:rsidDel="00000000" w:rsidP="00000000" w:rsidRDefault="00000000" w:rsidRPr="00000000" w14:paraId="000000C0">
      <w:pPr>
        <w:spacing w:after="0" w:line="240" w:lineRule="auto"/>
        <w:ind w:left="851" w:right="85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color w:val="000000"/>
          <w:rtl w:val="0"/>
        </w:rPr>
        <w:t xml:space="preserve">…” (Sic)</w:t>
      </w: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240" w:before="240" w:line="360" w:lineRule="auto"/>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al respecto lo siguiente: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C3">
      <w:pPr>
        <w:spacing w:after="240" w:before="24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5598124" cy="713014"/>
            <wp:effectExtent b="0" l="0" r="0" t="0"/>
            <wp:docPr id="18" name="image8.png"/>
            <a:graphic>
              <a:graphicData uri="http://schemas.openxmlformats.org/drawingml/2006/picture">
                <pic:pic>
                  <pic:nvPicPr>
                    <pic:cNvPr id="0" name="image8.png"/>
                    <pic:cNvPicPr preferRelativeResize="0"/>
                  </pic:nvPicPr>
                  <pic:blipFill>
                    <a:blip r:embed="rId9"/>
                    <a:srcRect b="67185" l="40119" r="25490" t="24933"/>
                    <a:stretch>
                      <a:fillRect/>
                    </a:stretch>
                  </pic:blipFill>
                  <pic:spPr>
                    <a:xfrm>
                      <a:off x="0" y="0"/>
                      <a:ext cx="5598124" cy="713014"/>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240" w:before="24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5555066" cy="4474649"/>
            <wp:effectExtent b="0" l="0" r="0" t="0"/>
            <wp:docPr id="21" name="image5.png"/>
            <a:graphic>
              <a:graphicData uri="http://schemas.openxmlformats.org/drawingml/2006/picture">
                <pic:pic>
                  <pic:nvPicPr>
                    <pic:cNvPr id="0" name="image5.png"/>
                    <pic:cNvPicPr preferRelativeResize="0"/>
                  </pic:nvPicPr>
                  <pic:blipFill>
                    <a:blip r:embed="rId10"/>
                    <a:srcRect b="8394" l="39986" r="25448" t="20272"/>
                    <a:stretch>
                      <a:fillRect/>
                    </a:stretch>
                  </pic:blipFill>
                  <pic:spPr>
                    <a:xfrm>
                      <a:off x="0" y="0"/>
                      <a:ext cx="5555066" cy="4474649"/>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240" w:before="24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5561579" cy="6803856"/>
            <wp:effectExtent b="0" l="0" r="0" t="0"/>
            <wp:docPr id="20" name="image2.png"/>
            <a:graphic>
              <a:graphicData uri="http://schemas.openxmlformats.org/drawingml/2006/picture">
                <pic:pic>
                  <pic:nvPicPr>
                    <pic:cNvPr id="0" name="image2.png"/>
                    <pic:cNvPicPr preferRelativeResize="0"/>
                  </pic:nvPicPr>
                  <pic:blipFill>
                    <a:blip r:embed="rId11"/>
                    <a:srcRect b="12569" l="40401" r="27841" t="17009"/>
                    <a:stretch>
                      <a:fillRect/>
                    </a:stretch>
                  </pic:blipFill>
                  <pic:spPr>
                    <a:xfrm>
                      <a:off x="0" y="0"/>
                      <a:ext cx="5561579" cy="6803856"/>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240" w:before="24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5554965" cy="6807461"/>
            <wp:effectExtent b="0" l="0" r="0" t="0"/>
            <wp:docPr id="23" name="image4.png"/>
            <a:graphic>
              <a:graphicData uri="http://schemas.openxmlformats.org/drawingml/2006/picture">
                <pic:pic>
                  <pic:nvPicPr>
                    <pic:cNvPr id="0" name="image4.png"/>
                    <pic:cNvPicPr preferRelativeResize="0"/>
                  </pic:nvPicPr>
                  <pic:blipFill>
                    <a:blip r:embed="rId12"/>
                    <a:srcRect b="17959" l="40383" r="28497" t="15145"/>
                    <a:stretch>
                      <a:fillRect/>
                    </a:stretch>
                  </pic:blipFill>
                  <pic:spPr>
                    <a:xfrm>
                      <a:off x="0" y="0"/>
                      <a:ext cx="5554965" cy="6807461"/>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240" w:before="24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5593546" cy="1105277"/>
            <wp:effectExtent b="0" l="0" r="0" t="0"/>
            <wp:docPr id="22" name="image3.png"/>
            <a:graphic>
              <a:graphicData uri="http://schemas.openxmlformats.org/drawingml/2006/picture">
                <pic:pic>
                  <pic:nvPicPr>
                    <pic:cNvPr id="0" name="image3.png"/>
                    <pic:cNvPicPr preferRelativeResize="0"/>
                  </pic:nvPicPr>
                  <pic:blipFill>
                    <a:blip r:embed="rId13"/>
                    <a:srcRect b="58520" l="40288" r="28812" t="31223"/>
                    <a:stretch>
                      <a:fillRect/>
                    </a:stretch>
                  </pic:blipFill>
                  <pic:spPr>
                    <a:xfrm>
                      <a:off x="0" y="0"/>
                      <a:ext cx="5593546" cy="110527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donde se advierten cada uno de los criterios que debe publicar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orientar al interesado de un servicio o trámite, en el caso que nos ocupa para realizar la asignación de claves catastrales de un predio, subdivido, lotificado, relotificado o por modificación de linderos, m</w:t>
      </w:r>
      <w:r w:rsidDel="00000000" w:rsidR="00000000" w:rsidRPr="00000000">
        <w:rPr>
          <w:rFonts w:ascii="Palatino Linotype" w:cs="Palatino Linotype" w:eastAsia="Palatino Linotype" w:hAnsi="Palatino Linotype"/>
          <w:color w:val="000000"/>
          <w:sz w:val="24"/>
          <w:szCs w:val="24"/>
          <w:rtl w:val="0"/>
        </w:rPr>
        <w:t xml:space="preserve">ismo que debe describir de manera clara, sencilla y concisa los pasos a realizar, la modalidad de dicho trámite, los requisitos y documentos necesarios para realizarlo, la temporalidad del trámite, domicilio en donde se realiza, horarios de atención y medios de comunicación entre el Ayuntamiento de Atizapán y el solicitante, por lo que de conformidad a lo antes mencionado</w:t>
      </w:r>
      <w:r w:rsidDel="00000000" w:rsidR="00000000" w:rsidRPr="00000000">
        <w:rPr>
          <w:rFonts w:ascii="Palatino Linotype" w:cs="Palatino Linotype" w:eastAsia="Palatino Linotype" w:hAnsi="Palatino Linotype"/>
          <w:sz w:val="24"/>
          <w:szCs w:val="24"/>
          <w:rtl w:val="0"/>
        </w:rPr>
        <w:t xml:space="preserve"> es</w:t>
      </w:r>
      <w:r w:rsidDel="00000000" w:rsidR="00000000" w:rsidRPr="00000000">
        <w:rPr>
          <w:rFonts w:ascii="Palatino Linotype" w:cs="Palatino Linotype" w:eastAsia="Palatino Linotype" w:hAnsi="Palatino Linotype"/>
          <w:color w:val="000000"/>
          <w:sz w:val="24"/>
          <w:szCs w:val="24"/>
          <w:rtl w:val="0"/>
        </w:rPr>
        <w:t xml:space="preserve"> obligación de transparencia la información y es susceptible de contar con lo concerniente al fundamento, requisitos, y documentos necesarios a efecto de realizar </w:t>
      </w:r>
      <w:r w:rsidDel="00000000" w:rsidR="00000000" w:rsidRPr="00000000">
        <w:rPr>
          <w:rFonts w:ascii="Palatino Linotype" w:cs="Palatino Linotype" w:eastAsia="Palatino Linotype" w:hAnsi="Palatino Linotype"/>
          <w:sz w:val="24"/>
          <w:szCs w:val="24"/>
          <w:rtl w:val="0"/>
        </w:rPr>
        <w:t xml:space="preserve">la asignación de claves catastrales de un predio, subdivido, lotificado, relotificado o por modificación de linderos.</w:t>
      </w:r>
    </w:p>
    <w:p w:rsidR="00000000" w:rsidDel="00000000" w:rsidP="00000000" w:rsidRDefault="00000000" w:rsidRPr="00000000" w14:paraId="000000C9">
      <w:pPr>
        <w:spacing w:after="240" w:before="24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mérito de lo mencionado con anterioridad, este Órgano Garante considera fundadas las razones o motivos de inconformidad que plantea el</w:t>
      </w:r>
      <w:r w:rsidDel="00000000" w:rsidR="00000000" w:rsidRPr="00000000">
        <w:rPr>
          <w:rFonts w:ascii="Palatino Linotype" w:cs="Palatino Linotype" w:eastAsia="Palatino Linotype" w:hAnsi="Palatino Linotype"/>
          <w:b w:val="1"/>
          <w:color w:val="000000"/>
          <w:sz w:val="24"/>
          <w:szCs w:val="24"/>
          <w:rtl w:val="0"/>
        </w:rPr>
        <w:t xml:space="preserve"> RECURRENTE</w:t>
      </w:r>
      <w:r w:rsidDel="00000000" w:rsidR="00000000" w:rsidRPr="00000000">
        <w:rPr>
          <w:rFonts w:ascii="Palatino Linotype" w:cs="Palatino Linotype" w:eastAsia="Palatino Linotype" w:hAnsi="Palatino Linotype"/>
          <w:color w:val="000000"/>
          <w:sz w:val="24"/>
          <w:szCs w:val="24"/>
          <w:rtl w:val="0"/>
        </w:rPr>
        <w:t xml:space="preserve">, de tal manera que con fundamento en el artículo 186 fracción II de la Ley de Transparencia vigente en la entidad, se </w:t>
      </w:r>
      <w:r w:rsidDel="00000000" w:rsidR="00000000" w:rsidRPr="00000000">
        <w:rPr>
          <w:rFonts w:ascii="Palatino Linotype" w:cs="Palatino Linotype" w:eastAsia="Palatino Linotype" w:hAnsi="Palatino Linotype"/>
          <w:b w:val="1"/>
          <w:color w:val="000000"/>
          <w:sz w:val="24"/>
          <w:szCs w:val="24"/>
          <w:rtl w:val="0"/>
        </w:rPr>
        <w:t xml:space="preserve">REVOCA</w:t>
      </w:r>
      <w:r w:rsidDel="00000000" w:rsidR="00000000" w:rsidRPr="00000000">
        <w:rPr>
          <w:rFonts w:ascii="Palatino Linotype" w:cs="Palatino Linotype" w:eastAsia="Palatino Linotype" w:hAnsi="Palatino Linotype"/>
          <w:color w:val="000000"/>
          <w:sz w:val="24"/>
          <w:szCs w:val="24"/>
          <w:rtl w:val="0"/>
        </w:rPr>
        <w:t xml:space="preserve"> la respuesta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Así, con fundamento en lo prescrito en los artículos </w:t>
      </w:r>
      <w:r w:rsidDel="00000000" w:rsidR="00000000" w:rsidRPr="00000000">
        <w:rPr>
          <w:rFonts w:ascii="Palatino Linotype" w:cs="Palatino Linotype" w:eastAsia="Palatino Linotype" w:hAnsi="Palatino Linotype"/>
          <w:color w:val="000000"/>
          <w:sz w:val="24"/>
          <w:szCs w:val="24"/>
          <w:highlight w:val="white"/>
          <w:rtl w:val="0"/>
        </w:rPr>
        <w:t xml:space="preserve">5, párrafos vigésimo noveno, trigésimo y trigésimo primero fracciones IV y V </w:t>
      </w:r>
      <w:r w:rsidDel="00000000" w:rsidR="00000000" w:rsidRPr="00000000">
        <w:rPr>
          <w:rFonts w:ascii="Palatino Linotype" w:cs="Palatino Linotype" w:eastAsia="Palatino Linotype" w:hAnsi="Palatino Linotype"/>
          <w:color w:val="000000"/>
          <w:sz w:val="24"/>
          <w:szCs w:val="24"/>
          <w:rtl w:val="0"/>
        </w:rPr>
        <w:t xml:space="preserve">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0CB">
      <w:pPr>
        <w:spacing w:after="0" w:before="240" w:line="360" w:lineRule="auto"/>
        <w:ind w:right="-93"/>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 E S U E L V E:</w:t>
      </w:r>
    </w:p>
    <w:p w:rsidR="00000000" w:rsidDel="00000000" w:rsidP="00000000" w:rsidRDefault="00000000" w:rsidRPr="00000000" w14:paraId="000000CC">
      <w:pPr>
        <w:spacing w:after="0" w:before="0" w:line="360" w:lineRule="auto"/>
        <w:ind w:right="-93"/>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CD">
      <w:pPr>
        <w:spacing w:after="0" w:before="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sz w:val="24"/>
          <w:szCs w:val="24"/>
          <w:rtl w:val="0"/>
        </w:rPr>
        <w:t xml:space="preserve">PRIMERO.</w:t>
      </w:r>
      <w:r w:rsidDel="00000000" w:rsidR="00000000" w:rsidRPr="00000000">
        <w:rPr>
          <w:rFonts w:ascii="Palatino Linotype" w:cs="Palatino Linotype" w:eastAsia="Palatino Linotype" w:hAnsi="Palatino Linotype"/>
          <w:sz w:val="24"/>
          <w:szCs w:val="24"/>
          <w:rtl w:val="0"/>
        </w:rPr>
        <w:t xml:space="preserve"> Resultan fundados los motivos de inconformidad hecho valer por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06519/INFOEM/IP/RR/2021</w:t>
      </w:r>
      <w:r w:rsidDel="00000000" w:rsidR="00000000" w:rsidRPr="00000000">
        <w:rPr>
          <w:rFonts w:ascii="Palatino Linotype" w:cs="Palatino Linotype" w:eastAsia="Palatino Linotype" w:hAnsi="Palatino Linotype"/>
          <w:sz w:val="24"/>
          <w:szCs w:val="24"/>
          <w:rtl w:val="0"/>
        </w:rPr>
        <w:t xml:space="preserve">, en términos del Considerando </w:t>
      </w:r>
      <w:r w:rsidDel="00000000" w:rsidR="00000000" w:rsidRPr="00000000">
        <w:rPr>
          <w:rFonts w:ascii="Palatino Linotype" w:cs="Palatino Linotype" w:eastAsia="Palatino Linotype" w:hAnsi="Palatino Linotype"/>
          <w:color w:val="000000"/>
          <w:sz w:val="24"/>
          <w:szCs w:val="24"/>
          <w:rtl w:val="0"/>
        </w:rPr>
        <w:t xml:space="preserve">cuarto de la presente resolución. </w:t>
      </w:r>
    </w:p>
    <w:p w:rsidR="00000000" w:rsidDel="00000000" w:rsidP="00000000" w:rsidRDefault="00000000" w:rsidRPr="00000000" w14:paraId="000000CE">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F">
      <w:pPr>
        <w:spacing w:after="240" w:before="0" w:line="360" w:lineRule="auto"/>
        <w:ind w:right="49"/>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REVOCA</w:t>
      </w:r>
      <w:r w:rsidDel="00000000" w:rsidR="00000000" w:rsidRPr="00000000">
        <w:rPr>
          <w:rFonts w:ascii="Palatino Linotype" w:cs="Palatino Linotype" w:eastAsia="Palatino Linotype" w:hAnsi="Palatino Linotype"/>
          <w:sz w:val="24"/>
          <w:szCs w:val="24"/>
          <w:rtl w:val="0"/>
        </w:rPr>
        <w:t xml:space="preserve">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que en términos </w:t>
      </w:r>
      <w:r w:rsidDel="00000000" w:rsidR="00000000" w:rsidRPr="00000000">
        <w:rPr>
          <w:rFonts w:ascii="Palatino Linotype" w:cs="Palatino Linotype" w:eastAsia="Palatino Linotype" w:hAnsi="Palatino Linotype"/>
          <w:color w:val="000000"/>
          <w:sz w:val="24"/>
          <w:szCs w:val="24"/>
          <w:rtl w:val="0"/>
        </w:rPr>
        <w:t xml:space="preserve">del Considerando Cuarto </w:t>
      </w:r>
      <w:r w:rsidDel="00000000" w:rsidR="00000000" w:rsidRPr="00000000">
        <w:rPr>
          <w:rFonts w:ascii="Palatino Linotype" w:cs="Palatino Linotype" w:eastAsia="Palatino Linotype" w:hAnsi="Palatino Linotype"/>
          <w:sz w:val="24"/>
          <w:szCs w:val="24"/>
          <w:rtl w:val="0"/>
        </w:rPr>
        <w:t xml:space="preserve">de esta resolución haga entrega vía SAIMEX, previa búsqueda exhaustiva y razonable, del documento o documentos en donde conste lo siguiente:</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Procedimiento para la asignación de clave catastral derivado de la subdivisión, lotificación, relotificación o modificación de linderos de un predio, en el que se advierta el fundamento legal, requisitos y área responsable de realizarlo. </w:t>
      </w:r>
    </w:p>
    <w:p w:rsidR="00000000" w:rsidDel="00000000" w:rsidP="00000000" w:rsidRDefault="00000000" w:rsidRPr="00000000" w14:paraId="000000D1">
      <w:pPr>
        <w:spacing w:after="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w:t>
      </w:r>
      <w:r w:rsidDel="00000000" w:rsidR="00000000" w:rsidRPr="00000000">
        <w:rPr>
          <w:rFonts w:ascii="Palatino Linotype" w:cs="Palatino Linotype" w:eastAsia="Palatino Linotype" w:hAnsi="Palatino Linotype"/>
          <w:sz w:val="24"/>
          <w:szCs w:val="24"/>
          <w:rtl w:val="0"/>
        </w:rPr>
        <w:t xml:space="preserve"> La presente resolución 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D2">
      <w:pPr>
        <w:spacing w:after="0" w:before="0" w:line="360" w:lineRule="auto"/>
        <w:ind w:left="-142" w:right="-93"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3">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0D4">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5">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w:t>
      </w:r>
      <w:r w:rsidDel="00000000" w:rsidR="00000000" w:rsidRPr="00000000">
        <w:rPr>
          <w:rFonts w:ascii="Palatino Linotype" w:cs="Palatino Linotype" w:eastAsia="Palatino Linotype" w:hAnsi="Palatino Linotype"/>
          <w:sz w:val="24"/>
          <w:szCs w:val="24"/>
          <w:rtl w:val="0"/>
        </w:rPr>
        <w:t xml:space="preserve"> al</w:t>
      </w:r>
      <w:r w:rsidDel="00000000" w:rsidR="00000000" w:rsidRPr="00000000">
        <w:rPr>
          <w:rFonts w:ascii="Palatino Linotype" w:cs="Palatino Linotype" w:eastAsia="Palatino Linotype" w:hAnsi="Palatino Linotype"/>
          <w:b w:val="1"/>
          <w:sz w:val="24"/>
          <w:szCs w:val="24"/>
          <w:rtl w:val="0"/>
        </w:rPr>
        <w:t xml:space="preserve"> 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D6">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7">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OCTAVA SESIÓN ORDINARIA CELEBRADA EL TRES DE MARZO DE DOS MIL VEINTIDÓS, ANTE EL SECRETARIO TÉCNICO DEL PLENO ALEXIS TAPIA RAMÍREZ.</w:t>
      </w:r>
    </w:p>
    <w:p w:rsidR="00000000" w:rsidDel="00000000" w:rsidP="00000000" w:rsidRDefault="00000000" w:rsidRPr="00000000" w14:paraId="000000D8">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9">
      <w:pPr>
        <w:spacing w:after="240" w:before="0" w:line="360" w:lineRule="auto"/>
        <w:ind w:left="-142" w:right="-93" w:firstLine="0"/>
        <w:jc w:val="both"/>
        <w:rPr/>
      </w:pPr>
      <w:r w:rsidDel="00000000" w:rsidR="00000000" w:rsidRPr="00000000">
        <w:rPr>
          <w:rtl w:val="0"/>
        </w:rPr>
      </w:r>
    </w:p>
    <w:sectPr>
      <w:headerReference r:id="rId14" w:type="default"/>
      <w:footerReference r:id="rId15"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10346.0" w:type="dxa"/>
      <w:jc w:val="left"/>
      <w:tblInd w:w="-1281.0" w:type="dxa"/>
      <w:tblLayout w:type="fixed"/>
      <w:tblLook w:val="0400"/>
    </w:tblPr>
    <w:tblGrid>
      <w:gridCol w:w="5684"/>
      <w:gridCol w:w="4662"/>
      <w:tblGridChange w:id="0">
        <w:tblGrid>
          <w:gridCol w:w="5684"/>
          <w:gridCol w:w="4662"/>
        </w:tblGrid>
      </w:tblGridChange>
    </w:tblGrid>
    <w:tr>
      <w:trPr>
        <w:cantSplit w:val="0"/>
        <w:trHeight w:val="244" w:hRule="atLeast"/>
        <w:tblHeader w:val="0"/>
      </w:trPr>
      <w:tc>
        <w:tcPr/>
        <w:p w:rsidR="00000000" w:rsidDel="00000000" w:rsidP="00000000" w:rsidRDefault="00000000" w:rsidRPr="00000000" w14:paraId="000000DB">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0DC">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06519/INFOEM/IP/RR/2021</w:t>
          </w:r>
        </w:p>
      </w:tc>
    </w:tr>
    <w:tr>
      <w:trPr>
        <w:cantSplit w:val="0"/>
        <w:trHeight w:val="210" w:hRule="atLeast"/>
        <w:tblHeader w:val="0"/>
      </w:trPr>
      <w:tc>
        <w:tcPr/>
        <w:p w:rsidR="00000000" w:rsidDel="00000000" w:rsidP="00000000" w:rsidRDefault="00000000" w:rsidRPr="00000000" w14:paraId="000000DD">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0DE">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00DF">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0E0">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Atizapán</w:t>
          </w:r>
        </w:p>
      </w:tc>
    </w:tr>
    <w:tr>
      <w:trPr>
        <w:cantSplit w:val="0"/>
        <w:trHeight w:val="368" w:hRule="atLeast"/>
        <w:tblHeader w:val="0"/>
      </w:trPr>
      <w:tc>
        <w:tcPr/>
        <w:p w:rsidR="00000000" w:rsidDel="00000000" w:rsidP="00000000" w:rsidRDefault="00000000" w:rsidRPr="00000000" w14:paraId="000000E1">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0E2">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-1188719</wp:posOffset>
          </wp:positionH>
          <wp:positionV relativeFrom="paragraph">
            <wp:posOffset>-1550034</wp:posOffset>
          </wp:positionV>
          <wp:extent cx="7867650" cy="10133330"/>
          <wp:effectExtent b="0" l="0" r="0" t="0"/>
          <wp:wrapNone/>
          <wp:docPr id="1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867650" cy="101333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1080" w:hanging="360"/>
      </w:pPr>
      <w:rPr>
        <w:rFonts w:ascii="Palatino Linotype" w:cs="Palatino Linotype" w:eastAsia="Palatino Linotype" w:hAnsi="Palatino Linotype"/>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177ED"/>
    <w:rPr>
      <w:rFonts w:ascii="Calibri" w:cs="Calibri" w:eastAsia="Calibri" w:hAnsi="Calibri"/>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C7B1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C7B14"/>
  </w:style>
  <w:style w:type="paragraph" w:styleId="Piedepgina">
    <w:name w:val="footer"/>
    <w:basedOn w:val="Normal"/>
    <w:link w:val="PiedepginaCar"/>
    <w:uiPriority w:val="99"/>
    <w:unhideWhenUsed w:val="1"/>
    <w:rsid w:val="00DC7B1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C7B14"/>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E51983"/>
    <w:pPr>
      <w:ind w:left="720"/>
      <w:contextualSpacing w:val="1"/>
    </w:pPr>
    <w:rPr>
      <w:rFonts w:asciiTheme="minorHAnsi" w:cstheme="minorBidi" w:eastAsiaTheme="minorHAnsi" w:hAnsiTheme="minorHAnsi"/>
      <w:lang w:eastAsia="en-U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E51983"/>
  </w:style>
  <w:style w:type="character" w:styleId="Hipervnculo">
    <w:name w:val="Hyperlink"/>
    <w:basedOn w:val="Fuentedeprrafopredeter"/>
    <w:uiPriority w:val="99"/>
    <w:unhideWhenUsed w:val="1"/>
    <w:rsid w:val="00D57FDA"/>
    <w:rPr>
      <w:color w:val="0000ff"/>
      <w:u w:val="single"/>
    </w:rPr>
  </w:style>
  <w:style w:type="paragraph" w:styleId="NormalWeb">
    <w:name w:val="Normal (Web)"/>
    <w:basedOn w:val="Normal"/>
    <w:uiPriority w:val="99"/>
    <w:semiHidden w:val="1"/>
    <w:unhideWhenUsed w:val="1"/>
    <w:rsid w:val="00CA727F"/>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0902zNYRC39IaXhIzTjv6cyjYA==">AMUW2mXW7gwGqwr1HeBtlFLa1jOGUWKPEY+dZ9Xi8Hdhoz61ByC6VGye26Q7lbgs7PP5O9PNCuqe+pqnRGzkdminxKS9dvBh5bnDX53MlOa0ikL1bxKDhix6yQjpt7ugm+4q/LZWt7Hq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2022-02-24T06:35:00Z</dcterms:created>
  <dc:creator>USUARIO</dc:creator>
</cp:coreProperties>
</file>