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17828" w14:textId="77777777" w:rsidR="00474967" w:rsidRDefault="00AB3B72">
      <w:pPr>
        <w:tabs>
          <w:tab w:val="left" w:pos="4962"/>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veintisiete de abril de dos mil veintidós. </w:t>
      </w:r>
    </w:p>
    <w:p w14:paraId="269B60B6"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 xml:space="preserve">00644/INFOEM/IP/RR/2022, </w:t>
      </w:r>
      <w:r>
        <w:rPr>
          <w:rFonts w:ascii="Palatino Linotype" w:eastAsia="Palatino Linotype" w:hAnsi="Palatino Linotype" w:cs="Palatino Linotype"/>
        </w:rPr>
        <w:t>interpuesto por</w:t>
      </w:r>
      <w:r>
        <w:rPr>
          <w:rFonts w:ascii="Palatino Linotype" w:eastAsia="Palatino Linotype" w:hAnsi="Palatino Linotype" w:cs="Palatino Linotype"/>
          <w:b/>
        </w:rPr>
        <w:t xml:space="preserve"> </w:t>
      </w:r>
      <w:r w:rsidR="00357673">
        <w:rPr>
          <w:rFonts w:ascii="Palatino Linotype" w:eastAsia="Palatino Linotype" w:hAnsi="Palatino Linotype" w:cs="Palatino Linotype"/>
          <w:b/>
          <w:sz w:val="22"/>
          <w:szCs w:val="22"/>
        </w:rPr>
        <w:t xml:space="preserve">XXXXXX XXXXX </w:t>
      </w:r>
      <w:proofErr w:type="spellStart"/>
      <w:r w:rsidR="00357673">
        <w:rPr>
          <w:rFonts w:ascii="Palatino Linotype" w:eastAsia="Palatino Linotype" w:hAnsi="Palatino Linotype" w:cs="Palatino Linotype"/>
          <w:b/>
          <w:sz w:val="22"/>
          <w:szCs w:val="22"/>
        </w:rPr>
        <w:t>XXXXX</w:t>
      </w:r>
      <w:proofErr w:type="spellEnd"/>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por parte del </w:t>
      </w:r>
      <w:r>
        <w:rPr>
          <w:rFonts w:ascii="Palatino Linotype" w:eastAsia="Palatino Linotype" w:hAnsi="Palatino Linotype" w:cs="Palatino Linotype"/>
          <w:b/>
        </w:rPr>
        <w:t xml:space="preserve">Ayuntamiento de San José del Rincón, </w:t>
      </w:r>
      <w:r>
        <w:rPr>
          <w:rFonts w:ascii="Palatino Linotype" w:eastAsia="Palatino Linotype" w:hAnsi="Palatino Linotype" w:cs="Palatino Linotype"/>
        </w:rPr>
        <w:t xml:space="preserve">en lo sucesivo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se procede a dictar la presente resolución con base en los siguientes: </w:t>
      </w:r>
    </w:p>
    <w:p w14:paraId="31D9F937" w14:textId="77777777" w:rsidR="00474967" w:rsidRDefault="00AB3B72">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 xml:space="preserve">I. </w:t>
      </w:r>
      <w:r>
        <w:rPr>
          <w:rFonts w:ascii="Palatino Linotype" w:eastAsia="Palatino Linotype" w:hAnsi="Palatino Linotype" w:cs="Palatino Linotype"/>
          <w:b/>
        </w:rPr>
        <w:tab/>
        <w:t>A N T E C E D E N T E S</w:t>
      </w:r>
    </w:p>
    <w:p w14:paraId="123A7751"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dieciocho de enero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presentó, través del Sistema de Acceso a la Información Mexiquense, en lo subsecuente el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ante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la solicitud de acceso a la información pública, a la que se le asignó el número </w:t>
      </w:r>
      <w:r>
        <w:rPr>
          <w:rFonts w:ascii="Palatino Linotype" w:eastAsia="Palatino Linotype" w:hAnsi="Palatino Linotype" w:cs="Palatino Linotype"/>
          <w:b/>
        </w:rPr>
        <w:t xml:space="preserve">00010/JOSERIN/IP/2022, </w:t>
      </w:r>
      <w:r>
        <w:rPr>
          <w:rFonts w:ascii="Palatino Linotype" w:eastAsia="Palatino Linotype" w:hAnsi="Palatino Linotype" w:cs="Palatino Linotype"/>
        </w:rPr>
        <w:t>mediante la cual requirió la información siguiente:</w:t>
      </w:r>
    </w:p>
    <w:p w14:paraId="68002B13" w14:textId="77777777" w:rsidR="00474967" w:rsidRDefault="00AB3B72">
      <w:pPr>
        <w:spacing w:line="276" w:lineRule="auto"/>
        <w:ind w:left="900" w:right="918"/>
        <w:jc w:val="both"/>
        <w:rPr>
          <w:rFonts w:ascii="Palatino Linotype" w:eastAsia="Palatino Linotype" w:hAnsi="Palatino Linotype" w:cs="Palatino Linotype"/>
          <w:i/>
          <w:sz w:val="22"/>
          <w:szCs w:val="22"/>
        </w:rPr>
      </w:pPr>
      <w:bookmarkStart w:id="0" w:name="_heading=h.gjdgxs" w:colFirst="0" w:colLast="0"/>
      <w:bookmarkEnd w:id="0"/>
      <w:r>
        <w:rPr>
          <w:rFonts w:ascii="Palatino Linotype" w:eastAsia="Palatino Linotype" w:hAnsi="Palatino Linotype" w:cs="Palatino Linotype"/>
          <w:sz w:val="22"/>
          <w:szCs w:val="22"/>
        </w:rPr>
        <w:t>“</w:t>
      </w:r>
      <w:r>
        <w:rPr>
          <w:rFonts w:ascii="Palatino Linotype" w:eastAsia="Palatino Linotype" w:hAnsi="Palatino Linotype" w:cs="Palatino Linotype"/>
          <w:i/>
          <w:sz w:val="22"/>
          <w:szCs w:val="22"/>
        </w:rPr>
        <w:t xml:space="preserve">Solicito el expediente y todo lo actuado de las quejas en contra del Servidor </w:t>
      </w:r>
      <w:proofErr w:type="spellStart"/>
      <w:r>
        <w:rPr>
          <w:rFonts w:ascii="Palatino Linotype" w:eastAsia="Palatino Linotype" w:hAnsi="Palatino Linotype" w:cs="Palatino Linotype"/>
          <w:i/>
          <w:sz w:val="22"/>
          <w:szCs w:val="22"/>
        </w:rPr>
        <w:t>Publico</w:t>
      </w:r>
      <w:proofErr w:type="spellEnd"/>
      <w:r>
        <w:rPr>
          <w:rFonts w:ascii="Palatino Linotype" w:eastAsia="Palatino Linotype" w:hAnsi="Palatino Linotype" w:cs="Palatino Linotype"/>
          <w:i/>
          <w:sz w:val="22"/>
          <w:szCs w:val="22"/>
        </w:rPr>
        <w:t xml:space="preserve"> MARIA DEL ROSARIO SALAZAR REYES en el año 2019 y/o 2020 radicadas en la contraloría del ayuntamiento, así como cargos desempeñados </w:t>
      </w:r>
      <w:proofErr w:type="spellStart"/>
      <w:r>
        <w:rPr>
          <w:rFonts w:ascii="Palatino Linotype" w:eastAsia="Palatino Linotype" w:hAnsi="Palatino Linotype" w:cs="Palatino Linotype"/>
          <w:i/>
          <w:sz w:val="22"/>
          <w:szCs w:val="22"/>
        </w:rPr>
        <w:t>desempeñados</w:t>
      </w:r>
      <w:proofErr w:type="spellEnd"/>
      <w:r>
        <w:rPr>
          <w:rFonts w:ascii="Palatino Linotype" w:eastAsia="Palatino Linotype" w:hAnsi="Palatino Linotype" w:cs="Palatino Linotype"/>
          <w:i/>
          <w:sz w:val="22"/>
          <w:szCs w:val="22"/>
        </w:rPr>
        <w:t xml:space="preserve"> en el ejercicio 2019, 2020 y 2021. </w:t>
      </w:r>
      <w:r>
        <w:rPr>
          <w:rFonts w:ascii="Palatino Linotype" w:eastAsia="Palatino Linotype" w:hAnsi="Palatino Linotype" w:cs="Palatino Linotype"/>
          <w:sz w:val="22"/>
          <w:szCs w:val="22"/>
        </w:rPr>
        <w:t>(sic)</w:t>
      </w:r>
    </w:p>
    <w:p w14:paraId="69817122" w14:textId="77777777" w:rsidR="00474967" w:rsidRDefault="00474967">
      <w:pPr>
        <w:jc w:val="both"/>
        <w:rPr>
          <w:rFonts w:ascii="Palatino Linotype" w:eastAsia="Palatino Linotype" w:hAnsi="Palatino Linotype" w:cs="Palatino Linotype"/>
          <w:i/>
        </w:rPr>
      </w:pPr>
    </w:p>
    <w:p w14:paraId="25DE2182" w14:textId="77777777" w:rsidR="00474967" w:rsidRDefault="00AB3B72">
      <w:pPr>
        <w:spacing w:line="360" w:lineRule="auto"/>
        <w:ind w:right="49"/>
        <w:jc w:val="both"/>
        <w:rPr>
          <w:rFonts w:ascii="Palatino Linotype" w:eastAsia="Palatino Linotype" w:hAnsi="Palatino Linotype" w:cs="Palatino Linotype"/>
          <w:i/>
          <w:color w:val="000000"/>
        </w:rPr>
      </w:pP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no adjuntó archivos a su solicitud.</w:t>
      </w:r>
    </w:p>
    <w:p w14:paraId="55B8513E"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SAIMEX.</w:t>
      </w:r>
    </w:p>
    <w:p w14:paraId="1B118946"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Con fecha</w:t>
      </w:r>
      <w:r>
        <w:rPr>
          <w:rFonts w:ascii="Palatino Linotype" w:eastAsia="Palatino Linotype" w:hAnsi="Palatino Linotype" w:cs="Palatino Linotype"/>
          <w:b/>
        </w:rPr>
        <w:t xml:space="preserve"> nueve de febrero de dos mil veintidós, EL SUJETO OBLIGADO</w:t>
      </w:r>
      <w:r>
        <w:rPr>
          <w:rFonts w:ascii="Palatino Linotype" w:eastAsia="Palatino Linotype" w:hAnsi="Palatino Linotype" w:cs="Palatino Linotype"/>
        </w:rPr>
        <w:t xml:space="preserve"> envió respuesta a la solicitud de acceso a la información a través de </w:t>
      </w:r>
      <w:r>
        <w:rPr>
          <w:rFonts w:ascii="Palatino Linotype" w:eastAsia="Palatino Linotype" w:hAnsi="Palatino Linotype" w:cs="Palatino Linotype"/>
          <w:b/>
        </w:rPr>
        <w:t>SAIMEX,</w:t>
      </w:r>
      <w:r>
        <w:rPr>
          <w:rFonts w:ascii="Palatino Linotype" w:eastAsia="Palatino Linotype" w:hAnsi="Palatino Linotype" w:cs="Palatino Linotype"/>
        </w:rPr>
        <w:t xml:space="preserve"> sustancialmente en los términos siguientes:</w:t>
      </w:r>
    </w:p>
    <w:p w14:paraId="0ACBFC6E" w14:textId="77777777" w:rsidR="00474967" w:rsidRDefault="00AB3B72">
      <w:pPr>
        <w:spacing w:before="240" w:after="240" w:line="276" w:lineRule="auto"/>
        <w:ind w:left="90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E9FABB4" w14:textId="77777777" w:rsidR="00474967" w:rsidRDefault="00AB3B72">
      <w:pPr>
        <w:spacing w:before="240" w:after="240" w:line="276" w:lineRule="auto"/>
        <w:ind w:left="90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atención a su solicitud de información número 00010/JOSERIN/IP/</w:t>
      </w:r>
      <w:proofErr w:type="gramStart"/>
      <w:r>
        <w:rPr>
          <w:rFonts w:ascii="Palatino Linotype" w:eastAsia="Palatino Linotype" w:hAnsi="Palatino Linotype" w:cs="Palatino Linotype"/>
          <w:i/>
          <w:sz w:val="22"/>
          <w:szCs w:val="22"/>
        </w:rPr>
        <w:t>2022 ,</w:t>
      </w:r>
      <w:proofErr w:type="gramEnd"/>
      <w:r>
        <w:rPr>
          <w:rFonts w:ascii="Palatino Linotype" w:eastAsia="Palatino Linotype" w:hAnsi="Palatino Linotype" w:cs="Palatino Linotype"/>
          <w:i/>
          <w:sz w:val="22"/>
          <w:szCs w:val="22"/>
        </w:rPr>
        <w:t xml:space="preserve"> recibida a través del Sistema de Acceso a la Información Mexiquense SAIMEX, envió a usted en digital la información que atiende su requerimiento, dando cumplimiento en tiempo y forma con lo dispuesto por la Ley de Transparencia y Acceso a la Información Pública del Estado de México y Municipios. En atención a su solicitud de información número 00010/JOSERIN/IP/2021, recibida a través del Sistema de Acceso a la Información Mexiquense SAIMEX, envió a usted en digital la información que atiende su requerimiento, dando cumplimiento en tiempo y forma con lo dispuesto por la Ley de Transparencia y Acceso a la Información Pública del Estado de México y Municipios.</w:t>
      </w:r>
    </w:p>
    <w:p w14:paraId="5E8AE484" w14:textId="77777777" w:rsidR="00474967" w:rsidRDefault="00AB3B72">
      <w:pPr>
        <w:spacing w:before="240" w:after="240" w:line="276" w:lineRule="auto"/>
        <w:ind w:left="90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116D8AC6" w14:textId="77777777" w:rsidR="00474967" w:rsidRDefault="00AB3B72">
      <w:pPr>
        <w:spacing w:before="240" w:after="240" w:line="276" w:lineRule="auto"/>
        <w:ind w:left="90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ADOLFO ITURBE DIAZ” (Sic)</w:t>
      </w:r>
    </w:p>
    <w:p w14:paraId="32719A35" w14:textId="77777777" w:rsidR="00474967" w:rsidRDefault="00AB3B72">
      <w:pPr>
        <w:spacing w:before="240" w:after="240" w:line="360" w:lineRule="auto"/>
        <w:ind w:right="49"/>
        <w:jc w:val="both"/>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dos documento</w:t>
      </w:r>
      <w:r>
        <w:t xml:space="preserve">s, </w:t>
      </w:r>
      <w:r>
        <w:rPr>
          <w:rFonts w:ascii="Palatino Linotype" w:eastAsia="Palatino Linotype" w:hAnsi="Palatino Linotype" w:cs="Palatino Linotype"/>
        </w:rPr>
        <w:t>los cuales se refieren a continuación</w:t>
      </w:r>
      <w:r>
        <w:t>:</w:t>
      </w:r>
    </w:p>
    <w:p w14:paraId="4B35B9A5" w14:textId="77777777" w:rsidR="00474967" w:rsidRDefault="00AB3B72">
      <w:pPr>
        <w:numPr>
          <w:ilvl w:val="0"/>
          <w:numId w:val="6"/>
        </w:numPr>
        <w:pBdr>
          <w:top w:val="nil"/>
          <w:left w:val="nil"/>
          <w:bottom w:val="nil"/>
          <w:right w:val="nil"/>
          <w:between w:val="nil"/>
        </w:pBdr>
        <w:spacing w:before="240" w:line="360" w:lineRule="auto"/>
        <w:ind w:right="49"/>
        <w:jc w:val="both"/>
        <w:rPr>
          <w:rFonts w:ascii="Palatino Linotype" w:eastAsia="Palatino Linotype" w:hAnsi="Palatino Linotype" w:cs="Palatino Linotype"/>
          <w:b/>
          <w:i/>
          <w:color w:val="000000"/>
        </w:rPr>
      </w:pPr>
      <w:r>
        <w:rPr>
          <w:b/>
          <w:i/>
          <w:color w:val="000000"/>
        </w:rPr>
        <w:t>“</w:t>
      </w:r>
      <w:r>
        <w:rPr>
          <w:rFonts w:ascii="Palatino Linotype" w:eastAsia="Palatino Linotype" w:hAnsi="Palatino Linotype" w:cs="Palatino Linotype"/>
          <w:b/>
          <w:i/>
          <w:color w:val="000000"/>
        </w:rPr>
        <w:t xml:space="preserve">sol 10 y 11.pdf”, </w:t>
      </w:r>
      <w:r>
        <w:rPr>
          <w:rFonts w:ascii="Palatino Linotype" w:eastAsia="Palatino Linotype" w:hAnsi="Palatino Linotype" w:cs="Palatino Linotype"/>
          <w:color w:val="000000"/>
        </w:rPr>
        <w:t xml:space="preserve">oficio número MSJR/AQT/SA/077/2022, de fecha cuatro de febrero de dos mil veintidós, suscrito y signado por </w:t>
      </w:r>
      <w:r>
        <w:rPr>
          <w:rFonts w:ascii="Palatino Linotype" w:eastAsia="Palatino Linotype" w:hAnsi="Palatino Linotype" w:cs="Palatino Linotype"/>
          <w:b/>
          <w:color w:val="000000"/>
          <w:u w:val="single"/>
        </w:rPr>
        <w:t>el Secretario del Ayuntamiento</w:t>
      </w:r>
      <w:r>
        <w:rPr>
          <w:rFonts w:ascii="Palatino Linotype" w:eastAsia="Palatino Linotype" w:hAnsi="Palatino Linotype" w:cs="Palatino Linotype"/>
          <w:color w:val="000000"/>
        </w:rPr>
        <w:t xml:space="preserve">, en el que destaca que: </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i/>
          <w:color w:val="000000"/>
        </w:rPr>
        <w:t xml:space="preserve">en los archivos de la Secretaría del Ayuntamiento, no se encuentra ningún expediente concerniente a lo </w:t>
      </w:r>
      <w:r>
        <w:rPr>
          <w:rFonts w:ascii="Palatino Linotype" w:eastAsia="Palatino Linotype" w:hAnsi="Palatino Linotype" w:cs="Palatino Linotype"/>
          <w:b/>
          <w:i/>
          <w:color w:val="000000"/>
        </w:rPr>
        <w:lastRenderedPageBreak/>
        <w:t>solicitado, debido a que, en esta área no se llevan quejas ni se tienen los expedientes personales de los servidores públicos…</w:t>
      </w:r>
      <w:r>
        <w:rPr>
          <w:rFonts w:ascii="Palatino Linotype" w:eastAsia="Palatino Linotype" w:hAnsi="Palatino Linotype" w:cs="Palatino Linotype"/>
          <w:i/>
          <w:color w:val="000000"/>
        </w:rPr>
        <w:t>” (Sic)</w:t>
      </w:r>
    </w:p>
    <w:p w14:paraId="671FD956" w14:textId="77777777" w:rsidR="00474967" w:rsidRDefault="00474967">
      <w:pPr>
        <w:pBdr>
          <w:top w:val="nil"/>
          <w:left w:val="nil"/>
          <w:bottom w:val="nil"/>
          <w:right w:val="nil"/>
          <w:between w:val="nil"/>
        </w:pBdr>
        <w:spacing w:line="360" w:lineRule="auto"/>
        <w:ind w:left="720" w:right="49"/>
        <w:jc w:val="both"/>
        <w:rPr>
          <w:b/>
          <w:i/>
          <w:color w:val="000000"/>
        </w:rPr>
      </w:pPr>
    </w:p>
    <w:p w14:paraId="4BE1B5BF" w14:textId="77777777" w:rsidR="00474967" w:rsidRDefault="00AB3B72">
      <w:pPr>
        <w:numPr>
          <w:ilvl w:val="0"/>
          <w:numId w:val="6"/>
        </w:numPr>
        <w:pBdr>
          <w:top w:val="nil"/>
          <w:left w:val="nil"/>
          <w:bottom w:val="nil"/>
          <w:right w:val="nil"/>
          <w:between w:val="nil"/>
        </w:pBdr>
        <w:spacing w:after="240"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“10.pdf”,  </w:t>
      </w:r>
      <w:r>
        <w:rPr>
          <w:rFonts w:ascii="Palatino Linotype" w:eastAsia="Palatino Linotype" w:hAnsi="Palatino Linotype" w:cs="Palatino Linotype"/>
          <w:color w:val="000000"/>
        </w:rPr>
        <w:t>oficio número MSJR/AQT/DA/105/2022, de fecha nueve de febrero de dos mil veintidós, suscrito y signado por el Encargado de la Dirección de Administración, en el que informa:  “</w:t>
      </w:r>
      <w:r>
        <w:rPr>
          <w:rFonts w:ascii="Palatino Linotype" w:eastAsia="Palatino Linotype" w:hAnsi="Palatino Linotype" w:cs="Palatino Linotype"/>
          <w:i/>
          <w:color w:val="000000"/>
        </w:rPr>
        <w:t xml:space="preserve">Referente a la solicitud en la cual se pide informar los cargos que ocupo la ex servidora público María del Rosario Salazar Reyes, en los ejercicios 2019, 2020 y 2021, informo a Usted lo siguiente: - </w:t>
      </w:r>
      <w:r>
        <w:rPr>
          <w:rFonts w:ascii="Palatino Linotype" w:eastAsia="Palatino Linotype" w:hAnsi="Palatino Linotype" w:cs="Palatino Linotype"/>
          <w:b/>
          <w:i/>
          <w:color w:val="000000"/>
        </w:rPr>
        <w:t>El único cargo  que ocupó la persona antes mencionada durante los ejercicios 2019, 2020 y 2021, fue como responsable de Normatividad y Presupuesto, en el área de Tesorería Municipal.</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 (Sic) </w:t>
      </w:r>
    </w:p>
    <w:p w14:paraId="2D0643BE" w14:textId="77777777" w:rsidR="00474967" w:rsidRDefault="00AB3B7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nueve de febrero de dos mil veintidós,</w:t>
      </w:r>
      <w:r>
        <w:rPr>
          <w:rFonts w:ascii="Palatino Linotype" w:eastAsia="Palatino Linotype" w:hAnsi="Palatino Linotype" w:cs="Palatino Linotype"/>
        </w:rPr>
        <w:t xml:space="preserve"> E</w:t>
      </w:r>
      <w:r>
        <w:rPr>
          <w:rFonts w:ascii="Palatino Linotype" w:eastAsia="Palatino Linotype" w:hAnsi="Palatino Linotype" w:cs="Palatino Linotype"/>
          <w:b/>
        </w:rPr>
        <w:t>L RECURRENTE</w:t>
      </w:r>
      <w:r>
        <w:rPr>
          <w:rFonts w:ascii="Palatino Linotype" w:eastAsia="Palatino Linotype" w:hAnsi="Palatino Linotype" w:cs="Palatino Linotype"/>
        </w:rPr>
        <w:t xml:space="preserve"> interpuso el recurso de revisión a través del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expuso lo siguiente:</w:t>
      </w:r>
    </w:p>
    <w:p w14:paraId="6461A451" w14:textId="77777777" w:rsidR="00474967" w:rsidRDefault="00AB3B72">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Acto impugnado:</w:t>
      </w:r>
    </w:p>
    <w:p w14:paraId="10E99E88" w14:textId="77777777" w:rsidR="00474967" w:rsidRDefault="00474967">
      <w:pPr>
        <w:spacing w:line="360" w:lineRule="auto"/>
        <w:jc w:val="both"/>
        <w:rPr>
          <w:rFonts w:ascii="Palatino Linotype" w:eastAsia="Palatino Linotype" w:hAnsi="Palatino Linotype" w:cs="Palatino Linotype"/>
          <w:b/>
        </w:rPr>
      </w:pPr>
    </w:p>
    <w:p w14:paraId="6D73787B" w14:textId="77777777" w:rsidR="00474967" w:rsidRDefault="00AB3B72">
      <w:pPr>
        <w:spacing w:line="360" w:lineRule="auto"/>
        <w:ind w:left="709" w:right="629"/>
        <w:jc w:val="both"/>
        <w:rPr>
          <w:rFonts w:ascii="Palatino Linotype" w:eastAsia="Palatino Linotype" w:hAnsi="Palatino Linotype" w:cs="Palatino Linotype"/>
          <w:b/>
        </w:rPr>
      </w:pPr>
      <w:r>
        <w:rPr>
          <w:rFonts w:ascii="Palatino Linotype" w:eastAsia="Palatino Linotype" w:hAnsi="Palatino Linotype" w:cs="Palatino Linotype"/>
          <w:i/>
        </w:rPr>
        <w:t>“Sujeto obligado no entrega información” (sic)</w:t>
      </w:r>
    </w:p>
    <w:p w14:paraId="01E205EA" w14:textId="77777777" w:rsidR="00474967" w:rsidRDefault="00474967">
      <w:pPr>
        <w:spacing w:line="360" w:lineRule="auto"/>
        <w:jc w:val="both"/>
        <w:rPr>
          <w:rFonts w:ascii="Palatino Linotype" w:eastAsia="Palatino Linotype" w:hAnsi="Palatino Linotype" w:cs="Palatino Linotype"/>
          <w:b/>
        </w:rPr>
      </w:pPr>
    </w:p>
    <w:p w14:paraId="5709A5F7" w14:textId="77777777" w:rsidR="00474967" w:rsidRDefault="00AB3B72">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Razones o motivos de inconformidad: </w:t>
      </w:r>
    </w:p>
    <w:p w14:paraId="2830EB45" w14:textId="77777777" w:rsidR="00474967" w:rsidRDefault="00474967">
      <w:pPr>
        <w:spacing w:line="276" w:lineRule="auto"/>
        <w:ind w:left="851" w:right="900"/>
        <w:jc w:val="both"/>
        <w:rPr>
          <w:rFonts w:ascii="Palatino Linotype" w:eastAsia="Palatino Linotype" w:hAnsi="Palatino Linotype" w:cs="Palatino Linotype"/>
          <w:i/>
        </w:rPr>
      </w:pPr>
    </w:p>
    <w:p w14:paraId="77BE8E2E" w14:textId="77777777" w:rsidR="00474967" w:rsidRDefault="00AB3B72">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“Solicito información respecto a expediente de queja radicadas en la CONTRALORÍA DEL AYUNTAMIENTO, NO EN LA SECRETARÍA” (Sic)</w:t>
      </w:r>
    </w:p>
    <w:p w14:paraId="64616BED" w14:textId="77777777" w:rsidR="00474967" w:rsidRDefault="00474967">
      <w:pPr>
        <w:spacing w:line="360" w:lineRule="auto"/>
        <w:jc w:val="both"/>
        <w:rPr>
          <w:rFonts w:ascii="Palatino Linotype" w:eastAsia="Palatino Linotype" w:hAnsi="Palatino Linotype" w:cs="Palatino Linotype"/>
          <w:sz w:val="2"/>
          <w:szCs w:val="2"/>
        </w:rPr>
      </w:pPr>
    </w:p>
    <w:p w14:paraId="08764EA0"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fecha </w:t>
      </w:r>
      <w:r>
        <w:rPr>
          <w:rFonts w:ascii="Palatino Linotype" w:eastAsia="Palatino Linotype" w:hAnsi="Palatino Linotype" w:cs="Palatino Linotype"/>
          <w:b/>
        </w:rPr>
        <w:t>nueve de febrero de dos mil veintidós,</w:t>
      </w:r>
      <w:r>
        <w:rPr>
          <w:rFonts w:ascii="Palatino Linotype" w:eastAsia="Palatino Linotype" w:hAnsi="Palatino Linotype" w:cs="Palatino Linotype"/>
        </w:rPr>
        <w:t xml:space="preserve"> el presente recurso de revisión se turnó por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 la Comisionada</w:t>
      </w:r>
      <w:r>
        <w:rPr>
          <w:rFonts w:ascii="Palatino Linotype" w:eastAsia="Palatino Linotype" w:hAnsi="Palatino Linotype" w:cs="Palatino Linotype"/>
          <w:b/>
        </w:rPr>
        <w:t xml:space="preserve"> Guadalupe Ramírez Peña, </w:t>
      </w:r>
      <w:r>
        <w:rPr>
          <w:rFonts w:ascii="Palatino Linotype" w:eastAsia="Palatino Linotype" w:hAnsi="Palatino Linotype" w:cs="Palatino Linotype"/>
        </w:rPr>
        <w:t xml:space="preserve">a efecto de que analice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3DB2F657" w14:textId="77777777" w:rsidR="00474967" w:rsidRDefault="00AB3B7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Con fecha</w:t>
      </w:r>
      <w:r>
        <w:rPr>
          <w:rFonts w:ascii="Palatino Linotype" w:eastAsia="Palatino Linotype" w:hAnsi="Palatino Linotype" w:cs="Palatino Linotype"/>
          <w:b/>
        </w:rPr>
        <w:t xml:space="preserve"> catorce de febrero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presentara su informe justificado.</w:t>
      </w:r>
    </w:p>
    <w:p w14:paraId="15A13383" w14:textId="77777777" w:rsidR="00474967" w:rsidRDefault="00AB3B72">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De las constancias que obran en el expediente electrónico que nos ocupa, se advierte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no remitió informe justificado, como se muestra en la siguiente captura de pantalla:</w:t>
      </w:r>
    </w:p>
    <w:p w14:paraId="6441DC23" w14:textId="77777777" w:rsidR="00474967" w:rsidRDefault="00AB3B72">
      <w:pPr>
        <w:widowControl w:val="0"/>
        <w:spacing w:before="240" w:after="240" w:line="360" w:lineRule="auto"/>
        <w:jc w:val="both"/>
        <w:rPr>
          <w:rFonts w:ascii="Palatino Linotype" w:eastAsia="Palatino Linotype" w:hAnsi="Palatino Linotype" w:cs="Palatino Linotype"/>
          <w:b/>
          <w:highlight w:val="yellow"/>
        </w:rPr>
      </w:pPr>
      <w:r>
        <w:rPr>
          <w:rFonts w:ascii="Palatino Linotype" w:eastAsia="Palatino Linotype" w:hAnsi="Palatino Linotype" w:cs="Palatino Linotype"/>
          <w:b/>
        </w:rPr>
        <w:lastRenderedPageBreak/>
        <w:t xml:space="preserve"> </w:t>
      </w:r>
      <w:r>
        <w:rPr>
          <w:noProof/>
        </w:rPr>
        <w:drawing>
          <wp:inline distT="0" distB="0" distL="0" distR="0" wp14:anchorId="53BDF3B7" wp14:editId="393BA3CC">
            <wp:extent cx="5561255" cy="1828200"/>
            <wp:effectExtent l="0" t="0" r="0" b="0"/>
            <wp:docPr id="10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l="5600" t="25046" r="52816" b="53832"/>
                    <a:stretch>
                      <a:fillRect/>
                    </a:stretch>
                  </pic:blipFill>
                  <pic:spPr>
                    <a:xfrm>
                      <a:off x="0" y="0"/>
                      <a:ext cx="5561255" cy="1828200"/>
                    </a:xfrm>
                    <a:prstGeom prst="rect">
                      <a:avLst/>
                    </a:prstGeom>
                    <a:ln/>
                  </pic:spPr>
                </pic:pic>
              </a:graphicData>
            </a:graphic>
          </wp:inline>
        </w:drawing>
      </w:r>
    </w:p>
    <w:p w14:paraId="4DA729B8" w14:textId="77777777" w:rsidR="00474967" w:rsidRDefault="00AB3B72">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fue omiso en expresar alegato alguno y ofrecer pruebas en el plazo establecido para tal efecto.</w:t>
      </w:r>
    </w:p>
    <w:p w14:paraId="20F84D1D" w14:textId="77777777" w:rsidR="00474967" w:rsidRDefault="00AB3B72">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rPr>
        <w:t>seis de abril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0B32022" w14:textId="77777777" w:rsidR="00474967" w:rsidRDefault="00AB3B72">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Ampliación del plazo.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 xml:space="preserve">seis de abril de dos mil veintidós </w:t>
      </w:r>
      <w:r>
        <w:rPr>
          <w:rFonts w:ascii="Palatino Linotype" w:eastAsia="Palatino Linotype" w:hAnsi="Palatino Linotype" w:cs="Palatino Linotype"/>
        </w:rPr>
        <w:t xml:space="preserve">con fundamento en el artículo 181, párrafo tercero de la Ley de Transparencia y Acceso a la Información Pública del Estado de México y Municipios, se acordó la ampliación del plazo para la resolución del presente recurso de revisión. </w:t>
      </w:r>
    </w:p>
    <w:p w14:paraId="22E4A6F3" w14:textId="77777777" w:rsidR="00474967" w:rsidRDefault="00AB3B72">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8E56FA6" w14:textId="77777777" w:rsidR="00474967" w:rsidRDefault="00474967">
      <w:pPr>
        <w:widowControl w:val="0"/>
        <w:spacing w:before="240" w:after="240" w:line="360" w:lineRule="auto"/>
        <w:jc w:val="both"/>
        <w:rPr>
          <w:rFonts w:ascii="Palatino Linotype" w:eastAsia="Palatino Linotype" w:hAnsi="Palatino Linotype" w:cs="Palatino Linotype"/>
        </w:rPr>
      </w:pPr>
    </w:p>
    <w:p w14:paraId="54F9160F" w14:textId="77777777" w:rsidR="00474967" w:rsidRDefault="00474967">
      <w:pPr>
        <w:widowControl w:val="0"/>
        <w:spacing w:before="240" w:after="240" w:line="360" w:lineRule="auto"/>
        <w:jc w:val="both"/>
        <w:rPr>
          <w:rFonts w:ascii="Palatino Linotype" w:eastAsia="Palatino Linotype" w:hAnsi="Palatino Linotype" w:cs="Palatino Linotype"/>
        </w:rPr>
      </w:pPr>
    </w:p>
    <w:p w14:paraId="72D026B8" w14:textId="77777777" w:rsidR="00474967" w:rsidRDefault="00AB3B72">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 xml:space="preserve">II. </w:t>
      </w:r>
      <w:r>
        <w:rPr>
          <w:rFonts w:ascii="Palatino Linotype" w:eastAsia="Palatino Linotype" w:hAnsi="Palatino Linotype" w:cs="Palatino Linotype"/>
          <w:b/>
        </w:rPr>
        <w:tab/>
        <w:t>C O N S I D E R A N D O S</w:t>
      </w:r>
    </w:p>
    <w:p w14:paraId="366A68EA"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b/>
        </w:rPr>
        <w:t>EL RECURRENTE</w:t>
      </w:r>
      <w:r>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2B47AD74" w14:textId="77777777" w:rsidR="00474967" w:rsidRDefault="00AB3B72">
      <w:pPr>
        <w:spacing w:before="240"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7D609D0" w14:textId="77777777" w:rsidR="00474967" w:rsidRDefault="00AB3B7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El recurso de revisión fue interpuesto por</w:t>
      </w:r>
      <w:r>
        <w:rPr>
          <w:rFonts w:ascii="Palatino Linotype" w:eastAsia="Palatino Linotype" w:hAnsi="Palatino Linotype" w:cs="Palatino Linotype"/>
          <w:b/>
        </w:rPr>
        <w:t xml:space="preserve"> EL RECURRENTE</w:t>
      </w:r>
      <w:r>
        <w:rPr>
          <w:rFonts w:ascii="Palatino Linotype" w:eastAsia="Palatino Linotype" w:hAnsi="Palatino Linotype" w:cs="Palatino Linotype"/>
        </w:rPr>
        <w:t xml:space="preserve"> dentro del plazo de quince días hábiles, previsto en el artículo 178 de la Ley de Transparencia y Acceso a la Información Pública del Estado de México y Municipios, toda vez que </w:t>
      </w:r>
      <w:r>
        <w:rPr>
          <w:rFonts w:ascii="Palatino Linotype" w:eastAsia="Palatino Linotype" w:hAnsi="Palatino Linotype" w:cs="Palatino Linotype"/>
          <w:b/>
        </w:rPr>
        <w:t xml:space="preserve">EL </w:t>
      </w:r>
      <w:r>
        <w:rPr>
          <w:rFonts w:ascii="Palatino Linotype" w:eastAsia="Palatino Linotype" w:hAnsi="Palatino Linotype" w:cs="Palatino Linotype"/>
          <w:b/>
        </w:rPr>
        <w:lastRenderedPageBreak/>
        <w:t>SUJETO OBLIGADO</w:t>
      </w:r>
      <w:r>
        <w:rPr>
          <w:rFonts w:ascii="Palatino Linotype" w:eastAsia="Palatino Linotype" w:hAnsi="Palatino Linotype" w:cs="Palatino Linotype"/>
        </w:rPr>
        <w:t xml:space="preserve"> remitió la respuesta a la solicitud de información en fecha </w:t>
      </w:r>
      <w:r>
        <w:rPr>
          <w:rFonts w:ascii="Palatino Linotype" w:eastAsia="Palatino Linotype" w:hAnsi="Palatino Linotype" w:cs="Palatino Linotype"/>
          <w:b/>
        </w:rPr>
        <w:t xml:space="preserve">nueve de febrero de dos mil veintidós, </w:t>
      </w:r>
      <w:r>
        <w:rPr>
          <w:rFonts w:ascii="Palatino Linotype" w:eastAsia="Palatino Linotype" w:hAnsi="Palatino Linotype" w:cs="Palatino Linotype"/>
        </w:rPr>
        <w:t>mientras que el recurso de revisión interpuesto por</w:t>
      </w:r>
      <w:r>
        <w:rPr>
          <w:rFonts w:ascii="Palatino Linotype" w:eastAsia="Palatino Linotype" w:hAnsi="Palatino Linotype" w:cs="Palatino Linotype"/>
          <w:b/>
        </w:rPr>
        <w:t xml:space="preserve"> EL RECURRENTE</w:t>
      </w:r>
      <w:r>
        <w:rPr>
          <w:rFonts w:ascii="Palatino Linotype" w:eastAsia="Palatino Linotype" w:hAnsi="Palatino Linotype" w:cs="Palatino Linotype"/>
        </w:rPr>
        <w:t xml:space="preserve">, se tuvo por presentado el </w:t>
      </w:r>
      <w:r>
        <w:rPr>
          <w:rFonts w:ascii="Palatino Linotype" w:eastAsia="Palatino Linotype" w:hAnsi="Palatino Linotype" w:cs="Palatino Linotype"/>
          <w:b/>
        </w:rPr>
        <w:t>mismo día,</w:t>
      </w:r>
      <w:r>
        <w:rPr>
          <w:rFonts w:ascii="Palatino Linotype" w:eastAsia="Palatino Linotype" w:hAnsi="Palatino Linotype" w:cs="Palatino Linotype"/>
        </w:rPr>
        <w:t xml:space="preserve"> en que tuvo conocimiento de la respuesta de la solicitud de información.</w:t>
      </w:r>
    </w:p>
    <w:p w14:paraId="6943661F" w14:textId="77777777" w:rsidR="00474967" w:rsidRDefault="00AB3B72">
      <w:pPr>
        <w:spacing w:before="240" w:after="240" w:line="360" w:lineRule="auto"/>
        <w:jc w:val="both"/>
        <w:rPr>
          <w:rFonts w:ascii="Palatino Linotype" w:eastAsia="Palatino Linotype" w:hAnsi="Palatino Linotype" w:cs="Palatino Linotype"/>
        </w:rPr>
      </w:pPr>
      <w:bookmarkStart w:id="2" w:name="_heading=h.1fob9te" w:colFirst="0" w:colLast="0"/>
      <w:bookmarkEnd w:id="2"/>
      <w:r>
        <w:rPr>
          <w:rFonts w:ascii="Palatino Linotype" w:eastAsia="Palatino Linotype" w:hAnsi="Palatino Linotype" w:cs="Palatino Linotype"/>
        </w:rPr>
        <w:t xml:space="preserve">En este sentido, al considerar la fecha en que se formuló la solicitud y la fecha en que respondió a ésta </w:t>
      </w:r>
      <w:r>
        <w:rPr>
          <w:rFonts w:ascii="Palatino Linotype" w:eastAsia="Palatino Linotype" w:hAnsi="Palatino Linotype" w:cs="Palatino Linotype"/>
          <w:b/>
        </w:rPr>
        <w:t>EL SUJETO OBLIGADO</w:t>
      </w:r>
      <w:r>
        <w:rPr>
          <w:rFonts w:ascii="Palatino Linotype" w:eastAsia="Palatino Linotype" w:hAnsi="Palatino Linotype" w:cs="Palatino Linotype"/>
        </w:rPr>
        <w:t>; así como la fecha en que se interpuso el recurso de revisión, se concluye que se encuentra dentro de los márgenes temporales previstos las disposiciones legales referidas.</w:t>
      </w:r>
    </w:p>
    <w:p w14:paraId="59B1B350" w14:textId="77777777" w:rsidR="00474967" w:rsidRDefault="00AB3B72">
      <w:pPr>
        <w:pBdr>
          <w:top w:val="nil"/>
          <w:left w:val="nil"/>
          <w:bottom w:val="nil"/>
          <w:right w:val="nil"/>
          <w:between w:val="nil"/>
        </w:pBdr>
        <w:spacing w:before="240" w:after="240" w:line="360" w:lineRule="auto"/>
        <w:jc w:val="both"/>
        <w:rPr>
          <w:color w:val="000000"/>
        </w:rPr>
      </w:pPr>
      <w:bookmarkStart w:id="3" w:name="_heading=h.31erikt3pce1" w:colFirst="0" w:colLast="0"/>
      <w:bookmarkEnd w:id="3"/>
      <w:r>
        <w:rPr>
          <w:rFonts w:ascii="Palatino Linotype" w:eastAsia="Palatino Linotype" w:hAnsi="Palatino Linotype" w:cs="Palatino Linotype"/>
          <w:color w:val="000000"/>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1138EE2A" w14:textId="77777777" w:rsidR="00474967" w:rsidRDefault="00AB3B72">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“RECURSO DE RECLAMACIÓN. SU INTERPOSICIÓN NO ES EXTEMPORÁNEA SI SE REALIZA ANTES DE QUE INICIE EL PLAZO PARA HACERLO</w:t>
      </w:r>
      <w:r>
        <w:rPr>
          <w:rFonts w:ascii="Palatino Linotype" w:eastAsia="Palatino Linotype" w:hAnsi="Palatino Linotype" w:cs="Palatino Linotype"/>
          <w:i/>
          <w:color w:val="000000"/>
          <w:sz w:val="22"/>
          <w:szCs w:val="22"/>
        </w:rPr>
        <w:t>.</w:t>
      </w:r>
    </w:p>
    <w:p w14:paraId="50157C87" w14:textId="77777777" w:rsidR="00474967" w:rsidRDefault="00AB3B72">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 xml:space="preserve">Conforme al artículo 104, párrafo segundo, de la Ley de Amparo, el recurso de reclamación podrá interponerse por cualquiera de las partes, por escrito, dentro </w:t>
      </w:r>
      <w:r>
        <w:rPr>
          <w:rFonts w:ascii="Palatino Linotype" w:eastAsia="Palatino Linotype" w:hAnsi="Palatino Linotype" w:cs="Palatino Linotype"/>
          <w:i/>
          <w:color w:val="000000"/>
          <w:sz w:val="22"/>
          <w:szCs w:val="22"/>
        </w:rPr>
        <w:lastRenderedPageBreak/>
        <w:t>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63571484"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también,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w:t>
      </w:r>
      <w:r>
        <w:rPr>
          <w:rFonts w:ascii="Palatino Linotype" w:eastAsia="Palatino Linotype" w:hAnsi="Palatino Linotype" w:cs="Palatino Linotype"/>
          <w:b/>
        </w:rPr>
        <w:t>SAIMEX.</w:t>
      </w:r>
    </w:p>
    <w:p w14:paraId="1EBB051D"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se advierte que resulta procedente la interposición del presente recurso, según lo manifestado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sus motivos de inconformidad, de acuerdo al artículo 179 fracción VI del ordenamiento legal citado, que a la letra dice: </w:t>
      </w:r>
    </w:p>
    <w:p w14:paraId="07BFF85D" w14:textId="77777777" w:rsidR="00474967" w:rsidRDefault="00AB3B7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AA7BE8E" w14:textId="77777777" w:rsidR="00474967" w:rsidRDefault="00AB3B7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40464552" w14:textId="77777777" w:rsidR="00474967" w:rsidRDefault="00AB3B72">
      <w:pPr>
        <w:ind w:left="273" w:firstLine="720"/>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 La entrega de información no corresponde con lo solicitado;”</w:t>
      </w:r>
    </w:p>
    <w:p w14:paraId="62DE3EAB" w14:textId="77777777" w:rsidR="00474967" w:rsidRDefault="00474967">
      <w:pPr>
        <w:ind w:left="273" w:firstLine="720"/>
        <w:rPr>
          <w:rFonts w:ascii="Palatino Linotype" w:eastAsia="Palatino Linotype" w:hAnsi="Palatino Linotype" w:cs="Palatino Linotype"/>
          <w:b/>
          <w:i/>
          <w:sz w:val="22"/>
          <w:szCs w:val="22"/>
        </w:rPr>
      </w:pPr>
    </w:p>
    <w:p w14:paraId="031704D6" w14:textId="77777777" w:rsidR="00474967" w:rsidRDefault="00AB3B72">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w:t>
      </w:r>
      <w:r>
        <w:rPr>
          <w:rFonts w:ascii="Palatino Linotype" w:eastAsia="Palatino Linotype" w:hAnsi="Palatino Linotype" w:cs="Palatino Linotype"/>
          <w:b/>
        </w:rPr>
        <w:lastRenderedPageBreak/>
        <w:t xml:space="preserve">para satisfacer el derecho de acceso a la información pública </w:t>
      </w:r>
      <w:r>
        <w:rPr>
          <w:rFonts w:ascii="Palatino Linotype" w:eastAsia="Palatino Linotype" w:hAnsi="Palatino Linotype" w:cs="Palatino Linotype"/>
        </w:rPr>
        <w:t>del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o en su defecto, en caso de ser procedente, ordenar la entrega de información oportuna.</w:t>
      </w:r>
    </w:p>
    <w:p w14:paraId="252129A3" w14:textId="77777777" w:rsidR="00474967" w:rsidRDefault="00AB3B7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00"/>
        </w:rPr>
        <w:t>Cuarto. Estudio del asunto.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44705EC" w14:textId="77777777" w:rsidR="00474967" w:rsidRDefault="00AB3B72">
      <w:pPr>
        <w:tabs>
          <w:tab w:val="left" w:pos="709"/>
        </w:tabs>
        <w:ind w:left="851" w:right="850"/>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1"/>
          <w:szCs w:val="21"/>
        </w:rPr>
        <w:t>, así como de las garantías para su protección, cuyo ejercicio no podrá restringirse ni suspenderse, salvo en los casos y bajo las condiciones que esta Constitución establece.</w:t>
      </w:r>
    </w:p>
    <w:p w14:paraId="33BADF97" w14:textId="77777777" w:rsidR="00474967" w:rsidRDefault="00AB3B72">
      <w:pPr>
        <w:tabs>
          <w:tab w:val="left" w:pos="709"/>
        </w:tabs>
        <w:ind w:left="851" w:right="850"/>
        <w:jc w:val="both"/>
        <w:rPr>
          <w:rFonts w:ascii="Palatino Linotype" w:eastAsia="Palatino Linotype" w:hAnsi="Palatino Linotype" w:cs="Palatino Linotype"/>
          <w:b/>
          <w:i/>
          <w:sz w:val="21"/>
          <w:szCs w:val="21"/>
        </w:rPr>
      </w:pPr>
      <w:r>
        <w:rPr>
          <w:rFonts w:ascii="Palatino Linotype" w:eastAsia="Palatino Linotype" w:hAnsi="Palatino Linotype" w:cs="Palatino Linotype"/>
          <w:b/>
          <w:i/>
          <w:sz w:val="21"/>
          <w:szCs w:val="21"/>
        </w:rPr>
        <w:t>Las normas relativas a los derechos humanos se interpretarán de conformidad con esta Constitución y con los tratados internacionales de la materia favoreciendo en todo tiempo a las personas la protección más amplia.</w:t>
      </w:r>
    </w:p>
    <w:p w14:paraId="232067D1" w14:textId="77777777" w:rsidR="00474967" w:rsidRDefault="00AB3B72">
      <w:pPr>
        <w:tabs>
          <w:tab w:val="left" w:pos="709"/>
        </w:tabs>
        <w:ind w:left="851" w:right="850"/>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1"/>
          <w:szCs w:val="21"/>
        </w:rPr>
        <w:t xml:space="preserve"> En consecuencia, el Estado deberá prevenir, investigar, sancionar y reparar las violaciones a los derechos humanos, en los términos que establezca la ley</w:t>
      </w:r>
    </w:p>
    <w:p w14:paraId="2D3B8D1A" w14:textId="77777777" w:rsidR="00474967" w:rsidRDefault="00AB3B72">
      <w:pPr>
        <w:tabs>
          <w:tab w:val="left" w:pos="709"/>
        </w:tabs>
        <w:ind w:left="851" w:right="850"/>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w:t>
      </w:r>
    </w:p>
    <w:p w14:paraId="60A0DF8E" w14:textId="77777777" w:rsidR="00474967" w:rsidRDefault="00AB3B72">
      <w:pPr>
        <w:ind w:left="851" w:right="90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“Artículo 6o.</w:t>
      </w:r>
    </w:p>
    <w:p w14:paraId="16AD44DF" w14:textId="77777777" w:rsidR="00474967" w:rsidRDefault="00AB3B72">
      <w:pPr>
        <w:ind w:left="851" w:right="90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w:t>
      </w:r>
    </w:p>
    <w:p w14:paraId="1037E346" w14:textId="77777777" w:rsidR="00474967" w:rsidRDefault="00AB3B72">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lastRenderedPageBreak/>
        <w:t xml:space="preserve">A. Para el ejercicio del derecho de acceso a la información, la Federación y </w:t>
      </w:r>
      <w:r>
        <w:rPr>
          <w:rFonts w:ascii="Palatino Linotype" w:eastAsia="Palatino Linotype" w:hAnsi="Palatino Linotype" w:cs="Palatino Linotype"/>
          <w:b/>
          <w:i/>
          <w:sz w:val="21"/>
          <w:szCs w:val="21"/>
          <w:u w:val="single"/>
        </w:rPr>
        <w:t>las entidades federativas</w:t>
      </w:r>
      <w:r>
        <w:rPr>
          <w:rFonts w:ascii="Palatino Linotype" w:eastAsia="Palatino Linotype" w:hAnsi="Palatino Linotype" w:cs="Palatino Linotype"/>
          <w:b/>
          <w:i/>
          <w:sz w:val="21"/>
          <w:szCs w:val="21"/>
        </w:rPr>
        <w:t>,</w:t>
      </w:r>
      <w:r>
        <w:rPr>
          <w:rFonts w:ascii="Palatino Linotype" w:eastAsia="Palatino Linotype" w:hAnsi="Palatino Linotype" w:cs="Palatino Linotype"/>
          <w:i/>
          <w:sz w:val="21"/>
          <w:szCs w:val="21"/>
        </w:rPr>
        <w:t xml:space="preserve"> en el ámbito de sus respectivas competencias, se regirán por los siguientes principios y bases:</w:t>
      </w:r>
    </w:p>
    <w:p w14:paraId="4B16BA1D" w14:textId="77777777" w:rsidR="00474967" w:rsidRDefault="00AB3B72">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41EEC187" w14:textId="77777777" w:rsidR="00474967" w:rsidRDefault="00AB3B72">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I. </w:t>
      </w:r>
      <w:r>
        <w:rPr>
          <w:rFonts w:ascii="Palatino Linotype" w:eastAsia="Palatino Linotype" w:hAnsi="Palatino Linotype" w:cs="Palatino Linotype"/>
          <w:b/>
          <w:i/>
          <w:sz w:val="21"/>
          <w:szCs w:val="21"/>
          <w:u w:val="single"/>
        </w:rPr>
        <w:t>Toda la información en posesión de cualquier autoridad, entidad, órgano y organismo de los Poderes</w:t>
      </w:r>
      <w:r>
        <w:rPr>
          <w:rFonts w:ascii="Palatino Linotype" w:eastAsia="Palatino Linotype" w:hAnsi="Palatino Linotype" w:cs="Palatino Linotype"/>
          <w:i/>
          <w:sz w:val="21"/>
          <w:szCs w:val="21"/>
        </w:rPr>
        <w:t xml:space="preserve"> Ejecutivo, Legislativo </w:t>
      </w:r>
      <w:r>
        <w:rPr>
          <w:rFonts w:ascii="Palatino Linotype" w:eastAsia="Palatino Linotype" w:hAnsi="Palatino Linotype" w:cs="Palatino Linotype"/>
          <w:b/>
          <w:i/>
          <w:sz w:val="21"/>
          <w:szCs w:val="21"/>
          <w:u w:val="single"/>
        </w:rPr>
        <w:t>y Judicial</w:t>
      </w:r>
      <w:r>
        <w:rPr>
          <w:rFonts w:ascii="Palatino Linotype" w:eastAsia="Palatino Linotype" w:hAnsi="Palatino Linotype" w:cs="Palatino Linotype"/>
          <w:i/>
          <w:sz w:val="21"/>
          <w:szCs w:val="21"/>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1"/>
          <w:szCs w:val="21"/>
        </w:rPr>
        <w:t>es pública y sólo podrá ser reservada temporalmente por razones de interés público y seguridad nacional,</w:t>
      </w:r>
      <w:r>
        <w:rPr>
          <w:rFonts w:ascii="Palatino Linotype" w:eastAsia="Palatino Linotype" w:hAnsi="Palatino Linotype" w:cs="Palatino Linotype"/>
          <w:i/>
          <w:sz w:val="21"/>
          <w:szCs w:val="21"/>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F832D75" w14:textId="77777777" w:rsidR="00474967" w:rsidRDefault="00AB3B72">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6673E467" w14:textId="77777777" w:rsidR="00474967" w:rsidRDefault="00AB3B72">
      <w:pPr>
        <w:ind w:left="851" w:right="851"/>
        <w:jc w:val="both"/>
        <w:rPr>
          <w:rFonts w:ascii="Palatino Linotype" w:eastAsia="Palatino Linotype" w:hAnsi="Palatino Linotype" w:cs="Palatino Linotype"/>
          <w:b/>
          <w:i/>
          <w:sz w:val="21"/>
          <w:szCs w:val="21"/>
        </w:rPr>
      </w:pPr>
      <w:r>
        <w:rPr>
          <w:rFonts w:ascii="Palatino Linotype" w:eastAsia="Palatino Linotype" w:hAnsi="Palatino Linotype" w:cs="Palatino Linotype"/>
          <w:b/>
          <w:i/>
          <w:sz w:val="21"/>
          <w:szCs w:val="21"/>
        </w:rPr>
        <w:t>II. La información que se refiere a la vida privada y los datos personales será protegida en los términos y con las excepciones que fijen las leyes.</w:t>
      </w:r>
    </w:p>
    <w:p w14:paraId="070E29D9" w14:textId="77777777" w:rsidR="00474967" w:rsidRDefault="00AB3B72">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456828EC" w14:textId="77777777" w:rsidR="00474967" w:rsidRDefault="00AB3B72">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III. </w:t>
      </w:r>
      <w:r>
        <w:rPr>
          <w:rFonts w:ascii="Palatino Linotype" w:eastAsia="Palatino Linotype" w:hAnsi="Palatino Linotype" w:cs="Palatino Linotype"/>
          <w:b/>
          <w:i/>
          <w:sz w:val="21"/>
          <w:szCs w:val="21"/>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1"/>
          <w:szCs w:val="21"/>
        </w:rPr>
        <w:t xml:space="preserve"> a sus datos personales o a la rectificación de éstos.</w:t>
      </w:r>
    </w:p>
    <w:p w14:paraId="47F6BD53" w14:textId="77777777" w:rsidR="00474967" w:rsidRDefault="00AB3B72">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5FC9FFF4" w14:textId="77777777" w:rsidR="00474967" w:rsidRDefault="00AB3B72">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IV. </w:t>
      </w:r>
      <w:r>
        <w:rPr>
          <w:rFonts w:ascii="Palatino Linotype" w:eastAsia="Palatino Linotype" w:hAnsi="Palatino Linotype" w:cs="Palatino Linotype"/>
          <w:i/>
          <w:sz w:val="21"/>
          <w:szCs w:val="21"/>
        </w:rPr>
        <w:t>Se establecerán mecanismos de acceso a la información y procedimientos de revisión expeditos que se sustanciarán ante los organismos autónomos especializados e imparciales que establece esta Constitución.</w:t>
      </w:r>
    </w:p>
    <w:p w14:paraId="636D1592" w14:textId="77777777" w:rsidR="00474967" w:rsidRDefault="00474967">
      <w:pPr>
        <w:ind w:left="851" w:right="851"/>
        <w:jc w:val="both"/>
        <w:rPr>
          <w:rFonts w:ascii="Palatino Linotype" w:eastAsia="Palatino Linotype" w:hAnsi="Palatino Linotype" w:cs="Palatino Linotype"/>
          <w:i/>
          <w:sz w:val="21"/>
          <w:szCs w:val="21"/>
        </w:rPr>
      </w:pPr>
    </w:p>
    <w:p w14:paraId="6AE16B63" w14:textId="77777777" w:rsidR="00474967" w:rsidRDefault="00AB3B72">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V. </w:t>
      </w:r>
      <w:r>
        <w:rPr>
          <w:rFonts w:ascii="Palatino Linotype" w:eastAsia="Palatino Linotype" w:hAnsi="Palatino Linotype" w:cs="Palatino Linotype"/>
          <w:i/>
          <w:sz w:val="21"/>
          <w:szCs w:val="21"/>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4E19DA3" w14:textId="77777777" w:rsidR="00474967" w:rsidRDefault="00AB3B72">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3E696CFA" w14:textId="77777777" w:rsidR="00474967" w:rsidRDefault="00AB3B72">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VI. </w:t>
      </w:r>
      <w:r>
        <w:rPr>
          <w:rFonts w:ascii="Palatino Linotype" w:eastAsia="Palatino Linotype" w:hAnsi="Palatino Linotype" w:cs="Palatino Linotype"/>
          <w:i/>
          <w:sz w:val="21"/>
          <w:szCs w:val="21"/>
        </w:rPr>
        <w:t>Las leyes determinarán la manera en que los sujetos obligados deberán hacer pública la información relativa a los recursos públicos que entreguen a personas físicas o morales.</w:t>
      </w:r>
    </w:p>
    <w:p w14:paraId="6D8688D6" w14:textId="77777777" w:rsidR="00474967" w:rsidRDefault="00AB3B72">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5D3C67A9" w14:textId="77777777" w:rsidR="00474967" w:rsidRDefault="00AB3B72">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VII. </w:t>
      </w:r>
      <w:r>
        <w:rPr>
          <w:rFonts w:ascii="Palatino Linotype" w:eastAsia="Palatino Linotype" w:hAnsi="Palatino Linotype" w:cs="Palatino Linotype"/>
          <w:i/>
          <w:sz w:val="21"/>
          <w:szCs w:val="21"/>
        </w:rPr>
        <w:t>La inobservancia a las disposiciones en materia de acceso a la información pública será sancionada en los términos que dispongan las leyes. [...]</w:t>
      </w:r>
    </w:p>
    <w:p w14:paraId="7161AA37" w14:textId="77777777" w:rsidR="00474967" w:rsidRDefault="00474967">
      <w:pPr>
        <w:ind w:right="851"/>
        <w:jc w:val="both"/>
        <w:rPr>
          <w:rFonts w:ascii="Palatino Linotype" w:eastAsia="Palatino Linotype" w:hAnsi="Palatino Linotype" w:cs="Palatino Linotype"/>
          <w:i/>
          <w:sz w:val="21"/>
          <w:szCs w:val="21"/>
        </w:rPr>
      </w:pPr>
    </w:p>
    <w:p w14:paraId="4ACBE86E"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0BA0A5E5" w14:textId="77777777" w:rsidR="00474967" w:rsidRDefault="00AB3B72">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D09052E" w14:textId="77777777" w:rsidR="00474967" w:rsidRDefault="00474967">
      <w:pPr>
        <w:spacing w:before="240"/>
        <w:ind w:left="709" w:right="760"/>
        <w:jc w:val="both"/>
        <w:rPr>
          <w:rFonts w:ascii="Palatino Linotype" w:eastAsia="Palatino Linotype" w:hAnsi="Palatino Linotype" w:cs="Palatino Linotype"/>
          <w:i/>
          <w:sz w:val="22"/>
          <w:szCs w:val="22"/>
        </w:rPr>
      </w:pPr>
    </w:p>
    <w:p w14:paraId="4E187806" w14:textId="77777777" w:rsidR="00474967" w:rsidRDefault="00AB3B72">
      <w:pPr>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BC14E81" w14:textId="77777777" w:rsidR="00474967" w:rsidRDefault="00474967">
      <w:pPr>
        <w:ind w:left="709" w:right="760"/>
        <w:jc w:val="both"/>
        <w:rPr>
          <w:rFonts w:ascii="Palatino Linotype" w:eastAsia="Palatino Linotype" w:hAnsi="Palatino Linotype" w:cs="Palatino Linotype"/>
          <w:b/>
          <w:i/>
          <w:sz w:val="22"/>
          <w:szCs w:val="22"/>
        </w:rPr>
      </w:pPr>
    </w:p>
    <w:p w14:paraId="61ED79E9" w14:textId="77777777" w:rsidR="00474967" w:rsidRDefault="00AB3B72">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6E6AD1AF" w14:textId="77777777" w:rsidR="00474967" w:rsidRDefault="00474967">
      <w:pPr>
        <w:jc w:val="both"/>
        <w:rPr>
          <w:rFonts w:ascii="Palatino Linotype" w:eastAsia="Palatino Linotype" w:hAnsi="Palatino Linotype" w:cs="Palatino Linotype"/>
        </w:rPr>
      </w:pPr>
    </w:p>
    <w:p w14:paraId="12FB11F3" w14:textId="77777777" w:rsidR="00474967" w:rsidRDefault="00AB3B7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4EC55FE" w14:textId="77777777" w:rsidR="00474967" w:rsidRDefault="00474967">
      <w:pPr>
        <w:jc w:val="both"/>
        <w:rPr>
          <w:rFonts w:ascii="Palatino Linotype" w:eastAsia="Palatino Linotype" w:hAnsi="Palatino Linotype" w:cs="Palatino Linotype"/>
        </w:rPr>
      </w:pPr>
    </w:p>
    <w:p w14:paraId="39ABCC63" w14:textId="77777777" w:rsidR="00474967" w:rsidRDefault="00AB3B72">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ECCC703" w14:textId="77777777" w:rsidR="00474967" w:rsidRDefault="00474967">
      <w:pPr>
        <w:ind w:left="567" w:right="758"/>
        <w:jc w:val="both"/>
        <w:rPr>
          <w:rFonts w:ascii="Palatino Linotype" w:eastAsia="Palatino Linotype" w:hAnsi="Palatino Linotype" w:cs="Palatino Linotype"/>
          <w:i/>
          <w:sz w:val="22"/>
          <w:szCs w:val="22"/>
        </w:rPr>
      </w:pPr>
    </w:p>
    <w:p w14:paraId="60FB77C8" w14:textId="77777777" w:rsidR="00474967" w:rsidRDefault="00AB3B72">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2A2F2E9D" w14:textId="77777777" w:rsidR="00474967" w:rsidRDefault="00474967">
      <w:pPr>
        <w:spacing w:line="360" w:lineRule="auto"/>
        <w:jc w:val="both"/>
        <w:rPr>
          <w:rFonts w:ascii="Palatino Linotype" w:eastAsia="Palatino Linotype" w:hAnsi="Palatino Linotype" w:cs="Palatino Linotype"/>
        </w:rPr>
      </w:pPr>
    </w:p>
    <w:p w14:paraId="6F1C19A5" w14:textId="77777777" w:rsidR="00474967" w:rsidRDefault="00AB3B72">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14:paraId="2410BC44" w14:textId="77777777" w:rsidR="00474967" w:rsidRDefault="00AB3B72">
      <w:pPr>
        <w:spacing w:before="120" w:after="240" w:line="276" w:lineRule="auto"/>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14:paraId="311330C8" w14:textId="77777777" w:rsidR="00474967" w:rsidRDefault="00AB3B72">
      <w:pPr>
        <w:spacing w:before="120" w:after="240" w:line="276" w:lineRule="auto"/>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“NO EXISTE OBLIGACIÓN DE ELABORAR DOCUMENTOS AD HOC PARA ATENDER LAS SOLICITUDES DE ACCESO A LA INFORMACIÓN.</w:t>
      </w:r>
    </w:p>
    <w:p w14:paraId="48432559" w14:textId="77777777" w:rsidR="00474967" w:rsidRDefault="00AB3B72">
      <w:pPr>
        <w:spacing w:before="120" w:after="24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52FCA61E" w14:textId="77777777" w:rsidR="00474967" w:rsidRDefault="00474967">
      <w:pPr>
        <w:spacing w:before="120" w:after="240"/>
        <w:ind w:left="1134" w:right="902"/>
        <w:jc w:val="both"/>
        <w:rPr>
          <w:rFonts w:ascii="Palatino Linotype" w:eastAsia="Palatino Linotype" w:hAnsi="Palatino Linotype" w:cs="Palatino Linotype"/>
          <w:i/>
          <w:sz w:val="20"/>
          <w:szCs w:val="20"/>
        </w:rPr>
      </w:pPr>
    </w:p>
    <w:p w14:paraId="417D9E1F" w14:textId="77777777" w:rsidR="00474967" w:rsidRDefault="00AB3B72">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B27E135" w14:textId="77777777" w:rsidR="00474967" w:rsidRDefault="00474967">
      <w:pPr>
        <w:spacing w:line="360" w:lineRule="auto"/>
        <w:jc w:val="both"/>
        <w:rPr>
          <w:rFonts w:ascii="Palatino Linotype" w:eastAsia="Palatino Linotype" w:hAnsi="Palatino Linotype" w:cs="Palatino Linotype"/>
          <w:color w:val="000000"/>
        </w:rPr>
      </w:pPr>
    </w:p>
    <w:p w14:paraId="13F76ED8" w14:textId="77777777" w:rsidR="00474967" w:rsidRDefault="00AB3B7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w:t>
      </w:r>
      <w:r>
        <w:rPr>
          <w:rFonts w:ascii="Palatino Linotype" w:eastAsia="Palatino Linotype" w:hAnsi="Palatino Linotype" w:cs="Palatino Linotype"/>
        </w:rPr>
        <w:lastRenderedPageBreak/>
        <w:t>el servidor público habilitado de cada Sujeto Obligado; como así se establece en la Ley de Transparencia y Acceso a la Información Pública del Estado de México y Municipios.</w:t>
      </w:r>
    </w:p>
    <w:p w14:paraId="16641DFA" w14:textId="77777777" w:rsidR="00474967" w:rsidRDefault="00474967">
      <w:pPr>
        <w:jc w:val="both"/>
        <w:rPr>
          <w:rFonts w:ascii="Palatino Linotype" w:eastAsia="Palatino Linotype" w:hAnsi="Palatino Linotype" w:cs="Palatino Linotype"/>
          <w:color w:val="000000"/>
        </w:rPr>
      </w:pPr>
    </w:p>
    <w:p w14:paraId="19DEBA91" w14:textId="77777777" w:rsidR="00474967" w:rsidRDefault="00AB3B7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0A80FBD" w14:textId="77777777" w:rsidR="00474967" w:rsidRDefault="00474967">
      <w:pPr>
        <w:ind w:left="1134" w:right="899"/>
        <w:jc w:val="both"/>
        <w:rPr>
          <w:rFonts w:ascii="Palatino Linotype" w:eastAsia="Palatino Linotype" w:hAnsi="Palatino Linotype" w:cs="Palatino Linotype"/>
          <w:i/>
          <w:sz w:val="22"/>
          <w:szCs w:val="22"/>
        </w:rPr>
      </w:pPr>
    </w:p>
    <w:p w14:paraId="1A708EF1" w14:textId="77777777" w:rsidR="00474967" w:rsidRDefault="00AB3B72">
      <w:pPr>
        <w:spacing w:line="276" w:lineRule="auto"/>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6B287FC0" w14:textId="77777777" w:rsidR="00474967" w:rsidRDefault="00AB3B72">
      <w:pPr>
        <w:spacing w:line="276" w:lineRule="auto"/>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BB9DE8A" w14:textId="77777777" w:rsidR="00474967" w:rsidRDefault="00AB3B72">
      <w:pPr>
        <w:spacing w:line="276" w:lineRule="auto"/>
        <w:ind w:left="1134"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w:t>
      </w:r>
      <w:r>
        <w:rPr>
          <w:rFonts w:ascii="Palatino Linotype" w:eastAsia="Palatino Linotype" w:hAnsi="Palatino Linotype" w:cs="Palatino Linotype"/>
          <w:b/>
          <w:i/>
          <w:color w:val="000000"/>
          <w:sz w:val="22"/>
          <w:szCs w:val="22"/>
        </w:rPr>
        <w:t>actas,</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749B1C49" w14:textId="77777777" w:rsidR="00474967" w:rsidRDefault="00474967">
      <w:pPr>
        <w:ind w:left="851" w:right="899"/>
        <w:jc w:val="both"/>
        <w:rPr>
          <w:rFonts w:ascii="Palatino Linotype" w:eastAsia="Palatino Linotype" w:hAnsi="Palatino Linotype" w:cs="Palatino Linotype"/>
          <w:i/>
          <w:color w:val="000000"/>
          <w:sz w:val="22"/>
          <w:szCs w:val="22"/>
        </w:rPr>
      </w:pPr>
    </w:p>
    <w:p w14:paraId="7D9919A5" w14:textId="77777777" w:rsidR="00474967" w:rsidRDefault="00AB3B7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w:t>
      </w:r>
      <w:r>
        <w:rPr>
          <w:rFonts w:ascii="Palatino Linotype" w:eastAsia="Palatino Linotype" w:hAnsi="Palatino Linotype" w:cs="Palatino Linotype"/>
        </w:rPr>
        <w:lastRenderedPageBreak/>
        <w:t>Información Pública del Estado de México y Municipios; publicado en el Periódico Oficial del Gobierno del Estado Libre y Soberano de México “Gaceta del Gobierno”, el diecinueve de octubre de dos mil once, cuyo rubro y texto refieren lo siguiente:</w:t>
      </w:r>
    </w:p>
    <w:p w14:paraId="7579DC54" w14:textId="77777777" w:rsidR="00474967" w:rsidRDefault="00474967">
      <w:pPr>
        <w:ind w:left="851" w:right="899"/>
        <w:jc w:val="both"/>
        <w:rPr>
          <w:rFonts w:ascii="Palatino Linotype" w:eastAsia="Palatino Linotype" w:hAnsi="Palatino Linotype" w:cs="Palatino Linotype"/>
        </w:rPr>
      </w:pPr>
    </w:p>
    <w:p w14:paraId="5F06796D" w14:textId="77777777" w:rsidR="00474967" w:rsidRDefault="00AB3B72">
      <w:pPr>
        <w:spacing w:line="276" w:lineRule="auto"/>
        <w:ind w:left="1134"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166D2EA1" w14:textId="77777777" w:rsidR="00474967" w:rsidRDefault="00AB3B72">
      <w:pPr>
        <w:spacing w:line="276" w:lineRule="auto"/>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A29CC5" w14:textId="77777777" w:rsidR="00474967" w:rsidRDefault="00474967">
      <w:pPr>
        <w:spacing w:line="276" w:lineRule="auto"/>
        <w:ind w:left="1134" w:right="899"/>
        <w:jc w:val="both"/>
        <w:rPr>
          <w:rFonts w:ascii="Palatino Linotype" w:eastAsia="Palatino Linotype" w:hAnsi="Palatino Linotype" w:cs="Palatino Linotype"/>
          <w:i/>
          <w:sz w:val="22"/>
          <w:szCs w:val="22"/>
        </w:rPr>
      </w:pPr>
    </w:p>
    <w:p w14:paraId="7A6519F0" w14:textId="77777777" w:rsidR="00474967" w:rsidRDefault="00AB3B72">
      <w:pPr>
        <w:spacing w:line="276" w:lineRule="auto"/>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3A10D71" w14:textId="77777777" w:rsidR="00474967" w:rsidRDefault="00474967">
      <w:pPr>
        <w:spacing w:line="276" w:lineRule="auto"/>
        <w:ind w:left="1134" w:right="899"/>
        <w:jc w:val="both"/>
        <w:rPr>
          <w:rFonts w:ascii="Palatino Linotype" w:eastAsia="Palatino Linotype" w:hAnsi="Palatino Linotype" w:cs="Palatino Linotype"/>
          <w:i/>
          <w:sz w:val="22"/>
          <w:szCs w:val="22"/>
        </w:rPr>
      </w:pPr>
    </w:p>
    <w:p w14:paraId="248D6844" w14:textId="77777777" w:rsidR="00474967" w:rsidRDefault="00AB3B72">
      <w:pPr>
        <w:numPr>
          <w:ilvl w:val="0"/>
          <w:numId w:val="5"/>
        </w:numPr>
        <w:pBdr>
          <w:top w:val="nil"/>
          <w:left w:val="nil"/>
          <w:bottom w:val="nil"/>
          <w:right w:val="nil"/>
          <w:between w:val="nil"/>
        </w:pBdr>
        <w:spacing w:line="276" w:lineRule="auto"/>
        <w:ind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5FE5C5BA" w14:textId="77777777" w:rsidR="00474967" w:rsidRDefault="00474967">
      <w:pPr>
        <w:pBdr>
          <w:top w:val="nil"/>
          <w:left w:val="nil"/>
          <w:bottom w:val="nil"/>
          <w:right w:val="nil"/>
          <w:between w:val="nil"/>
        </w:pBdr>
        <w:spacing w:line="276" w:lineRule="auto"/>
        <w:ind w:left="1494" w:right="899"/>
        <w:jc w:val="both"/>
        <w:rPr>
          <w:rFonts w:ascii="Palatino Linotype" w:eastAsia="Palatino Linotype" w:hAnsi="Palatino Linotype" w:cs="Palatino Linotype"/>
          <w:i/>
          <w:color w:val="000000"/>
          <w:sz w:val="22"/>
          <w:szCs w:val="22"/>
        </w:rPr>
      </w:pPr>
    </w:p>
    <w:p w14:paraId="0CDF6649" w14:textId="77777777" w:rsidR="00474967" w:rsidRDefault="00AB3B72">
      <w:pPr>
        <w:numPr>
          <w:ilvl w:val="0"/>
          <w:numId w:val="5"/>
        </w:numPr>
        <w:pBdr>
          <w:top w:val="nil"/>
          <w:left w:val="nil"/>
          <w:bottom w:val="nil"/>
          <w:right w:val="nil"/>
          <w:between w:val="nil"/>
        </w:pBdr>
        <w:spacing w:line="276" w:lineRule="auto"/>
        <w:ind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7163BFB4" w14:textId="77777777" w:rsidR="00474967" w:rsidRDefault="00474967">
      <w:pPr>
        <w:pBdr>
          <w:top w:val="nil"/>
          <w:left w:val="nil"/>
          <w:bottom w:val="nil"/>
          <w:right w:val="nil"/>
          <w:between w:val="nil"/>
        </w:pBdr>
        <w:spacing w:line="276" w:lineRule="auto"/>
        <w:ind w:right="899"/>
        <w:jc w:val="both"/>
        <w:rPr>
          <w:rFonts w:ascii="Palatino Linotype" w:eastAsia="Palatino Linotype" w:hAnsi="Palatino Linotype" w:cs="Palatino Linotype"/>
          <w:i/>
          <w:color w:val="000000"/>
          <w:sz w:val="22"/>
          <w:szCs w:val="22"/>
        </w:rPr>
      </w:pPr>
    </w:p>
    <w:p w14:paraId="1ABE5DA5" w14:textId="77777777" w:rsidR="00474967" w:rsidRDefault="00AB3B72">
      <w:pPr>
        <w:spacing w:line="276" w:lineRule="auto"/>
        <w:ind w:left="1418" w:right="899"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 (Sic)</w:t>
      </w:r>
    </w:p>
    <w:p w14:paraId="141B4328" w14:textId="77777777" w:rsidR="00474967" w:rsidRDefault="00474967">
      <w:pPr>
        <w:ind w:left="1134" w:right="1041"/>
        <w:jc w:val="both"/>
        <w:rPr>
          <w:rFonts w:ascii="Palatino Linotype" w:eastAsia="Palatino Linotype" w:hAnsi="Palatino Linotype" w:cs="Palatino Linotype"/>
          <w:sz w:val="22"/>
          <w:szCs w:val="22"/>
        </w:rPr>
      </w:pPr>
    </w:p>
    <w:p w14:paraId="74EC228E" w14:textId="77777777" w:rsidR="00474967" w:rsidRDefault="00AB3B72">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ahí que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14:paraId="21F6974D" w14:textId="77777777" w:rsidR="00474967" w:rsidRDefault="00AB3B72">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que, con la finalidad de ilustrar el asunto que se resuelve en la presente resolución, resulta conveniente precisar la solicitud de información y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para verificar la procedencia o improcedencia de las razones o motivos de inconformidad expuestos por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w:t>
      </w:r>
    </w:p>
    <w:p w14:paraId="0C17263D" w14:textId="77777777" w:rsidR="00474967" w:rsidRDefault="00AB3B72">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2"/>
          <w:szCs w:val="22"/>
        </w:rPr>
        <w:t xml:space="preserve">El RECURRENTE </w:t>
      </w:r>
      <w:r>
        <w:rPr>
          <w:rFonts w:ascii="Palatino Linotype" w:eastAsia="Palatino Linotype" w:hAnsi="Palatino Linotype" w:cs="Palatino Linotype"/>
          <w:color w:val="000000"/>
          <w:sz w:val="22"/>
          <w:szCs w:val="22"/>
        </w:rPr>
        <w:t>requiere en su solicitud de información: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 xml:space="preserve">“el expediente y todo lo actuado de las quejas en contra del Servidor </w:t>
      </w:r>
      <w:proofErr w:type="spellStart"/>
      <w:r>
        <w:rPr>
          <w:rFonts w:ascii="Palatino Linotype" w:eastAsia="Palatino Linotype" w:hAnsi="Palatino Linotype" w:cs="Palatino Linotype"/>
          <w:i/>
          <w:color w:val="000000"/>
        </w:rPr>
        <w:t>Publico</w:t>
      </w:r>
      <w:proofErr w:type="spellEnd"/>
      <w:r>
        <w:rPr>
          <w:rFonts w:ascii="Palatino Linotype" w:eastAsia="Palatino Linotype" w:hAnsi="Palatino Linotype" w:cs="Palatino Linotype"/>
          <w:i/>
          <w:color w:val="000000"/>
        </w:rPr>
        <w:t xml:space="preserve"> MARIA DEL ROSARIO SALAZAR REYES en el año 2019 y/o 2020 </w:t>
      </w:r>
      <w:r>
        <w:rPr>
          <w:rFonts w:ascii="Palatino Linotype" w:eastAsia="Palatino Linotype" w:hAnsi="Palatino Linotype" w:cs="Palatino Linotype"/>
          <w:i/>
          <w:color w:val="000000"/>
          <w:u w:val="single"/>
        </w:rPr>
        <w:t>radicadas en la contraloría del ayuntamiento</w:t>
      </w:r>
      <w:r>
        <w:rPr>
          <w:rFonts w:ascii="Palatino Linotype" w:eastAsia="Palatino Linotype" w:hAnsi="Palatino Linotype" w:cs="Palatino Linotype"/>
          <w:i/>
          <w:color w:val="000000"/>
        </w:rPr>
        <w:t xml:space="preserve">, así como cargos desempeñados </w:t>
      </w:r>
      <w:proofErr w:type="spellStart"/>
      <w:r>
        <w:rPr>
          <w:rFonts w:ascii="Palatino Linotype" w:eastAsia="Palatino Linotype" w:hAnsi="Palatino Linotype" w:cs="Palatino Linotype"/>
          <w:i/>
          <w:color w:val="000000"/>
        </w:rPr>
        <w:t>desempeñados</w:t>
      </w:r>
      <w:proofErr w:type="spellEnd"/>
      <w:r>
        <w:rPr>
          <w:rFonts w:ascii="Palatino Linotype" w:eastAsia="Palatino Linotype" w:hAnsi="Palatino Linotype" w:cs="Palatino Linotype"/>
          <w:i/>
          <w:color w:val="000000"/>
        </w:rPr>
        <w:t xml:space="preserve"> en el ejercicio 2019, 2020 y 2021. </w:t>
      </w:r>
      <w:r>
        <w:rPr>
          <w:rFonts w:ascii="Palatino Linotype" w:eastAsia="Palatino Linotype" w:hAnsi="Palatino Linotype" w:cs="Palatino Linotype"/>
          <w:color w:val="000000"/>
        </w:rPr>
        <w:t>(sic)</w:t>
      </w:r>
    </w:p>
    <w:p w14:paraId="6F22ADA7" w14:textId="77777777" w:rsidR="00474967" w:rsidRDefault="00AB3B72">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respuesta</w:t>
      </w:r>
      <w:r>
        <w:rPr>
          <w:rFonts w:ascii="Palatino Linotype" w:eastAsia="Palatino Linotype" w:hAnsi="Palatino Linotype" w:cs="Palatino Linotype"/>
          <w:b/>
          <w:color w:val="000000"/>
        </w:rPr>
        <w:t xml:space="preserve"> EL SUJETO OBLIGADO </w:t>
      </w:r>
      <w:r>
        <w:rPr>
          <w:rFonts w:ascii="Palatino Linotype" w:eastAsia="Palatino Linotype" w:hAnsi="Palatino Linotype" w:cs="Palatino Linotype"/>
          <w:color w:val="000000"/>
        </w:rPr>
        <w:t>agrega las siguientes documentales:</w:t>
      </w:r>
    </w:p>
    <w:p w14:paraId="206CC20D" w14:textId="77777777" w:rsidR="00474967" w:rsidRDefault="00AB3B72">
      <w:pPr>
        <w:pBdr>
          <w:top w:val="nil"/>
          <w:left w:val="nil"/>
          <w:bottom w:val="nil"/>
          <w:right w:val="nil"/>
          <w:between w:val="nil"/>
        </w:pBdr>
        <w:tabs>
          <w:tab w:val="left" w:pos="426"/>
        </w:tabs>
        <w:spacing w:before="240" w:line="360" w:lineRule="auto"/>
        <w:jc w:val="center"/>
        <w:rPr>
          <w:rFonts w:ascii="Palatino Linotype" w:eastAsia="Palatino Linotype" w:hAnsi="Palatino Linotype" w:cs="Palatino Linotype"/>
          <w:color w:val="000000"/>
        </w:rPr>
      </w:pPr>
      <w:r>
        <w:rPr>
          <w:noProof/>
        </w:rPr>
        <w:lastRenderedPageBreak/>
        <w:drawing>
          <wp:inline distT="0" distB="0" distL="0" distR="0" wp14:anchorId="4007ADAA" wp14:editId="019E2376">
            <wp:extent cx="4041132" cy="5185308"/>
            <wp:effectExtent l="0" t="0" r="0" b="0"/>
            <wp:docPr id="1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60929" t="21122" r="10895" b="14605"/>
                    <a:stretch>
                      <a:fillRect/>
                    </a:stretch>
                  </pic:blipFill>
                  <pic:spPr>
                    <a:xfrm>
                      <a:off x="0" y="0"/>
                      <a:ext cx="4041132" cy="5185308"/>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2AC30B09" wp14:editId="178B0F59">
                <wp:simplePos x="0" y="0"/>
                <wp:positionH relativeFrom="column">
                  <wp:posOffset>952500</wp:posOffset>
                </wp:positionH>
                <wp:positionV relativeFrom="paragraph">
                  <wp:posOffset>3048000</wp:posOffset>
                </wp:positionV>
                <wp:extent cx="3895725" cy="638175"/>
                <wp:effectExtent l="0" t="0" r="0" b="0"/>
                <wp:wrapNone/>
                <wp:docPr id="100" name="Rectángulo 100"/>
                <wp:cNvGraphicFramePr/>
                <a:graphic xmlns:a="http://schemas.openxmlformats.org/drawingml/2006/main">
                  <a:graphicData uri="http://schemas.microsoft.com/office/word/2010/wordprocessingShape">
                    <wps:wsp>
                      <wps:cNvSpPr/>
                      <wps:spPr>
                        <a:xfrm>
                          <a:off x="3426713" y="3489488"/>
                          <a:ext cx="3838575" cy="581025"/>
                        </a:xfrm>
                        <a:prstGeom prst="rect">
                          <a:avLst/>
                        </a:prstGeom>
                        <a:noFill/>
                        <a:ln w="28575" cap="flat" cmpd="sng">
                          <a:solidFill>
                            <a:srgbClr val="FF0000"/>
                          </a:solidFill>
                          <a:prstDash val="solid"/>
                          <a:round/>
                          <a:headEnd type="none" w="sm" len="sm"/>
                          <a:tailEnd type="none" w="sm" len="sm"/>
                        </a:ln>
                      </wps:spPr>
                      <wps:txbx>
                        <w:txbxContent>
                          <w:p w14:paraId="7EEA8CBC" w14:textId="77777777" w:rsidR="00474967" w:rsidRDefault="00474967">
                            <w:pPr>
                              <w:textDirection w:val="btLr"/>
                            </w:pPr>
                          </w:p>
                        </w:txbxContent>
                      </wps:txbx>
                      <wps:bodyPr spcFirstLastPara="1" wrap="square" lIns="91425" tIns="91425" rIns="91425" bIns="91425" anchor="ctr" anchorCtr="0">
                        <a:noAutofit/>
                      </wps:bodyPr>
                    </wps:wsp>
                  </a:graphicData>
                </a:graphic>
              </wp:anchor>
            </w:drawing>
          </mc:Choice>
          <mc:Fallback>
            <w:pict>
              <v:rect w14:anchorId="2AC30B09" id="Rectángulo 100" o:spid="_x0000_s1026" style="position:absolute;left:0;text-align:left;margin-left:75pt;margin-top:240pt;width:306.75pt;height:50.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" filled="f" strokecolor="red" strokeweight="2.25pt">
                <v:stroke startarrowwidth="narrow" startarrowlength="short" endarrowwidth="narrow" endarrowlength="short" joinstyle="round"/>
                <v:textbox inset="2.53958mm,2.53958mm,2.53958mm,2.53958mm">
                  <w:txbxContent>
                    <w:p w14:paraId="7EEA8CBC" w14:textId="77777777" w:rsidR="00474967" w:rsidRDefault="00474967">
                      <w:pPr>
                        <w:textDirection w:val="btLr"/>
                      </w:pPr>
                    </w:p>
                  </w:txbxContent>
                </v:textbox>
              </v:rect>
            </w:pict>
          </mc:Fallback>
        </mc:AlternateContent>
      </w:r>
    </w:p>
    <w:p w14:paraId="075D333C" w14:textId="77777777" w:rsidR="00474967" w:rsidRDefault="00AB3B72">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color w:val="000000"/>
        </w:rPr>
        <w:tab/>
      </w:r>
      <w:r>
        <w:rPr>
          <w:rFonts w:ascii="Palatino Linotype" w:eastAsia="Palatino Linotype" w:hAnsi="Palatino Linotype" w:cs="Palatino Linotype"/>
          <w:b/>
          <w:color w:val="000000"/>
        </w:rPr>
        <w:t>“sol 10 y 11.pdf”,</w:t>
      </w:r>
      <w:r>
        <w:rPr>
          <w:rFonts w:ascii="Palatino Linotype" w:eastAsia="Palatino Linotype" w:hAnsi="Palatino Linotype" w:cs="Palatino Linotype"/>
          <w:color w:val="000000"/>
        </w:rPr>
        <w:t xml:space="preserve"> oficio número MSJR/AQT/SA/077/2022, de fecha cuatro de febrero de dos mil veintidós, suscrito y signado por el Secretario del Ayuntamiento, en el que destaca que: </w:t>
      </w:r>
      <w:r>
        <w:rPr>
          <w:rFonts w:ascii="Palatino Linotype" w:eastAsia="Palatino Linotype" w:hAnsi="Palatino Linotype" w:cs="Palatino Linotype"/>
          <w:b/>
          <w:i/>
          <w:color w:val="000000"/>
        </w:rPr>
        <w:t>“… en los archivos de la Secretaría del Ayuntamiento, no se encuentra ningún expediente concerniente a lo solicitado, debido a que, en esta área no se llevan quejas ni se tienen los expedientes personales de los servidores públicos…</w:t>
      </w:r>
      <w:r>
        <w:rPr>
          <w:rFonts w:ascii="Palatino Linotype" w:eastAsia="Palatino Linotype" w:hAnsi="Palatino Linotype" w:cs="Palatino Linotype"/>
          <w:color w:val="000000"/>
        </w:rPr>
        <w:t>” (Sic)</w:t>
      </w:r>
    </w:p>
    <w:p w14:paraId="1D83355A" w14:textId="77777777" w:rsidR="00474967" w:rsidRDefault="00AB3B72">
      <w:pPr>
        <w:pBdr>
          <w:top w:val="nil"/>
          <w:left w:val="nil"/>
          <w:bottom w:val="nil"/>
          <w:right w:val="nil"/>
          <w:between w:val="nil"/>
        </w:pBdr>
        <w:tabs>
          <w:tab w:val="left" w:pos="426"/>
        </w:tabs>
        <w:spacing w:before="240" w:line="360" w:lineRule="auto"/>
        <w:jc w:val="center"/>
        <w:rPr>
          <w:rFonts w:ascii="Palatino Linotype" w:eastAsia="Palatino Linotype" w:hAnsi="Palatino Linotype" w:cs="Palatino Linotype"/>
          <w:b/>
          <w:color w:val="000000"/>
        </w:rPr>
      </w:pPr>
      <w:r>
        <w:rPr>
          <w:noProof/>
        </w:rPr>
        <w:lastRenderedPageBreak/>
        <w:drawing>
          <wp:inline distT="0" distB="0" distL="0" distR="0" wp14:anchorId="4CD8755A" wp14:editId="271ADFBE">
            <wp:extent cx="4840127" cy="5454355"/>
            <wp:effectExtent l="0" t="0" r="0" b="0"/>
            <wp:docPr id="10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58555" t="20820" r="8010" b="12190"/>
                    <a:stretch>
                      <a:fillRect/>
                    </a:stretch>
                  </pic:blipFill>
                  <pic:spPr>
                    <a:xfrm>
                      <a:off x="0" y="0"/>
                      <a:ext cx="4840127" cy="5454355"/>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14:anchorId="4D063651" wp14:editId="025EA768">
                <wp:simplePos x="0" y="0"/>
                <wp:positionH relativeFrom="column">
                  <wp:posOffset>457200</wp:posOffset>
                </wp:positionH>
                <wp:positionV relativeFrom="paragraph">
                  <wp:posOffset>2476500</wp:posOffset>
                </wp:positionV>
                <wp:extent cx="4838700" cy="904875"/>
                <wp:effectExtent l="0" t="0" r="0" b="0"/>
                <wp:wrapNone/>
                <wp:docPr id="99" name="Rectángulo 99"/>
                <wp:cNvGraphicFramePr/>
                <a:graphic xmlns:a="http://schemas.openxmlformats.org/drawingml/2006/main">
                  <a:graphicData uri="http://schemas.microsoft.com/office/word/2010/wordprocessingShape">
                    <wps:wsp>
                      <wps:cNvSpPr/>
                      <wps:spPr>
                        <a:xfrm>
                          <a:off x="2955225" y="3356138"/>
                          <a:ext cx="4781550" cy="847725"/>
                        </a:xfrm>
                        <a:prstGeom prst="rect">
                          <a:avLst/>
                        </a:prstGeom>
                        <a:noFill/>
                        <a:ln w="28575" cap="flat" cmpd="sng">
                          <a:solidFill>
                            <a:srgbClr val="FF0000"/>
                          </a:solidFill>
                          <a:prstDash val="solid"/>
                          <a:round/>
                          <a:headEnd type="none" w="sm" len="sm"/>
                          <a:tailEnd type="none" w="sm" len="sm"/>
                        </a:ln>
                      </wps:spPr>
                      <wps:txbx>
                        <w:txbxContent>
                          <w:p w14:paraId="56552886" w14:textId="77777777" w:rsidR="00474967" w:rsidRDefault="00474967">
                            <w:pPr>
                              <w:textDirection w:val="btLr"/>
                            </w:pPr>
                          </w:p>
                        </w:txbxContent>
                      </wps:txbx>
                      <wps:bodyPr spcFirstLastPara="1" wrap="square" lIns="91425" tIns="91425" rIns="91425" bIns="91425" anchor="ctr" anchorCtr="0">
                        <a:noAutofit/>
                      </wps:bodyPr>
                    </wps:wsp>
                  </a:graphicData>
                </a:graphic>
              </wp:anchor>
            </w:drawing>
          </mc:Choice>
          <mc:Fallback>
            <w:pict>
              <v:rect w14:anchorId="4D063651" id="Rectángulo 99" o:spid="_x0000_s1027" style="position:absolute;left:0;text-align:left;margin-left:36pt;margin-top:195pt;width:381pt;height:7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" filled="f" strokecolor="red" strokeweight="2.25pt">
                <v:stroke startarrowwidth="narrow" startarrowlength="short" endarrowwidth="narrow" endarrowlength="short" joinstyle="round"/>
                <v:textbox inset="2.53958mm,2.53958mm,2.53958mm,2.53958mm">
                  <w:txbxContent>
                    <w:p w14:paraId="56552886" w14:textId="77777777" w:rsidR="00474967" w:rsidRDefault="00474967">
                      <w:pPr>
                        <w:textDirection w:val="btLr"/>
                      </w:pPr>
                    </w:p>
                  </w:txbxContent>
                </v:textbox>
              </v:rect>
            </w:pict>
          </mc:Fallback>
        </mc:AlternateContent>
      </w:r>
    </w:p>
    <w:p w14:paraId="4DA28C25" w14:textId="77777777" w:rsidR="00474967" w:rsidRDefault="00AB3B72">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color w:val="000000"/>
        </w:rPr>
        <w:tab/>
        <w:t>“</w:t>
      </w:r>
      <w:r>
        <w:rPr>
          <w:rFonts w:ascii="Palatino Linotype" w:eastAsia="Palatino Linotype" w:hAnsi="Palatino Linotype" w:cs="Palatino Linotype"/>
          <w:b/>
          <w:color w:val="000000"/>
        </w:rPr>
        <w:t>10.pdf</w:t>
      </w:r>
      <w:r>
        <w:rPr>
          <w:rFonts w:ascii="Palatino Linotype" w:eastAsia="Palatino Linotype" w:hAnsi="Palatino Linotype" w:cs="Palatino Linotype"/>
          <w:color w:val="000000"/>
        </w:rPr>
        <w:t xml:space="preserve">”,  oficio número MSJR/AQT/DA/105/2022, de fecha nueve de febrero de dos mil veintidós, suscrito y signado por el Encargado de la Dirección de Administración, en el que informa:  </w:t>
      </w:r>
      <w:r>
        <w:rPr>
          <w:rFonts w:ascii="Palatino Linotype" w:eastAsia="Palatino Linotype" w:hAnsi="Palatino Linotype" w:cs="Palatino Linotype"/>
          <w:b/>
          <w:i/>
          <w:color w:val="000000"/>
        </w:rPr>
        <w:t xml:space="preserve">“Referente a la solicitud en la cual se pide informar los cargos que ocupo la ex servidor público María del Rosario Salazar Reyes, en los ejercicios 2019, 2020 y 2021, informo a Usted lo siguiente: - El único </w:t>
      </w:r>
      <w:r>
        <w:rPr>
          <w:rFonts w:ascii="Palatino Linotype" w:eastAsia="Palatino Linotype" w:hAnsi="Palatino Linotype" w:cs="Palatino Linotype"/>
          <w:b/>
          <w:i/>
          <w:color w:val="000000"/>
        </w:rPr>
        <w:lastRenderedPageBreak/>
        <w:t xml:space="preserve">cargo  que ocupó la persona antes mencionada durante los ejercicios 2019, 2020 y 2021, fue como responsable de Normatividad y Presupuesto, en el área de Tesorería Municipal. </w:t>
      </w:r>
      <w:r>
        <w:rPr>
          <w:rFonts w:ascii="Palatino Linotype" w:eastAsia="Palatino Linotype" w:hAnsi="Palatino Linotype" w:cs="Palatino Linotype"/>
          <w:color w:val="000000"/>
        </w:rPr>
        <w:t>..” (Sic)</w:t>
      </w:r>
    </w:p>
    <w:p w14:paraId="6FE74819" w14:textId="77777777" w:rsidR="00474967" w:rsidRDefault="00AB3B72">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rPr>
        <w:t xml:space="preserve">Inconforme con la respuesta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interpone recurso de revisión y señala como </w:t>
      </w:r>
      <w:r>
        <w:rPr>
          <w:rFonts w:ascii="Palatino Linotype" w:eastAsia="Palatino Linotype" w:hAnsi="Palatino Linotype" w:cs="Palatino Linotype"/>
          <w:color w:val="000000"/>
          <w:sz w:val="22"/>
          <w:szCs w:val="22"/>
        </w:rPr>
        <w:t xml:space="preserve">Acto Impugnado: </w:t>
      </w:r>
      <w:r>
        <w:rPr>
          <w:rFonts w:ascii="Palatino Linotype" w:eastAsia="Palatino Linotype" w:hAnsi="Palatino Linotype" w:cs="Palatino Linotype"/>
          <w:color w:val="000000"/>
        </w:rPr>
        <w:t>“</w:t>
      </w:r>
      <w:r>
        <w:rPr>
          <w:rFonts w:ascii="Palatino Linotype" w:eastAsia="Palatino Linotype" w:hAnsi="Palatino Linotype" w:cs="Palatino Linotype"/>
          <w:i/>
          <w:color w:val="000000"/>
        </w:rPr>
        <w:t>Sujeto obligado no entrega información”</w:t>
      </w:r>
      <w:r>
        <w:rPr>
          <w:rFonts w:ascii="Palatino Linotype" w:eastAsia="Palatino Linotype" w:hAnsi="Palatino Linotype" w:cs="Palatino Linotype"/>
          <w:color w:val="000000"/>
        </w:rPr>
        <w:t xml:space="preserve"> (sic), y como Razones o motivos de inconformidad: “</w:t>
      </w:r>
      <w:r>
        <w:rPr>
          <w:rFonts w:ascii="Palatino Linotype" w:eastAsia="Palatino Linotype" w:hAnsi="Palatino Linotype" w:cs="Palatino Linotype"/>
          <w:b/>
          <w:i/>
          <w:color w:val="000000"/>
          <w:u w:val="single"/>
        </w:rPr>
        <w:t>Solicito información respecto a expediente de queja radicadas en la CONTRALORÍA DEL AYUNTAMIENTO,</w:t>
      </w:r>
      <w:r>
        <w:rPr>
          <w:rFonts w:ascii="Palatino Linotype" w:eastAsia="Palatino Linotype" w:hAnsi="Palatino Linotype" w:cs="Palatino Linotype"/>
          <w:i/>
          <w:color w:val="000000"/>
        </w:rPr>
        <w:t xml:space="preserve"> NO EN LA SECRETARÍA</w:t>
      </w:r>
      <w:r>
        <w:rPr>
          <w:rFonts w:ascii="Palatino Linotype" w:eastAsia="Palatino Linotype" w:hAnsi="Palatino Linotype" w:cs="Palatino Linotype"/>
          <w:color w:val="000000"/>
        </w:rPr>
        <w:t>” (Sic</w:t>
      </w:r>
      <w:r>
        <w:rPr>
          <w:rFonts w:ascii="Palatino Linotype" w:eastAsia="Palatino Linotype" w:hAnsi="Palatino Linotype" w:cs="Palatino Linotype"/>
          <w:color w:val="000000"/>
          <w:sz w:val="22"/>
          <w:szCs w:val="22"/>
        </w:rPr>
        <w:t>)</w:t>
      </w:r>
    </w:p>
    <w:p w14:paraId="16C5CD10" w14:textId="77777777" w:rsidR="00474967" w:rsidRDefault="00474967">
      <w:pPr>
        <w:spacing w:line="360" w:lineRule="auto"/>
        <w:jc w:val="both"/>
        <w:rPr>
          <w:rFonts w:ascii="Palatino Linotype" w:eastAsia="Palatino Linotype" w:hAnsi="Palatino Linotype" w:cs="Palatino Linotype"/>
          <w:b/>
          <w:color w:val="000000"/>
          <w:sz w:val="22"/>
          <w:szCs w:val="22"/>
        </w:rPr>
      </w:pPr>
    </w:p>
    <w:p w14:paraId="3D589A88" w14:textId="77777777" w:rsidR="00474967" w:rsidRDefault="00AB3B7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durante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emitió informe justificado, asimismo se tiene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emitió alegatos, manifestaciones o pronunciamiento alguno que a su derecho conviniera, luego entonces, se tiene por precluido su derecho para tal efecto.</w:t>
      </w:r>
    </w:p>
    <w:p w14:paraId="0B2D2455" w14:textId="77777777" w:rsidR="00474967" w:rsidRDefault="00AB3B72">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rPr>
        <w:t xml:space="preserve">Por lo que, derivado de la respuesta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se inconformó, en lo medular porque: “</w:t>
      </w:r>
      <w:r>
        <w:rPr>
          <w:rFonts w:ascii="Palatino Linotype" w:eastAsia="Palatino Linotype" w:hAnsi="Palatino Linotype" w:cs="Palatino Linotype"/>
          <w:i/>
          <w:color w:val="000000"/>
          <w:sz w:val="22"/>
          <w:szCs w:val="22"/>
        </w:rPr>
        <w:t>Solicito información respecto a expediente de queja radicadas en la CONTRALORÍA DEL AYUNTAMIENTO, NO EN LA SECRETARÍA</w:t>
      </w:r>
      <w:r>
        <w:rPr>
          <w:rFonts w:ascii="Palatino Linotype" w:eastAsia="Palatino Linotype" w:hAnsi="Palatino Linotype" w:cs="Palatino Linotype"/>
          <w:color w:val="000000"/>
          <w:sz w:val="22"/>
          <w:szCs w:val="22"/>
        </w:rPr>
        <w:t>” (Sic)</w:t>
      </w:r>
    </w:p>
    <w:p w14:paraId="5DD78AF2" w14:textId="77777777" w:rsidR="00474967" w:rsidRDefault="00474967">
      <w:pPr>
        <w:spacing w:line="360" w:lineRule="auto"/>
        <w:jc w:val="both"/>
        <w:rPr>
          <w:rFonts w:ascii="Palatino Linotype" w:eastAsia="Palatino Linotype" w:hAnsi="Palatino Linotype" w:cs="Palatino Linotype"/>
        </w:rPr>
      </w:pPr>
    </w:p>
    <w:p w14:paraId="30FA5D5A" w14:textId="77777777" w:rsidR="00474967" w:rsidRDefault="00AB3B7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resulta oportuno mencionar que de los motivos de inconformidad, se advierte que,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solo se inconforma de la información correspondiente a los expedientes de queja radicados en la Contraloría del Ayuntamiento, no así en la Secretaría del Ayuntamiento, por lo que la parte de la respuesta que no fue impugnada debe declararse consentida por el hoy </w:t>
      </w:r>
      <w:r>
        <w:rPr>
          <w:rFonts w:ascii="Palatino Linotype" w:eastAsia="Palatino Linotype" w:hAnsi="Palatino Linotype" w:cs="Palatino Linotype"/>
          <w:b/>
        </w:rPr>
        <w:lastRenderedPageBreak/>
        <w:t>RECURRENTE</w:t>
      </w:r>
      <w:r>
        <w:rPr>
          <w:rFonts w:ascii="Palatino Linotype" w:eastAsia="Palatino Linotype" w:hAnsi="Palatino Linotype" w:cs="Palatino Linotype"/>
        </w:rPr>
        <w:t xml:space="preserve">, en razón de que no se realizaron manifestaciones de inconformidad, por lo que no pueden producirse efectos jurídicos tendentes a revocar, confirmar o modificar el acto reclamado ya que se infiere un consentimiento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ante la falta de impugnación eficaz. </w:t>
      </w:r>
    </w:p>
    <w:p w14:paraId="0FDC0DB4" w14:textId="77777777" w:rsidR="00474967" w:rsidRDefault="00474967">
      <w:pPr>
        <w:spacing w:line="360" w:lineRule="auto"/>
        <w:jc w:val="both"/>
        <w:rPr>
          <w:rFonts w:ascii="Palatino Linotype" w:eastAsia="Palatino Linotype" w:hAnsi="Palatino Linotype" w:cs="Palatino Linotype"/>
        </w:rPr>
      </w:pPr>
    </w:p>
    <w:p w14:paraId="08067B3A" w14:textId="77777777" w:rsidR="00474967" w:rsidRDefault="00AB3B7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7BB20276" w14:textId="77777777" w:rsidR="00474967" w:rsidRDefault="00474967">
      <w:pPr>
        <w:spacing w:line="360" w:lineRule="auto"/>
        <w:jc w:val="both"/>
        <w:rPr>
          <w:rFonts w:ascii="Palatino Linotype" w:eastAsia="Palatino Linotype" w:hAnsi="Palatino Linotype" w:cs="Palatino Linotype"/>
        </w:rPr>
      </w:pPr>
    </w:p>
    <w:p w14:paraId="77155104" w14:textId="77777777" w:rsidR="00474967" w:rsidRDefault="00AB3B72">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ACTOS CONSENTIDOS. SON LOS QUE NO SE IMPUGNAN MEDIANTE EL RECURSO IDÓNEO.</w:t>
      </w:r>
      <w:r>
        <w:rPr>
          <w:rFonts w:ascii="Palatino Linotype" w:eastAsia="Palatino Linotype" w:hAnsi="Palatino Linotype" w:cs="Palatino Linotype"/>
          <w:i/>
          <w:sz w:val="22"/>
          <w:szCs w:val="22"/>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7D1F2E1" w14:textId="77777777" w:rsidR="00474967" w:rsidRDefault="00474967">
      <w:pPr>
        <w:spacing w:line="360" w:lineRule="auto"/>
        <w:jc w:val="both"/>
        <w:rPr>
          <w:rFonts w:ascii="Palatino Linotype" w:eastAsia="Palatino Linotype" w:hAnsi="Palatino Linotype" w:cs="Palatino Linotype"/>
        </w:rPr>
      </w:pPr>
    </w:p>
    <w:p w14:paraId="1C5F4EEC" w14:textId="77777777" w:rsidR="00474967" w:rsidRDefault="00AB3B7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debido a que, cuando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impugnó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expresó razón o motivo de inconformidad en contra de todos los rubros solicitados; por lo que, debe declararse atendido pues se entiende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está conforme con la información al no contravenir la misma.</w:t>
      </w:r>
    </w:p>
    <w:p w14:paraId="0F637B85" w14:textId="77777777" w:rsidR="00474967" w:rsidRDefault="00AB3B7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Consecuentemente, la parte de la respuesta que no fue impugnada debe declararse consentida, toda vez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realizó manifestaciones de inconformidad; por lo que, no pueden producirse efectos jurídicos tendentes a </w:t>
      </w:r>
      <w:r>
        <w:rPr>
          <w:rFonts w:ascii="Palatino Linotype" w:eastAsia="Palatino Linotype" w:hAnsi="Palatino Linotype" w:cs="Palatino Linotype"/>
        </w:rPr>
        <w:lastRenderedPageBreak/>
        <w:t>revocar, confirmar o modificar el acto reclamado, ya que se infiere su consentimiento ante la falta de impugnación eficaz.</w:t>
      </w:r>
    </w:p>
    <w:p w14:paraId="7686513D" w14:textId="77777777" w:rsidR="00474967" w:rsidRDefault="00474967">
      <w:pPr>
        <w:spacing w:line="360" w:lineRule="auto"/>
        <w:jc w:val="both"/>
        <w:rPr>
          <w:rFonts w:ascii="Palatino Linotype" w:eastAsia="Palatino Linotype" w:hAnsi="Palatino Linotype" w:cs="Palatino Linotype"/>
        </w:rPr>
      </w:pPr>
    </w:p>
    <w:p w14:paraId="19E78CA5" w14:textId="77777777" w:rsidR="00474967" w:rsidRDefault="00AB3B7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Sirve como apoyo a lo anterior, por analogía, la Tesis Jurisprudencial Número 3ª./J.7/91, Publicada en el Semanario Judicial de la Federación y su Gaceta bajo el número de registro 174,177, que establece lo siguiente:</w:t>
      </w:r>
    </w:p>
    <w:p w14:paraId="630B569A" w14:textId="77777777" w:rsidR="00474967" w:rsidRDefault="00474967">
      <w:pPr>
        <w:spacing w:line="360" w:lineRule="auto"/>
        <w:jc w:val="both"/>
        <w:rPr>
          <w:rFonts w:ascii="Palatino Linotype" w:eastAsia="Palatino Linotype" w:hAnsi="Palatino Linotype" w:cs="Palatino Linotype"/>
        </w:rPr>
      </w:pPr>
    </w:p>
    <w:p w14:paraId="450648C8" w14:textId="77777777" w:rsidR="00474967" w:rsidRDefault="00AB3B72">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REVISIÓN EN AMPARO. LOS RESOLUTIVOS NO COMBATIDOS DEBEN DECLARARSE FIRMES</w:t>
      </w:r>
      <w:r>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D22FDA5" w14:textId="77777777" w:rsidR="00474967" w:rsidRDefault="00474967">
      <w:pPr>
        <w:spacing w:line="276" w:lineRule="auto"/>
        <w:rPr>
          <w:rFonts w:ascii="Palatino Linotype" w:eastAsia="Palatino Linotype" w:hAnsi="Palatino Linotype" w:cs="Palatino Linotype"/>
        </w:rPr>
      </w:pPr>
    </w:p>
    <w:p w14:paraId="62696660" w14:textId="77777777" w:rsidR="00474967" w:rsidRDefault="00AB3B72">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antes expuesto, este Instituto procede a analizar el ámbito competencial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para generar, administrar y poseer la información, tal como fue solicitada por el particular.</w:t>
      </w:r>
    </w:p>
    <w:p w14:paraId="00895D00" w14:textId="77777777" w:rsidR="00474967" w:rsidRDefault="00474967">
      <w:pPr>
        <w:spacing w:line="360" w:lineRule="auto"/>
        <w:jc w:val="both"/>
        <w:rPr>
          <w:rFonts w:ascii="Palatino Linotype" w:eastAsia="Palatino Linotype" w:hAnsi="Palatino Linotype" w:cs="Palatino Linotype"/>
          <w:color w:val="000000"/>
        </w:rPr>
      </w:pPr>
    </w:p>
    <w:p w14:paraId="30C18099" w14:textId="77777777" w:rsidR="00474967" w:rsidRDefault="00AB3B72">
      <w:pPr>
        <w:tabs>
          <w:tab w:val="left" w:pos="4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En principio, cabe recordar que la solicitud materia de la presente Resolución, versa sobre </w:t>
      </w:r>
      <w:r>
        <w:rPr>
          <w:rFonts w:ascii="Palatino Linotype" w:eastAsia="Palatino Linotype" w:hAnsi="Palatino Linotype" w:cs="Palatino Linotype"/>
          <w:b/>
          <w:color w:val="000000"/>
        </w:rPr>
        <w:t>el expediente y todo lo actuado de las quejas en contra de la Servidora Pública MARIA DEL ROSARIO SALAZAR REYES en los años 2019 y 2020, radicadas en la Contraloría del Ayuntamiento</w:t>
      </w:r>
      <w:r>
        <w:rPr>
          <w:rFonts w:ascii="Palatino Linotype" w:eastAsia="Palatino Linotype" w:hAnsi="Palatino Linotype" w:cs="Palatino Linotype"/>
        </w:rPr>
        <w:t xml:space="preserve">. </w:t>
      </w:r>
    </w:p>
    <w:p w14:paraId="0A6F3EE2" w14:textId="77777777" w:rsidR="00474967" w:rsidRDefault="00AB3B72">
      <w:pPr>
        <w:tabs>
          <w:tab w:val="left" w:pos="4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Al respecto, se advierte que en efecto sobre este punto únicamente se pronunció la Secretaría del Ayuntamiento quien manifestó que: </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i/>
          <w:color w:val="000000"/>
        </w:rPr>
        <w:t>en los archivos de la Secretaría del Ayuntamiento, no se encuentra ningún expediente concerniente a lo solicitado, debido a que, en esta área no se llevan quejas ni se tienen los expedientes personales de los servidores públicos…</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(Sic)</w:t>
      </w:r>
    </w:p>
    <w:p w14:paraId="68CC2626" w14:textId="77777777" w:rsidR="00474967" w:rsidRDefault="00474967">
      <w:pPr>
        <w:tabs>
          <w:tab w:val="left" w:pos="4962"/>
        </w:tabs>
        <w:spacing w:line="360" w:lineRule="auto"/>
        <w:jc w:val="both"/>
        <w:rPr>
          <w:rFonts w:ascii="Palatino Linotype" w:eastAsia="Palatino Linotype" w:hAnsi="Palatino Linotype" w:cs="Palatino Linotype"/>
        </w:rPr>
      </w:pPr>
    </w:p>
    <w:p w14:paraId="7AE07148" w14:textId="77777777" w:rsidR="00474967" w:rsidRDefault="00AB3B72">
      <w:pPr>
        <w:tabs>
          <w:tab w:val="left" w:pos="4962"/>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En este sentido</w:t>
      </w:r>
      <w:r>
        <w:rPr>
          <w:rFonts w:ascii="Palatino Linotype" w:eastAsia="Palatino Linotype" w:hAnsi="Palatino Linotype" w:cs="Palatino Linotype"/>
          <w:color w:val="000000"/>
        </w:rPr>
        <w:t>, resulta necesario traer a colación, los artículos 110, 111 y 112 fracciones VIII, X, XVI, XVII, XIX y XX de la Ley Orgánica Municipal del Estado de México, que señala que los Ayuntamientos establecerán las funciones de contraloría interna a través de un Órgano, en los que se destaca:</w:t>
      </w:r>
    </w:p>
    <w:p w14:paraId="0F66C7DA" w14:textId="77777777" w:rsidR="00474967" w:rsidRDefault="00474967">
      <w:pPr>
        <w:tabs>
          <w:tab w:val="left" w:pos="4962"/>
        </w:tabs>
        <w:spacing w:line="276" w:lineRule="auto"/>
        <w:ind w:left="900" w:right="918"/>
        <w:jc w:val="both"/>
        <w:rPr>
          <w:rFonts w:ascii="Palatino Linotype" w:eastAsia="Palatino Linotype" w:hAnsi="Palatino Linotype" w:cs="Palatino Linotype"/>
          <w:b/>
          <w:i/>
          <w:color w:val="000000"/>
          <w:sz w:val="22"/>
          <w:szCs w:val="22"/>
        </w:rPr>
      </w:pPr>
    </w:p>
    <w:p w14:paraId="750DB0DC" w14:textId="77777777" w:rsidR="00474967" w:rsidRDefault="00AB3B72">
      <w:pPr>
        <w:tabs>
          <w:tab w:val="left" w:pos="4962"/>
        </w:tabs>
        <w:spacing w:line="276" w:lineRule="auto"/>
        <w:ind w:left="902" w:right="91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“Artículo 1</w:t>
      </w:r>
    </w:p>
    <w:p w14:paraId="2946F0BE" w14:textId="77777777" w:rsidR="00474967" w:rsidRDefault="00AB3B72">
      <w:pPr>
        <w:tabs>
          <w:tab w:val="left" w:pos="4962"/>
        </w:tabs>
        <w:spacing w:line="276" w:lineRule="auto"/>
        <w:ind w:left="902" w:right="91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10.-</w:t>
      </w:r>
      <w:r>
        <w:rPr>
          <w:rFonts w:ascii="Palatino Linotype" w:eastAsia="Palatino Linotype" w:hAnsi="Palatino Linotype" w:cs="Palatino Linotype"/>
          <w:i/>
          <w:color w:val="000000"/>
          <w:sz w:val="22"/>
          <w:szCs w:val="22"/>
        </w:rPr>
        <w:t xml:space="preserve"> Las funciones de </w:t>
      </w:r>
      <w:r>
        <w:rPr>
          <w:rFonts w:ascii="Palatino Linotype" w:eastAsia="Palatino Linotype" w:hAnsi="Palatino Linotype" w:cs="Palatino Linotype"/>
          <w:b/>
          <w:i/>
          <w:color w:val="000000"/>
          <w:sz w:val="22"/>
          <w:szCs w:val="22"/>
        </w:rPr>
        <w:t>contraloría interna</w:t>
      </w:r>
      <w:r>
        <w:rPr>
          <w:rFonts w:ascii="Palatino Linotype" w:eastAsia="Palatino Linotype" w:hAnsi="Palatino Linotype" w:cs="Palatino Linotype"/>
          <w:i/>
          <w:color w:val="000000"/>
          <w:sz w:val="22"/>
          <w:szCs w:val="22"/>
        </w:rPr>
        <w:t xml:space="preserve"> estarán a cargo del órgano que establezca el Ayuntamiento.</w:t>
      </w:r>
    </w:p>
    <w:p w14:paraId="218E7694" w14:textId="77777777" w:rsidR="00474967" w:rsidRDefault="00474967">
      <w:pPr>
        <w:tabs>
          <w:tab w:val="left" w:pos="4962"/>
        </w:tabs>
        <w:spacing w:line="276" w:lineRule="auto"/>
        <w:ind w:left="902" w:right="919"/>
        <w:jc w:val="both"/>
        <w:rPr>
          <w:rFonts w:ascii="Palatino Linotype" w:eastAsia="Palatino Linotype" w:hAnsi="Palatino Linotype" w:cs="Palatino Linotype"/>
          <w:i/>
          <w:color w:val="000000"/>
          <w:sz w:val="22"/>
          <w:szCs w:val="22"/>
        </w:rPr>
      </w:pPr>
    </w:p>
    <w:p w14:paraId="7167BF2A" w14:textId="77777777" w:rsidR="00474967" w:rsidRDefault="00AB3B72">
      <w:pPr>
        <w:tabs>
          <w:tab w:val="left" w:pos="4962"/>
        </w:tabs>
        <w:spacing w:line="276" w:lineRule="auto"/>
        <w:ind w:left="902" w:right="91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111.-</w:t>
      </w:r>
      <w:r>
        <w:rPr>
          <w:rFonts w:ascii="Palatino Linotype" w:eastAsia="Palatino Linotype" w:hAnsi="Palatino Linotype" w:cs="Palatino Linotype"/>
          <w:i/>
          <w:color w:val="000000"/>
          <w:sz w:val="22"/>
          <w:szCs w:val="22"/>
        </w:rPr>
        <w:t xml:space="preserve"> La contraloría municipal tendrá un titular denominado Contralor, quien será designado por el ayuntamiento a propuesta del presidente municipal.</w:t>
      </w:r>
    </w:p>
    <w:p w14:paraId="341D9F53" w14:textId="77777777" w:rsidR="00474967" w:rsidRDefault="00474967">
      <w:pPr>
        <w:tabs>
          <w:tab w:val="left" w:pos="4962"/>
        </w:tabs>
        <w:spacing w:line="276" w:lineRule="auto"/>
        <w:ind w:left="902" w:right="919"/>
        <w:jc w:val="both"/>
        <w:rPr>
          <w:rFonts w:ascii="Palatino Linotype" w:eastAsia="Palatino Linotype" w:hAnsi="Palatino Linotype" w:cs="Palatino Linotype"/>
          <w:i/>
          <w:color w:val="000000"/>
          <w:sz w:val="22"/>
          <w:szCs w:val="22"/>
        </w:rPr>
      </w:pPr>
    </w:p>
    <w:p w14:paraId="6F7610BC" w14:textId="77777777" w:rsidR="00474967" w:rsidRDefault="00AB3B72">
      <w:pPr>
        <w:tabs>
          <w:tab w:val="left" w:pos="4962"/>
        </w:tabs>
        <w:spacing w:line="276" w:lineRule="auto"/>
        <w:ind w:left="902" w:right="91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112.</w:t>
      </w:r>
      <w:r>
        <w:rPr>
          <w:rFonts w:ascii="Palatino Linotype" w:eastAsia="Palatino Linotype" w:hAnsi="Palatino Linotype" w:cs="Palatino Linotype"/>
          <w:i/>
          <w:color w:val="000000"/>
          <w:sz w:val="22"/>
          <w:szCs w:val="22"/>
        </w:rPr>
        <w:t xml:space="preserve"> El órgano interno de control municipal, tendrá a su cargo las funciones siguientes:</w:t>
      </w:r>
      <w:r>
        <w:rPr>
          <w:rFonts w:ascii="Palatino Linotype" w:eastAsia="Palatino Linotype" w:hAnsi="Palatino Linotype" w:cs="Palatino Linotype"/>
          <w:b/>
          <w:i/>
          <w:color w:val="000000"/>
          <w:sz w:val="22"/>
          <w:szCs w:val="22"/>
        </w:rPr>
        <w:br/>
      </w:r>
      <w:r>
        <w:rPr>
          <w:rFonts w:ascii="Palatino Linotype" w:eastAsia="Palatino Linotype" w:hAnsi="Palatino Linotype" w:cs="Palatino Linotype"/>
          <w:i/>
          <w:color w:val="000000"/>
          <w:sz w:val="22"/>
          <w:szCs w:val="22"/>
        </w:rPr>
        <w:t xml:space="preserve"> …</w:t>
      </w:r>
    </w:p>
    <w:p w14:paraId="1F6CF77B" w14:textId="77777777" w:rsidR="00474967" w:rsidRDefault="00AB3B72">
      <w:pPr>
        <w:tabs>
          <w:tab w:val="left" w:pos="4962"/>
        </w:tabs>
        <w:spacing w:line="276" w:lineRule="auto"/>
        <w:ind w:left="902" w:right="91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VIII. Coordinarse con el Órgano Superior de Fiscalización del Estado de México y la Contraloría el Poder Legislativo y con la Secretaría de la Contraloría del Estado para el cumplimiento de sus funciones; </w:t>
      </w:r>
    </w:p>
    <w:p w14:paraId="325EF4D6" w14:textId="77777777" w:rsidR="00474967" w:rsidRDefault="00AB3B72">
      <w:pPr>
        <w:tabs>
          <w:tab w:val="left" w:pos="4962"/>
        </w:tabs>
        <w:spacing w:line="276" w:lineRule="auto"/>
        <w:ind w:left="902" w:right="91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7FE396B2" w14:textId="77777777" w:rsidR="00474967" w:rsidRDefault="00AB3B72">
      <w:pPr>
        <w:tabs>
          <w:tab w:val="left" w:pos="4962"/>
        </w:tabs>
        <w:spacing w:line="276" w:lineRule="auto"/>
        <w:ind w:left="902" w:right="91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X. </w:t>
      </w:r>
      <w:r>
        <w:rPr>
          <w:rFonts w:ascii="Palatino Linotype" w:eastAsia="Palatino Linotype" w:hAnsi="Palatino Linotype" w:cs="Palatino Linotype"/>
          <w:b/>
          <w:i/>
          <w:color w:val="000000"/>
          <w:sz w:val="22"/>
          <w:szCs w:val="22"/>
        </w:rPr>
        <w:t>Establecer y operar un sistema de atención de quejas, denuncias y sugerencias;</w:t>
      </w:r>
    </w:p>
    <w:p w14:paraId="59192C83" w14:textId="77777777" w:rsidR="00474967" w:rsidRDefault="00AB3B72">
      <w:pPr>
        <w:tabs>
          <w:tab w:val="left" w:pos="4962"/>
        </w:tabs>
        <w:spacing w:line="276" w:lineRule="auto"/>
        <w:ind w:left="902" w:right="91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35CD958D" w14:textId="77777777" w:rsidR="00474967" w:rsidRDefault="00AB3B72">
      <w:pPr>
        <w:tabs>
          <w:tab w:val="left" w:pos="4962"/>
        </w:tabs>
        <w:spacing w:line="276" w:lineRule="auto"/>
        <w:ind w:left="902" w:right="91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lastRenderedPageBreak/>
        <w:t>XVI. Verificar que los servidores públicos municipales cumplan con la obligación de presentar oportunamente la manifestación de bienes, en términos de la Ley de Responsabilidades de los Servidores Públicos del Estado y Municipios;</w:t>
      </w:r>
    </w:p>
    <w:p w14:paraId="2AEF14A5" w14:textId="77777777" w:rsidR="00474967" w:rsidRDefault="00AB3B72">
      <w:pPr>
        <w:tabs>
          <w:tab w:val="left" w:pos="4962"/>
        </w:tabs>
        <w:spacing w:line="276" w:lineRule="auto"/>
        <w:ind w:left="902" w:right="91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XVII. Hacer del conocimiento del Órgano Superior de Fiscalización del Estado de México, de las responsabilidades administrativas resarcitorias de los servidores públicos municipales, dentro de los tres días hábiles siguientes a la interposición de las mismas; y remitir los procedimientos resarcitorios, cuando así sea solicitado por el Órgano Superior, en los plazos y términos que le sean indicados por éste;</w:t>
      </w:r>
    </w:p>
    <w:p w14:paraId="30F7D04A" w14:textId="77777777" w:rsidR="00474967" w:rsidRDefault="00AB3B72">
      <w:pPr>
        <w:tabs>
          <w:tab w:val="left" w:pos="4962"/>
        </w:tabs>
        <w:spacing w:line="276" w:lineRule="auto"/>
        <w:ind w:left="902" w:right="91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w:t>
      </w:r>
    </w:p>
    <w:p w14:paraId="2DFE7243" w14:textId="77777777" w:rsidR="00474967" w:rsidRDefault="00AB3B72">
      <w:pPr>
        <w:tabs>
          <w:tab w:val="left" w:pos="4962"/>
        </w:tabs>
        <w:spacing w:line="276" w:lineRule="auto"/>
        <w:ind w:left="902" w:right="91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XIX. Vigilar el cumplimiento de los programas y acciones para la prevención, atención y en su caso, el pago de las responsabilidades económicas de los Ayuntamientos por los conflictos laborales; y</w:t>
      </w:r>
    </w:p>
    <w:p w14:paraId="157243D7" w14:textId="77777777" w:rsidR="00474967" w:rsidRDefault="00AB3B72">
      <w:pPr>
        <w:tabs>
          <w:tab w:val="left" w:pos="4962"/>
        </w:tabs>
        <w:spacing w:line="276" w:lineRule="auto"/>
        <w:ind w:left="902" w:right="91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XX. Las demás que le señalen las disposiciones relativas.”</w:t>
      </w:r>
    </w:p>
    <w:p w14:paraId="5BA15E3A" w14:textId="77777777" w:rsidR="00474967" w:rsidRDefault="00474967">
      <w:pPr>
        <w:tabs>
          <w:tab w:val="left" w:pos="4962"/>
        </w:tabs>
        <w:spacing w:line="360" w:lineRule="auto"/>
        <w:rPr>
          <w:rFonts w:ascii="Palatino Linotype" w:eastAsia="Palatino Linotype" w:hAnsi="Palatino Linotype" w:cs="Palatino Linotype"/>
          <w:color w:val="000000"/>
        </w:rPr>
      </w:pPr>
    </w:p>
    <w:p w14:paraId="58A8D014" w14:textId="77777777" w:rsidR="00474967" w:rsidRDefault="00AB3B72">
      <w:pPr>
        <w:tabs>
          <w:tab w:val="left" w:pos="4962"/>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la misma manera, en los artículos 69 y 70 del Bando Municipal de San José del Rincón de 2019, establece que los municipios, tendrán una Contraloría Municipal, como se cita a continuación:</w:t>
      </w:r>
    </w:p>
    <w:p w14:paraId="5F437684" w14:textId="77777777" w:rsidR="00474967" w:rsidRDefault="00474967">
      <w:pPr>
        <w:tabs>
          <w:tab w:val="left" w:pos="4962"/>
        </w:tabs>
        <w:jc w:val="both"/>
        <w:rPr>
          <w:rFonts w:ascii="Palatino Linotype" w:eastAsia="Palatino Linotype" w:hAnsi="Palatino Linotype" w:cs="Palatino Linotype"/>
          <w:color w:val="000000"/>
        </w:rPr>
      </w:pPr>
    </w:p>
    <w:p w14:paraId="3A268B55" w14:textId="77777777" w:rsidR="00474967" w:rsidRDefault="00AB3B72">
      <w:pPr>
        <w:tabs>
          <w:tab w:val="left" w:pos="4962"/>
        </w:tabs>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sz w:val="22"/>
          <w:szCs w:val="22"/>
        </w:rPr>
        <w:t>Artículo 69.-</w:t>
      </w:r>
      <w:r>
        <w:rPr>
          <w:rFonts w:ascii="Palatino Linotype" w:eastAsia="Palatino Linotype" w:hAnsi="Palatino Linotype" w:cs="Palatino Linotype"/>
          <w:i/>
          <w:sz w:val="22"/>
          <w:szCs w:val="22"/>
        </w:rPr>
        <w:t xml:space="preserve"> La Contraloría Municipal tendrá un titular denominado Contralor, quien será designado por el Ayuntamiento a propuesta de la Presidenta Municipal, quien deberá reunir los requisitos señalados en el artículo 32 y 113 de la Ley Orgánica Municipal. </w:t>
      </w:r>
    </w:p>
    <w:p w14:paraId="73BC0C80" w14:textId="77777777" w:rsidR="00474967" w:rsidRDefault="00474967">
      <w:pPr>
        <w:tabs>
          <w:tab w:val="left" w:pos="4962"/>
        </w:tabs>
        <w:spacing w:line="276" w:lineRule="auto"/>
        <w:ind w:left="851" w:right="900"/>
        <w:jc w:val="both"/>
        <w:rPr>
          <w:rFonts w:ascii="Palatino Linotype" w:eastAsia="Palatino Linotype" w:hAnsi="Palatino Linotype" w:cs="Palatino Linotype"/>
          <w:i/>
          <w:sz w:val="22"/>
          <w:szCs w:val="22"/>
        </w:rPr>
      </w:pPr>
    </w:p>
    <w:p w14:paraId="1038756D" w14:textId="77777777" w:rsidR="00474967" w:rsidRDefault="00AB3B72">
      <w:pPr>
        <w:tabs>
          <w:tab w:val="left" w:pos="4962"/>
        </w:tabs>
        <w:spacing w:line="276" w:lineRule="auto"/>
        <w:ind w:left="851" w:right="900"/>
        <w:jc w:val="both"/>
      </w:pPr>
      <w:r>
        <w:rPr>
          <w:rFonts w:ascii="Palatino Linotype" w:eastAsia="Palatino Linotype" w:hAnsi="Palatino Linotype" w:cs="Palatino Linotype"/>
          <w:b/>
          <w:i/>
          <w:sz w:val="22"/>
          <w:szCs w:val="22"/>
        </w:rPr>
        <w:t>Artículo 70.-</w:t>
      </w:r>
      <w:r>
        <w:rPr>
          <w:rFonts w:ascii="Palatino Linotype" w:eastAsia="Palatino Linotype" w:hAnsi="Palatino Linotype" w:cs="Palatino Linotype"/>
          <w:i/>
          <w:sz w:val="22"/>
          <w:szCs w:val="22"/>
        </w:rPr>
        <w:t xml:space="preserve"> La Contraloría Municipal, tendrá a su cargo las siguientes funciones</w:t>
      </w:r>
      <w:r>
        <w:t>:</w:t>
      </w:r>
    </w:p>
    <w:p w14:paraId="60FD91DD" w14:textId="77777777" w:rsidR="00474967" w:rsidRDefault="00AB3B72">
      <w:pPr>
        <w:tabs>
          <w:tab w:val="left" w:pos="4962"/>
        </w:tabs>
        <w:spacing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7AD1BF1F" w14:textId="77777777" w:rsidR="00474967" w:rsidRDefault="00AB3B72">
      <w:pPr>
        <w:tabs>
          <w:tab w:val="left" w:pos="4962"/>
        </w:tabs>
        <w:spacing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VIII. Coordinarse con el Órgano Superior de Fiscalización del Estado de México, con la Contraloría del Poder Legislativo y con la Secretaría de la Contraloría del Estado para el </w:t>
      </w:r>
      <w:r>
        <w:rPr>
          <w:rFonts w:ascii="Palatino Linotype" w:eastAsia="Palatino Linotype" w:hAnsi="Palatino Linotype" w:cs="Palatino Linotype"/>
          <w:b/>
          <w:i/>
          <w:color w:val="000000"/>
          <w:sz w:val="22"/>
          <w:szCs w:val="22"/>
        </w:rPr>
        <w:t>cumplimiento de sus funciones</w:t>
      </w:r>
      <w:r>
        <w:rPr>
          <w:rFonts w:ascii="Palatino Linotype" w:eastAsia="Palatino Linotype" w:hAnsi="Palatino Linotype" w:cs="Palatino Linotype"/>
          <w:i/>
          <w:color w:val="000000"/>
          <w:sz w:val="22"/>
          <w:szCs w:val="22"/>
        </w:rPr>
        <w:t>;</w:t>
      </w:r>
    </w:p>
    <w:p w14:paraId="5B9E016B" w14:textId="77777777" w:rsidR="00474967" w:rsidRDefault="00AB3B72">
      <w:pPr>
        <w:tabs>
          <w:tab w:val="left" w:pos="4962"/>
        </w:tabs>
        <w:spacing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w:t>
      </w:r>
    </w:p>
    <w:p w14:paraId="57A95B22" w14:textId="77777777" w:rsidR="00474967" w:rsidRDefault="00AB3B72">
      <w:pPr>
        <w:tabs>
          <w:tab w:val="left" w:pos="4962"/>
        </w:tabs>
        <w:spacing w:line="276" w:lineRule="auto"/>
        <w:ind w:left="851"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X. </w:t>
      </w:r>
      <w:r>
        <w:rPr>
          <w:rFonts w:ascii="Palatino Linotype" w:eastAsia="Palatino Linotype" w:hAnsi="Palatino Linotype" w:cs="Palatino Linotype"/>
          <w:b/>
          <w:i/>
          <w:color w:val="000000"/>
          <w:sz w:val="22"/>
          <w:szCs w:val="22"/>
        </w:rPr>
        <w:t xml:space="preserve">Establecer y operar un sistema de atención de denuncias; </w:t>
      </w:r>
    </w:p>
    <w:p w14:paraId="171A0B75" w14:textId="77777777" w:rsidR="00474967" w:rsidRDefault="00AB3B72">
      <w:pPr>
        <w:tabs>
          <w:tab w:val="left" w:pos="4962"/>
        </w:tabs>
        <w:spacing w:line="276" w:lineRule="auto"/>
        <w:ind w:left="851"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w:t>
      </w:r>
    </w:p>
    <w:p w14:paraId="5D3654C1" w14:textId="77777777" w:rsidR="00474967" w:rsidRDefault="00AB3B72">
      <w:pPr>
        <w:tabs>
          <w:tab w:val="left" w:pos="4962"/>
        </w:tabs>
        <w:spacing w:line="276" w:lineRule="auto"/>
        <w:ind w:left="851"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XVI. </w:t>
      </w:r>
      <w:r>
        <w:rPr>
          <w:rFonts w:ascii="Palatino Linotype" w:eastAsia="Palatino Linotype" w:hAnsi="Palatino Linotype" w:cs="Palatino Linotype"/>
          <w:b/>
          <w:i/>
          <w:color w:val="000000"/>
          <w:sz w:val="22"/>
          <w:szCs w:val="22"/>
        </w:rPr>
        <w:t>Verificar que los Servidores Públicos Municipales cumplan con la obligación de presentar oportunamente la manifestación de bienes, en términos de la Ley de Responsabilidades Administrativas del Estado de México y Municipios;</w:t>
      </w:r>
    </w:p>
    <w:p w14:paraId="085E545F" w14:textId="77777777" w:rsidR="00474967" w:rsidRDefault="00474967">
      <w:pPr>
        <w:tabs>
          <w:tab w:val="left" w:pos="4962"/>
        </w:tabs>
        <w:spacing w:line="276" w:lineRule="auto"/>
        <w:ind w:left="851" w:right="900"/>
        <w:jc w:val="both"/>
        <w:rPr>
          <w:rFonts w:ascii="Palatino Linotype" w:eastAsia="Palatino Linotype" w:hAnsi="Palatino Linotype" w:cs="Palatino Linotype"/>
          <w:i/>
          <w:color w:val="000000"/>
          <w:sz w:val="22"/>
          <w:szCs w:val="22"/>
        </w:rPr>
      </w:pPr>
    </w:p>
    <w:p w14:paraId="25D77557" w14:textId="77777777" w:rsidR="00474967" w:rsidRDefault="00AB3B72">
      <w:pPr>
        <w:tabs>
          <w:tab w:val="left" w:pos="4962"/>
        </w:tabs>
        <w:spacing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XVII. Hacer del conocimiento del Órgano Superior de Fiscalización del Estado de México, de las responsabilidades administrativas resarcitorias de los Servidores Públicos Municipales, dentro de los tres días hábiles siguientes a la interposición de las mismas; </w:t>
      </w:r>
      <w:r>
        <w:rPr>
          <w:rFonts w:ascii="Palatino Linotype" w:eastAsia="Palatino Linotype" w:hAnsi="Palatino Linotype" w:cs="Palatino Linotype"/>
          <w:b/>
          <w:i/>
          <w:color w:val="000000"/>
          <w:sz w:val="22"/>
          <w:szCs w:val="22"/>
        </w:rPr>
        <w:t>y remitir los procedimientos resarcitorios, cuando así sea solicitado por el Órgano Superior, en los plazos y términos que le sean indicados por éste</w:t>
      </w:r>
      <w:r>
        <w:rPr>
          <w:rFonts w:ascii="Palatino Linotype" w:eastAsia="Palatino Linotype" w:hAnsi="Palatino Linotype" w:cs="Palatino Linotype"/>
          <w:i/>
          <w:color w:val="000000"/>
          <w:sz w:val="22"/>
          <w:szCs w:val="22"/>
        </w:rPr>
        <w:t>;</w:t>
      </w:r>
    </w:p>
    <w:p w14:paraId="55BD4041" w14:textId="77777777" w:rsidR="00474967" w:rsidRDefault="00474967">
      <w:pPr>
        <w:tabs>
          <w:tab w:val="left" w:pos="4962"/>
        </w:tabs>
        <w:spacing w:line="276" w:lineRule="auto"/>
        <w:ind w:left="851" w:right="900"/>
        <w:jc w:val="both"/>
        <w:rPr>
          <w:rFonts w:ascii="Palatino Linotype" w:eastAsia="Palatino Linotype" w:hAnsi="Palatino Linotype" w:cs="Palatino Linotype"/>
          <w:i/>
          <w:color w:val="000000"/>
          <w:sz w:val="22"/>
          <w:szCs w:val="22"/>
        </w:rPr>
      </w:pPr>
    </w:p>
    <w:p w14:paraId="5856D98D" w14:textId="77777777" w:rsidR="00474967" w:rsidRDefault="00AB3B72">
      <w:pPr>
        <w:tabs>
          <w:tab w:val="left" w:pos="4962"/>
        </w:tabs>
        <w:spacing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XVIII. </w:t>
      </w:r>
      <w:r>
        <w:rPr>
          <w:rFonts w:ascii="Palatino Linotype" w:eastAsia="Palatino Linotype" w:hAnsi="Palatino Linotype" w:cs="Palatino Linotype"/>
          <w:b/>
          <w:i/>
          <w:color w:val="000000"/>
          <w:sz w:val="22"/>
          <w:szCs w:val="22"/>
        </w:rPr>
        <w:t>Las demás que le señalen las disposiciones relativas</w:t>
      </w: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w:t>
      </w:r>
    </w:p>
    <w:p w14:paraId="16E4CB32" w14:textId="77777777" w:rsidR="00474967" w:rsidRDefault="00474967">
      <w:pPr>
        <w:tabs>
          <w:tab w:val="left" w:pos="4962"/>
        </w:tabs>
        <w:spacing w:line="360" w:lineRule="auto"/>
        <w:jc w:val="both"/>
        <w:rPr>
          <w:rFonts w:ascii="Palatino Linotype" w:eastAsia="Palatino Linotype" w:hAnsi="Palatino Linotype" w:cs="Palatino Linotype"/>
          <w:color w:val="000000"/>
        </w:rPr>
      </w:pPr>
    </w:p>
    <w:p w14:paraId="6253EFE4" w14:textId="77777777" w:rsidR="00474967" w:rsidRDefault="00AB3B72">
      <w:pPr>
        <w:spacing w:line="360" w:lineRule="auto"/>
        <w:jc w:val="both"/>
        <w:rPr>
          <w:rFonts w:ascii="Palatino Linotype" w:eastAsia="Palatino Linotype" w:hAnsi="Palatino Linotype" w:cs="Palatino Linotype"/>
        </w:rPr>
      </w:pPr>
      <w:bookmarkStart w:id="4" w:name="_heading=h.3znysh7" w:colFirst="0" w:colLast="0"/>
      <w:bookmarkEnd w:id="4"/>
      <w:r>
        <w:rPr>
          <w:rFonts w:ascii="Palatino Linotype" w:eastAsia="Palatino Linotype" w:hAnsi="Palatino Linotype" w:cs="Palatino Linotype"/>
        </w:rPr>
        <w:t xml:space="preserve">Conforme a la normatividad analizada, se logra vislumbrar que la existencia y atribuciones de Contraloría Municipal del Ayuntamiento de </w:t>
      </w:r>
      <w:r>
        <w:rPr>
          <w:rFonts w:ascii="Palatino Linotype" w:eastAsia="Palatino Linotype" w:hAnsi="Palatino Linotype" w:cs="Palatino Linotype"/>
          <w:color w:val="000000"/>
        </w:rPr>
        <w:t>San José del Rincón,</w:t>
      </w:r>
      <w:r>
        <w:rPr>
          <w:rFonts w:ascii="Palatino Linotype" w:eastAsia="Palatino Linotype" w:hAnsi="Palatino Linotype" w:cs="Palatino Linotype"/>
        </w:rPr>
        <w:t xml:space="preserve"> la cual es competente para pronunciarse sobre la información requerida y no la Secretaría del Ayuntamiento, en virtud de que la Contraloría Municipal es la encargada de establecer y operar el sistema de atención de quejas y denuncias, así como darle trámite a los diversos procedimientos que de éstas emanen, por lo cual, la Unidad de Transparencia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debió dar cumplimiento al artículo 162 de la Ley en la Materia, y garantizar que la solicitud fuera turnada a la Contraloría Interna, que cuenta con la información o deba tenerla de acuerdo con sus facultades, funciones y atribuciones, para que esta realice una búsqueda exhaustiva y razonable de la documentación solicitada, con el fin de que </w:t>
      </w:r>
      <w:r>
        <w:rPr>
          <w:rFonts w:ascii="Palatino Linotype" w:eastAsia="Palatino Linotype" w:hAnsi="Palatino Linotype" w:cs="Palatino Linotype"/>
        </w:rPr>
        <w:lastRenderedPageBreak/>
        <w:t>proporcionen las expresiones documentales que se encuentren en sus archivos o que estén constreñidos a elaborar.</w:t>
      </w:r>
    </w:p>
    <w:p w14:paraId="4926D68B" w14:textId="77777777" w:rsidR="00474967" w:rsidRDefault="00474967">
      <w:pPr>
        <w:spacing w:line="360" w:lineRule="auto"/>
        <w:jc w:val="both"/>
        <w:rPr>
          <w:rFonts w:ascii="Palatino Linotype" w:eastAsia="Palatino Linotype" w:hAnsi="Palatino Linotype" w:cs="Palatino Linotype"/>
        </w:rPr>
      </w:pPr>
    </w:p>
    <w:p w14:paraId="72016EBB" w14:textId="77777777" w:rsidR="00474967" w:rsidRDefault="00AB3B7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cual, en atención 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realizó pronunciamiento alguno a través de su servidor público habilitado de la Contraloría Interna, en atención a la existencia o no de información en sus archivos de las quejas en contra de la Servidora Pública María del Rosario Salazar Reyes en los años 2019 y 2020, es necesario que para dar atención a la solicitud de información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tome en consideración lo siguiente: </w:t>
      </w:r>
    </w:p>
    <w:p w14:paraId="3C01ECC7" w14:textId="77777777" w:rsidR="00474967" w:rsidRDefault="00AB3B72">
      <w:pPr>
        <w:spacing w:before="240" w:after="240" w:line="360" w:lineRule="auto"/>
        <w:ind w:left="1134" w:right="900"/>
        <w:jc w:val="both"/>
        <w:rPr>
          <w:rFonts w:ascii="Palatino Linotype" w:eastAsia="Palatino Linotype" w:hAnsi="Palatino Linotype" w:cs="Palatino Linotype"/>
          <w:b/>
        </w:rPr>
      </w:pPr>
      <w:r>
        <w:rPr>
          <w:rFonts w:ascii="Noto Sans Symbols" w:eastAsia="Noto Sans Symbols" w:hAnsi="Noto Sans Symbols" w:cs="Noto Sans Symbols"/>
        </w:rPr>
        <w:t>●</w:t>
      </w:r>
      <w:r>
        <w:rPr>
          <w:sz w:val="14"/>
          <w:szCs w:val="14"/>
        </w:rPr>
        <w:t xml:space="preserve">   </w:t>
      </w:r>
      <w:r>
        <w:rPr>
          <w:rFonts w:ascii="Palatino Linotype" w:eastAsia="Palatino Linotype" w:hAnsi="Palatino Linotype" w:cs="Palatino Linotype"/>
          <w:b/>
        </w:rPr>
        <w:t xml:space="preserve">De los procedimientos administrativos de responsabilidades por faltas no graves en trámite o concluidos sin importar si fue absolutorio o condenatorio. </w:t>
      </w:r>
    </w:p>
    <w:p w14:paraId="30E5570D" w14:textId="77777777" w:rsidR="00474967" w:rsidRDefault="00AB3B72">
      <w:pPr>
        <w:spacing w:before="240" w:after="240" w:line="360" w:lineRule="auto"/>
        <w:ind w:right="40"/>
        <w:jc w:val="both"/>
        <w:rPr>
          <w:rFonts w:ascii="Palatino Linotype" w:eastAsia="Palatino Linotype" w:hAnsi="Palatino Linotype" w:cs="Palatino Linotype"/>
        </w:rPr>
      </w:pPr>
      <w:r>
        <w:rPr>
          <w:rFonts w:ascii="Palatino Linotype" w:eastAsia="Palatino Linotype" w:hAnsi="Palatino Linotype" w:cs="Palatino Linotype"/>
        </w:rPr>
        <w:t>En lo que concierne a las sanciones graves y no graves, es de mencionarse que corresponde a una de las obligaciones de transparencia común, como se desprende del artículo 92 fracción XXII de la Ley de Transparencia y Acceso a la Información Pública del Estado de México y Municipios, que señala:</w:t>
      </w:r>
    </w:p>
    <w:p w14:paraId="69494F82" w14:textId="77777777" w:rsidR="00474967" w:rsidRDefault="00AB3B72">
      <w:pPr>
        <w:spacing w:before="240" w:after="240" w:line="276"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C7C1A80" w14:textId="77777777" w:rsidR="00474967" w:rsidRDefault="00AB3B72">
      <w:pPr>
        <w:spacing w:before="240" w:after="240" w:line="276"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011660A" w14:textId="77777777" w:rsidR="00474967" w:rsidRDefault="00AB3B72">
      <w:pPr>
        <w:spacing w:before="240" w:after="240" w:line="276" w:lineRule="auto"/>
        <w:ind w:left="860" w:right="82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lastRenderedPageBreak/>
        <w:t xml:space="preserve">XXII. </w:t>
      </w:r>
      <w:r>
        <w:rPr>
          <w:rFonts w:ascii="Palatino Linotype" w:eastAsia="Palatino Linotype" w:hAnsi="Palatino Linotype" w:cs="Palatino Linotype"/>
          <w:b/>
          <w:i/>
          <w:sz w:val="22"/>
          <w:szCs w:val="22"/>
        </w:rPr>
        <w:t>El listado de Servidores Públicos con sanciones administrativas definitivas, especificando la causa de sanción y la disposición;" (Sic) (Énfasis añadido)</w:t>
      </w:r>
    </w:p>
    <w:p w14:paraId="36843053" w14:textId="77777777" w:rsidR="00474967" w:rsidRDefault="00AB3B72">
      <w:pPr>
        <w:spacing w:before="240" w:after="240" w:line="360" w:lineRule="auto"/>
        <w:ind w:right="40"/>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w:t>
      </w:r>
      <w:r>
        <w:rPr>
          <w:rFonts w:ascii="Palatino Linotype" w:eastAsia="Palatino Linotype" w:hAnsi="Palatino Linotype" w:cs="Palatino Linotype"/>
          <w:b/>
          <w:u w:val="single"/>
        </w:rPr>
        <w:t>sólo pueden ser dadas a conocer las responsabilidades administrativas</w:t>
      </w:r>
      <w:r>
        <w:rPr>
          <w:rFonts w:ascii="Palatino Linotype" w:eastAsia="Palatino Linotype" w:hAnsi="Palatino Linotype" w:cs="Palatino Linotype"/>
        </w:rPr>
        <w:t xml:space="preserve"> </w:t>
      </w:r>
      <w:r>
        <w:rPr>
          <w:rFonts w:ascii="Palatino Linotype" w:eastAsia="Palatino Linotype" w:hAnsi="Palatino Linotype" w:cs="Palatino Linotype"/>
          <w:b/>
          <w:u w:val="single"/>
        </w:rPr>
        <w:t>por faltas graves</w:t>
      </w:r>
      <w:r>
        <w:rPr>
          <w:rFonts w:ascii="Palatino Linotype" w:eastAsia="Palatino Linotype" w:hAnsi="Palatino Linotype" w:cs="Palatino Linotype"/>
        </w:rPr>
        <w:t xml:space="preserve">. Lo anterior, con motivo de la entrada en vigor de la Ley del Sistema Anticorrupción del Estado de México y Municipios publicada en el periódico oficial "Gaceta del Gobierno" el treinta de mayo de 2017, que establece que </w:t>
      </w:r>
      <w:r>
        <w:rPr>
          <w:rFonts w:ascii="Palatino Linotype" w:eastAsia="Palatino Linotype" w:hAnsi="Palatino Linotype" w:cs="Palatino Linotype"/>
          <w:b/>
          <w:u w:val="single"/>
        </w:rPr>
        <w:t>las sanciones no graves no serán públicas</w:t>
      </w:r>
      <w:r>
        <w:rPr>
          <w:rFonts w:ascii="Palatino Linotype" w:eastAsia="Palatino Linotype" w:hAnsi="Palatino Linotype" w:cs="Palatino Linotype"/>
        </w:rPr>
        <w:t>, toda vez que únicamente es de interés para los Poderes Ejecutivo, Legislativo y Judicial, los Ayuntamientos, Organismos Auxiliares, Fideicomisos Públicos y los Órganos Constitucionalmente Autónomos, en virtud de que exclusivamente se deriva de la relación entre autoridades administrativas y el titular de los datos personales, para acatar las disposiciones contenidas en el artículo 53 de la citada Ley Anticorrupción y que son de la literalidad siguiente:</w:t>
      </w:r>
    </w:p>
    <w:p w14:paraId="083EBDD1" w14:textId="77777777" w:rsidR="00474967" w:rsidRDefault="00AB3B72">
      <w:pPr>
        <w:spacing w:before="240" w:after="240" w:line="276" w:lineRule="auto"/>
        <w:ind w:left="860" w:right="8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53. Las sanciones impuestas por faltas administrativas graves serán del conocimiento público </w:t>
      </w:r>
      <w:r>
        <w:rPr>
          <w:rFonts w:ascii="Palatino Linotype" w:eastAsia="Palatino Linotype" w:hAnsi="Palatino Linotype" w:cs="Palatino Linotype"/>
          <w:b/>
          <w:i/>
          <w:sz w:val="22"/>
          <w:szCs w:val="22"/>
          <w:u w:val="single"/>
        </w:rPr>
        <w:t>cuando éstas contengan impedimentos o inhabilitaciones</w:t>
      </w:r>
      <w:r>
        <w:rPr>
          <w:rFonts w:ascii="Palatino Linotype" w:eastAsia="Palatino Linotype" w:hAnsi="Palatino Linotype" w:cs="Palatino Linotype"/>
          <w:b/>
          <w:i/>
          <w:sz w:val="22"/>
          <w:szCs w:val="22"/>
        </w:rPr>
        <w:t xml:space="preserve"> para ser contratados como servidores públicos o como prestadores de servicios o contratistas del sector público, en términos de la Ley de Responsabilidades Administrativas del Estado de México y Municipios.</w:t>
      </w:r>
    </w:p>
    <w:p w14:paraId="6A04BDFC" w14:textId="77777777" w:rsidR="00474967" w:rsidRDefault="00AB3B72">
      <w:pPr>
        <w:spacing w:before="240" w:after="240" w:line="276"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Los registros de </w:t>
      </w:r>
      <w:r>
        <w:rPr>
          <w:rFonts w:ascii="Palatino Linotype" w:eastAsia="Palatino Linotype" w:hAnsi="Palatino Linotype" w:cs="Palatino Linotype"/>
          <w:b/>
          <w:i/>
          <w:sz w:val="22"/>
          <w:szCs w:val="22"/>
          <w:u w:val="single"/>
        </w:rPr>
        <w:t>las sanciones relativas a responsabilidades administrativas no graves, quedarán registradas para efectos de eventual reincidencia, pero no serán públicas.</w:t>
      </w:r>
      <w:r>
        <w:rPr>
          <w:rFonts w:ascii="Palatino Linotype" w:eastAsia="Palatino Linotype" w:hAnsi="Palatino Linotype" w:cs="Palatino Linotype"/>
          <w:i/>
          <w:sz w:val="22"/>
          <w:szCs w:val="22"/>
        </w:rPr>
        <w:t>” (Sic) (Énfasis añadido)</w:t>
      </w:r>
    </w:p>
    <w:p w14:paraId="52F95C30" w14:textId="77777777" w:rsidR="00474967" w:rsidRDefault="00AB3B72">
      <w:pPr>
        <w:spacing w:before="240" w:after="240" w:line="360" w:lineRule="auto"/>
        <w:ind w:right="40"/>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es importante, referir que la Ley de Responsabilidades Administrativas del Estado de México y Municipios, señala que incurrirá en una </w:t>
      </w:r>
      <w:r>
        <w:rPr>
          <w:rFonts w:ascii="Palatino Linotype" w:eastAsia="Palatino Linotype" w:hAnsi="Palatino Linotype" w:cs="Palatino Linotype"/>
        </w:rPr>
        <w:lastRenderedPageBreak/>
        <w:t>falta administrativa no grave, aquellos servidores públicos cuyos actos y omisiones incumplan o transgredan el cumplimiento de sus funciones, atribuciones o comisiones, la atención de instrucciones, presentar en tiempo y forma las declaraciones de situación patrimonial y de intereses, el cuidado de documentación, la rendición de cuentas sobre el ejercicio de sus funciones, entre otras.</w:t>
      </w:r>
    </w:p>
    <w:p w14:paraId="43529001"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Como se logra observar, las faltas no graves, son aquellas que cometen los servidores públicos por incumplimiento a sus funciones, o bien, a sus obligaciones y, por lo tanto, las consecuencias recaen directamente en contra de este, al no haber una afectación a terceros (</w:t>
      </w:r>
      <w:r>
        <w:rPr>
          <w:rFonts w:ascii="Palatino Linotype" w:eastAsia="Palatino Linotype" w:hAnsi="Palatino Linotype" w:cs="Palatino Linotype"/>
          <w:i/>
        </w:rPr>
        <w:t>personas físicas, morales, instituciones públicas u otros trabajadores</w:t>
      </w:r>
      <w:r>
        <w:rPr>
          <w:rFonts w:ascii="Palatino Linotype" w:eastAsia="Palatino Linotype" w:hAnsi="Palatino Linotype" w:cs="Palatino Linotype"/>
        </w:rPr>
        <w:t>), ni haber un detrimento en el erario.</w:t>
      </w:r>
    </w:p>
    <w:p w14:paraId="516B45C9"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Así, se puede advertir que dichas faltas, no tienen una trascendencia social, </w:t>
      </w:r>
      <w:r>
        <w:rPr>
          <w:rFonts w:ascii="Palatino Linotype" w:eastAsia="Palatino Linotype" w:hAnsi="Palatino Linotype" w:cs="Palatino Linotype"/>
        </w:rPr>
        <w:t>pues no existe un daño externo, sino que únicamente le atañe al servidor público en cuestión.</w:t>
      </w:r>
    </w:p>
    <w:p w14:paraId="1B611E8B"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expuesto, se desprende que dar a conocer el nombre del servidor público de un procedimiento de responsabilidad administrativa no grave, constituye información confidencial que afecta su esfera privada, puesto que podría generar una percepción negativa de este, ocasionando un perjuicio en su </w:t>
      </w:r>
      <w:r>
        <w:rPr>
          <w:rFonts w:ascii="Palatino Linotype" w:eastAsia="Palatino Linotype" w:hAnsi="Palatino Linotype" w:cs="Palatino Linotype"/>
          <w:b/>
        </w:rPr>
        <w:t>honor, intimidad y buena imagen</w:t>
      </w:r>
      <w:r>
        <w:rPr>
          <w:rFonts w:ascii="Palatino Linotype" w:eastAsia="Palatino Linotype" w:hAnsi="Palatino Linotype" w:cs="Palatino Linotype"/>
        </w:rPr>
        <w:t>, pues como se precisó la afectación es para el propio servidor público, situación que no afecta a terceros.</w:t>
      </w:r>
    </w:p>
    <w:p w14:paraId="77DD6AE6"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cual, dar a conocer el nombre y cargo del servidor público, así como la sanción  que haya recibido por una falta administrativa no grave, la cual no causa una </w:t>
      </w:r>
      <w:r>
        <w:rPr>
          <w:rFonts w:ascii="Palatino Linotype" w:eastAsia="Palatino Linotype" w:hAnsi="Palatino Linotype" w:cs="Palatino Linotype"/>
        </w:rPr>
        <w:lastRenderedPageBreak/>
        <w:t xml:space="preserve">afectación a otros, pues como se precisó en párrafos anteriores, se trata de incumplimientos a sus funciones u obligaciones, podría generar un juicio </w:t>
      </w:r>
      <w:r>
        <w:rPr>
          <w:rFonts w:ascii="Palatino Linotype" w:eastAsia="Palatino Linotype" w:hAnsi="Palatino Linotype" w:cs="Palatino Linotype"/>
          <w:i/>
        </w:rPr>
        <w:t>a priori</w:t>
      </w:r>
      <w:r>
        <w:rPr>
          <w:rFonts w:ascii="Palatino Linotype" w:eastAsia="Palatino Linotype" w:hAnsi="Palatino Linotype" w:cs="Palatino Linotype"/>
        </w:rPr>
        <w:t xml:space="preserve"> por parte de la sociedad, afectando su prestigio y su buen nombre, pues esto podría causar una mala percepción del servidor público frente a la sociedad, </w:t>
      </w:r>
      <w:r>
        <w:rPr>
          <w:rFonts w:ascii="Palatino Linotype" w:eastAsia="Palatino Linotype" w:hAnsi="Palatino Linotype" w:cs="Palatino Linotype"/>
          <w:b/>
        </w:rPr>
        <w:t>lo cual daña su vida privada y profesional,</w:t>
      </w:r>
      <w:r>
        <w:rPr>
          <w:rFonts w:ascii="Palatino Linotype" w:eastAsia="Palatino Linotype" w:hAnsi="Palatino Linotype" w:cs="Palatino Linotype"/>
        </w:rPr>
        <w:t xml:space="preserve"> mismas que forman parte de su intimidad; por lo que se concluye que dicha información, en caso de que existiera, tiene el carácter de confidencial.</w:t>
      </w:r>
    </w:p>
    <w:p w14:paraId="045AE06F" w14:textId="77777777" w:rsidR="00474967" w:rsidRDefault="00AB3B72">
      <w:pPr>
        <w:numPr>
          <w:ilvl w:val="0"/>
          <w:numId w:val="3"/>
        </w:numPr>
        <w:pBdr>
          <w:top w:val="nil"/>
          <w:left w:val="nil"/>
          <w:bottom w:val="nil"/>
          <w:right w:val="nil"/>
          <w:between w:val="nil"/>
        </w:pBdr>
        <w:spacing w:before="240" w:line="360" w:lineRule="auto"/>
        <w:ind w:left="1134" w:right="90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De los procedimientos sobre faltas administrativas graves que se encuentren en trámite.</w:t>
      </w:r>
    </w:p>
    <w:p w14:paraId="2D60C4F0" w14:textId="77777777" w:rsidR="00474967" w:rsidRDefault="00474967">
      <w:pPr>
        <w:pBdr>
          <w:top w:val="nil"/>
          <w:left w:val="nil"/>
          <w:bottom w:val="nil"/>
          <w:right w:val="nil"/>
          <w:between w:val="nil"/>
        </w:pBdr>
        <w:spacing w:line="360" w:lineRule="auto"/>
        <w:ind w:left="1134" w:right="900"/>
        <w:jc w:val="both"/>
        <w:rPr>
          <w:rFonts w:ascii="Palatino Linotype" w:eastAsia="Palatino Linotype" w:hAnsi="Palatino Linotype" w:cs="Palatino Linotype"/>
          <w:b/>
          <w:color w:val="000000"/>
        </w:rPr>
      </w:pPr>
    </w:p>
    <w:p w14:paraId="746FF105" w14:textId="77777777" w:rsidR="00474967" w:rsidRDefault="00AB3B72">
      <w:pPr>
        <w:spacing w:after="240" w:line="360" w:lineRule="auto"/>
        <w:ind w:right="40"/>
        <w:jc w:val="both"/>
        <w:rPr>
          <w:rFonts w:ascii="Palatino Linotype" w:eastAsia="Palatino Linotype" w:hAnsi="Palatino Linotype" w:cs="Palatino Linotype"/>
        </w:rPr>
      </w:pPr>
      <w:r>
        <w:rPr>
          <w:rFonts w:ascii="Palatino Linotype" w:eastAsia="Palatino Linotype" w:hAnsi="Palatino Linotype" w:cs="Palatino Linotype"/>
        </w:rPr>
        <w:t>Respecto a los procedimientos sobre faltas administrativas graves que se encuentren en trámite, esto es que no hayan causado estado, se estima que se trata de información que debe ser clasificada como reservada, porque de revelarse la información se atenta contra el principio de presunción de inocencia que debe seguirse en la administración de la justicia, conforme a lo que enseguida se razona.</w:t>
      </w:r>
    </w:p>
    <w:p w14:paraId="057E31C0" w14:textId="77777777" w:rsidR="00474967" w:rsidRDefault="00AB3B72">
      <w:pPr>
        <w:spacing w:before="240" w:after="240" w:line="360" w:lineRule="auto"/>
        <w:ind w:right="40"/>
        <w:jc w:val="both"/>
        <w:rPr>
          <w:rFonts w:ascii="Palatino Linotype" w:eastAsia="Palatino Linotype" w:hAnsi="Palatino Linotype" w:cs="Palatino Linotype"/>
        </w:rPr>
      </w:pPr>
      <w:r>
        <w:rPr>
          <w:rFonts w:ascii="Palatino Linotype" w:eastAsia="Palatino Linotype" w:hAnsi="Palatino Linotype" w:cs="Palatino Linotype"/>
        </w:rPr>
        <w:t>La Suprema Corte de Justicia de la Nación resolvió en la contradicción de tesis 200/2013 que en los procedimientos de responsabilidad administrativa es aplicable el principio de presunción de inocencia con sus respectivos matices. En la resolución son de interés los siguientes argumentos:</w:t>
      </w:r>
    </w:p>
    <w:p w14:paraId="554739A3" w14:textId="77777777" w:rsidR="00474967" w:rsidRDefault="00AB3B72">
      <w:pPr>
        <w:spacing w:before="240" w:after="240" w:line="360" w:lineRule="auto"/>
        <w:ind w:left="860" w:right="8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La Constitución Federal reconoce el estado o condición de inocencia de los gobernados, razón por la cual lo protege a través del derecho de toda persona a que </w:t>
      </w:r>
      <w:r>
        <w:rPr>
          <w:rFonts w:ascii="Palatino Linotype" w:eastAsia="Palatino Linotype" w:hAnsi="Palatino Linotype" w:cs="Palatino Linotype"/>
          <w:i/>
          <w:sz w:val="22"/>
          <w:szCs w:val="22"/>
        </w:rPr>
        <w:lastRenderedPageBreak/>
        <w:t>se presuma su inocencia, lo que significa que todo hombre debe ser tratado con tal calidad -inocente- hasta en tanto no se demuestre lo contrario.</w:t>
      </w:r>
    </w:p>
    <w:p w14:paraId="287B0678" w14:textId="77777777" w:rsidR="00474967" w:rsidRDefault="00AB3B72">
      <w:pPr>
        <w:spacing w:before="240" w:after="240" w:line="360" w:lineRule="auto"/>
        <w:ind w:left="860" w:right="8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La presunción de inocencia se resguarda en el texto constitucional como derecho fundamental a favor de toda persona, con base en el cual se exige que para toda autoridad y ante el procedimiento al que se le sujete, no se estimen verosímiles los cargos atribuidos al gobernado respecto a la comisión de delitos, salvo decisión contraria emitida por un tribunal, dentro de la observancia del debido proceso.</w:t>
      </w:r>
    </w:p>
    <w:p w14:paraId="12B404C9" w14:textId="77777777" w:rsidR="00474967" w:rsidRDefault="00AB3B72">
      <w:pPr>
        <w:spacing w:before="240" w:after="240" w:line="360" w:lineRule="auto"/>
        <w:ind w:left="860" w:right="8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Este principio tendrá eficaz aplicación, sólo cuando el gobernado se enfrente a una acusación, cuyo propósito ha de ser el límite a la potestad represiva del Estado en ejercicio de su derecho punitivo, así se concebirá también a nuestro objeto de estudio como una garantía procesal a favor del imputado, dentro de todo enjuiciamiento o procedimiento del orden administrativo.</w:t>
      </w:r>
    </w:p>
    <w:p w14:paraId="1F2848AC"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Se sigue que, el principio de presunción de inocencia tiene tres significados garantistas que en forma breve pueden enunciarse de la siguiente forma:</w:t>
      </w:r>
    </w:p>
    <w:p w14:paraId="6778A40E" w14:textId="77777777" w:rsidR="00474967" w:rsidRDefault="00AB3B72">
      <w:pPr>
        <w:spacing w:before="240" w:after="24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Primero. Como una regla probatoria, que impone la carga de la prueba para quien acusa y, por ende, la absolución en caso de duda.</w:t>
      </w:r>
    </w:p>
    <w:p w14:paraId="1A3AA86C" w14:textId="77777777" w:rsidR="00474967" w:rsidRDefault="00AB3B72">
      <w:pPr>
        <w:spacing w:before="240" w:after="24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Segundo. Como una regla de tratamiento del acusado, que excluye o restringe al máximo la limitación de sus derechos fundamentales, sobre todo los que inciden en su libertad personal, con motivo del proceso que se instaura en su contra.</w:t>
      </w:r>
    </w:p>
    <w:p w14:paraId="575BE9F6" w14:textId="77777777" w:rsidR="00474967" w:rsidRDefault="00AB3B72">
      <w:pPr>
        <w:spacing w:before="240" w:after="24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lastRenderedPageBreak/>
        <w:t>Tercero. Como una regla de juicio, que ordena a los jueces la absolución de los inculpados cuando durante el proceso no se aportaron pruebas de cargo suficientes.</w:t>
      </w:r>
    </w:p>
    <w:p w14:paraId="7C2B5B14"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vista de lo anterior, este Instituto estima que en el derecho disciplinario que se sigue ante el órgano contralor del Municipio a los servidores públicos en los casos que se presenta una denuncia, es aplicable la regla garantista de presunción de inocencia.</w:t>
      </w:r>
    </w:p>
    <w:p w14:paraId="265210DE"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todo servidor público en su carácter de -presunto infractor- tiene el derecho, como regla de tratamiento en el proceso, a que se le trate en carácter de inocente hasta que no se emita una resolución firme.</w:t>
      </w:r>
    </w:p>
    <w:p w14:paraId="355DDF34"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La relación que guarda el principio de presunción de inocencia con el derecho de acceso a la información se da en dos variantes: (i) la conservación de información que no vicie las reglas y principios de administración de justicia y (ii) conservar la reputación de las personas que aún no se les ha comprobado con plenitud haber realizado alguna infracción.</w:t>
      </w:r>
    </w:p>
    <w:p w14:paraId="6D489D76"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 más detenimiento, la primera premisa es que de revelarse la información de las personas a quienes se les ha iniciado un procedimiento administrativo y el nombre de aquellos que tienen un procedimiento instaurado y se encuentra pendiente de resolución rompería la regla de tratamiento y de juicio que debe seguirse en la administración de justicia, es decir, su incidencia tiene implicaciones que pudieran afectar la forma en cómo debe tratarse al servidor público acusado, pues no se ha </w:t>
      </w:r>
      <w:r>
        <w:rPr>
          <w:rFonts w:ascii="Palatino Linotype" w:eastAsia="Palatino Linotype" w:hAnsi="Palatino Linotype" w:cs="Palatino Linotype"/>
        </w:rPr>
        <w:lastRenderedPageBreak/>
        <w:t>comprobado en su totalidad que éste incurrió en una infracción, razón por la cual en dichos supuestos se deberá clasificar la información como reservada, conforme a la causal establecida en el artículo 140, fracción VI de la Ley en la materia, debiendo llevar a cabo el procedimiento establecido en el Considerando siguiente, a fin poner a disposición de la parte recurrente el Acta del Comité de Transparencia que se elabore para tal efecto, debiendo elaborar la prueba de daño correspondiente.</w:t>
      </w:r>
    </w:p>
    <w:p w14:paraId="15CDB453" w14:textId="77777777" w:rsidR="00474967" w:rsidRDefault="00AB3B72">
      <w:pPr>
        <w:spacing w:before="240" w:after="240" w:line="360" w:lineRule="auto"/>
        <w:ind w:left="560"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140. El acceso a la información pública será restringido excepcionalmente, cuando por razones de interés público, ésta sea clasificada como reservada, conforme a los criterios siguientes:</w:t>
      </w:r>
    </w:p>
    <w:p w14:paraId="0F8BA2C1" w14:textId="77777777" w:rsidR="00474967" w:rsidRDefault="00AB3B72">
      <w:pPr>
        <w:spacing w:before="240" w:after="240" w:line="360" w:lineRule="auto"/>
        <w:ind w:left="560"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AEF8E57" w14:textId="77777777" w:rsidR="00474967" w:rsidRDefault="00AB3B72">
      <w:pPr>
        <w:spacing w:before="240" w:after="240" w:line="360" w:lineRule="auto"/>
        <w:ind w:left="560"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(Sic)</w:t>
      </w:r>
    </w:p>
    <w:p w14:paraId="5334A3B4" w14:textId="77777777" w:rsidR="00474967" w:rsidRDefault="00AB3B72">
      <w:pPr>
        <w:spacing w:before="240" w:after="240" w:line="360" w:lineRule="auto"/>
        <w:ind w:right="40"/>
        <w:jc w:val="both"/>
        <w:rPr>
          <w:rFonts w:ascii="Palatino Linotype" w:eastAsia="Palatino Linotype" w:hAnsi="Palatino Linotype" w:cs="Palatino Linotype"/>
        </w:rPr>
      </w:pPr>
      <w:r>
        <w:rPr>
          <w:rFonts w:ascii="Palatino Linotype" w:eastAsia="Palatino Linotype" w:hAnsi="Palatino Linotype" w:cs="Palatino Linotype"/>
        </w:rPr>
        <w:t xml:space="preserve">Del diverso anterior, tenemos que la reserva procede cuando el daño que pueda producirse con la publicación de la información sea mayor que el interés público de conocer la información de referencia, siempre que esté directamente relacionado </w:t>
      </w:r>
      <w:r>
        <w:rPr>
          <w:rFonts w:ascii="Palatino Linotype" w:eastAsia="Palatino Linotype" w:hAnsi="Palatino Linotype" w:cs="Palatino Linotype"/>
        </w:rPr>
        <w:lastRenderedPageBreak/>
        <w:t>con procesos o procedimientos administrativos o judiciales que no hayan quedado firmes.</w:t>
      </w:r>
    </w:p>
    <w:p w14:paraId="25791339"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en estos casos, el nombre y cargo del servidor público denunciado debe ser protegido en un estricto sentido, toda vez que al no existir una determinación que resuelva el procedimiento administrativo, esto es, que siga en trámite, divulgar esta información a terceros puede causar un perjuicio irreparable al servidor público.</w:t>
      </w:r>
    </w:p>
    <w:p w14:paraId="30E33B96"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Dichos argumentos, que se formulan por este Organismo Garante se construyen a partir de la correlación que otros derechos tienen con el acceso a la información en tratándose de información sobre procesos y procedimientos que siguen en forma de juicio, los cuales de la óptica de interdependencia de los derechos humanos no pueden ser desconocidos, en el ámbito de la competencia de este Instituto.</w:t>
      </w:r>
    </w:p>
    <w:p w14:paraId="1871C715"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Resulta necesario tomar en cuenta el derecho al buen nombre y a la intimidad porque se considera que, hasta en tanto no exista una resolución firme, la publicación de la información solicitada afectaría la reputación de una persona.</w:t>
      </w:r>
    </w:p>
    <w:p w14:paraId="5FEF1F15"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fondo, se considera que se puede atentar contra la honra y el buen nombre de una persona mediante la divulgación de información sobre aquellos servidores públicos a quienes se les ha iniciado un procedimiento administrativo, o bien, se encuentran pendientes de resolución porque podrían orientar el juicio que se tiene de una persona por parte de la sociedad, lo que en efecto constituye una lesión injustificada a la posición del hombre en sociedad.</w:t>
      </w:r>
    </w:p>
    <w:p w14:paraId="73885A24"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Así las cosas, es de importante relevancia hacer del conocimiento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la información con la que cuente respecto de expedientes de procedimientos administrativos que no han causado estado; es decir, que el principio de definitividad no se haya actualizado, por aún existir instancias para su revisión o impugnación o en su caso que no haya causado estado, dicha información reviste el carácter de información reservada. </w:t>
      </w:r>
    </w:p>
    <w:p w14:paraId="50F71E66"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es así, para dar seguridad jurídica al solicitante que por alguna excepción establecida en ley no es posible acceder temporalmente a la información referida anteriormente, para así no dejar en estado de indefensión y exista certeza jurídica de lo expuesto por el Sujeto Obligado.</w:t>
      </w:r>
    </w:p>
    <w:p w14:paraId="33560AB1" w14:textId="77777777" w:rsidR="00474967" w:rsidRDefault="00AB3B72">
      <w:pPr>
        <w:spacing w:line="276"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3. Para los efectos de la presente Ley se entenderá por:</w:t>
      </w:r>
    </w:p>
    <w:p w14:paraId="06E507C3" w14:textId="77777777" w:rsidR="00474967" w:rsidRDefault="00AB3B72">
      <w:pPr>
        <w:spacing w:line="276"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B67870E" w14:textId="77777777" w:rsidR="00474967" w:rsidRDefault="00AB3B72">
      <w:pPr>
        <w:spacing w:line="276"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XXIV. Información reservada: </w:t>
      </w:r>
      <w:r>
        <w:rPr>
          <w:rFonts w:ascii="Palatino Linotype" w:eastAsia="Palatino Linotype" w:hAnsi="Palatino Linotype" w:cs="Palatino Linotype"/>
          <w:i/>
          <w:sz w:val="22"/>
          <w:szCs w:val="22"/>
        </w:rPr>
        <w:t>La clasificada con este carácter de manera temporal por las disposiciones de esta Ley, cuya divulgación puede causar daño en términos de lo establecido por esta Ley;</w:t>
      </w:r>
    </w:p>
    <w:p w14:paraId="6DB4D4F0" w14:textId="77777777" w:rsidR="00474967" w:rsidRDefault="00AB3B72">
      <w:pPr>
        <w:spacing w:line="276"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122. </w:t>
      </w:r>
      <w:r>
        <w:rPr>
          <w:rFonts w:ascii="Palatino Linotype" w:eastAsia="Palatino Linotype" w:hAnsi="Palatino Linotype" w:cs="Palatino Linotype"/>
          <w:b/>
          <w:i/>
          <w:sz w:val="22"/>
          <w:szCs w:val="22"/>
        </w:rPr>
        <w:t xml:space="preserve">La clasificación es el proceso mediante el cual el Sujeto Obligado determina que la información en su poder </w:t>
      </w:r>
      <w:proofErr w:type="spellStart"/>
      <w:r>
        <w:rPr>
          <w:rFonts w:ascii="Palatino Linotype" w:eastAsia="Palatino Linotype" w:hAnsi="Palatino Linotype" w:cs="Palatino Linotype"/>
          <w:b/>
          <w:i/>
          <w:sz w:val="22"/>
          <w:szCs w:val="22"/>
        </w:rPr>
        <w:t>actualiza</w:t>
      </w:r>
      <w:proofErr w:type="spellEnd"/>
      <w:r>
        <w:rPr>
          <w:rFonts w:ascii="Palatino Linotype" w:eastAsia="Palatino Linotype" w:hAnsi="Palatino Linotype" w:cs="Palatino Linotype"/>
          <w:b/>
          <w:i/>
          <w:sz w:val="22"/>
          <w:szCs w:val="22"/>
        </w:rPr>
        <w:t xml:space="preserve"> alguno de los supuestos de reserva</w:t>
      </w:r>
      <w:r>
        <w:rPr>
          <w:rFonts w:ascii="Palatino Linotype" w:eastAsia="Palatino Linotype" w:hAnsi="Palatino Linotype" w:cs="Palatino Linotype"/>
          <w:i/>
          <w:sz w:val="22"/>
          <w:szCs w:val="22"/>
        </w:rPr>
        <w:t xml:space="preserve"> o confidencialidad, de conformidad con lo dispuesto en el presente título.</w:t>
      </w:r>
    </w:p>
    <w:p w14:paraId="4D59E583" w14:textId="77777777" w:rsidR="00474967" w:rsidRDefault="00AB3B72">
      <w:pPr>
        <w:spacing w:line="276"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0CC6A2D7" w14:textId="77777777" w:rsidR="00474967" w:rsidRDefault="00AB3B72">
      <w:pPr>
        <w:spacing w:line="276"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3B61DA30" w14:textId="77777777" w:rsidR="00474967" w:rsidRDefault="00AB3B72">
      <w:pPr>
        <w:spacing w:line="276"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33FC333D" w14:textId="77777777" w:rsidR="00474967" w:rsidRDefault="00AB3B72">
      <w:pPr>
        <w:spacing w:line="276"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6D466FCB" w14:textId="77777777" w:rsidR="00474967" w:rsidRDefault="00AB3B72">
      <w:pPr>
        <w:spacing w:line="276" w:lineRule="auto"/>
        <w:ind w:left="860" w:right="8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 xml:space="preserve"> </w:t>
      </w:r>
    </w:p>
    <w:p w14:paraId="423BA745" w14:textId="77777777" w:rsidR="00474967" w:rsidRDefault="00AB3B72">
      <w:pPr>
        <w:spacing w:line="276"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125. La información clasificada como reservada, de acuerdo a lo establecido en esta Ley podrá permanecer con tal carácter hasta por un periodo de cinco años, </w:t>
      </w:r>
      <w:r>
        <w:rPr>
          <w:rFonts w:ascii="Palatino Linotype" w:eastAsia="Palatino Linotype" w:hAnsi="Palatino Linotype" w:cs="Palatino Linotype"/>
          <w:i/>
          <w:sz w:val="22"/>
          <w:szCs w:val="22"/>
        </w:rPr>
        <w:t>contados a partir de su clasificación, salvo que antes del cumplimiento del periodo de restricción, dejaran de existir los motivos de su reserva.</w:t>
      </w:r>
    </w:p>
    <w:p w14:paraId="058CEAE5" w14:textId="77777777" w:rsidR="00474967" w:rsidRDefault="00AB3B72">
      <w:pPr>
        <w:spacing w:line="276"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0A1C0B17" w14:textId="77777777" w:rsidR="00474967" w:rsidRDefault="00AB3B72">
      <w:pPr>
        <w:spacing w:line="276"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70E23829" w14:textId="77777777" w:rsidR="00474967" w:rsidRDefault="00AB3B72">
      <w:pPr>
        <w:spacing w:line="276"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31916FB0" w14:textId="77777777" w:rsidR="00474967" w:rsidRDefault="00AB3B72">
      <w:pPr>
        <w:spacing w:line="276"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14:paraId="337670E7" w14:textId="77777777" w:rsidR="00474967" w:rsidRDefault="00AB3B72">
      <w:pPr>
        <w:spacing w:line="276"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61D63013" w14:textId="77777777" w:rsidR="00474967" w:rsidRDefault="00AB3B72">
      <w:pPr>
        <w:spacing w:line="276"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w:t>
      </w:r>
    </w:p>
    <w:p w14:paraId="70FF20CA" w14:textId="77777777" w:rsidR="00474967" w:rsidRDefault="00AB3B72">
      <w:pPr>
        <w:spacing w:line="276" w:lineRule="auto"/>
        <w:ind w:left="860" w:right="8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0699E810" w14:textId="77777777" w:rsidR="00474967" w:rsidRDefault="00AB3B72">
      <w:pPr>
        <w:spacing w:line="276" w:lineRule="auto"/>
        <w:ind w:left="860" w:right="8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128. En los casos en que se niegue el acceso a la información, por actualizarse alguno de los supuestos de clasificación, el Comité de Transparencia deberá confirmar, modificar o revocar la decisión.</w:t>
      </w:r>
    </w:p>
    <w:p w14:paraId="596858E5" w14:textId="77777777" w:rsidR="00474967" w:rsidRDefault="00AB3B72">
      <w:pPr>
        <w:spacing w:line="276" w:lineRule="auto"/>
        <w:ind w:left="860" w:right="82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Para motivar la clasificación de la información y la ampliación del plazo de reserva, </w:t>
      </w:r>
      <w:r>
        <w:rPr>
          <w:rFonts w:ascii="Palatino Linotype" w:eastAsia="Palatino Linotype" w:hAnsi="Palatino Linotype" w:cs="Palatino Linotype"/>
          <w:b/>
          <w:i/>
          <w:sz w:val="22"/>
          <w:szCs w:val="22"/>
        </w:rPr>
        <w:t xml:space="preserve">se deberán señalar las razones, motivos o circunstancias especiales que llevaron al Sujeto Obligado a concluir que el caso particular se ajusta al </w:t>
      </w:r>
      <w:r>
        <w:rPr>
          <w:rFonts w:ascii="Palatino Linotype" w:eastAsia="Palatino Linotype" w:hAnsi="Palatino Linotype" w:cs="Palatino Linotype"/>
          <w:b/>
          <w:i/>
          <w:sz w:val="22"/>
          <w:szCs w:val="22"/>
        </w:rPr>
        <w:lastRenderedPageBreak/>
        <w:t>supuesto previsto por la norma legal invocada como fundamento. Además, el Sujeto Obligado deberá, en todo momento, aplicar una prueba de daño.</w:t>
      </w:r>
    </w:p>
    <w:p w14:paraId="1327340B" w14:textId="77777777" w:rsidR="00474967" w:rsidRDefault="00AB3B72">
      <w:pPr>
        <w:spacing w:line="276"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aquélla información que actualice los supuestos de clasificación, deberá señalarse el plazo al que estará sujeto la reserva.</w:t>
      </w:r>
    </w:p>
    <w:p w14:paraId="62043E38" w14:textId="77777777" w:rsidR="00474967" w:rsidRDefault="00AB3B72">
      <w:pPr>
        <w:spacing w:line="276"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57D3DB56" w14:textId="77777777" w:rsidR="00474967" w:rsidRDefault="00AB3B72">
      <w:pPr>
        <w:spacing w:line="276" w:lineRule="auto"/>
        <w:ind w:left="860" w:right="82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129. </w:t>
      </w:r>
      <w:r>
        <w:rPr>
          <w:rFonts w:ascii="Palatino Linotype" w:eastAsia="Palatino Linotype" w:hAnsi="Palatino Linotype" w:cs="Palatino Linotype"/>
          <w:b/>
          <w:i/>
          <w:sz w:val="22"/>
          <w:szCs w:val="22"/>
        </w:rPr>
        <w:t>En la aplicación de la prueba de daño, el Sujeto Obligado deberá precisar las razones objetivas por las que la apertura de la información generaría una afectación, justificando que:</w:t>
      </w:r>
    </w:p>
    <w:p w14:paraId="759248C8" w14:textId="77777777" w:rsidR="00474967" w:rsidRDefault="00AB3B72">
      <w:pPr>
        <w:spacing w:line="276" w:lineRule="auto"/>
        <w:ind w:left="860" w:right="8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La divulgación de la información representa un riesgo real, demostrable e identificable del perjuicio significativo al interés público o a la seguridad pública;</w:t>
      </w:r>
    </w:p>
    <w:p w14:paraId="07FF18FF" w14:textId="77777777" w:rsidR="00474967" w:rsidRDefault="00AB3B72">
      <w:pPr>
        <w:spacing w:line="276" w:lineRule="auto"/>
        <w:ind w:left="860" w:right="8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El riesgo de perjuicio que supondría la divulgación supera el interés público general de que se difunda; y</w:t>
      </w:r>
    </w:p>
    <w:p w14:paraId="606E9752" w14:textId="77777777" w:rsidR="00474967" w:rsidRDefault="00AB3B72">
      <w:pPr>
        <w:spacing w:line="276" w:lineRule="auto"/>
        <w:ind w:left="860" w:right="8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III. La limitación se adecua al principio de proporcionalidad y representa el medio menos restrictivo disponible representa el medio menos restrictivo disponible para evitar el perjuicio.</w:t>
      </w:r>
    </w:p>
    <w:p w14:paraId="0DB016D5" w14:textId="77777777" w:rsidR="00474967" w:rsidRDefault="00AB3B72">
      <w:pPr>
        <w:spacing w:line="276" w:lineRule="auto"/>
        <w:ind w:left="860" w:right="82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 </w:t>
      </w:r>
    </w:p>
    <w:p w14:paraId="3768AE64" w14:textId="77777777" w:rsidR="00474967" w:rsidRDefault="00AB3B72">
      <w:pPr>
        <w:spacing w:line="276"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130. Los sujetos obligados deberán aplicar, de manera restrictiva y limitada, las excepciones al derecho de acceso a la información y sólo podrán invocarlas cuando acrediten su procedencia</w:t>
      </w:r>
      <w:r>
        <w:rPr>
          <w:rFonts w:ascii="Palatino Linotype" w:eastAsia="Palatino Linotype" w:hAnsi="Palatino Linotype" w:cs="Palatino Linotype"/>
          <w:i/>
          <w:sz w:val="22"/>
          <w:szCs w:val="22"/>
        </w:rPr>
        <w:t>, sin ampliar las excepciones o supuestos de reserva o confidencialidad previstos en la Ley General y la presente Ley, aduciendo analogía o mayoría de razón.</w:t>
      </w:r>
    </w:p>
    <w:p w14:paraId="45F6F0F8" w14:textId="77777777" w:rsidR="00474967" w:rsidRDefault="00AB3B72">
      <w:pPr>
        <w:spacing w:line="276" w:lineRule="auto"/>
        <w:ind w:left="860" w:right="8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w:t>
      </w:r>
    </w:p>
    <w:p w14:paraId="2D872E3D" w14:textId="77777777" w:rsidR="00474967" w:rsidRDefault="00AB3B72">
      <w:pPr>
        <w:spacing w:line="276" w:lineRule="auto"/>
        <w:ind w:left="860" w:right="8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140. El acceso a la información pública será restringido excepcionalmente, cuando por razones de interés público, ésta sea clasificada como reservada, conforme a los criterios siguientes:</w:t>
      </w:r>
    </w:p>
    <w:p w14:paraId="3605B353" w14:textId="77777777" w:rsidR="00474967" w:rsidRDefault="00AB3B72">
      <w:pPr>
        <w:spacing w:line="276"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3BD56D7" w14:textId="77777777" w:rsidR="00474967" w:rsidRDefault="00AB3B72">
      <w:pPr>
        <w:spacing w:line="276"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w:t>
      </w:r>
      <w:r>
        <w:rPr>
          <w:rFonts w:ascii="Palatino Linotype" w:eastAsia="Palatino Linotype" w:hAnsi="Palatino Linotype" w:cs="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w:t>
      </w:r>
      <w:r>
        <w:rPr>
          <w:rFonts w:ascii="Palatino Linotype" w:eastAsia="Palatino Linotype" w:hAnsi="Palatino Linotype" w:cs="Palatino Linotype"/>
          <w:i/>
          <w:sz w:val="22"/>
          <w:szCs w:val="22"/>
        </w:rPr>
        <w:lastRenderedPageBreak/>
        <w:t>firmes o afecte la administración de justicia o la seguridad de un denunciante, querellante o testigo, así como sus familias, en los términos de las disposiciones jurídicas aplicables…” (Sic)</w:t>
      </w:r>
    </w:p>
    <w:p w14:paraId="61B927DB" w14:textId="77777777" w:rsidR="00474967" w:rsidRDefault="00AB3B72">
      <w:pPr>
        <w:spacing w:before="240" w:after="240" w:line="360" w:lineRule="auto"/>
        <w:ind w:right="40"/>
        <w:jc w:val="both"/>
        <w:rPr>
          <w:rFonts w:ascii="Palatino Linotype" w:eastAsia="Palatino Linotype" w:hAnsi="Palatino Linotype" w:cs="Palatino Linotype"/>
        </w:rPr>
      </w:pPr>
      <w:r>
        <w:rPr>
          <w:rFonts w:ascii="Palatino Linotype" w:eastAsia="Palatino Linotype" w:hAnsi="Palatino Linotype" w:cs="Palatino Linotype"/>
        </w:rPr>
        <w:t>De la interpretación sistemática de los artículos citados, se advierte que el Sujeto Obligado en esos casos debe hacer la reserva de la información por seguir en trámite el procedimiento aludido y de aquellas que no son graves, siguiendo los requisitos expuestos:</w:t>
      </w:r>
    </w:p>
    <w:p w14:paraId="173AEDC7" w14:textId="77777777" w:rsidR="00474967" w:rsidRDefault="00AB3B72">
      <w:pPr>
        <w:spacing w:line="360"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divulgación de la información representa un riesgo real, demostrable e identificable del perjuicio significativo al interés público o a la seguridad pública;</w:t>
      </w:r>
    </w:p>
    <w:p w14:paraId="4AC0B060" w14:textId="77777777" w:rsidR="00474967" w:rsidRDefault="00AB3B72">
      <w:pPr>
        <w:spacing w:line="360"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riesgo de perjuicio que supondría la divulgación supera el interés público general de que se difunda; y</w:t>
      </w:r>
    </w:p>
    <w:p w14:paraId="5D3B3ED8" w14:textId="77777777" w:rsidR="00474967" w:rsidRDefault="00AB3B72">
      <w:pPr>
        <w:spacing w:line="360"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limitación se adecua al principio de proporcionalidad y representa el medio menos restrictivo disponible representa el medio menos restrictivo disponible para evitar el perjuicio.”(Sic)</w:t>
      </w:r>
    </w:p>
    <w:p w14:paraId="44E6DADB" w14:textId="77777777" w:rsidR="00474967" w:rsidRDefault="00AB3B72">
      <w:pPr>
        <w:spacing w:before="240" w:after="240" w:line="360" w:lineRule="auto"/>
        <w:ind w:right="40"/>
        <w:jc w:val="both"/>
        <w:rPr>
          <w:rFonts w:ascii="Palatino Linotype" w:eastAsia="Palatino Linotype" w:hAnsi="Palatino Linotype" w:cs="Palatino Linotype"/>
        </w:rPr>
      </w:pPr>
      <w:r>
        <w:rPr>
          <w:rFonts w:ascii="Palatino Linotype" w:eastAsia="Palatino Linotype" w:hAnsi="Palatino Linotype" w:cs="Palatino Linotype"/>
        </w:rPr>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14:paraId="6766DD19" w14:textId="77777777" w:rsidR="00474967" w:rsidRDefault="00AB3B72">
      <w:pPr>
        <w:spacing w:line="276" w:lineRule="auto"/>
        <w:ind w:left="860" w:right="8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p>
    <w:p w14:paraId="703CE43E" w14:textId="77777777" w:rsidR="00474967" w:rsidRDefault="00AB3B72">
      <w:pPr>
        <w:spacing w:line="276"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6B0D0865" w14:textId="77777777" w:rsidR="00474967" w:rsidRDefault="00474967">
      <w:pPr>
        <w:spacing w:line="276" w:lineRule="auto"/>
        <w:ind w:left="860" w:right="820"/>
        <w:jc w:val="both"/>
        <w:rPr>
          <w:rFonts w:ascii="Palatino Linotype" w:eastAsia="Palatino Linotype" w:hAnsi="Palatino Linotype" w:cs="Palatino Linotype"/>
          <w:i/>
          <w:sz w:val="22"/>
          <w:szCs w:val="22"/>
        </w:rPr>
      </w:pPr>
    </w:p>
    <w:p w14:paraId="6E07FDDB" w14:textId="77777777" w:rsidR="00474967" w:rsidRDefault="00AB3B72">
      <w:pPr>
        <w:spacing w:before="240" w:after="240" w:line="360" w:lineRule="auto"/>
        <w:ind w:right="40"/>
        <w:jc w:val="both"/>
        <w:rPr>
          <w:rFonts w:ascii="Palatino Linotype" w:eastAsia="Palatino Linotype" w:hAnsi="Palatino Linotype" w:cs="Palatino Linotype"/>
        </w:rPr>
      </w:pPr>
      <w:r>
        <w:rPr>
          <w:rFonts w:ascii="Palatino Linotype" w:eastAsia="Palatino Linotype" w:hAnsi="Palatino Linotype" w:cs="Palatino Linotype"/>
        </w:rPr>
        <w:t xml:space="preserve">Debiendo argumentar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la liberación de la información pueda amenazar el interés protegido por la ley, es decir esgrimir ideas jurídicas en el cual se evidencie la amenaza del daño o alteración al procedimiento que aduce el Sujeto Obligado, amparado de razones, y circunstancias especiales que lo llevaron a concluir que el caso particular se ajusta al supuesto previsto en la norma legal invocada como fundamento, por la hipótesis análoga siendo aplicables los numerales 140, fracción VI de la Ley de Transparencia y Acceso a la Información Pública del Estado de México y Municipios (homólogo al artículo 113, fracción IX de la Ley General de Transparencia y Acceso a la Información Pública), establece </w:t>
      </w:r>
      <w:r>
        <w:rPr>
          <w:rFonts w:ascii="Palatino Linotype" w:eastAsia="Palatino Linotype" w:hAnsi="Palatino Linotype" w:cs="Palatino Linotype"/>
        </w:rPr>
        <w:lastRenderedPageBreak/>
        <w:t>que aquella información que afecte o vulnere la conducción de procedimientos de responsabilidades administrativas, en tanto no hayan quedado firmes.</w:t>
      </w:r>
    </w:p>
    <w:p w14:paraId="43A29B71" w14:textId="77777777" w:rsidR="00474967" w:rsidRDefault="00AB3B72">
      <w:pPr>
        <w:spacing w:before="240" w:after="240" w:line="360" w:lineRule="auto"/>
        <w:ind w:right="40"/>
        <w:jc w:val="both"/>
        <w:rPr>
          <w:rFonts w:ascii="Palatino Linotype" w:eastAsia="Palatino Linotype" w:hAnsi="Palatino Linotype" w:cs="Palatino Linotype"/>
        </w:rPr>
      </w:pPr>
      <w:r>
        <w:rPr>
          <w:rFonts w:ascii="Palatino Linotype" w:eastAsia="Palatino Linotype" w:hAnsi="Palatino Linotype" w:cs="Palatino Linotype"/>
        </w:rPr>
        <w:t xml:space="preserve"> Por lo cual, la causal de reserva prevé que la información podrá clasificarse como reservada en el caso de que obstruya los procedimientos para fincar responsabilidad a los servidores públicos, pretende proteger la información vinculada a dichos procedimientos.</w:t>
      </w:r>
    </w:p>
    <w:p w14:paraId="503212A5" w14:textId="77777777" w:rsidR="00474967" w:rsidRDefault="00AB3B72">
      <w:pPr>
        <w:spacing w:before="240" w:after="240" w:line="360" w:lineRule="auto"/>
        <w:ind w:right="40"/>
        <w:jc w:val="both"/>
        <w:rPr>
          <w:rFonts w:ascii="Palatino Linotype" w:eastAsia="Palatino Linotype" w:hAnsi="Palatino Linotype" w:cs="Palatino Linotype"/>
        </w:rPr>
      </w:pPr>
      <w:r>
        <w:rPr>
          <w:rFonts w:ascii="Palatino Linotype" w:eastAsia="Palatino Linotype" w:hAnsi="Palatino Linotype" w:cs="Palatino Linotype"/>
        </w:rPr>
        <w:t xml:space="preserve"> Por su parte, en los Lineamientos Generales en Materia de Clasificación y Desclasificación de la Información, así como para la elaboración de versiones públicas, se establece lo siguiente:</w:t>
      </w:r>
    </w:p>
    <w:p w14:paraId="2C02208E" w14:textId="77777777" w:rsidR="00474967" w:rsidRDefault="00AB3B72">
      <w:pPr>
        <w:spacing w:line="276"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8A7AE8A" w14:textId="77777777" w:rsidR="00474967" w:rsidRDefault="00AB3B72">
      <w:pPr>
        <w:spacing w:line="276"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Vigésimo octavo.</w:t>
      </w:r>
      <w:r>
        <w:rPr>
          <w:rFonts w:ascii="Palatino Linotype" w:eastAsia="Palatino Linotype" w:hAnsi="Palatino Linotype" w:cs="Palatino Linotype"/>
          <w:i/>
          <w:sz w:val="22"/>
          <w:szCs w:val="22"/>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14:paraId="03DFE4DD" w14:textId="77777777" w:rsidR="00474967" w:rsidRDefault="00AB3B72">
      <w:pPr>
        <w:spacing w:line="276"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3F5BA802" w14:textId="77777777" w:rsidR="00474967" w:rsidRDefault="00AB3B72">
      <w:pPr>
        <w:spacing w:line="276"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La existencia de un procedimiento de responsabilidad administrativa en trámite, y</w:t>
      </w:r>
    </w:p>
    <w:p w14:paraId="3A4937A2" w14:textId="77777777" w:rsidR="00474967" w:rsidRDefault="00AB3B72">
      <w:pPr>
        <w:spacing w:line="276"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Que la información se refiera a actuaciones, diligencias y constancias propias del procedimiento de responsabilidad…” (Sic)</w:t>
      </w:r>
    </w:p>
    <w:p w14:paraId="25E812B3" w14:textId="77777777" w:rsidR="00474967" w:rsidRDefault="00AB3B72">
      <w:pPr>
        <w:spacing w:before="240" w:after="240" w:line="276" w:lineRule="auto"/>
        <w:ind w:right="4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5322367E"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advierte que para que se actualice la causal de reserva que se analiza se debe acreditar i) la existencia de un procedimiento de responsabilidad </w:t>
      </w:r>
      <w:r>
        <w:rPr>
          <w:rFonts w:ascii="Palatino Linotype" w:eastAsia="Palatino Linotype" w:hAnsi="Palatino Linotype" w:cs="Palatino Linotype"/>
        </w:rPr>
        <w:lastRenderedPageBreak/>
        <w:t>administrativa en trámite, y ii) que la información se refiera a actuaciones, diligencias y constancias propias del procedimiento de responsabilidad.</w:t>
      </w:r>
    </w:p>
    <w:p w14:paraId="629154F7"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De ahí que, resulta procedente la reserva, en términos del artículo 140, fracción VI, de la Ley de Transparencia y Acceso a la Información Pública del Estado de México y Municipios, de los procedimientos por responsabilidades administrativas en trámite por faltas graves.</w:t>
      </w:r>
    </w:p>
    <w:p w14:paraId="7C7575B9"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Respecto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por lo que deberá determinar el periodo de reserva de manera fundada y motivada.</w:t>
      </w:r>
    </w:p>
    <w:p w14:paraId="41322CEC" w14:textId="77777777" w:rsidR="00474967" w:rsidRDefault="00AB3B72">
      <w:pPr>
        <w:numPr>
          <w:ilvl w:val="0"/>
          <w:numId w:val="1"/>
        </w:numPr>
        <w:pBdr>
          <w:top w:val="nil"/>
          <w:left w:val="nil"/>
          <w:bottom w:val="nil"/>
          <w:right w:val="nil"/>
          <w:between w:val="nil"/>
        </w:pBdr>
        <w:spacing w:before="240" w:line="360" w:lineRule="auto"/>
        <w:ind w:left="1418" w:right="900" w:hanging="28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Procedimientos de sanciones graves absolutorias, concluidos.</w:t>
      </w:r>
    </w:p>
    <w:p w14:paraId="3CF2372C"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 los procedimientos administrativos requeridos por el particular, están contenidos en expedientes que encuadran en el presente caso se procederá a su acceso en versión pública, protegiendo el nombre, cargo y área de adscripción del Servidor Público absuelto y aquellos datos personales que hagan identificable a una persona, toda vez que la información solicitada, se relaciona con servidores públicos en específico, los cuales al no haber recibido alguna sanción por posibles responsabilidades, se procede a clasificar como confidencial el nombre y cargo del servidor público, al poder causar un perjuicio a la vida privada de estos.</w:t>
      </w:r>
    </w:p>
    <w:p w14:paraId="333B59DE"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06F36D0C"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Acorde con lo anterior, la Ley General de Transparencia y Acceso a la Información Pública, en su artículo 116, dispone que se considera información confidencial la que contenga datos personales concernientes a una persona física identificada o identificable. 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43AB1F34"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16D8F06D"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concordancia con lo previo, el artículo 143, fracción I, de la Ley previamente citada, establece que la información privada y los datos personales, concernientes a una persona física identificada o identificable son confidenciales.</w:t>
      </w:r>
    </w:p>
    <w:p w14:paraId="1B8C339B"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w:t>
      </w:r>
      <w:r>
        <w:rPr>
          <w:rFonts w:ascii="Palatino Linotype" w:eastAsia="Palatino Linotype" w:hAnsi="Palatino Linotype" w:cs="Palatino Linotype"/>
          <w:b/>
        </w:rPr>
        <w:t xml:space="preserve">i) </w:t>
      </w:r>
      <w:r>
        <w:rPr>
          <w:rFonts w:ascii="Palatino Linotype" w:eastAsia="Palatino Linotype" w:hAnsi="Palatino Linotype" w:cs="Palatino Linotype"/>
        </w:rPr>
        <w:t xml:space="preserve">la información se encuentre en registros públicos o fuentes de acceso público, </w:t>
      </w:r>
      <w:r>
        <w:rPr>
          <w:rFonts w:ascii="Palatino Linotype" w:eastAsia="Palatino Linotype" w:hAnsi="Palatino Linotype" w:cs="Palatino Linotype"/>
          <w:b/>
        </w:rPr>
        <w:t>ii)</w:t>
      </w:r>
      <w:r>
        <w:rPr>
          <w:rFonts w:ascii="Palatino Linotype" w:eastAsia="Palatino Linotype" w:hAnsi="Palatino Linotype" w:cs="Palatino Linotype"/>
        </w:rPr>
        <w:t xml:space="preserve"> por ley tenga el carácter de pública, </w:t>
      </w:r>
      <w:r>
        <w:rPr>
          <w:rFonts w:ascii="Palatino Linotype" w:eastAsia="Palatino Linotype" w:hAnsi="Palatino Linotype" w:cs="Palatino Linotype"/>
          <w:b/>
        </w:rPr>
        <w:t>iii)</w:t>
      </w:r>
      <w:r>
        <w:rPr>
          <w:rFonts w:ascii="Palatino Linotype" w:eastAsia="Palatino Linotype" w:hAnsi="Palatino Linotype" w:cs="Palatino Linotype"/>
        </w:rPr>
        <w:t xml:space="preserve"> exista una orden judicial, </w:t>
      </w:r>
      <w:r>
        <w:rPr>
          <w:rFonts w:ascii="Palatino Linotype" w:eastAsia="Palatino Linotype" w:hAnsi="Palatino Linotype" w:cs="Palatino Linotype"/>
          <w:b/>
        </w:rPr>
        <w:t>iv)</w:t>
      </w:r>
      <w:r>
        <w:rPr>
          <w:rFonts w:ascii="Palatino Linotype" w:eastAsia="Palatino Linotype" w:hAnsi="Palatino Linotype" w:cs="Palatino Linotype"/>
        </w:rPr>
        <w:t xml:space="preserve"> por razones de seguridad nacional y salubridad general o </w:t>
      </w:r>
      <w:r>
        <w:rPr>
          <w:rFonts w:ascii="Palatino Linotype" w:eastAsia="Palatino Linotype" w:hAnsi="Palatino Linotype" w:cs="Palatino Linotype"/>
          <w:b/>
        </w:rPr>
        <w:t>v)</w:t>
      </w:r>
      <w:r>
        <w:rPr>
          <w:rFonts w:ascii="Palatino Linotype" w:eastAsia="Palatino Linotype" w:hAnsi="Palatino Linotype" w:cs="Palatino Linotype"/>
        </w:rPr>
        <w:t xml:space="preserve"> para proteger los derechos de terceros o cuando se transmita entre sujetos obligados en términos de los tratados y los acuerdos interinstitucionales.</w:t>
      </w:r>
    </w:p>
    <w:p w14:paraId="6CA48903"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términos de lo expuesto, la documentación y aquellos datos que se consideren confidenciales, serán una limitante del derecho de acceso a la información, siempre y cuando:</w:t>
      </w:r>
    </w:p>
    <w:p w14:paraId="7F2931C5" w14:textId="77777777" w:rsidR="00474967" w:rsidRDefault="00AB3B72">
      <w:pPr>
        <w:spacing w:line="360" w:lineRule="auto"/>
        <w:ind w:left="860" w:right="60"/>
        <w:jc w:val="both"/>
        <w:rPr>
          <w:rFonts w:ascii="Palatino Linotype" w:eastAsia="Palatino Linotype" w:hAnsi="Palatino Linotype" w:cs="Palatino Linotype"/>
        </w:rPr>
      </w:pPr>
      <w:r>
        <w:rPr>
          <w:rFonts w:ascii="Palatino Linotype" w:eastAsia="Palatino Linotype" w:hAnsi="Palatino Linotype" w:cs="Palatino Linotype"/>
          <w:b/>
          <w:sz w:val="22"/>
          <w:szCs w:val="22"/>
        </w:rPr>
        <w:t>a</w:t>
      </w:r>
      <w:r>
        <w:rPr>
          <w:rFonts w:ascii="Palatino Linotype" w:eastAsia="Palatino Linotype" w:hAnsi="Palatino Linotype" w:cs="Palatino Linotype"/>
          <w:b/>
        </w:rPr>
        <w:t>).</w:t>
      </w:r>
      <w:r>
        <w:rPr>
          <w:rFonts w:ascii="Palatino Linotype" w:eastAsia="Palatino Linotype" w:hAnsi="Palatino Linotype" w:cs="Palatino Linotype"/>
        </w:rPr>
        <w:t xml:space="preserve"> Se trate de datos personales; esto es, información concerniente a una persona física y que ésta sea identificada o identificable.</w:t>
      </w:r>
    </w:p>
    <w:p w14:paraId="6A67522B" w14:textId="77777777" w:rsidR="00474967" w:rsidRDefault="00AB3B72">
      <w:pPr>
        <w:spacing w:line="360" w:lineRule="auto"/>
        <w:ind w:left="860" w:right="60"/>
        <w:jc w:val="both"/>
        <w:rPr>
          <w:rFonts w:ascii="Palatino Linotype" w:eastAsia="Palatino Linotype" w:hAnsi="Palatino Linotype" w:cs="Palatino Linotype"/>
        </w:rPr>
      </w:pPr>
      <w:r>
        <w:rPr>
          <w:rFonts w:ascii="Palatino Linotype" w:eastAsia="Palatino Linotype" w:hAnsi="Palatino Linotype" w:cs="Palatino Linotype"/>
          <w:b/>
        </w:rPr>
        <w:t>b).</w:t>
      </w:r>
      <w:r>
        <w:rPr>
          <w:rFonts w:ascii="Palatino Linotype" w:eastAsia="Palatino Linotype" w:hAnsi="Palatino Linotype" w:cs="Palatino Linotype"/>
        </w:rPr>
        <w:t xml:space="preserve"> Para la difusión de los datos, se requiera el consentimiento del titular.</w:t>
      </w:r>
    </w:p>
    <w:p w14:paraId="18C8225A"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de conformidad con el artículo 3°, fracción IX de la Ley de Transparencia y Acceso a la Información Pública del Estado de México y Municipios, con relación el diverso 4°, fracciones XI y XII, de la Ley de Protección de Datos </w:t>
      </w:r>
      <w:r>
        <w:rPr>
          <w:rFonts w:ascii="Palatino Linotype" w:eastAsia="Palatino Linotype" w:hAnsi="Palatino Linotype" w:cs="Palatino Linotype"/>
        </w:rPr>
        <w:lastRenderedPageBreak/>
        <w:t>Personales en Posesión de Sujetos Obligados del Estado de México y Municipios, se advierte que son datos personales, la información concerniente a una persona física identificada o identificable (</w:t>
      </w:r>
      <w:r>
        <w:rPr>
          <w:rFonts w:ascii="Palatino Linotype" w:eastAsia="Palatino Linotype" w:hAnsi="Palatino Linotype" w:cs="Palatino Linotype"/>
          <w:i/>
        </w:rPr>
        <w:t>cuando su identidad pueda determinarse directa o indirectamente a través de cualquier documento informativo físico o electrónico</w:t>
      </w:r>
      <w:r>
        <w:rPr>
          <w:rFonts w:ascii="Palatino Linotype" w:eastAsia="Palatino Linotype" w:hAnsi="Palatino Linotype" w:cs="Palatino Linotype"/>
        </w:rPr>
        <w:t>), establecida en cualquier formato o modalidad.</w:t>
      </w:r>
    </w:p>
    <w:p w14:paraId="50DA8B4B"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en el artículo 5° de dicho ordenamiento jurídico, establece que es la Ley aplicable para todo tratamiento de datos personales.</w:t>
      </w:r>
    </w:p>
    <w:p w14:paraId="6B1EA9B7"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contexto,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w:t>
      </w:r>
      <w:r>
        <w:rPr>
          <w:rFonts w:ascii="Palatino Linotype" w:eastAsia="Palatino Linotype" w:hAnsi="Palatino Linotype" w:cs="Palatino Linotype"/>
          <w:i/>
        </w:rPr>
        <w:t>principio de finalidad</w:t>
      </w:r>
      <w:r>
        <w:rPr>
          <w:rFonts w:ascii="Palatino Linotype" w:eastAsia="Palatino Linotype" w:hAnsi="Palatino Linotype" w:cs="Palatino Linotype"/>
        </w:rPr>
        <w:t>).</w:t>
      </w:r>
    </w:p>
    <w:p w14:paraId="1261B9C9"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4A210180"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este contexto, la confidencialidad de los datos personales, tiene por objetivo establecer el límite del derecho de acceso a la información a partir del derecho a la intimidad y la vida privada de los individuos.</w:t>
      </w:r>
    </w:p>
    <w:p w14:paraId="6F436F27"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tal suerte, las instituciones públicas tienen la doble responsabilidad, por un lado, de proteger los datos personales y por otro, darle publicidad aquella información de relevancia que sea de interés público.</w:t>
      </w:r>
    </w:p>
    <w:p w14:paraId="090C1B57"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orden de ideas, toda la información que transparente la gestión pública, favorezca la rendición de cuentas y contribuya a la democratización del Estado Mexicano es, sin excepción, de naturaleza pública; sin embargo, la información esta necesariamente vinculada con datos personales, los cuales deben ser protegidos.</w:t>
      </w:r>
    </w:p>
    <w:p w14:paraId="308188EF"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otro lado,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746F18BB"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tales circunstancias, se considera que en la especie proporcionar el nombre, cargo y área de adscripción de los Servidores Públicos absueltos,</w:t>
      </w:r>
      <w:r>
        <w:rPr>
          <w:rFonts w:ascii="Palatino Linotype" w:eastAsia="Palatino Linotype" w:hAnsi="Palatino Linotype" w:cs="Palatino Linotype"/>
          <w:b/>
        </w:rPr>
        <w:t xml:space="preserve"> </w:t>
      </w:r>
      <w:r>
        <w:rPr>
          <w:rFonts w:ascii="Palatino Linotype" w:eastAsia="Palatino Linotype" w:hAnsi="Palatino Linotype" w:cs="Palatino Linotype"/>
        </w:rPr>
        <w:t>en caso de que existieran, podría afectar su honor, buen nombre y su imagen.</w:t>
      </w:r>
    </w:p>
    <w:p w14:paraId="6514AAF4"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Al respecto, la Suprema Corte de Justicia de la Nación ha reconocido como derechos fundamentales de las personas, el derecho a la intimidad y a la propia imagen, en el siguiente criterio:</w:t>
      </w:r>
    </w:p>
    <w:p w14:paraId="64EF3791" w14:textId="77777777" w:rsidR="00474967" w:rsidRDefault="00AB3B72">
      <w:pPr>
        <w:spacing w:before="240" w:line="360" w:lineRule="auto"/>
        <w:ind w:left="860" w:right="8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DERECHOS A LA INTIMIDAD, PROPIA IMAGEN, IDENTIDAD PERSONAL Y SEXUAL. CONSTITUYEN DERECHOS DE DEFENSA Y GARANTÍA ESENCIAL PARA LA CONDICIÓN HUMANA.  </w:t>
      </w:r>
      <w:r>
        <w:rPr>
          <w:rFonts w:ascii="Palatino Linotype" w:eastAsia="Palatino Linotype" w:hAnsi="Palatino Linotype" w:cs="Palatino Linotype"/>
          <w:i/>
          <w:sz w:val="22"/>
          <w:szCs w:val="22"/>
        </w:rPr>
        <w:t xml:space="preserve">Dentro de los derechos personalísimos se encuentran necesariamente comprendidos el </w:t>
      </w:r>
      <w:r>
        <w:rPr>
          <w:rFonts w:ascii="Palatino Linotype" w:eastAsia="Palatino Linotype" w:hAnsi="Palatino Linotype" w:cs="Palatino Linotype"/>
          <w:b/>
          <w:i/>
          <w:sz w:val="22"/>
          <w:szCs w:val="22"/>
        </w:rPr>
        <w:t>derecho a la intimidad y a la propia imagen</w:t>
      </w:r>
      <w:r>
        <w:rPr>
          <w:rFonts w:ascii="Palatino Linotype" w:eastAsia="Palatino Linotype" w:hAnsi="Palatino Linotype" w:cs="Palatino Linotype"/>
          <w:i/>
          <w:sz w:val="22"/>
          <w:szCs w:val="22"/>
        </w:rPr>
        <w:t xml:space="preserve">, así como a la </w:t>
      </w:r>
      <w:r>
        <w:rPr>
          <w:rFonts w:ascii="Palatino Linotype" w:eastAsia="Palatino Linotype" w:hAnsi="Palatino Linotype" w:cs="Palatino Linotype"/>
          <w:b/>
          <w:i/>
          <w:sz w:val="22"/>
          <w:szCs w:val="22"/>
        </w:rPr>
        <w:t>identidad personal</w:t>
      </w:r>
      <w:r>
        <w:rPr>
          <w:rFonts w:ascii="Palatino Linotype" w:eastAsia="Palatino Linotype" w:hAnsi="Palatino Linotype" w:cs="Palatino Linotype"/>
          <w:i/>
          <w:sz w:val="22"/>
          <w:szCs w:val="22"/>
        </w:rPr>
        <w:t xml:space="preserve"> y sexual; entendiéndose por el primero, </w:t>
      </w:r>
      <w:r>
        <w:rPr>
          <w:rFonts w:ascii="Palatino Linotype" w:eastAsia="Palatino Linotype" w:hAnsi="Palatino Linotype" w:cs="Palatino Linotype"/>
          <w:b/>
          <w:i/>
          <w:sz w:val="22"/>
          <w:szCs w:val="22"/>
        </w:rPr>
        <w:t>el derecho del individuo a no ser conocido por otros en ciertos aspectos de su vida</w:t>
      </w:r>
      <w:r>
        <w:rPr>
          <w:rFonts w:ascii="Palatino Linotype" w:eastAsia="Palatino Linotype" w:hAnsi="Palatino Linotype" w:cs="Palatino Linotype"/>
          <w:i/>
          <w:sz w:val="22"/>
          <w:szCs w:val="22"/>
        </w:rPr>
        <w:t xml:space="preserve"> y, </w:t>
      </w:r>
      <w:r>
        <w:rPr>
          <w:rFonts w:ascii="Palatino Linotype" w:eastAsia="Palatino Linotype" w:hAnsi="Palatino Linotype" w:cs="Palatino Linotype"/>
          <w:b/>
          <w:i/>
          <w:sz w:val="22"/>
          <w:szCs w:val="22"/>
        </w:rPr>
        <w:t>por ende, el poder de decisión sobre la publicidad o información de datos relativos a su persona</w:t>
      </w:r>
      <w:r>
        <w:rPr>
          <w:rFonts w:ascii="Palatino Linotype" w:eastAsia="Palatino Linotype" w:hAnsi="Palatino Linotype" w:cs="Palatino Linotype"/>
          <w:i/>
          <w:sz w:val="22"/>
          <w:szCs w:val="22"/>
        </w:rPr>
        <w:t>, familia, pensamientos o sentimientos;</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 xml:space="preserve">a la </w:t>
      </w:r>
      <w:r>
        <w:rPr>
          <w:rFonts w:ascii="Palatino Linotype" w:eastAsia="Palatino Linotype" w:hAnsi="Palatino Linotype" w:cs="Palatino Linotype"/>
          <w:b/>
          <w:i/>
          <w:sz w:val="22"/>
          <w:szCs w:val="22"/>
        </w:rPr>
        <w:t>propia imagen, como aquel derecho de decidir, en forma libre, sobre la manera en que elige mostrarse frente a los demás</w:t>
      </w:r>
      <w:r>
        <w:rPr>
          <w:rFonts w:ascii="Palatino Linotype" w:eastAsia="Palatino Linotype" w:hAnsi="Palatino Linotype" w:cs="Palatino Linotype"/>
          <w:i/>
          <w:sz w:val="22"/>
          <w:szCs w:val="22"/>
        </w:rPr>
        <w:t xml:space="preserve">;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w:t>
      </w:r>
      <w:r>
        <w:rPr>
          <w:rFonts w:ascii="Palatino Linotype" w:eastAsia="Palatino Linotype" w:hAnsi="Palatino Linotype" w:cs="Palatino Linotype"/>
          <w:i/>
          <w:sz w:val="22"/>
          <w:szCs w:val="22"/>
        </w:rPr>
        <w:lastRenderedPageBreak/>
        <w:t xml:space="preserve">autodeterminación sexual forma parte de ese ámbito propio y reservado de lo íntimo, la parte de la vida que se desea mantener fuera del alcance de terceros o del conocimiento público. Por consiguiente, </w:t>
      </w:r>
      <w:r>
        <w:rPr>
          <w:rFonts w:ascii="Palatino Linotype" w:eastAsia="Palatino Linotype" w:hAnsi="Palatino Linotype" w:cs="Palatino Linotype"/>
          <w:b/>
          <w:i/>
          <w:sz w:val="22"/>
          <w:szCs w:val="22"/>
        </w:rPr>
        <w:t>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r>
        <w:rPr>
          <w:rFonts w:ascii="Palatino Linotype" w:eastAsia="Palatino Linotype" w:hAnsi="Palatino Linotype" w:cs="Palatino Linotype"/>
          <w:i/>
          <w:sz w:val="22"/>
          <w:szCs w:val="22"/>
        </w:rPr>
        <w:t>”</w:t>
      </w:r>
    </w:p>
    <w:p w14:paraId="4833A937"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es derecho de todo individuo a no ser conocido por otros en ciertos aspectos de su vida y, por ende, el poder de decisión sobre la publicidad o información de datos relativos a su persona (</w:t>
      </w:r>
      <w:r>
        <w:rPr>
          <w:rFonts w:ascii="Palatino Linotype" w:eastAsia="Palatino Linotype" w:hAnsi="Palatino Linotype" w:cs="Palatino Linotype"/>
          <w:i/>
        </w:rPr>
        <w:t>derecho a la intimidad</w:t>
      </w:r>
      <w:r>
        <w:rPr>
          <w:rFonts w:ascii="Palatino Linotype" w:eastAsia="Palatino Linotype" w:hAnsi="Palatino Linotype" w:cs="Palatino Linotype"/>
        </w:rPr>
        <w:t>).</w:t>
      </w:r>
    </w:p>
    <w:p w14:paraId="00EF8045"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el derecho a la propia imagen es el derecho de decidir, de forma libre, sobre la manera en que elige mostrarse frente a los demás.</w:t>
      </w:r>
    </w:p>
    <w:p w14:paraId="7F189002"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otro lado, en cuanto al derecho al honor, la jurisprudencia número 1a./J. 118/2013 (10a.), emitida por la Primera Sala de la Suprema Corte de Justicia de la Nación, publicada en la Gaceta del Semanario Judicial de la Federación, Tomo I, Libro 3, de febrero de 2014, página 470, de la Décima Época, materia constitucional, dispone:</w:t>
      </w:r>
    </w:p>
    <w:p w14:paraId="6C599EBA" w14:textId="77777777" w:rsidR="00474967" w:rsidRDefault="00AB3B72">
      <w:pPr>
        <w:spacing w:before="240" w:line="360" w:lineRule="auto"/>
        <w:ind w:left="860" w:right="8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DERECHO FUNDAMENTAL AL HONOR. SU DIMENSIÓN SUBJETIVA Y OBJETIVA. </w:t>
      </w:r>
      <w:r>
        <w:rPr>
          <w:rFonts w:ascii="Palatino Linotype" w:eastAsia="Palatino Linotype" w:hAnsi="Palatino Linotype" w:cs="Palatino Linotype"/>
          <w:i/>
          <w:sz w:val="22"/>
          <w:szCs w:val="22"/>
        </w:rPr>
        <w:t xml:space="preserve">A juicio de esta Primera Sala de la Suprema Corte de Justicia de la Nación, es posible definir al honor como el </w:t>
      </w:r>
      <w:r>
        <w:rPr>
          <w:rFonts w:ascii="Palatino Linotype" w:eastAsia="Palatino Linotype" w:hAnsi="Palatino Linotype" w:cs="Palatino Linotype"/>
          <w:b/>
          <w:i/>
          <w:sz w:val="22"/>
          <w:szCs w:val="22"/>
        </w:rPr>
        <w:t xml:space="preserve">concepto que la </w:t>
      </w:r>
      <w:r>
        <w:rPr>
          <w:rFonts w:ascii="Palatino Linotype" w:eastAsia="Palatino Linotype" w:hAnsi="Palatino Linotype" w:cs="Palatino Linotype"/>
          <w:b/>
          <w:i/>
          <w:sz w:val="22"/>
          <w:szCs w:val="22"/>
        </w:rPr>
        <w:lastRenderedPageBreak/>
        <w:t>persona tiene de sí misma o que los demás se han formado de ella, en virtud de su proceder o de la expresión de su calidad ética y social.</w:t>
      </w:r>
      <w:r>
        <w:rPr>
          <w:rFonts w:ascii="Palatino Linotype" w:eastAsia="Palatino Linotype" w:hAnsi="Palatino Linotype" w:cs="Palatino Linotype"/>
          <w:i/>
          <w:sz w:val="22"/>
          <w:szCs w:val="22"/>
        </w:rPr>
        <w:t xml:space="preserve">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14:paraId="452B30A5"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 tesis transcrita se desprende que el honor es el concepto que la persona tiene de sí misma o que los demás se han formado de ella, en virtud de su proceder o de la expresión de su calidad ética y social.</w:t>
      </w:r>
    </w:p>
    <w:p w14:paraId="24F5F326"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campo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w:t>
      </w:r>
      <w:r>
        <w:rPr>
          <w:rFonts w:ascii="Palatino Linotype" w:eastAsia="Palatino Linotype" w:hAnsi="Palatino Linotype" w:cs="Palatino Linotype"/>
        </w:rPr>
        <w:lastRenderedPageBreak/>
        <w:t>profesionales dentro de la comunidad. En el aspecto subjetivo, el honor es lesionado por todo aquello que lastima el sentimiento de la propia dignidad. En el aspecto objetivo, el honor es lesionado por todo aquello que afecta a la reputación que la persona merece.</w:t>
      </w:r>
    </w:p>
    <w:p w14:paraId="0A7DBE0B"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Adicionalmente, en relación a este derecho [</w:t>
      </w:r>
      <w:r>
        <w:rPr>
          <w:rFonts w:ascii="Palatino Linotype" w:eastAsia="Palatino Linotype" w:hAnsi="Palatino Linotype" w:cs="Palatino Linotype"/>
          <w:i/>
        </w:rPr>
        <w:t>al honor</w:t>
      </w:r>
      <w:r>
        <w:rPr>
          <w:rFonts w:ascii="Palatino Linotype" w:eastAsia="Palatino Linotype" w:hAnsi="Palatino Linotype" w:cs="Palatino Linotype"/>
        </w:rPr>
        <w:t>], el máximo tribual también ha señalado que aunque no esté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14:paraId="14F0592E" w14:textId="77777777" w:rsidR="00474967" w:rsidRDefault="00AB3B72">
      <w:pPr>
        <w:spacing w:before="240" w:line="360" w:lineRule="auto"/>
        <w:ind w:left="860" w:right="8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DERECHOS AL HONOR, A LA INTIMIDAD Y A LA PROPIA IMAGEN. CONSTITUYEN DERECHOS HUMANOS QUE SE PROTEGEN A TRAVÉS DEL ACTUAL MARCO CONSTITUCIONAL. </w:t>
      </w:r>
      <w:r>
        <w:rPr>
          <w:rFonts w:ascii="Palatino Linotype" w:eastAsia="Palatino Linotype" w:hAnsi="Palatino Linotype" w:cs="Palatino Linotype"/>
          <w:i/>
          <w:sz w:val="22"/>
          <w:szCs w:val="22"/>
        </w:rPr>
        <w:t xml:space="preserve">Si conforme a las 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w:t>
      </w:r>
      <w:r>
        <w:rPr>
          <w:rFonts w:ascii="Palatino Linotype" w:eastAsia="Palatino Linotype" w:hAnsi="Palatino Linotype" w:cs="Palatino Linotype"/>
          <w:i/>
          <w:sz w:val="22"/>
          <w:szCs w:val="22"/>
        </w:rPr>
        <w:lastRenderedPageBreak/>
        <w:t xml:space="preserve">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w:t>
      </w:r>
      <w:proofErr w:type="spellStart"/>
      <w:r>
        <w:rPr>
          <w:rFonts w:ascii="Palatino Linotype" w:eastAsia="Palatino Linotype" w:hAnsi="Palatino Linotype" w:cs="Palatino Linotype"/>
          <w:i/>
          <w:sz w:val="22"/>
          <w:szCs w:val="22"/>
        </w:rPr>
        <w:t>personae</w:t>
      </w:r>
      <w:proofErr w:type="spellEnd"/>
      <w:r>
        <w:rPr>
          <w:rFonts w:ascii="Palatino Linotype" w:eastAsia="Palatino Linotype" w:hAnsi="Palatino Linotype" w:cs="Palatino Linotype"/>
          <w:i/>
          <w:sz w:val="22"/>
          <w:szCs w:val="22"/>
        </w:rPr>
        <w:t>,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superiores -Constitución y tratados internacionales- con los que cuenta el Estado Mexicano.”(Sic)</w:t>
      </w:r>
    </w:p>
    <w:p w14:paraId="639A017E" w14:textId="77777777" w:rsidR="00474967" w:rsidRDefault="00AB3B72">
      <w:pPr>
        <w:spacing w:line="360" w:lineRule="auto"/>
        <w:ind w:left="860" w:right="8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w:t>
      </w:r>
    </w:p>
    <w:p w14:paraId="26381910"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el artículo 12 de la Declaración Universal de los Derechos Humanos</w:t>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prevé que nadie será objeto de injerencias arbitrarias en su vida privada, su familia, </w:t>
      </w:r>
      <w:r>
        <w:rPr>
          <w:rFonts w:ascii="Palatino Linotype" w:eastAsia="Palatino Linotype" w:hAnsi="Palatino Linotype" w:cs="Palatino Linotype"/>
        </w:rPr>
        <w:lastRenderedPageBreak/>
        <w:t>su domicilio o su correspondencia, ni de ataques a su honra o a su reputación. Toda persona tiene derecho a la protección de la ley contra tales injerencias o ataques.</w:t>
      </w:r>
    </w:p>
    <w:p w14:paraId="51264FEE"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14:paraId="45D5447D"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14:paraId="21B13FE3"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expuesto, se desprende que dar a conocer los nombres, cargos y áreas de adscripción de los servidores públicos, absueltos, en su caso que existan, constituyen información confidencial que afecta su esfera privada, puesto que podría generar una percepción negativa de éste, ocasionando un perjuicio en su honor, intimidad y buena imagen, pues como se precisó la afectación es para el propio servidor público, situación que no afecta a terceros.</w:t>
      </w:r>
    </w:p>
    <w:p w14:paraId="27EC9E17"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dar a conocer el nombre y cargo del servidor público que no haya recibido una sanción por una supuesta responsabilidad que no se comprobó, la cual </w:t>
      </w:r>
      <w:r>
        <w:rPr>
          <w:rFonts w:ascii="Palatino Linotype" w:eastAsia="Palatino Linotype" w:hAnsi="Palatino Linotype" w:cs="Palatino Linotype"/>
        </w:rPr>
        <w:lastRenderedPageBreak/>
        <w:t xml:space="preserve">no causa una afectación a otros, como se precisó en párrafos anteriores, podría generar un juicio </w:t>
      </w:r>
      <w:r>
        <w:rPr>
          <w:rFonts w:ascii="Palatino Linotype" w:eastAsia="Palatino Linotype" w:hAnsi="Palatino Linotype" w:cs="Palatino Linotype"/>
          <w:i/>
        </w:rPr>
        <w:t>a priori</w:t>
      </w:r>
      <w:r>
        <w:rPr>
          <w:rFonts w:ascii="Palatino Linotype" w:eastAsia="Palatino Linotype" w:hAnsi="Palatino Linotype" w:cs="Palatino Linotype"/>
        </w:rPr>
        <w:t xml:space="preserve"> por parte de la sociedad, afectando su prestigio y su buen nombre, pues la sociedad podría calificar de manera negativa a dicho servidor público, o hacerlo sujeto a ofensas, lo cual daña su vida privada y profesional, mismas que forman parte de su intimidad; por lo que se concluye que dicha información, en caso que existiera, tiene el carácter de confidencial.</w:t>
      </w:r>
    </w:p>
    <w:p w14:paraId="3B799BCB"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ha señalado a lo largo de los párrafos anteriores en la generalidad es posible otorgar en algunos casos el acceso a los expedientes o resoluciones derivados de quejas o denuncias, de ser el caso en versión pública, clasificando el nombre, cargo y área de adscripción de los servidores públicos involucrados, no obstante en el caso particular se hace identificable a la servidora pública de la cual se desea conocer la información, por lo que se identifican los siguientes supuestos: </w:t>
      </w:r>
    </w:p>
    <w:p w14:paraId="435A8081" w14:textId="77777777" w:rsidR="00474967" w:rsidRDefault="00AB3B72">
      <w:pPr>
        <w:spacing w:before="240" w:after="240" w:line="360" w:lineRule="auto"/>
        <w:ind w:left="426" w:right="40"/>
        <w:jc w:val="both"/>
        <w:rPr>
          <w:rFonts w:ascii="Palatino Linotype" w:eastAsia="Palatino Linotype" w:hAnsi="Palatino Linotype" w:cs="Palatino Linotype"/>
          <w:b/>
        </w:rPr>
      </w:pPr>
      <w:r>
        <w:rPr>
          <w:rFonts w:ascii="Palatino Linotype" w:eastAsia="Palatino Linotype" w:hAnsi="Palatino Linotype" w:cs="Palatino Linotype"/>
          <w:b/>
        </w:rPr>
        <w:t>A) de los expedientes en trámite:</w:t>
      </w:r>
    </w:p>
    <w:p w14:paraId="0200B2D4" w14:textId="77777777" w:rsidR="00474967" w:rsidRDefault="00AB3B72">
      <w:pPr>
        <w:spacing w:before="240" w:after="240" w:line="360" w:lineRule="auto"/>
        <w:ind w:left="426" w:right="40"/>
        <w:jc w:val="both"/>
        <w:rPr>
          <w:rFonts w:ascii="Palatino Linotype" w:eastAsia="Palatino Linotype" w:hAnsi="Palatino Linotype" w:cs="Palatino Linotype"/>
        </w:rPr>
      </w:pPr>
      <w:r>
        <w:rPr>
          <w:rFonts w:ascii="Palatino Linotype" w:eastAsia="Palatino Linotype" w:hAnsi="Palatino Linotype" w:cs="Palatino Linotype"/>
        </w:rPr>
        <w:t>1.</w:t>
      </w:r>
      <w:r>
        <w:rPr>
          <w:rFonts w:ascii="Palatino Linotype" w:eastAsia="Palatino Linotype" w:hAnsi="Palatino Linotype" w:cs="Palatino Linotype"/>
        </w:rPr>
        <w:tab/>
        <w:t xml:space="preserve">Del pronunciamiento en sentido afirmativo o negativo respecto de si la servidora pública referida en la solicitud de información cuenta con procedimientos administrativos por faltas graves y no graves; </w:t>
      </w:r>
    </w:p>
    <w:p w14:paraId="6FD919F2" w14:textId="77777777" w:rsidR="00474967" w:rsidRDefault="00AB3B72">
      <w:pPr>
        <w:spacing w:before="240" w:after="240" w:line="360" w:lineRule="auto"/>
        <w:ind w:left="426" w:right="40"/>
        <w:jc w:val="both"/>
        <w:rPr>
          <w:rFonts w:ascii="Palatino Linotype" w:eastAsia="Palatino Linotype" w:hAnsi="Palatino Linotype" w:cs="Palatino Linotype"/>
        </w:rPr>
      </w:pPr>
      <w:r>
        <w:rPr>
          <w:rFonts w:ascii="Palatino Linotype" w:eastAsia="Palatino Linotype" w:hAnsi="Palatino Linotype" w:cs="Palatino Linotype"/>
        </w:rPr>
        <w:t>2. Con excepción de aquellos iniciados por actos de corrupción o violaciones graves a derechos humanos, los cuales deberán ser entregados en versión pública.</w:t>
      </w:r>
    </w:p>
    <w:p w14:paraId="76C55C30" w14:textId="77777777" w:rsidR="00474967" w:rsidRDefault="00474967">
      <w:pPr>
        <w:spacing w:before="240" w:after="240" w:line="360" w:lineRule="auto"/>
        <w:ind w:left="426" w:right="40"/>
        <w:jc w:val="both"/>
        <w:rPr>
          <w:rFonts w:ascii="Palatino Linotype" w:eastAsia="Palatino Linotype" w:hAnsi="Palatino Linotype" w:cs="Palatino Linotype"/>
        </w:rPr>
      </w:pPr>
    </w:p>
    <w:p w14:paraId="0C6E9759" w14:textId="77777777" w:rsidR="00474967" w:rsidRDefault="00AB3B72">
      <w:pPr>
        <w:spacing w:before="240" w:after="240" w:line="360" w:lineRule="auto"/>
        <w:ind w:left="426" w:right="40"/>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B) De los expedientes concluidos:</w:t>
      </w:r>
    </w:p>
    <w:p w14:paraId="09B0F931" w14:textId="77777777" w:rsidR="00474967" w:rsidRDefault="00AB3B72">
      <w:pPr>
        <w:spacing w:before="240" w:after="240" w:line="360" w:lineRule="auto"/>
        <w:ind w:left="426" w:right="40"/>
        <w:jc w:val="both"/>
        <w:rPr>
          <w:rFonts w:ascii="Palatino Linotype" w:eastAsia="Palatino Linotype" w:hAnsi="Palatino Linotype" w:cs="Palatino Linotype"/>
        </w:rPr>
      </w:pPr>
      <w:r>
        <w:rPr>
          <w:rFonts w:ascii="Palatino Linotype" w:eastAsia="Palatino Linotype" w:hAnsi="Palatino Linotype" w:cs="Palatino Linotype"/>
        </w:rPr>
        <w:t>1.</w:t>
      </w:r>
      <w:r>
        <w:rPr>
          <w:rFonts w:ascii="Palatino Linotype" w:eastAsia="Palatino Linotype" w:hAnsi="Palatino Linotype" w:cs="Palatino Linotype"/>
        </w:rPr>
        <w:tab/>
        <w:t xml:space="preserve">Del pronunciamiento en sentido afirmativo o negativo respecto de si la servidora pública referida en la solicitud de información, cuenta con procedimientos administrativos por faltas no graves sin importar si fue absolutorio o condenatorio, así como de procedimientos administrativos graves absolutorios.  </w:t>
      </w:r>
    </w:p>
    <w:p w14:paraId="655487B1" w14:textId="77777777" w:rsidR="00474967" w:rsidRDefault="00AB3B72">
      <w:pPr>
        <w:spacing w:before="240" w:after="240" w:line="360" w:lineRule="auto"/>
        <w:ind w:left="426" w:right="40"/>
        <w:jc w:val="both"/>
        <w:rPr>
          <w:rFonts w:ascii="Palatino Linotype" w:eastAsia="Palatino Linotype" w:hAnsi="Palatino Linotype" w:cs="Palatino Linotype"/>
          <w:highlight w:val="yellow"/>
        </w:rPr>
      </w:pPr>
      <w:r>
        <w:rPr>
          <w:rFonts w:ascii="Palatino Linotype" w:eastAsia="Palatino Linotype" w:hAnsi="Palatino Linotype" w:cs="Palatino Linotype"/>
        </w:rPr>
        <w:t>2.</w:t>
      </w:r>
      <w:r>
        <w:rPr>
          <w:rFonts w:ascii="Palatino Linotype" w:eastAsia="Palatino Linotype" w:hAnsi="Palatino Linotype" w:cs="Palatino Linotype"/>
        </w:rPr>
        <w:tab/>
        <w:t>Para el caso de que cuente con expedientes de quejas concluidos por faltas administrativas graves con resolución condenatoria procede su acceso en versión pública.</w:t>
      </w:r>
    </w:p>
    <w:p w14:paraId="76E688A9"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atención al inciso A), punto 1, se trata de información que debe ser clasificada como reservada, </w:t>
      </w:r>
      <w:r>
        <w:rPr>
          <w:rFonts w:ascii="Palatino Linotype" w:eastAsia="Palatino Linotype" w:hAnsi="Palatino Linotype" w:cs="Palatino Linotype"/>
          <w:b/>
        </w:rPr>
        <w:t>porque al no estar concluido, de revelarse la información se atenta contra el principio de presunción de inocencia que debe seguirse en la administración de la justicia</w:t>
      </w:r>
      <w:r>
        <w:rPr>
          <w:rFonts w:ascii="Palatino Linotype" w:eastAsia="Palatino Linotype" w:hAnsi="Palatino Linotype" w:cs="Palatino Linotype"/>
        </w:rPr>
        <w:t>,</w:t>
      </w:r>
      <w:r>
        <w:t xml:space="preserve"> </w:t>
      </w:r>
      <w:r>
        <w:rPr>
          <w:rFonts w:ascii="Palatino Linotype" w:eastAsia="Palatino Linotype" w:hAnsi="Palatino Linotype" w:cs="Palatino Linotype"/>
        </w:rPr>
        <w:t xml:space="preserve">de revelarse la información de las personas a quienes se les ha iniciado un procedimiento administrativo y el nombre de aquellos que tienen un procedimiento instaurado y se encuentra pendiente de resolución rompería la regla de tratamiento y de juicio que debe seguirse en la administración de justicia, es decir, su incidencia tiene implicaciones que </w:t>
      </w:r>
      <w:r>
        <w:rPr>
          <w:rFonts w:ascii="Palatino Linotype" w:eastAsia="Palatino Linotype" w:hAnsi="Palatino Linotype" w:cs="Palatino Linotype"/>
          <w:b/>
        </w:rPr>
        <w:t xml:space="preserve">pudieran afectar la forma en cómo debe tratarse al servidor público acusado, pues no se ha comprobado en su totalidad que éste incurrió en una infracción, alterando el proceso de investigación  y el debido proceso en el procedimiento, </w:t>
      </w:r>
      <w:r>
        <w:rPr>
          <w:rFonts w:ascii="Palatino Linotype" w:eastAsia="Palatino Linotype" w:hAnsi="Palatino Linotype" w:cs="Palatino Linotype"/>
        </w:rPr>
        <w:t>razón por la cual en dicho supuesto se deberá clasificar la información como reservada, conforme a la causal establecida en el artículo 140, fracción VI de la Ley en la materia.</w:t>
      </w:r>
    </w:p>
    <w:p w14:paraId="0515A2CD"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Para el caso del inciso B), punto 1, procede la clasificación confidencial del pronunciamiento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sentido positivo o negativo respecto a la existencia o no de este tipo de procedimientos, toda vez que el simple pronunciamiento respecto de la información solicitada afectaría la esfera privada de la servidora pública, puesto que podría generar una percepción negativa de esta, ocasionando un perjuicio en su </w:t>
      </w:r>
      <w:r>
        <w:rPr>
          <w:rFonts w:ascii="Palatino Linotype" w:eastAsia="Palatino Linotype" w:hAnsi="Palatino Linotype" w:cs="Palatino Linotype"/>
          <w:b/>
        </w:rPr>
        <w:t xml:space="preserve">honor, intimidad y buena imagen, </w:t>
      </w:r>
      <w:r>
        <w:rPr>
          <w:rFonts w:ascii="Palatino Linotype" w:eastAsia="Palatino Linotype" w:hAnsi="Palatino Linotype" w:cs="Palatino Linotype"/>
        </w:rPr>
        <w:t xml:space="preserve"> pues como se precisó  en líneas anteriores la afectación es para el propio servidor público, afectando su prestigio y su buen nombre, pues esto podría causar una mala percepción del servidor público frente a la sociedad, </w:t>
      </w:r>
      <w:r>
        <w:rPr>
          <w:rFonts w:ascii="Palatino Linotype" w:eastAsia="Palatino Linotype" w:hAnsi="Palatino Linotype" w:cs="Palatino Linotype"/>
          <w:b/>
        </w:rPr>
        <w:t>lo cual daña su vida privada y profesional,</w:t>
      </w:r>
      <w:r>
        <w:rPr>
          <w:rFonts w:ascii="Palatino Linotype" w:eastAsia="Palatino Linotype" w:hAnsi="Palatino Linotype" w:cs="Palatino Linotype"/>
        </w:rPr>
        <w:t xml:space="preserve"> mismas que forman parte de su intimidad; por lo que se concluye que dicha información, en caso de que existiera, tiene el carácter de confidencial.</w:t>
      </w:r>
    </w:p>
    <w:p w14:paraId="2A133910" w14:textId="77777777" w:rsidR="00474967" w:rsidRDefault="00AB3B72">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que este Organismo Garante estima que la información a la que se pretende acceder, por su propia y especial naturaleza al concernir exclusivamente a las partes en el procedimiento, actualiza el supuesto de clasificación como información confidencial, bajo la premisa de que el derecho de acceso a la información pública tiene como limitante el respeto a la intimidad y a la vida privada de las personas.</w:t>
      </w:r>
    </w:p>
    <w:p w14:paraId="3E80E332" w14:textId="77777777" w:rsidR="00474967" w:rsidRDefault="00AB3B72">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w:t>
      </w:r>
      <w:r>
        <w:rPr>
          <w:rFonts w:ascii="Palatino Linotype" w:eastAsia="Palatino Linotype" w:hAnsi="Palatino Linotype" w:cs="Palatino Linotype"/>
          <w:color w:val="000000"/>
        </w:rPr>
        <w:lastRenderedPageBreak/>
        <w:t>anterior en términos de lo dispuesto por los artículos 6, 22, 38 y 43, de la Ley de Protección de Datos Personales en Posesión de los sujetos Obligados del Estado de México y Municipios.</w:t>
      </w:r>
    </w:p>
    <w:p w14:paraId="7198BA78" w14:textId="77777777" w:rsidR="00474967" w:rsidRDefault="00AB3B72">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 efecto de no vulnerar el derecho de acceso a la información pública de los solicitantes, o dejarlos en estado de incertidumbre, la Ley constriñe a los sujetos obligados a que elaboren acuerdos de clasificación a través de sus Comités de Transparencia, cuya finalidad consiste en hacer de su conocimiento, de manera fundada y motivada, las razones por las cuales no puede ser entregada la documentación que requieren, restringiendo como consecuencia su derecho de acceso a la información pública.</w:t>
      </w:r>
    </w:p>
    <w:p w14:paraId="0B368E79" w14:textId="77777777" w:rsidR="00474967" w:rsidRDefault="00AB3B72">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este tenor, la clasificación de la información debe seguir las formalidades establecidas en los artículos 49 fracción VIII y 132 fracciones I y II de la Ley de Transparencia y Acceso a la Información Pública del Estado de México y Municipios, así como los numerales Cuarto al Décimo Primero de los Lineamientos Generales en materia de Clasificación y Desclasificación de la Información, así como para la elaboración de Versiones Públicas, que a la letra señalan lo siguiente:</w:t>
      </w:r>
    </w:p>
    <w:p w14:paraId="47047B9E" w14:textId="77777777" w:rsidR="00474967" w:rsidRDefault="00AB3B72">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Artículo 49.</w:t>
      </w:r>
      <w:r>
        <w:rPr>
          <w:rFonts w:ascii="Palatino Linotype" w:eastAsia="Palatino Linotype" w:hAnsi="Palatino Linotype" w:cs="Palatino Linotype"/>
          <w:i/>
          <w:color w:val="000000"/>
          <w:sz w:val="22"/>
          <w:szCs w:val="22"/>
        </w:rPr>
        <w:t xml:space="preserve"> Los Comités de Transparencia tendrán las siguientes atribuciones:</w:t>
      </w:r>
    </w:p>
    <w:p w14:paraId="12073711" w14:textId="77777777" w:rsidR="00474967" w:rsidRDefault="00AB3B72">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i/>
          <w:color w:val="000000"/>
          <w:sz w:val="22"/>
          <w:szCs w:val="22"/>
        </w:rPr>
        <w:t>…</w:t>
      </w:r>
    </w:p>
    <w:p w14:paraId="39D83269" w14:textId="77777777" w:rsidR="00474967" w:rsidRDefault="00AB3B72">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i/>
          <w:color w:val="000000"/>
          <w:sz w:val="22"/>
          <w:szCs w:val="22"/>
        </w:rPr>
        <w:t>VIII. Aprobar, modificar o revocar la clasificación de la información;</w:t>
      </w:r>
    </w:p>
    <w:p w14:paraId="3612B891" w14:textId="77777777" w:rsidR="00474967" w:rsidRDefault="00AB3B72">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w:t>
      </w:r>
    </w:p>
    <w:p w14:paraId="073F6507" w14:textId="77777777" w:rsidR="00474967" w:rsidRDefault="00AB3B72">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Artículo 132</w:t>
      </w:r>
      <w:r>
        <w:rPr>
          <w:rFonts w:ascii="Palatino Linotype" w:eastAsia="Palatino Linotype" w:hAnsi="Palatino Linotype" w:cs="Palatino Linotype"/>
          <w:i/>
          <w:color w:val="000000"/>
          <w:sz w:val="22"/>
          <w:szCs w:val="22"/>
        </w:rPr>
        <w:t>. La clasificación de la información se llevará a cabo en el momento en que:</w:t>
      </w:r>
    </w:p>
    <w:p w14:paraId="2613628F" w14:textId="77777777" w:rsidR="00474967" w:rsidRDefault="00AB3B72">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i/>
          <w:color w:val="000000"/>
          <w:sz w:val="22"/>
          <w:szCs w:val="22"/>
        </w:rPr>
        <w:lastRenderedPageBreak/>
        <w:t>I. Se reciba una solicitud de acceso a la información;</w:t>
      </w:r>
    </w:p>
    <w:p w14:paraId="50B8D773" w14:textId="77777777" w:rsidR="00474967" w:rsidRDefault="00AB3B72">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i/>
          <w:color w:val="000000"/>
          <w:sz w:val="22"/>
          <w:szCs w:val="22"/>
        </w:rPr>
        <w:t>II. Se determine mediante resolución de autoridad competente;...”</w:t>
      </w:r>
    </w:p>
    <w:p w14:paraId="5E2E25E6" w14:textId="77777777" w:rsidR="00474967" w:rsidRDefault="00AB3B72">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Cuarto</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Para clasificar la información como reservada o confidencial</w:t>
      </w:r>
      <w:r>
        <w:rPr>
          <w:rFonts w:ascii="Palatino Linotype" w:eastAsia="Palatino Linotype" w:hAnsi="Palatino Linotype" w:cs="Palatino Linotype"/>
          <w:i/>
          <w:color w:val="000000"/>
          <w:sz w:val="22"/>
          <w:szCs w:val="22"/>
        </w:rPr>
        <w:t xml:space="preserve">, de manera total o parcial, el titular del área del </w:t>
      </w:r>
      <w:r>
        <w:rPr>
          <w:rFonts w:ascii="Palatino Linotype" w:eastAsia="Palatino Linotype" w:hAnsi="Palatino Linotype" w:cs="Palatino Linotype"/>
          <w:b/>
          <w:i/>
          <w:color w:val="000000"/>
          <w:sz w:val="22"/>
          <w:szCs w:val="22"/>
        </w:rPr>
        <w:t>sujeto obligado deberá atender lo dispuesto por el Título Sexto de la Ley General</w:t>
      </w:r>
      <w:r>
        <w:rPr>
          <w:rFonts w:ascii="Palatino Linotype" w:eastAsia="Palatino Linotype" w:hAnsi="Palatino Linotype" w:cs="Palatino Linotype"/>
          <w:i/>
          <w:color w:val="000000"/>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B70E191" w14:textId="77777777" w:rsidR="00474967" w:rsidRDefault="00AB3B72">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Los sujetos obligados deberán aplicar, de manera estricta, las excepciones al derecho de acceso a la información y sólo podrán invocarlas cuando acrediten su procedencia.</w:t>
      </w:r>
    </w:p>
    <w:p w14:paraId="248A3891" w14:textId="77777777" w:rsidR="00474967" w:rsidRDefault="00AB3B72">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Quinto.</w:t>
      </w:r>
      <w:r>
        <w:rPr>
          <w:rFonts w:ascii="Palatino Linotype" w:eastAsia="Palatino Linotype" w:hAnsi="Palatino Linotype" w:cs="Palatino Linotype"/>
          <w:i/>
          <w:color w:val="000000"/>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w:t>
      </w:r>
      <w:r>
        <w:rPr>
          <w:rFonts w:ascii="Palatino Linotype" w:eastAsia="Palatino Linotype" w:hAnsi="Palatino Linotype" w:cs="Palatino Linotype"/>
          <w:b/>
          <w:i/>
          <w:color w:val="000000"/>
          <w:sz w:val="22"/>
          <w:szCs w:val="22"/>
        </w:rPr>
        <w:t>eberán fundar y motivar debidamente la clasificación de la información ante una solicitud de acceso</w:t>
      </w:r>
      <w:r>
        <w:rPr>
          <w:rFonts w:ascii="Palatino Linotype" w:eastAsia="Palatino Linotype" w:hAnsi="Palatino Linotype" w:cs="Palatino Linotype"/>
          <w:i/>
          <w:color w:val="000000"/>
          <w:sz w:val="22"/>
          <w:szCs w:val="22"/>
        </w:rPr>
        <w:t xml:space="preserve"> o al momento en que generen versiones públicas para dar cumplimiento a las obligaciones de transparencia, observando lo dispuesto en la Ley General y las demás disposiciones aplicables en la materia.</w:t>
      </w:r>
    </w:p>
    <w:p w14:paraId="65A8D1B0" w14:textId="77777777" w:rsidR="00474967" w:rsidRDefault="00AB3B72">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Sexto.</w:t>
      </w:r>
      <w:r>
        <w:rPr>
          <w:rFonts w:ascii="Palatino Linotype" w:eastAsia="Palatino Linotype" w:hAnsi="Palatino Linotype" w:cs="Palatino Linotype"/>
          <w:i/>
          <w:color w:val="000000"/>
          <w:sz w:val="22"/>
          <w:szCs w:val="22"/>
        </w:rPr>
        <w:t xml:space="preserve"> Los sujetos obligados </w:t>
      </w:r>
      <w:r>
        <w:rPr>
          <w:rFonts w:ascii="Palatino Linotype" w:eastAsia="Palatino Linotype" w:hAnsi="Palatino Linotype" w:cs="Palatino Linotype"/>
          <w:b/>
          <w:i/>
          <w:color w:val="000000"/>
          <w:sz w:val="22"/>
          <w:szCs w:val="22"/>
        </w:rPr>
        <w:t>no podrán emitir acuerdos de carácter general ni particular que clasifiquen documentos o expedientes como reservados</w:t>
      </w:r>
      <w:r>
        <w:rPr>
          <w:rFonts w:ascii="Palatino Linotype" w:eastAsia="Palatino Linotype" w:hAnsi="Palatino Linotype" w:cs="Palatino Linotype"/>
          <w:i/>
          <w:color w:val="000000"/>
          <w:sz w:val="22"/>
          <w:szCs w:val="22"/>
        </w:rPr>
        <w:t>, ni clasificar documentos antes de que se genere la información o cuando éstos no obren en sus archivos.</w:t>
      </w:r>
    </w:p>
    <w:p w14:paraId="188143ED" w14:textId="77777777" w:rsidR="00474967" w:rsidRDefault="00AB3B72">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La clasificación de información se realizará conforme a un análisis caso por caso, mediante la aplicación de la prueba de daño y de interés público.</w:t>
      </w:r>
    </w:p>
    <w:p w14:paraId="32179FA9" w14:textId="77777777" w:rsidR="00474967" w:rsidRDefault="00AB3B72">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Séptimo.</w:t>
      </w:r>
      <w:r>
        <w:rPr>
          <w:rFonts w:ascii="Palatino Linotype" w:eastAsia="Palatino Linotype" w:hAnsi="Palatino Linotype" w:cs="Palatino Linotype"/>
          <w:i/>
          <w:color w:val="000000"/>
          <w:sz w:val="22"/>
          <w:szCs w:val="22"/>
        </w:rPr>
        <w:t xml:space="preserve"> La clasificación de la información se llevará a cabo en el momento en que:</w:t>
      </w:r>
    </w:p>
    <w:p w14:paraId="4F54D196" w14:textId="77777777" w:rsidR="00474967" w:rsidRDefault="00AB3B72">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Se reciba una solicitud de acceso a la información;</w:t>
      </w:r>
    </w:p>
    <w:p w14:paraId="03F9545E" w14:textId="77777777" w:rsidR="00474967" w:rsidRDefault="00AB3B72">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xml:space="preserve"> Se determine mediante resolución de autoridad competente, o</w:t>
      </w:r>
    </w:p>
    <w:p w14:paraId="0F264AB5" w14:textId="77777777" w:rsidR="00474967" w:rsidRDefault="00AB3B72">
      <w:pPr>
        <w:pBdr>
          <w:top w:val="nil"/>
          <w:left w:val="nil"/>
          <w:bottom w:val="nil"/>
          <w:right w:val="nil"/>
          <w:between w:val="nil"/>
        </w:pBdr>
        <w:spacing w:before="120" w:after="120" w:line="276" w:lineRule="auto"/>
        <w:ind w:left="993" w:right="902"/>
        <w:jc w:val="both"/>
        <w:rPr>
          <w:color w:val="000000"/>
        </w:rPr>
      </w:pPr>
      <w:r>
        <w:rPr>
          <w:rFonts w:ascii="Palatino Linotype" w:eastAsia="Palatino Linotype" w:hAnsi="Palatino Linotype" w:cs="Palatino Linotype"/>
          <w:b/>
          <w:i/>
          <w:color w:val="000000"/>
          <w:sz w:val="22"/>
          <w:szCs w:val="22"/>
        </w:rPr>
        <w:lastRenderedPageBreak/>
        <w:t>III.</w:t>
      </w:r>
      <w:r>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la Ley General, la Ley Federal y las correspondientes de las entidades federativas.</w:t>
      </w:r>
    </w:p>
    <w:p w14:paraId="4B0CA9D7" w14:textId="77777777" w:rsidR="00474967" w:rsidRDefault="00AB3B72">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Los titulares de las áreas deberán revisar la clasificación al momento de la recepción de una solicitud de acceso a la información, para verificar si encuadra en una causal de reserva o de confidencialidad.</w:t>
      </w:r>
    </w:p>
    <w:p w14:paraId="3FDC7DC3" w14:textId="77777777" w:rsidR="00474967" w:rsidRDefault="00AB3B72">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Octavo.</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Para fundar la clasificación de la información se debe señalar el artículo, fracción, inciso, párrafo o numeral de la ley o tratado internacional suscrito por el Estado mexicano que expresamente le otorga el carácter de reservada o confidencial.</w:t>
      </w:r>
    </w:p>
    <w:p w14:paraId="08D187D2" w14:textId="77777777" w:rsidR="00474967" w:rsidRDefault="00AB3B72">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Para motivar la clasificación se deberán señalar las razones o circunstancias especiales que lo llevaron a concluir que el caso particular se ajusta al supuesto previsto por la norma legal invocada como fundamento.</w:t>
      </w:r>
    </w:p>
    <w:p w14:paraId="69543EEE" w14:textId="77777777" w:rsidR="00474967" w:rsidRDefault="00AB3B72">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En caso de referirse a información reservada, la motivación de la clasificación también deberá comprender las circunstancias que justifican el establecimiento de determinado plazo de reserva.</w:t>
      </w:r>
    </w:p>
    <w:p w14:paraId="5FFF20C7" w14:textId="77777777" w:rsidR="00474967" w:rsidRDefault="00AB3B72">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599956D8" w14:textId="77777777" w:rsidR="00474967" w:rsidRDefault="00AB3B72">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Los documentos contenidos en los archivos históricos y los identificados como históricos confidenciales no serán susceptibles de clasificación como reservados.</w:t>
      </w:r>
    </w:p>
    <w:p w14:paraId="6AA59387" w14:textId="77777777" w:rsidR="00474967" w:rsidRDefault="00AB3B72">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Noveno.</w:t>
      </w:r>
      <w:r>
        <w:rPr>
          <w:rFonts w:ascii="Palatino Linotype" w:eastAsia="Palatino Linotype" w:hAnsi="Palatino Linotype" w:cs="Palatino Linotype"/>
          <w:i/>
          <w:color w:val="000000"/>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D1993EE" w14:textId="77777777" w:rsidR="00474967" w:rsidRDefault="00AB3B72">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Décimo.</w:t>
      </w:r>
      <w:r>
        <w:rPr>
          <w:rFonts w:ascii="Palatino Linotype" w:eastAsia="Palatino Linotype" w:hAnsi="Palatino Linotype" w:cs="Palatino Linotype"/>
          <w:i/>
          <w:color w:val="000000"/>
          <w:sz w:val="22"/>
          <w:szCs w:val="22"/>
        </w:rPr>
        <w:t xml:space="preserve"> Los titulares de las áreas, deberán tener conocimiento y llevar un registro del personal que, por la naturaleza de sus atribuciones, tenga acceso a los </w:t>
      </w:r>
      <w:r>
        <w:rPr>
          <w:rFonts w:ascii="Palatino Linotype" w:eastAsia="Palatino Linotype" w:hAnsi="Palatino Linotype" w:cs="Palatino Linotype"/>
          <w:i/>
          <w:color w:val="000000"/>
          <w:sz w:val="22"/>
          <w:szCs w:val="22"/>
        </w:rPr>
        <w:lastRenderedPageBreak/>
        <w:t>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94D1543" w14:textId="77777777" w:rsidR="00474967" w:rsidRDefault="00AB3B72">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En ausencia de los titulares de las áreas, la información será clasificada o desclasificada por la persona que lo supla, en términos de la normativa que rija la actuación del sujeto obligado.</w:t>
      </w:r>
    </w:p>
    <w:p w14:paraId="6D35724B" w14:textId="77777777" w:rsidR="00474967" w:rsidRDefault="00AB3B72">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Décimo primero</w:t>
      </w:r>
      <w:r>
        <w:rPr>
          <w:rFonts w:ascii="Palatino Linotype" w:eastAsia="Palatino Linotype" w:hAnsi="Palatino Linotype" w:cs="Palatino Linotype"/>
          <w:i/>
          <w:color w:val="000000"/>
          <w:sz w:val="22"/>
          <w:szCs w:val="22"/>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66EA7F9" w14:textId="77777777" w:rsidR="00474967" w:rsidRDefault="00AB3B72">
      <w:pPr>
        <w:pBdr>
          <w:top w:val="nil"/>
          <w:left w:val="nil"/>
          <w:bottom w:val="nil"/>
          <w:right w:val="nil"/>
          <w:between w:val="nil"/>
        </w:pBdr>
        <w:spacing w:before="280" w:after="280" w:line="360" w:lineRule="auto"/>
        <w:ind w:right="51"/>
        <w:jc w:val="both"/>
        <w:rPr>
          <w:color w:val="000000"/>
        </w:rPr>
      </w:pPr>
      <w:r>
        <w:rPr>
          <w:rFonts w:ascii="Palatino Linotype" w:eastAsia="Palatino Linotype" w:hAnsi="Palatino Linotype" w:cs="Palatino Linotype"/>
          <w:color w:val="000000"/>
        </w:rPr>
        <w:t xml:space="preserve">En esta tesitura es de precisar que la clasificación de la información no se da por el simple mandato de la Ley, sino que es necesario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como se desprende de los artículos 59 fracción V, 53 fracción X, y 49 fracciones II y VIII de la Ley de Transparencia y Acceso a la Información Pública del Estado de México y Municipios.</w:t>
      </w:r>
    </w:p>
    <w:p w14:paraId="4E2ED7B1" w14:textId="77777777" w:rsidR="00474967" w:rsidRDefault="00AB3B72">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lastRenderedPageBreak/>
        <w:t>Derivado de lo expuesto, a efectos de tener por atendido el derecho de acceso a la información de la parte</w:t>
      </w:r>
      <w:r>
        <w:rPr>
          <w:rFonts w:ascii="Palatino Linotype" w:eastAsia="Palatino Linotype" w:hAnsi="Palatino Linotype" w:cs="Palatino Linotype"/>
          <w:b/>
          <w:color w:val="000000"/>
        </w:rPr>
        <w:t xml:space="preserve"> RECURRENTE</w:t>
      </w:r>
      <w:r>
        <w:rPr>
          <w:rFonts w:ascii="Palatino Linotype" w:eastAsia="Palatino Linotype" w:hAnsi="Palatino Linotype" w:cs="Palatino Linotype"/>
          <w:color w:val="000000"/>
        </w:rPr>
        <w:t xml:space="preserve">, se estima procedente modificar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ordenando, la búsqueda exhaustiva de la información en los archivos de la Contraloría Interna, y en caso de que existiera, la emisión de un acuerdo mediante el cual el Comité de Transparencia apruebe la clasificación del pronunciamiento respecto al</w:t>
      </w:r>
      <w:r>
        <w:rPr>
          <w:color w:val="000000"/>
        </w:rPr>
        <w:t xml:space="preserve"> </w:t>
      </w:r>
      <w:r>
        <w:rPr>
          <w:rFonts w:ascii="Palatino Linotype" w:eastAsia="Palatino Linotype" w:hAnsi="Palatino Linotype" w:cs="Palatino Linotype"/>
          <w:color w:val="000000"/>
        </w:rPr>
        <w:t>expediente y todo lo actuado de las quejas en contra de la Servidora Pública MARIA DEL ROSARIO SALAZAR REYES en los años 2019 y 2020 como información confidencial y/o reservada, para lo cual debe cumplir con las formalidades establecidas en los artículos 49 fracción VIII, 129 y 132 fracciones I y II de la Ley de Transparencia y Acceso a la Información Pública del Estado de México y Municipios, así como los numerales Cuarto al Décimo Primero de los Lineamientos Generales en materia de Clasificación y Desclasificación de la Información, así como para la elaboración de Versiones Públicas, citados con antelación, así como las observaciones apuntadas en el cuerpo de la presente resolución.</w:t>
      </w:r>
    </w:p>
    <w:p w14:paraId="76159224" w14:textId="77777777" w:rsidR="00474967" w:rsidRDefault="00AB3B72">
      <w:pPr>
        <w:numPr>
          <w:ilvl w:val="0"/>
          <w:numId w:val="4"/>
        </w:numPr>
        <w:pBdr>
          <w:top w:val="nil"/>
          <w:left w:val="nil"/>
          <w:bottom w:val="nil"/>
          <w:right w:val="nil"/>
          <w:between w:val="nil"/>
        </w:pBdr>
        <w:spacing w:before="240" w:after="240" w:line="360" w:lineRule="auto"/>
        <w:ind w:right="90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De los procedimientos de responsabilidad en trámite relacionados con actos de corrupción, violaciones graves de derechos humanos o delitos de lesa humanidad</w:t>
      </w:r>
    </w:p>
    <w:p w14:paraId="34945E0C"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Por otra parte, se considera de suma importancia mencionar que la Ley de Transparencia vigente en el Estado de México establece:</w:t>
      </w:r>
    </w:p>
    <w:p w14:paraId="3AE8CCA6" w14:textId="77777777" w:rsidR="00474967" w:rsidRDefault="00AB3B72">
      <w:pPr>
        <w:spacing w:after="240" w:line="276" w:lineRule="auto"/>
        <w:ind w:left="860" w:right="8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Bajo ninguna circunstancia podrá invocarse el carácter de reservado cuando</w:t>
      </w:r>
      <w:r>
        <w:rPr>
          <w:rFonts w:ascii="Palatino Linotype" w:eastAsia="Palatino Linotype" w:hAnsi="Palatino Linotype" w:cs="Palatino Linotype"/>
          <w:i/>
          <w:sz w:val="22"/>
          <w:szCs w:val="22"/>
        </w:rPr>
        <w:t>:</w:t>
      </w:r>
    </w:p>
    <w:p w14:paraId="0FFFD16D" w14:textId="77777777" w:rsidR="00474967" w:rsidRDefault="00AB3B72">
      <w:pPr>
        <w:spacing w:before="240" w:after="240" w:line="276" w:lineRule="auto"/>
        <w:ind w:left="860" w:right="8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Se trate de violaciones graves de derechos humanos</w:t>
      </w:r>
      <w:r>
        <w:rPr>
          <w:rFonts w:ascii="Palatino Linotype" w:eastAsia="Palatino Linotype" w:hAnsi="Palatino Linotype" w:cs="Palatino Linotype"/>
          <w:i/>
          <w:sz w:val="22"/>
          <w:szCs w:val="22"/>
        </w:rPr>
        <w:t>, calificada así por autoridad competente;</w:t>
      </w:r>
    </w:p>
    <w:p w14:paraId="64120342" w14:textId="77777777" w:rsidR="00474967" w:rsidRDefault="00AB3B72">
      <w:pPr>
        <w:spacing w:before="240" w:after="240" w:line="276" w:lineRule="auto"/>
        <w:ind w:left="860" w:right="8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Se trate de la investigación de posibles violaciones graves de derechos humanos</w:t>
      </w:r>
      <w:r>
        <w:rPr>
          <w:rFonts w:ascii="Palatino Linotype" w:eastAsia="Palatino Linotype" w:hAnsi="Palatino Linotype" w:cs="Palatino Linotype"/>
          <w:i/>
          <w:sz w:val="22"/>
          <w:szCs w:val="22"/>
        </w:rPr>
        <w:t xml:space="preserve"> aun cuando no exista pronunciamiento previo de autoridad competente, cuando se determine, a partir de criterios cuantitativos y cualitativos la trascendencia social de las violaciones;</w:t>
      </w:r>
    </w:p>
    <w:p w14:paraId="2213F1D1" w14:textId="77777777" w:rsidR="00474967" w:rsidRDefault="00AB3B72">
      <w:pPr>
        <w:spacing w:before="240" w:after="240" w:line="276" w:lineRule="auto"/>
        <w:ind w:left="860" w:right="8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Se trate de delitos de lesa humanidad</w:t>
      </w:r>
      <w:r>
        <w:rPr>
          <w:rFonts w:ascii="Palatino Linotype" w:eastAsia="Palatino Linotype" w:hAnsi="Palatino Linotype" w:cs="Palatino Linotype"/>
          <w:i/>
          <w:sz w:val="22"/>
          <w:szCs w:val="22"/>
        </w:rPr>
        <w:t xml:space="preserve"> conforme a los tratados ratificados por el Senado de la República, las resoluciones emitidas por organismos internacionales cuya competencia sea reconocida por el Estado Mexicano, así como en las disposiciones jurídicas aplicables; y</w:t>
      </w:r>
    </w:p>
    <w:p w14:paraId="7230958C" w14:textId="77777777" w:rsidR="00474967" w:rsidRDefault="00AB3B72">
      <w:pPr>
        <w:spacing w:before="240" w:after="240" w:line="276" w:lineRule="auto"/>
        <w:ind w:left="860" w:right="8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b/>
          <w:i/>
          <w:sz w:val="22"/>
          <w:szCs w:val="22"/>
          <w:u w:val="single"/>
        </w:rPr>
        <w:t>. Se trate de información relacionada con actos de corrupción</w:t>
      </w:r>
      <w:r>
        <w:rPr>
          <w:rFonts w:ascii="Palatino Linotype" w:eastAsia="Palatino Linotype" w:hAnsi="Palatino Linotype" w:cs="Palatino Linotype"/>
          <w:i/>
          <w:sz w:val="22"/>
          <w:szCs w:val="22"/>
        </w:rPr>
        <w:t xml:space="preserve"> de conformidad con las disposiciones jurídicas aplicables.</w:t>
      </w:r>
    </w:p>
    <w:p w14:paraId="4CE605A8" w14:textId="77777777" w:rsidR="00474967" w:rsidRDefault="00AB3B72">
      <w:pPr>
        <w:spacing w:before="240" w:after="240" w:line="276" w:lineRule="auto"/>
        <w:ind w:left="860" w:right="8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2F73EA27" w14:textId="77777777" w:rsidR="00474967" w:rsidRDefault="00AB3B7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Del artículo en estudio, se aprecia claramente en qué supuestos </w:t>
      </w:r>
      <w:r>
        <w:rPr>
          <w:rFonts w:ascii="Palatino Linotype" w:eastAsia="Palatino Linotype" w:hAnsi="Palatino Linotype" w:cs="Palatino Linotype"/>
          <w:b/>
          <w:u w:val="single"/>
        </w:rPr>
        <w:t>no se puede invocar el carácter de reservada,</w:t>
      </w:r>
      <w:r>
        <w:rPr>
          <w:rFonts w:ascii="Palatino Linotype" w:eastAsia="Palatino Linotype" w:hAnsi="Palatino Linotype" w:cs="Palatino Linotype"/>
        </w:rPr>
        <w:t xml:space="preserve"> sin embargo en el presente asunto no se tiene la certeza de que el Sujeto Obligado esté tramitando algún asunto relacionado con los supuestos establecidos en el dispositivo legal en análisis, en virtud de que este órgano Garante no puede calificar al no poseer la información, empero el Sujeto Obligado si estaría en posibilidades de determinarlo, y </w:t>
      </w:r>
      <w:r>
        <w:rPr>
          <w:rFonts w:ascii="Palatino Linotype" w:eastAsia="Palatino Linotype" w:hAnsi="Palatino Linotype" w:cs="Palatino Linotype"/>
          <w:b/>
        </w:rPr>
        <w:t>de ser el caso poner a disposición del recurrente la información en versión pública.</w:t>
      </w:r>
    </w:p>
    <w:p w14:paraId="0CEAB822"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realizar una búsqueda exhaustiva y razonable de la información requerida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y, de ser el caso de que se actualice alguno de los supuestos contemplados en el artículo 142 de la Ley de Transparencia y Acceso a la Información del Estado de México y Municipios, </w:t>
      </w:r>
      <w:r>
        <w:rPr>
          <w:rFonts w:ascii="Palatino Linotype" w:eastAsia="Palatino Linotype" w:hAnsi="Palatino Linotype" w:cs="Palatino Linotype"/>
        </w:rPr>
        <w:lastRenderedPageBreak/>
        <w:t>deberá entregar a la parte recurrente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información en versión pública a efecto de proteger cualquier dato personal sensible de ser clasificado de terceros, si no se pudiera encuadrar tal circunstancia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deberá fundar y motivar debidamente las razones por las cuales no se le puede entregar la información, esto es emitir el acuerdo de reserva correspondiente.</w:t>
      </w:r>
    </w:p>
    <w:p w14:paraId="23A69B4A" w14:textId="77777777" w:rsidR="00474967" w:rsidRDefault="00AB3B72">
      <w:pPr>
        <w:numPr>
          <w:ilvl w:val="0"/>
          <w:numId w:val="2"/>
        </w:numPr>
        <w:pBdr>
          <w:top w:val="nil"/>
          <w:left w:val="nil"/>
          <w:bottom w:val="nil"/>
          <w:right w:val="nil"/>
          <w:between w:val="nil"/>
        </w:pBdr>
        <w:spacing w:before="240" w:after="240" w:line="360" w:lineRule="auto"/>
        <w:ind w:left="1134" w:right="900" w:hanging="283"/>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De los procedimientos sobre faltas administrativas graves concluidos con sanción condenatoria.</w:t>
      </w:r>
    </w:p>
    <w:p w14:paraId="49A01C6E" w14:textId="77777777" w:rsidR="00474967" w:rsidRDefault="00AB3B72">
      <w:pPr>
        <w:spacing w:before="240" w:after="240" w:line="360" w:lineRule="auto"/>
        <w:ind w:right="40"/>
        <w:jc w:val="both"/>
        <w:rPr>
          <w:rFonts w:ascii="Palatino Linotype" w:eastAsia="Palatino Linotype" w:hAnsi="Palatino Linotype" w:cs="Palatino Linotype"/>
        </w:rPr>
      </w:pPr>
      <w:r>
        <w:rPr>
          <w:rFonts w:ascii="Palatino Linotype" w:eastAsia="Palatino Linotype" w:hAnsi="Palatino Linotype" w:cs="Palatino Linotype"/>
        </w:rPr>
        <w:t>Si el o los expedientes que encuadren en el supuesto que se analiza, ya han causado estado, es decir, que ya no acepta recurso o medio de defensa alguno, es procedente entregar la información al recurrente pero en versión pública, dejando visible el nombre, cargo y sanción impuesta al Servidor Público condenado del cual se solicita información, no así todos los datos personales que en éste se encuentren los que se deberán proteger, para lo cual el Sujeto Obligado deberá realizar y notificar el acuerdo de clasificación de la información relativa a los datos personales a efecto de que pueda emitir la versión pública de lo que se le solicitó, deberá clasificarla por la hipótesis análoga siendo aplicables los numerales de la Ley de la materia, que a la letra esgrimen:</w:t>
      </w:r>
    </w:p>
    <w:p w14:paraId="1E6F8ACB" w14:textId="77777777" w:rsidR="00474967" w:rsidRDefault="00AB3B72">
      <w:pPr>
        <w:spacing w:line="276" w:lineRule="auto"/>
        <w:ind w:left="860" w:right="8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3. Para los efectos de la presente Ley se entenderá por:</w:t>
      </w:r>
    </w:p>
    <w:p w14:paraId="382C57A0" w14:textId="77777777" w:rsidR="00474967" w:rsidRDefault="00AB3B72">
      <w:pPr>
        <w:spacing w:line="276" w:lineRule="auto"/>
        <w:ind w:left="860" w:right="8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182A72B7" w14:textId="77777777" w:rsidR="00474967" w:rsidRDefault="00AB3B72">
      <w:pPr>
        <w:spacing w:line="276" w:lineRule="auto"/>
        <w:ind w:left="860" w:right="8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IX. Datos personales: La información concerniente a una persona, identificada o identificable según lo dispuesto por la Ley de Protección de Datos Personales del Estado de México;</w:t>
      </w:r>
    </w:p>
    <w:p w14:paraId="2F7F84F0" w14:textId="77777777" w:rsidR="00474967" w:rsidRDefault="00AB3B72">
      <w:pPr>
        <w:spacing w:line="276" w:lineRule="auto"/>
        <w:ind w:left="860" w:right="8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4A1BB657" w14:textId="77777777" w:rsidR="00474967" w:rsidRDefault="00AB3B72">
      <w:pPr>
        <w:spacing w:line="276" w:lineRule="auto"/>
        <w:ind w:left="860" w:right="8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XLV. Versión pública: Documento en el que se elimine, suprime o borra la información clasificada como reservada o confidencial para permitir su acceso.</w:t>
      </w:r>
    </w:p>
    <w:p w14:paraId="242F0891" w14:textId="77777777" w:rsidR="00474967" w:rsidRDefault="00AB3B72">
      <w:pPr>
        <w:spacing w:line="276"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122. La clasificación es el proceso mediante el cual el Sujeto Obligado determina que la información en su poder </w:t>
      </w:r>
      <w:proofErr w:type="spellStart"/>
      <w:r>
        <w:rPr>
          <w:rFonts w:ascii="Palatino Linotype" w:eastAsia="Palatino Linotype" w:hAnsi="Palatino Linotype" w:cs="Palatino Linotype"/>
          <w:i/>
          <w:sz w:val="22"/>
          <w:szCs w:val="22"/>
        </w:rPr>
        <w:t>actualiza</w:t>
      </w:r>
      <w:proofErr w:type="spellEnd"/>
      <w:r>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3B6857CD" w14:textId="77777777" w:rsidR="00474967" w:rsidRDefault="00AB3B72">
      <w:pPr>
        <w:spacing w:line="276"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CFD24FF" w14:textId="77777777" w:rsidR="00474967" w:rsidRDefault="00AB3B72">
      <w:pPr>
        <w:spacing w:line="276"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132. La clasificación de la información se llevará a cabo en el momento en que:</w:t>
      </w:r>
    </w:p>
    <w:p w14:paraId="06811618" w14:textId="77777777" w:rsidR="00474967" w:rsidRDefault="00AB3B72">
      <w:pPr>
        <w:spacing w:line="276" w:lineRule="auto"/>
        <w:ind w:left="860" w:right="8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13946D3" w14:textId="77777777" w:rsidR="00474967" w:rsidRDefault="00AB3B72">
      <w:pPr>
        <w:spacing w:line="276" w:lineRule="auto"/>
        <w:ind w:left="860" w:right="8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III. Se generen versiones públicas para dar cumplimiento a las obligaciones de transparencia previstas en esta Ley.</w:t>
      </w:r>
    </w:p>
    <w:p w14:paraId="2D5ED7A8" w14:textId="77777777" w:rsidR="00474967" w:rsidRDefault="00AB3B72">
      <w:pPr>
        <w:spacing w:line="276" w:lineRule="auto"/>
        <w:ind w:left="860" w:right="82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Pr>
          <w:rFonts w:ascii="Palatino Linotype" w:eastAsia="Palatino Linotype" w:hAnsi="Palatino Linotype" w:cs="Palatino Linotype"/>
          <w:b/>
          <w:i/>
          <w:sz w:val="22"/>
          <w:szCs w:val="22"/>
          <w:u w:val="single"/>
        </w:rPr>
        <w:t xml:space="preserve">de manera genérica y fundando y motivando su clasificación.” (Sic) </w:t>
      </w:r>
    </w:p>
    <w:p w14:paraId="2A841B0E"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w:t>
      </w:r>
    </w:p>
    <w:p w14:paraId="290EA574"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1EE23EA"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Así, los LINEAMIENTOS GENERALES EN MATERIA DE CLASIFICACIÓN Y DESCLASIFICACIÓN DE LA INFORMACIÓN, ASÍ COMO PARA LA ELABORACIÓN DE VERSIONES PÚBLICAS, emitidos por Consejo Nacional del Sistema Nacional de Transparencia, señalan con claridad cuáles son aquellos datos personales que deben ser clasificados al momento de la elaboración de las versiones públicas.</w:t>
      </w:r>
    </w:p>
    <w:p w14:paraId="17E49A82"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Efectivamente, cuando se clasifica información como confidencial o reservada </w:t>
      </w:r>
      <w:r>
        <w:rPr>
          <w:rFonts w:ascii="Palatino Linotype" w:eastAsia="Palatino Linotype" w:hAnsi="Palatino Linotype" w:cs="Palatino Linotype"/>
          <w:b/>
        </w:rPr>
        <w:t>es deber someterlo al Comité de Transparencia</w:t>
      </w:r>
      <w:r>
        <w:rPr>
          <w:rFonts w:ascii="Palatino Linotype" w:eastAsia="Palatino Linotype" w:hAnsi="Palatino Linotype" w:cs="Palatino Linotype"/>
        </w:rPr>
        <w:t xml:space="preserve">, quien debe confirmar, modificar o revocar las determinaciones en materia de clasificación de la información que realicen los titulares de las áreas de los sujetos obligados; por lo tanto, la entrega de documentos en su versión pública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w:t>
      </w:r>
      <w:r>
        <w:rPr>
          <w:rFonts w:ascii="Palatino Linotype" w:eastAsia="Palatino Linotype" w:hAnsi="Palatino Linotype" w:cs="Palatino Linotype"/>
        </w:rPr>
        <w:lastRenderedPageBreak/>
        <w:t>de incertidumbre, al no conocer o comprender porque no aparecen en la documentación respectiva.</w:t>
      </w:r>
    </w:p>
    <w:p w14:paraId="3808202E"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Por otro lado, si bien es cierto, que entregar el nombre de los servidores públicos que obtuvieron alguna sanción, podría generar una percepción negativa de estos, ocasionando un perjuicio en su honor, intimidad, buena imagen y nombre, así como a su vida privada, también lo es, que en el presente caso se trata de responsabilidades graves.</w:t>
      </w:r>
    </w:p>
    <w:p w14:paraId="2AC74BF8"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se puede establecer responsabilidades graves, cuando un servidor público cometa actos de corrupción, desvío de recursos públicos, abuso de funciones, realizar hostigamiento y acoso sexual, enriquecimiento oculto, tráfico de influencias, entre otros, los cuales recaer en diversas sanciones, entre las que se encuentran la recisión, o en su caso, la sanción económica.</w:t>
      </w:r>
    </w:p>
    <w:p w14:paraId="3ABA38F8"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cabe señalar que la mayoría de dichas conductas, se encuentran reguladas en el Título Sexto Delitos por Hechos de Corrupción, del Código Penal del Estado de México, en donde se prevé como delitos el abuso de autoridad, uso ilícito de atribuciones, ejercicio abusivo de funciones y enriquecimiento ilícito.</w:t>
      </w:r>
    </w:p>
    <w:p w14:paraId="15284DB3"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Conforme a lo anterior, se logra vislumbrar que las responsabilidades graves, causan un perjuicio de manera externa, esto es, a terceras personas o bien, a la hacienda o erario público; por lo que, se podría considerar que existe una trascendencia social, para dar a conocer dicha información, además que se relacionan dichas conductas con actos de corrupción, conforme a la normatividad citada en el párrafo previo.</w:t>
      </w:r>
    </w:p>
    <w:p w14:paraId="46398A11"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ese orden de ideas, si bien los procedimientos solicitados, podrían generar una percepción negativa de los servidores públicos que les acreditó una responsabilidad grave, ocasionaría un perjuicio en su honor, intimidad y buena imagen, también lo es que existe un interés público en darlas a conocer, pues establecen que el actuar de los Servidores Públicos, en ejercicio de sus atribuciones, fueron en contra de las disposiciones normativas aplicables y que causaron un perjuicio a otras personas o al erario público.</w:t>
      </w:r>
    </w:p>
    <w:p w14:paraId="2872974D"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Ante tales circunstancias, se desprende que, en el caso concreto, sobreviene una colisión de derechos fundamentales, esto es, por una parte, se tiene el derecho de acceso a la información de la Particular para conocer la información en análisis, y por la otra, el derecho a la protección de la vida privada de diversos servidores públicos, lo cual implica dar a conocer información confidencial, consistente en los procedimientos en donde se les acredito una responsabilidad grave, de tal manera, en que los puedan reconocer.</w:t>
      </w:r>
    </w:p>
    <w:p w14:paraId="4F2338BE"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concretó, y no apelando a reglas de prioridad entre normas.</w:t>
      </w:r>
    </w:p>
    <w:p w14:paraId="1544ADB6"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colisión entre el derecho a la información y el derecho a la intimidad o a la vida privada, el Poder Judicial de la Federación ha sostenido la necesidad de resolver el conflicto apuntado mediante el ejercicio de ponderación; </w:t>
      </w:r>
      <w:r>
        <w:rPr>
          <w:rFonts w:ascii="Palatino Linotype" w:eastAsia="Palatino Linotype" w:hAnsi="Palatino Linotype" w:cs="Palatino Linotype"/>
        </w:rPr>
        <w:lastRenderedPageBreak/>
        <w:t>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tal y como se desprende de la tesis 1a. XLIII/2010, emitida por la Primera Sala de la Suprema Corte de Justicia de la Nación, publicada en el Semanario Judicial de la Federación y su Gaceta, Tomo XXXI, página 928, de marzo de 2010, Novena Época, materia constitucional.</w:t>
      </w:r>
    </w:p>
    <w:p w14:paraId="06C8ED0C"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mismo sentido y atendiendo a la naturaleza del derecho a la protección de datos personales, por analogía, este debe ceder cuando exista un interés público mayor de acuerdo a las circunstancias del caso. Señalado lo anterior, resulta necesario realizar una ponderación de los dos intereses jurídicos tutelados que convergen en la controversia que se dirime; para lo cual, el artículo 184 de la Ley de Transparencia y Acceso a la Información Pública del Estado de México y Municipios prevé que cuando exista una colisión de derechos, este Instituto, al resolver el recurso de revisión, debe aplicar una prueba de interés público con base en elementos de idoneidad, necesidad y proporcionalidad. Para estos efectos, se entenderá por:</w:t>
      </w:r>
    </w:p>
    <w:p w14:paraId="653A953D" w14:textId="77777777" w:rsidR="00474967" w:rsidRDefault="00AB3B72">
      <w:pPr>
        <w:spacing w:before="240" w:line="360" w:lineRule="auto"/>
        <w:ind w:left="1280" w:hanging="420"/>
        <w:jc w:val="both"/>
        <w:rPr>
          <w:rFonts w:ascii="Palatino Linotype" w:eastAsia="Palatino Linotype" w:hAnsi="Palatino Linotype" w:cs="Palatino Linotype"/>
          <w:sz w:val="22"/>
          <w:szCs w:val="22"/>
        </w:rPr>
      </w:pPr>
      <w:r>
        <w:rPr>
          <w:rFonts w:ascii="Noto Sans Symbols" w:eastAsia="Noto Sans Symbols" w:hAnsi="Noto Sans Symbols" w:cs="Noto Sans Symbols"/>
          <w:sz w:val="22"/>
          <w:szCs w:val="22"/>
        </w:rPr>
        <w:t>−</w:t>
      </w:r>
      <w:r>
        <w:rPr>
          <w:sz w:val="14"/>
          <w:szCs w:val="14"/>
        </w:rPr>
        <w:t xml:space="preserve">          </w:t>
      </w:r>
      <w:r>
        <w:rPr>
          <w:rFonts w:ascii="Palatino Linotype" w:eastAsia="Palatino Linotype" w:hAnsi="Palatino Linotype" w:cs="Palatino Linotype"/>
          <w:b/>
          <w:sz w:val="22"/>
          <w:szCs w:val="22"/>
        </w:rPr>
        <w:t>Idoneidad:</w:t>
      </w:r>
      <w:r>
        <w:rPr>
          <w:rFonts w:ascii="Palatino Linotype" w:eastAsia="Palatino Linotype" w:hAnsi="Palatino Linotype" w:cs="Palatino Linotype"/>
          <w:sz w:val="22"/>
          <w:szCs w:val="22"/>
        </w:rPr>
        <w:t xml:space="preserve"> La legitimidad del derecho adoptado como preferente, que sea el adecuado para el logro de un fin constitucionalmente válido o apto para conseguir el fin pretendido;</w:t>
      </w:r>
    </w:p>
    <w:p w14:paraId="137C21A0" w14:textId="77777777" w:rsidR="00474967" w:rsidRDefault="00AB3B72">
      <w:pPr>
        <w:spacing w:before="240" w:after="240" w:line="360" w:lineRule="auto"/>
        <w:ind w:left="1280" w:hanging="420"/>
        <w:jc w:val="both"/>
        <w:rPr>
          <w:rFonts w:ascii="Palatino Linotype" w:eastAsia="Palatino Linotype" w:hAnsi="Palatino Linotype" w:cs="Palatino Linotype"/>
          <w:sz w:val="22"/>
          <w:szCs w:val="22"/>
        </w:rPr>
      </w:pPr>
      <w:r>
        <w:rPr>
          <w:rFonts w:ascii="Noto Sans Symbols" w:eastAsia="Noto Sans Symbols" w:hAnsi="Noto Sans Symbols" w:cs="Noto Sans Symbols"/>
          <w:sz w:val="22"/>
          <w:szCs w:val="22"/>
        </w:rPr>
        <w:t>−</w:t>
      </w:r>
      <w:r>
        <w:rPr>
          <w:sz w:val="14"/>
          <w:szCs w:val="14"/>
        </w:rPr>
        <w:t xml:space="preserve">          </w:t>
      </w:r>
      <w:r>
        <w:rPr>
          <w:rFonts w:ascii="Palatino Linotype" w:eastAsia="Palatino Linotype" w:hAnsi="Palatino Linotype" w:cs="Palatino Linotype"/>
          <w:b/>
          <w:sz w:val="22"/>
          <w:szCs w:val="22"/>
        </w:rPr>
        <w:t>Necesidad:</w:t>
      </w:r>
      <w:r>
        <w:rPr>
          <w:rFonts w:ascii="Palatino Linotype" w:eastAsia="Palatino Linotype" w:hAnsi="Palatino Linotype" w:cs="Palatino Linotype"/>
          <w:sz w:val="22"/>
          <w:szCs w:val="22"/>
        </w:rPr>
        <w:t xml:space="preserve"> La falta de un medio alternativo menos lesivo a la apertura de la información, para satisfacer el interés público, y</w:t>
      </w:r>
    </w:p>
    <w:p w14:paraId="1C22B026" w14:textId="77777777" w:rsidR="00474967" w:rsidRDefault="00AB3B72">
      <w:pPr>
        <w:spacing w:before="240" w:after="240" w:line="360" w:lineRule="auto"/>
        <w:ind w:left="1280" w:hanging="420"/>
        <w:jc w:val="both"/>
        <w:rPr>
          <w:rFonts w:ascii="Palatino Linotype" w:eastAsia="Palatino Linotype" w:hAnsi="Palatino Linotype" w:cs="Palatino Linotype"/>
          <w:sz w:val="22"/>
          <w:szCs w:val="22"/>
        </w:rPr>
      </w:pPr>
      <w:r>
        <w:rPr>
          <w:rFonts w:ascii="Noto Sans Symbols" w:eastAsia="Noto Sans Symbols" w:hAnsi="Noto Sans Symbols" w:cs="Noto Sans Symbols"/>
          <w:sz w:val="22"/>
          <w:szCs w:val="22"/>
        </w:rPr>
        <w:lastRenderedPageBreak/>
        <w:t>−</w:t>
      </w:r>
      <w:r>
        <w:rPr>
          <w:sz w:val="14"/>
          <w:szCs w:val="14"/>
        </w:rPr>
        <w:t xml:space="preserve">          </w:t>
      </w:r>
      <w:r>
        <w:rPr>
          <w:rFonts w:ascii="Palatino Linotype" w:eastAsia="Palatino Linotype" w:hAnsi="Palatino Linotype" w:cs="Palatino Linotype"/>
          <w:b/>
          <w:sz w:val="22"/>
          <w:szCs w:val="22"/>
        </w:rPr>
        <w:t>Proporcionalidad:</w:t>
      </w:r>
      <w:r>
        <w:rPr>
          <w:rFonts w:ascii="Palatino Linotype" w:eastAsia="Palatino Linotype" w:hAnsi="Palatino Linotype" w:cs="Palatino Linotype"/>
          <w:sz w:val="22"/>
          <w:szCs w:val="22"/>
        </w:rPr>
        <w:t xml:space="preserve"> El equilibrio entre perjuicio y beneficio a favor del interés público, a fin de que la decisión tomada represente un beneficio mayor al perjuicio que podría causar a la población.</w:t>
      </w:r>
    </w:p>
    <w:p w14:paraId="79CC5E0B" w14:textId="77777777" w:rsidR="00474967" w:rsidRDefault="00AB3B72">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orden de ideas, resulta procedente analizar cada uno de los elementos referidos, partiendo de que, en el caso concreto, se estima como preferente el derecho de acceso a la información, bajo las consideraciones que se verterán a continuación.</w:t>
      </w:r>
    </w:p>
    <w:p w14:paraId="3040CDB3"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a) Idoneidad</w:t>
      </w:r>
      <w:r>
        <w:rPr>
          <w:rFonts w:ascii="Palatino Linotype" w:eastAsia="Palatino Linotype" w:hAnsi="Palatino Linotype" w:cs="Palatino Linotype"/>
        </w:rPr>
        <w:t>. El presente asunto representa un caso en el que el ejercicio del derecho de acceso a la información se contrapone al derecho a la vida privada, los cuales se encuentran reconocidos en el plano constitucional, en igualdad de características para los gobernados.</w:t>
      </w:r>
    </w:p>
    <w:p w14:paraId="41200FB0"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Sin embargo, existen dos fines válidos para otorgar los acuerdos emitidos en los expedientes de procedimientos de responsabilidades graves; los cuales, consisten en transparentar, por un lado, el desempeño de dichos trabajadores en cuestión en el ejercicio de sus funciones, sobre todo, dado que se tratan de servidores públicos, con la finalidad de calificar su actuar, ello con independencia de que tal funcionario también revista el carácter de persona física identificada e identificable, y, por otro lado, la actividad desplegada por el Sujeto Obligado, en la investigación y determinación de los asuntos. Aunado, a que se relacionan con responsabilidades calificadas como graves.</w:t>
      </w:r>
    </w:p>
    <w:p w14:paraId="0606AD9B"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respecto al derecho al honor y a la privacidad, es establecido que cuando se hace referencia a servidores públicos, el umbral de protección del derecho a su honor debe permitir el más amplio control ciudadano sobre el ejercicio de sus </w:t>
      </w:r>
      <w:r>
        <w:rPr>
          <w:rFonts w:ascii="Palatino Linotype" w:eastAsia="Palatino Linotype" w:hAnsi="Palatino Linotype" w:cs="Palatino Linotype"/>
        </w:rPr>
        <w:lastRenderedPageBreak/>
        <w:t>funciones, porque el funcionario público se expone voluntariamente al escrutinio de la sociedad al asumir ciertas responsabilidades profesionales -lo que conlleva naturalmente mayores riesgos de sufrir afectaciones en su honor- y, porque su condición le permite tener mayor influencia social y acceder con facilidad a los medios de comunicación para dar explicaciones o reaccionar ante hechos que lo involucren.</w:t>
      </w:r>
    </w:p>
    <w:p w14:paraId="493EBE8B"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se advierte que aquellas personas con responsabilidades públicas mantienen la protección derivada del derecho al honor incluso cuando no estén actuando en carácter de particulares, pero las implicaciones de esta protección deben ser ponderadas con las que derivan del interés en un debate abierto sobre los asuntos públicos.</w:t>
      </w:r>
    </w:p>
    <w:p w14:paraId="0720ACEC"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el hecho de que los servidores públicos concluyan sus funciones, no implica que termine el mayor nivel de tolerancia frente a la crítica de su desempeño, es decir, no significa que una vez que el servidor público termine su encargo, debe estar vedado publicar información respecto de su desempeño o que se termine el mayor nivel de tolerancia que debe tener frente a la crítica, sino que ese mayor nivel, sólo se tiene frente a la información de interés público.</w:t>
      </w:r>
    </w:p>
    <w:p w14:paraId="0B9685B9"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dado que la información se relaciona con el actuar de los servidores públicos adscritos al Sujeto Obligado, existe un interés público por conocer los procedimientos generados en análisis vinculados con el nombre del servidor público sancionado, y, por lo tanto, la información del interés del particular no es susceptible </w:t>
      </w:r>
      <w:r>
        <w:rPr>
          <w:rFonts w:ascii="Palatino Linotype" w:eastAsia="Palatino Linotype" w:hAnsi="Palatino Linotype" w:cs="Palatino Linotype"/>
        </w:rPr>
        <w:lastRenderedPageBreak/>
        <w:t>de protección en tanto que su vinculación con una persona determinada reviste un interés público mayor de ser dado a conocer.</w:t>
      </w:r>
    </w:p>
    <w:p w14:paraId="2894AF39"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ya que como se precisó en párrafos anteriores, proporcionar la información de referencia, garantizaría la rendición de cuentas por parte de la Contraloría Municipal del Sujeto Obligado, relativo a su actuación, teniendo como consecuencia que los ciudadanos tengan confianza en sus autoridades, al poder conocer todos los documentos derivados de los procedimientos administrativos disciplinarios y que hayan concluido con resolución en donde se determine que un servidor público tuvo responsabilidades graves, relacionadas al ejercicio de las funciones.</w:t>
      </w:r>
    </w:p>
    <w:p w14:paraId="6B12ED34"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que, con dicha información, se estaría revelando que el desempeño de los servidores públicos sancionados, no fue conforme a derecho, asimismo, de dar a conocer que los referidos acreditaron que había cometido alguna responsabilidad grave.</w:t>
      </w:r>
    </w:p>
    <w:p w14:paraId="5022D961"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Con base en lo anterior, se considera que el principio que se debe adoptar en el presente asunto es el que subyace en el derecho fundamental de acceso a la información, puesto que a través de éste se busca no sólo satisfacer un interés individual, sino la necesidad de la colectividad de estar en posibilidad de evaluar el desempeño de los servidores públicos y autoridades.</w:t>
      </w:r>
    </w:p>
    <w:p w14:paraId="63FA30E2"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b) Necesidad: </w:t>
      </w:r>
      <w:r>
        <w:rPr>
          <w:rFonts w:ascii="Palatino Linotype" w:eastAsia="Palatino Linotype" w:hAnsi="Palatino Linotype" w:cs="Palatino Linotype"/>
        </w:rPr>
        <w:t xml:space="preserve">Por otra parte, este Instituto observa que también se actualiza el principio de necesidad, ya que no existe un medio menos oneroso para lograr el fin </w:t>
      </w:r>
      <w:r>
        <w:rPr>
          <w:rFonts w:ascii="Palatino Linotype" w:eastAsia="Palatino Linotype" w:hAnsi="Palatino Linotype" w:cs="Palatino Linotype"/>
        </w:rPr>
        <w:lastRenderedPageBreak/>
        <w:t>válido, pues se estima necesaria la difusión de la información requerida, es decir, de los procedimientos en análisis vinculándolos al servidor público sancionado, pues se relacionan con el ejercicio de sus funciones de los cargos ocupados, a fin de que los ciudadanos identifiquen el tipo de desempeño efectuado por el trabajador, en el ejercicio de sus atribuciones y así, calificar su actuar, ello con independencia de que el funcionario también revista el carácter de persona física identificada e identificable, pues, tal como se hizo alusión en el análisis que precede, la protección de sus datos personales queda supeditada al interés mayor de conocer los motivos y circunstancias que dieron origen a las posibles responsabilidades instauradas en su contra, que en su caso obren en los archivos.</w:t>
      </w:r>
    </w:p>
    <w:p w14:paraId="1032355B"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ello permite evaluar la actuación de la Contraloría Municipal del Sujeto Obligado, pues se podrá advertir la forma en la que ejercieron las funciones que legalmente tienen conferidas.</w:t>
      </w:r>
    </w:p>
    <w:p w14:paraId="7135A312"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considerando que sólo por esta vía se podría lograr el acceso a la información correspondiente a los documentos del interés del Particular, para garantizar la rendición de cuentas sobre su actuación, así como, la de los servidores públicos sancionados.</w:t>
      </w:r>
    </w:p>
    <w:p w14:paraId="31BDE087"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tal virtud, por la trascendencia social de la materia del requerimiento, el derecho de acceso a la información deberá prevalecer sobre el derecho a la privacidad.</w:t>
      </w:r>
    </w:p>
    <w:p w14:paraId="5C5B5F9A"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 Proporcionalidad en sentido estricto:</w:t>
      </w:r>
      <w:r>
        <w:rPr>
          <w:rFonts w:ascii="Palatino Linotype" w:eastAsia="Palatino Linotype" w:hAnsi="Palatino Linotype" w:cs="Palatino Linotype"/>
        </w:rPr>
        <w:t xml:space="preserve"> El sacrificio de la protección del nombre de los servidores públicos, en caso de que hayan sido sujetos a proceso y cuente con </w:t>
      </w:r>
      <w:r>
        <w:rPr>
          <w:rFonts w:ascii="Palatino Linotype" w:eastAsia="Palatino Linotype" w:hAnsi="Palatino Linotype" w:cs="Palatino Linotype"/>
        </w:rPr>
        <w:lastRenderedPageBreak/>
        <w:t>una resolución sancionatoria por haber cometido responsabilidades graves, relacionadas con el desempeño de sus funciones, como medio para lograr el fin válido señalado, se justifica en razón de que se satisface el interés público en conocer el desempeño de sus funciones como trabajador gubernamental y elemento de la institución policial, esto es, que no operó conforme a derecho, así como, la actividad desplegada por las autoridades correspondientes, en el trámite de dichos asuntos. Además, que como se precisó en párrafos previos, dichas faltas recaen en una afectación, para terceras personas, o bien, al erario público.</w:t>
      </w:r>
    </w:p>
    <w:p w14:paraId="386F7881"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esta manera, se logra un mayor beneficio en proporción del otro derecho que se verá restringido, logrando publicitar información que es de interés público, por lo que, se advierte que el daño que se causaría con su difusión es menor a aquél que se causaría con su resguardo.</w:t>
      </w:r>
    </w:p>
    <w:p w14:paraId="276EB35F"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orden de ideas, es posible advertir un margen de beneficio mayor al favorecer el derecho de acceso a la información, respecto del derecho a la vida privada; por lo que, la intervención que subsume este ejercicio de ponderación apunta a la obtención de mayores efectos positivos y una afectación menor en la esfera de privacidad de los servidores públicos.</w:t>
      </w:r>
    </w:p>
    <w:p w14:paraId="5CE41A6D"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se robustece con el hecho de que la difusión de la información solicitada contribuiría a garantizar el ejercicio de acceso a la información, a favorecer la rendición de cuentas a los ciudadanos, de manera que puedan valorar el desempeño de los sujetos obligados y servidores públicos, además de fortalecer el escrutinio ciudadano sobre las actividades sustantivas de los sujetos obligados, en </w:t>
      </w:r>
      <w:r>
        <w:rPr>
          <w:rFonts w:ascii="Palatino Linotype" w:eastAsia="Palatino Linotype" w:hAnsi="Palatino Linotype" w:cs="Palatino Linotype"/>
        </w:rPr>
        <w:lastRenderedPageBreak/>
        <w:t>cumplimiento a los objetivos previstos en el artículo 2° de la Ley Federal de Transparencia y Acceso a la Información Pública.</w:t>
      </w:r>
    </w:p>
    <w:p w14:paraId="35D6BC69"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tanto, se concluye que, al tenor de la ponderación realizada, se cumple con los tres elementos para darle preminencia, en el caso concreto, al derecho de acceso a la información.</w:t>
      </w:r>
    </w:p>
    <w:p w14:paraId="0A06E8CE"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expuesto, se determina que los procedimientos de responsabilidades graves vinculados con el nombre de los servidores públicos o ex trabajadores, guardan la naturaleza pública, en razón de que, si bien la difusión de los mismos afectaría los derechos a la confidencialidad, a la privacidad, al honor y a la propia imagen, también lo es que tratándose de asuntos relacionados con actos de responsabilidad graves, tales prerrogativas quedan supeditadas al interés mayor de conocer tales eventualidades y por lo tanto no precede su clasificación en términos del artículo 143, fracción I de la Ley de la materia.</w:t>
      </w:r>
    </w:p>
    <w:p w14:paraId="461DE673" w14:textId="77777777"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lo anterior, se concluye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únicamente se encuentra constreñido, a proporcionar los procedimientos que ya hayan causado estado, sin testar el nombre del servidor público que fue sancionado por responsabilidades graves.</w:t>
      </w:r>
    </w:p>
    <w:p w14:paraId="041EABCA" w14:textId="77777777" w:rsidR="00474967" w:rsidRDefault="00AB3B72">
      <w:pPr>
        <w:spacing w:line="360" w:lineRule="auto"/>
        <w:jc w:val="both"/>
        <w:rPr>
          <w:rFonts w:ascii="Palatino Linotype" w:eastAsia="Palatino Linotype" w:hAnsi="Palatino Linotype" w:cs="Palatino Linotype"/>
        </w:rPr>
      </w:pPr>
      <w:bookmarkStart w:id="5" w:name="_heading=h.3dy6vkm" w:colFirst="0" w:colLast="0"/>
      <w:bookmarkEnd w:id="5"/>
      <w:r>
        <w:rPr>
          <w:rFonts w:ascii="Palatino Linotype" w:eastAsia="Palatino Linotype" w:hAnsi="Palatino Linotype" w:cs="Palatino Linotype"/>
        </w:rPr>
        <w:t>En consecuencia y en mérito de lo expuesto en líneas anteriores, resultan fundadas las razones o motivos de inconformidad hechos valer por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dentro del recurso de revisión </w:t>
      </w:r>
      <w:r>
        <w:rPr>
          <w:rFonts w:ascii="Palatino Linotype" w:eastAsia="Palatino Linotype" w:hAnsi="Palatino Linotype" w:cs="Palatino Linotype"/>
          <w:b/>
        </w:rPr>
        <w:t>00644/INFOEM/IP/RR/2022</w:t>
      </w:r>
      <w:r>
        <w:rPr>
          <w:rFonts w:ascii="Palatino Linotype" w:eastAsia="Palatino Linotype" w:hAnsi="Palatino Linotype" w:cs="Palatino Linotype"/>
        </w:rPr>
        <w:t xml:space="preserve">; por ello, y con fundamento en la fracción III del numeral 186 de la Ley de Transparencia y Acceso a la Información </w:t>
      </w:r>
      <w:r>
        <w:rPr>
          <w:rFonts w:ascii="Palatino Linotype" w:eastAsia="Palatino Linotype" w:hAnsi="Palatino Linotype" w:cs="Palatino Linotype"/>
        </w:rPr>
        <w:lastRenderedPageBreak/>
        <w:t xml:space="preserve">Pública del Estado de México y Municipios, se </w:t>
      </w:r>
      <w:r>
        <w:rPr>
          <w:rFonts w:ascii="Palatino Linotype" w:eastAsia="Palatino Linotype" w:hAnsi="Palatino Linotype" w:cs="Palatino Linotype"/>
          <w:b/>
        </w:rPr>
        <w:t>MODIFICA</w:t>
      </w:r>
      <w:r>
        <w:rPr>
          <w:rFonts w:ascii="Palatino Linotype" w:eastAsia="Palatino Linotype" w:hAnsi="Palatino Linotype" w:cs="Palatino Linotype"/>
        </w:rPr>
        <w:t xml:space="preserve"> la respuesta a la solicitud de información número </w:t>
      </w:r>
      <w:r>
        <w:rPr>
          <w:rFonts w:ascii="Palatino Linotype" w:eastAsia="Palatino Linotype" w:hAnsi="Palatino Linotype" w:cs="Palatino Linotype"/>
          <w:b/>
        </w:rPr>
        <w:t>00010/JOSERIN/IP/2022.</w:t>
      </w:r>
    </w:p>
    <w:p w14:paraId="27B107FA" w14:textId="77777777" w:rsidR="00474967" w:rsidRDefault="00474967">
      <w:pPr>
        <w:spacing w:line="360" w:lineRule="auto"/>
        <w:jc w:val="both"/>
        <w:rPr>
          <w:rFonts w:ascii="Palatino Linotype" w:eastAsia="Palatino Linotype" w:hAnsi="Palatino Linotype" w:cs="Palatino Linotype"/>
        </w:rPr>
      </w:pPr>
    </w:p>
    <w:p w14:paraId="4D8BC003" w14:textId="77777777" w:rsidR="00474967" w:rsidRDefault="00AB3B7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055203CB" w14:textId="77777777" w:rsidR="00474967" w:rsidRDefault="00AB3B72">
      <w:pPr>
        <w:numPr>
          <w:ilvl w:val="0"/>
          <w:numId w:val="7"/>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366827E9" w14:textId="77777777" w:rsidR="00474967" w:rsidRDefault="00AB3B7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Se</w:t>
      </w:r>
      <w:r>
        <w:rPr>
          <w:rFonts w:ascii="Palatino Linotype" w:eastAsia="Palatino Linotype" w:hAnsi="Palatino Linotype" w:cs="Palatino Linotype"/>
          <w:b/>
        </w:rPr>
        <w:t xml:space="preserve"> </w:t>
      </w:r>
      <w:r>
        <w:t xml:space="preserv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entregada por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a la solicitud de información </w:t>
      </w:r>
      <w:r>
        <w:rPr>
          <w:rFonts w:ascii="Palatino Linotype" w:eastAsia="Palatino Linotype" w:hAnsi="Palatino Linotype" w:cs="Palatino Linotype"/>
          <w:b/>
        </w:rPr>
        <w:t xml:space="preserve">00010/JOSERIN/IP/2022, </w:t>
      </w:r>
      <w:r>
        <w:rPr>
          <w:rFonts w:ascii="Palatino Linotype" w:eastAsia="Palatino Linotype" w:hAnsi="Palatino Linotype" w:cs="Palatino Linotype"/>
        </w:rPr>
        <w:t xml:space="preserve">por resultar fundadas las razones o motivos de inconformidad hechos valer por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00644/INFOEM/IP/RR/2022,</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la presente Resolución.</w:t>
      </w:r>
    </w:p>
    <w:p w14:paraId="54CFF314" w14:textId="77777777" w:rsidR="00474967" w:rsidRDefault="00AB3B72">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b/>
        </w:rPr>
        <w:t xml:space="preserve">SEGUNDO.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color w:val="000000"/>
        </w:rPr>
        <w:t>Ordena</w:t>
      </w:r>
      <w:r>
        <w:rPr>
          <w:rFonts w:ascii="Palatino Linotype" w:eastAsia="Palatino Linotype" w:hAnsi="Palatino Linotype" w:cs="Palatino Linotype"/>
          <w:color w:val="000000"/>
        </w:rPr>
        <w:t xml:space="preserve">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términos del Considerando </w:t>
      </w:r>
      <w:r>
        <w:rPr>
          <w:rFonts w:ascii="Palatino Linotype" w:eastAsia="Palatino Linotype" w:hAnsi="Palatino Linotype" w:cs="Palatino Linotype"/>
          <w:b/>
          <w:color w:val="000000"/>
        </w:rPr>
        <w:t xml:space="preserve">Cuarto </w:t>
      </w:r>
      <w:r>
        <w:rPr>
          <w:rFonts w:ascii="Palatino Linotype" w:eastAsia="Palatino Linotype" w:hAnsi="Palatino Linotype" w:cs="Palatino Linotype"/>
          <w:color w:val="000000"/>
        </w:rPr>
        <w:t>de esta resolución, haga entrega, vía SAIMEX, lo siguiente:</w:t>
      </w:r>
    </w:p>
    <w:p w14:paraId="48AD3383" w14:textId="77777777" w:rsidR="00474967" w:rsidRDefault="00474967">
      <w:pPr>
        <w:spacing w:line="360" w:lineRule="auto"/>
        <w:ind w:right="-93"/>
        <w:jc w:val="both"/>
        <w:rPr>
          <w:rFonts w:ascii="Palatino Linotype" w:eastAsia="Palatino Linotype" w:hAnsi="Palatino Linotype" w:cs="Palatino Linotype"/>
          <w:color w:val="000000"/>
        </w:rPr>
      </w:pPr>
    </w:p>
    <w:p w14:paraId="379DFBFC" w14:textId="77777777" w:rsidR="00474967" w:rsidRDefault="00AB3B72">
      <w:pPr>
        <w:spacing w:line="360" w:lineRule="auto"/>
        <w:ind w:left="1134" w:right="90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de los expedientes en trámite:</w:t>
      </w:r>
    </w:p>
    <w:p w14:paraId="42D8D2C1" w14:textId="77777777" w:rsidR="00474967" w:rsidRDefault="00474967">
      <w:pPr>
        <w:spacing w:line="360" w:lineRule="auto"/>
        <w:ind w:left="1134" w:right="900"/>
        <w:jc w:val="both"/>
        <w:rPr>
          <w:rFonts w:ascii="Palatino Linotype" w:eastAsia="Palatino Linotype" w:hAnsi="Palatino Linotype" w:cs="Palatino Linotype"/>
          <w:color w:val="000000"/>
        </w:rPr>
      </w:pPr>
    </w:p>
    <w:p w14:paraId="131A18A6" w14:textId="77777777" w:rsidR="00474967" w:rsidRDefault="00AB3B72">
      <w:pPr>
        <w:spacing w:line="360" w:lineRule="auto"/>
        <w:ind w:left="1134" w:right="900"/>
        <w:jc w:val="both"/>
        <w:rPr>
          <w:rFonts w:ascii="Palatino Linotype" w:eastAsia="Palatino Linotype" w:hAnsi="Palatino Linotype" w:cs="Palatino Linotype"/>
          <w:color w:val="000000"/>
          <w:u w:val="single"/>
        </w:rPr>
      </w:pPr>
      <w:bookmarkStart w:id="6" w:name="_heading=h.tyjcwt" w:colFirst="0" w:colLast="0"/>
      <w:bookmarkEnd w:id="6"/>
      <w:r>
        <w:rPr>
          <w:rFonts w:ascii="Palatino Linotype" w:eastAsia="Palatino Linotype" w:hAnsi="Palatino Linotype" w:cs="Palatino Linotype"/>
          <w:color w:val="000000"/>
        </w:rPr>
        <w:t>1.</w:t>
      </w:r>
      <w:r>
        <w:rPr>
          <w:rFonts w:ascii="Palatino Linotype" w:eastAsia="Palatino Linotype" w:hAnsi="Palatino Linotype" w:cs="Palatino Linotype"/>
          <w:color w:val="000000"/>
        </w:rPr>
        <w:tab/>
        <w:t xml:space="preserve">Acuerdo emitido por el Comité de Transparencia, en el que </w:t>
      </w:r>
      <w:r>
        <w:rPr>
          <w:rFonts w:ascii="Palatino Linotype" w:eastAsia="Palatino Linotype" w:hAnsi="Palatino Linotype" w:cs="Palatino Linotype"/>
          <w:b/>
          <w:color w:val="000000"/>
        </w:rPr>
        <w:t>clasifique como reservado</w:t>
      </w:r>
      <w:r>
        <w:rPr>
          <w:rFonts w:ascii="Palatino Linotype" w:eastAsia="Palatino Linotype" w:hAnsi="Palatino Linotype" w:cs="Palatino Linotype"/>
          <w:color w:val="000000"/>
        </w:rPr>
        <w:t xml:space="preserve"> el pronunciamiento en sentido afirmativo o negativo respecto de si la servidora pública referida </w:t>
      </w:r>
      <w:r>
        <w:rPr>
          <w:rFonts w:ascii="Palatino Linotype" w:eastAsia="Palatino Linotype" w:hAnsi="Palatino Linotype" w:cs="Palatino Linotype"/>
          <w:color w:val="000000"/>
        </w:rPr>
        <w:lastRenderedPageBreak/>
        <w:t xml:space="preserve">en la solicitud de información cuenta con procedimientos administrativos por faltas graves y no graves; </w:t>
      </w:r>
      <w:r>
        <w:rPr>
          <w:rFonts w:ascii="Palatino Linotype" w:eastAsia="Palatino Linotype" w:hAnsi="Palatino Linotype" w:cs="Palatino Linotype"/>
          <w:color w:val="000000"/>
          <w:u w:val="single"/>
        </w:rPr>
        <w:t>con excepción de aquellos iniciados por actos de corrupción o violaciones graves a derechos humanos, los cuales deberán ser entregados en versión pública.</w:t>
      </w:r>
    </w:p>
    <w:p w14:paraId="6B30464F" w14:textId="77777777" w:rsidR="00474967" w:rsidRDefault="00474967">
      <w:pPr>
        <w:spacing w:line="360" w:lineRule="auto"/>
        <w:ind w:left="1134" w:right="900"/>
        <w:jc w:val="both"/>
        <w:rPr>
          <w:rFonts w:ascii="Palatino Linotype" w:eastAsia="Palatino Linotype" w:hAnsi="Palatino Linotype" w:cs="Palatino Linotype"/>
          <w:color w:val="000000"/>
        </w:rPr>
      </w:pPr>
    </w:p>
    <w:p w14:paraId="360632C5" w14:textId="77777777" w:rsidR="00474967" w:rsidRDefault="00AB3B72">
      <w:pPr>
        <w:spacing w:line="360" w:lineRule="auto"/>
        <w:ind w:left="1134" w:right="90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B) De los expedientes concluidos:</w:t>
      </w:r>
    </w:p>
    <w:p w14:paraId="26D682F7" w14:textId="77777777" w:rsidR="00474967" w:rsidRDefault="00474967">
      <w:pPr>
        <w:spacing w:line="360" w:lineRule="auto"/>
        <w:ind w:left="1134" w:right="900"/>
        <w:jc w:val="both"/>
        <w:rPr>
          <w:rFonts w:ascii="Palatino Linotype" w:eastAsia="Palatino Linotype" w:hAnsi="Palatino Linotype" w:cs="Palatino Linotype"/>
          <w:color w:val="000000"/>
        </w:rPr>
      </w:pPr>
    </w:p>
    <w:p w14:paraId="0E6AF794" w14:textId="77777777" w:rsidR="00474967" w:rsidRDefault="00AB3B72">
      <w:pPr>
        <w:spacing w:line="360" w:lineRule="auto"/>
        <w:ind w:left="1134"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2.</w:t>
      </w:r>
      <w:r>
        <w:rPr>
          <w:rFonts w:ascii="Palatino Linotype" w:eastAsia="Palatino Linotype" w:hAnsi="Palatino Linotype" w:cs="Palatino Linotype"/>
          <w:color w:val="000000"/>
        </w:rPr>
        <w:tab/>
        <w:t xml:space="preserve">Acuerdo emitido por el Comité de Transparencia, en el que </w:t>
      </w:r>
      <w:r>
        <w:rPr>
          <w:rFonts w:ascii="Palatino Linotype" w:eastAsia="Palatino Linotype" w:hAnsi="Palatino Linotype" w:cs="Palatino Linotype"/>
          <w:b/>
          <w:color w:val="000000"/>
        </w:rPr>
        <w:t>clasifique como confidencial</w:t>
      </w:r>
      <w:r>
        <w:rPr>
          <w:rFonts w:ascii="Palatino Linotype" w:eastAsia="Palatino Linotype" w:hAnsi="Palatino Linotype" w:cs="Palatino Linotype"/>
          <w:color w:val="000000"/>
        </w:rPr>
        <w:t xml:space="preserve"> el pronunciamiento en sentido afirmativo o negativo respecto de si la servidora pública referida en la solicitud de información, cuenta con procedimientos administrativos por faltas no graves sin importar si fue absolutorio o condenatorio, así como de procedimientos administrativos graves absolutorios.  </w:t>
      </w:r>
    </w:p>
    <w:p w14:paraId="38A8A4EF" w14:textId="77777777" w:rsidR="00474967" w:rsidRDefault="00474967">
      <w:pPr>
        <w:spacing w:line="360" w:lineRule="auto"/>
        <w:ind w:left="1134" w:right="900"/>
        <w:jc w:val="both"/>
        <w:rPr>
          <w:rFonts w:ascii="Palatino Linotype" w:eastAsia="Palatino Linotype" w:hAnsi="Palatino Linotype" w:cs="Palatino Linotype"/>
          <w:color w:val="000000"/>
        </w:rPr>
      </w:pPr>
    </w:p>
    <w:p w14:paraId="38CC3932" w14:textId="77777777" w:rsidR="00474967" w:rsidRDefault="00AB3B72">
      <w:pPr>
        <w:spacing w:line="360" w:lineRule="auto"/>
        <w:ind w:left="1134"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3.</w:t>
      </w:r>
      <w:r>
        <w:rPr>
          <w:rFonts w:ascii="Palatino Linotype" w:eastAsia="Palatino Linotype" w:hAnsi="Palatino Linotype" w:cs="Palatino Linotype"/>
          <w:color w:val="000000"/>
        </w:rPr>
        <w:tab/>
        <w:t>Para el caso de que cuente con expedientes de quejas concluidos por faltas administrativas graves con resolución condenatoria procede su acceso en versión pública.</w:t>
      </w:r>
    </w:p>
    <w:p w14:paraId="0DBAFAE0" w14:textId="77777777" w:rsidR="00474967" w:rsidRDefault="00AB3B72">
      <w:pPr>
        <w:pBdr>
          <w:top w:val="nil"/>
          <w:left w:val="nil"/>
          <w:bottom w:val="nil"/>
          <w:right w:val="nil"/>
          <w:between w:val="nil"/>
        </w:pBdr>
        <w:spacing w:before="240" w:after="160" w:line="360" w:lineRule="auto"/>
        <w:ind w:left="1134"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w:t>
      </w:r>
      <w:r>
        <w:rPr>
          <w:rFonts w:ascii="Palatino Linotype" w:eastAsia="Palatino Linotype" w:hAnsi="Palatino Linotype" w:cs="Palatino Linotype"/>
          <w:i/>
          <w:color w:val="000000"/>
        </w:rPr>
        <w:lastRenderedPageBreak/>
        <w:t>el que funde y motive las razones sobre los datos que se supriman o eliminen dentro del soporte documental respectivo objeto de las versiones públicas que se formulen y se ponga a disposición del RECURRENTE.</w:t>
      </w:r>
    </w:p>
    <w:p w14:paraId="59371055" w14:textId="77777777" w:rsidR="00474967" w:rsidRDefault="00AB3B72">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b/>
          <w:highlight w:val="white"/>
        </w:rPr>
        <w:t xml:space="preserve">TERCERO. Notifíquese </w:t>
      </w:r>
      <w:r>
        <w:rPr>
          <w:rFonts w:ascii="Palatino Linotype" w:eastAsia="Palatino Linotype" w:hAnsi="Palatino Linotype" w:cs="Palatino Linotype"/>
          <w:highlight w:val="white"/>
        </w:rPr>
        <w:t>vía SAIMEX,</w:t>
      </w:r>
      <w:r>
        <w:rPr>
          <w:rFonts w:ascii="Palatino Linotype" w:eastAsia="Palatino Linotype" w:hAnsi="Palatino Linotype" w:cs="Palatino Linotype"/>
          <w:b/>
          <w:highlight w:val="white"/>
        </w:rPr>
        <w:t xml:space="preserve"> </w:t>
      </w:r>
      <w:r>
        <w:rPr>
          <w:rFonts w:ascii="Palatino Linotype" w:eastAsia="Palatino Linotype" w:hAnsi="Palatino Linotype" w:cs="Palatino Linotype"/>
          <w:highlight w:val="white"/>
        </w:rPr>
        <w:t>al Titular de la Unidad de Transparencia del</w:t>
      </w:r>
      <w:r>
        <w:rPr>
          <w:rFonts w:ascii="Palatino Linotype" w:eastAsia="Palatino Linotype" w:hAnsi="Palatino Linotype" w:cs="Palatino Linotype"/>
          <w:b/>
          <w:highlight w:val="white"/>
        </w:rPr>
        <w:t xml:space="preserve"> SUJETO OBLIGADO</w:t>
      </w:r>
      <w:r>
        <w:rPr>
          <w:rFonts w:ascii="Palatino Linotype" w:eastAsia="Palatino Linotype" w:hAnsi="Palatino Linotype" w:cs="Palatino Linotype"/>
          <w:highlight w:val="white"/>
        </w:rPr>
        <w:t>, la presente resolución para que conforme a los artículos 186 último párrafo y 189 párrafo segundo de la Ley de Transparencia y Acceso a la Información Pública del Estado de México y Municipios, dé cumplimiento a lo ordenado dentro del plazo de diez hábiles, debiendo informar a este Instituto en un plazo de tres días hábiles siguientes sobre el cumplimiento dado a la presente resolución.</w:t>
      </w:r>
    </w:p>
    <w:p w14:paraId="307A661F" w14:textId="77777777" w:rsidR="00474967" w:rsidRDefault="00AB3B7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62AC738C" w14:textId="77777777" w:rsidR="00474967" w:rsidRDefault="00AB3B72">
      <w:pPr>
        <w:tabs>
          <w:tab w:val="left" w:pos="142"/>
        </w:tabs>
        <w:spacing w:before="240" w:line="360" w:lineRule="auto"/>
        <w:jc w:val="both"/>
      </w:pPr>
      <w:bookmarkStart w:id="7" w:name="_heading=h.2et92p0" w:colFirst="0" w:colLast="0"/>
      <w:bookmarkEnd w:id="7"/>
      <w:r>
        <w:rPr>
          <w:rFonts w:ascii="Palatino Linotype" w:eastAsia="Palatino Linotype" w:hAnsi="Palatino Linotype" w:cs="Palatino Linotype"/>
          <w:b/>
        </w:rPr>
        <w:t xml:space="preserve">QUINTO.   Notifíquese </w:t>
      </w:r>
      <w:r>
        <w:rPr>
          <w:rFonts w:ascii="Palatino Linotype" w:eastAsia="Palatino Linotype" w:hAnsi="Palatino Linotype" w:cs="Palatino Linotype"/>
          <w:highlight w:val="white"/>
        </w:rPr>
        <w:t>vía SAIMEX,</w:t>
      </w:r>
      <w:r>
        <w:rPr>
          <w:rFonts w:ascii="Palatino Linotype" w:eastAsia="Palatino Linotype" w:hAnsi="Palatino Linotype" w:cs="Palatino Linotype"/>
        </w:rPr>
        <w:t xml:space="preserve">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los artículos 159 y 160 de la Ley General de Transparencia y Acceso a la Información Pública, y en el artículo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los términos de las leyes aplicables.</w:t>
      </w:r>
    </w:p>
    <w:p w14:paraId="0CD9BC39" w14:textId="0D3ECC40" w:rsidR="00474967" w:rsidRDefault="00AB3B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SHARON CRISTINA MORALES MARTÍNEZ; MARÍA DEL ROSARIO MEJÍA AYALA</w:t>
      </w:r>
      <w:r w:rsidR="00E00846" w:rsidRPr="00E00846">
        <w:t xml:space="preserve"> </w:t>
      </w:r>
      <w:r w:rsidR="00E00846" w:rsidRPr="00E00846">
        <w:rPr>
          <w:rFonts w:ascii="Palatino Linotype" w:eastAsia="Palatino Linotype" w:hAnsi="Palatino Linotype" w:cs="Palatino Linotype"/>
        </w:rPr>
        <w:t>EMITIENDO VOTO PATICULAR</w:t>
      </w:r>
      <w:r>
        <w:rPr>
          <w:rFonts w:ascii="Palatino Linotype" w:eastAsia="Palatino Linotype" w:hAnsi="Palatino Linotype" w:cs="Palatino Linotype"/>
        </w:rPr>
        <w:t xml:space="preserve">; LUIS GUSTAVO PARRA NORIEGA </w:t>
      </w:r>
      <w:r w:rsidR="002D09CD">
        <w:rPr>
          <w:rFonts w:ascii="Palatino Linotype" w:eastAsia="Palatino Linotype" w:hAnsi="Palatino Linotype" w:cs="Palatino Linotype"/>
        </w:rPr>
        <w:t xml:space="preserve">EMITIENDO VOTO PATICULAR, </w:t>
      </w:r>
      <w:r>
        <w:rPr>
          <w:rFonts w:ascii="Palatino Linotype" w:eastAsia="Palatino Linotype" w:hAnsi="Palatino Linotype" w:cs="Palatino Linotype"/>
        </w:rPr>
        <w:t>Y GUADALUPE RAMÍREZ PEÑA, EN LA DÉCIMA QUINTA SESIÓN ORDINARIA CELEBRADA EL VEINTISIETE DE ABRIL DE DOS MIL VEINTIDÓS, ANTE EL SECRETARIO TÉCNICO DEL PLENO, ALEXIS TAPIA RAMÍREZ.</w:t>
      </w:r>
    </w:p>
    <w:p w14:paraId="18167B93" w14:textId="77777777" w:rsidR="00474967" w:rsidRDefault="00474967">
      <w:pPr>
        <w:spacing w:before="240" w:after="240" w:line="360" w:lineRule="auto"/>
        <w:jc w:val="both"/>
        <w:rPr>
          <w:rFonts w:ascii="Palatino Linotype" w:eastAsia="Palatino Linotype" w:hAnsi="Palatino Linotype" w:cs="Palatino Linotype"/>
        </w:rPr>
      </w:pPr>
    </w:p>
    <w:p w14:paraId="318F77F7" w14:textId="77777777" w:rsidR="00474967" w:rsidRDefault="00474967">
      <w:pPr>
        <w:spacing w:before="240" w:after="240" w:line="360" w:lineRule="auto"/>
        <w:jc w:val="both"/>
        <w:rPr>
          <w:rFonts w:ascii="Palatino Linotype" w:eastAsia="Palatino Linotype" w:hAnsi="Palatino Linotype" w:cs="Palatino Linotype"/>
        </w:rPr>
      </w:pPr>
    </w:p>
    <w:p w14:paraId="67FA1618" w14:textId="77777777" w:rsidR="00474967" w:rsidRDefault="00474967">
      <w:pPr>
        <w:spacing w:before="240" w:after="240" w:line="360" w:lineRule="auto"/>
        <w:jc w:val="both"/>
        <w:rPr>
          <w:rFonts w:ascii="Palatino Linotype" w:eastAsia="Palatino Linotype" w:hAnsi="Palatino Linotype" w:cs="Palatino Linotype"/>
        </w:rPr>
      </w:pPr>
    </w:p>
    <w:p w14:paraId="002E8EFC" w14:textId="77777777" w:rsidR="00474967" w:rsidRDefault="00474967">
      <w:pPr>
        <w:spacing w:before="240" w:after="240" w:line="360" w:lineRule="auto"/>
        <w:jc w:val="both"/>
        <w:rPr>
          <w:rFonts w:ascii="Palatino Linotype" w:eastAsia="Palatino Linotype" w:hAnsi="Palatino Linotype" w:cs="Palatino Linotype"/>
        </w:rPr>
      </w:pPr>
    </w:p>
    <w:p w14:paraId="152FFB1E" w14:textId="77777777" w:rsidR="00474967" w:rsidRDefault="00474967">
      <w:pPr>
        <w:spacing w:before="240" w:after="240" w:line="360" w:lineRule="auto"/>
        <w:jc w:val="both"/>
        <w:rPr>
          <w:rFonts w:ascii="Palatino Linotype" w:eastAsia="Palatino Linotype" w:hAnsi="Palatino Linotype" w:cs="Palatino Linotype"/>
        </w:rPr>
      </w:pPr>
    </w:p>
    <w:p w14:paraId="6CC16FC2" w14:textId="77777777" w:rsidR="00474967" w:rsidRDefault="00474967">
      <w:pPr>
        <w:spacing w:before="240" w:after="240" w:line="360" w:lineRule="auto"/>
        <w:jc w:val="both"/>
        <w:rPr>
          <w:rFonts w:ascii="Palatino Linotype" w:eastAsia="Palatino Linotype" w:hAnsi="Palatino Linotype" w:cs="Palatino Linotype"/>
        </w:rPr>
      </w:pPr>
    </w:p>
    <w:p w14:paraId="53E96715" w14:textId="77777777" w:rsidR="00474967" w:rsidRDefault="00474967">
      <w:pPr>
        <w:spacing w:before="240" w:after="240" w:line="360" w:lineRule="auto"/>
        <w:jc w:val="both"/>
        <w:rPr>
          <w:rFonts w:ascii="Palatino Linotype" w:eastAsia="Palatino Linotype" w:hAnsi="Palatino Linotype" w:cs="Palatino Linotype"/>
        </w:rPr>
      </w:pPr>
    </w:p>
    <w:p w14:paraId="3C247B8D" w14:textId="77777777" w:rsidR="00474967" w:rsidRDefault="00474967">
      <w:pPr>
        <w:spacing w:before="240" w:after="240"/>
        <w:jc w:val="both"/>
        <w:rPr>
          <w:rFonts w:ascii="Palatino Linotype" w:eastAsia="Palatino Linotype" w:hAnsi="Palatino Linotype" w:cs="Palatino Linotype"/>
          <w:sz w:val="20"/>
          <w:szCs w:val="20"/>
        </w:rPr>
      </w:pPr>
    </w:p>
    <w:p w14:paraId="5EA4B1C7" w14:textId="77777777" w:rsidR="00474967" w:rsidRDefault="00474967">
      <w:pPr>
        <w:spacing w:before="240" w:after="240"/>
        <w:jc w:val="both"/>
        <w:rPr>
          <w:rFonts w:ascii="Palatino Linotype" w:eastAsia="Palatino Linotype" w:hAnsi="Palatino Linotype" w:cs="Palatino Linotype"/>
          <w:sz w:val="20"/>
          <w:szCs w:val="20"/>
        </w:rPr>
      </w:pPr>
    </w:p>
    <w:p w14:paraId="6F450C29" w14:textId="77777777" w:rsidR="00474967" w:rsidRDefault="00474967">
      <w:pPr>
        <w:spacing w:before="240" w:after="240"/>
        <w:jc w:val="both"/>
        <w:rPr>
          <w:rFonts w:ascii="Palatino Linotype" w:eastAsia="Palatino Linotype" w:hAnsi="Palatino Linotype" w:cs="Palatino Linotype"/>
          <w:sz w:val="20"/>
          <w:szCs w:val="20"/>
        </w:rPr>
      </w:pPr>
    </w:p>
    <w:p w14:paraId="46F07E2D" w14:textId="77777777" w:rsidR="00474967" w:rsidRDefault="00474967">
      <w:pPr>
        <w:spacing w:before="240" w:after="240"/>
        <w:jc w:val="both"/>
        <w:rPr>
          <w:rFonts w:ascii="Palatino Linotype" w:eastAsia="Palatino Linotype" w:hAnsi="Palatino Linotype" w:cs="Palatino Linotype"/>
          <w:sz w:val="20"/>
          <w:szCs w:val="20"/>
        </w:rPr>
      </w:pPr>
    </w:p>
    <w:p w14:paraId="132552CD" w14:textId="77777777" w:rsidR="00474967" w:rsidRDefault="00474967">
      <w:pPr>
        <w:spacing w:before="240" w:after="240"/>
        <w:jc w:val="both"/>
        <w:rPr>
          <w:rFonts w:ascii="Palatino Linotype" w:eastAsia="Palatino Linotype" w:hAnsi="Palatino Linotype" w:cs="Palatino Linotype"/>
          <w:sz w:val="20"/>
          <w:szCs w:val="20"/>
        </w:rPr>
      </w:pPr>
    </w:p>
    <w:p w14:paraId="19E63CC5" w14:textId="77777777" w:rsidR="00474967" w:rsidRDefault="00474967">
      <w:pPr>
        <w:spacing w:before="240" w:after="240"/>
        <w:jc w:val="both"/>
        <w:rPr>
          <w:rFonts w:ascii="Palatino Linotype" w:eastAsia="Palatino Linotype" w:hAnsi="Palatino Linotype" w:cs="Palatino Linotype"/>
          <w:sz w:val="20"/>
          <w:szCs w:val="20"/>
        </w:rPr>
      </w:pPr>
    </w:p>
    <w:p w14:paraId="30B6112F" w14:textId="77777777" w:rsidR="00474967" w:rsidRDefault="00474967">
      <w:pPr>
        <w:spacing w:before="240" w:after="240"/>
        <w:jc w:val="both"/>
        <w:rPr>
          <w:rFonts w:ascii="Palatino Linotype" w:eastAsia="Palatino Linotype" w:hAnsi="Palatino Linotype" w:cs="Palatino Linotype"/>
          <w:sz w:val="20"/>
          <w:szCs w:val="20"/>
        </w:rPr>
      </w:pPr>
    </w:p>
    <w:sectPr w:rsidR="00474967">
      <w:headerReference w:type="default" r:id="rId11"/>
      <w:footerReference w:type="default" r:id="rId12"/>
      <w:headerReference w:type="first" r:id="rId13"/>
      <w:footerReference w:type="first" r:id="rId1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D3B61" w14:textId="77777777" w:rsidR="00E3183C" w:rsidRDefault="00E3183C">
      <w:r>
        <w:separator/>
      </w:r>
    </w:p>
  </w:endnote>
  <w:endnote w:type="continuationSeparator" w:id="0">
    <w:p w14:paraId="2C316BC0" w14:textId="77777777" w:rsidR="00E3183C" w:rsidRDefault="00E31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85D43" w14:textId="77777777" w:rsidR="00474967" w:rsidRDefault="00474967">
    <w:pPr>
      <w:tabs>
        <w:tab w:val="center" w:pos="4252"/>
        <w:tab w:val="right" w:pos="8504"/>
      </w:tabs>
      <w:spacing w:line="360" w:lineRule="auto"/>
      <w:ind w:right="51"/>
      <w:jc w:val="both"/>
      <w:rPr>
        <w:rFonts w:ascii="Palatino Linotype" w:eastAsia="Palatino Linotype" w:hAnsi="Palatino Linotype" w:cs="Palatino Linotype"/>
      </w:rPr>
    </w:pPr>
  </w:p>
  <w:p w14:paraId="3BAEB353" w14:textId="77777777" w:rsidR="00474967" w:rsidRDefault="00AB3B7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57673">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57673">
      <w:rPr>
        <w:rFonts w:ascii="Palatino Linotype" w:eastAsia="Palatino Linotype" w:hAnsi="Palatino Linotype" w:cs="Palatino Linotype"/>
        <w:b/>
        <w:noProof/>
        <w:color w:val="000000"/>
        <w:sz w:val="20"/>
        <w:szCs w:val="20"/>
      </w:rPr>
      <w:t>75</w:t>
    </w:r>
    <w:r>
      <w:rPr>
        <w:rFonts w:ascii="Palatino Linotype" w:eastAsia="Palatino Linotype" w:hAnsi="Palatino Linotype" w:cs="Palatino Linotype"/>
        <w:b/>
        <w:color w:val="000000"/>
        <w:sz w:val="20"/>
        <w:szCs w:val="20"/>
      </w:rPr>
      <w:fldChar w:fldCharType="end"/>
    </w:r>
  </w:p>
  <w:p w14:paraId="382244C7" w14:textId="77777777" w:rsidR="00474967" w:rsidRDefault="00AB3B72">
    <w:pPr>
      <w:pBdr>
        <w:top w:val="nil"/>
        <w:left w:val="nil"/>
        <w:bottom w:val="nil"/>
        <w:right w:val="nil"/>
        <w:between w:val="nil"/>
      </w:pBdr>
      <w:tabs>
        <w:tab w:val="center" w:pos="4252"/>
        <w:tab w:val="right" w:pos="8504"/>
      </w:tabs>
      <w:ind w:firstLine="708"/>
      <w:rPr>
        <w:rFonts w:ascii="Cambria" w:eastAsia="Cambria" w:hAnsi="Cambria" w:cs="Cambria"/>
        <w:color w:val="000000"/>
      </w:rPr>
    </w:pPr>
    <w:r>
      <w:rPr>
        <w:noProof/>
      </w:rPr>
      <mc:AlternateContent>
        <mc:Choice Requires="wps">
          <w:drawing>
            <wp:anchor distT="0" distB="0" distL="114300" distR="114300" simplePos="0" relativeHeight="251660288" behindDoc="0" locked="0" layoutInCell="1" hidden="0" allowOverlap="1" wp14:anchorId="33754AE6" wp14:editId="35C72B74">
              <wp:simplePos x="0" y="0"/>
              <wp:positionH relativeFrom="column">
                <wp:posOffset>1143000</wp:posOffset>
              </wp:positionH>
              <wp:positionV relativeFrom="paragraph">
                <wp:posOffset>8140700</wp:posOffset>
              </wp:positionV>
              <wp:extent cx="4688480" cy="451229"/>
              <wp:effectExtent l="0" t="0" r="0" b="0"/>
              <wp:wrapNone/>
              <wp:docPr id="101" name="Rectángulo redondeado 101"/>
              <wp:cNvGraphicFramePr/>
              <a:graphic xmlns:a="http://schemas.openxmlformats.org/drawingml/2006/main">
                <a:graphicData uri="http://schemas.microsoft.com/office/word/2010/wordprocessingShape">
                  <wps:wsp>
                    <wps:cNvSpPr/>
                    <wps:spPr>
                      <a:xfrm>
                        <a:off x="3087485" y="3640111"/>
                        <a:ext cx="4517030" cy="279779"/>
                      </a:xfrm>
                      <a:prstGeom prst="roundRect">
                        <a:avLst>
                          <a:gd name="adj" fmla="val 16667"/>
                        </a:avLst>
                      </a:prstGeom>
                      <a:noFill/>
                      <a:ln w="28575" cap="flat" cmpd="sng">
                        <a:solidFill>
                          <a:srgbClr val="FF0000"/>
                        </a:solidFill>
                        <a:prstDash val="solid"/>
                        <a:round/>
                        <a:headEnd type="none" w="sm" len="sm"/>
                        <a:tailEnd type="none" w="sm" len="sm"/>
                      </a:ln>
                      <a:effectLst>
                        <a:outerShdw blurRad="40000" dist="23000" dir="5400000" rotWithShape="0">
                          <a:srgbClr val="000000">
                            <a:alpha val="32941"/>
                          </a:srgbClr>
                        </a:outerShdw>
                      </a:effectLst>
                    </wps:spPr>
                    <wps:txbx>
                      <w:txbxContent>
                        <w:p w14:paraId="27F3E4BA" w14:textId="77777777" w:rsidR="00474967" w:rsidRDefault="00474967">
                          <w:pPr>
                            <w:textDirection w:val="btLr"/>
                          </w:pPr>
                        </w:p>
                      </w:txbxContent>
                    </wps:txbx>
                    <wps:bodyPr spcFirstLastPara="1" wrap="square" lIns="91425" tIns="91425" rIns="91425" bIns="91425" anchor="ctr" anchorCtr="0">
                      <a:noAutofit/>
                    </wps:bodyPr>
                  </wps:wsp>
                </a:graphicData>
              </a:graphic>
            </wp:anchor>
          </w:drawing>
        </mc:Choice>
        <mc:Fallback>
          <w:pict>
            <v:roundrect w14:anchorId="33754AE6" id="Rectángulo redondeado 101" o:spid="_x0000_s1028" style="position:absolute;left:0;text-align:left;margin-left:90pt;margin-top:641pt;width:369.15pt;height:35.5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" filled="f" strokecolor="red" strokeweight="2.25pt">
              <v:stroke startarrowwidth="narrow" startarrowlength="short" endarrowwidth="narrow" endarrowlength="short"/>
              <v:shadow on="t" color="black" opacity="21588f" origin=",.5" offset="0,.63889mm"/>
              <v:textbox inset="2.53958mm,2.53958mm,2.53958mm,2.53958mm">
                <w:txbxContent>
                  <w:p w14:paraId="27F3E4BA" w14:textId="77777777" w:rsidR="00474967" w:rsidRDefault="00474967">
                    <w:pPr>
                      <w:textDirection w:val="btLr"/>
                    </w:pPr>
                  </w:p>
                </w:txbxContent>
              </v:textbox>
            </v:round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6A12B" w14:textId="77777777" w:rsidR="00474967" w:rsidRDefault="00AB3B7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5767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57673">
      <w:rPr>
        <w:rFonts w:ascii="Palatino Linotype" w:eastAsia="Palatino Linotype" w:hAnsi="Palatino Linotype" w:cs="Palatino Linotype"/>
        <w:b/>
        <w:noProof/>
        <w:color w:val="000000"/>
        <w:sz w:val="20"/>
        <w:szCs w:val="20"/>
      </w:rPr>
      <w:t>75</w:t>
    </w:r>
    <w:r>
      <w:rPr>
        <w:rFonts w:ascii="Palatino Linotype" w:eastAsia="Palatino Linotype" w:hAnsi="Palatino Linotype" w:cs="Palatino Linotype"/>
        <w:b/>
        <w:color w:val="000000"/>
        <w:sz w:val="20"/>
        <w:szCs w:val="20"/>
      </w:rPr>
      <w:fldChar w:fldCharType="end"/>
    </w:r>
  </w:p>
  <w:p w14:paraId="41C1A17F" w14:textId="77777777" w:rsidR="00474967" w:rsidRDefault="0047496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0B821" w14:textId="77777777" w:rsidR="00E3183C" w:rsidRDefault="00E3183C">
      <w:r>
        <w:separator/>
      </w:r>
    </w:p>
  </w:footnote>
  <w:footnote w:type="continuationSeparator" w:id="0">
    <w:p w14:paraId="5C7C3784" w14:textId="77777777" w:rsidR="00E3183C" w:rsidRDefault="00E3183C">
      <w:r>
        <w:continuationSeparator/>
      </w:r>
    </w:p>
  </w:footnote>
  <w:footnote w:id="1">
    <w:p w14:paraId="3DDDEF14" w14:textId="77777777" w:rsidR="00474967" w:rsidRDefault="00AB3B72">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629BA0C" w14:textId="77777777" w:rsidR="00474967" w:rsidRDefault="00AB3B7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96ADB" w14:textId="77777777" w:rsidR="00474967" w:rsidRDefault="00474967">
    <w:pPr>
      <w:pBdr>
        <w:top w:val="nil"/>
        <w:left w:val="nil"/>
        <w:bottom w:val="nil"/>
        <w:right w:val="nil"/>
        <w:between w:val="nil"/>
      </w:pBdr>
      <w:tabs>
        <w:tab w:val="center" w:pos="4252"/>
        <w:tab w:val="right" w:pos="8504"/>
        <w:tab w:val="left" w:pos="2326"/>
      </w:tabs>
      <w:rPr>
        <w:rFonts w:ascii="Cambria" w:eastAsia="Cambria" w:hAnsi="Cambria" w:cs="Cambria"/>
        <w:color w:val="000000"/>
      </w:rPr>
    </w:pPr>
  </w:p>
  <w:p w14:paraId="31950E87" w14:textId="77777777" w:rsidR="00474967" w:rsidRDefault="00AB3B7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rPr>
      <w:drawing>
        <wp:anchor distT="0" distB="0" distL="0" distR="0" simplePos="0" relativeHeight="251658240" behindDoc="1" locked="0" layoutInCell="1" hidden="0" allowOverlap="1" wp14:anchorId="11D16C78" wp14:editId="2A3AF928">
          <wp:simplePos x="0" y="0"/>
          <wp:positionH relativeFrom="column">
            <wp:posOffset>-1080128</wp:posOffset>
          </wp:positionH>
          <wp:positionV relativeFrom="paragraph">
            <wp:posOffset>-450208</wp:posOffset>
          </wp:positionV>
          <wp:extent cx="7809865" cy="10165715"/>
          <wp:effectExtent l="0" t="0" r="0" b="0"/>
          <wp:wrapNone/>
          <wp:docPr id="10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5"/>
      <w:tblW w:w="5953" w:type="dxa"/>
      <w:tblInd w:w="3261" w:type="dxa"/>
      <w:tblLayout w:type="fixed"/>
      <w:tblLook w:val="0400" w:firstRow="0" w:lastRow="0" w:firstColumn="0" w:lastColumn="0" w:noHBand="0" w:noVBand="1"/>
    </w:tblPr>
    <w:tblGrid>
      <w:gridCol w:w="2489"/>
      <w:gridCol w:w="3464"/>
    </w:tblGrid>
    <w:tr w:rsidR="00474967" w14:paraId="3DCFBB0E" w14:textId="77777777">
      <w:tc>
        <w:tcPr>
          <w:tcW w:w="2489" w:type="dxa"/>
          <w:shd w:val="clear" w:color="auto" w:fill="auto"/>
        </w:tcPr>
        <w:p w14:paraId="3E5B2902" w14:textId="77777777" w:rsidR="00474967" w:rsidRDefault="00AB3B7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A411502" w14:textId="77777777" w:rsidR="00474967" w:rsidRDefault="00AB3B7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00644/INFOEM/IP/RR/2022 </w:t>
          </w:r>
        </w:p>
      </w:tc>
    </w:tr>
    <w:tr w:rsidR="00474967" w14:paraId="00E01793" w14:textId="77777777">
      <w:trPr>
        <w:trHeight w:val="228"/>
      </w:trPr>
      <w:tc>
        <w:tcPr>
          <w:tcW w:w="2489" w:type="dxa"/>
          <w:shd w:val="clear" w:color="auto" w:fill="auto"/>
          <w:vAlign w:val="center"/>
        </w:tcPr>
        <w:p w14:paraId="6547CCF1" w14:textId="77777777" w:rsidR="00474967" w:rsidRDefault="00AB3B7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E8E36FC" w14:textId="77777777" w:rsidR="00474967" w:rsidRDefault="00AB3B72">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San José del Rincón</w:t>
          </w:r>
        </w:p>
      </w:tc>
    </w:tr>
    <w:tr w:rsidR="00474967" w14:paraId="770F071C" w14:textId="77777777">
      <w:tc>
        <w:tcPr>
          <w:tcW w:w="2489" w:type="dxa"/>
          <w:shd w:val="clear" w:color="auto" w:fill="auto"/>
          <w:vAlign w:val="center"/>
        </w:tcPr>
        <w:p w14:paraId="2FF51475" w14:textId="77777777" w:rsidR="00474967" w:rsidRDefault="00AB3B7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681E8CDE" w14:textId="77777777" w:rsidR="00474967" w:rsidRDefault="00AB3B7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690B942" w14:textId="77777777" w:rsidR="00474967" w:rsidRDefault="00AB3B7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E3E20" w14:textId="77777777" w:rsidR="00474967" w:rsidRDefault="00474967">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bl>
    <w:tblPr>
      <w:tblStyle w:val="af4"/>
      <w:tblW w:w="5812" w:type="dxa"/>
      <w:tblInd w:w="2977" w:type="dxa"/>
      <w:tblLayout w:type="fixed"/>
      <w:tblLook w:val="0400" w:firstRow="0" w:lastRow="0" w:firstColumn="0" w:lastColumn="0" w:noHBand="0" w:noVBand="1"/>
    </w:tblPr>
    <w:tblGrid>
      <w:gridCol w:w="2551"/>
      <w:gridCol w:w="3261"/>
    </w:tblGrid>
    <w:tr w:rsidR="00474967" w14:paraId="7A25BE45" w14:textId="77777777">
      <w:tc>
        <w:tcPr>
          <w:tcW w:w="2551" w:type="dxa"/>
          <w:shd w:val="clear" w:color="auto" w:fill="auto"/>
          <w:vAlign w:val="center"/>
        </w:tcPr>
        <w:p w14:paraId="4DE22F82" w14:textId="77777777" w:rsidR="00474967" w:rsidRDefault="00AB3B7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shd w:val="clear" w:color="auto" w:fill="auto"/>
          <w:vAlign w:val="center"/>
        </w:tcPr>
        <w:p w14:paraId="79457EFE" w14:textId="77777777" w:rsidR="00474967" w:rsidRDefault="00AB3B72">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00644/INFOEM/IP/RR/2022</w:t>
          </w:r>
        </w:p>
      </w:tc>
    </w:tr>
    <w:tr w:rsidR="00474967" w14:paraId="1DC16A5D" w14:textId="77777777">
      <w:trPr>
        <w:trHeight w:val="130"/>
      </w:trPr>
      <w:tc>
        <w:tcPr>
          <w:tcW w:w="2551" w:type="dxa"/>
          <w:shd w:val="clear" w:color="auto" w:fill="auto"/>
          <w:vAlign w:val="center"/>
        </w:tcPr>
        <w:p w14:paraId="150161C4" w14:textId="77777777" w:rsidR="00474967" w:rsidRDefault="00AB3B7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1" w:type="dxa"/>
          <w:shd w:val="clear" w:color="auto" w:fill="auto"/>
          <w:vAlign w:val="center"/>
        </w:tcPr>
        <w:p w14:paraId="71106A0D" w14:textId="77777777" w:rsidR="00474967" w:rsidRDefault="00357673">
          <w:pPr>
            <w:ind w:left="-4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 XXXXX </w:t>
          </w:r>
          <w:proofErr w:type="spellStart"/>
          <w:r>
            <w:rPr>
              <w:rFonts w:ascii="Palatino Linotype" w:eastAsia="Palatino Linotype" w:hAnsi="Palatino Linotype" w:cs="Palatino Linotype"/>
              <w:b/>
              <w:sz w:val="22"/>
              <w:szCs w:val="22"/>
            </w:rPr>
            <w:t>XXXXX</w:t>
          </w:r>
          <w:proofErr w:type="spellEnd"/>
        </w:p>
      </w:tc>
    </w:tr>
    <w:tr w:rsidR="00474967" w14:paraId="1529536C" w14:textId="77777777">
      <w:trPr>
        <w:trHeight w:val="228"/>
      </w:trPr>
      <w:tc>
        <w:tcPr>
          <w:tcW w:w="2551" w:type="dxa"/>
          <w:shd w:val="clear" w:color="auto" w:fill="auto"/>
          <w:vAlign w:val="center"/>
        </w:tcPr>
        <w:p w14:paraId="201A2C28" w14:textId="77777777" w:rsidR="00474967" w:rsidRDefault="00AB3B7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shd w:val="clear" w:color="auto" w:fill="auto"/>
          <w:vAlign w:val="center"/>
        </w:tcPr>
        <w:p w14:paraId="271CC11E" w14:textId="77777777" w:rsidR="00474967" w:rsidRDefault="00AB3B72">
          <w:pPr>
            <w:ind w:right="17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San José del Rincón</w:t>
          </w:r>
        </w:p>
      </w:tc>
    </w:tr>
    <w:tr w:rsidR="00474967" w14:paraId="2437B380" w14:textId="77777777">
      <w:tc>
        <w:tcPr>
          <w:tcW w:w="2551" w:type="dxa"/>
          <w:shd w:val="clear" w:color="auto" w:fill="auto"/>
          <w:vAlign w:val="center"/>
        </w:tcPr>
        <w:p w14:paraId="6D722090" w14:textId="77777777" w:rsidR="00474967" w:rsidRDefault="00AB3B7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shd w:val="clear" w:color="auto" w:fill="auto"/>
          <w:vAlign w:val="center"/>
        </w:tcPr>
        <w:p w14:paraId="4E581558" w14:textId="77777777" w:rsidR="00474967" w:rsidRDefault="00AB3B72">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7EE09DF" w14:textId="77777777" w:rsidR="00474967" w:rsidRDefault="00AB3B72">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34DAC913" wp14:editId="48609FC4">
          <wp:simplePos x="0" y="0"/>
          <wp:positionH relativeFrom="column">
            <wp:posOffset>-1090923</wp:posOffset>
          </wp:positionH>
          <wp:positionV relativeFrom="paragraph">
            <wp:posOffset>-1154423</wp:posOffset>
          </wp:positionV>
          <wp:extent cx="7809865" cy="10165715"/>
          <wp:effectExtent l="0" t="0" r="0" b="0"/>
          <wp:wrapNone/>
          <wp:docPr id="1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B7095"/>
    <w:multiLevelType w:val="multilevel"/>
    <w:tmpl w:val="A15247A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0C34F3D"/>
    <w:multiLevelType w:val="multilevel"/>
    <w:tmpl w:val="1AC6A24A"/>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15:restartNumberingAfterBreak="0">
    <w:nsid w:val="2F6A2FAF"/>
    <w:multiLevelType w:val="multilevel"/>
    <w:tmpl w:val="293C34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3270321"/>
    <w:multiLevelType w:val="multilevel"/>
    <w:tmpl w:val="91F6F440"/>
    <w:lvl w:ilvl="0">
      <w:start w:val="1"/>
      <w:numFmt w:val="bullet"/>
      <w:lvlText w:val="●"/>
      <w:lvlJc w:val="left"/>
      <w:pPr>
        <w:ind w:left="860" w:hanging="360"/>
      </w:pPr>
      <w:rPr>
        <w:rFonts w:ascii="Noto Sans Symbols" w:eastAsia="Noto Sans Symbols" w:hAnsi="Noto Sans Symbols" w:cs="Noto Sans Symbols"/>
      </w:rPr>
    </w:lvl>
    <w:lvl w:ilvl="1">
      <w:start w:val="1"/>
      <w:numFmt w:val="bullet"/>
      <w:lvlText w:val="o"/>
      <w:lvlJc w:val="left"/>
      <w:pPr>
        <w:ind w:left="1580" w:hanging="360"/>
      </w:pPr>
      <w:rPr>
        <w:rFonts w:ascii="Courier New" w:eastAsia="Courier New" w:hAnsi="Courier New" w:cs="Courier New"/>
      </w:rPr>
    </w:lvl>
    <w:lvl w:ilvl="2">
      <w:start w:val="1"/>
      <w:numFmt w:val="bullet"/>
      <w:lvlText w:val="▪"/>
      <w:lvlJc w:val="left"/>
      <w:pPr>
        <w:ind w:left="2300" w:hanging="360"/>
      </w:pPr>
      <w:rPr>
        <w:rFonts w:ascii="Noto Sans Symbols" w:eastAsia="Noto Sans Symbols" w:hAnsi="Noto Sans Symbols" w:cs="Noto Sans Symbols"/>
      </w:rPr>
    </w:lvl>
    <w:lvl w:ilvl="3">
      <w:start w:val="1"/>
      <w:numFmt w:val="bullet"/>
      <w:lvlText w:val="●"/>
      <w:lvlJc w:val="left"/>
      <w:pPr>
        <w:ind w:left="3020" w:hanging="360"/>
      </w:pPr>
      <w:rPr>
        <w:rFonts w:ascii="Noto Sans Symbols" w:eastAsia="Noto Sans Symbols" w:hAnsi="Noto Sans Symbols" w:cs="Noto Sans Symbols"/>
      </w:rPr>
    </w:lvl>
    <w:lvl w:ilvl="4">
      <w:start w:val="1"/>
      <w:numFmt w:val="bullet"/>
      <w:lvlText w:val="o"/>
      <w:lvlJc w:val="left"/>
      <w:pPr>
        <w:ind w:left="3740" w:hanging="360"/>
      </w:pPr>
      <w:rPr>
        <w:rFonts w:ascii="Courier New" w:eastAsia="Courier New" w:hAnsi="Courier New" w:cs="Courier New"/>
      </w:rPr>
    </w:lvl>
    <w:lvl w:ilvl="5">
      <w:start w:val="1"/>
      <w:numFmt w:val="bullet"/>
      <w:lvlText w:val="▪"/>
      <w:lvlJc w:val="left"/>
      <w:pPr>
        <w:ind w:left="4460" w:hanging="360"/>
      </w:pPr>
      <w:rPr>
        <w:rFonts w:ascii="Noto Sans Symbols" w:eastAsia="Noto Sans Symbols" w:hAnsi="Noto Sans Symbols" w:cs="Noto Sans Symbols"/>
      </w:rPr>
    </w:lvl>
    <w:lvl w:ilvl="6">
      <w:start w:val="1"/>
      <w:numFmt w:val="bullet"/>
      <w:lvlText w:val="●"/>
      <w:lvlJc w:val="left"/>
      <w:pPr>
        <w:ind w:left="5180" w:hanging="360"/>
      </w:pPr>
      <w:rPr>
        <w:rFonts w:ascii="Noto Sans Symbols" w:eastAsia="Noto Sans Symbols" w:hAnsi="Noto Sans Symbols" w:cs="Noto Sans Symbols"/>
      </w:rPr>
    </w:lvl>
    <w:lvl w:ilvl="7">
      <w:start w:val="1"/>
      <w:numFmt w:val="bullet"/>
      <w:lvlText w:val="o"/>
      <w:lvlJc w:val="left"/>
      <w:pPr>
        <w:ind w:left="5900" w:hanging="360"/>
      </w:pPr>
      <w:rPr>
        <w:rFonts w:ascii="Courier New" w:eastAsia="Courier New" w:hAnsi="Courier New" w:cs="Courier New"/>
      </w:rPr>
    </w:lvl>
    <w:lvl w:ilvl="8">
      <w:start w:val="1"/>
      <w:numFmt w:val="bullet"/>
      <w:lvlText w:val="▪"/>
      <w:lvlJc w:val="left"/>
      <w:pPr>
        <w:ind w:left="6620" w:hanging="360"/>
      </w:pPr>
      <w:rPr>
        <w:rFonts w:ascii="Noto Sans Symbols" w:eastAsia="Noto Sans Symbols" w:hAnsi="Noto Sans Symbols" w:cs="Noto Sans Symbols"/>
      </w:rPr>
    </w:lvl>
  </w:abstractNum>
  <w:abstractNum w:abstractNumId="4" w15:restartNumberingAfterBreak="0">
    <w:nsid w:val="624D75FC"/>
    <w:multiLevelType w:val="multilevel"/>
    <w:tmpl w:val="40661B62"/>
    <w:lvl w:ilvl="0">
      <w:start w:val="1"/>
      <w:numFmt w:val="bullet"/>
      <w:pStyle w:val="Listaconvietas3"/>
      <w:lvlText w:val="●"/>
      <w:lvlJc w:val="left"/>
      <w:pPr>
        <w:ind w:left="1000" w:hanging="360"/>
      </w:pPr>
      <w:rPr>
        <w:rFonts w:ascii="Noto Sans Symbols" w:eastAsia="Noto Sans Symbols" w:hAnsi="Noto Sans Symbols" w:cs="Noto Sans Symbols"/>
      </w:rPr>
    </w:lvl>
    <w:lvl w:ilvl="1">
      <w:start w:val="1"/>
      <w:numFmt w:val="bullet"/>
      <w:lvlText w:val="o"/>
      <w:lvlJc w:val="left"/>
      <w:pPr>
        <w:ind w:left="1720" w:hanging="360"/>
      </w:pPr>
      <w:rPr>
        <w:rFonts w:ascii="Courier New" w:eastAsia="Courier New" w:hAnsi="Courier New" w:cs="Courier New"/>
      </w:rPr>
    </w:lvl>
    <w:lvl w:ilvl="2">
      <w:start w:val="1"/>
      <w:numFmt w:val="bullet"/>
      <w:lvlText w:val="▪"/>
      <w:lvlJc w:val="left"/>
      <w:pPr>
        <w:ind w:left="2440" w:hanging="360"/>
      </w:pPr>
      <w:rPr>
        <w:rFonts w:ascii="Noto Sans Symbols" w:eastAsia="Noto Sans Symbols" w:hAnsi="Noto Sans Symbols" w:cs="Noto Sans Symbols"/>
      </w:rPr>
    </w:lvl>
    <w:lvl w:ilvl="3">
      <w:start w:val="1"/>
      <w:numFmt w:val="bullet"/>
      <w:lvlText w:val="●"/>
      <w:lvlJc w:val="left"/>
      <w:pPr>
        <w:ind w:left="3160" w:hanging="360"/>
      </w:pPr>
      <w:rPr>
        <w:rFonts w:ascii="Noto Sans Symbols" w:eastAsia="Noto Sans Symbols" w:hAnsi="Noto Sans Symbols" w:cs="Noto Sans Symbols"/>
      </w:rPr>
    </w:lvl>
    <w:lvl w:ilvl="4">
      <w:start w:val="1"/>
      <w:numFmt w:val="bullet"/>
      <w:lvlText w:val="o"/>
      <w:lvlJc w:val="left"/>
      <w:pPr>
        <w:ind w:left="3880" w:hanging="360"/>
      </w:pPr>
      <w:rPr>
        <w:rFonts w:ascii="Courier New" w:eastAsia="Courier New" w:hAnsi="Courier New" w:cs="Courier New"/>
      </w:rPr>
    </w:lvl>
    <w:lvl w:ilvl="5">
      <w:start w:val="1"/>
      <w:numFmt w:val="bullet"/>
      <w:lvlText w:val="▪"/>
      <w:lvlJc w:val="left"/>
      <w:pPr>
        <w:ind w:left="4600" w:hanging="360"/>
      </w:pPr>
      <w:rPr>
        <w:rFonts w:ascii="Noto Sans Symbols" w:eastAsia="Noto Sans Symbols" w:hAnsi="Noto Sans Symbols" w:cs="Noto Sans Symbols"/>
      </w:rPr>
    </w:lvl>
    <w:lvl w:ilvl="6">
      <w:start w:val="1"/>
      <w:numFmt w:val="bullet"/>
      <w:lvlText w:val="●"/>
      <w:lvlJc w:val="left"/>
      <w:pPr>
        <w:ind w:left="5320" w:hanging="360"/>
      </w:pPr>
      <w:rPr>
        <w:rFonts w:ascii="Noto Sans Symbols" w:eastAsia="Noto Sans Symbols" w:hAnsi="Noto Sans Symbols" w:cs="Noto Sans Symbols"/>
      </w:rPr>
    </w:lvl>
    <w:lvl w:ilvl="7">
      <w:start w:val="1"/>
      <w:numFmt w:val="bullet"/>
      <w:lvlText w:val="o"/>
      <w:lvlJc w:val="left"/>
      <w:pPr>
        <w:ind w:left="6040" w:hanging="360"/>
      </w:pPr>
      <w:rPr>
        <w:rFonts w:ascii="Courier New" w:eastAsia="Courier New" w:hAnsi="Courier New" w:cs="Courier New"/>
      </w:rPr>
    </w:lvl>
    <w:lvl w:ilvl="8">
      <w:start w:val="1"/>
      <w:numFmt w:val="bullet"/>
      <w:lvlText w:val="▪"/>
      <w:lvlJc w:val="left"/>
      <w:pPr>
        <w:ind w:left="6760" w:hanging="360"/>
      </w:pPr>
      <w:rPr>
        <w:rFonts w:ascii="Noto Sans Symbols" w:eastAsia="Noto Sans Symbols" w:hAnsi="Noto Sans Symbols" w:cs="Noto Sans Symbols"/>
      </w:rPr>
    </w:lvl>
  </w:abstractNum>
  <w:abstractNum w:abstractNumId="5" w15:restartNumberingAfterBreak="0">
    <w:nsid w:val="75D37FFE"/>
    <w:multiLevelType w:val="multilevel"/>
    <w:tmpl w:val="0316C76A"/>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CF8119C"/>
    <w:multiLevelType w:val="multilevel"/>
    <w:tmpl w:val="7CF09BCA"/>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num w:numId="1">
    <w:abstractNumId w:val="3"/>
  </w:num>
  <w:num w:numId="2">
    <w:abstractNumId w:val="4"/>
  </w:num>
  <w:num w:numId="3">
    <w:abstractNumId w:val="6"/>
  </w:num>
  <w:num w:numId="4">
    <w:abstractNumId w:val="0"/>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967"/>
    <w:rsid w:val="002D09CD"/>
    <w:rsid w:val="00357673"/>
    <w:rsid w:val="00474967"/>
    <w:rsid w:val="00551FBC"/>
    <w:rsid w:val="00AB3B72"/>
    <w:rsid w:val="00E00846"/>
    <w:rsid w:val="00E318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5F31C"/>
  <w15:docId w15:val="{7EBEC7E2-2906-45E3-B1D8-012066636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FF3"/>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rPr>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aliases w:val="independiente,independiente Car Car Car"/>
    <w:basedOn w:val="Normal"/>
    <w:link w:val="TextoCar"/>
    <w:qFormat/>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rPr>
      <w:lang w:val="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lang w:val="es-ES"/>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lang w:val="es-ES"/>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lang w:val="es-ES"/>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rPr>
  </w:style>
  <w:style w:type="paragraph" w:styleId="Lista2">
    <w:name w:val="List 2"/>
    <w:basedOn w:val="Normal"/>
    <w:uiPriority w:val="99"/>
    <w:unhideWhenUsed/>
    <w:rsid w:val="00603D72"/>
    <w:pPr>
      <w:ind w:left="566" w:hanging="283"/>
      <w:contextualSpacing/>
    </w:pPr>
    <w:rPr>
      <w:lang w:val="es-ES"/>
    </w:rPr>
  </w:style>
  <w:style w:type="paragraph" w:styleId="Lista3">
    <w:name w:val="List 3"/>
    <w:basedOn w:val="Normal"/>
    <w:uiPriority w:val="99"/>
    <w:unhideWhenUsed/>
    <w:rsid w:val="00603D72"/>
    <w:pPr>
      <w:ind w:left="849" w:hanging="283"/>
      <w:contextualSpacing/>
    </w:pPr>
    <w:rPr>
      <w:lang w:val="es-ES"/>
    </w:rPr>
  </w:style>
  <w:style w:type="paragraph" w:styleId="Listaconvietas3">
    <w:name w:val="List Bullet 3"/>
    <w:basedOn w:val="Normal"/>
    <w:uiPriority w:val="99"/>
    <w:unhideWhenUsed/>
    <w:rsid w:val="00603D72"/>
    <w:pPr>
      <w:numPr>
        <w:numId w:val="2"/>
      </w:numPr>
      <w:contextualSpacing/>
    </w:pPr>
    <w:rPr>
      <w:lang w:val="es-ES"/>
    </w:rPr>
  </w:style>
  <w:style w:type="paragraph" w:styleId="Continuarlista">
    <w:name w:val="List Continue"/>
    <w:basedOn w:val="Normal"/>
    <w:uiPriority w:val="99"/>
    <w:unhideWhenUsed/>
    <w:rsid w:val="00603D72"/>
    <w:pPr>
      <w:spacing w:after="120"/>
      <w:ind w:left="283"/>
      <w:contextualSpacing/>
    </w:pPr>
    <w:rPr>
      <w:lang w:val="es-ES"/>
    </w:rPr>
  </w:style>
  <w:style w:type="paragraph" w:styleId="Continuarlista2">
    <w:name w:val="List Continue 2"/>
    <w:basedOn w:val="Normal"/>
    <w:uiPriority w:val="99"/>
    <w:unhideWhenUsed/>
    <w:rsid w:val="00603D72"/>
    <w:pPr>
      <w:spacing w:after="120"/>
      <w:ind w:left="566"/>
      <w:contextualSpacing/>
    </w:pPr>
    <w:rPr>
      <w:lang w:val="es-ES"/>
    </w:rPr>
  </w:style>
  <w:style w:type="paragraph" w:styleId="Textoindependiente">
    <w:name w:val="Body Text"/>
    <w:basedOn w:val="Normal"/>
    <w:link w:val="TextoindependienteCar"/>
    <w:uiPriority w:val="99"/>
    <w:unhideWhenUsed/>
    <w:rsid w:val="00603D72"/>
    <w:pPr>
      <w:spacing w:after="120"/>
    </w:pPr>
    <w:rPr>
      <w:lang w:val="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08" w:type="dxa"/>
        <w:right w:w="108" w:type="dxa"/>
      </w:tblCellMar>
    </w:tblPr>
  </w:style>
  <w:style w:type="table" w:customStyle="1" w:styleId="a0">
    <w:basedOn w:val="TableNormal5"/>
    <w:tblPr>
      <w:tblStyleRowBandSize w:val="1"/>
      <w:tblStyleColBandSize w:val="1"/>
      <w:tblCellMar>
        <w:left w:w="108" w:type="dxa"/>
        <w:right w:w="108" w:type="dxa"/>
      </w:tblCellMar>
    </w:tblPr>
  </w:style>
  <w:style w:type="table" w:customStyle="1" w:styleId="a2">
    <w:basedOn w:val="TableNormal5"/>
    <w:tblPr>
      <w:tblStyleRowBandSize w:val="1"/>
      <w:tblStyleColBandSize w:val="1"/>
      <w:tblCellMar>
        <w:left w:w="108" w:type="dxa"/>
        <w:right w:w="108" w:type="dxa"/>
      </w:tblCellMar>
    </w:tblPr>
  </w:style>
  <w:style w:type="table" w:customStyle="1" w:styleId="a3">
    <w:basedOn w:val="TableNormal5"/>
    <w:tblPr>
      <w:tblStyleRowBandSize w:val="1"/>
      <w:tblStyleColBandSize w:val="1"/>
      <w:tblCellMar>
        <w:left w:w="108" w:type="dxa"/>
        <w:right w:w="108" w:type="dxa"/>
      </w:tblCellMar>
    </w:tblPr>
  </w:style>
  <w:style w:type="table" w:customStyle="1" w:styleId="a4">
    <w:basedOn w:val="TableNormal5"/>
    <w:tblPr>
      <w:tblStyleRowBandSize w:val="1"/>
      <w:tblStyleColBandSize w:val="1"/>
      <w:tblCellMar>
        <w:left w:w="108" w:type="dxa"/>
        <w:right w:w="108" w:type="dxa"/>
      </w:tblCellMar>
    </w:tblPr>
  </w:style>
  <w:style w:type="table" w:customStyle="1" w:styleId="a5">
    <w:basedOn w:val="TableNormal5"/>
    <w:tblPr>
      <w:tblStyleRowBandSize w:val="1"/>
      <w:tblStyleColBandSize w:val="1"/>
      <w:tblCellMar>
        <w:left w:w="115" w:type="dxa"/>
        <w:right w:w="115" w:type="dxa"/>
      </w:tblCellMar>
    </w:tblPr>
  </w:style>
  <w:style w:type="table" w:customStyle="1" w:styleId="a6">
    <w:basedOn w:val="TableNormal5"/>
    <w:tblPr>
      <w:tblStyleRowBandSize w:val="1"/>
      <w:tblStyleColBandSize w:val="1"/>
      <w:tblCellMar>
        <w:left w:w="115" w:type="dxa"/>
        <w:right w:w="115" w:type="dxa"/>
      </w:tblCellMar>
    </w:tblPr>
  </w:style>
  <w:style w:type="table" w:customStyle="1" w:styleId="a7">
    <w:basedOn w:val="TableNormal5"/>
    <w:tblPr>
      <w:tblStyleRowBandSize w:val="1"/>
      <w:tblStyleColBandSize w:val="1"/>
      <w:tblCellMar>
        <w:left w:w="108" w:type="dxa"/>
        <w:right w:w="108" w:type="dxa"/>
      </w:tblCellMar>
    </w:tblPr>
  </w:style>
  <w:style w:type="table" w:customStyle="1" w:styleId="a8">
    <w:basedOn w:val="TableNormal5"/>
    <w:tblPr>
      <w:tblStyleRowBandSize w:val="1"/>
      <w:tblStyleColBandSize w:val="1"/>
      <w:tblCellMar>
        <w:left w:w="115" w:type="dxa"/>
        <w:right w:w="115" w:type="dxa"/>
      </w:tblCellMar>
    </w:tbl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08" w:type="dxa"/>
        <w:right w:w="108"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4lKBGuLN5yZU2ELxLByNqGxo/lQ==">AMUW2mWfdsUnUOWs5HmMh++A5w+g7uvTPatJ/PjS5seb4yOrV0DJ34GLXq9V5bu92vCI+iKrLR5Jv3wy9NfNOL55SkWfL8NGcRQ+kK9+yiQsS0ihVjycn7oKzfd4YE7+L/5ddqY7Eiht8CiQ8bcESCgZQ43OO8KW1zMLlg6yPy+tDpoDMd8P90/eAkv1mWkKGgrcMjtlocGsxKqz2SmntBltF/c3ePbE9WeSUtnY5dMC61/vJ1uh4KY=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75</Pages>
  <Words>17521</Words>
  <Characters>96370</Characters>
  <Application>Microsoft Office Word</Application>
  <DocSecurity>0</DocSecurity>
  <Lines>803</Lines>
  <Paragraphs>227</Paragraphs>
  <ScaleCrop>false</ScaleCrop>
  <Company>Hewlett-Packard Company</Company>
  <LinksUpToDate>false</LinksUpToDate>
  <CharactersWithSpaces>113664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User 425</cp:lastModifiedBy>
  <cp:revision>4</cp:revision>
  <dcterms:created xsi:type="dcterms:W3CDTF">2022-04-20T20:49:00Z</dcterms:created>
  <dcterms:modified xsi:type="dcterms:W3CDTF">2022-06-17T03:29:00Z</dcterms:modified>
</cp:coreProperties>
</file>