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771ED" w:rsidRPr="00166794" w:rsidRDefault="00D771ED" w:rsidP="009B6FD5">
      <w:pPr>
        <w:spacing w:line="360" w:lineRule="auto"/>
        <w:jc w:val="both"/>
        <w:rPr>
          <w:rFonts w:ascii="Palatino Linotype" w:eastAsiaTheme="minorEastAsia" w:hAnsi="Palatino Linotype"/>
          <w:lang w:val="es-ES_tradnl" w:eastAsia="es-ES"/>
        </w:rPr>
      </w:pPr>
      <w:r w:rsidRPr="00166794">
        <w:rPr>
          <w:rFonts w:ascii="Palatino Linotype" w:eastAsiaTheme="minorEastAsia" w:hAnsi="Palatino Linotype"/>
          <w:lang w:val="es-ES_tradnl" w:eastAsia="es-ES"/>
        </w:rPr>
        <w:t>Resolución del Pleno del Instituto de Transparencia, Acceso a la Información Pública y Protección de Datos Personales del Estado de México y Municipios, con domicilio en Metepec, Estado de Méxic</w:t>
      </w:r>
      <w:r w:rsidR="00062D39" w:rsidRPr="00166794">
        <w:rPr>
          <w:rFonts w:ascii="Palatino Linotype" w:eastAsiaTheme="minorEastAsia" w:hAnsi="Palatino Linotype"/>
          <w:lang w:val="es-ES_tradnl" w:eastAsia="es-ES"/>
        </w:rPr>
        <w:t xml:space="preserve">o; de fecha doce (12) de octubre </w:t>
      </w:r>
      <w:r w:rsidR="00A3041A" w:rsidRPr="00166794">
        <w:rPr>
          <w:rFonts w:ascii="Palatino Linotype" w:eastAsiaTheme="minorEastAsia" w:hAnsi="Palatino Linotype"/>
          <w:lang w:val="es-ES_tradnl" w:eastAsia="es-ES"/>
        </w:rPr>
        <w:t xml:space="preserve"> de dos mil veintidós</w:t>
      </w:r>
      <w:r w:rsidRPr="00166794">
        <w:rPr>
          <w:rFonts w:ascii="Palatino Linotype" w:eastAsiaTheme="minorEastAsia" w:hAnsi="Palatino Linotype"/>
          <w:lang w:val="es-ES_tradnl" w:eastAsia="es-ES"/>
        </w:rPr>
        <w:t>.</w:t>
      </w:r>
    </w:p>
    <w:p w:rsidR="00D771ED" w:rsidRPr="00166794" w:rsidRDefault="00D771ED" w:rsidP="009B6FD5">
      <w:pPr>
        <w:spacing w:line="360" w:lineRule="auto"/>
        <w:jc w:val="both"/>
        <w:rPr>
          <w:rFonts w:ascii="Palatino Linotype" w:eastAsiaTheme="minorEastAsia" w:hAnsi="Palatino Linotype"/>
          <w:lang w:val="es-ES_tradnl" w:eastAsia="es-ES"/>
        </w:rPr>
      </w:pPr>
    </w:p>
    <w:p w:rsidR="00D771ED" w:rsidRPr="00166794" w:rsidRDefault="00D771ED" w:rsidP="009B6FD5">
      <w:pPr>
        <w:spacing w:line="360" w:lineRule="auto"/>
        <w:jc w:val="both"/>
        <w:rPr>
          <w:rFonts w:ascii="Palatino Linotype" w:hAnsi="Palatino Linotype"/>
        </w:rPr>
      </w:pPr>
      <w:r w:rsidRPr="00166794">
        <w:rPr>
          <w:rFonts w:ascii="Palatino Linotype" w:hAnsi="Palatino Linotype"/>
          <w:b/>
        </w:rPr>
        <w:t>VISTO</w:t>
      </w:r>
      <w:r w:rsidRPr="00166794">
        <w:rPr>
          <w:rFonts w:ascii="Palatino Linotype" w:hAnsi="Palatino Linotype"/>
        </w:rPr>
        <w:t xml:space="preserve"> el expediente electrónico formado con motivo del recurso de revisión </w:t>
      </w:r>
      <w:r w:rsidR="00062D39" w:rsidRPr="00166794">
        <w:rPr>
          <w:rFonts w:ascii="Palatino Linotype" w:hAnsi="Palatino Linotype"/>
          <w:b/>
        </w:rPr>
        <w:t>14623</w:t>
      </w:r>
      <w:r w:rsidR="005D445E" w:rsidRPr="00166794">
        <w:rPr>
          <w:rFonts w:ascii="Palatino Linotype" w:hAnsi="Palatino Linotype"/>
          <w:b/>
        </w:rPr>
        <w:t>/INFOEM/IP/RR/2022</w:t>
      </w:r>
      <w:r w:rsidRPr="00166794">
        <w:rPr>
          <w:rFonts w:ascii="Palatino Linotype" w:hAnsi="Palatino Linotype"/>
          <w:b/>
        </w:rPr>
        <w:t>,</w:t>
      </w:r>
      <w:r w:rsidRPr="00166794">
        <w:rPr>
          <w:rFonts w:ascii="Palatino Linotype" w:hAnsi="Palatino Linotype" w:cs="Arial"/>
          <w:b/>
          <w:bCs/>
        </w:rPr>
        <w:t xml:space="preserve"> </w:t>
      </w:r>
      <w:r w:rsidRPr="00166794">
        <w:rPr>
          <w:rFonts w:ascii="Palatino Linotype" w:eastAsiaTheme="minorEastAsia" w:hAnsi="Palatino Linotype"/>
          <w:lang w:val="es-ES_tradnl" w:eastAsia="es-ES"/>
        </w:rPr>
        <w:t xml:space="preserve">promovido por </w:t>
      </w:r>
      <w:r w:rsidR="00166794" w:rsidRPr="00166794">
        <w:rPr>
          <w:rFonts w:ascii="Palatino Linotype" w:eastAsiaTheme="minorEastAsia" w:hAnsi="Palatino Linotype"/>
          <w:b/>
          <w:lang w:val="es-ES" w:eastAsia="es-ES"/>
        </w:rPr>
        <w:t>XXXX XXX XXXX</w:t>
      </w:r>
      <w:r w:rsidR="00C60D17" w:rsidRPr="00166794">
        <w:rPr>
          <w:rFonts w:ascii="Palatino Linotype" w:eastAsiaTheme="minorEastAsia" w:hAnsi="Palatino Linotype"/>
          <w:b/>
          <w:lang w:val="es-ES" w:eastAsia="es-ES"/>
        </w:rPr>
        <w:t>,</w:t>
      </w:r>
      <w:r w:rsidR="00C60D17" w:rsidRPr="00166794">
        <w:rPr>
          <w:rFonts w:ascii="Palatino Linotype" w:eastAsiaTheme="minorEastAsia" w:hAnsi="Palatino Linotype"/>
          <w:lang w:val="es-ES" w:eastAsia="es-ES"/>
        </w:rPr>
        <w:t xml:space="preserve"> quien en lo </w:t>
      </w:r>
      <w:r w:rsidRPr="00166794">
        <w:rPr>
          <w:rFonts w:ascii="Palatino Linotype" w:hAnsi="Palatino Linotype"/>
        </w:rPr>
        <w:t xml:space="preserve">sucesivo se identificará como </w:t>
      </w:r>
      <w:r w:rsidRPr="00166794">
        <w:rPr>
          <w:rFonts w:ascii="Palatino Linotype" w:hAnsi="Palatino Linotype"/>
          <w:b/>
        </w:rPr>
        <w:t xml:space="preserve">EL </w:t>
      </w:r>
      <w:r w:rsidRPr="00166794">
        <w:rPr>
          <w:rFonts w:ascii="Palatino Linotype" w:hAnsi="Palatino Linotype" w:cs="Arial"/>
          <w:b/>
        </w:rPr>
        <w:t>RECURRENTE</w:t>
      </w:r>
      <w:r w:rsidRPr="00166794">
        <w:rPr>
          <w:rFonts w:ascii="Palatino Linotype" w:hAnsi="Palatino Linotype" w:cs="Arial"/>
        </w:rPr>
        <w:t xml:space="preserve">, en contra de la respuesta del </w:t>
      </w:r>
      <w:r w:rsidR="003F27EF" w:rsidRPr="00166794">
        <w:rPr>
          <w:rFonts w:ascii="Palatino Linotype" w:hAnsi="Palatino Linotype" w:cs="Arial"/>
          <w:b/>
        </w:rPr>
        <w:t>Ayu</w:t>
      </w:r>
      <w:r w:rsidR="00062D39" w:rsidRPr="00166794">
        <w:rPr>
          <w:rFonts w:ascii="Palatino Linotype" w:hAnsi="Palatino Linotype" w:cs="Arial"/>
          <w:b/>
        </w:rPr>
        <w:t>ntamiento de Tlalnepantla de Baz</w:t>
      </w:r>
      <w:r w:rsidRPr="00166794">
        <w:rPr>
          <w:rFonts w:ascii="Palatino Linotype" w:hAnsi="Palatino Linotype" w:cs="Arial"/>
          <w:b/>
        </w:rPr>
        <w:t>,</w:t>
      </w:r>
      <w:r w:rsidRPr="00166794">
        <w:rPr>
          <w:rFonts w:ascii="Palatino Linotype" w:hAnsi="Palatino Linotype"/>
          <w:b/>
        </w:rPr>
        <w:t xml:space="preserve"> </w:t>
      </w:r>
      <w:r w:rsidRPr="00166794">
        <w:rPr>
          <w:rFonts w:ascii="Palatino Linotype" w:hAnsi="Palatino Linotype"/>
        </w:rPr>
        <w:t>en lo sucesivo el</w:t>
      </w:r>
      <w:r w:rsidRPr="00166794">
        <w:rPr>
          <w:rFonts w:ascii="Palatino Linotype" w:hAnsi="Palatino Linotype"/>
          <w:b/>
        </w:rPr>
        <w:t xml:space="preserve"> SUJETO OBLIGADO</w:t>
      </w:r>
      <w:r w:rsidRPr="00166794">
        <w:rPr>
          <w:rFonts w:ascii="Palatino Linotype" w:hAnsi="Palatino Linotype"/>
        </w:rPr>
        <w:t>, por lo que se procede a dictar la presente resoluci</w:t>
      </w:r>
      <w:r w:rsidR="003A0EBB" w:rsidRPr="00166794">
        <w:rPr>
          <w:rFonts w:ascii="Palatino Linotype" w:hAnsi="Palatino Linotype"/>
        </w:rPr>
        <w:t>ón, con base en los siguientes:</w:t>
      </w:r>
    </w:p>
    <w:p w:rsidR="003A0EBB" w:rsidRPr="00166794" w:rsidRDefault="003A0EBB" w:rsidP="009B6FD5">
      <w:pPr>
        <w:spacing w:line="360" w:lineRule="auto"/>
        <w:jc w:val="both"/>
        <w:rPr>
          <w:rFonts w:ascii="Palatino Linotype" w:hAnsi="Palatino Linotype"/>
        </w:rPr>
      </w:pPr>
    </w:p>
    <w:p w:rsidR="00D771ED" w:rsidRPr="00166794" w:rsidRDefault="00D771ED" w:rsidP="009B6FD5">
      <w:pPr>
        <w:keepNext/>
        <w:keepLines/>
        <w:spacing w:line="360" w:lineRule="auto"/>
        <w:jc w:val="center"/>
        <w:outlineLvl w:val="0"/>
        <w:rPr>
          <w:rFonts w:ascii="Palatino Linotype" w:eastAsiaTheme="majorEastAsia" w:hAnsi="Palatino Linotype" w:cstheme="majorBidi"/>
          <w:b/>
          <w:szCs w:val="32"/>
        </w:rPr>
      </w:pPr>
      <w:bookmarkStart w:id="0" w:name="_Toc83301633"/>
      <w:r w:rsidRPr="00166794">
        <w:rPr>
          <w:rFonts w:ascii="Palatino Linotype" w:eastAsiaTheme="majorEastAsia" w:hAnsi="Palatino Linotype" w:cstheme="majorBidi"/>
          <w:b/>
          <w:szCs w:val="32"/>
        </w:rPr>
        <w:t>ANTECEDENTES</w:t>
      </w:r>
      <w:bookmarkEnd w:id="0"/>
    </w:p>
    <w:p w:rsidR="00D771ED" w:rsidRPr="00166794" w:rsidRDefault="00D771ED" w:rsidP="009B6FD5">
      <w:pPr>
        <w:spacing w:line="360" w:lineRule="auto"/>
        <w:rPr>
          <w:rFonts w:ascii="Palatino Linotype" w:eastAsiaTheme="minorEastAsia" w:hAnsi="Palatino Linotype"/>
        </w:rPr>
      </w:pPr>
    </w:p>
    <w:p w:rsidR="00D771ED" w:rsidRPr="00166794" w:rsidRDefault="00062D39" w:rsidP="009B6FD5">
      <w:pPr>
        <w:numPr>
          <w:ilvl w:val="0"/>
          <w:numId w:val="1"/>
        </w:numPr>
        <w:spacing w:line="360" w:lineRule="auto"/>
        <w:ind w:left="0" w:firstLine="0"/>
        <w:contextualSpacing/>
        <w:jc w:val="both"/>
        <w:rPr>
          <w:rFonts w:ascii="Palatino Linotype" w:hAnsi="Palatino Linotype" w:cs="Arial"/>
          <w:lang w:val="es-ES" w:eastAsia="es-ES"/>
        </w:rPr>
      </w:pPr>
      <w:r w:rsidRPr="00166794">
        <w:rPr>
          <w:rFonts w:ascii="Palatino Linotype" w:eastAsia="Calibri" w:hAnsi="Palatino Linotype" w:cs="Arial"/>
          <w:lang w:val="es-ES" w:eastAsia="es-ES"/>
        </w:rPr>
        <w:t>El día veintidós (22</w:t>
      </w:r>
      <w:r w:rsidR="003F27EF" w:rsidRPr="00166794">
        <w:rPr>
          <w:rFonts w:ascii="Palatino Linotype" w:eastAsia="Calibri" w:hAnsi="Palatino Linotype" w:cs="Arial"/>
          <w:lang w:val="es-ES" w:eastAsia="es-ES"/>
        </w:rPr>
        <w:t>) de agosto</w:t>
      </w:r>
      <w:r w:rsidR="00A3041A" w:rsidRPr="00166794">
        <w:rPr>
          <w:rFonts w:ascii="Palatino Linotype" w:eastAsia="Calibri" w:hAnsi="Palatino Linotype" w:cs="Arial"/>
          <w:lang w:val="es-ES" w:eastAsia="es-ES"/>
        </w:rPr>
        <w:t xml:space="preserve"> de dos mil veintidós</w:t>
      </w:r>
      <w:r w:rsidR="00D771ED" w:rsidRPr="00166794">
        <w:rPr>
          <w:rFonts w:ascii="Palatino Linotype" w:eastAsia="Calibri" w:hAnsi="Palatino Linotype" w:cs="Arial"/>
          <w:lang w:val="es-ES" w:eastAsia="es-ES"/>
        </w:rPr>
        <w:t>,</w:t>
      </w:r>
      <w:r w:rsidR="00D771ED" w:rsidRPr="00166794">
        <w:rPr>
          <w:rFonts w:ascii="Palatino Linotype" w:eastAsia="Calibri" w:hAnsi="Palatino Linotype"/>
          <w:lang w:val="es-ES" w:eastAsia="es-ES"/>
        </w:rPr>
        <w:t xml:space="preserve"> </w:t>
      </w:r>
      <w:r w:rsidR="00D771ED" w:rsidRPr="00166794">
        <w:rPr>
          <w:rFonts w:ascii="Palatino Linotype" w:eastAsia="Calibri" w:hAnsi="Palatino Linotype"/>
          <w:b/>
          <w:lang w:val="es-ES" w:eastAsia="es-ES"/>
        </w:rPr>
        <w:t>EL RECURRENTE</w:t>
      </w:r>
      <w:r w:rsidR="00D771ED" w:rsidRPr="00166794">
        <w:rPr>
          <w:rFonts w:ascii="Palatino Linotype" w:eastAsiaTheme="minorEastAsia" w:hAnsi="Palatino Linotype"/>
          <w:b/>
          <w:lang w:val="es-ES_tradnl" w:eastAsia="es-ES"/>
        </w:rPr>
        <w:t>,</w:t>
      </w:r>
      <w:r w:rsidR="00D771ED" w:rsidRPr="00166794">
        <w:rPr>
          <w:rFonts w:ascii="Palatino Linotype" w:eastAsia="Calibri" w:hAnsi="Palatino Linotype" w:cs="Arial"/>
          <w:lang w:val="es-ES" w:eastAsia="es-ES"/>
        </w:rPr>
        <w:t xml:space="preserve"> ante el </w:t>
      </w:r>
      <w:r w:rsidR="00D771ED" w:rsidRPr="00166794">
        <w:rPr>
          <w:rFonts w:ascii="Palatino Linotype" w:eastAsia="Calibri" w:hAnsi="Palatino Linotype" w:cs="Arial"/>
          <w:b/>
          <w:lang w:val="es-ES" w:eastAsia="es-ES"/>
        </w:rPr>
        <w:t>SUJETO OBLIGADO</w:t>
      </w:r>
      <w:r w:rsidR="00D771ED" w:rsidRPr="00166794">
        <w:rPr>
          <w:rFonts w:ascii="Palatino Linotype" w:eastAsia="Calibri" w:hAnsi="Palatino Linotype" w:cs="Arial"/>
          <w:lang w:val="es-ES_tradnl" w:eastAsia="es-ES"/>
        </w:rPr>
        <w:t xml:space="preserve"> vía </w:t>
      </w:r>
      <w:r w:rsidR="00D771ED" w:rsidRPr="00166794">
        <w:rPr>
          <w:rFonts w:ascii="Palatino Linotype" w:eastAsia="Calibri" w:hAnsi="Palatino Linotype" w:cs="Arial"/>
          <w:lang w:val="es-ES" w:eastAsia="es-ES"/>
        </w:rPr>
        <w:t>Sistema de Acceso a la Información Mexiquense (</w:t>
      </w:r>
      <w:r w:rsidR="00D771ED" w:rsidRPr="00166794">
        <w:rPr>
          <w:rFonts w:ascii="Palatino Linotype" w:eastAsia="Calibri" w:hAnsi="Palatino Linotype" w:cs="Arial"/>
          <w:b/>
          <w:lang w:val="es-ES" w:eastAsia="es-ES"/>
        </w:rPr>
        <w:t>SAIMEX)</w:t>
      </w:r>
      <w:r w:rsidR="00D771ED" w:rsidRPr="00166794">
        <w:rPr>
          <w:rFonts w:ascii="Palatino Linotype" w:eastAsia="Calibri" w:hAnsi="Palatino Linotype" w:cs="Arial"/>
          <w:lang w:val="es-ES" w:eastAsia="es-ES"/>
        </w:rPr>
        <w:t xml:space="preserve">, presentó una solicitud de información registrada con el número </w:t>
      </w:r>
      <w:r w:rsidRPr="00166794">
        <w:rPr>
          <w:rFonts w:ascii="Palatino Linotype" w:hAnsi="Palatino Linotype"/>
          <w:b/>
          <w:bCs/>
        </w:rPr>
        <w:t>00748/TLALNEPA/IP/2022</w:t>
      </w:r>
      <w:r w:rsidR="00D771ED" w:rsidRPr="00166794">
        <w:rPr>
          <w:rFonts w:ascii="Palatino Linotype" w:eastAsiaTheme="minorEastAsia" w:hAnsi="Palatino Linotype"/>
          <w:b/>
          <w:lang w:val="es-ES_tradnl" w:eastAsia="es-ES"/>
        </w:rPr>
        <w:t xml:space="preserve">, </w:t>
      </w:r>
      <w:r w:rsidR="00D771ED" w:rsidRPr="00166794">
        <w:rPr>
          <w:rFonts w:ascii="Palatino Linotype" w:eastAsia="Calibri" w:hAnsi="Palatino Linotype" w:cs="Arial"/>
          <w:lang w:val="es-ES" w:eastAsia="es-ES"/>
        </w:rPr>
        <w:t>mediante la cual solicitó lo siguiente:</w:t>
      </w:r>
    </w:p>
    <w:p w:rsidR="00D771ED" w:rsidRPr="00166794" w:rsidRDefault="00D771ED" w:rsidP="009B6FD5">
      <w:pPr>
        <w:spacing w:line="360" w:lineRule="auto"/>
        <w:contextualSpacing/>
        <w:jc w:val="both"/>
        <w:rPr>
          <w:rFonts w:ascii="Palatino Linotype" w:hAnsi="Palatino Linotype" w:cs="Arial"/>
          <w:lang w:val="es-ES" w:eastAsia="es-ES"/>
        </w:rPr>
      </w:pPr>
    </w:p>
    <w:p w:rsidR="00D771ED" w:rsidRPr="00166794" w:rsidRDefault="00D771ED" w:rsidP="001774E1">
      <w:pPr>
        <w:pStyle w:val="Prrafodelista"/>
        <w:spacing w:line="360" w:lineRule="auto"/>
        <w:ind w:left="1069" w:right="567"/>
        <w:jc w:val="both"/>
        <w:rPr>
          <w:rFonts w:ascii="Palatino Linotype" w:hAnsi="Palatino Linotype"/>
          <w:i/>
          <w:color w:val="000000"/>
        </w:rPr>
      </w:pPr>
      <w:r w:rsidRPr="00166794">
        <w:rPr>
          <w:rFonts w:ascii="Palatino Linotype" w:hAnsi="Palatino Linotype"/>
          <w:i/>
          <w:color w:val="000000"/>
        </w:rPr>
        <w:t xml:space="preserve"> “</w:t>
      </w:r>
      <w:r w:rsidR="00062D39" w:rsidRPr="00166794">
        <w:rPr>
          <w:rFonts w:ascii="Palatino Linotype" w:hAnsi="Palatino Linotype"/>
          <w:i/>
          <w:color w:val="000000"/>
        </w:rPr>
        <w:t>Solicito la balanza de comprobación detallada del mes de enero de 2022</w:t>
      </w:r>
      <w:r w:rsidRPr="00166794">
        <w:rPr>
          <w:rFonts w:ascii="Palatino Linotype" w:hAnsi="Palatino Linotype"/>
          <w:i/>
          <w:color w:val="000000"/>
        </w:rPr>
        <w:t xml:space="preserve">” (Sic) </w:t>
      </w:r>
    </w:p>
    <w:p w:rsidR="003F27EF" w:rsidRPr="00166794" w:rsidRDefault="003F27EF" w:rsidP="001774E1">
      <w:pPr>
        <w:pStyle w:val="Prrafodelista"/>
        <w:spacing w:line="360" w:lineRule="auto"/>
        <w:ind w:left="1069" w:right="567"/>
        <w:jc w:val="both"/>
        <w:rPr>
          <w:rFonts w:ascii="Palatino Linotype" w:hAnsi="Palatino Linotype"/>
          <w:i/>
          <w:color w:val="000000"/>
        </w:rPr>
      </w:pPr>
    </w:p>
    <w:p w:rsidR="00D771ED" w:rsidRPr="00166794" w:rsidRDefault="00D771ED" w:rsidP="009B6FD5">
      <w:pPr>
        <w:numPr>
          <w:ilvl w:val="0"/>
          <w:numId w:val="1"/>
        </w:numPr>
        <w:spacing w:line="360" w:lineRule="auto"/>
        <w:ind w:left="0" w:firstLine="0"/>
        <w:contextualSpacing/>
        <w:jc w:val="both"/>
        <w:rPr>
          <w:rFonts w:ascii="Palatino Linotype" w:eastAsia="Calibri" w:hAnsi="Palatino Linotype"/>
          <w:lang w:val="es-ES" w:eastAsia="es-ES"/>
        </w:rPr>
      </w:pPr>
      <w:r w:rsidRPr="00166794">
        <w:rPr>
          <w:rFonts w:ascii="Palatino Linotype" w:eastAsia="Calibri" w:hAnsi="Palatino Linotype"/>
          <w:lang w:val="es-ES" w:eastAsia="es-ES"/>
        </w:rPr>
        <w:t>Se eligió como modalidad de entrega a través de la plataforma digital Sistema de Acceso a la Información Mexiquense (SAIMEX).</w:t>
      </w:r>
    </w:p>
    <w:p w:rsidR="00C60D17" w:rsidRPr="00166794" w:rsidRDefault="00C60D17" w:rsidP="00C60D17">
      <w:pPr>
        <w:spacing w:line="360" w:lineRule="auto"/>
        <w:contextualSpacing/>
        <w:jc w:val="both"/>
        <w:rPr>
          <w:rFonts w:ascii="Palatino Linotype" w:eastAsia="Calibri" w:hAnsi="Palatino Linotype"/>
          <w:lang w:val="es-ES" w:eastAsia="es-ES"/>
        </w:rPr>
      </w:pPr>
    </w:p>
    <w:p w:rsidR="00D771ED" w:rsidRPr="00166794" w:rsidRDefault="00C60D17" w:rsidP="009B6FD5">
      <w:pPr>
        <w:numPr>
          <w:ilvl w:val="0"/>
          <w:numId w:val="1"/>
        </w:numPr>
        <w:spacing w:line="360" w:lineRule="auto"/>
        <w:ind w:left="0" w:firstLine="0"/>
        <w:contextualSpacing/>
        <w:jc w:val="both"/>
        <w:rPr>
          <w:rFonts w:ascii="Palatino Linotype" w:eastAsia="Calibri" w:hAnsi="Palatino Linotype"/>
          <w:lang w:val="es-ES" w:eastAsia="es-ES"/>
        </w:rPr>
      </w:pPr>
      <w:r w:rsidRPr="00166794">
        <w:rPr>
          <w:rFonts w:ascii="Palatino Linotype" w:eastAsiaTheme="minorEastAsia" w:hAnsi="Palatino Linotype"/>
          <w:lang w:val="es-ES_tradnl" w:eastAsia="es-ES"/>
        </w:rPr>
        <w:t xml:space="preserve">El </w:t>
      </w:r>
      <w:r w:rsidR="00062D39" w:rsidRPr="00166794">
        <w:rPr>
          <w:rFonts w:ascii="Palatino Linotype" w:eastAsiaTheme="minorEastAsia" w:hAnsi="Palatino Linotype"/>
          <w:lang w:val="es-ES_tradnl" w:eastAsia="es-ES"/>
        </w:rPr>
        <w:t xml:space="preserve">ocho (08) de septiembre </w:t>
      </w:r>
      <w:r w:rsidR="00A3041A" w:rsidRPr="00166794">
        <w:rPr>
          <w:rFonts w:ascii="Palatino Linotype" w:eastAsiaTheme="minorEastAsia" w:hAnsi="Palatino Linotype"/>
          <w:lang w:val="es-ES_tradnl" w:eastAsia="es-ES"/>
        </w:rPr>
        <w:t xml:space="preserve"> de dos mil veintidós</w:t>
      </w:r>
      <w:r w:rsidR="00D771ED" w:rsidRPr="00166794">
        <w:rPr>
          <w:rFonts w:ascii="Palatino Linotype" w:eastAsiaTheme="minorEastAsia" w:hAnsi="Palatino Linotype"/>
          <w:lang w:val="es-ES_tradnl" w:eastAsia="es-ES"/>
        </w:rPr>
        <w:t xml:space="preserve">, </w:t>
      </w:r>
      <w:r w:rsidR="00D771ED" w:rsidRPr="00166794">
        <w:rPr>
          <w:rFonts w:ascii="Palatino Linotype" w:eastAsia="Calibri" w:hAnsi="Palatino Linotype"/>
          <w:lang w:val="es-ES" w:eastAsia="es-ES"/>
        </w:rPr>
        <w:t xml:space="preserve">el </w:t>
      </w:r>
      <w:r w:rsidR="00D771ED" w:rsidRPr="00166794">
        <w:rPr>
          <w:rFonts w:ascii="Palatino Linotype" w:eastAsia="Calibri" w:hAnsi="Palatino Linotype" w:cs="Arial"/>
          <w:b/>
          <w:lang w:val="es-AR" w:eastAsia="es-ES"/>
        </w:rPr>
        <w:t>SUJETO OBLIGADO</w:t>
      </w:r>
      <w:r w:rsidR="00D771ED" w:rsidRPr="00166794">
        <w:rPr>
          <w:rFonts w:ascii="Palatino Linotype" w:eastAsia="Calibri" w:hAnsi="Palatino Linotype" w:cs="Arial"/>
          <w:b/>
          <w:i/>
          <w:lang w:val="es-AR" w:eastAsia="es-ES"/>
        </w:rPr>
        <w:t xml:space="preserve"> </w:t>
      </w:r>
      <w:r w:rsidR="00A657B2" w:rsidRPr="00166794">
        <w:rPr>
          <w:rFonts w:ascii="Palatino Linotype" w:hAnsi="Palatino Linotype" w:cs="Arial"/>
          <w:lang w:val="es-ES" w:eastAsia="es-ES"/>
        </w:rPr>
        <w:t>dio respuesta</w:t>
      </w:r>
      <w:r w:rsidR="00D771ED" w:rsidRPr="00166794">
        <w:rPr>
          <w:rFonts w:ascii="Palatino Linotype" w:hAnsi="Palatino Linotype" w:cs="Arial"/>
          <w:lang w:val="es-ES" w:eastAsia="es-ES"/>
        </w:rPr>
        <w:t xml:space="preserve"> a la solicitud de información en los siguientes términos:</w:t>
      </w:r>
    </w:p>
    <w:p w:rsidR="00D771ED" w:rsidRPr="00166794" w:rsidRDefault="00D771ED" w:rsidP="009B6FD5">
      <w:pPr>
        <w:spacing w:line="360" w:lineRule="auto"/>
        <w:contextualSpacing/>
        <w:jc w:val="both"/>
        <w:rPr>
          <w:rFonts w:ascii="Palatino Linotype" w:eastAsia="Calibri" w:hAnsi="Palatino Linotype"/>
          <w:lang w:val="es-ES" w:eastAsia="es-ES"/>
        </w:rPr>
      </w:pPr>
    </w:p>
    <w:tbl>
      <w:tblPr>
        <w:tblW w:w="7405" w:type="dxa"/>
        <w:jc w:val="center"/>
        <w:tblCellSpacing w:w="0" w:type="dxa"/>
        <w:tblCellMar>
          <w:left w:w="0" w:type="dxa"/>
          <w:right w:w="0" w:type="dxa"/>
        </w:tblCellMar>
        <w:tblLook w:val="04A0" w:firstRow="1" w:lastRow="0" w:firstColumn="1" w:lastColumn="0" w:noHBand="0" w:noVBand="1"/>
      </w:tblPr>
      <w:tblGrid>
        <w:gridCol w:w="7405"/>
      </w:tblGrid>
      <w:tr w:rsidR="00062D39" w:rsidRPr="00166794" w:rsidTr="00062D39">
        <w:trPr>
          <w:trHeight w:val="314"/>
          <w:tblCellSpacing w:w="0" w:type="dxa"/>
          <w:jc w:val="center"/>
        </w:trPr>
        <w:tc>
          <w:tcPr>
            <w:tcW w:w="0" w:type="auto"/>
            <w:vAlign w:val="center"/>
            <w:hideMark/>
          </w:tcPr>
          <w:p w:rsidR="00062D39" w:rsidRPr="00166794" w:rsidRDefault="00062D39" w:rsidP="00062D39">
            <w:pPr>
              <w:jc w:val="right"/>
              <w:rPr>
                <w:rFonts w:ascii="Palatino Linotype" w:hAnsi="Palatino Linotype"/>
                <w:i/>
                <w:sz w:val="22"/>
              </w:rPr>
            </w:pPr>
            <w:r w:rsidRPr="00166794">
              <w:rPr>
                <w:rFonts w:ascii="Palatino Linotype" w:hAnsi="Palatino Linotype"/>
                <w:i/>
                <w:sz w:val="22"/>
                <w:szCs w:val="18"/>
              </w:rPr>
              <w:lastRenderedPageBreak/>
              <w:t>Tlalnepantla de Baz, México a 08 de Septiembre de 2022</w:t>
            </w:r>
          </w:p>
        </w:tc>
      </w:tr>
      <w:tr w:rsidR="00062D39" w:rsidRPr="00166794" w:rsidTr="00062D39">
        <w:trPr>
          <w:trHeight w:val="314"/>
          <w:tblCellSpacing w:w="0" w:type="dxa"/>
          <w:jc w:val="center"/>
        </w:trPr>
        <w:tc>
          <w:tcPr>
            <w:tcW w:w="0" w:type="auto"/>
            <w:vAlign w:val="center"/>
            <w:hideMark/>
          </w:tcPr>
          <w:p w:rsidR="00062D39" w:rsidRPr="00166794" w:rsidRDefault="00062D39" w:rsidP="00062D39">
            <w:pPr>
              <w:jc w:val="right"/>
              <w:rPr>
                <w:rFonts w:ascii="Palatino Linotype" w:hAnsi="Palatino Linotype"/>
                <w:i/>
                <w:sz w:val="22"/>
              </w:rPr>
            </w:pPr>
            <w:r w:rsidRPr="00166794">
              <w:rPr>
                <w:rFonts w:ascii="Palatino Linotype" w:hAnsi="Palatino Linotype"/>
                <w:i/>
                <w:sz w:val="22"/>
                <w:szCs w:val="18"/>
              </w:rPr>
              <w:t>Nombre del solicitante: C. Solicitante</w:t>
            </w:r>
          </w:p>
        </w:tc>
      </w:tr>
      <w:tr w:rsidR="00062D39" w:rsidRPr="00166794" w:rsidTr="00062D39">
        <w:trPr>
          <w:trHeight w:val="314"/>
          <w:tblCellSpacing w:w="0" w:type="dxa"/>
          <w:jc w:val="center"/>
        </w:trPr>
        <w:tc>
          <w:tcPr>
            <w:tcW w:w="0" w:type="auto"/>
            <w:vAlign w:val="center"/>
            <w:hideMark/>
          </w:tcPr>
          <w:p w:rsidR="00062D39" w:rsidRPr="00166794" w:rsidRDefault="00062D39" w:rsidP="00062D39">
            <w:pPr>
              <w:jc w:val="right"/>
              <w:rPr>
                <w:rFonts w:ascii="Palatino Linotype" w:hAnsi="Palatino Linotype"/>
                <w:i/>
                <w:sz w:val="22"/>
              </w:rPr>
            </w:pPr>
            <w:r w:rsidRPr="00166794">
              <w:rPr>
                <w:rFonts w:ascii="Palatino Linotype" w:hAnsi="Palatino Linotype"/>
                <w:i/>
                <w:sz w:val="22"/>
                <w:szCs w:val="18"/>
              </w:rPr>
              <w:t>Folio de la solicitud: 00748/TLALNEPA/IP/2022</w:t>
            </w:r>
          </w:p>
        </w:tc>
      </w:tr>
      <w:tr w:rsidR="00062D39" w:rsidRPr="00166794" w:rsidTr="00062D39">
        <w:trPr>
          <w:trHeight w:val="471"/>
          <w:tblCellSpacing w:w="0" w:type="dxa"/>
          <w:jc w:val="center"/>
        </w:trPr>
        <w:tc>
          <w:tcPr>
            <w:tcW w:w="0" w:type="auto"/>
            <w:vAlign w:val="center"/>
            <w:hideMark/>
          </w:tcPr>
          <w:p w:rsidR="00062D39" w:rsidRPr="00166794" w:rsidRDefault="00062D39" w:rsidP="00062D39">
            <w:pPr>
              <w:jc w:val="right"/>
              <w:rPr>
                <w:rFonts w:ascii="Palatino Linotype" w:hAnsi="Palatino Linotype"/>
                <w:i/>
                <w:sz w:val="22"/>
              </w:rPr>
            </w:pPr>
          </w:p>
        </w:tc>
      </w:tr>
      <w:tr w:rsidR="00062D39" w:rsidRPr="00166794" w:rsidTr="00062D39">
        <w:trPr>
          <w:trHeight w:val="392"/>
          <w:tblCellSpacing w:w="0" w:type="dxa"/>
          <w:jc w:val="center"/>
        </w:trPr>
        <w:tc>
          <w:tcPr>
            <w:tcW w:w="0" w:type="auto"/>
            <w:vAlign w:val="center"/>
            <w:hideMark/>
          </w:tcPr>
          <w:p w:rsidR="00062D39" w:rsidRPr="00166794" w:rsidRDefault="00062D39" w:rsidP="00062D39">
            <w:pPr>
              <w:rPr>
                <w:rFonts w:ascii="Palatino Linotype" w:hAnsi="Palatino Linotype"/>
                <w:i/>
                <w:sz w:val="22"/>
                <w:szCs w:val="20"/>
              </w:rPr>
            </w:pPr>
          </w:p>
        </w:tc>
      </w:tr>
      <w:tr w:rsidR="00062D39" w:rsidRPr="00166794" w:rsidTr="00062D39">
        <w:trPr>
          <w:trHeight w:val="157"/>
          <w:tblCellSpacing w:w="0" w:type="dxa"/>
          <w:jc w:val="center"/>
        </w:trPr>
        <w:tc>
          <w:tcPr>
            <w:tcW w:w="0" w:type="auto"/>
            <w:vAlign w:val="center"/>
            <w:hideMark/>
          </w:tcPr>
          <w:p w:rsidR="00062D39" w:rsidRPr="00166794" w:rsidRDefault="00062D39" w:rsidP="00062D39">
            <w:pPr>
              <w:rPr>
                <w:rFonts w:ascii="Palatino Linotype" w:hAnsi="Palatino Linotype"/>
                <w:i/>
                <w:sz w:val="22"/>
              </w:rPr>
            </w:pPr>
            <w:r w:rsidRPr="00166794">
              <w:rPr>
                <w:rFonts w:ascii="Palatino Linotype" w:hAnsi="Palatino Linotype"/>
                <w:i/>
                <w:sz w:val="22"/>
                <w:szCs w:val="18"/>
              </w:rPr>
              <w:t>Por este medio reciba un cordial saludo y con fundamento en los artículos 6 de la Constitución Política de los Estados Unidos Mexicanos; 5 párrafo décimo séptimo, décimo octavo y décimo noveno de la Constitución Política del Estado Libre y Soberano de México; así como los artículos 1, 4, 12 segundo párrafo, 23 fracción IV, 24 tercer párrafo, 53, 59, 88 y 173 de la Ley de Transparencia y Acceso a la Información Pública del Estado de México y Municipios, se remite la respuesta emitida por el servidor público habilitado a su solicitud</w:t>
            </w:r>
          </w:p>
        </w:tc>
      </w:tr>
      <w:tr w:rsidR="00062D39" w:rsidRPr="00166794" w:rsidTr="00062D39">
        <w:trPr>
          <w:trHeight w:val="150"/>
          <w:tblCellSpacing w:w="0" w:type="dxa"/>
          <w:jc w:val="center"/>
        </w:trPr>
        <w:tc>
          <w:tcPr>
            <w:tcW w:w="0" w:type="auto"/>
            <w:vAlign w:val="center"/>
            <w:hideMark/>
          </w:tcPr>
          <w:p w:rsidR="00062D39" w:rsidRPr="00166794" w:rsidRDefault="00062D39" w:rsidP="00062D39"/>
        </w:tc>
      </w:tr>
    </w:tbl>
    <w:p w:rsidR="00D771ED" w:rsidRPr="00166794" w:rsidRDefault="00D771ED" w:rsidP="009B6FD5">
      <w:pPr>
        <w:spacing w:line="360" w:lineRule="auto"/>
        <w:ind w:right="567"/>
        <w:jc w:val="both"/>
        <w:rPr>
          <w:rFonts w:ascii="Palatino Linotype" w:hAnsi="Palatino Linotype"/>
        </w:rPr>
      </w:pPr>
    </w:p>
    <w:p w:rsidR="00A3041A" w:rsidRPr="00166794" w:rsidRDefault="00062D39" w:rsidP="00235936">
      <w:pPr>
        <w:spacing w:line="360" w:lineRule="auto"/>
        <w:ind w:right="567"/>
        <w:jc w:val="both"/>
        <w:rPr>
          <w:rFonts w:ascii="Palatino Linotype" w:hAnsi="Palatino Linotype"/>
          <w:sz w:val="22"/>
          <w:szCs w:val="22"/>
        </w:rPr>
      </w:pPr>
      <w:r w:rsidRPr="00166794">
        <w:rPr>
          <w:rFonts w:ascii="Palatino Linotype" w:hAnsi="Palatino Linotype"/>
          <w:sz w:val="22"/>
          <w:szCs w:val="22"/>
        </w:rPr>
        <w:t xml:space="preserve">A la respuesta se adjuntó  el archivo </w:t>
      </w:r>
      <w:hyperlink r:id="rId8" w:tgtFrame="_blank" w:history="1">
        <w:r w:rsidR="005B21E0" w:rsidRPr="00166794">
          <w:rPr>
            <w:rStyle w:val="Hipervnculo"/>
            <w:rFonts w:ascii="Palatino Linotype" w:eastAsiaTheme="majorEastAsia" w:hAnsi="Palatino Linotype" w:cs="Arial"/>
            <w:b/>
            <w:bCs/>
            <w:color w:val="auto"/>
            <w:sz w:val="22"/>
            <w:szCs w:val="22"/>
          </w:rPr>
          <w:t>RESP-SAIMEX-00748.zip</w:t>
        </w:r>
      </w:hyperlink>
      <w:r w:rsidR="005B21E0" w:rsidRPr="00166794">
        <w:rPr>
          <w:rFonts w:ascii="Palatino Linotype" w:hAnsi="Palatino Linotype"/>
          <w:sz w:val="22"/>
          <w:szCs w:val="22"/>
        </w:rPr>
        <w:t xml:space="preserve"> que consta de los siguientes documentos que se describen:</w:t>
      </w:r>
    </w:p>
    <w:p w:rsidR="005B21E0" w:rsidRPr="00166794" w:rsidRDefault="005B21E0" w:rsidP="00235936">
      <w:pPr>
        <w:spacing w:line="360" w:lineRule="auto"/>
        <w:ind w:right="567"/>
        <w:jc w:val="both"/>
        <w:rPr>
          <w:rFonts w:ascii="Palatino Linotype" w:hAnsi="Palatino Linotype"/>
          <w:sz w:val="22"/>
          <w:szCs w:val="22"/>
        </w:rPr>
      </w:pPr>
    </w:p>
    <w:p w:rsidR="005B21E0" w:rsidRPr="00166794" w:rsidRDefault="005B21E0" w:rsidP="005B21E0">
      <w:pPr>
        <w:pStyle w:val="Prrafodelista"/>
        <w:numPr>
          <w:ilvl w:val="0"/>
          <w:numId w:val="41"/>
        </w:numPr>
        <w:spacing w:line="360" w:lineRule="auto"/>
        <w:ind w:right="567"/>
        <w:jc w:val="both"/>
        <w:rPr>
          <w:rFonts w:ascii="Palatino Linotype" w:hAnsi="Palatino Linotype"/>
          <w:szCs w:val="22"/>
        </w:rPr>
      </w:pPr>
      <w:r w:rsidRPr="00166794">
        <w:rPr>
          <w:rFonts w:ascii="Palatino Linotype" w:hAnsi="Palatino Linotype"/>
          <w:b/>
          <w:szCs w:val="22"/>
        </w:rPr>
        <w:t>05-CT-30-ORD-2022 30°SAIMEX 630 RESERVA DE INFORMACION.pdf</w:t>
      </w:r>
      <w:r w:rsidRPr="00166794">
        <w:rPr>
          <w:rFonts w:ascii="Palatino Linotype" w:hAnsi="Palatino Linotype"/>
          <w:szCs w:val="22"/>
        </w:rPr>
        <w:t>: acuerdo de reserva 05/CT/30-ORD/2022, de la trigésima sesión ordinaria.</w:t>
      </w:r>
    </w:p>
    <w:p w:rsidR="00EB61F5" w:rsidRPr="00166794" w:rsidRDefault="00EB61F5" w:rsidP="00EB61F5">
      <w:pPr>
        <w:pStyle w:val="Prrafodelista"/>
        <w:spacing w:line="360" w:lineRule="auto"/>
        <w:ind w:right="567"/>
        <w:jc w:val="both"/>
        <w:rPr>
          <w:rFonts w:ascii="Palatino Linotype" w:hAnsi="Palatino Linotype"/>
          <w:szCs w:val="22"/>
        </w:rPr>
      </w:pPr>
    </w:p>
    <w:p w:rsidR="005B21E0" w:rsidRPr="00166794" w:rsidRDefault="005B21E0" w:rsidP="005B21E0">
      <w:pPr>
        <w:pStyle w:val="Prrafodelista"/>
        <w:numPr>
          <w:ilvl w:val="0"/>
          <w:numId w:val="41"/>
        </w:numPr>
        <w:spacing w:line="360" w:lineRule="auto"/>
        <w:ind w:right="567"/>
        <w:jc w:val="both"/>
        <w:rPr>
          <w:rFonts w:ascii="Palatino Linotype" w:hAnsi="Palatino Linotype"/>
          <w:szCs w:val="22"/>
        </w:rPr>
      </w:pPr>
      <w:r w:rsidRPr="00166794">
        <w:rPr>
          <w:rFonts w:ascii="Palatino Linotype" w:hAnsi="Palatino Linotype"/>
          <w:b/>
          <w:szCs w:val="22"/>
        </w:rPr>
        <w:t>SAIMEX 748 TESORERIA.pdf</w:t>
      </w:r>
      <w:r w:rsidRPr="00166794">
        <w:rPr>
          <w:rFonts w:ascii="Palatino Linotype" w:hAnsi="Palatino Linotype"/>
          <w:szCs w:val="22"/>
        </w:rPr>
        <w:t>: oficio TM/3679/2022</w:t>
      </w:r>
      <w:r w:rsidR="001A2C14" w:rsidRPr="00166794">
        <w:rPr>
          <w:rFonts w:ascii="Palatino Linotype" w:hAnsi="Palatino Linotype"/>
          <w:szCs w:val="22"/>
        </w:rPr>
        <w:t xml:space="preserve">, de fecha veinticuatro de agosto de dos mil veintidós, suscrito por el Tesorero Municipal, mediante el cual manifestó </w:t>
      </w:r>
      <w:r w:rsidR="001A2C14" w:rsidRPr="00166794">
        <w:rPr>
          <w:rFonts w:ascii="Palatino Linotype" w:hAnsi="Palatino Linotype"/>
          <w:i/>
          <w:szCs w:val="22"/>
        </w:rPr>
        <w:t xml:space="preserve">“…la información se encuentra clasificada como </w:t>
      </w:r>
      <w:r w:rsidR="001A2C14" w:rsidRPr="00166794">
        <w:rPr>
          <w:rFonts w:ascii="Palatino Linotype" w:hAnsi="Palatino Linotype"/>
          <w:b/>
          <w:i/>
          <w:szCs w:val="22"/>
        </w:rPr>
        <w:t>“RESERVADA”, mediante acuerdos 05/CT/30-ORD/2022 de la 30° Sesión Ordinaria del Comité de Transparencia del Municipio de Tlalnepantla de Baz, Estado de México, del día 16 de agosto del año 2022</w:t>
      </w:r>
      <w:r w:rsidR="001A2C14" w:rsidRPr="00166794">
        <w:rPr>
          <w:rFonts w:ascii="Palatino Linotype" w:hAnsi="Palatino Linotype"/>
          <w:i/>
          <w:szCs w:val="22"/>
        </w:rPr>
        <w:t>, es importante mencionar que dicha información forma parte del primer trimestre del ejercicio fiscal 2022, por lo que aún se encuentra en revisión, auditoria y fiscalización por parte de la Autoridad competente</w:t>
      </w:r>
      <w:r w:rsidR="001C147A" w:rsidRPr="00166794">
        <w:rPr>
          <w:rFonts w:ascii="Palatino Linotype" w:hAnsi="Palatino Linotype"/>
          <w:i/>
          <w:szCs w:val="22"/>
        </w:rPr>
        <w:t>…”</w:t>
      </w:r>
    </w:p>
    <w:p w:rsidR="005B21E0" w:rsidRPr="00166794" w:rsidRDefault="005B21E0" w:rsidP="00235936">
      <w:pPr>
        <w:spacing w:line="360" w:lineRule="auto"/>
        <w:ind w:right="567"/>
        <w:jc w:val="both"/>
        <w:rPr>
          <w:rFonts w:ascii="Palatino Linotype" w:hAnsi="Palatino Linotype"/>
        </w:rPr>
      </w:pPr>
    </w:p>
    <w:p w:rsidR="00D771ED" w:rsidRPr="00166794" w:rsidRDefault="00D771ED" w:rsidP="009B6FD5">
      <w:pPr>
        <w:numPr>
          <w:ilvl w:val="0"/>
          <w:numId w:val="1"/>
        </w:numPr>
        <w:spacing w:line="360" w:lineRule="auto"/>
        <w:ind w:left="0" w:firstLine="0"/>
        <w:contextualSpacing/>
        <w:jc w:val="both"/>
        <w:rPr>
          <w:rFonts w:ascii="Palatino Linotype" w:eastAsiaTheme="minorEastAsia" w:hAnsi="Palatino Linotype" w:cs="Arial"/>
          <w:i/>
          <w:lang w:val="es-ES_tradnl" w:eastAsia="es-ES"/>
        </w:rPr>
      </w:pPr>
      <w:r w:rsidRPr="00166794">
        <w:rPr>
          <w:rFonts w:ascii="Palatino Linotype" w:eastAsia="Calibri" w:hAnsi="Palatino Linotype" w:cs="Arial"/>
          <w:lang w:val="es-AR" w:eastAsia="es-ES"/>
        </w:rPr>
        <w:lastRenderedPageBreak/>
        <w:t xml:space="preserve">El </w:t>
      </w:r>
      <w:r w:rsidR="001C147A" w:rsidRPr="00166794">
        <w:rPr>
          <w:rFonts w:ascii="Palatino Linotype" w:eastAsia="Calibri" w:hAnsi="Palatino Linotype" w:cs="Arial"/>
          <w:lang w:val="es-AR" w:eastAsia="es-ES"/>
        </w:rPr>
        <w:t xml:space="preserve">nueve (09) de septiembre </w:t>
      </w:r>
      <w:r w:rsidR="00770803" w:rsidRPr="00166794">
        <w:rPr>
          <w:rFonts w:ascii="Palatino Linotype" w:eastAsia="Calibri" w:hAnsi="Palatino Linotype" w:cs="Arial"/>
          <w:lang w:val="es-AR" w:eastAsia="es-ES"/>
        </w:rPr>
        <w:t xml:space="preserve"> </w:t>
      </w:r>
      <w:r w:rsidR="007D429F" w:rsidRPr="00166794">
        <w:rPr>
          <w:rFonts w:ascii="Palatino Linotype" w:eastAsia="Calibri" w:hAnsi="Palatino Linotype" w:cs="Arial"/>
          <w:lang w:val="es-AR" w:eastAsia="es-ES"/>
        </w:rPr>
        <w:t xml:space="preserve"> de dos mil veintidós</w:t>
      </w:r>
      <w:r w:rsidRPr="00166794">
        <w:rPr>
          <w:rFonts w:ascii="Palatino Linotype" w:hAnsi="Palatino Linotype" w:cs="Arial"/>
          <w:lang w:val="es-ES" w:eastAsia="es-ES"/>
        </w:rPr>
        <w:t xml:space="preserve">, </w:t>
      </w:r>
      <w:r w:rsidRPr="00166794">
        <w:rPr>
          <w:rFonts w:ascii="Palatino Linotype" w:eastAsiaTheme="minorEastAsia" w:hAnsi="Palatino Linotype"/>
          <w:b/>
          <w:lang w:val="es-ES_tradnl" w:eastAsia="es-ES"/>
        </w:rPr>
        <w:t>EL RECURRENTE</w:t>
      </w:r>
      <w:r w:rsidRPr="00166794">
        <w:rPr>
          <w:rFonts w:ascii="Palatino Linotype" w:hAnsi="Palatino Linotype" w:cs="Arial"/>
          <w:lang w:val="es-ES" w:eastAsia="es-ES"/>
        </w:rPr>
        <w:t xml:space="preserve"> interpuso el recurso de revisión, en contr</w:t>
      </w:r>
      <w:bookmarkStart w:id="1" w:name="_Toc462307683"/>
      <w:bookmarkStart w:id="2" w:name="_Toc472427085"/>
      <w:bookmarkStart w:id="3" w:name="_Toc472500652"/>
      <w:r w:rsidR="00D24A01" w:rsidRPr="00166794">
        <w:rPr>
          <w:rFonts w:ascii="Palatino Linotype" w:hAnsi="Palatino Linotype" w:cs="Arial"/>
          <w:lang w:val="es-ES" w:eastAsia="es-ES"/>
        </w:rPr>
        <w:t>a de la respuesta, señalando como:</w:t>
      </w:r>
    </w:p>
    <w:p w:rsidR="00D771ED" w:rsidRPr="00166794" w:rsidRDefault="00D771ED" w:rsidP="009B6FD5">
      <w:pPr>
        <w:spacing w:line="360" w:lineRule="auto"/>
        <w:ind w:left="567" w:right="567"/>
        <w:contextualSpacing/>
        <w:rPr>
          <w:rFonts w:ascii="Palatino Linotype" w:eastAsiaTheme="minorEastAsia" w:hAnsi="Palatino Linotype" w:cs="Arial"/>
          <w:i/>
          <w:lang w:val="es-ES_tradnl" w:eastAsia="es-ES"/>
        </w:rPr>
      </w:pPr>
    </w:p>
    <w:p w:rsidR="00D771ED" w:rsidRPr="00166794" w:rsidRDefault="00D771ED" w:rsidP="009B6FD5">
      <w:pPr>
        <w:spacing w:line="360" w:lineRule="auto"/>
        <w:ind w:left="567" w:right="567"/>
        <w:contextualSpacing/>
        <w:jc w:val="both"/>
        <w:rPr>
          <w:rFonts w:ascii="Palatino Linotype" w:eastAsia="Calibri" w:hAnsi="Palatino Linotype" w:cs="Arial"/>
          <w:i/>
          <w:lang w:val="es-ES" w:eastAsia="es-ES"/>
        </w:rPr>
      </w:pPr>
      <w:r w:rsidRPr="00166794">
        <w:rPr>
          <w:rFonts w:ascii="Palatino Linotype" w:eastAsiaTheme="minorEastAsia" w:hAnsi="Palatino Linotype"/>
          <w:b/>
          <w:lang w:val="es-ES_tradnl" w:eastAsia="es-ES"/>
        </w:rPr>
        <w:t>Acto impugnado</w:t>
      </w:r>
      <w:r w:rsidRPr="00166794">
        <w:rPr>
          <w:rFonts w:ascii="Palatino Linotype" w:eastAsiaTheme="minorEastAsia" w:hAnsi="Palatino Linotype"/>
          <w:b/>
          <w:i/>
          <w:lang w:val="es-ES_tradnl" w:eastAsia="es-ES"/>
        </w:rPr>
        <w:t>:</w:t>
      </w:r>
      <w:r w:rsidRPr="00166794">
        <w:rPr>
          <w:rFonts w:ascii="Palatino Linotype" w:hAnsi="Palatino Linotype"/>
          <w:i/>
          <w:color w:val="000000"/>
        </w:rPr>
        <w:t xml:space="preserve"> “</w:t>
      </w:r>
      <w:r w:rsidR="001C147A" w:rsidRPr="00166794">
        <w:rPr>
          <w:rFonts w:ascii="Palatino Linotype" w:hAnsi="Palatino Linotype"/>
          <w:i/>
          <w:color w:val="000000"/>
        </w:rPr>
        <w:t>la respuesta del sujeto obligado</w:t>
      </w:r>
      <w:r w:rsidR="00D24A01" w:rsidRPr="00166794">
        <w:rPr>
          <w:rFonts w:ascii="Palatino Linotype" w:hAnsi="Palatino Linotype"/>
          <w:i/>
          <w:color w:val="000000"/>
        </w:rPr>
        <w:t>” (Sic)</w:t>
      </w:r>
      <w:r w:rsidRPr="00166794">
        <w:rPr>
          <w:rFonts w:ascii="Palatino Linotype" w:hAnsi="Palatino Linotype"/>
          <w:i/>
          <w:color w:val="000000"/>
        </w:rPr>
        <w:t xml:space="preserve"> </w:t>
      </w:r>
    </w:p>
    <w:p w:rsidR="00D771ED" w:rsidRPr="00166794" w:rsidRDefault="00D771ED" w:rsidP="009B6FD5">
      <w:pPr>
        <w:spacing w:line="360" w:lineRule="auto"/>
        <w:ind w:left="567" w:right="567"/>
        <w:contextualSpacing/>
        <w:jc w:val="both"/>
        <w:rPr>
          <w:rFonts w:ascii="Palatino Linotype" w:eastAsia="Calibri" w:hAnsi="Palatino Linotype" w:cs="Arial"/>
          <w:lang w:val="es-ES" w:eastAsia="es-ES"/>
        </w:rPr>
      </w:pPr>
    </w:p>
    <w:p w:rsidR="00D771ED" w:rsidRPr="00166794" w:rsidRDefault="00D771ED" w:rsidP="009B6FD5">
      <w:pPr>
        <w:spacing w:line="360" w:lineRule="auto"/>
        <w:ind w:left="567" w:right="567"/>
        <w:contextualSpacing/>
        <w:jc w:val="both"/>
        <w:rPr>
          <w:rFonts w:ascii="Palatino Linotype" w:hAnsi="Palatino Linotype"/>
          <w:i/>
          <w:color w:val="000000"/>
        </w:rPr>
      </w:pPr>
      <w:r w:rsidRPr="00166794">
        <w:rPr>
          <w:rFonts w:ascii="Palatino Linotype" w:eastAsiaTheme="minorEastAsia" w:hAnsi="Palatino Linotype"/>
          <w:b/>
          <w:lang w:val="es-ES_tradnl" w:eastAsia="es-ES"/>
        </w:rPr>
        <w:t>Razones o Motivos de inconformidad:</w:t>
      </w:r>
      <w:r w:rsidRPr="00166794">
        <w:rPr>
          <w:rFonts w:ascii="Palatino Linotype" w:eastAsiaTheme="majorEastAsia" w:hAnsi="Palatino Linotype" w:cstheme="majorBidi"/>
          <w:b/>
          <w:color w:val="2E74B5" w:themeColor="accent1" w:themeShade="BF"/>
          <w:sz w:val="26"/>
          <w:szCs w:val="26"/>
          <w:lang w:val="es-ES" w:eastAsia="es-ES"/>
        </w:rPr>
        <w:t xml:space="preserve"> </w:t>
      </w:r>
      <w:r w:rsidRPr="00166794">
        <w:rPr>
          <w:rFonts w:ascii="Palatino Linotype" w:eastAsiaTheme="majorEastAsia" w:hAnsi="Palatino Linotype" w:cstheme="majorBidi"/>
          <w:i/>
          <w:lang w:val="es-ES" w:eastAsia="es-ES"/>
        </w:rPr>
        <w:t>“</w:t>
      </w:r>
      <w:r w:rsidR="001C147A" w:rsidRPr="00166794">
        <w:rPr>
          <w:rFonts w:ascii="Palatino Linotype" w:hAnsi="Palatino Linotype"/>
          <w:i/>
          <w:color w:val="000000"/>
        </w:rPr>
        <w:t>no se entrego la informacion solicitada</w:t>
      </w:r>
      <w:r w:rsidR="00D24A01" w:rsidRPr="00166794">
        <w:rPr>
          <w:rFonts w:ascii="Palatino Linotype" w:hAnsi="Palatino Linotype"/>
          <w:i/>
          <w:color w:val="000000"/>
        </w:rPr>
        <w:t>” (Sic)</w:t>
      </w:r>
    </w:p>
    <w:bookmarkEnd w:id="1"/>
    <w:bookmarkEnd w:id="2"/>
    <w:bookmarkEnd w:id="3"/>
    <w:p w:rsidR="00D771ED" w:rsidRPr="00166794" w:rsidRDefault="00D771ED" w:rsidP="009B6FD5">
      <w:pPr>
        <w:spacing w:line="360" w:lineRule="auto"/>
        <w:jc w:val="both"/>
        <w:rPr>
          <w:rFonts w:ascii="Palatino Linotype" w:eastAsia="Calibri" w:hAnsi="Palatino Linotype" w:cs="Arial"/>
          <w:lang w:val="es-AR" w:eastAsia="es-ES"/>
        </w:rPr>
      </w:pPr>
    </w:p>
    <w:p w:rsidR="00D771ED" w:rsidRPr="00166794" w:rsidRDefault="00D771ED" w:rsidP="009B6FD5">
      <w:pPr>
        <w:numPr>
          <w:ilvl w:val="0"/>
          <w:numId w:val="1"/>
        </w:numPr>
        <w:spacing w:line="360" w:lineRule="auto"/>
        <w:ind w:left="0" w:firstLine="0"/>
        <w:contextualSpacing/>
        <w:jc w:val="both"/>
        <w:rPr>
          <w:rFonts w:ascii="Palatino Linotype" w:eastAsia="Calibri" w:hAnsi="Palatino Linotype" w:cs="Arial"/>
          <w:lang w:val="es-AR" w:eastAsia="es-ES"/>
        </w:rPr>
      </w:pPr>
      <w:r w:rsidRPr="00166794">
        <w:rPr>
          <w:rFonts w:ascii="Palatino Linotype" w:hAnsi="Palatino Linotype" w:cs="Arial"/>
          <w:lang w:val="es-ES" w:eastAsia="es-ES"/>
        </w:rPr>
        <w:t xml:space="preserve">Se registró el recurso de revisión bajo el número de expediente </w:t>
      </w:r>
      <w:r w:rsidRPr="00166794">
        <w:rPr>
          <w:rFonts w:ascii="Palatino Linotype" w:eastAsiaTheme="minorEastAsia" w:hAnsi="Palatino Linotype" w:cs="Arial"/>
          <w:bCs/>
          <w:lang w:val="es-ES_tradnl" w:eastAsia="es-ES"/>
        </w:rPr>
        <w:t xml:space="preserve">al rubro indicado, asimismo con fundamento en lo dispuesto por el </w:t>
      </w:r>
      <w:r w:rsidRPr="00166794">
        <w:rPr>
          <w:rFonts w:ascii="Palatino Linotype" w:eastAsia="Calibri" w:hAnsi="Palatino Linotype" w:cs="Arial"/>
          <w:lang w:val="es-ES" w:eastAsia="es-ES"/>
        </w:rPr>
        <w:t xml:space="preserve">artículo 185 fracción I de la </w:t>
      </w:r>
      <w:r w:rsidRPr="00166794">
        <w:rPr>
          <w:rFonts w:ascii="Palatino Linotype" w:eastAsia="Calibri" w:hAnsi="Palatino Linotype" w:cs="Arial"/>
          <w:b/>
          <w:lang w:val="es-ES" w:eastAsia="es-ES"/>
        </w:rPr>
        <w:t xml:space="preserve">Ley de Transparencia y Acceso a la Información Pública del Estado de México y Municipios </w:t>
      </w:r>
      <w:r w:rsidR="007D429F" w:rsidRPr="00166794">
        <w:rPr>
          <w:rFonts w:ascii="Palatino Linotype" w:hAnsi="Palatino Linotype" w:cs="Arial"/>
          <w:lang w:val="es-ES" w:eastAsia="es-ES"/>
        </w:rPr>
        <w:t xml:space="preserve">se turnó a la </w:t>
      </w:r>
      <w:r w:rsidR="007D429F" w:rsidRPr="00166794">
        <w:rPr>
          <w:rFonts w:ascii="Palatino Linotype" w:hAnsi="Palatino Linotype" w:cs="Arial"/>
          <w:b/>
          <w:lang w:val="es-ES" w:eastAsia="es-ES"/>
        </w:rPr>
        <w:t>Comisionada</w:t>
      </w:r>
      <w:r w:rsidRPr="00166794">
        <w:rPr>
          <w:rFonts w:ascii="Palatino Linotype" w:hAnsi="Palatino Linotype" w:cs="Arial"/>
          <w:b/>
          <w:lang w:val="es-ES" w:eastAsia="es-ES"/>
        </w:rPr>
        <w:t xml:space="preserve"> </w:t>
      </w:r>
      <w:r w:rsidR="007D429F" w:rsidRPr="00166794">
        <w:rPr>
          <w:rFonts w:ascii="Palatino Linotype" w:hAnsi="Palatino Linotype" w:cs="Arial"/>
          <w:b/>
          <w:lang w:val="es-ES" w:eastAsia="es-ES"/>
        </w:rPr>
        <w:t>María del Rosario Mejía Ayala</w:t>
      </w:r>
      <w:r w:rsidRPr="00166794">
        <w:rPr>
          <w:rFonts w:ascii="Palatino Linotype" w:hAnsi="Palatino Linotype" w:cs="Arial"/>
          <w:b/>
          <w:lang w:val="es-ES" w:eastAsia="es-ES"/>
        </w:rPr>
        <w:t xml:space="preserve">, </w:t>
      </w:r>
      <w:r w:rsidRPr="00166794">
        <w:rPr>
          <w:rFonts w:ascii="Palatino Linotype" w:hAnsi="Palatino Linotype" w:cs="Arial"/>
          <w:lang w:val="es-ES" w:eastAsia="es-ES"/>
        </w:rPr>
        <w:t xml:space="preserve">con el objeto de </w:t>
      </w:r>
      <w:r w:rsidRPr="00166794">
        <w:rPr>
          <w:rFonts w:ascii="Palatino Linotype" w:hAnsi="Palatino Linotype" w:cs="Arial"/>
          <w:lang w:eastAsia="es-ES"/>
        </w:rPr>
        <w:t xml:space="preserve">su análisis. </w:t>
      </w:r>
    </w:p>
    <w:p w:rsidR="00D771ED" w:rsidRPr="00166794" w:rsidRDefault="00D771ED" w:rsidP="009B6FD5">
      <w:pPr>
        <w:spacing w:line="360" w:lineRule="auto"/>
        <w:contextualSpacing/>
        <w:jc w:val="both"/>
        <w:rPr>
          <w:rFonts w:ascii="Palatino Linotype" w:eastAsia="Calibri" w:hAnsi="Palatino Linotype" w:cs="Arial"/>
          <w:lang w:val="es-AR" w:eastAsia="es-ES"/>
        </w:rPr>
      </w:pPr>
    </w:p>
    <w:p w:rsidR="001C147A" w:rsidRPr="00166794" w:rsidRDefault="00D771ED" w:rsidP="0003313A">
      <w:pPr>
        <w:numPr>
          <w:ilvl w:val="0"/>
          <w:numId w:val="1"/>
        </w:numPr>
        <w:spacing w:line="360" w:lineRule="auto"/>
        <w:ind w:left="0" w:firstLine="0"/>
        <w:contextualSpacing/>
        <w:jc w:val="both"/>
        <w:rPr>
          <w:rFonts w:ascii="Palatino Linotype" w:eastAsiaTheme="minorEastAsia" w:hAnsi="Palatino Linotype" w:cstheme="minorBidi"/>
          <w:i/>
          <w:color w:val="000000"/>
          <w:sz w:val="22"/>
          <w:szCs w:val="22"/>
          <w:lang w:val="es-ES_tradnl" w:eastAsia="es-ES"/>
        </w:rPr>
      </w:pPr>
      <w:r w:rsidRPr="00166794">
        <w:rPr>
          <w:rFonts w:ascii="Palatino Linotype" w:eastAsia="Calibri" w:hAnsi="Palatino Linotype" w:cs="Arial"/>
          <w:lang w:val="es-ES" w:eastAsia="es-ES"/>
        </w:rPr>
        <w:t>El Comisionado Ponente con fundamento en lo dispuesto por el artículo 185 fracción II de la ley de la materia, a t</w:t>
      </w:r>
      <w:r w:rsidR="00996A56" w:rsidRPr="00166794">
        <w:rPr>
          <w:rFonts w:ascii="Palatino Linotype" w:eastAsia="Calibri" w:hAnsi="Palatino Linotype" w:cs="Arial"/>
          <w:lang w:val="es-ES" w:eastAsia="es-ES"/>
        </w:rPr>
        <w:t xml:space="preserve">ravés del acuerdo de admisión del </w:t>
      </w:r>
      <w:r w:rsidR="001C147A" w:rsidRPr="00166794">
        <w:rPr>
          <w:rFonts w:ascii="Palatino Linotype" w:eastAsia="Calibri" w:hAnsi="Palatino Linotype" w:cs="Arial"/>
          <w:lang w:val="es-ES" w:eastAsia="es-ES"/>
        </w:rPr>
        <w:t>quince (15)</w:t>
      </w:r>
      <w:r w:rsidR="003F27EF" w:rsidRPr="00166794">
        <w:rPr>
          <w:rFonts w:ascii="Palatino Linotype" w:eastAsia="Calibri" w:hAnsi="Palatino Linotype" w:cs="Arial"/>
          <w:lang w:val="es-ES" w:eastAsia="es-ES"/>
        </w:rPr>
        <w:t xml:space="preserve"> de septiembre</w:t>
      </w:r>
      <w:r w:rsidR="00D24A01" w:rsidRPr="00166794">
        <w:rPr>
          <w:rFonts w:ascii="Palatino Linotype" w:eastAsia="Calibri" w:hAnsi="Palatino Linotype" w:cs="Arial"/>
          <w:lang w:val="es-ES" w:eastAsia="es-ES"/>
        </w:rPr>
        <w:t xml:space="preserve"> </w:t>
      </w:r>
      <w:r w:rsidR="00996A56" w:rsidRPr="00166794">
        <w:rPr>
          <w:rFonts w:ascii="Palatino Linotype" w:eastAsia="Calibri" w:hAnsi="Palatino Linotype" w:cs="Arial"/>
          <w:lang w:val="es-ES" w:eastAsia="es-ES"/>
        </w:rPr>
        <w:t>de dos mil veintidós</w:t>
      </w:r>
      <w:r w:rsidRPr="00166794">
        <w:rPr>
          <w:rFonts w:ascii="Palatino Linotype" w:eastAsia="Calibri" w:hAnsi="Palatino Linotype" w:cs="Arial"/>
          <w:lang w:val="es-ES" w:eastAsia="es-ES"/>
        </w:rPr>
        <w:t xml:space="preserve">, puso a disposición de las partes el expediente electrónico </w:t>
      </w:r>
      <w:r w:rsidRPr="00166794">
        <w:rPr>
          <w:rFonts w:ascii="Palatino Linotype" w:eastAsia="Calibri" w:hAnsi="Palatino Linotype" w:cs="Arial"/>
          <w:lang w:val="es-ES_tradnl" w:eastAsia="es-ES"/>
        </w:rPr>
        <w:t xml:space="preserve">vía </w:t>
      </w:r>
      <w:r w:rsidRPr="00166794">
        <w:rPr>
          <w:rFonts w:ascii="Palatino Linotype" w:eastAsia="Calibri" w:hAnsi="Palatino Linotype" w:cs="Arial"/>
          <w:b/>
          <w:lang w:val="es-ES" w:eastAsia="es-ES"/>
        </w:rPr>
        <w:t xml:space="preserve">SAIMEX </w:t>
      </w:r>
      <w:r w:rsidRPr="00166794">
        <w:rPr>
          <w:rFonts w:ascii="Palatino Linotype" w:eastAsia="Calibri" w:hAnsi="Palatino Linotype" w:cs="Arial"/>
          <w:lang w:val="es-ES" w:eastAsia="es-ES"/>
        </w:rPr>
        <w:t xml:space="preserve">a efecto de que en un plazo máximo de siete días manifestaran lo que a derecho convinieran, ofrecieran pruebas y alegatos según corresponda al caso concreto, de esta forma para que el </w:t>
      </w:r>
      <w:r w:rsidRPr="00166794">
        <w:rPr>
          <w:rFonts w:ascii="Palatino Linotype" w:eastAsia="Calibri" w:hAnsi="Palatino Linotype" w:cs="Arial"/>
          <w:b/>
          <w:lang w:val="es-ES" w:eastAsia="es-ES"/>
        </w:rPr>
        <w:t>SUJETO OBLIGADO</w:t>
      </w:r>
      <w:r w:rsidRPr="00166794">
        <w:rPr>
          <w:rFonts w:ascii="Palatino Linotype" w:eastAsia="Calibri" w:hAnsi="Palatino Linotype" w:cs="Arial"/>
          <w:lang w:val="es-ES" w:eastAsia="es-ES"/>
        </w:rPr>
        <w:t xml:space="preserve"> presentara el informe justificado procedente. </w:t>
      </w:r>
    </w:p>
    <w:p w:rsidR="001C147A" w:rsidRPr="00166794" w:rsidRDefault="001C147A" w:rsidP="001C147A">
      <w:pPr>
        <w:pStyle w:val="Prrafodelista"/>
        <w:rPr>
          <w:rFonts w:ascii="Palatino Linotype" w:eastAsia="Calibri" w:hAnsi="Palatino Linotype" w:cs="Arial"/>
          <w:lang w:val="es-ES" w:eastAsia="es-ES"/>
        </w:rPr>
      </w:pPr>
    </w:p>
    <w:p w:rsidR="00476A23" w:rsidRPr="00166794" w:rsidRDefault="00D24A01" w:rsidP="0003313A">
      <w:pPr>
        <w:numPr>
          <w:ilvl w:val="0"/>
          <w:numId w:val="1"/>
        </w:numPr>
        <w:spacing w:line="360" w:lineRule="auto"/>
        <w:ind w:left="0" w:firstLine="0"/>
        <w:contextualSpacing/>
        <w:jc w:val="both"/>
        <w:rPr>
          <w:rFonts w:ascii="Palatino Linotype" w:eastAsiaTheme="minorEastAsia" w:hAnsi="Palatino Linotype" w:cstheme="minorBidi"/>
          <w:i/>
          <w:color w:val="000000"/>
          <w:sz w:val="22"/>
          <w:szCs w:val="22"/>
          <w:lang w:val="es-ES_tradnl" w:eastAsia="es-ES"/>
        </w:rPr>
      </w:pPr>
      <w:r w:rsidRPr="00166794">
        <w:rPr>
          <w:rFonts w:ascii="Palatino Linotype" w:eastAsia="Calibri" w:hAnsi="Palatino Linotype" w:cs="Arial"/>
          <w:lang w:val="es-ES" w:eastAsia="es-ES"/>
        </w:rPr>
        <w:t>De las constancias que obran en el expediente electrónico SAIMEX, se advierte que el RECURRENTE no realizó manifestaciones, no ofreció pruebas y alegat</w:t>
      </w:r>
      <w:r w:rsidR="001C147A" w:rsidRPr="00166794">
        <w:rPr>
          <w:rFonts w:ascii="Palatino Linotype" w:eastAsia="Calibri" w:hAnsi="Palatino Linotype" w:cs="Arial"/>
          <w:lang w:val="es-ES" w:eastAsia="es-ES"/>
        </w:rPr>
        <w:t>os que a su derecho conviniera; p</w:t>
      </w:r>
      <w:r w:rsidR="007E19E4" w:rsidRPr="00166794">
        <w:rPr>
          <w:rFonts w:ascii="Palatino Linotype" w:eastAsiaTheme="minorEastAsia" w:hAnsi="Palatino Linotype"/>
          <w:lang w:val="es-ES_tradnl" w:eastAsia="es-ES"/>
        </w:rPr>
        <w:t>or su parte, el Sujeto Obligado</w:t>
      </w:r>
      <w:r w:rsidR="001C147A" w:rsidRPr="00166794">
        <w:rPr>
          <w:rFonts w:ascii="Palatino Linotype" w:eastAsiaTheme="minorEastAsia" w:hAnsi="Palatino Linotype"/>
          <w:lang w:val="es-ES_tradnl" w:eastAsia="es-ES"/>
        </w:rPr>
        <w:t xml:space="preserve"> rindió informe justificado al </w:t>
      </w:r>
      <w:r w:rsidR="001C147A" w:rsidRPr="00166794">
        <w:rPr>
          <w:rFonts w:ascii="Palatino Linotype" w:eastAsiaTheme="minorEastAsia" w:hAnsi="Palatino Linotype"/>
          <w:lang w:val="es-ES_tradnl" w:eastAsia="es-ES"/>
        </w:rPr>
        <w:lastRenderedPageBreak/>
        <w:t xml:space="preserve">que adjunto el archivo </w:t>
      </w:r>
      <w:hyperlink r:id="rId9" w:history="1">
        <w:r w:rsidR="001C147A" w:rsidRPr="00166794">
          <w:rPr>
            <w:rStyle w:val="Hipervnculo"/>
            <w:rFonts w:ascii="Palatino Linotype" w:eastAsiaTheme="majorEastAsia" w:hAnsi="Palatino Linotype" w:cs="Arial"/>
            <w:b/>
            <w:bCs/>
            <w:color w:val="auto"/>
          </w:rPr>
          <w:t>Manifestaciones RR14623.zip</w:t>
        </w:r>
      </w:hyperlink>
      <w:r w:rsidR="001C147A" w:rsidRPr="00166794">
        <w:rPr>
          <w:rFonts w:ascii="Palatino Linotype" w:hAnsi="Palatino Linotype"/>
        </w:rPr>
        <w:t>, que contiene los documentos que se describen a continuación:</w:t>
      </w:r>
      <w:r w:rsidR="001C147A" w:rsidRPr="00166794">
        <w:t xml:space="preserve"> </w:t>
      </w:r>
    </w:p>
    <w:p w:rsidR="001C147A" w:rsidRPr="00166794" w:rsidRDefault="001C147A" w:rsidP="001C147A">
      <w:pPr>
        <w:pStyle w:val="Prrafodelista"/>
        <w:rPr>
          <w:rFonts w:ascii="Palatino Linotype" w:eastAsiaTheme="minorEastAsia" w:hAnsi="Palatino Linotype" w:cstheme="minorBidi"/>
          <w:i/>
          <w:color w:val="000000"/>
          <w:szCs w:val="22"/>
          <w:lang w:val="es-ES_tradnl" w:eastAsia="es-ES"/>
        </w:rPr>
      </w:pPr>
    </w:p>
    <w:p w:rsidR="001C147A" w:rsidRPr="00166794" w:rsidRDefault="001C147A" w:rsidP="001C147A">
      <w:pPr>
        <w:pStyle w:val="Prrafodelista"/>
        <w:numPr>
          <w:ilvl w:val="0"/>
          <w:numId w:val="42"/>
        </w:numPr>
        <w:spacing w:line="360" w:lineRule="auto"/>
        <w:jc w:val="both"/>
        <w:rPr>
          <w:rFonts w:ascii="Palatino Linotype" w:eastAsiaTheme="minorEastAsia" w:hAnsi="Palatino Linotype" w:cstheme="minorBidi"/>
          <w:b/>
          <w:color w:val="000000"/>
          <w:sz w:val="24"/>
          <w:szCs w:val="22"/>
          <w:lang w:val="es-ES_tradnl" w:eastAsia="es-ES"/>
        </w:rPr>
      </w:pPr>
      <w:r w:rsidRPr="00166794">
        <w:rPr>
          <w:rFonts w:ascii="Palatino Linotype" w:eastAsiaTheme="minorEastAsia" w:hAnsi="Palatino Linotype" w:cstheme="minorBidi"/>
          <w:b/>
          <w:color w:val="000000"/>
          <w:sz w:val="24"/>
          <w:szCs w:val="22"/>
          <w:lang w:val="es-ES_tradnl" w:eastAsia="es-ES"/>
        </w:rPr>
        <w:t xml:space="preserve">MANIFESTACIONES RR14623.pdf: </w:t>
      </w:r>
      <w:r w:rsidR="00EB61F5" w:rsidRPr="00166794">
        <w:rPr>
          <w:rFonts w:ascii="Palatino Linotype" w:eastAsiaTheme="minorEastAsia" w:hAnsi="Palatino Linotype" w:cstheme="minorBidi"/>
          <w:color w:val="000000"/>
          <w:sz w:val="24"/>
          <w:szCs w:val="22"/>
          <w:lang w:val="es-ES_tradnl" w:eastAsia="es-ES"/>
        </w:rPr>
        <w:t>oficio UTAIM/02633/2022, suscrito por el Titular de la Unidad de Transparencia mediante el cual ratifica su respuesta.</w:t>
      </w:r>
      <w:r w:rsidR="00EB61F5" w:rsidRPr="00166794">
        <w:rPr>
          <w:rFonts w:ascii="Palatino Linotype" w:eastAsiaTheme="minorEastAsia" w:hAnsi="Palatino Linotype" w:cstheme="minorBidi"/>
          <w:b/>
          <w:color w:val="000000"/>
          <w:sz w:val="24"/>
          <w:szCs w:val="22"/>
          <w:lang w:val="es-ES_tradnl" w:eastAsia="es-ES"/>
        </w:rPr>
        <w:t xml:space="preserve"> </w:t>
      </w:r>
    </w:p>
    <w:p w:rsidR="001C147A" w:rsidRPr="00166794" w:rsidRDefault="001C147A" w:rsidP="001C147A">
      <w:pPr>
        <w:pStyle w:val="Prrafodelista"/>
        <w:spacing w:line="360" w:lineRule="auto"/>
        <w:jc w:val="both"/>
        <w:rPr>
          <w:rFonts w:ascii="Palatino Linotype" w:eastAsiaTheme="minorEastAsia" w:hAnsi="Palatino Linotype" w:cstheme="minorBidi"/>
          <w:b/>
          <w:color w:val="000000"/>
          <w:sz w:val="24"/>
          <w:szCs w:val="22"/>
          <w:lang w:val="es-ES_tradnl" w:eastAsia="es-ES"/>
        </w:rPr>
      </w:pPr>
    </w:p>
    <w:p w:rsidR="001C147A" w:rsidRPr="00166794" w:rsidRDefault="001C147A" w:rsidP="001C147A">
      <w:pPr>
        <w:pStyle w:val="Prrafodelista"/>
        <w:numPr>
          <w:ilvl w:val="0"/>
          <w:numId w:val="42"/>
        </w:numPr>
        <w:spacing w:line="360" w:lineRule="auto"/>
        <w:jc w:val="both"/>
        <w:rPr>
          <w:rFonts w:ascii="Palatino Linotype" w:eastAsiaTheme="minorEastAsia" w:hAnsi="Palatino Linotype" w:cstheme="minorBidi"/>
          <w:b/>
          <w:color w:val="000000"/>
          <w:sz w:val="24"/>
          <w:szCs w:val="22"/>
          <w:lang w:val="es-ES_tradnl" w:eastAsia="es-ES"/>
        </w:rPr>
      </w:pPr>
      <w:r w:rsidRPr="00166794">
        <w:rPr>
          <w:rFonts w:ascii="Palatino Linotype" w:eastAsiaTheme="minorEastAsia" w:hAnsi="Palatino Linotype" w:cstheme="minorBidi"/>
          <w:b/>
          <w:color w:val="000000"/>
          <w:sz w:val="24"/>
          <w:szCs w:val="22"/>
          <w:lang w:val="es-ES_tradnl" w:eastAsia="es-ES"/>
        </w:rPr>
        <w:t xml:space="preserve">RR 14623 TESORERIA MUNICIPAL. pdf: </w:t>
      </w:r>
      <w:r w:rsidR="00EB61F5" w:rsidRPr="00166794">
        <w:rPr>
          <w:rFonts w:ascii="Palatino Linotype" w:eastAsiaTheme="minorEastAsia" w:hAnsi="Palatino Linotype" w:cstheme="minorBidi"/>
          <w:color w:val="000000"/>
          <w:sz w:val="24"/>
          <w:szCs w:val="22"/>
          <w:lang w:val="es-ES_tradnl" w:eastAsia="es-ES"/>
        </w:rPr>
        <w:t xml:space="preserve">oficio TM/3942/2022, de fecha catorce de septiembre de dos mil veintidós, suscrito por el Tesorero Municipal mediante el cual confirma su respuesta. </w:t>
      </w:r>
    </w:p>
    <w:p w:rsidR="007E19E4" w:rsidRPr="00166794" w:rsidRDefault="007E19E4" w:rsidP="007E19E4">
      <w:pPr>
        <w:spacing w:line="360" w:lineRule="auto"/>
        <w:contextualSpacing/>
        <w:jc w:val="both"/>
        <w:rPr>
          <w:rFonts w:ascii="Palatino Linotype" w:eastAsiaTheme="minorEastAsia" w:hAnsi="Palatino Linotype"/>
          <w:b/>
          <w:u w:val="single"/>
          <w:lang w:val="es-ES_tradnl" w:eastAsia="es-ES"/>
        </w:rPr>
      </w:pPr>
    </w:p>
    <w:p w:rsidR="0003313A" w:rsidRPr="00166794" w:rsidRDefault="0003313A" w:rsidP="0003313A">
      <w:pPr>
        <w:numPr>
          <w:ilvl w:val="0"/>
          <w:numId w:val="1"/>
        </w:numPr>
        <w:spacing w:line="360" w:lineRule="auto"/>
        <w:ind w:left="0" w:firstLine="0"/>
        <w:contextualSpacing/>
        <w:jc w:val="both"/>
        <w:rPr>
          <w:rFonts w:ascii="Palatino Linotype" w:eastAsiaTheme="minorEastAsia" w:hAnsi="Palatino Linotype"/>
          <w:b/>
          <w:u w:val="single"/>
          <w:lang w:val="es-ES_tradnl" w:eastAsia="es-ES"/>
        </w:rPr>
      </w:pPr>
      <w:r w:rsidRPr="00166794">
        <w:rPr>
          <w:rFonts w:ascii="Palatino Linotype" w:eastAsiaTheme="minorEastAsia" w:hAnsi="Palatino Linotype"/>
          <w:lang w:val="es-ES_tradnl" w:eastAsia="es-ES"/>
        </w:rPr>
        <w:t>El Comisionado Ponente decretó el cierre de instrucción</w:t>
      </w:r>
      <w:r w:rsidRPr="00166794">
        <w:rPr>
          <w:rFonts w:ascii="Palatino Linotype" w:eastAsiaTheme="minorEastAsia" w:hAnsi="Palatino Linotype" w:cs="Arial"/>
          <w:lang w:val="es-ES_tradnl" w:eastAsia="es-ES"/>
        </w:rPr>
        <w:t xml:space="preserve"> </w:t>
      </w:r>
      <w:r w:rsidRPr="00166794">
        <w:rPr>
          <w:rFonts w:ascii="Palatino Linotype" w:eastAsiaTheme="minorEastAsia" w:hAnsi="Palatino Linotype"/>
          <w:lang w:val="es-ES_tradnl" w:eastAsia="es-ES"/>
        </w:rPr>
        <w:t xml:space="preserve">mediante el acuerdo de fecha </w:t>
      </w:r>
      <w:r w:rsidR="00EB61F5" w:rsidRPr="00166794">
        <w:rPr>
          <w:rFonts w:ascii="Palatino Linotype" w:eastAsiaTheme="minorEastAsia" w:hAnsi="Palatino Linotype"/>
          <w:lang w:val="es-ES_tradnl" w:eastAsia="es-ES"/>
        </w:rPr>
        <w:t>cinco (05) de octubre</w:t>
      </w:r>
      <w:r w:rsidR="003F27EF" w:rsidRPr="00166794">
        <w:rPr>
          <w:rFonts w:ascii="Palatino Linotype" w:eastAsiaTheme="minorEastAsia" w:hAnsi="Palatino Linotype"/>
          <w:lang w:val="es-ES_tradnl" w:eastAsia="es-ES"/>
        </w:rPr>
        <w:t xml:space="preserve">  de dos mil veintidós.</w:t>
      </w:r>
    </w:p>
    <w:p w:rsidR="00D771ED" w:rsidRPr="00166794" w:rsidRDefault="00D771ED" w:rsidP="009B6FD5">
      <w:pPr>
        <w:spacing w:line="360" w:lineRule="auto"/>
        <w:contextualSpacing/>
        <w:jc w:val="both"/>
        <w:rPr>
          <w:rFonts w:ascii="Palatino Linotype" w:eastAsiaTheme="minorEastAsia" w:hAnsi="Palatino Linotype"/>
          <w:b/>
          <w:u w:val="single"/>
          <w:lang w:val="es-ES_tradnl" w:eastAsia="es-ES"/>
        </w:rPr>
      </w:pPr>
    </w:p>
    <w:p w:rsidR="00D771ED" w:rsidRPr="00166794" w:rsidRDefault="00D771ED" w:rsidP="009B6FD5">
      <w:pPr>
        <w:keepNext/>
        <w:keepLines/>
        <w:spacing w:line="360" w:lineRule="auto"/>
        <w:jc w:val="center"/>
        <w:outlineLvl w:val="0"/>
        <w:rPr>
          <w:rFonts w:ascii="Palatino Linotype" w:eastAsiaTheme="majorEastAsia" w:hAnsi="Palatino Linotype" w:cstheme="majorBidi"/>
        </w:rPr>
      </w:pPr>
      <w:bookmarkStart w:id="4" w:name="_Toc83301634"/>
      <w:r w:rsidRPr="00166794">
        <w:rPr>
          <w:rFonts w:ascii="Palatino Linotype" w:eastAsiaTheme="majorEastAsia" w:hAnsi="Palatino Linotype" w:cstheme="majorBidi"/>
          <w:b/>
        </w:rPr>
        <w:t>CONSIDERANDO</w:t>
      </w:r>
      <w:bookmarkEnd w:id="4"/>
      <w:r w:rsidRPr="00166794">
        <w:rPr>
          <w:rFonts w:ascii="Palatino Linotype" w:eastAsiaTheme="majorEastAsia" w:hAnsi="Palatino Linotype" w:cstheme="majorBidi"/>
          <w:b/>
        </w:rPr>
        <w:t xml:space="preserve"> </w:t>
      </w:r>
    </w:p>
    <w:p w:rsidR="00D771ED" w:rsidRPr="00166794" w:rsidRDefault="00D771ED" w:rsidP="009B6FD5">
      <w:pPr>
        <w:spacing w:line="360" w:lineRule="auto"/>
        <w:rPr>
          <w:rFonts w:ascii="Palatino Linotype" w:eastAsiaTheme="minorEastAsia" w:hAnsi="Palatino Linotype"/>
        </w:rPr>
      </w:pPr>
    </w:p>
    <w:p w:rsidR="00D771ED" w:rsidRPr="00166794" w:rsidRDefault="00D771ED" w:rsidP="009B6FD5">
      <w:pPr>
        <w:keepNext/>
        <w:keepLines/>
        <w:spacing w:line="360" w:lineRule="auto"/>
        <w:outlineLvl w:val="1"/>
        <w:rPr>
          <w:rFonts w:ascii="Palatino Linotype" w:eastAsiaTheme="majorEastAsia" w:hAnsi="Palatino Linotype" w:cstheme="majorBidi"/>
          <w:b/>
          <w:szCs w:val="26"/>
        </w:rPr>
      </w:pPr>
      <w:bookmarkStart w:id="5" w:name="_Toc83301635"/>
      <w:r w:rsidRPr="00166794">
        <w:rPr>
          <w:rFonts w:ascii="Palatino Linotype" w:eastAsiaTheme="majorEastAsia" w:hAnsi="Palatino Linotype" w:cstheme="majorBidi"/>
          <w:b/>
          <w:szCs w:val="26"/>
        </w:rPr>
        <w:t>PRIMERO. De la competencia</w:t>
      </w:r>
      <w:bookmarkEnd w:id="5"/>
    </w:p>
    <w:p w:rsidR="00D771ED" w:rsidRPr="00166794" w:rsidRDefault="00D771ED" w:rsidP="009B6FD5">
      <w:pPr>
        <w:keepNext/>
        <w:keepLines/>
        <w:spacing w:line="360" w:lineRule="auto"/>
        <w:outlineLvl w:val="1"/>
        <w:rPr>
          <w:rFonts w:ascii="Palatino Linotype" w:eastAsiaTheme="majorEastAsia" w:hAnsi="Palatino Linotype" w:cstheme="majorBidi"/>
          <w:b/>
          <w:bCs/>
          <w:spacing w:val="60"/>
          <w:szCs w:val="26"/>
        </w:rPr>
      </w:pPr>
    </w:p>
    <w:p w:rsidR="00476A23" w:rsidRPr="00166794" w:rsidRDefault="00476A23" w:rsidP="00476A23">
      <w:pPr>
        <w:numPr>
          <w:ilvl w:val="0"/>
          <w:numId w:val="1"/>
        </w:numPr>
        <w:spacing w:line="360" w:lineRule="auto"/>
        <w:ind w:left="0" w:firstLine="0"/>
        <w:contextualSpacing/>
        <w:jc w:val="both"/>
        <w:rPr>
          <w:rFonts w:ascii="Palatino Linotype" w:eastAsia="Calibri" w:hAnsi="Palatino Linotype"/>
          <w:lang w:eastAsia="es-ES"/>
        </w:rPr>
      </w:pPr>
      <w:r w:rsidRPr="00166794">
        <w:rPr>
          <w:rFonts w:ascii="Palatino Linotype" w:eastAsia="Calibri" w:hAnsi="Palatino Linotype"/>
          <w:lang w:val="es-ES" w:eastAsia="es-ES"/>
        </w:rPr>
        <w:t xml:space="preserve">Este Instituto de Transparencia, Acceso a la Información Pública y Protección de Datos Personales del Estado de México y Municipios, es competente para conocer y resolver del presente recurso de conformidad con el artículo: 6, apartado A, de la </w:t>
      </w:r>
      <w:r w:rsidRPr="00166794">
        <w:rPr>
          <w:rFonts w:ascii="Palatino Linotype" w:eastAsia="Calibri" w:hAnsi="Palatino Linotype"/>
          <w:b/>
          <w:lang w:val="es-ES" w:eastAsia="es-ES"/>
        </w:rPr>
        <w:t>Constitución Política de los Estados Unidos Mexicanos</w:t>
      </w:r>
      <w:r w:rsidRPr="00166794">
        <w:rPr>
          <w:rFonts w:ascii="Palatino Linotype" w:eastAsia="Calibri" w:hAnsi="Palatino Linotype"/>
          <w:lang w:val="es-ES" w:eastAsia="es-ES"/>
        </w:rPr>
        <w:t xml:space="preserve">; 5, </w:t>
      </w:r>
      <w:r w:rsidRPr="00166794">
        <w:rPr>
          <w:rFonts w:ascii="Palatino Linotype" w:eastAsia="Calibri" w:hAnsi="Palatino Linotype"/>
          <w:lang w:eastAsia="es-ES"/>
        </w:rPr>
        <w:t xml:space="preserve">párrafos trigésimo, trigésimo primero y trigésimo segundo, fracciones I, II, III, IV y V de la </w:t>
      </w:r>
      <w:r w:rsidRPr="00166794">
        <w:rPr>
          <w:rFonts w:ascii="Palatino Linotype" w:eastAsia="Calibri" w:hAnsi="Palatino Linotype"/>
          <w:b/>
          <w:lang w:eastAsia="es-ES"/>
        </w:rPr>
        <w:t>Constitución Política del Estado Libre y Soberano de México</w:t>
      </w:r>
      <w:r w:rsidRPr="00166794">
        <w:rPr>
          <w:rFonts w:ascii="Palatino Linotype" w:eastAsia="Calibri" w:hAnsi="Palatino Linotype"/>
          <w:b/>
          <w:lang w:val="es-ES" w:eastAsia="es-ES"/>
        </w:rPr>
        <w:t>;</w:t>
      </w:r>
      <w:r w:rsidRPr="00166794">
        <w:rPr>
          <w:rFonts w:ascii="Palatino Linotype" w:eastAsia="Calibri" w:hAnsi="Palatino Linotype"/>
          <w:lang w:val="es-ES" w:eastAsia="es-ES"/>
        </w:rPr>
        <w:t xml:space="preserve"> 1, 3 fracción I, 82, 97, 98, 119, 123, 124, 127, 128 y 133 </w:t>
      </w:r>
      <w:r w:rsidRPr="00166794">
        <w:rPr>
          <w:rFonts w:ascii="Palatino Linotype" w:eastAsia="Calibri" w:hAnsi="Palatino Linotype"/>
          <w:b/>
          <w:lang w:eastAsia="es-ES"/>
        </w:rPr>
        <w:t>Ley de Protección de Datos Personales en Posesión de Sujetos Obligados del Estado de México y Municipios</w:t>
      </w:r>
      <w:r w:rsidRPr="00166794">
        <w:rPr>
          <w:rFonts w:ascii="Palatino Linotype" w:eastAsia="Calibri" w:hAnsi="Palatino Linotype"/>
          <w:lang w:val="es-ES" w:eastAsia="es-ES"/>
        </w:rPr>
        <w:t xml:space="preserve">; y 10, 7, 9 fracciones I y XXIV, y 11 del </w:t>
      </w:r>
      <w:r w:rsidRPr="00166794">
        <w:rPr>
          <w:rFonts w:ascii="Palatino Linotype" w:eastAsia="Calibri" w:hAnsi="Palatino Linotype"/>
          <w:b/>
          <w:lang w:val="es-ES" w:eastAsia="es-ES"/>
        </w:rPr>
        <w:lastRenderedPageBreak/>
        <w:t>Reglamento Interior del Instituto de Transparencia, Acceso a la Información Pública y Protección de Datos Personales del Estado de México y Municipios.</w:t>
      </w:r>
    </w:p>
    <w:p w:rsidR="00D771ED" w:rsidRPr="00166794" w:rsidRDefault="00D771ED" w:rsidP="009B6FD5">
      <w:pPr>
        <w:spacing w:line="360" w:lineRule="auto"/>
        <w:contextualSpacing/>
        <w:jc w:val="both"/>
        <w:rPr>
          <w:rFonts w:ascii="Palatino Linotype" w:eastAsiaTheme="minorEastAsia" w:hAnsi="Palatino Linotype"/>
          <w:lang w:val="es-ES_tradnl" w:eastAsia="es-ES"/>
        </w:rPr>
      </w:pPr>
    </w:p>
    <w:p w:rsidR="00D771ED" w:rsidRPr="00166794" w:rsidRDefault="00D771ED" w:rsidP="009B6FD5">
      <w:pPr>
        <w:keepNext/>
        <w:keepLines/>
        <w:spacing w:line="360" w:lineRule="auto"/>
        <w:outlineLvl w:val="1"/>
        <w:rPr>
          <w:rFonts w:ascii="Palatino Linotype" w:eastAsiaTheme="majorEastAsia" w:hAnsi="Palatino Linotype" w:cstheme="majorBidi"/>
          <w:b/>
          <w:szCs w:val="26"/>
        </w:rPr>
      </w:pPr>
      <w:bookmarkStart w:id="6" w:name="_Toc83301636"/>
      <w:r w:rsidRPr="00166794">
        <w:rPr>
          <w:rFonts w:ascii="Palatino Linotype" w:eastAsiaTheme="majorEastAsia" w:hAnsi="Palatino Linotype" w:cstheme="majorBidi"/>
          <w:b/>
          <w:szCs w:val="26"/>
        </w:rPr>
        <w:t>SEGUNDO. De la oportunidad y procedencia.</w:t>
      </w:r>
      <w:bookmarkEnd w:id="6"/>
    </w:p>
    <w:p w:rsidR="00D771ED" w:rsidRPr="00166794" w:rsidRDefault="00D771ED" w:rsidP="009B6FD5">
      <w:pPr>
        <w:spacing w:line="360" w:lineRule="auto"/>
        <w:rPr>
          <w:rFonts w:ascii="Palatino Linotype" w:eastAsiaTheme="minorEastAsia" w:hAnsi="Palatino Linotype"/>
        </w:rPr>
      </w:pPr>
    </w:p>
    <w:p w:rsidR="00D771ED" w:rsidRPr="00166794" w:rsidRDefault="00D771ED" w:rsidP="009B6FD5">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166794">
        <w:rPr>
          <w:rFonts w:ascii="Palatino Linotype" w:eastAsia="Calibri" w:hAnsi="Palatino Linotype" w:cs="Arial"/>
          <w:lang w:val="es-ES_tradnl" w:eastAsia="es-ES"/>
        </w:rPr>
        <w:t xml:space="preserve">El medio de impugnación fue presentado a través del </w:t>
      </w:r>
      <w:r w:rsidRPr="00166794">
        <w:rPr>
          <w:rFonts w:ascii="Palatino Linotype" w:eastAsia="Calibri" w:hAnsi="Palatino Linotype" w:cs="Arial"/>
          <w:b/>
          <w:lang w:val="es-ES_tradnl" w:eastAsia="es-ES"/>
        </w:rPr>
        <w:t>SAIMEX,</w:t>
      </w:r>
      <w:r w:rsidRPr="00166794">
        <w:rPr>
          <w:rFonts w:ascii="Palatino Linotype" w:eastAsia="Calibri" w:hAnsi="Palatino Linotype" w:cs="Arial"/>
          <w:lang w:val="es-ES_tradnl" w:eastAsia="es-ES"/>
        </w:rPr>
        <w:t xml:space="preserve"> en el formato previamente aprobado para tal efecto y dentro del plazo legal de quince días hábiles otorgados; siendo así que el </w:t>
      </w:r>
      <w:r w:rsidRPr="00166794">
        <w:rPr>
          <w:rFonts w:ascii="Palatino Linotype" w:eastAsia="Calibri" w:hAnsi="Palatino Linotype" w:cs="Arial"/>
          <w:b/>
          <w:lang w:val="es-ES_tradnl" w:eastAsia="es-ES"/>
        </w:rPr>
        <w:t>SUJETO OBLIGADO</w:t>
      </w:r>
      <w:r w:rsidRPr="00166794">
        <w:rPr>
          <w:rFonts w:ascii="Palatino Linotype" w:eastAsia="Calibri" w:hAnsi="Palatino Linotype" w:cs="Arial"/>
          <w:lang w:val="es-ES_tradnl" w:eastAsia="es-ES"/>
        </w:rPr>
        <w:t xml:space="preserve"> entregó respuesta</w:t>
      </w:r>
      <w:r w:rsidR="00476A23" w:rsidRPr="00166794">
        <w:rPr>
          <w:rFonts w:ascii="Palatino Linotype" w:eastAsia="Calibri" w:hAnsi="Palatino Linotype" w:cs="Arial"/>
          <w:lang w:val="es-ES_tradnl" w:eastAsia="es-ES"/>
        </w:rPr>
        <w:t xml:space="preserve"> a la so</w:t>
      </w:r>
      <w:r w:rsidR="00DD183F" w:rsidRPr="00166794">
        <w:rPr>
          <w:rFonts w:ascii="Palatino Linotype" w:eastAsia="Calibri" w:hAnsi="Palatino Linotype" w:cs="Arial"/>
          <w:lang w:val="es-ES_tradnl" w:eastAsia="es-ES"/>
        </w:rPr>
        <w:t xml:space="preserve">licitud el día </w:t>
      </w:r>
      <w:r w:rsidR="00BE4EB3" w:rsidRPr="00166794">
        <w:rPr>
          <w:rFonts w:ascii="Palatino Linotype" w:eastAsia="Calibri" w:hAnsi="Palatino Linotype" w:cs="Arial"/>
          <w:lang w:val="es-ES_tradnl" w:eastAsia="es-ES"/>
        </w:rPr>
        <w:t>ocho (08) de septiembre</w:t>
      </w:r>
      <w:r w:rsidR="00DD183F" w:rsidRPr="00166794">
        <w:rPr>
          <w:rFonts w:ascii="Palatino Linotype" w:eastAsia="Calibri" w:hAnsi="Palatino Linotype" w:cs="Arial"/>
          <w:lang w:val="es-ES_tradnl" w:eastAsia="es-ES"/>
        </w:rPr>
        <w:t xml:space="preserve"> </w:t>
      </w:r>
      <w:r w:rsidR="00476A23" w:rsidRPr="00166794">
        <w:rPr>
          <w:rFonts w:ascii="Palatino Linotype" w:eastAsia="Calibri" w:hAnsi="Palatino Linotype" w:cs="Arial"/>
          <w:lang w:val="es-ES_tradnl" w:eastAsia="es-ES"/>
        </w:rPr>
        <w:t xml:space="preserve"> de dos mil veintidós</w:t>
      </w:r>
      <w:r w:rsidRPr="00166794">
        <w:rPr>
          <w:rFonts w:ascii="Palatino Linotype" w:eastAsia="Calibri" w:hAnsi="Palatino Linotype" w:cs="Arial"/>
          <w:lang w:val="es-ES_tradnl" w:eastAsia="es-ES"/>
        </w:rPr>
        <w:t xml:space="preserve">, </w:t>
      </w:r>
      <w:r w:rsidRPr="00166794">
        <w:rPr>
          <w:rFonts w:ascii="Palatino Linotype" w:eastAsiaTheme="minorEastAsia" w:hAnsi="Palatino Linotype" w:cs="Arial"/>
          <w:lang w:val="es-ES_tradnl" w:eastAsia="es-ES"/>
        </w:rPr>
        <w:t xml:space="preserve">de tal forma que el plazo para interponer el recurso de revisión transcurrió del </w:t>
      </w:r>
      <w:r w:rsidR="00BE4EB3" w:rsidRPr="00166794">
        <w:rPr>
          <w:rFonts w:ascii="Palatino Linotype" w:eastAsiaTheme="minorEastAsia" w:hAnsi="Palatino Linotype" w:cs="Arial"/>
          <w:lang w:val="es-ES_tradnl" w:eastAsia="es-ES"/>
        </w:rPr>
        <w:t>nueve (09) al treinta (30) de septiembre</w:t>
      </w:r>
      <w:r w:rsidR="003F27EF" w:rsidRPr="00166794">
        <w:rPr>
          <w:rFonts w:ascii="Palatino Linotype" w:eastAsiaTheme="minorEastAsia" w:hAnsi="Palatino Linotype" w:cs="Arial"/>
          <w:lang w:val="es-ES_tradnl" w:eastAsia="es-ES"/>
        </w:rPr>
        <w:t xml:space="preserve"> </w:t>
      </w:r>
      <w:r w:rsidR="00476A23" w:rsidRPr="00166794">
        <w:rPr>
          <w:rFonts w:ascii="Palatino Linotype" w:eastAsiaTheme="minorEastAsia" w:hAnsi="Palatino Linotype" w:cs="Arial"/>
          <w:lang w:val="es-ES_tradnl" w:eastAsia="es-ES"/>
        </w:rPr>
        <w:t xml:space="preserve"> de dos mil veintidós</w:t>
      </w:r>
      <w:r w:rsidRPr="00166794">
        <w:rPr>
          <w:rFonts w:ascii="Palatino Linotype" w:eastAsiaTheme="minorEastAsia" w:hAnsi="Palatino Linotype" w:cs="Arial"/>
          <w:lang w:val="es-ES_tradnl" w:eastAsia="es-ES"/>
        </w:rPr>
        <w:t xml:space="preserve">; en consecuencia, presentó su inconformidad el día </w:t>
      </w:r>
      <w:r w:rsidR="00BE4EB3" w:rsidRPr="00166794">
        <w:rPr>
          <w:rFonts w:ascii="Palatino Linotype" w:eastAsiaTheme="minorEastAsia" w:hAnsi="Palatino Linotype" w:cs="Arial"/>
          <w:lang w:val="es-ES_tradnl" w:eastAsia="es-ES"/>
        </w:rPr>
        <w:t>nueve (09) de septiembre</w:t>
      </w:r>
      <w:r w:rsidR="00501A5B" w:rsidRPr="00166794">
        <w:rPr>
          <w:rFonts w:ascii="Palatino Linotype" w:eastAsiaTheme="minorEastAsia" w:hAnsi="Palatino Linotype" w:cs="Arial"/>
          <w:lang w:val="es-ES_tradnl" w:eastAsia="es-ES"/>
        </w:rPr>
        <w:t xml:space="preserve"> </w:t>
      </w:r>
      <w:r w:rsidR="00B00F9B" w:rsidRPr="00166794">
        <w:rPr>
          <w:rFonts w:ascii="Palatino Linotype" w:eastAsiaTheme="minorEastAsia" w:hAnsi="Palatino Linotype" w:cs="Arial"/>
          <w:lang w:val="es-ES_tradnl" w:eastAsia="es-ES"/>
        </w:rPr>
        <w:t>del presente año</w:t>
      </w:r>
      <w:r w:rsidRPr="00166794">
        <w:rPr>
          <w:rFonts w:ascii="Palatino Linotype" w:eastAsiaTheme="minorEastAsia" w:hAnsi="Palatino Linotype" w:cs="Arial"/>
          <w:lang w:val="es-ES_tradnl" w:eastAsia="es-ES"/>
        </w:rPr>
        <w:t xml:space="preserve">, por lo que se encuentra dentro de los márgenes temporales previstos en el artículo 178 de la </w:t>
      </w:r>
      <w:r w:rsidRPr="00166794">
        <w:rPr>
          <w:rFonts w:ascii="Palatino Linotype" w:eastAsiaTheme="minorEastAsia" w:hAnsi="Palatino Linotype" w:cs="Arial"/>
          <w:b/>
          <w:lang w:val="es-ES_tradnl" w:eastAsia="es-ES"/>
        </w:rPr>
        <w:t xml:space="preserve">Ley de Transparencia y Acceso a la Información Pública del Estado de México y Municipios </w:t>
      </w:r>
      <w:r w:rsidRPr="00166794">
        <w:rPr>
          <w:rFonts w:ascii="Palatino Linotype" w:eastAsiaTheme="minorEastAsia" w:hAnsi="Palatino Linotype" w:cs="Arial"/>
          <w:lang w:val="es-ES_tradnl" w:eastAsia="es-ES"/>
        </w:rPr>
        <w:t>vigente.</w:t>
      </w:r>
    </w:p>
    <w:p w:rsidR="00DD183F" w:rsidRPr="00166794" w:rsidRDefault="00DD183F" w:rsidP="00DD183F">
      <w:pPr>
        <w:spacing w:line="360" w:lineRule="auto"/>
        <w:ind w:right="49"/>
        <w:contextualSpacing/>
        <w:jc w:val="both"/>
        <w:rPr>
          <w:rFonts w:ascii="Palatino Linotype" w:eastAsiaTheme="minorEastAsia" w:hAnsi="Palatino Linotype"/>
          <w:lang w:val="es-ES_tradnl" w:eastAsia="es-ES"/>
        </w:rPr>
      </w:pPr>
    </w:p>
    <w:p w:rsidR="00D771ED" w:rsidRPr="00166794" w:rsidRDefault="00D771ED" w:rsidP="009B6FD5">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166794">
        <w:rPr>
          <w:rFonts w:ascii="Palatino Linotype" w:eastAsia="Calibri" w:hAnsi="Palatino Linotype" w:cs="Arial"/>
          <w:lang w:val="es-ES_tradnl" w:eastAsia="es-ES"/>
        </w:rPr>
        <w:t>Por otro lado,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bookmarkStart w:id="7" w:name="_Toc452722829"/>
      <w:bookmarkStart w:id="8" w:name="_Toc454373811"/>
      <w:bookmarkStart w:id="9" w:name="_Toc476675991"/>
    </w:p>
    <w:p w:rsidR="00B34EE2" w:rsidRPr="00166794" w:rsidRDefault="00B34EE2" w:rsidP="00B00F9B">
      <w:pPr>
        <w:spacing w:line="360" w:lineRule="auto"/>
        <w:ind w:right="49"/>
        <w:contextualSpacing/>
        <w:jc w:val="both"/>
        <w:rPr>
          <w:rFonts w:ascii="Palatino Linotype" w:eastAsia="MS Gothic" w:hAnsi="Palatino Linotype" w:cstheme="majorBidi"/>
          <w:lang w:eastAsia="es-ES"/>
        </w:rPr>
      </w:pPr>
    </w:p>
    <w:p w:rsidR="00B34EE2" w:rsidRPr="00166794" w:rsidRDefault="00DD183F" w:rsidP="00B00F9B">
      <w:pPr>
        <w:spacing w:line="360" w:lineRule="auto"/>
        <w:ind w:right="49"/>
        <w:contextualSpacing/>
        <w:jc w:val="both"/>
        <w:rPr>
          <w:rFonts w:ascii="Palatino Linotype" w:eastAsia="MS Gothic" w:hAnsi="Palatino Linotype" w:cstheme="majorBidi"/>
          <w:b/>
          <w:lang w:eastAsia="es-ES"/>
        </w:rPr>
      </w:pPr>
      <w:bookmarkStart w:id="10" w:name="_Toc65713731"/>
      <w:bookmarkStart w:id="11" w:name="_Toc94119614"/>
      <w:r w:rsidRPr="00166794">
        <w:rPr>
          <w:rFonts w:ascii="Palatino Linotype" w:eastAsia="MS Gothic" w:hAnsi="Palatino Linotype" w:cstheme="majorBidi"/>
          <w:b/>
          <w:lang w:val="es-ES_tradnl" w:eastAsia="es-ES"/>
        </w:rPr>
        <w:t>TERCER</w:t>
      </w:r>
      <w:r w:rsidR="00B00F9B" w:rsidRPr="00166794">
        <w:rPr>
          <w:rFonts w:ascii="Palatino Linotype" w:eastAsia="MS Gothic" w:hAnsi="Palatino Linotype" w:cstheme="majorBidi"/>
          <w:b/>
          <w:lang w:val="es-ES_tradnl" w:eastAsia="es-ES"/>
        </w:rPr>
        <w:t>O. Planteamiento de la Litis</w:t>
      </w:r>
      <w:r w:rsidR="00B00F9B" w:rsidRPr="00166794">
        <w:rPr>
          <w:rFonts w:ascii="Palatino Linotype" w:eastAsia="MS Gothic" w:hAnsi="Palatino Linotype" w:cstheme="majorBidi"/>
          <w:b/>
          <w:lang w:eastAsia="es-ES"/>
        </w:rPr>
        <w:t>.</w:t>
      </w:r>
      <w:bookmarkEnd w:id="10"/>
      <w:bookmarkEnd w:id="11"/>
    </w:p>
    <w:p w:rsidR="00B34EE2" w:rsidRPr="00166794" w:rsidRDefault="00B34EE2" w:rsidP="00B00F9B">
      <w:pPr>
        <w:spacing w:line="360" w:lineRule="auto"/>
        <w:ind w:right="49"/>
        <w:contextualSpacing/>
        <w:jc w:val="both"/>
        <w:rPr>
          <w:rFonts w:ascii="Palatino Linotype" w:eastAsia="MS Gothic" w:hAnsi="Palatino Linotype" w:cstheme="majorBidi"/>
          <w:b/>
          <w:lang w:eastAsia="es-ES"/>
        </w:rPr>
      </w:pPr>
    </w:p>
    <w:p w:rsidR="00B00F9B" w:rsidRPr="00166794" w:rsidRDefault="00B00F9B" w:rsidP="00B00F9B">
      <w:pPr>
        <w:numPr>
          <w:ilvl w:val="0"/>
          <w:numId w:val="1"/>
        </w:numPr>
        <w:spacing w:line="360" w:lineRule="auto"/>
        <w:ind w:left="0" w:right="49" w:firstLine="0"/>
        <w:contextualSpacing/>
        <w:jc w:val="both"/>
        <w:rPr>
          <w:rFonts w:ascii="Palatino Linotype" w:eastAsia="MS Gothic" w:hAnsi="Palatino Linotype" w:cstheme="majorBidi"/>
          <w:i/>
          <w:lang w:val="es-ES_tradnl" w:eastAsia="es-ES"/>
        </w:rPr>
      </w:pPr>
      <w:r w:rsidRPr="00166794">
        <w:rPr>
          <w:rFonts w:ascii="Palatino Linotype" w:eastAsia="MS Gothic" w:hAnsi="Palatino Linotype" w:cstheme="majorBidi"/>
          <w:lang w:eastAsia="es-ES"/>
        </w:rPr>
        <w:t>El particular solicitó</w:t>
      </w:r>
      <w:r w:rsidR="00B34EE2" w:rsidRPr="00166794">
        <w:rPr>
          <w:rFonts w:ascii="Palatino Linotype" w:eastAsia="MS Gothic" w:hAnsi="Palatino Linotype" w:cstheme="majorBidi"/>
          <w:lang w:eastAsia="es-ES"/>
        </w:rPr>
        <w:t xml:space="preserve"> </w:t>
      </w:r>
      <w:r w:rsidR="00BE4EB3" w:rsidRPr="00166794">
        <w:rPr>
          <w:rFonts w:ascii="Palatino Linotype" w:eastAsia="MS Gothic" w:hAnsi="Palatino Linotype" w:cstheme="majorBidi"/>
          <w:lang w:eastAsia="es-ES"/>
        </w:rPr>
        <w:t>la balanza de comprobación detallada del mes de enero de dos mil veintidós.</w:t>
      </w:r>
      <w:r w:rsidR="0022714D" w:rsidRPr="00166794">
        <w:rPr>
          <w:rFonts w:ascii="Palatino Linotype" w:eastAsia="MS Gothic" w:hAnsi="Palatino Linotype" w:cstheme="majorBidi"/>
          <w:lang w:eastAsia="es-ES"/>
        </w:rPr>
        <w:t xml:space="preserve"> </w:t>
      </w:r>
    </w:p>
    <w:p w:rsidR="00DD183F" w:rsidRPr="00166794" w:rsidRDefault="00DD183F" w:rsidP="00DD183F">
      <w:pPr>
        <w:spacing w:line="360" w:lineRule="auto"/>
        <w:ind w:right="49"/>
        <w:contextualSpacing/>
        <w:jc w:val="both"/>
        <w:rPr>
          <w:rFonts w:ascii="Palatino Linotype" w:eastAsia="MS Gothic" w:hAnsi="Palatino Linotype" w:cstheme="majorBidi"/>
          <w:i/>
          <w:lang w:val="es-ES_tradnl" w:eastAsia="es-ES"/>
        </w:rPr>
      </w:pPr>
    </w:p>
    <w:p w:rsidR="00B00F9B" w:rsidRPr="00166794" w:rsidRDefault="00B00F9B" w:rsidP="00F522A4">
      <w:pPr>
        <w:numPr>
          <w:ilvl w:val="0"/>
          <w:numId w:val="1"/>
        </w:numPr>
        <w:spacing w:line="360" w:lineRule="auto"/>
        <w:ind w:left="0" w:right="49" w:firstLine="0"/>
        <w:contextualSpacing/>
        <w:jc w:val="both"/>
        <w:rPr>
          <w:rFonts w:ascii="Palatino Linotype" w:eastAsia="MS Gothic" w:hAnsi="Palatino Linotype" w:cstheme="majorBidi"/>
          <w:lang w:eastAsia="es-ES"/>
        </w:rPr>
      </w:pPr>
      <w:r w:rsidRPr="00166794">
        <w:rPr>
          <w:rFonts w:ascii="Palatino Linotype" w:eastAsia="MS Gothic" w:hAnsi="Palatino Linotype" w:cstheme="majorBidi"/>
          <w:iCs/>
          <w:lang w:eastAsia="es-ES"/>
        </w:rPr>
        <w:lastRenderedPageBreak/>
        <w:t>En</w:t>
      </w:r>
      <w:r w:rsidR="0022714D" w:rsidRPr="00166794">
        <w:rPr>
          <w:rFonts w:ascii="Palatino Linotype" w:eastAsia="MS Gothic" w:hAnsi="Palatino Linotype" w:cstheme="majorBidi"/>
          <w:iCs/>
          <w:lang w:eastAsia="es-ES"/>
        </w:rPr>
        <w:t xml:space="preserve"> respuesta, el SUJETO OBLIGADO</w:t>
      </w:r>
      <w:r w:rsidR="00BE4EB3" w:rsidRPr="00166794">
        <w:rPr>
          <w:rFonts w:ascii="Palatino Linotype" w:eastAsia="MS Gothic" w:hAnsi="Palatino Linotype" w:cstheme="majorBidi"/>
          <w:iCs/>
          <w:lang w:eastAsia="es-ES"/>
        </w:rPr>
        <w:t xml:space="preserve"> señaló que la información solicitada era reservada. Derivado de la respuesta, el Recurrente interpuso recurso de revisión, manifestó en sus motivos de inconformidad la negativa de la información.</w:t>
      </w:r>
    </w:p>
    <w:p w:rsidR="00BE4EB3" w:rsidRPr="00166794" w:rsidRDefault="00BE4EB3" w:rsidP="00BE4EB3">
      <w:pPr>
        <w:spacing w:line="360" w:lineRule="auto"/>
        <w:ind w:right="49"/>
        <w:contextualSpacing/>
        <w:jc w:val="both"/>
        <w:rPr>
          <w:rFonts w:ascii="Palatino Linotype" w:eastAsia="MS Gothic" w:hAnsi="Palatino Linotype" w:cstheme="majorBidi"/>
          <w:lang w:eastAsia="es-ES"/>
        </w:rPr>
      </w:pPr>
    </w:p>
    <w:p w:rsidR="00B00F9B" w:rsidRPr="00166794" w:rsidRDefault="00B00F9B" w:rsidP="00B00F9B">
      <w:pPr>
        <w:numPr>
          <w:ilvl w:val="0"/>
          <w:numId w:val="1"/>
        </w:numPr>
        <w:spacing w:line="360" w:lineRule="auto"/>
        <w:ind w:left="0" w:right="49" w:firstLine="0"/>
        <w:contextualSpacing/>
        <w:jc w:val="both"/>
        <w:rPr>
          <w:rFonts w:ascii="Palatino Linotype" w:eastAsia="MS Gothic" w:hAnsi="Palatino Linotype" w:cstheme="majorBidi"/>
          <w:b/>
          <w:lang w:eastAsia="es-ES"/>
        </w:rPr>
      </w:pPr>
      <w:r w:rsidRPr="00166794">
        <w:rPr>
          <w:rFonts w:ascii="Palatino Linotype" w:eastAsia="MS Gothic" w:hAnsi="Palatino Linotype" w:cstheme="majorBidi"/>
          <w:lang w:eastAsia="es-ES"/>
        </w:rPr>
        <w:t xml:space="preserve">En consecuencia, la Litis a resolver en este recurso, se circunscribe a determinar si la respuesta colma con lo solicitado o si se actualiza la causal de procedencia prevista </w:t>
      </w:r>
      <w:r w:rsidR="00B34EE2" w:rsidRPr="00166794">
        <w:rPr>
          <w:rFonts w:ascii="Palatino Linotype" w:eastAsia="MS Gothic" w:hAnsi="Palatino Linotype" w:cstheme="majorBidi"/>
          <w:lang w:eastAsia="es-ES"/>
        </w:rPr>
        <w:t xml:space="preserve">en el artículo 179, fracción </w:t>
      </w:r>
      <w:r w:rsidR="00174E58" w:rsidRPr="00166794">
        <w:rPr>
          <w:rFonts w:ascii="Palatino Linotype" w:eastAsia="MS Gothic" w:hAnsi="Palatino Linotype" w:cstheme="majorBidi"/>
          <w:lang w:eastAsia="es-ES"/>
        </w:rPr>
        <w:t>I</w:t>
      </w:r>
      <w:r w:rsidRPr="00166794">
        <w:rPr>
          <w:rFonts w:ascii="Palatino Linotype" w:eastAsia="MS Gothic" w:hAnsi="Palatino Linotype" w:cstheme="majorBidi"/>
          <w:lang w:eastAsia="es-ES"/>
        </w:rPr>
        <w:t xml:space="preserve"> de la Ley de Transparencia y Acceso a la Información Pública del Estado de México y M</w:t>
      </w:r>
      <w:r w:rsidR="00174E58" w:rsidRPr="00166794">
        <w:rPr>
          <w:rFonts w:ascii="Palatino Linotype" w:eastAsia="MS Gothic" w:hAnsi="Palatino Linotype" w:cstheme="majorBidi"/>
          <w:lang w:eastAsia="es-ES"/>
        </w:rPr>
        <w:t>unicipios; que establece la negativa de la información</w:t>
      </w:r>
      <w:r w:rsidRPr="00166794">
        <w:rPr>
          <w:rFonts w:ascii="Palatino Linotype" w:eastAsia="MS Gothic" w:hAnsi="Palatino Linotype" w:cstheme="majorBidi"/>
          <w:lang w:eastAsia="es-ES"/>
        </w:rPr>
        <w:t>.</w:t>
      </w:r>
    </w:p>
    <w:p w:rsidR="00D771ED" w:rsidRPr="00166794" w:rsidRDefault="00D771ED" w:rsidP="009B6FD5">
      <w:pPr>
        <w:spacing w:line="360" w:lineRule="auto"/>
        <w:ind w:right="49"/>
        <w:contextualSpacing/>
        <w:jc w:val="both"/>
        <w:rPr>
          <w:rFonts w:ascii="Palatino Linotype" w:eastAsia="MS Gothic" w:hAnsi="Palatino Linotype"/>
        </w:rPr>
      </w:pPr>
    </w:p>
    <w:p w:rsidR="00D771ED" w:rsidRPr="00166794" w:rsidRDefault="00DD183F" w:rsidP="009B6FD5">
      <w:pPr>
        <w:keepNext/>
        <w:keepLines/>
        <w:spacing w:line="360" w:lineRule="auto"/>
        <w:ind w:right="48"/>
        <w:outlineLvl w:val="0"/>
        <w:rPr>
          <w:rFonts w:ascii="Palatino Linotype" w:eastAsia="MS Gothic" w:hAnsi="Palatino Linotype" w:cstheme="majorBidi"/>
          <w:b/>
          <w:lang w:val="es-ES_tradnl" w:eastAsia="es-ES"/>
        </w:rPr>
      </w:pPr>
      <w:bookmarkStart w:id="12" w:name="_Toc70417466"/>
      <w:bookmarkStart w:id="13" w:name="_Toc80812775"/>
      <w:bookmarkStart w:id="14" w:name="_Toc83301638"/>
      <w:r w:rsidRPr="00166794">
        <w:rPr>
          <w:rFonts w:ascii="Palatino Linotype" w:eastAsia="MS Gothic" w:hAnsi="Palatino Linotype" w:cstheme="majorBidi"/>
          <w:b/>
          <w:lang w:val="es-ES_tradnl" w:eastAsia="es-ES"/>
        </w:rPr>
        <w:t>CUART</w:t>
      </w:r>
      <w:r w:rsidR="00D771ED" w:rsidRPr="00166794">
        <w:rPr>
          <w:rFonts w:ascii="Palatino Linotype" w:eastAsia="MS Gothic" w:hAnsi="Palatino Linotype" w:cstheme="majorBidi"/>
          <w:b/>
          <w:lang w:val="es-ES_tradnl" w:eastAsia="es-ES"/>
        </w:rPr>
        <w:t>O. Del estudio y resolución del recurso de revisión.</w:t>
      </w:r>
      <w:bookmarkEnd w:id="12"/>
      <w:bookmarkEnd w:id="13"/>
      <w:bookmarkEnd w:id="14"/>
    </w:p>
    <w:p w:rsidR="00D771ED" w:rsidRPr="00166794" w:rsidRDefault="00D771ED" w:rsidP="009B6FD5">
      <w:pPr>
        <w:keepNext/>
        <w:keepLines/>
        <w:spacing w:line="360" w:lineRule="auto"/>
        <w:ind w:right="48"/>
        <w:outlineLvl w:val="0"/>
        <w:rPr>
          <w:rFonts w:ascii="Palatino Linotype" w:eastAsia="MS Gothic" w:hAnsi="Palatino Linotype" w:cstheme="majorBidi"/>
          <w:b/>
          <w:lang w:val="es-ES_tradnl" w:eastAsia="es-ES"/>
        </w:rPr>
      </w:pPr>
    </w:p>
    <w:p w:rsidR="00D771ED" w:rsidRPr="00166794" w:rsidRDefault="00D771ED" w:rsidP="009B6FD5">
      <w:pPr>
        <w:pStyle w:val="Prrafodelista"/>
        <w:keepNext/>
        <w:keepLines/>
        <w:numPr>
          <w:ilvl w:val="0"/>
          <w:numId w:val="4"/>
        </w:numPr>
        <w:spacing w:line="360" w:lineRule="auto"/>
        <w:jc w:val="both"/>
        <w:outlineLvl w:val="1"/>
        <w:rPr>
          <w:rFonts w:ascii="Palatino Linotype" w:eastAsia="MS Gothic" w:hAnsi="Palatino Linotype"/>
          <w:b/>
          <w:sz w:val="24"/>
          <w:lang w:val="es-ES_tradnl" w:eastAsia="es-ES"/>
        </w:rPr>
      </w:pPr>
      <w:bookmarkStart w:id="15" w:name="_Toc498528948"/>
      <w:bookmarkStart w:id="16" w:name="_Toc71234379"/>
      <w:bookmarkStart w:id="17" w:name="_Toc71239557"/>
      <w:bookmarkStart w:id="18" w:name="_Toc80812776"/>
      <w:bookmarkStart w:id="19" w:name="_Toc83301639"/>
      <w:r w:rsidRPr="00166794">
        <w:rPr>
          <w:rFonts w:ascii="Palatino Linotype" w:eastAsia="MS Gothic" w:hAnsi="Palatino Linotype"/>
          <w:b/>
          <w:sz w:val="24"/>
          <w:lang w:val="es-ES_tradnl" w:eastAsia="es-ES"/>
        </w:rPr>
        <w:t>De</w:t>
      </w:r>
      <w:bookmarkEnd w:id="15"/>
      <w:r w:rsidRPr="00166794">
        <w:rPr>
          <w:rFonts w:ascii="Palatino Linotype" w:eastAsia="MS Gothic" w:hAnsi="Palatino Linotype"/>
          <w:b/>
          <w:sz w:val="24"/>
          <w:lang w:val="es-ES_tradnl" w:eastAsia="es-ES"/>
        </w:rPr>
        <w:t>l derecho de acceso a la información.</w:t>
      </w:r>
      <w:bookmarkEnd w:id="16"/>
      <w:bookmarkEnd w:id="17"/>
      <w:bookmarkEnd w:id="18"/>
      <w:bookmarkEnd w:id="19"/>
    </w:p>
    <w:p w:rsidR="00D771ED" w:rsidRPr="00166794" w:rsidRDefault="00D771ED" w:rsidP="009B6FD5">
      <w:pPr>
        <w:spacing w:line="360" w:lineRule="auto"/>
        <w:ind w:right="49"/>
        <w:contextualSpacing/>
        <w:jc w:val="both"/>
        <w:rPr>
          <w:rFonts w:ascii="Palatino Linotype" w:eastAsiaTheme="minorEastAsia" w:hAnsi="Palatino Linotype"/>
          <w:lang w:val="es-ES_tradnl" w:eastAsia="es-ES"/>
        </w:rPr>
      </w:pPr>
    </w:p>
    <w:p w:rsidR="00D771ED" w:rsidRPr="00166794" w:rsidRDefault="00D771ED" w:rsidP="009B6FD5">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166794">
        <w:rPr>
          <w:rFonts w:ascii="Palatino Linotype" w:eastAsiaTheme="minorEastAsia" w:hAnsi="Palatino Linotype"/>
          <w:lang w:val="es-ES_tradnl" w:eastAsia="es-ES"/>
        </w:rPr>
        <w:t>E</w:t>
      </w:r>
      <w:r w:rsidRPr="00166794">
        <w:rPr>
          <w:rFonts w:ascii="Palatino Linotype" w:hAnsi="Palatino Linotype" w:cs="Arial"/>
          <w:color w:val="000000"/>
          <w:lang w:val="es-ES_tradnl"/>
        </w:rPr>
        <w:t>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w:t>
      </w:r>
      <w:r w:rsidRPr="00166794">
        <w:rPr>
          <w:rFonts w:ascii="Palatino Linotype" w:hAnsi="Palatino Linotype" w:cs="Arial"/>
          <w:color w:val="000000"/>
          <w:lang w:val="es-ES_tradnl" w:eastAsia="es-ES"/>
        </w:rPr>
        <w:t xml:space="preserve">. </w:t>
      </w:r>
    </w:p>
    <w:p w:rsidR="00D771ED" w:rsidRPr="00166794" w:rsidRDefault="00D771ED" w:rsidP="009B6FD5">
      <w:pPr>
        <w:spacing w:line="360" w:lineRule="auto"/>
        <w:ind w:right="49"/>
        <w:contextualSpacing/>
        <w:jc w:val="both"/>
        <w:rPr>
          <w:rFonts w:ascii="Palatino Linotype" w:eastAsiaTheme="minorEastAsia" w:hAnsi="Palatino Linotype"/>
          <w:lang w:val="es-ES_tradnl" w:eastAsia="es-ES"/>
        </w:rPr>
      </w:pPr>
    </w:p>
    <w:p w:rsidR="00D771ED" w:rsidRPr="00166794" w:rsidRDefault="00D771ED" w:rsidP="009B6FD5">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166794">
        <w:rPr>
          <w:rFonts w:ascii="Palatino Linotype" w:hAnsi="Palatino Linotype"/>
          <w:lang w:val="es-ES_tradnl" w:eastAsia="es-ES"/>
        </w:rPr>
        <w:t xml:space="preserve">Definiendo el Derecho de Acceso a la Información Pública como: </w:t>
      </w:r>
      <w:r w:rsidRPr="00166794">
        <w:rPr>
          <w:rFonts w:ascii="Palatino Linotype" w:eastAsiaTheme="minorEastAsia" w:hAnsi="Palatino Linotype"/>
          <w:i/>
          <w:color w:val="000000"/>
          <w:lang w:val="es-ES_tradnl" w:eastAsia="es-ES"/>
        </w:rPr>
        <w:t>La igualdad de oportunidades para recibir, buscar e impartir información</w:t>
      </w:r>
      <w:r w:rsidRPr="00166794">
        <w:rPr>
          <w:rFonts w:ascii="Palatino Linotype" w:eastAsiaTheme="minorEastAsia" w:hAnsi="Palatino Linotype"/>
          <w:i/>
          <w:vertAlign w:val="superscript"/>
          <w:lang w:val="es-ES_tradnl" w:eastAsia="es-ES"/>
        </w:rPr>
        <w:footnoteReference w:id="1"/>
      </w:r>
      <w:r w:rsidRPr="00166794">
        <w:rPr>
          <w:rFonts w:ascii="Palatino Linotype" w:eastAsiaTheme="minorEastAsia" w:hAnsi="Palatino Linotype"/>
          <w:i/>
          <w:color w:val="000000"/>
          <w:lang w:val="es-ES_tradnl" w:eastAsia="es-ES"/>
        </w:rPr>
        <w:t xml:space="preserve">en posesión de cualquier autoridad, entidad, órgano y organismo de los poderes Ejecutivo, Legislativo y Judicial, órganos </w:t>
      </w:r>
      <w:r w:rsidRPr="00166794">
        <w:rPr>
          <w:rFonts w:ascii="Palatino Linotype" w:eastAsiaTheme="minorEastAsia" w:hAnsi="Palatino Linotype"/>
          <w:i/>
          <w:color w:val="000000"/>
          <w:lang w:val="es-ES_tradnl" w:eastAsia="es-ES"/>
        </w:rPr>
        <w:lastRenderedPageBreak/>
        <w:t>autónomos, partidos políticos, fideicomisos y fondos públicos, así como de cualquier persona física, moral o sindicato que reciba y ejerza recursos públicos o realice actos de autoridad en el ámbito federal, estatal y municipal,</w:t>
      </w:r>
      <w:r w:rsidRPr="00166794">
        <w:rPr>
          <w:rFonts w:ascii="Palatino Linotype" w:eastAsiaTheme="minorEastAsia" w:hAnsi="Palatino Linotype"/>
          <w:i/>
          <w:vertAlign w:val="superscript"/>
          <w:lang w:val="es-ES_tradnl" w:eastAsia="es-ES"/>
        </w:rPr>
        <w:footnoteReference w:id="2"/>
      </w:r>
      <w:r w:rsidRPr="00166794">
        <w:rPr>
          <w:rFonts w:ascii="Palatino Linotype" w:eastAsiaTheme="minorEastAsia" w:hAnsi="Palatino Linotype"/>
          <w:color w:val="000000"/>
          <w:lang w:val="es-ES_tradnl" w:eastAsia="es-ES"/>
        </w:rPr>
        <w:t>que se constituye como una herramienta fundamental para ejercer</w:t>
      </w:r>
      <w:r w:rsidRPr="00166794">
        <w:rPr>
          <w:rFonts w:ascii="Palatino Linotype" w:eastAsiaTheme="minorEastAsia" w:hAnsi="Palatino Linotype"/>
          <w:i/>
          <w:color w:val="000000"/>
          <w:lang w:val="es-ES_tradnl" w:eastAsia="es-ES"/>
        </w:rPr>
        <w:t xml:space="preserve"> el control democrático de las gestiones estatales, de forma tal que puedan cuestionar, indagar y considerar si se está dando un adecuado cumplimiento a las funciones públicas,</w:t>
      </w:r>
      <w:r w:rsidRPr="00166794">
        <w:rPr>
          <w:rFonts w:ascii="Palatino Linotype" w:eastAsiaTheme="minorEastAsia" w:hAnsi="Palatino Linotype"/>
          <w:i/>
          <w:vertAlign w:val="superscript"/>
          <w:lang w:val="es-ES_tradnl" w:eastAsia="es-ES"/>
        </w:rPr>
        <w:footnoteReference w:id="3"/>
      </w:r>
      <w:r w:rsidRPr="00166794">
        <w:rPr>
          <w:rFonts w:ascii="Palatino Linotype" w:eastAsiaTheme="minorEastAsia" w:hAnsi="Palatino Linotype"/>
          <w:color w:val="000000"/>
          <w:lang w:val="es-ES_tradnl" w:eastAsia="es-ES"/>
        </w:rPr>
        <w:t>fomentando</w:t>
      </w:r>
      <w:r w:rsidRPr="00166794">
        <w:rPr>
          <w:rFonts w:ascii="Palatino Linotype" w:eastAsiaTheme="minorEastAsia" w:hAnsi="Palatino Linotype"/>
          <w:i/>
          <w:color w:val="000000"/>
          <w:lang w:val="es-ES_tradnl" w:eastAsia="es-ES"/>
        </w:rPr>
        <w:t xml:space="preserve"> la transparencia de las actividades estatales y </w:t>
      </w:r>
      <w:r w:rsidRPr="00166794">
        <w:rPr>
          <w:rFonts w:ascii="Palatino Linotype" w:eastAsiaTheme="minorEastAsia" w:hAnsi="Palatino Linotype"/>
          <w:color w:val="000000"/>
          <w:lang w:val="es-ES_tradnl" w:eastAsia="es-ES"/>
        </w:rPr>
        <w:t>promoviendo</w:t>
      </w:r>
      <w:r w:rsidRPr="00166794">
        <w:rPr>
          <w:rFonts w:ascii="Palatino Linotype" w:eastAsiaTheme="minorEastAsia" w:hAnsi="Palatino Linotype"/>
          <w:i/>
          <w:color w:val="000000"/>
          <w:lang w:val="es-ES_tradnl" w:eastAsia="es-ES"/>
        </w:rPr>
        <w:t xml:space="preserve"> la responsabilidad de los funcionarios sobre su gestión pública,</w:t>
      </w:r>
      <w:r w:rsidRPr="00166794">
        <w:rPr>
          <w:rFonts w:ascii="Palatino Linotype" w:eastAsiaTheme="minorEastAsia" w:hAnsi="Palatino Linotype"/>
          <w:i/>
          <w:vertAlign w:val="superscript"/>
          <w:lang w:val="es-ES_tradnl" w:eastAsia="es-ES"/>
        </w:rPr>
        <w:footnoteReference w:id="4"/>
      </w:r>
      <w:r w:rsidRPr="00166794">
        <w:rPr>
          <w:rFonts w:ascii="Palatino Linotype" w:eastAsiaTheme="minorEastAsia" w:hAnsi="Palatino Linotype"/>
          <w:color w:val="000000"/>
          <w:lang w:val="es-ES_tradnl" w:eastAsia="es-ES"/>
        </w:rPr>
        <w:t>que permite</w:t>
      </w:r>
      <w:r w:rsidRPr="00166794">
        <w:rPr>
          <w:rFonts w:ascii="Palatino Linotype" w:eastAsiaTheme="minorEastAsia" w:hAnsi="Palatino Linotype"/>
          <w:i/>
          <w:color w:val="000000"/>
          <w:lang w:val="es-ES_tradnl" w:eastAsia="es-ES"/>
        </w:rPr>
        <w:t xml:space="preserve"> saber qué están haciendo los gobiernos por sus pueblos, sin lo cual la verdad languidecería y la participación en el gobierno permanecería fragmentada.</w:t>
      </w:r>
    </w:p>
    <w:p w:rsidR="00D771ED" w:rsidRPr="00166794" w:rsidRDefault="00D771ED" w:rsidP="009B6FD5">
      <w:pPr>
        <w:spacing w:line="360" w:lineRule="auto"/>
        <w:ind w:right="49"/>
        <w:contextualSpacing/>
        <w:jc w:val="both"/>
        <w:rPr>
          <w:rFonts w:ascii="Palatino Linotype" w:eastAsiaTheme="minorEastAsia" w:hAnsi="Palatino Linotype"/>
          <w:lang w:val="es-ES_tradnl" w:eastAsia="es-ES"/>
        </w:rPr>
      </w:pPr>
    </w:p>
    <w:p w:rsidR="00D771ED" w:rsidRPr="00166794" w:rsidRDefault="00D771ED" w:rsidP="009B6FD5">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166794">
        <w:rPr>
          <w:rFonts w:ascii="Palatino Linotype" w:hAnsi="Palatino Linotype"/>
          <w:lang w:val="es-ES_tradnl" w:eastAsia="es-ES"/>
        </w:rPr>
        <w:t>En México, además de los derechos, están reconocidas las garantías para su protección, en ese sentido el párrafo tercero de artículo primero de la Constitución Política de los Estados Unidos Mexicanos, dispone lo siguiente:</w:t>
      </w:r>
    </w:p>
    <w:p w:rsidR="00D771ED" w:rsidRPr="00166794" w:rsidRDefault="00D771ED" w:rsidP="009B6FD5">
      <w:pPr>
        <w:spacing w:line="360" w:lineRule="auto"/>
        <w:ind w:right="49"/>
        <w:contextualSpacing/>
        <w:jc w:val="both"/>
        <w:rPr>
          <w:rFonts w:ascii="Palatino Linotype" w:hAnsi="Palatino Linotype"/>
          <w:lang w:val="es-ES_tradnl" w:eastAsia="es-ES"/>
        </w:rPr>
      </w:pPr>
    </w:p>
    <w:p w:rsidR="00D771ED" w:rsidRPr="00166794" w:rsidRDefault="00D771ED" w:rsidP="009B6FD5">
      <w:pPr>
        <w:spacing w:line="360" w:lineRule="auto"/>
        <w:ind w:left="567" w:right="567"/>
        <w:contextualSpacing/>
        <w:jc w:val="both"/>
        <w:rPr>
          <w:rFonts w:ascii="Palatino Linotype" w:hAnsi="Palatino Linotype"/>
          <w:i/>
          <w:sz w:val="22"/>
          <w:lang w:val="es-ES_tradnl" w:eastAsia="es-ES"/>
        </w:rPr>
      </w:pPr>
      <w:r w:rsidRPr="00166794">
        <w:rPr>
          <w:rFonts w:ascii="Palatino Linotype" w:hAnsi="Palatino Linotype"/>
          <w:i/>
          <w:sz w:val="22"/>
          <w:lang w:val="es-ES_tradnl" w:eastAsia="es-ES"/>
        </w:rPr>
        <w:t>“</w:t>
      </w:r>
      <w:r w:rsidRPr="00166794">
        <w:rPr>
          <w:rFonts w:ascii="Palatino Linotype" w:hAnsi="Palatino Linotype"/>
          <w:b/>
          <w:i/>
          <w:sz w:val="22"/>
          <w:lang w:val="es-ES_tradnl" w:eastAsia="es-ES"/>
        </w:rPr>
        <w:t>Artículo 1.-</w:t>
      </w:r>
      <w:r w:rsidRPr="00166794">
        <w:rPr>
          <w:rFonts w:ascii="Palatino Linotype" w:hAnsi="Palatino Linotype"/>
          <w:i/>
          <w:sz w:val="22"/>
          <w:lang w:val="es-ES_tradnl" w:eastAsia="es-ES"/>
        </w:rPr>
        <w:t xml:space="preserve"> </w:t>
      </w:r>
    </w:p>
    <w:p w:rsidR="00D771ED" w:rsidRPr="00166794" w:rsidRDefault="00D771ED" w:rsidP="009B6FD5">
      <w:pPr>
        <w:spacing w:line="360" w:lineRule="auto"/>
        <w:ind w:left="567" w:right="567"/>
        <w:contextualSpacing/>
        <w:jc w:val="both"/>
        <w:rPr>
          <w:rFonts w:ascii="Palatino Linotype" w:hAnsi="Palatino Linotype"/>
          <w:i/>
          <w:sz w:val="22"/>
          <w:lang w:val="es-ES_tradnl" w:eastAsia="es-ES"/>
        </w:rPr>
      </w:pPr>
      <w:r w:rsidRPr="00166794">
        <w:rPr>
          <w:rFonts w:ascii="Palatino Linotype" w:hAnsi="Palatino Linotype"/>
          <w:i/>
          <w:sz w:val="22"/>
          <w:lang w:val="es-ES_tradnl" w:eastAsia="es-ES"/>
        </w:rPr>
        <w:t>(…)</w:t>
      </w:r>
    </w:p>
    <w:p w:rsidR="00D771ED" w:rsidRPr="00166794" w:rsidRDefault="00D771ED" w:rsidP="009B6FD5">
      <w:pPr>
        <w:spacing w:line="360" w:lineRule="auto"/>
        <w:ind w:left="567" w:right="567"/>
        <w:contextualSpacing/>
        <w:jc w:val="both"/>
        <w:rPr>
          <w:rFonts w:ascii="Palatino Linotype" w:hAnsi="Palatino Linotype"/>
          <w:i/>
          <w:sz w:val="22"/>
        </w:rPr>
      </w:pPr>
      <w:r w:rsidRPr="00166794">
        <w:rPr>
          <w:rFonts w:ascii="Palatino Linotype" w:hAnsi="Palatino Linotype"/>
          <w:i/>
          <w:sz w:val="22"/>
          <w:lang w:val="es-ES_tradnl" w:eastAsia="es-ES"/>
        </w:rPr>
        <w:t>Todas las</w:t>
      </w:r>
      <w:r w:rsidRPr="00166794">
        <w:rPr>
          <w:rFonts w:ascii="Palatino Linotype" w:hAnsi="Palatino Linotype"/>
          <w:sz w:val="22"/>
          <w:lang w:val="es-ES_tradnl" w:eastAsia="es-ES"/>
        </w:rPr>
        <w:t xml:space="preserve"> </w:t>
      </w:r>
      <w:r w:rsidRPr="00166794">
        <w:rPr>
          <w:rFonts w:ascii="Palatino Linotype" w:hAnsi="Palatino Linotype"/>
          <w:i/>
          <w:sz w:val="22"/>
        </w:rPr>
        <w:t>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rsidR="00D771ED" w:rsidRPr="00166794" w:rsidRDefault="00D771ED" w:rsidP="009B6FD5">
      <w:pPr>
        <w:spacing w:line="360" w:lineRule="auto"/>
        <w:ind w:left="567" w:right="567"/>
        <w:contextualSpacing/>
        <w:jc w:val="both"/>
        <w:rPr>
          <w:rFonts w:ascii="Palatino Linotype" w:hAnsi="Palatino Linotype"/>
          <w:sz w:val="22"/>
          <w:lang w:val="es-ES_tradnl" w:eastAsia="es-ES"/>
        </w:rPr>
      </w:pPr>
      <w:r w:rsidRPr="00166794">
        <w:rPr>
          <w:rFonts w:ascii="Palatino Linotype" w:hAnsi="Palatino Linotype"/>
          <w:i/>
          <w:sz w:val="22"/>
        </w:rPr>
        <w:t>(…)</w:t>
      </w:r>
      <w:r w:rsidRPr="00166794">
        <w:rPr>
          <w:rFonts w:ascii="Palatino Linotype" w:hAnsi="Palatino Linotype"/>
          <w:sz w:val="22"/>
          <w:lang w:val="es-ES_tradnl" w:eastAsia="es-ES"/>
        </w:rPr>
        <w:t>”.</w:t>
      </w:r>
    </w:p>
    <w:p w:rsidR="00D771ED" w:rsidRPr="00166794" w:rsidRDefault="00D771ED" w:rsidP="009B6FD5">
      <w:pPr>
        <w:spacing w:line="360" w:lineRule="auto"/>
        <w:ind w:left="567" w:right="567"/>
        <w:contextualSpacing/>
        <w:jc w:val="both"/>
        <w:rPr>
          <w:rFonts w:ascii="Palatino Linotype" w:hAnsi="Palatino Linotype"/>
          <w:b/>
          <w:sz w:val="22"/>
          <w:lang w:val="es-ES_tradnl" w:eastAsia="es-ES"/>
        </w:rPr>
      </w:pPr>
      <w:r w:rsidRPr="00166794">
        <w:rPr>
          <w:rFonts w:ascii="Palatino Linotype" w:hAnsi="Palatino Linotype"/>
          <w:b/>
          <w:i/>
          <w:sz w:val="22"/>
        </w:rPr>
        <w:lastRenderedPageBreak/>
        <w:t>(Énfasis Añadido)</w:t>
      </w:r>
    </w:p>
    <w:p w:rsidR="00D771ED" w:rsidRPr="00166794" w:rsidRDefault="00D771ED" w:rsidP="009B6FD5">
      <w:pPr>
        <w:spacing w:line="360" w:lineRule="auto"/>
        <w:ind w:right="49"/>
        <w:contextualSpacing/>
        <w:jc w:val="both"/>
        <w:rPr>
          <w:rFonts w:ascii="Palatino Linotype" w:eastAsiaTheme="minorEastAsia" w:hAnsi="Palatino Linotype"/>
          <w:lang w:val="es-ES_tradnl" w:eastAsia="es-ES"/>
        </w:rPr>
      </w:pPr>
    </w:p>
    <w:p w:rsidR="00D771ED" w:rsidRPr="00166794" w:rsidRDefault="00D771ED" w:rsidP="009B6FD5">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166794">
        <w:rPr>
          <w:rFonts w:ascii="Palatino Linotype" w:hAnsi="Palatino Linotype"/>
          <w:lang w:val="es-ES_tradnl" w:eastAsia="es-ES"/>
        </w:rPr>
        <w:t>Por lo anterior, se deduce que el Derecho de Acceso a la Información Pública es un Derecho Humano de Fuente Internacional y Constitucionalmente reconocido. Además del derecho, también se reconocen garantías para su protección, lo que vincula con el mandato del párrafo tercero de mismo artículo.</w:t>
      </w:r>
    </w:p>
    <w:p w:rsidR="00D771ED" w:rsidRPr="00166794" w:rsidRDefault="00D771ED" w:rsidP="009B6FD5">
      <w:pPr>
        <w:spacing w:line="360" w:lineRule="auto"/>
        <w:ind w:right="49"/>
        <w:contextualSpacing/>
        <w:jc w:val="both"/>
        <w:rPr>
          <w:rFonts w:ascii="Palatino Linotype" w:eastAsiaTheme="minorEastAsia" w:hAnsi="Palatino Linotype"/>
          <w:lang w:val="es-ES_tradnl" w:eastAsia="es-ES"/>
        </w:rPr>
      </w:pPr>
    </w:p>
    <w:p w:rsidR="00D771ED" w:rsidRPr="00166794" w:rsidRDefault="00D771ED" w:rsidP="009B6FD5">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166794">
        <w:rPr>
          <w:rFonts w:ascii="Palatino Linotype" w:eastAsiaTheme="minorEastAsia" w:hAnsi="Palatino Linotype"/>
          <w:lang w:val="es-ES_tradnl" w:eastAsia="es-ES"/>
        </w:rPr>
        <w:t xml:space="preserve">Así, conforme a la Constitución Política de las Estado Unidos Mexicanos </w:t>
      </w:r>
      <w:r w:rsidRPr="00166794">
        <w:rPr>
          <w:rFonts w:ascii="Palatino Linotype" w:eastAsia="Calibri" w:hAnsi="Palatino Linotype"/>
          <w:lang w:val="es-ES_tradnl" w:eastAsia="es-ES"/>
        </w:rPr>
        <w:t>y la Constitución Política del Estado Libre y Soberano de México respectivamente</w:t>
      </w:r>
      <w:r w:rsidRPr="00166794">
        <w:rPr>
          <w:rFonts w:ascii="Palatino Linotype" w:eastAsiaTheme="minorEastAsia" w:hAnsi="Palatino Linotype"/>
          <w:lang w:val="es-ES_tradnl" w:eastAsia="es-ES"/>
        </w:rPr>
        <w:t>, el cumplimiento de las garantías primarias, entendidas como obligaciones inmediatamente relacionadas con el Derecho de Acceso a la Información Pública, permiten que todas las autoridades, en el ámbito de sus atribuciones lo respeten, protejan y garanticen.</w:t>
      </w:r>
    </w:p>
    <w:p w:rsidR="00D771ED" w:rsidRPr="00166794" w:rsidRDefault="00D771ED" w:rsidP="009B6FD5">
      <w:pPr>
        <w:spacing w:line="360" w:lineRule="auto"/>
        <w:ind w:right="49"/>
        <w:contextualSpacing/>
        <w:jc w:val="both"/>
        <w:rPr>
          <w:rFonts w:ascii="Palatino Linotype" w:eastAsiaTheme="minorEastAsia" w:hAnsi="Palatino Linotype"/>
          <w:lang w:val="es-ES_tradnl" w:eastAsia="es-ES"/>
        </w:rPr>
      </w:pPr>
    </w:p>
    <w:p w:rsidR="00D771ED" w:rsidRPr="00166794" w:rsidRDefault="00D771ED" w:rsidP="009B6FD5">
      <w:pPr>
        <w:spacing w:line="360" w:lineRule="auto"/>
        <w:ind w:left="567" w:right="567"/>
        <w:jc w:val="center"/>
        <w:rPr>
          <w:rFonts w:ascii="Palatino Linotype" w:eastAsiaTheme="minorEastAsia" w:hAnsi="Palatino Linotype" w:cs="Arial"/>
          <w:b/>
          <w:bCs/>
          <w:i/>
          <w:sz w:val="22"/>
          <w:lang w:val="es-ES_tradnl" w:eastAsia="es-ES"/>
        </w:rPr>
      </w:pPr>
      <w:r w:rsidRPr="00166794">
        <w:rPr>
          <w:rFonts w:ascii="Palatino Linotype" w:eastAsiaTheme="minorEastAsia" w:hAnsi="Palatino Linotype" w:cs="Arial"/>
          <w:b/>
          <w:bCs/>
          <w:i/>
          <w:sz w:val="22"/>
          <w:lang w:val="es-ES_tradnl" w:eastAsia="es-ES"/>
        </w:rPr>
        <w:t>Constitución Política de los Estados Unidos Mexicanos</w:t>
      </w:r>
    </w:p>
    <w:p w:rsidR="00D771ED" w:rsidRPr="00166794" w:rsidRDefault="00D771ED" w:rsidP="009B6FD5">
      <w:pPr>
        <w:spacing w:line="360" w:lineRule="auto"/>
        <w:ind w:left="567" w:right="567"/>
        <w:jc w:val="both"/>
        <w:rPr>
          <w:rFonts w:ascii="Palatino Linotype" w:eastAsiaTheme="minorEastAsia" w:hAnsi="Palatino Linotype" w:cs="Arial"/>
          <w:b/>
          <w:bCs/>
          <w:i/>
          <w:sz w:val="22"/>
          <w:lang w:val="es-ES_tradnl" w:eastAsia="es-ES"/>
        </w:rPr>
      </w:pPr>
      <w:r w:rsidRPr="00166794">
        <w:rPr>
          <w:rFonts w:ascii="Palatino Linotype" w:eastAsiaTheme="minorEastAsia" w:hAnsi="Palatino Linotype" w:cs="Arial"/>
          <w:b/>
          <w:bCs/>
          <w:i/>
          <w:sz w:val="22"/>
          <w:lang w:val="es-ES_tradnl" w:eastAsia="es-ES"/>
        </w:rPr>
        <w:t>“Artículo 6.</w:t>
      </w:r>
      <w:r w:rsidRPr="00166794">
        <w:rPr>
          <w:rFonts w:ascii="Palatino Linotype" w:eastAsiaTheme="minorEastAsia" w:hAnsi="Palatino Linotype" w:cs="Arial"/>
          <w:bCs/>
          <w:i/>
          <w:sz w:val="22"/>
          <w:lang w:val="es-ES_tradnl" w:eastAsia="es-ES"/>
        </w:rPr>
        <w:t xml:space="preserve"> …</w:t>
      </w:r>
    </w:p>
    <w:p w:rsidR="00D771ED" w:rsidRPr="00166794" w:rsidRDefault="00D771ED" w:rsidP="009B6FD5">
      <w:pPr>
        <w:spacing w:line="360" w:lineRule="auto"/>
        <w:ind w:left="567" w:right="567"/>
        <w:jc w:val="both"/>
        <w:rPr>
          <w:rFonts w:ascii="Palatino Linotype" w:eastAsiaTheme="minorEastAsia" w:hAnsi="Palatino Linotype" w:cs="Arial"/>
          <w:bCs/>
          <w:i/>
          <w:sz w:val="22"/>
          <w:lang w:val="es-ES_tradnl" w:eastAsia="es-ES"/>
        </w:rPr>
      </w:pPr>
      <w:r w:rsidRPr="00166794">
        <w:rPr>
          <w:rFonts w:ascii="Palatino Linotype" w:eastAsiaTheme="minorEastAsia" w:hAnsi="Palatino Linotype" w:cs="Arial"/>
          <w:bCs/>
          <w:i/>
          <w:sz w:val="22"/>
          <w:lang w:val="es-ES_tradnl" w:eastAsia="es-ES"/>
        </w:rPr>
        <w:t>…</w:t>
      </w:r>
    </w:p>
    <w:p w:rsidR="00D771ED" w:rsidRPr="00166794" w:rsidRDefault="00D771ED" w:rsidP="009B6FD5">
      <w:pPr>
        <w:spacing w:line="360" w:lineRule="auto"/>
        <w:ind w:left="567" w:right="567"/>
        <w:jc w:val="both"/>
        <w:rPr>
          <w:rFonts w:ascii="Palatino Linotype" w:eastAsiaTheme="minorEastAsia" w:hAnsi="Palatino Linotype" w:cs="Arial"/>
          <w:bCs/>
          <w:i/>
          <w:sz w:val="22"/>
          <w:lang w:val="es-ES_tradnl" w:eastAsia="es-ES"/>
        </w:rPr>
      </w:pPr>
      <w:r w:rsidRPr="00166794">
        <w:rPr>
          <w:rFonts w:ascii="Palatino Linotype" w:eastAsiaTheme="minorEastAsia" w:hAnsi="Palatino Linotype" w:cs="Arial"/>
          <w:bCs/>
          <w:i/>
          <w:sz w:val="22"/>
          <w:lang w:val="es-ES_tradnl" w:eastAsia="es-ES"/>
        </w:rPr>
        <w:t>Para efectos de lo dispuesto en el presente artículo se observará lo siguiente:</w:t>
      </w:r>
    </w:p>
    <w:p w:rsidR="00D771ED" w:rsidRPr="00166794" w:rsidRDefault="00D771ED" w:rsidP="009B6FD5">
      <w:pPr>
        <w:spacing w:line="360" w:lineRule="auto"/>
        <w:ind w:left="567" w:right="567"/>
        <w:jc w:val="both"/>
        <w:rPr>
          <w:rFonts w:ascii="Palatino Linotype" w:eastAsiaTheme="minorEastAsia" w:hAnsi="Palatino Linotype" w:cs="Arial"/>
          <w:b/>
          <w:bCs/>
          <w:i/>
          <w:sz w:val="22"/>
          <w:lang w:val="es-ES_tradnl" w:eastAsia="es-ES"/>
        </w:rPr>
      </w:pPr>
      <w:r w:rsidRPr="00166794">
        <w:rPr>
          <w:rFonts w:ascii="Palatino Linotype" w:eastAsiaTheme="minorEastAsia" w:hAnsi="Palatino Linotype" w:cs="Arial"/>
          <w:b/>
          <w:bCs/>
          <w:i/>
          <w:sz w:val="22"/>
          <w:lang w:val="es-ES_tradnl" w:eastAsia="es-ES"/>
        </w:rPr>
        <w:t>A</w:t>
      </w:r>
      <w:r w:rsidRPr="00166794">
        <w:rPr>
          <w:rFonts w:ascii="Palatino Linotype" w:eastAsiaTheme="minorEastAsia" w:hAnsi="Palatino Linotype" w:cs="Arial"/>
          <w:bCs/>
          <w:i/>
          <w:sz w:val="22"/>
          <w:lang w:val="es-ES_tradnl" w:eastAsia="es-ES"/>
        </w:rPr>
        <w:t xml:space="preserve">. </w:t>
      </w:r>
      <w:r w:rsidRPr="00166794">
        <w:rPr>
          <w:rFonts w:ascii="Palatino Linotype" w:eastAsiaTheme="minorEastAsia" w:hAnsi="Palatino Linotype" w:cs="Arial"/>
          <w:b/>
          <w:bCs/>
          <w:i/>
          <w:sz w:val="22"/>
          <w:lang w:val="es-ES_tradnl" w:eastAsia="es-ES"/>
        </w:rPr>
        <w:t>Para el ejercicio del derecho de acceso a la información</w:t>
      </w:r>
      <w:r w:rsidRPr="00166794">
        <w:rPr>
          <w:rFonts w:ascii="Palatino Linotype" w:eastAsiaTheme="minorEastAsia" w:hAnsi="Palatino Linotype" w:cs="Arial"/>
          <w:bCs/>
          <w:i/>
          <w:sz w:val="22"/>
          <w:lang w:val="es-ES_tradnl" w:eastAsia="es-ES"/>
        </w:rPr>
        <w:t xml:space="preserve">, la Federación y </w:t>
      </w:r>
      <w:r w:rsidRPr="00166794">
        <w:rPr>
          <w:rFonts w:ascii="Palatino Linotype" w:eastAsiaTheme="minorEastAsia" w:hAnsi="Palatino Linotype" w:cs="Arial"/>
          <w:b/>
          <w:bCs/>
          <w:i/>
          <w:sz w:val="22"/>
          <w:lang w:val="es-ES_tradnl" w:eastAsia="es-ES"/>
        </w:rPr>
        <w:t>las entidades federativas, en el ámbito de sus respectivas competencias, se regirán por los siguientes principios y bases:</w:t>
      </w:r>
    </w:p>
    <w:p w:rsidR="00D771ED" w:rsidRPr="00166794" w:rsidRDefault="00D771ED" w:rsidP="009B6FD5">
      <w:pPr>
        <w:spacing w:line="360" w:lineRule="auto"/>
        <w:ind w:left="567" w:right="567"/>
        <w:jc w:val="both"/>
        <w:rPr>
          <w:rFonts w:ascii="Palatino Linotype" w:eastAsiaTheme="minorEastAsia" w:hAnsi="Palatino Linotype" w:cs="Arial"/>
          <w:bCs/>
          <w:i/>
          <w:sz w:val="22"/>
          <w:lang w:val="es-ES_tradnl" w:eastAsia="es-ES"/>
        </w:rPr>
      </w:pPr>
      <w:r w:rsidRPr="00166794">
        <w:rPr>
          <w:rFonts w:ascii="Palatino Linotype" w:eastAsiaTheme="minorEastAsia" w:hAnsi="Palatino Linotype" w:cs="Arial"/>
          <w:b/>
          <w:bCs/>
          <w:i/>
          <w:sz w:val="22"/>
          <w:lang w:val="es-ES_tradnl" w:eastAsia="es-ES"/>
        </w:rPr>
        <w:t xml:space="preserve">I. </w:t>
      </w:r>
      <w:r w:rsidRPr="00166794">
        <w:rPr>
          <w:rFonts w:ascii="Palatino Linotype" w:eastAsiaTheme="minorEastAsia" w:hAnsi="Palatino Linotype" w:cs="Arial"/>
          <w:b/>
          <w:bCs/>
          <w:i/>
          <w:sz w:val="22"/>
          <w:lang w:val="es-ES_tradnl" w:eastAsia="es-ES"/>
        </w:rPr>
        <w:tab/>
        <w:t>Toda la información en posesión de cualquier</w:t>
      </w:r>
      <w:r w:rsidRPr="00166794">
        <w:rPr>
          <w:rFonts w:ascii="Palatino Linotype" w:eastAsiaTheme="minorEastAsia" w:hAnsi="Palatino Linotype" w:cs="Arial"/>
          <w:bCs/>
          <w:i/>
          <w:sz w:val="22"/>
          <w:lang w:val="es-ES_tradnl" w:eastAsia="es-ES"/>
        </w:rPr>
        <w:t xml:space="preserve"> </w:t>
      </w:r>
      <w:r w:rsidRPr="00166794">
        <w:rPr>
          <w:rFonts w:ascii="Palatino Linotype" w:eastAsiaTheme="minorEastAsia" w:hAnsi="Palatino Linotype" w:cs="Arial"/>
          <w:b/>
          <w:bCs/>
          <w:i/>
          <w:sz w:val="22"/>
          <w:lang w:val="es-ES_tradnl" w:eastAsia="es-ES"/>
        </w:rPr>
        <w:t>autoridad</w:t>
      </w:r>
      <w:r w:rsidRPr="00166794">
        <w:rPr>
          <w:rFonts w:ascii="Palatino Linotype" w:eastAsiaTheme="minorEastAsia" w:hAnsi="Palatino Linotype" w:cs="Arial"/>
          <w:bCs/>
          <w:i/>
          <w:sz w:val="22"/>
          <w:lang w:val="es-ES_tradnl" w:eastAsia="es-ES"/>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sidRPr="00166794">
        <w:rPr>
          <w:rFonts w:ascii="Palatino Linotype" w:eastAsiaTheme="minorEastAsia" w:hAnsi="Palatino Linotype" w:cs="Arial"/>
          <w:b/>
          <w:bCs/>
          <w:i/>
          <w:sz w:val="22"/>
          <w:lang w:val="es-ES_tradnl" w:eastAsia="es-ES"/>
        </w:rPr>
        <w:t>municipal</w:t>
      </w:r>
      <w:r w:rsidRPr="00166794">
        <w:rPr>
          <w:rFonts w:ascii="Palatino Linotype" w:eastAsiaTheme="minorEastAsia" w:hAnsi="Palatino Linotype" w:cs="Arial"/>
          <w:bCs/>
          <w:i/>
          <w:sz w:val="22"/>
          <w:lang w:val="es-ES_tradnl" w:eastAsia="es-ES"/>
        </w:rPr>
        <w:t xml:space="preserve">, </w:t>
      </w:r>
      <w:r w:rsidRPr="00166794">
        <w:rPr>
          <w:rFonts w:ascii="Palatino Linotype" w:eastAsiaTheme="minorEastAsia" w:hAnsi="Palatino Linotype" w:cs="Arial"/>
          <w:b/>
          <w:bCs/>
          <w:i/>
          <w:sz w:val="22"/>
          <w:lang w:val="es-ES_tradnl" w:eastAsia="es-ES"/>
        </w:rPr>
        <w:t>es pública</w:t>
      </w:r>
      <w:r w:rsidRPr="00166794">
        <w:rPr>
          <w:rFonts w:ascii="Palatino Linotype" w:eastAsiaTheme="minorEastAsia" w:hAnsi="Palatino Linotype" w:cs="Arial"/>
          <w:bCs/>
          <w:i/>
          <w:sz w:val="22"/>
          <w:lang w:val="es-ES_tradnl" w:eastAsia="es-ES"/>
        </w:rPr>
        <w:t xml:space="preserve"> y sólo podrá ser reservada temporalmente por </w:t>
      </w:r>
      <w:r w:rsidRPr="00166794">
        <w:rPr>
          <w:rFonts w:ascii="Palatino Linotype" w:eastAsiaTheme="minorEastAsia" w:hAnsi="Palatino Linotype" w:cs="Arial"/>
          <w:bCs/>
          <w:i/>
          <w:sz w:val="22"/>
          <w:lang w:val="es-ES_tradnl" w:eastAsia="es-ES"/>
        </w:rPr>
        <w:lastRenderedPageBreak/>
        <w:t xml:space="preserve">razones de interés público y seguridad nacional, en los términos que fijen las leyes. </w:t>
      </w:r>
      <w:r w:rsidRPr="00166794">
        <w:rPr>
          <w:rFonts w:ascii="Palatino Linotype" w:eastAsiaTheme="minorEastAsia" w:hAnsi="Palatino Linotype" w:cs="Arial"/>
          <w:b/>
          <w:bCs/>
          <w:i/>
          <w:sz w:val="22"/>
          <w:lang w:val="es-ES_tradnl" w:eastAsia="es-ES"/>
        </w:rPr>
        <w:t>En la interpretación de este derecho deberá prevalecer el principio de máxima publicidad. Los sujetos obligados deberán documentar todo acto que derive del ejercicio de sus facultades, competencias o funciones</w:t>
      </w:r>
      <w:r w:rsidRPr="00166794">
        <w:rPr>
          <w:rFonts w:ascii="Palatino Linotype" w:eastAsiaTheme="minorEastAsia" w:hAnsi="Palatino Linotype" w:cs="Arial"/>
          <w:bCs/>
          <w:i/>
          <w:sz w:val="22"/>
          <w:lang w:val="es-ES_tradnl" w:eastAsia="es-ES"/>
        </w:rPr>
        <w:t>, la ley determinará los supuestos específicos bajo los cuales procederá la declaración de inexistencia de la información.”</w:t>
      </w:r>
    </w:p>
    <w:p w:rsidR="00D771ED" w:rsidRPr="00166794" w:rsidRDefault="00D771ED" w:rsidP="009B6FD5">
      <w:pPr>
        <w:pStyle w:val="Prrafodelista"/>
        <w:tabs>
          <w:tab w:val="left" w:pos="567"/>
        </w:tabs>
        <w:spacing w:line="360" w:lineRule="auto"/>
        <w:ind w:left="567" w:right="567"/>
        <w:jc w:val="both"/>
        <w:rPr>
          <w:rFonts w:ascii="Palatino Linotype" w:hAnsi="Palatino Linotype" w:cs="Arial"/>
          <w:b/>
          <w:bCs/>
          <w:i/>
        </w:rPr>
      </w:pPr>
      <w:r w:rsidRPr="00166794">
        <w:rPr>
          <w:rFonts w:ascii="Palatino Linotype" w:hAnsi="Palatino Linotype" w:cs="Arial"/>
          <w:b/>
          <w:bCs/>
          <w:i/>
        </w:rPr>
        <w:t>(Énfasis añadido)</w:t>
      </w:r>
    </w:p>
    <w:p w:rsidR="00D771ED" w:rsidRPr="00166794" w:rsidRDefault="00D771ED" w:rsidP="009B6FD5">
      <w:pPr>
        <w:pStyle w:val="Prrafodelista"/>
        <w:tabs>
          <w:tab w:val="left" w:pos="567"/>
        </w:tabs>
        <w:spacing w:line="360" w:lineRule="auto"/>
        <w:ind w:left="567" w:right="567"/>
        <w:jc w:val="both"/>
        <w:rPr>
          <w:rFonts w:ascii="Palatino Linotype" w:hAnsi="Palatino Linotype" w:cs="Arial"/>
          <w:b/>
          <w:bCs/>
          <w:i/>
        </w:rPr>
      </w:pPr>
    </w:p>
    <w:p w:rsidR="00D771ED" w:rsidRPr="00166794" w:rsidRDefault="00D771ED" w:rsidP="009B6FD5">
      <w:pPr>
        <w:spacing w:line="360" w:lineRule="auto"/>
        <w:ind w:left="567" w:right="567"/>
        <w:jc w:val="center"/>
        <w:rPr>
          <w:rFonts w:ascii="Palatino Linotype" w:eastAsiaTheme="minorEastAsia" w:hAnsi="Palatino Linotype" w:cs="Arial"/>
          <w:b/>
          <w:bCs/>
          <w:i/>
          <w:sz w:val="22"/>
          <w:lang w:val="es-ES_tradnl" w:eastAsia="es-ES"/>
        </w:rPr>
      </w:pPr>
      <w:r w:rsidRPr="00166794">
        <w:rPr>
          <w:rFonts w:ascii="Palatino Linotype" w:eastAsiaTheme="minorEastAsia" w:hAnsi="Palatino Linotype" w:cs="Arial"/>
          <w:b/>
          <w:bCs/>
          <w:i/>
          <w:sz w:val="22"/>
          <w:lang w:val="es-ES_tradnl" w:eastAsia="es-ES"/>
        </w:rPr>
        <w:t>Constitución Política del Estado Libre y Soberano de México</w:t>
      </w:r>
    </w:p>
    <w:p w:rsidR="00D771ED" w:rsidRPr="00166794" w:rsidRDefault="00D771ED" w:rsidP="009B6FD5">
      <w:pPr>
        <w:spacing w:line="360" w:lineRule="auto"/>
        <w:ind w:left="567" w:right="567"/>
        <w:jc w:val="both"/>
        <w:rPr>
          <w:rFonts w:ascii="Palatino Linotype" w:eastAsiaTheme="minorEastAsia" w:hAnsi="Palatino Linotype" w:cs="Arial"/>
          <w:bCs/>
          <w:i/>
          <w:sz w:val="22"/>
          <w:lang w:val="es-ES_tradnl" w:eastAsia="es-ES"/>
        </w:rPr>
      </w:pPr>
      <w:r w:rsidRPr="00166794">
        <w:rPr>
          <w:rFonts w:ascii="Palatino Linotype" w:eastAsiaTheme="minorEastAsia" w:hAnsi="Palatino Linotype" w:cs="Arial"/>
          <w:b/>
          <w:bCs/>
          <w:i/>
          <w:sz w:val="22"/>
          <w:lang w:val="es-ES_tradnl" w:eastAsia="es-ES"/>
        </w:rPr>
        <w:t>“Artículo 5</w:t>
      </w:r>
      <w:r w:rsidRPr="00166794">
        <w:rPr>
          <w:rFonts w:ascii="Palatino Linotype" w:eastAsiaTheme="minorEastAsia" w:hAnsi="Palatino Linotype" w:cs="Arial"/>
          <w:bCs/>
          <w:i/>
          <w:sz w:val="22"/>
          <w:lang w:val="es-ES_tradnl" w:eastAsia="es-ES"/>
        </w:rPr>
        <w:t>.- …</w:t>
      </w:r>
    </w:p>
    <w:p w:rsidR="00D771ED" w:rsidRPr="00166794" w:rsidRDefault="00D771ED" w:rsidP="009B6FD5">
      <w:pPr>
        <w:spacing w:line="360" w:lineRule="auto"/>
        <w:ind w:left="567" w:right="567"/>
        <w:jc w:val="both"/>
        <w:rPr>
          <w:rFonts w:ascii="Palatino Linotype" w:eastAsiaTheme="minorEastAsia" w:hAnsi="Palatino Linotype" w:cs="Arial"/>
          <w:bCs/>
          <w:i/>
          <w:sz w:val="22"/>
          <w:lang w:val="es-ES_tradnl" w:eastAsia="es-ES"/>
        </w:rPr>
      </w:pPr>
      <w:r w:rsidRPr="00166794">
        <w:rPr>
          <w:rFonts w:ascii="Palatino Linotype" w:eastAsiaTheme="minorEastAsia" w:hAnsi="Palatino Linotype" w:cs="Arial"/>
          <w:bCs/>
          <w:i/>
          <w:sz w:val="22"/>
          <w:lang w:val="es-ES_tradnl" w:eastAsia="es-ES"/>
        </w:rPr>
        <w:t>…</w:t>
      </w:r>
    </w:p>
    <w:p w:rsidR="00D771ED" w:rsidRPr="00166794" w:rsidRDefault="00D771ED" w:rsidP="009B6FD5">
      <w:pPr>
        <w:spacing w:line="360" w:lineRule="auto"/>
        <w:ind w:left="567" w:right="567"/>
        <w:jc w:val="both"/>
        <w:rPr>
          <w:rFonts w:ascii="Palatino Linotype" w:eastAsiaTheme="minorEastAsia" w:hAnsi="Palatino Linotype" w:cs="Arial"/>
          <w:bCs/>
          <w:i/>
          <w:sz w:val="22"/>
          <w:lang w:val="es-ES_tradnl" w:eastAsia="es-ES"/>
        </w:rPr>
      </w:pPr>
      <w:r w:rsidRPr="00166794">
        <w:rPr>
          <w:rFonts w:ascii="Palatino Linotype" w:eastAsiaTheme="minorEastAsia" w:hAnsi="Palatino Linotype" w:cs="Arial"/>
          <w:b/>
          <w:bCs/>
          <w:i/>
          <w:sz w:val="22"/>
          <w:lang w:val="es-ES_tradnl" w:eastAsia="es-ES"/>
        </w:rPr>
        <w:t>El derecho a la información será garantizado por el Estado. La ley establecerá las previsiones que permitan asegurar la protección, el respeto y la difusión de este derecho</w:t>
      </w:r>
      <w:r w:rsidRPr="00166794">
        <w:rPr>
          <w:rFonts w:ascii="Palatino Linotype" w:eastAsiaTheme="minorEastAsia" w:hAnsi="Palatino Linotype" w:cs="Arial"/>
          <w:bCs/>
          <w:i/>
          <w:sz w:val="22"/>
          <w:lang w:val="es-ES_tradnl" w:eastAsia="es-ES"/>
        </w:rPr>
        <w:t>.</w:t>
      </w:r>
    </w:p>
    <w:p w:rsidR="00D771ED" w:rsidRPr="00166794" w:rsidRDefault="00D771ED" w:rsidP="009B6FD5">
      <w:pPr>
        <w:spacing w:line="360" w:lineRule="auto"/>
        <w:ind w:left="567" w:right="567"/>
        <w:jc w:val="both"/>
        <w:rPr>
          <w:rFonts w:ascii="Palatino Linotype" w:eastAsiaTheme="minorEastAsia" w:hAnsi="Palatino Linotype" w:cs="Arial"/>
          <w:bCs/>
          <w:i/>
          <w:sz w:val="22"/>
          <w:lang w:val="es-ES_tradnl" w:eastAsia="es-ES"/>
        </w:rPr>
      </w:pPr>
      <w:r w:rsidRPr="00166794">
        <w:rPr>
          <w:rFonts w:ascii="Palatino Linotype" w:eastAsiaTheme="minorEastAsia" w:hAnsi="Palatino Linotype" w:cs="Arial"/>
          <w:bCs/>
          <w:i/>
          <w:sz w:val="22"/>
          <w:lang w:val="es-ES_tradnl" w:eastAsia="es-ES"/>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rsidR="00D771ED" w:rsidRPr="00166794" w:rsidRDefault="00D771ED" w:rsidP="009B6FD5">
      <w:pPr>
        <w:spacing w:line="360" w:lineRule="auto"/>
        <w:ind w:left="567" w:right="567"/>
        <w:jc w:val="both"/>
        <w:rPr>
          <w:rFonts w:ascii="Palatino Linotype" w:eastAsiaTheme="minorEastAsia" w:hAnsi="Palatino Linotype" w:cs="Arial"/>
          <w:bCs/>
          <w:i/>
          <w:sz w:val="22"/>
          <w:lang w:val="es-ES_tradnl" w:eastAsia="es-ES"/>
        </w:rPr>
      </w:pPr>
      <w:r w:rsidRPr="00166794">
        <w:rPr>
          <w:rFonts w:ascii="Palatino Linotype" w:eastAsiaTheme="minorEastAsia" w:hAnsi="Palatino Linotype" w:cs="Arial"/>
          <w:b/>
          <w:bCs/>
          <w:i/>
          <w:sz w:val="22"/>
          <w:lang w:val="es-ES_tradnl" w:eastAsia="es-ES"/>
        </w:rPr>
        <w:t>Este derecho se regirá por los principios y bases siguientes</w:t>
      </w:r>
      <w:r w:rsidRPr="00166794">
        <w:rPr>
          <w:rFonts w:ascii="Palatino Linotype" w:eastAsiaTheme="minorEastAsia" w:hAnsi="Palatino Linotype" w:cs="Arial"/>
          <w:bCs/>
          <w:i/>
          <w:sz w:val="22"/>
          <w:lang w:val="es-ES_tradnl" w:eastAsia="es-ES"/>
        </w:rPr>
        <w:t>:</w:t>
      </w:r>
    </w:p>
    <w:p w:rsidR="00D771ED" w:rsidRPr="00166794" w:rsidRDefault="00D771ED" w:rsidP="009B6FD5">
      <w:pPr>
        <w:spacing w:line="360" w:lineRule="auto"/>
        <w:ind w:left="567" w:right="567"/>
        <w:jc w:val="both"/>
        <w:rPr>
          <w:rFonts w:ascii="Palatino Linotype" w:eastAsiaTheme="minorEastAsia" w:hAnsi="Palatino Linotype" w:cs="Arial"/>
          <w:bCs/>
          <w:i/>
          <w:sz w:val="22"/>
          <w:lang w:val="es-ES_tradnl" w:eastAsia="es-ES"/>
        </w:rPr>
      </w:pPr>
      <w:r w:rsidRPr="00166794">
        <w:rPr>
          <w:rFonts w:ascii="Palatino Linotype" w:eastAsiaTheme="minorEastAsia" w:hAnsi="Palatino Linotype" w:cs="Arial"/>
          <w:b/>
          <w:bCs/>
          <w:i/>
          <w:sz w:val="22"/>
          <w:lang w:val="es-ES_tradnl" w:eastAsia="es-ES"/>
        </w:rPr>
        <w:t>I. Toda la información en posesión de cualquier autoridad, entidad, órgano y organismos de los</w:t>
      </w:r>
      <w:r w:rsidRPr="00166794">
        <w:rPr>
          <w:rFonts w:ascii="Palatino Linotype" w:eastAsiaTheme="minorEastAsia" w:hAnsi="Palatino Linotype" w:cs="Arial"/>
          <w:bCs/>
          <w:i/>
          <w:sz w:val="22"/>
          <w:lang w:val="es-ES_tradnl" w:eastAsia="es-ES"/>
        </w:rPr>
        <w:t xml:space="preserve"> Poderes Ejecutivo, Legislativo y Judicial, órganos autónomos, partidos políticos, fideicomisos y fondos públicos estatales y </w:t>
      </w:r>
      <w:r w:rsidRPr="00166794">
        <w:rPr>
          <w:rFonts w:ascii="Palatino Linotype" w:eastAsiaTheme="minorEastAsia" w:hAnsi="Palatino Linotype" w:cs="Arial"/>
          <w:b/>
          <w:bCs/>
          <w:i/>
          <w:sz w:val="22"/>
          <w:lang w:val="es-ES_tradnl" w:eastAsia="es-ES"/>
        </w:rPr>
        <w:t>municipales</w:t>
      </w:r>
      <w:r w:rsidRPr="00166794">
        <w:rPr>
          <w:rFonts w:ascii="Palatino Linotype" w:eastAsiaTheme="minorEastAsia" w:hAnsi="Palatino Linotype" w:cs="Arial"/>
          <w:bCs/>
          <w:i/>
          <w:sz w:val="22"/>
          <w:lang w:val="es-ES_tradnl" w:eastAsia="es-ES"/>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166794">
        <w:rPr>
          <w:rFonts w:ascii="Palatino Linotype" w:eastAsiaTheme="minorEastAsia" w:hAnsi="Palatino Linotype" w:cs="Arial"/>
          <w:b/>
          <w:bCs/>
          <w:i/>
          <w:sz w:val="22"/>
          <w:lang w:val="es-ES_tradnl" w:eastAsia="es-ES"/>
        </w:rPr>
        <w:t>es pública</w:t>
      </w:r>
      <w:r w:rsidRPr="00166794">
        <w:rPr>
          <w:rFonts w:ascii="Palatino Linotype" w:eastAsiaTheme="minorEastAsia" w:hAnsi="Palatino Linotype" w:cs="Arial"/>
          <w:bCs/>
          <w:i/>
          <w:sz w:val="22"/>
          <w:lang w:val="es-ES_tradnl" w:eastAsia="es-ES"/>
        </w:rPr>
        <w:t xml:space="preserve"> y sólo podrá ser reservada temporalmente por razones previstas en la Constitución Política de los Estados Unidos Mexicanos de interés público y seguridad, en los términos que fijen las leyes. </w:t>
      </w:r>
      <w:r w:rsidRPr="00166794">
        <w:rPr>
          <w:rFonts w:ascii="Palatino Linotype" w:eastAsiaTheme="minorEastAsia" w:hAnsi="Palatino Linotype" w:cs="Arial"/>
          <w:b/>
          <w:bCs/>
          <w:i/>
          <w:sz w:val="22"/>
          <w:lang w:val="es-ES_tradnl" w:eastAsia="es-ES"/>
        </w:rPr>
        <w:t xml:space="preserve">En la interpretación de este derecho deberá prevalecer el principio de máxima </w:t>
      </w:r>
      <w:r w:rsidRPr="00166794">
        <w:rPr>
          <w:rFonts w:ascii="Palatino Linotype" w:eastAsiaTheme="minorEastAsia" w:hAnsi="Palatino Linotype" w:cs="Arial"/>
          <w:b/>
          <w:bCs/>
          <w:i/>
          <w:sz w:val="22"/>
          <w:lang w:val="es-ES_tradnl" w:eastAsia="es-ES"/>
        </w:rPr>
        <w:lastRenderedPageBreak/>
        <w:t>publicidad</w:t>
      </w:r>
      <w:r w:rsidRPr="00166794">
        <w:rPr>
          <w:rFonts w:ascii="Palatino Linotype" w:eastAsiaTheme="minorEastAsia" w:hAnsi="Palatino Linotype" w:cs="Arial"/>
          <w:bCs/>
          <w:i/>
          <w:sz w:val="22"/>
          <w:lang w:val="es-ES_tradnl" w:eastAsia="es-ES"/>
        </w:rPr>
        <w:t xml:space="preserve">. </w:t>
      </w:r>
      <w:r w:rsidRPr="00166794">
        <w:rPr>
          <w:rFonts w:ascii="Palatino Linotype" w:eastAsiaTheme="minorEastAsia" w:hAnsi="Palatino Linotype" w:cs="Arial"/>
          <w:b/>
          <w:bCs/>
          <w:i/>
          <w:sz w:val="22"/>
          <w:lang w:val="es-ES_tradnl" w:eastAsia="es-ES"/>
        </w:rPr>
        <w:t>Los sujetos obligados deberán documentar todo acto que derive del ejercicio de sus facultades, competencias o funciones</w:t>
      </w:r>
      <w:r w:rsidRPr="00166794">
        <w:rPr>
          <w:rFonts w:ascii="Palatino Linotype" w:eastAsiaTheme="minorEastAsia" w:hAnsi="Palatino Linotype" w:cs="Arial"/>
          <w:bCs/>
          <w:i/>
          <w:sz w:val="22"/>
          <w:lang w:val="es-ES_tradnl" w:eastAsia="es-ES"/>
        </w:rPr>
        <w:t>, la ley determinará los supuestos específicos bajo los cuales procederá la declaración de inexistencia de la información.”</w:t>
      </w:r>
    </w:p>
    <w:p w:rsidR="00D771ED" w:rsidRPr="00166794" w:rsidRDefault="00D771ED" w:rsidP="009B6FD5">
      <w:pPr>
        <w:pStyle w:val="Prrafodelista"/>
        <w:tabs>
          <w:tab w:val="left" w:pos="567"/>
        </w:tabs>
        <w:spacing w:line="360" w:lineRule="auto"/>
        <w:ind w:left="567" w:right="567"/>
        <w:jc w:val="both"/>
        <w:rPr>
          <w:rFonts w:ascii="Palatino Linotype" w:hAnsi="Palatino Linotype" w:cs="Arial"/>
          <w:b/>
          <w:bCs/>
          <w:i/>
        </w:rPr>
      </w:pPr>
      <w:r w:rsidRPr="00166794">
        <w:rPr>
          <w:rFonts w:ascii="Palatino Linotype" w:hAnsi="Palatino Linotype" w:cs="Arial"/>
          <w:b/>
          <w:bCs/>
          <w:i/>
        </w:rPr>
        <w:t>(Énfasis añadido)</w:t>
      </w:r>
    </w:p>
    <w:p w:rsidR="00D771ED" w:rsidRPr="00166794" w:rsidRDefault="00D771ED" w:rsidP="009B6FD5">
      <w:pPr>
        <w:spacing w:line="360" w:lineRule="auto"/>
        <w:ind w:right="49"/>
        <w:contextualSpacing/>
        <w:jc w:val="both"/>
        <w:rPr>
          <w:rFonts w:ascii="Palatino Linotype" w:eastAsiaTheme="minorEastAsia" w:hAnsi="Palatino Linotype"/>
          <w:lang w:val="es-ES_tradnl" w:eastAsia="es-ES"/>
        </w:rPr>
      </w:pPr>
    </w:p>
    <w:p w:rsidR="00D771ED" w:rsidRPr="00166794" w:rsidRDefault="00D771ED" w:rsidP="009B6FD5">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166794">
        <w:rPr>
          <w:rFonts w:ascii="Palatino Linotype" w:eastAsiaTheme="minorEastAsia" w:hAnsi="Palatino Linotype" w:cs="Arial"/>
          <w:lang w:val="es-ES_tradnl" w:eastAsia="es-ES"/>
        </w:rPr>
        <w:t xml:space="preserve">Según el artículo 150 de la Ley de Transparencia del Estado, la solicitud es la garantía primaria del Derecho de Acceso a la Información, además, establece que se regirá </w:t>
      </w:r>
      <w:r w:rsidRPr="00166794">
        <w:rPr>
          <w:rFonts w:ascii="Palatino Linotype" w:eastAsiaTheme="minorEastAsia" w:hAnsi="Palatino Linotype" w:cs="Arial"/>
          <w:i/>
          <w:lang w:val="es-ES_tradnl" w:eastAsia="es-ES"/>
        </w:rPr>
        <w:t>por los principios de simplicidad, rapidez gratuidad del procedimiento, auxilio y orientación a los particulares</w:t>
      </w:r>
      <w:r w:rsidRPr="00166794">
        <w:rPr>
          <w:rFonts w:ascii="Palatino Linotype" w:eastAsiaTheme="minorEastAsia" w:hAnsi="Palatino Linotype" w:cs="Arial"/>
          <w:lang w:val="es-ES_tradnl" w:eastAsia="es-ES"/>
        </w:rPr>
        <w:t>, contemplando el derecho de las personas con discapacidad y hablantes de lengua indígena.</w:t>
      </w:r>
    </w:p>
    <w:p w:rsidR="00D771ED" w:rsidRPr="00166794" w:rsidRDefault="00D771ED" w:rsidP="009B6FD5">
      <w:pPr>
        <w:spacing w:line="360" w:lineRule="auto"/>
        <w:ind w:right="49"/>
        <w:contextualSpacing/>
        <w:jc w:val="both"/>
        <w:rPr>
          <w:rFonts w:ascii="Palatino Linotype" w:eastAsiaTheme="minorEastAsia" w:hAnsi="Palatino Linotype"/>
          <w:lang w:val="es-ES_tradnl" w:eastAsia="es-ES"/>
        </w:rPr>
      </w:pPr>
    </w:p>
    <w:p w:rsidR="00D771ED" w:rsidRPr="00166794" w:rsidRDefault="00D771ED" w:rsidP="009B6FD5">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166794">
        <w:rPr>
          <w:rFonts w:ascii="Palatino Linotype" w:eastAsiaTheme="minorEastAsia" w:hAnsi="Palatino Linotype" w:cs="Arial"/>
          <w:lang w:val="es-ES_tradnl" w:eastAsia="es-ES"/>
        </w:rPr>
        <w:t xml:space="preserve">El Derecho de Acceso a la Información se garantiza y respeta oportunamente, y según lo que dispone la Ley, las </w:t>
      </w:r>
      <w:r w:rsidRPr="00166794">
        <w:rPr>
          <w:rFonts w:ascii="Palatino Linotype" w:eastAsiaTheme="minorEastAsia" w:hAnsi="Palatino Linotype" w:cs="Arial"/>
          <w:i/>
          <w:lang w:val="es-ES_tradnl" w:eastAsia="es-ES"/>
        </w:rPr>
        <w:t>solicitudes de acceso a la información</w:t>
      </w:r>
      <w:r w:rsidRPr="00166794">
        <w:rPr>
          <w:rFonts w:ascii="Palatino Linotype" w:eastAsiaTheme="minorEastAsia" w:hAnsi="Palatino Linotype" w:cs="Arial"/>
          <w:lang w:val="es-ES_tradnl" w:eastAsia="es-ES"/>
        </w:rPr>
        <w:t>.</w:t>
      </w:r>
    </w:p>
    <w:p w:rsidR="00D771ED" w:rsidRPr="00166794" w:rsidRDefault="00D771ED" w:rsidP="009B6FD5">
      <w:pPr>
        <w:spacing w:line="360" w:lineRule="auto"/>
        <w:ind w:right="49"/>
        <w:contextualSpacing/>
        <w:jc w:val="both"/>
        <w:rPr>
          <w:rFonts w:ascii="Palatino Linotype" w:eastAsiaTheme="minorEastAsia" w:hAnsi="Palatino Linotype"/>
          <w:lang w:val="es-ES_tradnl" w:eastAsia="es-ES"/>
        </w:rPr>
      </w:pPr>
    </w:p>
    <w:p w:rsidR="00D771ED" w:rsidRPr="00166794" w:rsidRDefault="00D771ED" w:rsidP="009B6FD5">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166794">
        <w:rPr>
          <w:rFonts w:ascii="Palatino Linotype" w:eastAsiaTheme="minorEastAsia" w:hAnsi="Palatino Linotype" w:cs="Arial"/>
          <w:lang w:val="es-ES_tradnl" w:eastAsia="es-ES"/>
        </w:rPr>
        <w:t>Así entonces, se procede analizar, en primer lugar, si el SUJETO OBLIGADO al atender la solicitud de acceso a la información, satisfizo la garantía primaria del derecho según lo dispuesto por el artículo 150 de la Ley de Transparencia y Acceso a la Información Pública del Estado de México y Municipios y en segundo término si cumplió con su deber de respetar y garantizar el derecho, entregando toda la información solicitada.</w:t>
      </w:r>
    </w:p>
    <w:p w:rsidR="006D15E0" w:rsidRPr="00166794" w:rsidRDefault="006D15E0" w:rsidP="009B6FD5">
      <w:pPr>
        <w:spacing w:line="360" w:lineRule="auto"/>
        <w:ind w:right="49"/>
        <w:contextualSpacing/>
        <w:jc w:val="both"/>
        <w:rPr>
          <w:rFonts w:ascii="Palatino Linotype" w:eastAsiaTheme="minorEastAsia" w:hAnsi="Palatino Linotype" w:cs="Arial"/>
          <w:lang w:val="es-ES_tradnl" w:eastAsia="es-ES"/>
        </w:rPr>
      </w:pPr>
    </w:p>
    <w:p w:rsidR="002030FA" w:rsidRPr="00166794" w:rsidRDefault="00D64AFE" w:rsidP="009B6FD5">
      <w:pPr>
        <w:pStyle w:val="Ttulo1"/>
        <w:spacing w:before="0" w:line="360" w:lineRule="auto"/>
        <w:rPr>
          <w:rFonts w:ascii="Palatino Linotype" w:hAnsi="Palatino Linotype"/>
          <w:b/>
          <w:color w:val="auto"/>
          <w:sz w:val="24"/>
          <w:szCs w:val="24"/>
        </w:rPr>
      </w:pPr>
      <w:bookmarkStart w:id="20" w:name="_Toc80812777"/>
      <w:bookmarkStart w:id="21" w:name="_Toc83301641"/>
      <w:r w:rsidRPr="00166794">
        <w:rPr>
          <w:rFonts w:ascii="Palatino Linotype" w:hAnsi="Palatino Linotype"/>
          <w:b/>
          <w:color w:val="auto"/>
          <w:sz w:val="24"/>
          <w:szCs w:val="24"/>
        </w:rPr>
        <w:t xml:space="preserve">II. </w:t>
      </w:r>
      <w:r w:rsidR="00D771ED" w:rsidRPr="00166794">
        <w:rPr>
          <w:rFonts w:ascii="Palatino Linotype" w:hAnsi="Palatino Linotype"/>
          <w:b/>
          <w:color w:val="auto"/>
          <w:sz w:val="24"/>
          <w:szCs w:val="24"/>
        </w:rPr>
        <w:t>De la información solicitada y la respuesta del Sujeto Obligado.</w:t>
      </w:r>
      <w:bookmarkEnd w:id="20"/>
      <w:bookmarkEnd w:id="21"/>
    </w:p>
    <w:p w:rsidR="002030FA" w:rsidRPr="00166794" w:rsidRDefault="002030FA" w:rsidP="009B6FD5">
      <w:pPr>
        <w:spacing w:line="360" w:lineRule="auto"/>
        <w:ind w:right="49"/>
        <w:contextualSpacing/>
        <w:jc w:val="both"/>
        <w:rPr>
          <w:rFonts w:ascii="Palatino Linotype" w:eastAsiaTheme="minorEastAsia" w:hAnsi="Palatino Linotype"/>
          <w:lang w:val="es-ES_tradnl" w:eastAsia="es-ES"/>
        </w:rPr>
      </w:pPr>
    </w:p>
    <w:p w:rsidR="00A80D02" w:rsidRPr="00166794" w:rsidRDefault="002030FA" w:rsidP="009B6FD5">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166794">
        <w:rPr>
          <w:rFonts w:ascii="Palatino Linotype" w:eastAsia="Cambria" w:hAnsi="Palatino Linotype" w:cs="Arial"/>
        </w:rPr>
        <w:t xml:space="preserve">Se </w:t>
      </w:r>
      <w:r w:rsidR="00D771ED" w:rsidRPr="00166794">
        <w:rPr>
          <w:rFonts w:ascii="Palatino Linotype" w:eastAsia="Cambria" w:hAnsi="Palatino Linotype" w:cs="Arial"/>
        </w:rPr>
        <w:t xml:space="preserve">procede analizar el contenido íntegro de las actuaciones que obran en el expediente electrónico, y así este Órgano Garante dicte la resolución correspondiente, </w:t>
      </w:r>
      <w:r w:rsidR="00D771ED" w:rsidRPr="00166794">
        <w:rPr>
          <w:rFonts w:ascii="Palatino Linotype" w:eastAsia="Cambria" w:hAnsi="Palatino Linotype" w:cs="Arial"/>
        </w:rPr>
        <w:lastRenderedPageBreak/>
        <w:t xml:space="preserve">apegándose en todo momento al principio de máxima publicidad de acuerdo con lo establecido en el artículo 8 de la </w:t>
      </w:r>
      <w:r w:rsidR="00D771ED" w:rsidRPr="00166794">
        <w:rPr>
          <w:rFonts w:ascii="Palatino Linotype" w:eastAsia="Calibri" w:hAnsi="Palatino Linotype" w:cs="Arial"/>
          <w:lang w:val="es-ES"/>
        </w:rPr>
        <w:t>Ley de Transparencia y Acceso a la Información Pública del Estado de México y Municipios</w:t>
      </w:r>
      <w:r w:rsidR="00D771ED" w:rsidRPr="00166794">
        <w:rPr>
          <w:rFonts w:ascii="Palatino Linotype" w:hAnsi="Palatino Linotype" w:cs="Arial"/>
          <w:lang w:val="es-ES"/>
        </w:rPr>
        <w:t>.</w:t>
      </w:r>
    </w:p>
    <w:p w:rsidR="00D771ED" w:rsidRPr="00166794" w:rsidRDefault="00D771ED" w:rsidP="009B6FD5">
      <w:pPr>
        <w:spacing w:line="360" w:lineRule="auto"/>
        <w:ind w:right="49"/>
        <w:contextualSpacing/>
        <w:jc w:val="both"/>
        <w:rPr>
          <w:rFonts w:ascii="Palatino Linotype" w:eastAsiaTheme="minorEastAsia" w:hAnsi="Palatino Linotype"/>
          <w:lang w:val="es-ES_tradnl" w:eastAsia="es-ES"/>
        </w:rPr>
      </w:pPr>
    </w:p>
    <w:p w:rsidR="004F78EA" w:rsidRPr="00166794" w:rsidRDefault="00D771ED" w:rsidP="0009789E">
      <w:pPr>
        <w:numPr>
          <w:ilvl w:val="0"/>
          <w:numId w:val="1"/>
        </w:numPr>
        <w:spacing w:line="360" w:lineRule="auto"/>
        <w:ind w:left="0" w:right="49" w:firstLine="0"/>
        <w:contextualSpacing/>
        <w:jc w:val="both"/>
        <w:rPr>
          <w:rFonts w:ascii="Palatino Linotype" w:eastAsia="MS Gothic" w:hAnsi="Palatino Linotype" w:cstheme="majorBidi"/>
          <w:i/>
          <w:lang w:val="es-ES_tradnl" w:eastAsia="es-ES"/>
        </w:rPr>
      </w:pPr>
      <w:r w:rsidRPr="00166794">
        <w:rPr>
          <w:rFonts w:ascii="Palatino Linotype" w:hAnsi="Palatino Linotype" w:cs="Arial"/>
          <w:lang w:val="es-ES"/>
        </w:rPr>
        <w:t>En est</w:t>
      </w:r>
      <w:r w:rsidR="00CD24B8" w:rsidRPr="00166794">
        <w:rPr>
          <w:rFonts w:ascii="Palatino Linotype" w:hAnsi="Palatino Linotype" w:cs="Arial"/>
          <w:lang w:val="es-ES"/>
        </w:rPr>
        <w:t xml:space="preserve">e caso, el particular  solicitó </w:t>
      </w:r>
      <w:r w:rsidR="0009789E" w:rsidRPr="00166794">
        <w:rPr>
          <w:rFonts w:ascii="Palatino Linotype" w:eastAsia="MS Gothic" w:hAnsi="Palatino Linotype" w:cstheme="majorBidi"/>
          <w:lang w:eastAsia="es-ES"/>
        </w:rPr>
        <w:t xml:space="preserve">la balanza de comprobación detallada del mes de enero de dos mil veintidós; </w:t>
      </w:r>
      <w:r w:rsidR="0009789E" w:rsidRPr="00166794">
        <w:rPr>
          <w:rFonts w:ascii="Palatino Linotype" w:eastAsia="MS Gothic" w:hAnsi="Palatino Linotype" w:cstheme="majorBidi"/>
          <w:iCs/>
          <w:lang w:eastAsia="es-ES"/>
        </w:rPr>
        <w:t>en respuesta, el SUJETO OBLIGADO señaló que la información solicitada</w:t>
      </w:r>
      <w:r w:rsidR="00FA5B74" w:rsidRPr="00166794">
        <w:rPr>
          <w:rFonts w:ascii="Palatino Linotype" w:eastAsia="MS Gothic" w:hAnsi="Palatino Linotype" w:cstheme="majorBidi"/>
          <w:iCs/>
          <w:lang w:eastAsia="es-ES"/>
        </w:rPr>
        <w:t xml:space="preserve"> actualizaba la causal de reserva</w:t>
      </w:r>
      <w:r w:rsidR="0009789E" w:rsidRPr="00166794">
        <w:rPr>
          <w:rFonts w:ascii="Palatino Linotype" w:eastAsia="MS Gothic" w:hAnsi="Palatino Linotype" w:cstheme="majorBidi"/>
          <w:iCs/>
          <w:lang w:eastAsia="es-ES"/>
        </w:rPr>
        <w:t>.</w:t>
      </w:r>
    </w:p>
    <w:p w:rsidR="004674F8" w:rsidRPr="00166794" w:rsidRDefault="004674F8" w:rsidP="004674F8">
      <w:pPr>
        <w:pStyle w:val="Prrafodelista"/>
        <w:rPr>
          <w:rFonts w:ascii="Palatino Linotype" w:eastAsia="MS Gothic" w:hAnsi="Palatino Linotype" w:cstheme="majorBidi"/>
          <w:i/>
          <w:lang w:val="es-ES_tradnl" w:eastAsia="es-ES"/>
        </w:rPr>
      </w:pPr>
    </w:p>
    <w:p w:rsidR="004674F8" w:rsidRPr="00166794" w:rsidRDefault="004674F8" w:rsidP="004674F8">
      <w:pPr>
        <w:pStyle w:val="Ttulo3"/>
        <w:ind w:left="567"/>
        <w:rPr>
          <w:rFonts w:ascii="Palatino Linotype" w:eastAsia="MS Mincho" w:hAnsi="Palatino Linotype"/>
          <w:b/>
          <w:color w:val="auto"/>
        </w:rPr>
      </w:pPr>
      <w:bookmarkStart w:id="22" w:name="_Toc34911383"/>
      <w:r w:rsidRPr="00166794">
        <w:rPr>
          <w:rFonts w:ascii="Palatino Linotype" w:eastAsia="MS Mincho" w:hAnsi="Palatino Linotype"/>
          <w:b/>
          <w:color w:val="auto"/>
        </w:rPr>
        <w:t>III. De la supuesta clasificación</w:t>
      </w:r>
      <w:bookmarkEnd w:id="22"/>
      <w:r w:rsidRPr="00166794">
        <w:rPr>
          <w:rFonts w:ascii="Palatino Linotype" w:eastAsia="MS Mincho" w:hAnsi="Palatino Linotype"/>
          <w:b/>
          <w:color w:val="auto"/>
        </w:rPr>
        <w:t xml:space="preserve"> </w:t>
      </w:r>
    </w:p>
    <w:p w:rsidR="004674F8" w:rsidRPr="00166794" w:rsidRDefault="004674F8" w:rsidP="004674F8"/>
    <w:p w:rsidR="004674F8" w:rsidRPr="00166794" w:rsidRDefault="004674F8" w:rsidP="004674F8"/>
    <w:p w:rsidR="004674F8" w:rsidRPr="00166794" w:rsidRDefault="004674F8" w:rsidP="004674F8"/>
    <w:p w:rsidR="004674F8" w:rsidRPr="00166794" w:rsidRDefault="004674F8" w:rsidP="004674F8">
      <w:pPr>
        <w:numPr>
          <w:ilvl w:val="0"/>
          <w:numId w:val="1"/>
        </w:numPr>
        <w:spacing w:line="360" w:lineRule="auto"/>
        <w:ind w:left="0" w:right="49" w:firstLine="0"/>
        <w:contextualSpacing/>
        <w:jc w:val="both"/>
        <w:rPr>
          <w:rFonts w:ascii="Palatino Linotype" w:eastAsia="MS Mincho" w:hAnsi="Palatino Linotype"/>
        </w:rPr>
      </w:pPr>
      <w:r w:rsidRPr="00166794">
        <w:rPr>
          <w:rFonts w:ascii="Palatino Linotype" w:eastAsia="MS Mincho" w:hAnsi="Palatino Linotype"/>
        </w:rPr>
        <w:t xml:space="preserve">El </w:t>
      </w:r>
      <w:r w:rsidRPr="00166794">
        <w:rPr>
          <w:rFonts w:ascii="Palatino Linotype" w:eastAsia="MS Mincho" w:hAnsi="Palatino Linotype"/>
          <w:b/>
        </w:rPr>
        <w:t xml:space="preserve">Sujeto Obligado </w:t>
      </w:r>
      <w:r w:rsidRPr="00166794">
        <w:rPr>
          <w:rFonts w:ascii="Palatino Linotype" w:eastAsia="MS Mincho" w:hAnsi="Palatino Linotype"/>
        </w:rPr>
        <w:t xml:space="preserve">en respuesta refirió que la información requerida, se encontraba clasificada como reservada o confidencial, toda vez que de que se trata de información privada y a datos personales concernientes a una persona física identificada o identificable. </w:t>
      </w:r>
    </w:p>
    <w:p w:rsidR="004674F8" w:rsidRPr="00166794" w:rsidRDefault="004674F8" w:rsidP="004674F8">
      <w:pPr>
        <w:spacing w:line="360" w:lineRule="auto"/>
        <w:ind w:right="49"/>
        <w:contextualSpacing/>
        <w:jc w:val="both"/>
        <w:rPr>
          <w:rFonts w:ascii="Palatino Linotype" w:eastAsia="MS Mincho" w:hAnsi="Palatino Linotype"/>
        </w:rPr>
      </w:pPr>
    </w:p>
    <w:p w:rsidR="004674F8" w:rsidRPr="00166794" w:rsidRDefault="004674F8" w:rsidP="004674F8">
      <w:pPr>
        <w:numPr>
          <w:ilvl w:val="0"/>
          <w:numId w:val="1"/>
        </w:numPr>
        <w:spacing w:line="360" w:lineRule="auto"/>
        <w:ind w:left="0" w:right="49" w:firstLine="0"/>
        <w:contextualSpacing/>
        <w:jc w:val="both"/>
        <w:rPr>
          <w:rFonts w:ascii="Palatino Linotype" w:eastAsia="MS Mincho" w:hAnsi="Palatino Linotype"/>
        </w:rPr>
      </w:pPr>
      <w:r w:rsidRPr="00166794">
        <w:rPr>
          <w:rFonts w:ascii="Palatino Linotype" w:eastAsia="MS Mincho" w:hAnsi="Palatino Linotype"/>
        </w:rPr>
        <w:t>Ante tal situación, es necesario referir que la clasificación total o parcial de la información, mediante solicitud de acceso a la información pública, constituye una restricción al derecho humano de acceso a la información, como reiteradamente han dicho diversos órganos jurisdiccionales, ningún derecho es absoluto</w:t>
      </w:r>
      <w:r w:rsidRPr="00166794">
        <w:rPr>
          <w:rStyle w:val="Refdenotaalpie"/>
          <w:rFonts w:ascii="Palatino Linotype" w:hAnsi="Palatino Linotype"/>
        </w:rPr>
        <w:footnoteReference w:id="5"/>
      </w:r>
      <w:r w:rsidRPr="00166794">
        <w:rPr>
          <w:rFonts w:ascii="Palatino Linotype" w:eastAsia="MS Mincho" w:hAnsi="Palatino Linotype"/>
        </w:rPr>
        <w:t xml:space="preserve">. </w:t>
      </w:r>
    </w:p>
    <w:p w:rsidR="004674F8" w:rsidRPr="00166794" w:rsidRDefault="004674F8" w:rsidP="004674F8">
      <w:pPr>
        <w:numPr>
          <w:ilvl w:val="0"/>
          <w:numId w:val="1"/>
        </w:numPr>
        <w:spacing w:line="360" w:lineRule="auto"/>
        <w:ind w:left="0" w:right="49" w:firstLine="0"/>
        <w:contextualSpacing/>
        <w:jc w:val="both"/>
        <w:rPr>
          <w:rFonts w:ascii="Palatino Linotype" w:eastAsia="MS Mincho" w:hAnsi="Palatino Linotype"/>
        </w:rPr>
      </w:pPr>
      <w:r w:rsidRPr="00166794">
        <w:rPr>
          <w:rFonts w:ascii="Palatino Linotype" w:eastAsia="MS Mincho" w:hAnsi="Palatino Linotype"/>
        </w:rPr>
        <w:lastRenderedPageBreak/>
        <w:t xml:space="preserve">Por lo que, cualquier límite o restricción, para ser legítimo, debe reunir con tres requisitos: primero, debe estar establecida en un ordenamiento legal, antes de su aplicación; debe corresponder a un fin legítimo y ser estrictamente proporcional con el principio o valor que se pretende </w:t>
      </w:r>
      <w:r w:rsidRPr="00166794">
        <w:rPr>
          <w:rFonts w:ascii="Palatino Linotype" w:hAnsi="Palatino Linotype"/>
        </w:rPr>
        <w:t>preservar.</w:t>
      </w:r>
      <w:r w:rsidRPr="00166794">
        <w:rPr>
          <w:rStyle w:val="Refdenotaalpie"/>
          <w:rFonts w:ascii="Palatino Linotype" w:hAnsi="Palatino Linotype"/>
        </w:rPr>
        <w:footnoteReference w:id="6"/>
      </w:r>
      <w:r w:rsidRPr="00166794">
        <w:rPr>
          <w:rFonts w:ascii="Palatino Linotype" w:hAnsi="Palatino Linotype"/>
        </w:rPr>
        <w:t xml:space="preserve"> En este caso, la clasificación total o parcial de la información es un supuesto que tanto la Ley General de Transparencia y Acceso a la Información Pública, como la Ley de Transparencia y Acceso a la Información Pública del Estado de México y Municipios establecen, y agotar el procedimiento legalmente establecido, es precisamente lo que permite acreditar el cumplimiento de los otros dos requisitos. </w:t>
      </w:r>
    </w:p>
    <w:p w:rsidR="004674F8" w:rsidRPr="00166794" w:rsidRDefault="004674F8" w:rsidP="004674F8">
      <w:pPr>
        <w:spacing w:line="360" w:lineRule="auto"/>
        <w:ind w:right="49"/>
        <w:contextualSpacing/>
        <w:jc w:val="both"/>
        <w:rPr>
          <w:rFonts w:ascii="Palatino Linotype" w:eastAsia="MS Mincho" w:hAnsi="Palatino Linotype"/>
        </w:rPr>
      </w:pPr>
    </w:p>
    <w:p w:rsidR="004674F8" w:rsidRPr="00166794" w:rsidRDefault="004674F8" w:rsidP="004674F8">
      <w:pPr>
        <w:numPr>
          <w:ilvl w:val="0"/>
          <w:numId w:val="1"/>
        </w:numPr>
        <w:spacing w:line="360" w:lineRule="auto"/>
        <w:ind w:left="0" w:right="49" w:firstLine="0"/>
        <w:contextualSpacing/>
        <w:jc w:val="both"/>
        <w:rPr>
          <w:rFonts w:ascii="Palatino Linotype" w:eastAsia="MS Mincho" w:hAnsi="Palatino Linotype"/>
        </w:rPr>
      </w:pPr>
      <w:r w:rsidRPr="00166794">
        <w:rPr>
          <w:rFonts w:ascii="Palatino Linotype" w:eastAsia="MS Mincho" w:hAnsi="Palatino Linotype"/>
        </w:rPr>
        <w:t xml:space="preserve">Ahora bien, en el presente asunto se observó que el </w:t>
      </w:r>
      <w:r w:rsidRPr="00166794">
        <w:rPr>
          <w:rFonts w:ascii="Palatino Linotype" w:eastAsia="MS Mincho" w:hAnsi="Palatino Linotype"/>
          <w:b/>
        </w:rPr>
        <w:t xml:space="preserve">Sujeto Obligado </w:t>
      </w:r>
      <w:r w:rsidRPr="00166794">
        <w:rPr>
          <w:rFonts w:ascii="Palatino Linotype" w:eastAsia="MS Mincho" w:hAnsi="Palatino Linotype"/>
        </w:rPr>
        <w:t xml:space="preserve">además de pretender clasificar información que por ley es pública, no siguió las formalidades </w:t>
      </w:r>
      <w:r w:rsidRPr="00166794">
        <w:rPr>
          <w:rFonts w:ascii="Palatino Linotype" w:eastAsia="MS Mincho" w:hAnsi="Palatino Linotype"/>
        </w:rPr>
        <w:lastRenderedPageBreak/>
        <w:t xml:space="preserve">que deben cumplirse, es decir no basta con manifestar que cierta información no puede ser proporcionada por considerarse clasificada, sino que es necesario se realicen una serie de formalidades, entre ellas, proporcionar el Acuerdo de Clasificación que emita el Comité de Transparencia del </w:t>
      </w:r>
      <w:r w:rsidRPr="00166794">
        <w:rPr>
          <w:rFonts w:ascii="Palatino Linotype" w:eastAsia="MS Mincho" w:hAnsi="Palatino Linotype"/>
          <w:b/>
        </w:rPr>
        <w:t xml:space="preserve">Sujeto Obligado </w:t>
      </w:r>
      <w:r w:rsidRPr="00166794">
        <w:rPr>
          <w:rFonts w:ascii="Palatino Linotype" w:eastAsia="MS Mincho" w:hAnsi="Palatino Linotype"/>
        </w:rPr>
        <w:t xml:space="preserve">mediante el cual de manera fundada y motivada confirme la clasificación de la información requerida, es por ello que es menester mencionar lo siguiente: </w:t>
      </w:r>
    </w:p>
    <w:p w:rsidR="004674F8" w:rsidRPr="00166794" w:rsidRDefault="004674F8" w:rsidP="004674F8">
      <w:pPr>
        <w:spacing w:line="360" w:lineRule="auto"/>
        <w:ind w:right="49"/>
        <w:contextualSpacing/>
        <w:jc w:val="both"/>
        <w:rPr>
          <w:rFonts w:ascii="Palatino Linotype" w:eastAsia="MS Mincho" w:hAnsi="Palatino Linotype"/>
        </w:rPr>
      </w:pPr>
    </w:p>
    <w:p w:rsidR="004674F8" w:rsidRPr="00166794" w:rsidRDefault="004674F8" w:rsidP="004674F8">
      <w:pPr>
        <w:keepNext/>
        <w:keepLines/>
        <w:pBdr>
          <w:top w:val="nil"/>
          <w:left w:val="nil"/>
          <w:bottom w:val="nil"/>
          <w:right w:val="nil"/>
          <w:between w:val="nil"/>
          <w:bar w:val="nil"/>
        </w:pBdr>
        <w:spacing w:line="360" w:lineRule="auto"/>
        <w:contextualSpacing/>
        <w:outlineLvl w:val="0"/>
        <w:rPr>
          <w:rFonts w:ascii="Palatino Linotype" w:eastAsiaTheme="majorEastAsia" w:hAnsi="Palatino Linotype" w:cstheme="majorBidi"/>
          <w:b/>
          <w:color w:val="000000" w:themeColor="text1"/>
        </w:rPr>
      </w:pPr>
      <w:bookmarkStart w:id="23" w:name="_Toc4073619"/>
      <w:bookmarkStart w:id="24" w:name="_Toc4078182"/>
      <w:bookmarkStart w:id="25" w:name="_Toc34158053"/>
      <w:bookmarkStart w:id="26" w:name="_Toc34911384"/>
      <w:r w:rsidRPr="00166794">
        <w:rPr>
          <w:rFonts w:ascii="Palatino Linotype" w:eastAsiaTheme="majorEastAsia" w:hAnsi="Palatino Linotype" w:cstheme="majorBidi"/>
          <w:b/>
          <w:color w:val="000000" w:themeColor="text1"/>
        </w:rPr>
        <w:t>a) Requisitos previos.</w:t>
      </w:r>
      <w:bookmarkEnd w:id="23"/>
      <w:bookmarkEnd w:id="24"/>
      <w:bookmarkEnd w:id="25"/>
      <w:bookmarkEnd w:id="26"/>
    </w:p>
    <w:p w:rsidR="004674F8" w:rsidRPr="00166794" w:rsidRDefault="004674F8" w:rsidP="004674F8">
      <w:pPr>
        <w:spacing w:line="360" w:lineRule="auto"/>
        <w:ind w:right="49"/>
        <w:contextualSpacing/>
        <w:jc w:val="both"/>
        <w:rPr>
          <w:rFonts w:ascii="Palatino Linotype" w:eastAsia="MS Mincho" w:hAnsi="Palatino Linotype"/>
        </w:rPr>
      </w:pPr>
    </w:p>
    <w:p w:rsidR="004674F8" w:rsidRPr="00166794" w:rsidRDefault="004674F8" w:rsidP="004674F8">
      <w:pPr>
        <w:numPr>
          <w:ilvl w:val="0"/>
          <w:numId w:val="1"/>
        </w:numPr>
        <w:spacing w:line="360" w:lineRule="auto"/>
        <w:ind w:left="0" w:right="49" w:firstLine="0"/>
        <w:contextualSpacing/>
        <w:jc w:val="both"/>
        <w:rPr>
          <w:rFonts w:ascii="Palatino Linotype" w:eastAsia="MS Mincho" w:hAnsi="Palatino Linotype"/>
        </w:rPr>
      </w:pPr>
      <w:r w:rsidRPr="00166794">
        <w:rPr>
          <w:rFonts w:ascii="Palatino Linotype" w:eastAsia="MS Mincho" w:hAnsi="Palatino Linotype"/>
        </w:rPr>
        <w:t xml:space="preserve">Los artículos 122 y 100 de la Ley Estatal y la Ley General, respectivamente señalan que los </w:t>
      </w:r>
      <w:r w:rsidRPr="00166794">
        <w:rPr>
          <w:rFonts w:ascii="Palatino Linotype" w:eastAsia="MS Mincho" w:hAnsi="Palatino Linotype"/>
          <w:b/>
        </w:rPr>
        <w:t xml:space="preserve">Sujetos Obligados </w:t>
      </w:r>
      <w:r w:rsidRPr="00166794">
        <w:rPr>
          <w:rFonts w:ascii="Palatino Linotype" w:eastAsia="MS Mincho" w:hAnsi="Palatino Linotype"/>
        </w:rPr>
        <w:t xml:space="preserve">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y no el Comité de Transparencia. Al hacerlo, tienen que precisar de qué información se trata (nombre, registro federal de contribuyentes, edad, fotografía, entre otros, que forme parte de algún documento o el documento que se pretende reservar (contrato, licencia, póliza, entre otros), señalando el supuesto de clasificación: </w:t>
      </w:r>
      <w:r w:rsidRPr="00166794">
        <w:rPr>
          <w:rFonts w:ascii="Palatino Linotype" w:eastAsia="MS Mincho" w:hAnsi="Palatino Linotype"/>
          <w:b/>
        </w:rPr>
        <w:t>confidencialidad o reserva.</w:t>
      </w:r>
    </w:p>
    <w:p w:rsidR="004674F8" w:rsidRPr="00166794" w:rsidRDefault="004674F8" w:rsidP="004674F8">
      <w:pPr>
        <w:spacing w:line="360" w:lineRule="auto"/>
        <w:ind w:right="49"/>
        <w:contextualSpacing/>
        <w:jc w:val="both"/>
        <w:rPr>
          <w:rFonts w:ascii="Palatino Linotype" w:eastAsia="MS Mincho" w:hAnsi="Palatino Linotype"/>
        </w:rPr>
      </w:pPr>
    </w:p>
    <w:p w:rsidR="004674F8" w:rsidRPr="00166794" w:rsidRDefault="004674F8" w:rsidP="004674F8">
      <w:pPr>
        <w:numPr>
          <w:ilvl w:val="0"/>
          <w:numId w:val="1"/>
        </w:numPr>
        <w:spacing w:line="360" w:lineRule="auto"/>
        <w:ind w:left="0" w:right="49" w:firstLine="0"/>
        <w:contextualSpacing/>
        <w:jc w:val="both"/>
        <w:rPr>
          <w:rFonts w:ascii="Palatino Linotype" w:eastAsia="MS Mincho" w:hAnsi="Palatino Linotype"/>
        </w:rPr>
      </w:pPr>
      <w:r w:rsidRPr="00166794">
        <w:rPr>
          <w:rFonts w:ascii="Palatino Linotype" w:eastAsia="MS Mincho" w:hAnsi="Palatino Linotype"/>
        </w:rPr>
        <w:t xml:space="preserve">Aunado a ello, se debe señalar el procedimiento de los tres que establecen los artículos 132 y 106 de la Ley Estatal y General, respectivamente, por el que se realiza dicha clasificación, a saber, cuando se atiende una solicitud de acceso a la información, porque lo determina una autoridad competente o, porque se va a generar una versión pública para cumplir con sus obligaciones. </w:t>
      </w:r>
    </w:p>
    <w:p w:rsidR="004674F8" w:rsidRPr="00166794" w:rsidRDefault="004674F8" w:rsidP="004674F8">
      <w:pPr>
        <w:spacing w:line="360" w:lineRule="auto"/>
        <w:ind w:right="49"/>
        <w:contextualSpacing/>
        <w:jc w:val="both"/>
        <w:rPr>
          <w:rFonts w:ascii="Palatino Linotype" w:eastAsia="MS Mincho" w:hAnsi="Palatino Linotype"/>
        </w:rPr>
      </w:pPr>
    </w:p>
    <w:p w:rsidR="004674F8" w:rsidRPr="00166794" w:rsidRDefault="004674F8" w:rsidP="004674F8">
      <w:pPr>
        <w:numPr>
          <w:ilvl w:val="0"/>
          <w:numId w:val="1"/>
        </w:numPr>
        <w:spacing w:line="360" w:lineRule="auto"/>
        <w:ind w:left="0" w:right="49" w:firstLine="0"/>
        <w:contextualSpacing/>
        <w:jc w:val="both"/>
        <w:rPr>
          <w:rFonts w:ascii="Palatino Linotype" w:eastAsia="MS Mincho" w:hAnsi="Palatino Linotype"/>
        </w:rPr>
      </w:pPr>
      <w:r w:rsidRPr="00166794">
        <w:rPr>
          <w:rFonts w:ascii="Palatino Linotype" w:eastAsia="MS Mincho" w:hAnsi="Palatino Linotype"/>
        </w:rPr>
        <w:lastRenderedPageBreak/>
        <w:t xml:space="preserve">El último de estos requisitos previos consiste en que no se pueden emitir acuerdos de carácter general ni particular, de acuerdo con lo que disponen los artículos 134 y 108 de la Ley Estatal y de la Ley General, respectivamente, esto es, no se puede hacer un acuerdo para clasificar de manera general todos los documentos de un expediente o área, sin individualizar su análisis y tampoco se puede hacer un acuerdo por cada dato que se vaya a clasificar dentro de un documento con diez datos, por ejemplo, susceptibles de ser clasificados. </w:t>
      </w:r>
    </w:p>
    <w:p w:rsidR="004674F8" w:rsidRPr="00166794" w:rsidRDefault="004674F8" w:rsidP="004674F8">
      <w:pPr>
        <w:spacing w:line="360" w:lineRule="auto"/>
        <w:ind w:right="49"/>
        <w:contextualSpacing/>
        <w:jc w:val="both"/>
        <w:rPr>
          <w:rFonts w:ascii="Palatino Linotype" w:eastAsia="MS Mincho" w:hAnsi="Palatino Linotype"/>
        </w:rPr>
      </w:pPr>
    </w:p>
    <w:p w:rsidR="004674F8" w:rsidRPr="00166794" w:rsidRDefault="004674F8" w:rsidP="004674F8">
      <w:pPr>
        <w:keepNext/>
        <w:keepLines/>
        <w:pBdr>
          <w:top w:val="nil"/>
          <w:left w:val="nil"/>
          <w:bottom w:val="nil"/>
          <w:right w:val="nil"/>
          <w:between w:val="nil"/>
          <w:bar w:val="nil"/>
        </w:pBdr>
        <w:spacing w:line="360" w:lineRule="auto"/>
        <w:contextualSpacing/>
        <w:outlineLvl w:val="0"/>
        <w:rPr>
          <w:rFonts w:ascii="Palatino Linotype" w:eastAsiaTheme="majorEastAsia" w:hAnsi="Palatino Linotype" w:cstheme="majorBidi"/>
          <w:b/>
          <w:color w:val="000000" w:themeColor="text1"/>
        </w:rPr>
      </w:pPr>
      <w:bookmarkStart w:id="27" w:name="_Toc34158054"/>
      <w:bookmarkStart w:id="28" w:name="_Toc34911385"/>
      <w:r w:rsidRPr="00166794">
        <w:rPr>
          <w:rFonts w:ascii="Palatino Linotype" w:eastAsiaTheme="majorEastAsia" w:hAnsi="Palatino Linotype" w:cstheme="majorBidi"/>
          <w:b/>
          <w:color w:val="000000" w:themeColor="text1"/>
        </w:rPr>
        <w:t>b) Supuestos de clasificación.</w:t>
      </w:r>
      <w:bookmarkEnd w:id="27"/>
      <w:bookmarkEnd w:id="28"/>
      <w:r w:rsidRPr="00166794">
        <w:rPr>
          <w:rFonts w:ascii="Palatino Linotype" w:eastAsiaTheme="majorEastAsia" w:hAnsi="Palatino Linotype" w:cstheme="majorBidi"/>
          <w:b/>
          <w:color w:val="000000" w:themeColor="text1"/>
        </w:rPr>
        <w:t xml:space="preserve"> </w:t>
      </w:r>
    </w:p>
    <w:p w:rsidR="004674F8" w:rsidRPr="00166794" w:rsidRDefault="004674F8" w:rsidP="004674F8">
      <w:pPr>
        <w:spacing w:line="360" w:lineRule="auto"/>
        <w:ind w:right="49"/>
        <w:contextualSpacing/>
        <w:jc w:val="both"/>
        <w:rPr>
          <w:rFonts w:ascii="Palatino Linotype" w:eastAsia="MS Mincho" w:hAnsi="Palatino Linotype"/>
        </w:rPr>
      </w:pPr>
    </w:p>
    <w:p w:rsidR="004674F8" w:rsidRPr="00166794" w:rsidRDefault="004674F8" w:rsidP="004674F8">
      <w:pPr>
        <w:numPr>
          <w:ilvl w:val="0"/>
          <w:numId w:val="1"/>
        </w:numPr>
        <w:spacing w:line="360" w:lineRule="auto"/>
        <w:ind w:left="0" w:right="49" w:firstLine="0"/>
        <w:contextualSpacing/>
        <w:jc w:val="both"/>
        <w:rPr>
          <w:rFonts w:ascii="Palatino Linotype" w:eastAsia="MS Mincho" w:hAnsi="Palatino Linotype"/>
        </w:rPr>
      </w:pPr>
      <w:r w:rsidRPr="00166794">
        <w:rPr>
          <w:rFonts w:ascii="Palatino Linotype" w:eastAsia="MS Mincho" w:hAnsi="Palatino Linotype"/>
        </w:rPr>
        <w:t xml:space="preserve">Ahora bien, las disposiciones constitucionales y legales en la materia establecen los dos supuestos generales para clasificar la información: </w:t>
      </w:r>
      <w:r w:rsidRPr="00166794">
        <w:rPr>
          <w:rFonts w:ascii="Palatino Linotype" w:eastAsia="MS Mincho" w:hAnsi="Palatino Linotype"/>
          <w:b/>
        </w:rPr>
        <w:t xml:space="preserve">por reserva y por confidencialidad. </w:t>
      </w:r>
      <w:r w:rsidRPr="00166794">
        <w:rPr>
          <w:rFonts w:ascii="Palatino Linotype" w:eastAsia="MS Mincho" w:hAnsi="Palatino Linotype"/>
        </w:rPr>
        <w:t xml:space="preserve">Siendo los artículos 140 y 113 de la Ley Estatal y de la Ley General, los que enmarcan los supuestos para que la información pueda considerarse como </w:t>
      </w:r>
      <w:r w:rsidRPr="00166794">
        <w:rPr>
          <w:rFonts w:ascii="Palatino Linotype" w:eastAsia="MS Mincho" w:hAnsi="Palatino Linotype"/>
          <w:b/>
        </w:rPr>
        <w:t>reservada</w:t>
      </w:r>
      <w:r w:rsidRPr="00166794">
        <w:rPr>
          <w:rFonts w:ascii="Palatino Linotype" w:eastAsia="MS Mincho" w:hAnsi="Palatino Linotype"/>
        </w:rPr>
        <w:t xml:space="preserve">, y los artículos 143 y 116 de la Ley Estatal y de la Ley General, los supuestos para que la información pueda ser clasificada como </w:t>
      </w:r>
      <w:r w:rsidRPr="00166794">
        <w:rPr>
          <w:rFonts w:ascii="Palatino Linotype" w:eastAsia="MS Mincho" w:hAnsi="Palatino Linotype"/>
          <w:b/>
        </w:rPr>
        <w:t xml:space="preserve">confidencial. </w:t>
      </w:r>
    </w:p>
    <w:p w:rsidR="004674F8" w:rsidRPr="00166794" w:rsidRDefault="004674F8" w:rsidP="004674F8">
      <w:pPr>
        <w:spacing w:line="360" w:lineRule="auto"/>
        <w:ind w:right="49"/>
        <w:contextualSpacing/>
        <w:jc w:val="both"/>
        <w:rPr>
          <w:rFonts w:ascii="Palatino Linotype" w:eastAsia="MS Mincho" w:hAnsi="Palatino Linotype"/>
        </w:rPr>
      </w:pPr>
    </w:p>
    <w:p w:rsidR="004674F8" w:rsidRPr="00166794" w:rsidRDefault="004674F8" w:rsidP="004674F8">
      <w:pPr>
        <w:numPr>
          <w:ilvl w:val="0"/>
          <w:numId w:val="1"/>
        </w:numPr>
        <w:spacing w:line="360" w:lineRule="auto"/>
        <w:ind w:left="0" w:right="49" w:firstLine="0"/>
        <w:contextualSpacing/>
        <w:jc w:val="both"/>
        <w:rPr>
          <w:rFonts w:ascii="Palatino Linotype" w:eastAsia="MS Mincho" w:hAnsi="Palatino Linotype"/>
        </w:rPr>
      </w:pPr>
      <w:r w:rsidRPr="00166794">
        <w:rPr>
          <w:rFonts w:ascii="Palatino Linotype" w:eastAsia="MS Mincho" w:hAnsi="Palatino Linotype"/>
        </w:rPr>
        <w:t xml:space="preserve">En el mismo sentido, el artículo 105 de la Ley General y el artículo 130 de la Ley Estatal, establecen medularmente que </w:t>
      </w:r>
      <w:r w:rsidRPr="00166794">
        <w:rPr>
          <w:rFonts w:ascii="Palatino Linotype" w:eastAsia="MS Mincho" w:hAnsi="Palatino Linotype"/>
          <w:b/>
        </w:rPr>
        <w:t xml:space="preserve">los sujetos obligados deberán aplicar, de manera restrictiva y limitada los supuestos de clasificación, debiendo acreditarse que se cumple con dicha condición y no se pueden ampliar las excepciones o supuestos de clasificación aduciendo analogía o mayoría de razón. </w:t>
      </w:r>
    </w:p>
    <w:p w:rsidR="004674F8" w:rsidRPr="00166794" w:rsidRDefault="004674F8" w:rsidP="004674F8">
      <w:pPr>
        <w:spacing w:line="360" w:lineRule="auto"/>
        <w:ind w:right="49"/>
        <w:contextualSpacing/>
        <w:jc w:val="both"/>
        <w:rPr>
          <w:rFonts w:ascii="Palatino Linotype" w:eastAsia="MS Mincho" w:hAnsi="Palatino Linotype"/>
        </w:rPr>
      </w:pPr>
    </w:p>
    <w:p w:rsidR="004674F8" w:rsidRPr="00166794" w:rsidRDefault="004674F8" w:rsidP="004674F8">
      <w:pPr>
        <w:numPr>
          <w:ilvl w:val="0"/>
          <w:numId w:val="1"/>
        </w:numPr>
        <w:spacing w:line="360" w:lineRule="auto"/>
        <w:ind w:left="0" w:right="49" w:firstLine="0"/>
        <w:contextualSpacing/>
        <w:jc w:val="both"/>
        <w:rPr>
          <w:rFonts w:ascii="Palatino Linotype" w:eastAsia="MS Mincho" w:hAnsi="Palatino Linotype"/>
        </w:rPr>
      </w:pPr>
      <w:r w:rsidRPr="00166794">
        <w:rPr>
          <w:rFonts w:ascii="Palatino Linotype" w:eastAsia="MS Mincho" w:hAnsi="Palatino Linotype"/>
        </w:rPr>
        <w:t xml:space="preserve">Como consecuencia de lo anterior, el </w:t>
      </w:r>
      <w:r w:rsidRPr="00166794">
        <w:rPr>
          <w:rFonts w:ascii="Palatino Linotype" w:eastAsia="MS Mincho" w:hAnsi="Palatino Linotype"/>
          <w:b/>
        </w:rPr>
        <w:t xml:space="preserve">Sujeto Obligado </w:t>
      </w:r>
      <w:r w:rsidRPr="00166794">
        <w:rPr>
          <w:rFonts w:ascii="Palatino Linotype" w:eastAsia="MS Mincho" w:hAnsi="Palatino Linotype"/>
        </w:rPr>
        <w:t xml:space="preserve">debe identificar claramente el tipo de información y hacer un juicio de subsunción o encaje, para </w:t>
      </w:r>
      <w:r w:rsidRPr="00166794">
        <w:rPr>
          <w:rFonts w:ascii="Palatino Linotype" w:eastAsia="MS Mincho" w:hAnsi="Palatino Linotype"/>
        </w:rPr>
        <w:lastRenderedPageBreak/>
        <w:t xml:space="preserve">acreditar que el supuesto de hecho corresponde estrictamente con la hipótesis jurídica, esto también lo debe realizar el servidor público habilitado y el titular del área que administra la información. </w:t>
      </w:r>
    </w:p>
    <w:p w:rsidR="004674F8" w:rsidRPr="00166794" w:rsidRDefault="004674F8" w:rsidP="004674F8">
      <w:pPr>
        <w:spacing w:line="360" w:lineRule="auto"/>
        <w:ind w:right="49"/>
        <w:contextualSpacing/>
        <w:jc w:val="both"/>
        <w:rPr>
          <w:rFonts w:ascii="Palatino Linotype" w:eastAsia="MS Mincho" w:hAnsi="Palatino Linotype"/>
        </w:rPr>
      </w:pPr>
    </w:p>
    <w:p w:rsidR="004674F8" w:rsidRPr="00166794" w:rsidRDefault="004674F8" w:rsidP="004674F8">
      <w:pPr>
        <w:numPr>
          <w:ilvl w:val="0"/>
          <w:numId w:val="1"/>
        </w:numPr>
        <w:spacing w:line="360" w:lineRule="auto"/>
        <w:ind w:left="0" w:right="49" w:firstLine="0"/>
        <w:contextualSpacing/>
        <w:jc w:val="both"/>
        <w:rPr>
          <w:rFonts w:ascii="Palatino Linotype" w:eastAsia="MS Mincho" w:hAnsi="Palatino Linotype"/>
        </w:rPr>
      </w:pPr>
      <w:r w:rsidRPr="00166794">
        <w:rPr>
          <w:rFonts w:ascii="Palatino Linotype" w:eastAsia="MS Mincho" w:hAnsi="Palatino Linotype"/>
        </w:rPr>
        <w:t xml:space="preserve">Una vez realizado, se remite la información al Titular de la Unidad de Transparencia, con el acuerdo de clasificación correspondiente, para que sea sometido al conocimiento del Comité de Transparencia. </w:t>
      </w:r>
    </w:p>
    <w:p w:rsidR="004674F8" w:rsidRPr="00166794" w:rsidRDefault="004674F8" w:rsidP="004674F8">
      <w:pPr>
        <w:spacing w:line="360" w:lineRule="auto"/>
        <w:ind w:right="49"/>
        <w:contextualSpacing/>
        <w:jc w:val="both"/>
        <w:rPr>
          <w:rFonts w:ascii="Palatino Linotype" w:eastAsia="MS Mincho" w:hAnsi="Palatino Linotype"/>
        </w:rPr>
      </w:pPr>
    </w:p>
    <w:p w:rsidR="004674F8" w:rsidRPr="00166794" w:rsidRDefault="004674F8" w:rsidP="004674F8">
      <w:pPr>
        <w:keepNext/>
        <w:keepLines/>
        <w:pBdr>
          <w:top w:val="nil"/>
          <w:left w:val="nil"/>
          <w:bottom w:val="nil"/>
          <w:right w:val="nil"/>
          <w:between w:val="nil"/>
          <w:bar w:val="nil"/>
        </w:pBdr>
        <w:spacing w:line="360" w:lineRule="auto"/>
        <w:outlineLvl w:val="0"/>
        <w:rPr>
          <w:rFonts w:ascii="Palatino Linotype" w:eastAsiaTheme="majorEastAsia" w:hAnsi="Palatino Linotype" w:cstheme="majorBidi"/>
          <w:b/>
          <w:color w:val="000000" w:themeColor="text1"/>
        </w:rPr>
      </w:pPr>
      <w:bookmarkStart w:id="29" w:name="_Toc34158055"/>
      <w:bookmarkStart w:id="30" w:name="_Toc34911386"/>
      <w:r w:rsidRPr="00166794">
        <w:rPr>
          <w:rFonts w:ascii="Palatino Linotype" w:eastAsiaTheme="majorEastAsia" w:hAnsi="Palatino Linotype" w:cstheme="majorBidi"/>
          <w:b/>
          <w:color w:val="000000" w:themeColor="text1"/>
        </w:rPr>
        <w:t>c) La intervención del Comité de Transparencia.</w:t>
      </w:r>
      <w:bookmarkEnd w:id="29"/>
      <w:bookmarkEnd w:id="30"/>
    </w:p>
    <w:p w:rsidR="004674F8" w:rsidRPr="00166794" w:rsidRDefault="004674F8" w:rsidP="004674F8">
      <w:pPr>
        <w:keepNext/>
        <w:keepLines/>
        <w:pBdr>
          <w:top w:val="nil"/>
          <w:left w:val="nil"/>
          <w:bottom w:val="nil"/>
          <w:right w:val="nil"/>
          <w:between w:val="nil"/>
          <w:bar w:val="nil"/>
        </w:pBdr>
        <w:spacing w:line="360" w:lineRule="auto"/>
        <w:outlineLvl w:val="0"/>
        <w:rPr>
          <w:rFonts w:ascii="Palatino Linotype" w:eastAsiaTheme="majorEastAsia" w:hAnsi="Palatino Linotype" w:cstheme="majorBidi"/>
          <w:b/>
          <w:color w:val="000000" w:themeColor="text1"/>
        </w:rPr>
      </w:pPr>
    </w:p>
    <w:p w:rsidR="004674F8" w:rsidRPr="00166794" w:rsidRDefault="004674F8" w:rsidP="004674F8">
      <w:pPr>
        <w:keepNext/>
        <w:keepLines/>
        <w:numPr>
          <w:ilvl w:val="0"/>
          <w:numId w:val="44"/>
        </w:numPr>
        <w:pBdr>
          <w:top w:val="nil"/>
          <w:left w:val="nil"/>
          <w:bottom w:val="nil"/>
          <w:right w:val="nil"/>
          <w:between w:val="nil"/>
          <w:bar w:val="nil"/>
        </w:pBdr>
        <w:spacing w:line="360" w:lineRule="auto"/>
        <w:contextualSpacing/>
        <w:outlineLvl w:val="1"/>
        <w:rPr>
          <w:rFonts w:ascii="Palatino Linotype" w:eastAsiaTheme="majorEastAsia" w:hAnsi="Palatino Linotype" w:cstheme="majorBidi"/>
          <w:b/>
          <w:color w:val="000000" w:themeColor="text1"/>
        </w:rPr>
      </w:pPr>
      <w:bookmarkStart w:id="31" w:name="_Toc4073623"/>
      <w:bookmarkStart w:id="32" w:name="_Toc4078186"/>
      <w:bookmarkStart w:id="33" w:name="_Toc34158056"/>
      <w:bookmarkStart w:id="34" w:name="_Toc34911387"/>
      <w:r w:rsidRPr="00166794">
        <w:rPr>
          <w:rFonts w:ascii="Palatino Linotype" w:eastAsiaTheme="majorEastAsia" w:hAnsi="Palatino Linotype" w:cstheme="majorBidi"/>
          <w:b/>
          <w:color w:val="000000" w:themeColor="text1"/>
        </w:rPr>
        <w:t>Formalidades para emitir el acuerdo de clasificación.</w:t>
      </w:r>
      <w:bookmarkEnd w:id="31"/>
      <w:bookmarkEnd w:id="32"/>
      <w:bookmarkEnd w:id="33"/>
      <w:bookmarkEnd w:id="34"/>
    </w:p>
    <w:p w:rsidR="004674F8" w:rsidRPr="00166794" w:rsidRDefault="004674F8" w:rsidP="004674F8">
      <w:pPr>
        <w:spacing w:line="360" w:lineRule="auto"/>
        <w:ind w:right="49"/>
        <w:contextualSpacing/>
        <w:jc w:val="both"/>
        <w:rPr>
          <w:rFonts w:ascii="Palatino Linotype" w:eastAsia="MS Mincho" w:hAnsi="Palatino Linotype"/>
        </w:rPr>
      </w:pPr>
    </w:p>
    <w:p w:rsidR="004674F8" w:rsidRPr="00166794" w:rsidRDefault="004674F8" w:rsidP="004674F8">
      <w:pPr>
        <w:numPr>
          <w:ilvl w:val="0"/>
          <w:numId w:val="1"/>
        </w:numPr>
        <w:spacing w:line="360" w:lineRule="auto"/>
        <w:ind w:left="0" w:right="49" w:firstLine="0"/>
        <w:contextualSpacing/>
        <w:jc w:val="both"/>
        <w:rPr>
          <w:rFonts w:ascii="Palatino Linotype" w:eastAsia="MS Mincho" w:hAnsi="Palatino Linotype"/>
        </w:rPr>
      </w:pPr>
      <w:r w:rsidRPr="00166794">
        <w:rPr>
          <w:rFonts w:ascii="Palatino Linotype" w:eastAsia="MS Mincho" w:hAnsi="Palatino Linotype"/>
        </w:rPr>
        <w:t xml:space="preserve">El Comité de Transparencia, </w:t>
      </w:r>
      <w:r w:rsidRPr="00166794">
        <w:rPr>
          <w:rFonts w:ascii="Palatino Linotype" w:eastAsia="MS Mincho" w:hAnsi="Palatino Linotype" w:cs="Arial"/>
          <w:color w:val="000000"/>
        </w:rPr>
        <w:t xml:space="preserve">según lo dispuesto en los artículos 128 y 103 de la Ley Estatal y de la Ley General, respectivamente, y </w:t>
      </w:r>
      <w:r w:rsidRPr="00166794">
        <w:rPr>
          <w:rFonts w:ascii="Palatino Linotype" w:eastAsia="MS Mincho" w:hAnsi="Palatino Linotype"/>
          <w:color w:val="000000"/>
        </w:rPr>
        <w:t xml:space="preserve">la fracción III del numeral Segundo de los </w:t>
      </w:r>
      <w:r w:rsidRPr="00166794">
        <w:rPr>
          <w:rFonts w:ascii="Palatino Linotype" w:eastAsia="MS Mincho" w:hAnsi="Palatino Linotype" w:cs="Arial"/>
          <w:color w:val="000000"/>
        </w:rPr>
        <w:t>Lineamientos generales en materia de clasificación y desclasificación de la información, así como para la elaboración de versiones públicas,</w:t>
      </w:r>
      <w:r w:rsidRPr="00166794">
        <w:rPr>
          <w:rFonts w:ascii="Palatino Linotype" w:eastAsia="MS Mincho" w:hAnsi="Palatino Linotype"/>
          <w:color w:val="000000"/>
        </w:rPr>
        <w:t xml:space="preserve"> </w:t>
      </w:r>
      <w:r w:rsidRPr="00166794">
        <w:rPr>
          <w:rFonts w:ascii="Palatino Linotype" w:eastAsia="MS Mincho" w:hAnsi="Palatino Linotype" w:cs="Arial"/>
          <w:color w:val="000000"/>
        </w:rPr>
        <w:t xml:space="preserve">cuenta con las facultades para confirmar, modificar o revocar la clasificación de la información que ha hecho el titular del área que administra la información. Por lo tanto, el Comité no aprueba la clasificación, sino que revisa lo que ha hecho el titular del área y confirma, modifica o revoca la decisión a través de un acuerdo. </w:t>
      </w:r>
    </w:p>
    <w:p w:rsidR="004674F8" w:rsidRPr="00166794" w:rsidRDefault="004674F8" w:rsidP="004674F8">
      <w:pPr>
        <w:spacing w:line="360" w:lineRule="auto"/>
        <w:ind w:right="49"/>
        <w:contextualSpacing/>
        <w:jc w:val="both"/>
        <w:rPr>
          <w:rFonts w:ascii="Palatino Linotype" w:eastAsia="MS Mincho" w:hAnsi="Palatino Linotype"/>
        </w:rPr>
      </w:pPr>
    </w:p>
    <w:p w:rsidR="004674F8" w:rsidRPr="00166794" w:rsidRDefault="004674F8" w:rsidP="004674F8">
      <w:pPr>
        <w:numPr>
          <w:ilvl w:val="0"/>
          <w:numId w:val="1"/>
        </w:numPr>
        <w:spacing w:line="360" w:lineRule="auto"/>
        <w:ind w:left="0" w:firstLine="0"/>
        <w:contextualSpacing/>
        <w:jc w:val="both"/>
        <w:rPr>
          <w:rFonts w:ascii="Palatino Linotype" w:hAnsi="Palatino Linotype" w:cs="Arial"/>
          <w:color w:val="000000" w:themeColor="text1"/>
        </w:rPr>
      </w:pPr>
      <w:r w:rsidRPr="00166794">
        <w:rPr>
          <w:rFonts w:ascii="Palatino Linotype" w:hAnsi="Palatino Linotype" w:cs="Arial"/>
          <w:color w:val="000000" w:themeColor="text1"/>
        </w:rPr>
        <w:t xml:space="preserve">Evidentemente, esta decisión implica una restricción a un derecho humano, por lo tanto, puede generar un agravio al particular y, en consecuencia, es necesario que el acto reúna con los requisitos elementales, entre ellos, que la autoridad que va a emitir el acto de autoridad sea la legalmente facultada para ello, es decir, que cumpla </w:t>
      </w:r>
      <w:r w:rsidRPr="00166794">
        <w:rPr>
          <w:rFonts w:ascii="Palatino Linotype" w:hAnsi="Palatino Linotype" w:cs="Arial"/>
          <w:color w:val="000000" w:themeColor="text1"/>
        </w:rPr>
        <w:lastRenderedPageBreak/>
        <w:t>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integrantes. Cualquier otra composición del Comité puede generar vicios de legalidad de origen en el acto que restringe un derecho humano.</w:t>
      </w:r>
    </w:p>
    <w:p w:rsidR="004674F8" w:rsidRPr="00166794" w:rsidRDefault="004674F8" w:rsidP="004674F8">
      <w:pPr>
        <w:spacing w:line="360" w:lineRule="auto"/>
        <w:ind w:right="49"/>
        <w:contextualSpacing/>
        <w:jc w:val="both"/>
        <w:rPr>
          <w:rFonts w:ascii="Palatino Linotype" w:eastAsia="MS Mincho" w:hAnsi="Palatino Linotype"/>
        </w:rPr>
      </w:pPr>
    </w:p>
    <w:p w:rsidR="004674F8" w:rsidRPr="00166794" w:rsidRDefault="004674F8" w:rsidP="004674F8">
      <w:pPr>
        <w:numPr>
          <w:ilvl w:val="0"/>
          <w:numId w:val="1"/>
        </w:numPr>
        <w:spacing w:line="360" w:lineRule="auto"/>
        <w:ind w:left="0" w:right="49" w:firstLine="0"/>
        <w:contextualSpacing/>
        <w:jc w:val="both"/>
        <w:rPr>
          <w:rFonts w:ascii="Palatino Linotype" w:eastAsia="MS Mincho" w:hAnsi="Palatino Linotype"/>
          <w:sz w:val="28"/>
        </w:rPr>
      </w:pPr>
      <w:r w:rsidRPr="00166794">
        <w:rPr>
          <w:rFonts w:ascii="Palatino Linotype" w:hAnsi="Palatino Linotype"/>
          <w:color w:val="000000" w:themeColor="text1"/>
        </w:rPr>
        <w:t>La 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p w:rsidR="004674F8" w:rsidRPr="00166794" w:rsidRDefault="004674F8" w:rsidP="004674F8">
      <w:pPr>
        <w:pStyle w:val="Prrafodelista"/>
        <w:spacing w:line="360" w:lineRule="auto"/>
        <w:ind w:left="360" w:right="49"/>
        <w:jc w:val="both"/>
        <w:rPr>
          <w:rFonts w:ascii="Palatino Linotype" w:eastAsia="MS Mincho" w:hAnsi="Palatino Linotype"/>
          <w:sz w:val="28"/>
        </w:rPr>
      </w:pPr>
    </w:p>
    <w:p w:rsidR="004674F8" w:rsidRPr="00166794" w:rsidRDefault="004674F8" w:rsidP="004674F8">
      <w:pPr>
        <w:pStyle w:val="Prrafodelista"/>
        <w:keepNext/>
        <w:keepLines/>
        <w:numPr>
          <w:ilvl w:val="0"/>
          <w:numId w:val="44"/>
        </w:numPr>
        <w:pBdr>
          <w:top w:val="nil"/>
          <w:left w:val="nil"/>
          <w:bottom w:val="nil"/>
          <w:right w:val="nil"/>
          <w:between w:val="nil"/>
          <w:bar w:val="nil"/>
        </w:pBdr>
        <w:spacing w:line="360" w:lineRule="auto"/>
        <w:outlineLvl w:val="1"/>
        <w:rPr>
          <w:rFonts w:ascii="Palatino Linotype" w:eastAsiaTheme="majorEastAsia" w:hAnsi="Palatino Linotype" w:cstheme="majorBidi"/>
          <w:b/>
          <w:color w:val="000000" w:themeColor="text1"/>
        </w:rPr>
      </w:pPr>
      <w:bookmarkStart w:id="35" w:name="_Toc34158057"/>
      <w:bookmarkStart w:id="36" w:name="_Toc34911388"/>
      <w:r w:rsidRPr="00166794">
        <w:rPr>
          <w:rFonts w:ascii="Palatino Linotype" w:eastAsiaTheme="majorEastAsia" w:hAnsi="Palatino Linotype" w:cstheme="majorBidi"/>
          <w:b/>
          <w:color w:val="000000" w:themeColor="text1"/>
        </w:rPr>
        <w:t>Requisitos de fondo del acuerdo de clasificación.</w:t>
      </w:r>
      <w:bookmarkEnd w:id="35"/>
      <w:bookmarkEnd w:id="36"/>
      <w:r w:rsidRPr="00166794">
        <w:rPr>
          <w:rFonts w:ascii="Palatino Linotype" w:eastAsiaTheme="majorEastAsia" w:hAnsi="Palatino Linotype" w:cstheme="majorBidi"/>
          <w:b/>
          <w:color w:val="000000" w:themeColor="text1"/>
        </w:rPr>
        <w:t xml:space="preserve"> </w:t>
      </w:r>
    </w:p>
    <w:p w:rsidR="004674F8" w:rsidRPr="00166794" w:rsidRDefault="004674F8" w:rsidP="004674F8">
      <w:pPr>
        <w:spacing w:line="360" w:lineRule="auto"/>
        <w:ind w:right="49"/>
        <w:contextualSpacing/>
        <w:jc w:val="both"/>
        <w:rPr>
          <w:rFonts w:ascii="Palatino Linotype" w:eastAsia="MS Mincho" w:hAnsi="Palatino Linotype"/>
        </w:rPr>
      </w:pPr>
    </w:p>
    <w:p w:rsidR="004674F8" w:rsidRPr="00166794" w:rsidRDefault="004674F8" w:rsidP="004674F8">
      <w:pPr>
        <w:numPr>
          <w:ilvl w:val="0"/>
          <w:numId w:val="1"/>
        </w:numPr>
        <w:spacing w:line="360" w:lineRule="auto"/>
        <w:ind w:left="0" w:firstLine="0"/>
        <w:contextualSpacing/>
        <w:jc w:val="both"/>
        <w:rPr>
          <w:rFonts w:ascii="Palatino Linotype" w:hAnsi="Palatino Linotype" w:cs="Arial"/>
          <w:color w:val="000000" w:themeColor="text1"/>
        </w:rPr>
      </w:pPr>
      <w:r w:rsidRPr="00166794">
        <w:rPr>
          <w:rFonts w:ascii="Palatino Linotype" w:hAnsi="Palatino Linotype" w:cs="Arial"/>
          <w:color w:val="000000" w:themeColor="text1"/>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w:t>
      </w:r>
      <w:r w:rsidRPr="00166794">
        <w:rPr>
          <w:rFonts w:ascii="Palatino Linotype" w:hAnsi="Palatino Linotype" w:cs="Arial"/>
          <w:color w:val="000000" w:themeColor="text1"/>
        </w:rPr>
        <w:lastRenderedPageBreak/>
        <w:t xml:space="preserve">Lineamientos Generales,  al señalar que la carga de la prueba, para justificar las restricciones, corresponde a los sujetos obligados, por lo que deberán fundar y motivar debidamente la clasificación. </w:t>
      </w:r>
    </w:p>
    <w:p w:rsidR="004674F8" w:rsidRPr="00166794" w:rsidRDefault="004674F8" w:rsidP="004674F8">
      <w:pPr>
        <w:spacing w:line="360" w:lineRule="auto"/>
        <w:contextualSpacing/>
        <w:jc w:val="both"/>
        <w:rPr>
          <w:rFonts w:ascii="Palatino Linotype" w:hAnsi="Palatino Linotype"/>
          <w:color w:val="000000" w:themeColor="text1"/>
        </w:rPr>
      </w:pPr>
    </w:p>
    <w:p w:rsidR="004674F8" w:rsidRPr="00166794" w:rsidRDefault="004674F8" w:rsidP="004674F8">
      <w:pPr>
        <w:numPr>
          <w:ilvl w:val="0"/>
          <w:numId w:val="1"/>
        </w:numPr>
        <w:spacing w:line="360" w:lineRule="auto"/>
        <w:ind w:left="0" w:firstLine="0"/>
        <w:contextualSpacing/>
        <w:jc w:val="both"/>
        <w:rPr>
          <w:rFonts w:ascii="Palatino Linotype" w:hAnsi="Palatino Linotype"/>
          <w:color w:val="000000" w:themeColor="text1"/>
        </w:rPr>
      </w:pPr>
      <w:r w:rsidRPr="00166794">
        <w:rPr>
          <w:rFonts w:ascii="Palatino Linotype" w:hAnsi="Palatino Linotype"/>
          <w:color w:val="000000" w:themeColor="text1"/>
        </w:rPr>
        <w:t xml:space="preserve">De lo anterior, se desprende que para una correcta clasificación total o parcial, esto es, determinar los datos que se suprimen en las versiones públicas, </w:t>
      </w:r>
      <w:r w:rsidRPr="00166794">
        <w:rPr>
          <w:rFonts w:ascii="Palatino Linotype" w:hAnsi="Palatino Linotype"/>
          <w:b/>
          <w:color w:val="000000" w:themeColor="text1"/>
        </w:rPr>
        <w:t>es necesario fundar y motivar</w:t>
      </w:r>
      <w:r w:rsidRPr="00166794">
        <w:rPr>
          <w:rFonts w:ascii="Palatino Linotype" w:hAnsi="Palatino Linotype"/>
          <w:color w:val="000000" w:themeColor="text1"/>
        </w:rPr>
        <w:t xml:space="preserve">, de manera correcta la clasificación; considerando que todo acto que la autoridad pronuncie en el ejercicio de sus atribuciones, debe expresar los fundamentos legales que le dieron origen y las razones por las que se deben aplicar al caso concreto, por lo que debe </w:t>
      </w:r>
      <w:r w:rsidRPr="00166794">
        <w:rPr>
          <w:rFonts w:ascii="Palatino Linotype" w:hAnsi="Palatino Linotype" w:cs="Arial"/>
          <w:color w:val="000000" w:themeColor="text1"/>
        </w:rPr>
        <w:t>entenderse por fundamentación y motivación, lo siguiente:</w:t>
      </w:r>
    </w:p>
    <w:p w:rsidR="004674F8" w:rsidRPr="00166794" w:rsidRDefault="004674F8" w:rsidP="004674F8">
      <w:pPr>
        <w:spacing w:line="360" w:lineRule="auto"/>
        <w:ind w:right="618"/>
        <w:contextualSpacing/>
        <w:jc w:val="both"/>
        <w:rPr>
          <w:rFonts w:ascii="Palatino Linotype" w:hAnsi="Palatino Linotype" w:cs="Arial"/>
          <w:color w:val="000000" w:themeColor="text1"/>
        </w:rPr>
      </w:pPr>
    </w:p>
    <w:p w:rsidR="004674F8" w:rsidRPr="00166794" w:rsidRDefault="004674F8" w:rsidP="004674F8">
      <w:pPr>
        <w:spacing w:line="360" w:lineRule="auto"/>
        <w:ind w:left="567" w:right="618"/>
        <w:contextualSpacing/>
        <w:jc w:val="both"/>
        <w:rPr>
          <w:rFonts w:ascii="Palatino Linotype" w:hAnsi="Palatino Linotype" w:cs="Arial"/>
          <w:color w:val="000000" w:themeColor="text1"/>
        </w:rPr>
      </w:pPr>
      <w:r w:rsidRPr="00166794">
        <w:rPr>
          <w:rFonts w:ascii="Palatino Linotype" w:hAnsi="Palatino Linotype" w:cs="Arial"/>
          <w:b/>
          <w:color w:val="000000" w:themeColor="text1"/>
        </w:rPr>
        <w:t>FUNDAMENTACIÓN Y MOTIVACIÓN.</w:t>
      </w:r>
      <w:r w:rsidRPr="00166794">
        <w:rPr>
          <w:rFonts w:ascii="Palatino Linotype" w:hAnsi="Palatino Linotype" w:cs="Arial"/>
          <w:color w:val="000000" w:themeColor="text1"/>
        </w:rPr>
        <w:t xml:space="preserve"> 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rsidR="004674F8" w:rsidRPr="00166794" w:rsidRDefault="004674F8" w:rsidP="004674F8">
      <w:pPr>
        <w:spacing w:line="360" w:lineRule="auto"/>
        <w:ind w:right="618"/>
        <w:contextualSpacing/>
        <w:jc w:val="both"/>
        <w:rPr>
          <w:rFonts w:ascii="Palatino Linotype" w:hAnsi="Palatino Linotype" w:cs="Arial"/>
          <w:i/>
          <w:color w:val="000000" w:themeColor="text1"/>
        </w:rPr>
      </w:pPr>
    </w:p>
    <w:p w:rsidR="004674F8" w:rsidRPr="00166794" w:rsidRDefault="004674F8" w:rsidP="004674F8">
      <w:pPr>
        <w:spacing w:line="360" w:lineRule="auto"/>
        <w:ind w:left="567" w:right="618"/>
        <w:contextualSpacing/>
        <w:jc w:val="both"/>
        <w:rPr>
          <w:rFonts w:ascii="Palatino Linotype" w:hAnsi="Palatino Linotype" w:cs="Arial"/>
          <w:color w:val="000000" w:themeColor="text1"/>
        </w:rPr>
      </w:pPr>
      <w:r w:rsidRPr="00166794">
        <w:rPr>
          <w:rFonts w:ascii="Palatino Linotype" w:hAnsi="Palatino Linotype" w:cs="Arial"/>
          <w:color w:val="000000" w:themeColor="text1"/>
        </w:rPr>
        <w:t xml:space="preserve">SEGUNDO TRIBUNAL COLEGIADO DEL SEXTO CIRCUITO. Amparo directo 194/88. Bufete Industrial Construcciones, S.A. de C.V. 28 de junio de 1988. Unanimidad de votos. Ponente: Gustavo Calvillo Rangel. Secretario: Jorge Alberto González Álvarez. Revisión fiscal 103/88. Instituto Mexicano del Seguro Social. 18 de octubre de 1988. Unanimidad de votos. Ponente: Arnoldo Nájera Virgen. Secretario: Alejandro Esponda Rincón. </w:t>
      </w:r>
      <w:r w:rsidRPr="00166794">
        <w:rPr>
          <w:rFonts w:ascii="Palatino Linotype" w:hAnsi="Palatino Linotype" w:cs="Arial"/>
          <w:color w:val="000000" w:themeColor="text1"/>
        </w:rPr>
        <w:lastRenderedPageBreak/>
        <w:t>Amparo en revisión 333/88. Adilia Romero. 26 de octubre de 1988. Unanimidad de votos. Ponente: Arnoldo Nájera Virgen. Secretario: Enrique Crispín Campos Ramírez. Amparo en revisión 597/95. Emilio Maurer Bretón. 15 de noviembre de 1995. Unanimidad de votos. Ponente: Clementina Ramírez Moguel Goyzueta. Secretario: Gonzalo Carrera Molina. Amparo directo 7/96. Pedro Vicente López Miro. 21 de febrero de 1996. Unanimidad de votos. Ponente: María Eugenia Estela Martínez Cardiel. Secretario: Enrique Baigts Muñoz.</w:t>
      </w:r>
      <w:r w:rsidRPr="00166794">
        <w:rPr>
          <w:rFonts w:ascii="Palatino Linotype" w:hAnsi="Palatino Linotype" w:cs="Arial"/>
          <w:color w:val="000000" w:themeColor="text1"/>
          <w:vertAlign w:val="superscript"/>
        </w:rPr>
        <w:footnoteReference w:id="7"/>
      </w:r>
    </w:p>
    <w:p w:rsidR="004674F8" w:rsidRPr="00166794" w:rsidRDefault="004674F8" w:rsidP="004674F8">
      <w:pPr>
        <w:spacing w:line="360" w:lineRule="auto"/>
        <w:ind w:left="567"/>
        <w:contextualSpacing/>
        <w:jc w:val="both"/>
        <w:rPr>
          <w:rFonts w:ascii="Palatino Linotype" w:hAnsi="Palatino Linotype" w:cs="Arial"/>
          <w:color w:val="000000" w:themeColor="text1"/>
          <w:lang w:val="es-ES"/>
        </w:rPr>
      </w:pPr>
    </w:p>
    <w:p w:rsidR="004674F8" w:rsidRPr="00166794" w:rsidRDefault="004674F8" w:rsidP="004674F8">
      <w:pPr>
        <w:numPr>
          <w:ilvl w:val="0"/>
          <w:numId w:val="1"/>
        </w:numPr>
        <w:shd w:val="clear" w:color="auto" w:fill="FFFFFF"/>
        <w:spacing w:line="360" w:lineRule="auto"/>
        <w:ind w:left="0" w:firstLine="0"/>
        <w:contextualSpacing/>
        <w:jc w:val="both"/>
        <w:rPr>
          <w:rFonts w:ascii="Palatino Linotype" w:hAnsi="Palatino Linotype" w:cs="Arial"/>
          <w:color w:val="000000" w:themeColor="text1"/>
        </w:rPr>
      </w:pPr>
      <w:r w:rsidRPr="00166794">
        <w:rPr>
          <w:rFonts w:ascii="Palatino Linotype" w:hAnsi="Palatino Linotype" w:cs="Arial"/>
          <w:color w:val="000000" w:themeColor="text1"/>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rsidR="004674F8" w:rsidRPr="00166794" w:rsidRDefault="004674F8" w:rsidP="004674F8">
      <w:pPr>
        <w:shd w:val="clear" w:color="auto" w:fill="FFFFFF"/>
        <w:spacing w:line="360" w:lineRule="auto"/>
        <w:contextualSpacing/>
        <w:jc w:val="both"/>
        <w:rPr>
          <w:rFonts w:ascii="Palatino Linotype" w:hAnsi="Palatino Linotype" w:cs="Arial"/>
          <w:color w:val="000000" w:themeColor="text1"/>
        </w:rPr>
      </w:pPr>
    </w:p>
    <w:p w:rsidR="004674F8" w:rsidRPr="00166794" w:rsidRDefault="004674F8" w:rsidP="004674F8">
      <w:pPr>
        <w:numPr>
          <w:ilvl w:val="0"/>
          <w:numId w:val="1"/>
        </w:numPr>
        <w:shd w:val="clear" w:color="auto" w:fill="FFFFFF"/>
        <w:spacing w:line="360" w:lineRule="auto"/>
        <w:ind w:left="0" w:firstLine="0"/>
        <w:contextualSpacing/>
        <w:jc w:val="both"/>
        <w:rPr>
          <w:rFonts w:ascii="Palatino Linotype" w:hAnsi="Palatino Linotype" w:cs="Arial"/>
          <w:color w:val="000000" w:themeColor="text1"/>
        </w:rPr>
      </w:pPr>
      <w:r w:rsidRPr="00166794">
        <w:rPr>
          <w:rFonts w:ascii="Palatino Linotype" w:hAnsi="Palatino Linotype" w:cs="Arial"/>
          <w:color w:val="000000" w:themeColor="text1"/>
        </w:rPr>
        <w:t>En ese mismo sentido, el lineamiento trigésimo tercero fracción V de los Lineamientos Generales, precisa que para motivar la clasificación se deben acreditar las circunstancias de tiempo, modo y lugar.</w:t>
      </w:r>
    </w:p>
    <w:p w:rsidR="004674F8" w:rsidRPr="00166794" w:rsidRDefault="004674F8" w:rsidP="004674F8">
      <w:pPr>
        <w:spacing w:line="360" w:lineRule="auto"/>
        <w:ind w:right="49"/>
        <w:contextualSpacing/>
        <w:jc w:val="both"/>
        <w:rPr>
          <w:rFonts w:ascii="Palatino Linotype" w:eastAsia="MS Mincho" w:hAnsi="Palatino Linotype"/>
        </w:rPr>
      </w:pPr>
    </w:p>
    <w:p w:rsidR="004674F8" w:rsidRPr="00166794" w:rsidRDefault="004674F8" w:rsidP="004674F8">
      <w:pPr>
        <w:numPr>
          <w:ilvl w:val="0"/>
          <w:numId w:val="1"/>
        </w:numPr>
        <w:spacing w:line="360" w:lineRule="auto"/>
        <w:ind w:left="0" w:right="49" w:firstLine="0"/>
        <w:contextualSpacing/>
        <w:jc w:val="both"/>
        <w:rPr>
          <w:rFonts w:ascii="Palatino Linotype" w:eastAsia="MS Mincho" w:hAnsi="Palatino Linotype"/>
        </w:rPr>
      </w:pPr>
      <w:r w:rsidRPr="00166794">
        <w:rPr>
          <w:rFonts w:ascii="Palatino Linotype" w:eastAsia="MS Mincho" w:hAnsi="Palatino Linotype"/>
        </w:rPr>
        <w:t xml:space="preserve">Los elementos que brevemente se han señalado, deben integrar el proceso de clasificación total o parcial de la información, siendo que la falta de cualquiera de ellos puede provocar que el acto que limita o restringe el derecho de acceso a la información sea considerado </w:t>
      </w:r>
      <w:r w:rsidRPr="00166794">
        <w:rPr>
          <w:rFonts w:ascii="Palatino Linotype" w:eastAsia="MS Mincho" w:hAnsi="Palatino Linotype"/>
          <w:b/>
        </w:rPr>
        <w:t xml:space="preserve">infundado y se proceda a ordenar la desclasificación de la </w:t>
      </w:r>
      <w:r w:rsidRPr="00166794">
        <w:rPr>
          <w:rFonts w:ascii="Palatino Linotype" w:eastAsia="MS Mincho" w:hAnsi="Palatino Linotype"/>
          <w:b/>
        </w:rPr>
        <w:lastRenderedPageBreak/>
        <w:t xml:space="preserve">información por el incumplimiento de las formalidades, es decir, por vicios de legalidad o a la reposición del acto. </w:t>
      </w:r>
    </w:p>
    <w:p w:rsidR="004674F8" w:rsidRPr="00166794" w:rsidRDefault="004674F8" w:rsidP="004674F8">
      <w:pPr>
        <w:spacing w:line="360" w:lineRule="auto"/>
        <w:ind w:right="49"/>
        <w:contextualSpacing/>
        <w:jc w:val="both"/>
        <w:rPr>
          <w:rFonts w:ascii="Palatino Linotype" w:eastAsia="MS Mincho" w:hAnsi="Palatino Linotype"/>
        </w:rPr>
      </w:pPr>
    </w:p>
    <w:p w:rsidR="004674F8" w:rsidRPr="00166794" w:rsidRDefault="004674F8" w:rsidP="004674F8">
      <w:pPr>
        <w:numPr>
          <w:ilvl w:val="0"/>
          <w:numId w:val="1"/>
        </w:numPr>
        <w:spacing w:line="360" w:lineRule="auto"/>
        <w:ind w:left="0" w:right="49" w:firstLine="0"/>
        <w:contextualSpacing/>
        <w:jc w:val="both"/>
        <w:rPr>
          <w:rFonts w:ascii="Palatino Linotype" w:eastAsia="MS Mincho" w:hAnsi="Palatino Linotype"/>
        </w:rPr>
      </w:pPr>
      <w:r w:rsidRPr="00166794">
        <w:rPr>
          <w:rFonts w:ascii="Palatino Linotype" w:eastAsia="MS Mincho" w:hAnsi="Palatino Linotype"/>
        </w:rPr>
        <w:t xml:space="preserve">Para tratar de ser gráficos y propiciar el mejor entendimiento, se anexa la siguiente tabla: </w:t>
      </w:r>
    </w:p>
    <w:p w:rsidR="004674F8" w:rsidRPr="00166794" w:rsidRDefault="004674F8" w:rsidP="004674F8">
      <w:pPr>
        <w:spacing w:line="360" w:lineRule="auto"/>
        <w:ind w:right="49"/>
        <w:contextualSpacing/>
        <w:jc w:val="both"/>
        <w:rPr>
          <w:rFonts w:ascii="Palatino Linotype" w:eastAsia="MS Mincho" w:hAnsi="Palatino Linotype"/>
        </w:rPr>
      </w:pPr>
    </w:p>
    <w:tbl>
      <w:tblPr>
        <w:tblStyle w:val="Tabladecuadrcula6concolores"/>
        <w:tblW w:w="7796" w:type="dxa"/>
        <w:tblInd w:w="421" w:type="dxa"/>
        <w:tblLook w:val="04A0" w:firstRow="1" w:lastRow="0" w:firstColumn="1" w:lastColumn="0" w:noHBand="0" w:noVBand="1"/>
      </w:tblPr>
      <w:tblGrid>
        <w:gridCol w:w="1760"/>
        <w:gridCol w:w="1750"/>
        <w:gridCol w:w="2266"/>
        <w:gridCol w:w="2020"/>
      </w:tblGrid>
      <w:tr w:rsidR="004674F8" w:rsidRPr="00166794" w:rsidTr="00B25E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0" w:type="dxa"/>
            <w:vMerge w:val="restart"/>
          </w:tcPr>
          <w:p w:rsidR="004674F8" w:rsidRPr="00166794" w:rsidRDefault="004674F8" w:rsidP="00B25EF1">
            <w:pPr>
              <w:spacing w:line="360" w:lineRule="auto"/>
              <w:jc w:val="center"/>
              <w:rPr>
                <w:rFonts w:ascii="Palatino Linotype" w:hAnsi="Palatino Linotype"/>
                <w:sz w:val="20"/>
                <w:szCs w:val="20"/>
              </w:rPr>
            </w:pPr>
            <w:r w:rsidRPr="00166794">
              <w:rPr>
                <w:rFonts w:ascii="Palatino Linotype" w:hAnsi="Palatino Linotype"/>
                <w:sz w:val="20"/>
                <w:szCs w:val="20"/>
              </w:rPr>
              <w:t>Requisitos previos</w:t>
            </w:r>
          </w:p>
        </w:tc>
        <w:tc>
          <w:tcPr>
            <w:tcW w:w="1750" w:type="dxa"/>
          </w:tcPr>
          <w:p w:rsidR="004674F8" w:rsidRPr="00166794" w:rsidRDefault="004674F8" w:rsidP="00B25EF1">
            <w:pPr>
              <w:spacing w:line="360" w:lineRule="auto"/>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sz w:val="20"/>
                <w:szCs w:val="20"/>
              </w:rPr>
            </w:pPr>
            <w:r w:rsidRPr="00166794">
              <w:rPr>
                <w:rFonts w:ascii="Palatino Linotype" w:hAnsi="Palatino Linotype"/>
                <w:sz w:val="20"/>
                <w:szCs w:val="20"/>
              </w:rPr>
              <w:t>Los sujetos obligados determinan que la información actualiza alguno de los supuestos de clasificación:</w:t>
            </w:r>
          </w:p>
        </w:tc>
        <w:tc>
          <w:tcPr>
            <w:tcW w:w="2266" w:type="dxa"/>
          </w:tcPr>
          <w:p w:rsidR="004674F8" w:rsidRPr="00166794" w:rsidRDefault="004674F8" w:rsidP="00B25EF1">
            <w:pPr>
              <w:spacing w:line="360" w:lineRule="auto"/>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sz w:val="20"/>
                <w:szCs w:val="20"/>
              </w:rPr>
            </w:pPr>
          </w:p>
          <w:p w:rsidR="004674F8" w:rsidRPr="00166794" w:rsidRDefault="004674F8" w:rsidP="00B25EF1">
            <w:pPr>
              <w:spacing w:line="360" w:lineRule="auto"/>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sz w:val="20"/>
                <w:szCs w:val="20"/>
              </w:rPr>
            </w:pPr>
          </w:p>
          <w:p w:rsidR="004674F8" w:rsidRPr="00166794" w:rsidRDefault="004674F8" w:rsidP="00B25EF1">
            <w:pPr>
              <w:spacing w:line="360" w:lineRule="auto"/>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sz w:val="20"/>
                <w:szCs w:val="20"/>
              </w:rPr>
            </w:pPr>
          </w:p>
          <w:p w:rsidR="004674F8" w:rsidRPr="00166794" w:rsidRDefault="004674F8" w:rsidP="004674F8">
            <w:pPr>
              <w:numPr>
                <w:ilvl w:val="0"/>
                <w:numId w:val="31"/>
              </w:numPr>
              <w:spacing w:line="360" w:lineRule="auto"/>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sz w:val="20"/>
                <w:szCs w:val="20"/>
              </w:rPr>
            </w:pPr>
            <w:r w:rsidRPr="00166794">
              <w:rPr>
                <w:rFonts w:ascii="Palatino Linotype" w:hAnsi="Palatino Linotype"/>
                <w:sz w:val="20"/>
                <w:szCs w:val="20"/>
              </w:rPr>
              <w:t xml:space="preserve">Confidencialidad </w:t>
            </w:r>
          </w:p>
          <w:p w:rsidR="004674F8" w:rsidRPr="00166794" w:rsidRDefault="004674F8" w:rsidP="004674F8">
            <w:pPr>
              <w:numPr>
                <w:ilvl w:val="0"/>
                <w:numId w:val="31"/>
              </w:numPr>
              <w:spacing w:line="360" w:lineRule="auto"/>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sz w:val="20"/>
                <w:szCs w:val="20"/>
              </w:rPr>
            </w:pPr>
            <w:r w:rsidRPr="00166794">
              <w:rPr>
                <w:rFonts w:ascii="Palatino Linotype" w:hAnsi="Palatino Linotype"/>
                <w:sz w:val="20"/>
                <w:szCs w:val="20"/>
              </w:rPr>
              <w:t>Reserva</w:t>
            </w:r>
          </w:p>
        </w:tc>
        <w:tc>
          <w:tcPr>
            <w:tcW w:w="2020" w:type="dxa"/>
          </w:tcPr>
          <w:p w:rsidR="004674F8" w:rsidRPr="00166794" w:rsidRDefault="004674F8" w:rsidP="00B25EF1">
            <w:pPr>
              <w:spacing w:line="360" w:lineRule="auto"/>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sz w:val="20"/>
                <w:szCs w:val="20"/>
              </w:rPr>
            </w:pPr>
          </w:p>
        </w:tc>
      </w:tr>
      <w:tr w:rsidR="004674F8" w:rsidRPr="00166794" w:rsidTr="00B25E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0" w:type="dxa"/>
            <w:vMerge/>
          </w:tcPr>
          <w:p w:rsidR="004674F8" w:rsidRPr="00166794" w:rsidRDefault="004674F8" w:rsidP="00B25EF1">
            <w:pPr>
              <w:spacing w:line="360" w:lineRule="auto"/>
              <w:jc w:val="both"/>
              <w:rPr>
                <w:rFonts w:ascii="Palatino Linotype" w:hAnsi="Palatino Linotype"/>
                <w:sz w:val="20"/>
                <w:szCs w:val="20"/>
              </w:rPr>
            </w:pPr>
          </w:p>
        </w:tc>
        <w:tc>
          <w:tcPr>
            <w:tcW w:w="1750" w:type="dxa"/>
          </w:tcPr>
          <w:p w:rsidR="004674F8" w:rsidRPr="00166794" w:rsidRDefault="004674F8" w:rsidP="00B25EF1">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20"/>
                <w:szCs w:val="20"/>
              </w:rPr>
            </w:pPr>
            <w:r w:rsidRPr="00166794">
              <w:rPr>
                <w:rFonts w:ascii="Palatino Linotype" w:hAnsi="Palatino Linotype"/>
                <w:sz w:val="20"/>
                <w:szCs w:val="20"/>
              </w:rPr>
              <w:t xml:space="preserve">Los titulares de las áreas que administran la información son los que aprueban la clasificación </w:t>
            </w:r>
          </w:p>
        </w:tc>
        <w:tc>
          <w:tcPr>
            <w:tcW w:w="2266" w:type="dxa"/>
          </w:tcPr>
          <w:p w:rsidR="004674F8" w:rsidRPr="00166794" w:rsidRDefault="004674F8" w:rsidP="00B25EF1">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20"/>
                <w:szCs w:val="20"/>
              </w:rPr>
            </w:pPr>
          </w:p>
        </w:tc>
        <w:tc>
          <w:tcPr>
            <w:tcW w:w="2020" w:type="dxa"/>
          </w:tcPr>
          <w:p w:rsidR="004674F8" w:rsidRPr="00166794" w:rsidRDefault="004674F8" w:rsidP="00B25EF1">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20"/>
                <w:szCs w:val="20"/>
              </w:rPr>
            </w:pPr>
          </w:p>
        </w:tc>
      </w:tr>
      <w:tr w:rsidR="004674F8" w:rsidRPr="00166794" w:rsidTr="00B25EF1">
        <w:tc>
          <w:tcPr>
            <w:cnfStyle w:val="001000000000" w:firstRow="0" w:lastRow="0" w:firstColumn="1" w:lastColumn="0" w:oddVBand="0" w:evenVBand="0" w:oddHBand="0" w:evenHBand="0" w:firstRowFirstColumn="0" w:firstRowLastColumn="0" w:lastRowFirstColumn="0" w:lastRowLastColumn="0"/>
            <w:tcW w:w="1760" w:type="dxa"/>
            <w:vMerge/>
          </w:tcPr>
          <w:p w:rsidR="004674F8" w:rsidRPr="00166794" w:rsidRDefault="004674F8" w:rsidP="00B25EF1">
            <w:pPr>
              <w:spacing w:line="360" w:lineRule="auto"/>
              <w:jc w:val="both"/>
              <w:rPr>
                <w:rFonts w:ascii="Palatino Linotype" w:hAnsi="Palatino Linotype"/>
                <w:sz w:val="20"/>
                <w:szCs w:val="20"/>
              </w:rPr>
            </w:pPr>
          </w:p>
        </w:tc>
        <w:tc>
          <w:tcPr>
            <w:tcW w:w="1750" w:type="dxa"/>
          </w:tcPr>
          <w:p w:rsidR="004674F8" w:rsidRPr="00166794" w:rsidRDefault="004674F8" w:rsidP="00B25EF1">
            <w:pPr>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20"/>
                <w:szCs w:val="20"/>
              </w:rPr>
            </w:pPr>
            <w:r w:rsidRPr="00166794">
              <w:rPr>
                <w:rFonts w:ascii="Palatino Linotype" w:hAnsi="Palatino Linotype"/>
                <w:sz w:val="20"/>
                <w:szCs w:val="20"/>
              </w:rPr>
              <w:t>La clasificación de la información se realiza al momento de:</w:t>
            </w:r>
          </w:p>
        </w:tc>
        <w:tc>
          <w:tcPr>
            <w:tcW w:w="2266" w:type="dxa"/>
          </w:tcPr>
          <w:p w:rsidR="004674F8" w:rsidRPr="00166794" w:rsidRDefault="004674F8" w:rsidP="004674F8">
            <w:pPr>
              <w:numPr>
                <w:ilvl w:val="0"/>
                <w:numId w:val="30"/>
              </w:num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20"/>
                <w:szCs w:val="20"/>
              </w:rPr>
            </w:pPr>
            <w:r w:rsidRPr="00166794">
              <w:rPr>
                <w:rFonts w:ascii="Palatino Linotype" w:hAnsi="Palatino Linotype"/>
                <w:sz w:val="20"/>
                <w:szCs w:val="20"/>
              </w:rPr>
              <w:t>Atender una solicitud</w:t>
            </w:r>
          </w:p>
          <w:p w:rsidR="004674F8" w:rsidRPr="00166794" w:rsidRDefault="004674F8" w:rsidP="004674F8">
            <w:pPr>
              <w:numPr>
                <w:ilvl w:val="0"/>
                <w:numId w:val="30"/>
              </w:num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20"/>
                <w:szCs w:val="20"/>
              </w:rPr>
            </w:pPr>
            <w:r w:rsidRPr="00166794">
              <w:rPr>
                <w:rFonts w:ascii="Palatino Linotype" w:hAnsi="Palatino Linotype"/>
                <w:sz w:val="20"/>
                <w:szCs w:val="20"/>
              </w:rPr>
              <w:t>Por mandato de una autoridad competente</w:t>
            </w:r>
          </w:p>
          <w:p w:rsidR="004674F8" w:rsidRPr="00166794" w:rsidRDefault="004674F8" w:rsidP="004674F8">
            <w:pPr>
              <w:numPr>
                <w:ilvl w:val="0"/>
                <w:numId w:val="30"/>
              </w:num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20"/>
                <w:szCs w:val="20"/>
              </w:rPr>
            </w:pPr>
            <w:r w:rsidRPr="00166794">
              <w:rPr>
                <w:rFonts w:ascii="Palatino Linotype" w:hAnsi="Palatino Linotype"/>
                <w:sz w:val="20"/>
                <w:szCs w:val="20"/>
              </w:rPr>
              <w:t xml:space="preserve">Para elaborar una versión pública y cumplir una </w:t>
            </w:r>
            <w:r w:rsidRPr="00166794">
              <w:rPr>
                <w:rFonts w:ascii="Palatino Linotype" w:hAnsi="Palatino Linotype"/>
                <w:sz w:val="20"/>
                <w:szCs w:val="20"/>
              </w:rPr>
              <w:lastRenderedPageBreak/>
              <w:t>obligación de transparencia</w:t>
            </w:r>
          </w:p>
        </w:tc>
        <w:tc>
          <w:tcPr>
            <w:tcW w:w="2020" w:type="dxa"/>
          </w:tcPr>
          <w:p w:rsidR="004674F8" w:rsidRPr="00166794" w:rsidRDefault="004674F8" w:rsidP="00B25EF1">
            <w:pPr>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20"/>
                <w:szCs w:val="20"/>
              </w:rPr>
            </w:pPr>
          </w:p>
        </w:tc>
      </w:tr>
      <w:tr w:rsidR="004674F8" w:rsidRPr="00166794" w:rsidTr="00B25E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0" w:type="dxa"/>
            <w:vMerge/>
          </w:tcPr>
          <w:p w:rsidR="004674F8" w:rsidRPr="00166794" w:rsidRDefault="004674F8" w:rsidP="00B25EF1">
            <w:pPr>
              <w:spacing w:line="360" w:lineRule="auto"/>
              <w:jc w:val="both"/>
              <w:rPr>
                <w:rFonts w:ascii="Palatino Linotype" w:hAnsi="Palatino Linotype"/>
                <w:sz w:val="20"/>
                <w:szCs w:val="20"/>
              </w:rPr>
            </w:pPr>
          </w:p>
        </w:tc>
        <w:tc>
          <w:tcPr>
            <w:tcW w:w="1750" w:type="dxa"/>
          </w:tcPr>
          <w:p w:rsidR="004674F8" w:rsidRPr="00166794" w:rsidRDefault="004674F8" w:rsidP="00B25EF1">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20"/>
                <w:szCs w:val="20"/>
              </w:rPr>
            </w:pPr>
            <w:r w:rsidRPr="00166794">
              <w:rPr>
                <w:rFonts w:ascii="Palatino Linotype" w:hAnsi="Palatino Linotype"/>
                <w:sz w:val="20"/>
                <w:szCs w:val="20"/>
              </w:rPr>
              <w:t>No se pueden emitir acuerdos de carácter general ni particular</w:t>
            </w:r>
          </w:p>
        </w:tc>
        <w:tc>
          <w:tcPr>
            <w:tcW w:w="2266" w:type="dxa"/>
          </w:tcPr>
          <w:p w:rsidR="004674F8" w:rsidRPr="00166794" w:rsidRDefault="004674F8" w:rsidP="00B25EF1">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20"/>
                <w:szCs w:val="20"/>
              </w:rPr>
            </w:pPr>
            <w:r w:rsidRPr="00166794">
              <w:rPr>
                <w:rFonts w:ascii="Palatino Linotype" w:hAnsi="Palatino Linotype"/>
                <w:sz w:val="20"/>
                <w:szCs w:val="20"/>
              </w:rPr>
              <w:t xml:space="preserve">El sujeto obligado debe emitir un acuerdo describiendo y analizando cada documento de un expediente y todos los datos incluidos en un documento </w:t>
            </w:r>
          </w:p>
        </w:tc>
        <w:tc>
          <w:tcPr>
            <w:tcW w:w="2020" w:type="dxa"/>
          </w:tcPr>
          <w:p w:rsidR="004674F8" w:rsidRPr="00166794" w:rsidRDefault="004674F8" w:rsidP="00B25EF1">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20"/>
                <w:szCs w:val="20"/>
              </w:rPr>
            </w:pPr>
          </w:p>
        </w:tc>
      </w:tr>
      <w:tr w:rsidR="004674F8" w:rsidRPr="00166794" w:rsidTr="00B25EF1">
        <w:tc>
          <w:tcPr>
            <w:cnfStyle w:val="001000000000" w:firstRow="0" w:lastRow="0" w:firstColumn="1" w:lastColumn="0" w:oddVBand="0" w:evenVBand="0" w:oddHBand="0" w:evenHBand="0" w:firstRowFirstColumn="0" w:firstRowLastColumn="0" w:lastRowFirstColumn="0" w:lastRowLastColumn="0"/>
            <w:tcW w:w="1760" w:type="dxa"/>
            <w:vMerge w:val="restart"/>
          </w:tcPr>
          <w:p w:rsidR="004674F8" w:rsidRPr="00166794" w:rsidRDefault="004674F8" w:rsidP="00B25EF1">
            <w:pPr>
              <w:spacing w:line="360" w:lineRule="auto"/>
              <w:jc w:val="both"/>
              <w:rPr>
                <w:rFonts w:ascii="Palatino Linotype" w:hAnsi="Palatino Linotype"/>
                <w:sz w:val="20"/>
                <w:szCs w:val="20"/>
              </w:rPr>
            </w:pPr>
            <w:r w:rsidRPr="00166794">
              <w:rPr>
                <w:rFonts w:ascii="Palatino Linotype" w:hAnsi="Palatino Linotype"/>
                <w:sz w:val="20"/>
                <w:szCs w:val="20"/>
              </w:rPr>
              <w:t>Supuestos de clasificación</w:t>
            </w:r>
          </w:p>
        </w:tc>
        <w:tc>
          <w:tcPr>
            <w:tcW w:w="1750" w:type="dxa"/>
          </w:tcPr>
          <w:p w:rsidR="004674F8" w:rsidRPr="00166794" w:rsidRDefault="004674F8" w:rsidP="00B25EF1">
            <w:pPr>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20"/>
                <w:szCs w:val="20"/>
              </w:rPr>
            </w:pPr>
            <w:r w:rsidRPr="00166794">
              <w:rPr>
                <w:rFonts w:ascii="Palatino Linotype" w:hAnsi="Palatino Linotype"/>
                <w:sz w:val="20"/>
                <w:szCs w:val="20"/>
              </w:rPr>
              <w:t>Para clasificar la información como reservada hay</w:t>
            </w:r>
          </w:p>
        </w:tc>
        <w:tc>
          <w:tcPr>
            <w:tcW w:w="2266" w:type="dxa"/>
          </w:tcPr>
          <w:p w:rsidR="004674F8" w:rsidRPr="00166794" w:rsidRDefault="004674F8" w:rsidP="004674F8">
            <w:pPr>
              <w:numPr>
                <w:ilvl w:val="0"/>
                <w:numId w:val="32"/>
              </w:num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20"/>
                <w:szCs w:val="20"/>
              </w:rPr>
            </w:pPr>
            <w:r w:rsidRPr="00166794">
              <w:rPr>
                <w:rFonts w:ascii="Palatino Linotype" w:hAnsi="Palatino Linotype"/>
                <w:sz w:val="20"/>
                <w:szCs w:val="20"/>
              </w:rPr>
              <w:t>11 supuestos en la Ley Estatal</w:t>
            </w:r>
          </w:p>
          <w:p w:rsidR="004674F8" w:rsidRPr="00166794" w:rsidRDefault="004674F8" w:rsidP="004674F8">
            <w:pPr>
              <w:numPr>
                <w:ilvl w:val="0"/>
                <w:numId w:val="32"/>
              </w:num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20"/>
                <w:szCs w:val="20"/>
              </w:rPr>
            </w:pPr>
            <w:r w:rsidRPr="00166794">
              <w:rPr>
                <w:rFonts w:ascii="Palatino Linotype" w:hAnsi="Palatino Linotype"/>
                <w:sz w:val="20"/>
                <w:szCs w:val="20"/>
              </w:rPr>
              <w:t>13 supuestos en la Ley General</w:t>
            </w:r>
          </w:p>
        </w:tc>
        <w:tc>
          <w:tcPr>
            <w:tcW w:w="2020" w:type="dxa"/>
          </w:tcPr>
          <w:p w:rsidR="004674F8" w:rsidRPr="00166794" w:rsidRDefault="004674F8" w:rsidP="00B25EF1">
            <w:pPr>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20"/>
                <w:szCs w:val="20"/>
              </w:rPr>
            </w:pPr>
            <w:r w:rsidRPr="00166794">
              <w:rPr>
                <w:rFonts w:ascii="Palatino Linotype" w:hAnsi="Palatino Linotype"/>
                <w:sz w:val="20"/>
                <w:szCs w:val="20"/>
              </w:rPr>
              <w:t>El sujeto obligado debe identificar claramente la información que se pretende clasificar y realizar un juicio de subsunción o encaje</w:t>
            </w:r>
          </w:p>
        </w:tc>
      </w:tr>
      <w:tr w:rsidR="004674F8" w:rsidRPr="00166794" w:rsidTr="00B25E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0" w:type="dxa"/>
            <w:vMerge/>
          </w:tcPr>
          <w:p w:rsidR="004674F8" w:rsidRPr="00166794" w:rsidRDefault="004674F8" w:rsidP="00B25EF1">
            <w:pPr>
              <w:spacing w:line="360" w:lineRule="auto"/>
              <w:jc w:val="both"/>
              <w:rPr>
                <w:rFonts w:ascii="Palatino Linotype" w:hAnsi="Palatino Linotype"/>
                <w:sz w:val="20"/>
                <w:szCs w:val="20"/>
              </w:rPr>
            </w:pPr>
          </w:p>
        </w:tc>
        <w:tc>
          <w:tcPr>
            <w:tcW w:w="1750" w:type="dxa"/>
          </w:tcPr>
          <w:p w:rsidR="004674F8" w:rsidRPr="00166794" w:rsidRDefault="004674F8" w:rsidP="00B25EF1">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20"/>
                <w:szCs w:val="20"/>
              </w:rPr>
            </w:pPr>
            <w:r w:rsidRPr="00166794">
              <w:rPr>
                <w:rFonts w:ascii="Palatino Linotype" w:hAnsi="Palatino Linotype"/>
                <w:sz w:val="20"/>
                <w:szCs w:val="20"/>
              </w:rPr>
              <w:t>Para clasificar la información como confidencial hay</w:t>
            </w:r>
          </w:p>
        </w:tc>
        <w:tc>
          <w:tcPr>
            <w:tcW w:w="2266" w:type="dxa"/>
          </w:tcPr>
          <w:p w:rsidR="004674F8" w:rsidRPr="00166794" w:rsidRDefault="004674F8" w:rsidP="00B25EF1">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20"/>
                <w:szCs w:val="20"/>
              </w:rPr>
            </w:pPr>
            <w:r w:rsidRPr="00166794">
              <w:rPr>
                <w:rFonts w:ascii="Palatino Linotype" w:hAnsi="Palatino Linotype"/>
                <w:sz w:val="20"/>
                <w:szCs w:val="20"/>
              </w:rPr>
              <w:t>que considerar la definición de dato personal</w:t>
            </w:r>
          </w:p>
        </w:tc>
        <w:tc>
          <w:tcPr>
            <w:tcW w:w="2020" w:type="dxa"/>
          </w:tcPr>
          <w:p w:rsidR="004674F8" w:rsidRPr="00166794" w:rsidRDefault="004674F8" w:rsidP="00B25EF1">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20"/>
                <w:szCs w:val="20"/>
              </w:rPr>
            </w:pPr>
          </w:p>
        </w:tc>
      </w:tr>
      <w:tr w:rsidR="004674F8" w:rsidRPr="00166794" w:rsidTr="00B25EF1">
        <w:tc>
          <w:tcPr>
            <w:cnfStyle w:val="001000000000" w:firstRow="0" w:lastRow="0" w:firstColumn="1" w:lastColumn="0" w:oddVBand="0" w:evenVBand="0" w:oddHBand="0" w:evenHBand="0" w:firstRowFirstColumn="0" w:firstRowLastColumn="0" w:lastRowFirstColumn="0" w:lastRowLastColumn="0"/>
            <w:tcW w:w="1760" w:type="dxa"/>
            <w:vMerge/>
          </w:tcPr>
          <w:p w:rsidR="004674F8" w:rsidRPr="00166794" w:rsidRDefault="004674F8" w:rsidP="00B25EF1">
            <w:pPr>
              <w:spacing w:line="360" w:lineRule="auto"/>
              <w:jc w:val="both"/>
              <w:rPr>
                <w:rFonts w:ascii="Palatino Linotype" w:hAnsi="Palatino Linotype"/>
                <w:sz w:val="20"/>
                <w:szCs w:val="20"/>
              </w:rPr>
            </w:pPr>
          </w:p>
        </w:tc>
        <w:tc>
          <w:tcPr>
            <w:tcW w:w="1750" w:type="dxa"/>
          </w:tcPr>
          <w:p w:rsidR="004674F8" w:rsidRPr="00166794" w:rsidRDefault="004674F8" w:rsidP="00B25EF1">
            <w:pPr>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20"/>
                <w:szCs w:val="20"/>
              </w:rPr>
            </w:pPr>
            <w:r w:rsidRPr="00166794">
              <w:rPr>
                <w:rFonts w:ascii="Palatino Linotype" w:hAnsi="Palatino Linotype"/>
                <w:sz w:val="20"/>
                <w:szCs w:val="20"/>
              </w:rPr>
              <w:t>Estos supuestos se aplican de manera restrictiva y estricta, no pueden ampliarse</w:t>
            </w:r>
          </w:p>
        </w:tc>
        <w:tc>
          <w:tcPr>
            <w:tcW w:w="2266" w:type="dxa"/>
          </w:tcPr>
          <w:p w:rsidR="004674F8" w:rsidRPr="00166794" w:rsidRDefault="004674F8" w:rsidP="00B25EF1">
            <w:pPr>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20"/>
                <w:szCs w:val="20"/>
              </w:rPr>
            </w:pPr>
          </w:p>
        </w:tc>
        <w:tc>
          <w:tcPr>
            <w:tcW w:w="2020" w:type="dxa"/>
          </w:tcPr>
          <w:p w:rsidR="004674F8" w:rsidRPr="00166794" w:rsidRDefault="004674F8" w:rsidP="00B25EF1">
            <w:pPr>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20"/>
                <w:szCs w:val="20"/>
              </w:rPr>
            </w:pPr>
          </w:p>
        </w:tc>
      </w:tr>
      <w:tr w:rsidR="004674F8" w:rsidRPr="00166794" w:rsidTr="00B25E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0" w:type="dxa"/>
            <w:vMerge w:val="restart"/>
          </w:tcPr>
          <w:p w:rsidR="004674F8" w:rsidRPr="00166794" w:rsidRDefault="004674F8" w:rsidP="00B25EF1">
            <w:pPr>
              <w:spacing w:line="360" w:lineRule="auto"/>
              <w:jc w:val="both"/>
              <w:rPr>
                <w:rFonts w:ascii="Palatino Linotype" w:hAnsi="Palatino Linotype"/>
                <w:sz w:val="20"/>
                <w:szCs w:val="20"/>
              </w:rPr>
            </w:pPr>
            <w:r w:rsidRPr="00166794">
              <w:rPr>
                <w:rFonts w:ascii="Palatino Linotype" w:hAnsi="Palatino Linotype"/>
                <w:sz w:val="20"/>
                <w:szCs w:val="20"/>
              </w:rPr>
              <w:lastRenderedPageBreak/>
              <w:t>Excepciones a la clasificación de reserva</w:t>
            </w:r>
          </w:p>
        </w:tc>
        <w:tc>
          <w:tcPr>
            <w:tcW w:w="1750" w:type="dxa"/>
            <w:vMerge w:val="restart"/>
          </w:tcPr>
          <w:p w:rsidR="004674F8" w:rsidRPr="00166794" w:rsidRDefault="004674F8" w:rsidP="00B25EF1">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20"/>
                <w:szCs w:val="20"/>
              </w:rPr>
            </w:pPr>
            <w:r w:rsidRPr="00166794">
              <w:rPr>
                <w:rFonts w:ascii="Palatino Linotype" w:hAnsi="Palatino Linotype"/>
                <w:sz w:val="20"/>
                <w:szCs w:val="20"/>
              </w:rPr>
              <w:t>No puede clasificarse como información reservada la concerniente a:</w:t>
            </w:r>
          </w:p>
        </w:tc>
        <w:tc>
          <w:tcPr>
            <w:tcW w:w="2266" w:type="dxa"/>
          </w:tcPr>
          <w:p w:rsidR="004674F8" w:rsidRPr="00166794" w:rsidRDefault="004674F8" w:rsidP="00B25EF1">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20"/>
                <w:szCs w:val="20"/>
              </w:rPr>
            </w:pPr>
            <w:r w:rsidRPr="00166794">
              <w:rPr>
                <w:rFonts w:ascii="Palatino Linotype" w:hAnsi="Palatino Linotype"/>
                <w:sz w:val="20"/>
                <w:szCs w:val="20"/>
              </w:rPr>
              <w:t>Actos (probados o en investigación) graves de violaciones a derechos humanos</w:t>
            </w:r>
          </w:p>
        </w:tc>
        <w:tc>
          <w:tcPr>
            <w:tcW w:w="2020" w:type="dxa"/>
          </w:tcPr>
          <w:p w:rsidR="004674F8" w:rsidRPr="00166794" w:rsidRDefault="004674F8" w:rsidP="00B25EF1">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20"/>
                <w:szCs w:val="20"/>
              </w:rPr>
            </w:pPr>
          </w:p>
        </w:tc>
      </w:tr>
      <w:tr w:rsidR="004674F8" w:rsidRPr="00166794" w:rsidTr="00B25EF1">
        <w:tc>
          <w:tcPr>
            <w:cnfStyle w:val="001000000000" w:firstRow="0" w:lastRow="0" w:firstColumn="1" w:lastColumn="0" w:oddVBand="0" w:evenVBand="0" w:oddHBand="0" w:evenHBand="0" w:firstRowFirstColumn="0" w:firstRowLastColumn="0" w:lastRowFirstColumn="0" w:lastRowLastColumn="0"/>
            <w:tcW w:w="1760" w:type="dxa"/>
            <w:vMerge/>
          </w:tcPr>
          <w:p w:rsidR="004674F8" w:rsidRPr="00166794" w:rsidRDefault="004674F8" w:rsidP="00B25EF1">
            <w:pPr>
              <w:spacing w:line="360" w:lineRule="auto"/>
              <w:jc w:val="both"/>
              <w:rPr>
                <w:rFonts w:ascii="Palatino Linotype" w:hAnsi="Palatino Linotype"/>
                <w:sz w:val="20"/>
                <w:szCs w:val="20"/>
              </w:rPr>
            </w:pPr>
          </w:p>
        </w:tc>
        <w:tc>
          <w:tcPr>
            <w:tcW w:w="1750" w:type="dxa"/>
            <w:vMerge/>
          </w:tcPr>
          <w:p w:rsidR="004674F8" w:rsidRPr="00166794" w:rsidRDefault="004674F8" w:rsidP="00B25EF1">
            <w:pPr>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20"/>
                <w:szCs w:val="20"/>
              </w:rPr>
            </w:pPr>
          </w:p>
        </w:tc>
        <w:tc>
          <w:tcPr>
            <w:tcW w:w="2266" w:type="dxa"/>
          </w:tcPr>
          <w:p w:rsidR="004674F8" w:rsidRPr="00166794" w:rsidRDefault="004674F8" w:rsidP="00B25EF1">
            <w:pPr>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20"/>
                <w:szCs w:val="20"/>
              </w:rPr>
            </w:pPr>
            <w:r w:rsidRPr="00166794">
              <w:rPr>
                <w:rFonts w:ascii="Palatino Linotype" w:hAnsi="Palatino Linotype"/>
                <w:sz w:val="20"/>
                <w:szCs w:val="20"/>
              </w:rPr>
              <w:t>Delitos de lessa humanidad</w:t>
            </w:r>
          </w:p>
        </w:tc>
        <w:tc>
          <w:tcPr>
            <w:tcW w:w="2020" w:type="dxa"/>
          </w:tcPr>
          <w:p w:rsidR="004674F8" w:rsidRPr="00166794" w:rsidRDefault="004674F8" w:rsidP="00B25EF1">
            <w:pPr>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20"/>
                <w:szCs w:val="20"/>
              </w:rPr>
            </w:pPr>
          </w:p>
        </w:tc>
      </w:tr>
      <w:tr w:rsidR="004674F8" w:rsidRPr="00166794" w:rsidTr="00B25E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0" w:type="dxa"/>
            <w:vMerge/>
          </w:tcPr>
          <w:p w:rsidR="004674F8" w:rsidRPr="00166794" w:rsidRDefault="004674F8" w:rsidP="00B25EF1">
            <w:pPr>
              <w:spacing w:line="360" w:lineRule="auto"/>
              <w:jc w:val="both"/>
              <w:rPr>
                <w:rFonts w:ascii="Palatino Linotype" w:hAnsi="Palatino Linotype"/>
                <w:sz w:val="20"/>
                <w:szCs w:val="20"/>
              </w:rPr>
            </w:pPr>
          </w:p>
        </w:tc>
        <w:tc>
          <w:tcPr>
            <w:tcW w:w="1750" w:type="dxa"/>
            <w:vMerge/>
          </w:tcPr>
          <w:p w:rsidR="004674F8" w:rsidRPr="00166794" w:rsidRDefault="004674F8" w:rsidP="00B25EF1">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20"/>
                <w:szCs w:val="20"/>
              </w:rPr>
            </w:pPr>
          </w:p>
        </w:tc>
        <w:tc>
          <w:tcPr>
            <w:tcW w:w="2266" w:type="dxa"/>
          </w:tcPr>
          <w:p w:rsidR="004674F8" w:rsidRPr="00166794" w:rsidRDefault="004674F8" w:rsidP="00B25EF1">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20"/>
                <w:szCs w:val="20"/>
              </w:rPr>
            </w:pPr>
            <w:r w:rsidRPr="00166794">
              <w:rPr>
                <w:rFonts w:ascii="Palatino Linotype" w:hAnsi="Palatino Linotype"/>
                <w:sz w:val="20"/>
                <w:szCs w:val="20"/>
              </w:rPr>
              <w:t>Actos de Corrupción</w:t>
            </w:r>
          </w:p>
        </w:tc>
        <w:tc>
          <w:tcPr>
            <w:tcW w:w="2020" w:type="dxa"/>
          </w:tcPr>
          <w:p w:rsidR="004674F8" w:rsidRPr="00166794" w:rsidRDefault="004674F8" w:rsidP="00B25EF1">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20"/>
                <w:szCs w:val="20"/>
              </w:rPr>
            </w:pPr>
            <w:r w:rsidRPr="00166794">
              <w:rPr>
                <w:rFonts w:ascii="Palatino Linotype" w:hAnsi="Palatino Linotype"/>
                <w:sz w:val="20"/>
                <w:szCs w:val="20"/>
              </w:rPr>
              <w:t>Los comprendidos en el Título Sexto del Código Penal del Estado</w:t>
            </w:r>
          </w:p>
        </w:tc>
      </w:tr>
      <w:tr w:rsidR="004674F8" w:rsidRPr="00166794" w:rsidTr="00B25EF1">
        <w:tc>
          <w:tcPr>
            <w:cnfStyle w:val="001000000000" w:firstRow="0" w:lastRow="0" w:firstColumn="1" w:lastColumn="0" w:oddVBand="0" w:evenVBand="0" w:oddHBand="0" w:evenHBand="0" w:firstRowFirstColumn="0" w:firstRowLastColumn="0" w:lastRowFirstColumn="0" w:lastRowLastColumn="0"/>
            <w:tcW w:w="1760" w:type="dxa"/>
            <w:vMerge w:val="restart"/>
            <w:shd w:val="clear" w:color="auto" w:fill="auto"/>
          </w:tcPr>
          <w:p w:rsidR="004674F8" w:rsidRPr="00166794" w:rsidRDefault="004674F8" w:rsidP="00B25EF1">
            <w:pPr>
              <w:shd w:val="clear" w:color="auto" w:fill="AADAF8"/>
              <w:spacing w:line="360" w:lineRule="auto"/>
              <w:jc w:val="both"/>
              <w:rPr>
                <w:rFonts w:ascii="Palatino Linotype" w:hAnsi="Palatino Linotype"/>
                <w:sz w:val="20"/>
                <w:szCs w:val="20"/>
              </w:rPr>
            </w:pPr>
            <w:r w:rsidRPr="00166794">
              <w:rPr>
                <w:rFonts w:ascii="Palatino Linotype" w:hAnsi="Palatino Linotype"/>
                <w:sz w:val="20"/>
                <w:szCs w:val="20"/>
              </w:rPr>
              <w:t>Participación del Comité de Transparencia</w:t>
            </w:r>
          </w:p>
        </w:tc>
        <w:tc>
          <w:tcPr>
            <w:tcW w:w="1750" w:type="dxa"/>
            <w:vMerge w:val="restart"/>
            <w:shd w:val="clear" w:color="auto" w:fill="auto"/>
          </w:tcPr>
          <w:p w:rsidR="004674F8" w:rsidRPr="00166794" w:rsidRDefault="004674F8" w:rsidP="00B25EF1">
            <w:pPr>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20"/>
                <w:szCs w:val="20"/>
              </w:rPr>
            </w:pPr>
            <w:r w:rsidRPr="00166794">
              <w:rPr>
                <w:rFonts w:ascii="Palatino Linotype" w:hAnsi="Palatino Linotype"/>
                <w:sz w:val="20"/>
                <w:szCs w:val="20"/>
              </w:rPr>
              <w:t>Formalidades</w:t>
            </w:r>
          </w:p>
        </w:tc>
        <w:tc>
          <w:tcPr>
            <w:tcW w:w="2266" w:type="dxa"/>
          </w:tcPr>
          <w:p w:rsidR="004674F8" w:rsidRPr="00166794" w:rsidRDefault="004674F8" w:rsidP="00B25EF1">
            <w:pPr>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20"/>
                <w:szCs w:val="20"/>
              </w:rPr>
            </w:pPr>
            <w:r w:rsidRPr="00166794">
              <w:rPr>
                <w:rFonts w:ascii="Palatino Linotype" w:hAnsi="Palatino Linotype"/>
                <w:sz w:val="20"/>
                <w:szCs w:val="20"/>
              </w:rPr>
              <w:t>El Comité debe de estar debidamente integrado</w:t>
            </w:r>
          </w:p>
        </w:tc>
        <w:tc>
          <w:tcPr>
            <w:tcW w:w="2020" w:type="dxa"/>
          </w:tcPr>
          <w:p w:rsidR="004674F8" w:rsidRPr="00166794" w:rsidRDefault="004674F8" w:rsidP="00B25EF1">
            <w:pPr>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20"/>
                <w:szCs w:val="20"/>
              </w:rPr>
            </w:pPr>
          </w:p>
        </w:tc>
      </w:tr>
      <w:tr w:rsidR="004674F8" w:rsidRPr="00166794" w:rsidTr="00B25E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0" w:type="dxa"/>
            <w:vMerge/>
            <w:shd w:val="clear" w:color="auto" w:fill="auto"/>
          </w:tcPr>
          <w:p w:rsidR="004674F8" w:rsidRPr="00166794" w:rsidRDefault="004674F8" w:rsidP="00B25EF1">
            <w:pPr>
              <w:spacing w:line="360" w:lineRule="auto"/>
              <w:jc w:val="both"/>
              <w:rPr>
                <w:rFonts w:ascii="Palatino Linotype" w:hAnsi="Palatino Linotype"/>
                <w:sz w:val="20"/>
                <w:szCs w:val="20"/>
              </w:rPr>
            </w:pPr>
          </w:p>
        </w:tc>
        <w:tc>
          <w:tcPr>
            <w:tcW w:w="1750" w:type="dxa"/>
            <w:vMerge/>
            <w:shd w:val="clear" w:color="auto" w:fill="auto"/>
          </w:tcPr>
          <w:p w:rsidR="004674F8" w:rsidRPr="00166794" w:rsidRDefault="004674F8" w:rsidP="00B25EF1">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20"/>
                <w:szCs w:val="20"/>
              </w:rPr>
            </w:pPr>
          </w:p>
        </w:tc>
        <w:tc>
          <w:tcPr>
            <w:tcW w:w="2266" w:type="dxa"/>
          </w:tcPr>
          <w:p w:rsidR="004674F8" w:rsidRPr="00166794" w:rsidRDefault="004674F8" w:rsidP="00B25EF1">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20"/>
                <w:szCs w:val="20"/>
              </w:rPr>
            </w:pPr>
            <w:r w:rsidRPr="00166794">
              <w:rPr>
                <w:rFonts w:ascii="Palatino Linotype" w:hAnsi="Palatino Linotype"/>
                <w:sz w:val="20"/>
                <w:szCs w:val="20"/>
              </w:rPr>
              <w:t xml:space="preserve">El Comité no aprueba la clasificación, sólo: confirma, modifica o revoca la decisión de las áreas </w:t>
            </w:r>
          </w:p>
        </w:tc>
        <w:tc>
          <w:tcPr>
            <w:tcW w:w="2020" w:type="dxa"/>
          </w:tcPr>
          <w:p w:rsidR="004674F8" w:rsidRPr="00166794" w:rsidRDefault="004674F8" w:rsidP="00B25EF1">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20"/>
                <w:szCs w:val="20"/>
              </w:rPr>
            </w:pPr>
          </w:p>
        </w:tc>
      </w:tr>
      <w:tr w:rsidR="004674F8" w:rsidRPr="00166794" w:rsidTr="00B25EF1">
        <w:tc>
          <w:tcPr>
            <w:cnfStyle w:val="001000000000" w:firstRow="0" w:lastRow="0" w:firstColumn="1" w:lastColumn="0" w:oddVBand="0" w:evenVBand="0" w:oddHBand="0" w:evenHBand="0" w:firstRowFirstColumn="0" w:firstRowLastColumn="0" w:lastRowFirstColumn="0" w:lastRowLastColumn="0"/>
            <w:tcW w:w="1760" w:type="dxa"/>
          </w:tcPr>
          <w:p w:rsidR="004674F8" w:rsidRPr="00166794" w:rsidRDefault="004674F8" w:rsidP="00B25EF1">
            <w:pPr>
              <w:spacing w:line="360" w:lineRule="auto"/>
              <w:jc w:val="both"/>
              <w:rPr>
                <w:rFonts w:ascii="Palatino Linotype" w:hAnsi="Palatino Linotype"/>
                <w:sz w:val="20"/>
                <w:szCs w:val="20"/>
              </w:rPr>
            </w:pPr>
            <w:r w:rsidRPr="00166794">
              <w:rPr>
                <w:rFonts w:ascii="Palatino Linotype" w:hAnsi="Palatino Linotype"/>
                <w:sz w:val="20"/>
                <w:szCs w:val="20"/>
              </w:rPr>
              <w:t>Fondo del acuerdo de clasificación</w:t>
            </w:r>
          </w:p>
        </w:tc>
        <w:tc>
          <w:tcPr>
            <w:tcW w:w="1750" w:type="dxa"/>
          </w:tcPr>
          <w:p w:rsidR="004674F8" w:rsidRPr="00166794" w:rsidRDefault="004674F8" w:rsidP="00B25EF1">
            <w:pPr>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20"/>
                <w:szCs w:val="20"/>
              </w:rPr>
            </w:pPr>
            <w:r w:rsidRPr="00166794">
              <w:rPr>
                <w:rFonts w:ascii="Palatino Linotype" w:hAnsi="Palatino Linotype"/>
                <w:sz w:val="20"/>
                <w:szCs w:val="20"/>
              </w:rPr>
              <w:t>La carga de la prueba para justificar la restricción corresponde al sujeto obligado</w:t>
            </w:r>
          </w:p>
        </w:tc>
        <w:tc>
          <w:tcPr>
            <w:tcW w:w="2266" w:type="dxa"/>
          </w:tcPr>
          <w:p w:rsidR="004674F8" w:rsidRPr="00166794" w:rsidRDefault="004674F8" w:rsidP="00B25EF1">
            <w:pPr>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20"/>
                <w:szCs w:val="20"/>
              </w:rPr>
            </w:pPr>
            <w:r w:rsidRPr="00166794">
              <w:rPr>
                <w:rFonts w:ascii="Palatino Linotype" w:hAnsi="Palatino Linotype"/>
                <w:sz w:val="20"/>
                <w:szCs w:val="20"/>
              </w:rPr>
              <w:t>Deber de fundar y motivar</w:t>
            </w:r>
          </w:p>
        </w:tc>
        <w:tc>
          <w:tcPr>
            <w:tcW w:w="2020" w:type="dxa"/>
          </w:tcPr>
          <w:p w:rsidR="004674F8" w:rsidRPr="00166794" w:rsidRDefault="004674F8" w:rsidP="00B25EF1">
            <w:pPr>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20"/>
                <w:szCs w:val="20"/>
              </w:rPr>
            </w:pPr>
          </w:p>
        </w:tc>
      </w:tr>
      <w:tr w:rsidR="004674F8" w:rsidRPr="00166794" w:rsidTr="00B25EF1">
        <w:trPr>
          <w:cnfStyle w:val="000000100000" w:firstRow="0" w:lastRow="0" w:firstColumn="0" w:lastColumn="0" w:oddVBand="0" w:evenVBand="0" w:oddHBand="1" w:evenHBand="0" w:firstRowFirstColumn="0" w:firstRowLastColumn="0" w:lastRowFirstColumn="0" w:lastRowLastColumn="0"/>
          <w:trHeight w:val="726"/>
        </w:trPr>
        <w:tc>
          <w:tcPr>
            <w:cnfStyle w:val="001000000000" w:firstRow="0" w:lastRow="0" w:firstColumn="1" w:lastColumn="0" w:oddVBand="0" w:evenVBand="0" w:oddHBand="0" w:evenHBand="0" w:firstRowFirstColumn="0" w:firstRowLastColumn="0" w:lastRowFirstColumn="0" w:lastRowLastColumn="0"/>
            <w:tcW w:w="1760" w:type="dxa"/>
            <w:vMerge w:val="restart"/>
          </w:tcPr>
          <w:p w:rsidR="004674F8" w:rsidRPr="00166794" w:rsidRDefault="004674F8" w:rsidP="00B25EF1">
            <w:pPr>
              <w:spacing w:line="360" w:lineRule="auto"/>
              <w:jc w:val="both"/>
              <w:rPr>
                <w:rFonts w:ascii="Palatino Linotype" w:hAnsi="Palatino Linotype"/>
                <w:sz w:val="20"/>
                <w:szCs w:val="20"/>
              </w:rPr>
            </w:pPr>
            <w:r w:rsidRPr="00166794">
              <w:rPr>
                <w:rFonts w:ascii="Palatino Linotype" w:hAnsi="Palatino Linotype"/>
                <w:sz w:val="20"/>
                <w:szCs w:val="20"/>
              </w:rPr>
              <w:t>Condiciones especiales de la reserva</w:t>
            </w:r>
          </w:p>
        </w:tc>
        <w:tc>
          <w:tcPr>
            <w:tcW w:w="1750" w:type="dxa"/>
            <w:vMerge w:val="restart"/>
          </w:tcPr>
          <w:p w:rsidR="004674F8" w:rsidRPr="00166794" w:rsidRDefault="004674F8" w:rsidP="00B25EF1">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20"/>
                <w:szCs w:val="20"/>
              </w:rPr>
            </w:pPr>
            <w:r w:rsidRPr="00166794">
              <w:rPr>
                <w:rFonts w:ascii="Palatino Linotype" w:hAnsi="Palatino Linotype"/>
                <w:sz w:val="20"/>
                <w:szCs w:val="20"/>
              </w:rPr>
              <w:t>Motivar implica</w:t>
            </w:r>
          </w:p>
          <w:p w:rsidR="004674F8" w:rsidRPr="00166794" w:rsidRDefault="004674F8" w:rsidP="00B25EF1">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20"/>
                <w:szCs w:val="20"/>
              </w:rPr>
            </w:pPr>
            <w:r w:rsidRPr="00166794">
              <w:rPr>
                <w:rFonts w:ascii="Palatino Linotype" w:hAnsi="Palatino Linotype"/>
                <w:sz w:val="20"/>
                <w:szCs w:val="20"/>
              </w:rPr>
              <w:t>Además se debe aplicar, caso por caso, una prueba de daño.</w:t>
            </w:r>
          </w:p>
        </w:tc>
        <w:tc>
          <w:tcPr>
            <w:tcW w:w="2266" w:type="dxa"/>
            <w:vMerge w:val="restart"/>
          </w:tcPr>
          <w:p w:rsidR="004674F8" w:rsidRPr="00166794" w:rsidRDefault="004674F8" w:rsidP="00B25EF1">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20"/>
                <w:szCs w:val="20"/>
              </w:rPr>
            </w:pPr>
            <w:r w:rsidRPr="00166794">
              <w:rPr>
                <w:rFonts w:ascii="Palatino Linotype" w:hAnsi="Palatino Linotype"/>
                <w:sz w:val="20"/>
                <w:szCs w:val="20"/>
              </w:rPr>
              <w:t>Señalar las razones, motivos o circunstancias.</w:t>
            </w:r>
          </w:p>
          <w:p w:rsidR="004674F8" w:rsidRPr="00166794" w:rsidRDefault="004674F8" w:rsidP="00B25EF1">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20"/>
                <w:szCs w:val="20"/>
              </w:rPr>
            </w:pPr>
            <w:r w:rsidRPr="00166794">
              <w:rPr>
                <w:rFonts w:ascii="Palatino Linotype" w:hAnsi="Palatino Linotype"/>
                <w:sz w:val="20"/>
                <w:szCs w:val="20"/>
              </w:rPr>
              <w:lastRenderedPageBreak/>
              <w:t>Se deben señalar las razones objetivas y acreditar.</w:t>
            </w:r>
          </w:p>
          <w:p w:rsidR="004674F8" w:rsidRPr="00166794" w:rsidRDefault="004674F8" w:rsidP="00B25EF1">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20"/>
                <w:szCs w:val="20"/>
              </w:rPr>
            </w:pPr>
          </w:p>
          <w:p w:rsidR="004674F8" w:rsidRPr="00166794" w:rsidRDefault="004674F8" w:rsidP="00B25EF1">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20"/>
                <w:szCs w:val="20"/>
              </w:rPr>
            </w:pPr>
            <w:r w:rsidRPr="00166794">
              <w:rPr>
                <w:rFonts w:ascii="Palatino Linotype" w:hAnsi="Palatino Linotype"/>
                <w:sz w:val="20"/>
                <w:szCs w:val="20"/>
              </w:rPr>
              <w:t>*Adquiere la condición especial de ser temporal por un periodo de 5 años con la posibilidad de ampliarse por un periodo igual.</w:t>
            </w:r>
          </w:p>
        </w:tc>
        <w:tc>
          <w:tcPr>
            <w:tcW w:w="2020" w:type="dxa"/>
            <w:vMerge w:val="restart"/>
          </w:tcPr>
          <w:p w:rsidR="004674F8" w:rsidRPr="00166794" w:rsidRDefault="004674F8" w:rsidP="00B25EF1">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20"/>
                <w:szCs w:val="20"/>
              </w:rPr>
            </w:pPr>
            <w:r w:rsidRPr="00166794">
              <w:rPr>
                <w:rFonts w:ascii="Palatino Linotype" w:hAnsi="Palatino Linotype"/>
                <w:sz w:val="20"/>
                <w:szCs w:val="20"/>
              </w:rPr>
              <w:lastRenderedPageBreak/>
              <w:t xml:space="preserve">Que entregar la información provoca un riesgo real, demostrable e identificable al </w:t>
            </w:r>
            <w:r w:rsidRPr="00166794">
              <w:rPr>
                <w:rFonts w:ascii="Palatino Linotype" w:hAnsi="Palatino Linotype"/>
                <w:sz w:val="20"/>
                <w:szCs w:val="20"/>
              </w:rPr>
              <w:lastRenderedPageBreak/>
              <w:t>interés público o a la seguridad pública</w:t>
            </w:r>
          </w:p>
        </w:tc>
      </w:tr>
      <w:tr w:rsidR="004674F8" w:rsidRPr="00166794" w:rsidTr="00B25EF1">
        <w:trPr>
          <w:trHeight w:val="726"/>
        </w:trPr>
        <w:tc>
          <w:tcPr>
            <w:cnfStyle w:val="001000000000" w:firstRow="0" w:lastRow="0" w:firstColumn="1" w:lastColumn="0" w:oddVBand="0" w:evenVBand="0" w:oddHBand="0" w:evenHBand="0" w:firstRowFirstColumn="0" w:firstRowLastColumn="0" w:lastRowFirstColumn="0" w:lastRowLastColumn="0"/>
            <w:tcW w:w="1760" w:type="dxa"/>
            <w:vMerge/>
          </w:tcPr>
          <w:p w:rsidR="004674F8" w:rsidRPr="00166794" w:rsidRDefault="004674F8" w:rsidP="00B25EF1">
            <w:pPr>
              <w:spacing w:line="360" w:lineRule="auto"/>
              <w:jc w:val="both"/>
              <w:rPr>
                <w:rFonts w:ascii="Palatino Linotype" w:hAnsi="Palatino Linotype"/>
                <w:sz w:val="20"/>
                <w:szCs w:val="20"/>
              </w:rPr>
            </w:pPr>
          </w:p>
        </w:tc>
        <w:tc>
          <w:tcPr>
            <w:tcW w:w="1750" w:type="dxa"/>
            <w:vMerge/>
          </w:tcPr>
          <w:p w:rsidR="004674F8" w:rsidRPr="00166794" w:rsidRDefault="004674F8" w:rsidP="00B25EF1">
            <w:pPr>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20"/>
                <w:szCs w:val="20"/>
              </w:rPr>
            </w:pPr>
          </w:p>
        </w:tc>
        <w:tc>
          <w:tcPr>
            <w:tcW w:w="2266" w:type="dxa"/>
            <w:vMerge/>
          </w:tcPr>
          <w:p w:rsidR="004674F8" w:rsidRPr="00166794" w:rsidRDefault="004674F8" w:rsidP="00B25EF1">
            <w:pPr>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20"/>
                <w:szCs w:val="20"/>
              </w:rPr>
            </w:pPr>
          </w:p>
        </w:tc>
        <w:tc>
          <w:tcPr>
            <w:tcW w:w="2020" w:type="dxa"/>
            <w:vMerge/>
          </w:tcPr>
          <w:p w:rsidR="004674F8" w:rsidRPr="00166794" w:rsidRDefault="004674F8" w:rsidP="00B25EF1">
            <w:pPr>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20"/>
                <w:szCs w:val="20"/>
              </w:rPr>
            </w:pPr>
          </w:p>
        </w:tc>
      </w:tr>
      <w:tr w:rsidR="004674F8" w:rsidRPr="00166794" w:rsidTr="00B25E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0" w:type="dxa"/>
            <w:vMerge/>
          </w:tcPr>
          <w:p w:rsidR="004674F8" w:rsidRPr="00166794" w:rsidRDefault="004674F8" w:rsidP="00B25EF1">
            <w:pPr>
              <w:spacing w:line="360" w:lineRule="auto"/>
              <w:jc w:val="both"/>
              <w:rPr>
                <w:rFonts w:ascii="Palatino Linotype" w:hAnsi="Palatino Linotype"/>
                <w:sz w:val="20"/>
                <w:szCs w:val="20"/>
              </w:rPr>
            </w:pPr>
          </w:p>
        </w:tc>
        <w:tc>
          <w:tcPr>
            <w:tcW w:w="1750" w:type="dxa"/>
            <w:vMerge/>
          </w:tcPr>
          <w:p w:rsidR="004674F8" w:rsidRPr="00166794" w:rsidRDefault="004674F8" w:rsidP="00B25EF1">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20"/>
                <w:szCs w:val="20"/>
              </w:rPr>
            </w:pPr>
          </w:p>
        </w:tc>
        <w:tc>
          <w:tcPr>
            <w:tcW w:w="2266" w:type="dxa"/>
            <w:vMerge/>
          </w:tcPr>
          <w:p w:rsidR="004674F8" w:rsidRPr="00166794" w:rsidRDefault="004674F8" w:rsidP="00B25EF1">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20"/>
                <w:szCs w:val="20"/>
              </w:rPr>
            </w:pPr>
          </w:p>
        </w:tc>
        <w:tc>
          <w:tcPr>
            <w:tcW w:w="2020" w:type="dxa"/>
          </w:tcPr>
          <w:p w:rsidR="004674F8" w:rsidRPr="00166794" w:rsidRDefault="004674F8" w:rsidP="00B25EF1">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20"/>
                <w:szCs w:val="20"/>
              </w:rPr>
            </w:pPr>
            <w:r w:rsidRPr="00166794">
              <w:rPr>
                <w:rFonts w:ascii="Palatino Linotype" w:hAnsi="Palatino Linotype"/>
                <w:sz w:val="20"/>
                <w:szCs w:val="20"/>
              </w:rPr>
              <w:t xml:space="preserve">El riesgo por divulgar es mayor que el interés público de que se difunda  </w:t>
            </w:r>
          </w:p>
        </w:tc>
      </w:tr>
      <w:tr w:rsidR="004674F8" w:rsidRPr="00166794" w:rsidTr="00B25EF1">
        <w:trPr>
          <w:trHeight w:val="1454"/>
        </w:trPr>
        <w:tc>
          <w:tcPr>
            <w:cnfStyle w:val="001000000000" w:firstRow="0" w:lastRow="0" w:firstColumn="1" w:lastColumn="0" w:oddVBand="0" w:evenVBand="0" w:oddHBand="0" w:evenHBand="0" w:firstRowFirstColumn="0" w:firstRowLastColumn="0" w:lastRowFirstColumn="0" w:lastRowLastColumn="0"/>
            <w:tcW w:w="1760" w:type="dxa"/>
            <w:vMerge/>
          </w:tcPr>
          <w:p w:rsidR="004674F8" w:rsidRPr="00166794" w:rsidRDefault="004674F8" w:rsidP="00B25EF1">
            <w:pPr>
              <w:spacing w:line="360" w:lineRule="auto"/>
              <w:jc w:val="both"/>
              <w:rPr>
                <w:rFonts w:ascii="Palatino Linotype" w:hAnsi="Palatino Linotype"/>
                <w:sz w:val="20"/>
                <w:szCs w:val="20"/>
              </w:rPr>
            </w:pPr>
          </w:p>
        </w:tc>
        <w:tc>
          <w:tcPr>
            <w:tcW w:w="1750" w:type="dxa"/>
            <w:vMerge/>
          </w:tcPr>
          <w:p w:rsidR="004674F8" w:rsidRPr="00166794" w:rsidRDefault="004674F8" w:rsidP="00B25EF1">
            <w:pPr>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20"/>
                <w:szCs w:val="20"/>
              </w:rPr>
            </w:pPr>
          </w:p>
        </w:tc>
        <w:tc>
          <w:tcPr>
            <w:tcW w:w="2266" w:type="dxa"/>
            <w:vMerge/>
          </w:tcPr>
          <w:p w:rsidR="004674F8" w:rsidRPr="00166794" w:rsidRDefault="004674F8" w:rsidP="00B25EF1">
            <w:pPr>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20"/>
                <w:szCs w:val="20"/>
              </w:rPr>
            </w:pPr>
          </w:p>
        </w:tc>
        <w:tc>
          <w:tcPr>
            <w:tcW w:w="2020" w:type="dxa"/>
          </w:tcPr>
          <w:p w:rsidR="004674F8" w:rsidRPr="00166794" w:rsidRDefault="004674F8" w:rsidP="00B25EF1">
            <w:pPr>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20"/>
                <w:szCs w:val="20"/>
              </w:rPr>
            </w:pPr>
            <w:r w:rsidRPr="00166794">
              <w:rPr>
                <w:rFonts w:ascii="Palatino Linotype" w:hAnsi="Palatino Linotype"/>
                <w:sz w:val="20"/>
                <w:szCs w:val="20"/>
              </w:rPr>
              <w:t>El principio de proporcionalidad</w:t>
            </w:r>
          </w:p>
        </w:tc>
      </w:tr>
      <w:tr w:rsidR="004674F8" w:rsidRPr="00166794" w:rsidTr="00B25E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0" w:type="dxa"/>
            <w:vMerge w:val="restart"/>
          </w:tcPr>
          <w:p w:rsidR="004674F8" w:rsidRPr="00166794" w:rsidRDefault="004674F8" w:rsidP="00B25EF1">
            <w:pPr>
              <w:spacing w:line="360" w:lineRule="auto"/>
              <w:jc w:val="both"/>
              <w:rPr>
                <w:rFonts w:ascii="Palatino Linotype" w:hAnsi="Palatino Linotype"/>
                <w:sz w:val="20"/>
                <w:szCs w:val="20"/>
              </w:rPr>
            </w:pPr>
            <w:r w:rsidRPr="00166794">
              <w:rPr>
                <w:rFonts w:ascii="Palatino Linotype" w:hAnsi="Palatino Linotype"/>
                <w:sz w:val="20"/>
                <w:szCs w:val="20"/>
              </w:rPr>
              <w:t>Condiciones especiales de la confidencialidad</w:t>
            </w:r>
          </w:p>
        </w:tc>
        <w:tc>
          <w:tcPr>
            <w:tcW w:w="1750" w:type="dxa"/>
          </w:tcPr>
          <w:p w:rsidR="004674F8" w:rsidRPr="00166794" w:rsidRDefault="004674F8" w:rsidP="00B25EF1">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20"/>
                <w:szCs w:val="20"/>
              </w:rPr>
            </w:pPr>
            <w:r w:rsidRPr="00166794">
              <w:rPr>
                <w:rFonts w:ascii="Palatino Linotype" w:hAnsi="Palatino Linotype"/>
                <w:sz w:val="20"/>
                <w:szCs w:val="20"/>
              </w:rPr>
              <w:t xml:space="preserve">Para clasificar se debe verificar que no se encuentre en los supuestos del artículo 148 de la ley Estatal </w:t>
            </w:r>
          </w:p>
        </w:tc>
        <w:tc>
          <w:tcPr>
            <w:tcW w:w="2266" w:type="dxa"/>
          </w:tcPr>
          <w:p w:rsidR="004674F8" w:rsidRPr="00166794" w:rsidRDefault="004674F8" w:rsidP="00B25EF1">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20"/>
                <w:szCs w:val="20"/>
              </w:rPr>
            </w:pPr>
            <w:r w:rsidRPr="00166794">
              <w:rPr>
                <w:rFonts w:ascii="Palatino Linotype" w:hAnsi="Palatino Linotype"/>
                <w:sz w:val="20"/>
                <w:szCs w:val="20"/>
              </w:rPr>
              <w:t xml:space="preserve">Si se encuentra en los supuestos de dicho artículo se entrega aún sin consentimiento del titular del dato personal </w:t>
            </w:r>
          </w:p>
        </w:tc>
        <w:tc>
          <w:tcPr>
            <w:tcW w:w="2020" w:type="dxa"/>
          </w:tcPr>
          <w:p w:rsidR="004674F8" w:rsidRPr="00166794" w:rsidRDefault="004674F8" w:rsidP="00B25EF1">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20"/>
                <w:szCs w:val="20"/>
              </w:rPr>
            </w:pPr>
          </w:p>
        </w:tc>
      </w:tr>
      <w:tr w:rsidR="004674F8" w:rsidRPr="00166794" w:rsidTr="00B25EF1">
        <w:trPr>
          <w:trHeight w:val="3404"/>
        </w:trPr>
        <w:tc>
          <w:tcPr>
            <w:cnfStyle w:val="001000000000" w:firstRow="0" w:lastRow="0" w:firstColumn="1" w:lastColumn="0" w:oddVBand="0" w:evenVBand="0" w:oddHBand="0" w:evenHBand="0" w:firstRowFirstColumn="0" w:firstRowLastColumn="0" w:lastRowFirstColumn="0" w:lastRowLastColumn="0"/>
            <w:tcW w:w="1760" w:type="dxa"/>
            <w:vMerge/>
          </w:tcPr>
          <w:p w:rsidR="004674F8" w:rsidRPr="00166794" w:rsidRDefault="004674F8" w:rsidP="00B25EF1">
            <w:pPr>
              <w:spacing w:line="360" w:lineRule="auto"/>
              <w:jc w:val="both"/>
              <w:rPr>
                <w:rFonts w:ascii="Palatino Linotype" w:hAnsi="Palatino Linotype"/>
                <w:sz w:val="20"/>
                <w:szCs w:val="20"/>
              </w:rPr>
            </w:pPr>
          </w:p>
        </w:tc>
        <w:tc>
          <w:tcPr>
            <w:tcW w:w="1750" w:type="dxa"/>
          </w:tcPr>
          <w:p w:rsidR="004674F8" w:rsidRPr="00166794" w:rsidRDefault="004674F8" w:rsidP="00B25EF1">
            <w:pPr>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20"/>
                <w:szCs w:val="20"/>
              </w:rPr>
            </w:pPr>
            <w:r w:rsidRPr="00166794">
              <w:rPr>
                <w:rFonts w:ascii="Palatino Linotype" w:hAnsi="Palatino Linotype"/>
                <w:sz w:val="20"/>
                <w:szCs w:val="20"/>
              </w:rPr>
              <w:t>Si es posible, se debe consultar al titular de los datos para requerir su autorización para entregarlo</w:t>
            </w:r>
          </w:p>
        </w:tc>
        <w:tc>
          <w:tcPr>
            <w:tcW w:w="2266" w:type="dxa"/>
          </w:tcPr>
          <w:p w:rsidR="004674F8" w:rsidRPr="00166794" w:rsidRDefault="004674F8" w:rsidP="00B25EF1">
            <w:pPr>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20"/>
                <w:szCs w:val="20"/>
              </w:rPr>
            </w:pPr>
          </w:p>
        </w:tc>
        <w:tc>
          <w:tcPr>
            <w:tcW w:w="2020" w:type="dxa"/>
          </w:tcPr>
          <w:p w:rsidR="004674F8" w:rsidRPr="00166794" w:rsidRDefault="004674F8" w:rsidP="00B25EF1">
            <w:pPr>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20"/>
                <w:szCs w:val="20"/>
              </w:rPr>
            </w:pPr>
          </w:p>
        </w:tc>
      </w:tr>
    </w:tbl>
    <w:p w:rsidR="004674F8" w:rsidRPr="00166794" w:rsidRDefault="004674F8" w:rsidP="004674F8">
      <w:pPr>
        <w:spacing w:line="360" w:lineRule="auto"/>
        <w:ind w:right="49"/>
        <w:contextualSpacing/>
        <w:jc w:val="both"/>
        <w:rPr>
          <w:rFonts w:ascii="Palatino Linotype" w:eastAsia="MS Mincho" w:hAnsi="Palatino Linotype"/>
        </w:rPr>
      </w:pPr>
    </w:p>
    <w:p w:rsidR="004674F8" w:rsidRPr="00166794" w:rsidRDefault="004674F8" w:rsidP="004674F8">
      <w:pPr>
        <w:numPr>
          <w:ilvl w:val="0"/>
          <w:numId w:val="1"/>
        </w:numPr>
        <w:spacing w:line="360" w:lineRule="auto"/>
        <w:ind w:left="0" w:right="49" w:firstLine="0"/>
        <w:contextualSpacing/>
        <w:jc w:val="both"/>
        <w:rPr>
          <w:rFonts w:ascii="Palatino Linotype" w:eastAsia="MS Mincho" w:hAnsi="Palatino Linotype"/>
        </w:rPr>
      </w:pPr>
      <w:r w:rsidRPr="00166794">
        <w:rPr>
          <w:rFonts w:ascii="Palatino Linotype" w:eastAsia="MS Mincho" w:hAnsi="Palatino Linotype"/>
        </w:rPr>
        <w:t xml:space="preserve">Por lo anterior, si la información con la que se pueda responder a una solicitud de información, encuadra en algún supuesto de clasificación, se procederá a la misma, </w:t>
      </w:r>
      <w:r w:rsidRPr="00166794">
        <w:rPr>
          <w:rFonts w:ascii="Palatino Linotype" w:eastAsia="MS Mincho" w:hAnsi="Palatino Linotype"/>
        </w:rPr>
        <w:lastRenderedPageBreak/>
        <w:t>en términos de la Ley de la materia y los Lineamientos Generales en materia de Clasificación y Desclasificación de la Información, así como para la elaboración de versiones públicas, de manera previa a su entrega al solicitante, de lo contrario los servidores públicos involucrados incurrirían en responsabilidad.</w:t>
      </w:r>
    </w:p>
    <w:p w:rsidR="002F0045" w:rsidRPr="00166794" w:rsidRDefault="002F0045" w:rsidP="009B6FD5">
      <w:pPr>
        <w:spacing w:line="360" w:lineRule="auto"/>
        <w:ind w:right="49"/>
        <w:contextualSpacing/>
        <w:jc w:val="both"/>
        <w:rPr>
          <w:rFonts w:ascii="Palatino Linotype" w:eastAsiaTheme="minorEastAsia" w:hAnsi="Palatino Linotype"/>
          <w:lang w:eastAsia="es-ES"/>
        </w:rPr>
      </w:pPr>
    </w:p>
    <w:p w:rsidR="004C346A" w:rsidRPr="00166794" w:rsidRDefault="004674F8" w:rsidP="004C346A">
      <w:pPr>
        <w:numPr>
          <w:ilvl w:val="0"/>
          <w:numId w:val="1"/>
        </w:numPr>
        <w:spacing w:line="360" w:lineRule="auto"/>
        <w:ind w:left="0" w:right="49" w:firstLine="0"/>
        <w:contextualSpacing/>
        <w:jc w:val="both"/>
        <w:rPr>
          <w:rFonts w:ascii="Palatino Linotype" w:eastAsiaTheme="minorEastAsia" w:hAnsi="Palatino Linotype"/>
          <w:lang w:eastAsia="es-ES"/>
        </w:rPr>
      </w:pPr>
      <w:r w:rsidRPr="00166794">
        <w:rPr>
          <w:rFonts w:ascii="Palatino Linotype" w:hAnsi="Palatino Linotype" w:cs="Arial"/>
          <w:lang w:val="es-ES" w:eastAsia="es-ES"/>
        </w:rPr>
        <w:t>Por otro lado,</w:t>
      </w:r>
      <w:r w:rsidR="002F0045" w:rsidRPr="00166794">
        <w:rPr>
          <w:rFonts w:ascii="Palatino Linotype" w:hAnsi="Palatino Linotype" w:cs="Arial"/>
          <w:lang w:val="es-ES" w:eastAsia="es-ES"/>
        </w:rPr>
        <w:t xml:space="preserve"> los alcances de la información pública se considera importante citar el criterio </w:t>
      </w:r>
      <w:r w:rsidR="002F0045" w:rsidRPr="00166794">
        <w:rPr>
          <w:rFonts w:ascii="Palatino Linotype" w:hAnsi="Palatino Linotype" w:cs="Arial"/>
          <w:bCs/>
          <w:lang w:val="es-ES"/>
        </w:rPr>
        <w:t xml:space="preserve">de interpretación en el orden administrativo número 0002-11, emitido por Acuerdo del Pleno de este Instituto de Transparencia y Acceso a la Información Pública del Estado de México y Municipios, publicado en el Periódico Oficial del Gobierno del Estado Libre y Soberano de México “Gaceta del Gobierno” el diecinueve de octubre de dos mil once, </w:t>
      </w:r>
      <w:r w:rsidR="002F0045" w:rsidRPr="00166794">
        <w:rPr>
          <w:rFonts w:ascii="Palatino Linotype" w:hAnsi="Palatino Linotype" w:cs="Arial"/>
          <w:lang w:val="es-ES" w:eastAsia="es-ES"/>
        </w:rPr>
        <w:t>cuyo rubro y texto dispone:</w:t>
      </w:r>
    </w:p>
    <w:p w:rsidR="004C346A" w:rsidRPr="00166794" w:rsidRDefault="004C346A" w:rsidP="004C346A">
      <w:pPr>
        <w:spacing w:line="360" w:lineRule="auto"/>
        <w:ind w:right="49"/>
        <w:contextualSpacing/>
        <w:jc w:val="both"/>
        <w:rPr>
          <w:rFonts w:ascii="Palatino Linotype" w:hAnsi="Palatino Linotype" w:cs="Arial"/>
          <w:lang w:val="es-ES" w:eastAsia="es-ES"/>
        </w:rPr>
      </w:pPr>
    </w:p>
    <w:p w:rsidR="004C346A" w:rsidRPr="00166794" w:rsidRDefault="004C346A" w:rsidP="004C346A">
      <w:pPr>
        <w:autoSpaceDE w:val="0"/>
        <w:autoSpaceDN w:val="0"/>
        <w:adjustRightInd w:val="0"/>
        <w:spacing w:line="360" w:lineRule="auto"/>
        <w:ind w:left="567" w:right="567"/>
        <w:jc w:val="both"/>
        <w:rPr>
          <w:rFonts w:ascii="Palatino Linotype" w:hAnsi="Palatino Linotype" w:cs="Arial"/>
          <w:b/>
          <w:i/>
          <w:sz w:val="22"/>
        </w:rPr>
      </w:pPr>
      <w:r w:rsidRPr="00166794">
        <w:rPr>
          <w:rFonts w:ascii="Palatino Linotype" w:hAnsi="Palatino Linotype" w:cs="Arial"/>
          <w:b/>
          <w:i/>
          <w:sz w:val="22"/>
        </w:rPr>
        <w:t>“CRITERIO 0002-11</w:t>
      </w:r>
    </w:p>
    <w:p w:rsidR="004C346A" w:rsidRPr="00166794" w:rsidRDefault="004C346A" w:rsidP="004C346A">
      <w:pPr>
        <w:autoSpaceDE w:val="0"/>
        <w:autoSpaceDN w:val="0"/>
        <w:adjustRightInd w:val="0"/>
        <w:spacing w:line="360" w:lineRule="auto"/>
        <w:ind w:left="567" w:right="567"/>
        <w:jc w:val="both"/>
        <w:rPr>
          <w:rFonts w:ascii="Palatino Linotype" w:hAnsi="Palatino Linotype" w:cs="Arial"/>
          <w:i/>
          <w:sz w:val="22"/>
        </w:rPr>
      </w:pPr>
      <w:r w:rsidRPr="00166794">
        <w:rPr>
          <w:rFonts w:ascii="Palatino Linotype" w:hAnsi="Palatino Linotype" w:cs="Arial"/>
          <w:b/>
          <w:i/>
          <w:sz w:val="22"/>
        </w:rPr>
        <w:t xml:space="preserve">INFORMACIÓN PÚBLICA, CONCEPTO DE, EN MATERIA DE TRANSPARENCIA. INTERPRETACIÓN TEMÁTICA DE LOS ARTÍCULOS 2, FRACCIÓN </w:t>
      </w:r>
      <w:r w:rsidRPr="00166794">
        <w:rPr>
          <w:rFonts w:ascii="Palatino Linotype" w:hAnsi="Palatino Linotype" w:cs="Arial"/>
          <w:b/>
          <w:bCs/>
          <w:i/>
          <w:sz w:val="22"/>
        </w:rPr>
        <w:t xml:space="preserve">V, XV, Y XVI, </w:t>
      </w:r>
      <w:r w:rsidRPr="00166794">
        <w:rPr>
          <w:rFonts w:ascii="Palatino Linotype" w:hAnsi="Palatino Linotype" w:cs="Arial"/>
          <w:b/>
          <w:i/>
          <w:sz w:val="22"/>
        </w:rPr>
        <w:t>3, 4,11 Y 41.</w:t>
      </w:r>
      <w:r w:rsidRPr="00166794">
        <w:rPr>
          <w:rFonts w:ascii="Palatino Linotype" w:hAnsi="Palatino Linotype" w:cs="Arial"/>
          <w:i/>
          <w:sz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4C346A" w:rsidRPr="00166794" w:rsidRDefault="004C346A" w:rsidP="004C346A">
      <w:pPr>
        <w:autoSpaceDE w:val="0"/>
        <w:autoSpaceDN w:val="0"/>
        <w:adjustRightInd w:val="0"/>
        <w:spacing w:line="360" w:lineRule="auto"/>
        <w:ind w:left="567" w:right="567"/>
        <w:jc w:val="both"/>
        <w:rPr>
          <w:rFonts w:ascii="Palatino Linotype" w:hAnsi="Palatino Linotype" w:cs="Arial"/>
          <w:i/>
          <w:sz w:val="22"/>
        </w:rPr>
      </w:pPr>
      <w:r w:rsidRPr="00166794">
        <w:rPr>
          <w:rFonts w:ascii="Palatino Linotype" w:hAnsi="Palatino Linotype" w:cs="Arial"/>
          <w:i/>
          <w:sz w:val="22"/>
        </w:rPr>
        <w:t>En consecuencia el acceso a la información se refiere a que se cumplan cualquiera de los siguientes tres supuestos:</w:t>
      </w:r>
    </w:p>
    <w:p w:rsidR="004C346A" w:rsidRPr="00166794" w:rsidRDefault="004C346A" w:rsidP="004C346A">
      <w:pPr>
        <w:autoSpaceDE w:val="0"/>
        <w:autoSpaceDN w:val="0"/>
        <w:adjustRightInd w:val="0"/>
        <w:spacing w:line="360" w:lineRule="auto"/>
        <w:ind w:left="567" w:right="567"/>
        <w:jc w:val="both"/>
        <w:rPr>
          <w:rFonts w:ascii="Palatino Linotype" w:hAnsi="Palatino Linotype" w:cs="Arial"/>
          <w:i/>
          <w:sz w:val="22"/>
        </w:rPr>
      </w:pPr>
      <w:r w:rsidRPr="00166794">
        <w:rPr>
          <w:rFonts w:ascii="Palatino Linotype" w:hAnsi="Palatino Linotype" w:cs="Arial"/>
          <w:i/>
          <w:sz w:val="22"/>
        </w:rPr>
        <w:t>Que se trate de información registrada en cualquier soporte documental, que en ejercicio de las atribuciones conferidas, sea generada por los Sujetos Obligados;</w:t>
      </w:r>
    </w:p>
    <w:p w:rsidR="004C346A" w:rsidRPr="00166794" w:rsidRDefault="004C346A" w:rsidP="004C346A">
      <w:pPr>
        <w:autoSpaceDE w:val="0"/>
        <w:autoSpaceDN w:val="0"/>
        <w:adjustRightInd w:val="0"/>
        <w:spacing w:line="360" w:lineRule="auto"/>
        <w:ind w:left="567" w:right="567"/>
        <w:jc w:val="both"/>
        <w:rPr>
          <w:rFonts w:ascii="Palatino Linotype" w:hAnsi="Palatino Linotype" w:cs="Arial"/>
          <w:i/>
          <w:sz w:val="22"/>
        </w:rPr>
      </w:pPr>
      <w:r w:rsidRPr="00166794">
        <w:rPr>
          <w:rFonts w:ascii="Palatino Linotype" w:hAnsi="Palatino Linotype" w:cs="Arial"/>
          <w:i/>
          <w:sz w:val="22"/>
        </w:rPr>
        <w:t>Que se trate de información registrada en cualquier soporte documental, que en ejercicio de las atribuciones conferidas, sea administrada por los Sujetos Obligados, y</w:t>
      </w:r>
    </w:p>
    <w:p w:rsidR="004C346A" w:rsidRPr="00166794" w:rsidRDefault="004C346A" w:rsidP="004C346A">
      <w:pPr>
        <w:spacing w:line="360" w:lineRule="auto"/>
        <w:ind w:left="567" w:right="567"/>
        <w:jc w:val="both"/>
        <w:rPr>
          <w:rFonts w:ascii="Palatino Linotype" w:hAnsi="Palatino Linotype" w:cs="Arial"/>
          <w:color w:val="000000"/>
          <w:sz w:val="22"/>
        </w:rPr>
      </w:pPr>
      <w:r w:rsidRPr="00166794">
        <w:rPr>
          <w:rFonts w:ascii="Palatino Linotype" w:hAnsi="Palatino Linotype" w:cs="Arial"/>
          <w:i/>
          <w:sz w:val="22"/>
        </w:rPr>
        <w:lastRenderedPageBreak/>
        <w:t>Que se trate de información registrada en cualquier soporte documental, que en ejercicio de las atribuciones conferidas, se encuentre en posesión de los Sujetos Obligados.”</w:t>
      </w:r>
    </w:p>
    <w:p w:rsidR="004C346A" w:rsidRPr="00166794" w:rsidRDefault="004C346A" w:rsidP="004C346A">
      <w:pPr>
        <w:spacing w:line="360" w:lineRule="auto"/>
        <w:ind w:right="49"/>
        <w:contextualSpacing/>
        <w:jc w:val="both"/>
        <w:rPr>
          <w:rFonts w:ascii="Palatino Linotype" w:eastAsiaTheme="minorEastAsia" w:hAnsi="Palatino Linotype"/>
          <w:lang w:eastAsia="es-ES"/>
        </w:rPr>
      </w:pPr>
    </w:p>
    <w:p w:rsidR="004C346A" w:rsidRPr="00166794" w:rsidRDefault="004C346A" w:rsidP="004C346A">
      <w:pPr>
        <w:numPr>
          <w:ilvl w:val="0"/>
          <w:numId w:val="1"/>
        </w:numPr>
        <w:spacing w:line="360" w:lineRule="auto"/>
        <w:ind w:left="0" w:right="49" w:firstLine="0"/>
        <w:contextualSpacing/>
        <w:jc w:val="both"/>
        <w:rPr>
          <w:rFonts w:ascii="Palatino Linotype" w:eastAsiaTheme="minorEastAsia" w:hAnsi="Palatino Linotype"/>
          <w:lang w:eastAsia="es-ES"/>
        </w:rPr>
      </w:pPr>
      <w:r w:rsidRPr="00166794">
        <w:rPr>
          <w:rFonts w:ascii="Palatino Linotype" w:hAnsi="Palatino Linotype"/>
          <w:color w:val="000000"/>
        </w:rPr>
        <w:t xml:space="preserve">Por ende, para conocer lo que debe contener la información correspondiente a la balanza de comprobación detallada, conviene precisar en primer lugar que los Municipios del Estado de México, son Sujetos de Fiscalización de conformidad con el numeral 4, fracción II de </w:t>
      </w:r>
      <w:r w:rsidRPr="00166794">
        <w:rPr>
          <w:rFonts w:ascii="Palatino Linotype" w:hAnsi="Palatino Linotype" w:cs="Arial"/>
          <w:color w:val="000000"/>
        </w:rPr>
        <w:t>Ley de Fiscalización Superior del Estado de México</w:t>
      </w:r>
      <w:r w:rsidRPr="00166794">
        <w:rPr>
          <w:rFonts w:cs="Arial"/>
          <w:vertAlign w:val="superscript"/>
        </w:rPr>
        <w:footnoteReference w:id="8"/>
      </w:r>
      <w:r w:rsidRPr="00166794">
        <w:rPr>
          <w:rFonts w:ascii="Palatino Linotype" w:hAnsi="Palatino Linotype" w:cs="Arial"/>
          <w:color w:val="000000"/>
        </w:rPr>
        <w:t xml:space="preserve">; razón por la cual, el Órgano Superior de Fiscalización del Estado de México, (OSFEM) emitió en su momento los </w:t>
      </w:r>
      <w:r w:rsidRPr="00166794">
        <w:rPr>
          <w:rFonts w:ascii="Palatino Linotype" w:hAnsi="Palatino Linotype" w:cs="Arial"/>
          <w:b/>
          <w:color w:val="000000"/>
        </w:rPr>
        <w:t>Lineamientos para la Integración del Informe Trimestral Municipal para el ejercicio fiscal 2022</w:t>
      </w:r>
      <w:r w:rsidRPr="00166794">
        <w:rPr>
          <w:rFonts w:ascii="Palatino Linotype" w:hAnsi="Palatino Linotype" w:cs="Arial"/>
          <w:color w:val="000000"/>
        </w:rPr>
        <w:t xml:space="preserve">, en términos de la fracción XI del artículo 8 de la Ley de Fiscalización Superior del Estado de México, que señala: </w:t>
      </w:r>
    </w:p>
    <w:p w:rsidR="004C346A" w:rsidRPr="00166794" w:rsidRDefault="004C346A" w:rsidP="004C346A">
      <w:pPr>
        <w:pStyle w:val="Prrafodelista"/>
        <w:tabs>
          <w:tab w:val="right" w:leader="dot" w:pos="8505"/>
        </w:tabs>
        <w:spacing w:line="360" w:lineRule="auto"/>
        <w:ind w:left="360"/>
        <w:jc w:val="both"/>
        <w:rPr>
          <w:bCs/>
          <w:color w:val="000000"/>
        </w:rPr>
      </w:pPr>
    </w:p>
    <w:p w:rsidR="004C346A" w:rsidRPr="00166794" w:rsidRDefault="004C346A" w:rsidP="00122711">
      <w:pPr>
        <w:pStyle w:val="Prrafodelista"/>
        <w:autoSpaceDE w:val="0"/>
        <w:autoSpaceDN w:val="0"/>
        <w:adjustRightInd w:val="0"/>
        <w:spacing w:line="360" w:lineRule="auto"/>
        <w:ind w:left="851" w:right="822"/>
        <w:jc w:val="both"/>
        <w:rPr>
          <w:i/>
          <w:szCs w:val="22"/>
        </w:rPr>
      </w:pPr>
      <w:r w:rsidRPr="00166794">
        <w:rPr>
          <w:rFonts w:ascii="Palatino Linotype" w:hAnsi="Palatino Linotype" w:cs="Arial"/>
          <w:b/>
          <w:bCs/>
          <w:i/>
          <w:szCs w:val="22"/>
        </w:rPr>
        <w:t>“Artículo</w:t>
      </w:r>
      <w:r w:rsidRPr="00166794">
        <w:rPr>
          <w:rFonts w:ascii="Palatino Linotype" w:hAnsi="Palatino Linotype" w:cs="Arial"/>
          <w:b/>
          <w:bCs/>
          <w:i/>
        </w:rPr>
        <w:t xml:space="preserve"> </w:t>
      </w:r>
      <w:r w:rsidRPr="00166794">
        <w:rPr>
          <w:rFonts w:ascii="Palatino Linotype" w:hAnsi="Palatino Linotype" w:cs="Arial"/>
          <w:b/>
          <w:bCs/>
          <w:i/>
          <w:szCs w:val="22"/>
        </w:rPr>
        <w:t>8.</w:t>
      </w:r>
      <w:r w:rsidRPr="00166794">
        <w:rPr>
          <w:rFonts w:ascii="Palatino Linotype" w:hAnsi="Palatino Linotype" w:cs="Arial"/>
          <w:b/>
          <w:bCs/>
          <w:i/>
        </w:rPr>
        <w:t xml:space="preserve"> </w:t>
      </w:r>
      <w:r w:rsidRPr="00166794">
        <w:rPr>
          <w:rFonts w:ascii="Palatino Linotype" w:hAnsi="Palatino Linotype" w:cs="Arial"/>
          <w:i/>
          <w:szCs w:val="22"/>
        </w:rPr>
        <w:t>El</w:t>
      </w:r>
      <w:r w:rsidRPr="00166794">
        <w:rPr>
          <w:rFonts w:ascii="Palatino Linotype" w:hAnsi="Palatino Linotype" w:cs="Arial"/>
          <w:i/>
        </w:rPr>
        <w:t xml:space="preserve"> </w:t>
      </w:r>
      <w:r w:rsidRPr="00166794">
        <w:rPr>
          <w:rFonts w:ascii="Palatino Linotype" w:hAnsi="Palatino Linotype" w:cs="Arial"/>
          <w:i/>
          <w:szCs w:val="22"/>
        </w:rPr>
        <w:t>Órgano</w:t>
      </w:r>
      <w:r w:rsidRPr="00166794">
        <w:rPr>
          <w:rFonts w:ascii="Palatino Linotype" w:hAnsi="Palatino Linotype" w:cs="Arial"/>
          <w:i/>
        </w:rPr>
        <w:t xml:space="preserve"> </w:t>
      </w:r>
      <w:r w:rsidRPr="00166794">
        <w:rPr>
          <w:rFonts w:ascii="Palatino Linotype" w:hAnsi="Palatino Linotype" w:cs="Arial"/>
          <w:i/>
          <w:szCs w:val="22"/>
        </w:rPr>
        <w:t>Superior</w:t>
      </w:r>
      <w:r w:rsidRPr="00166794">
        <w:rPr>
          <w:rFonts w:ascii="Palatino Linotype" w:hAnsi="Palatino Linotype" w:cs="Arial"/>
          <w:i/>
        </w:rPr>
        <w:t xml:space="preserve"> </w:t>
      </w:r>
      <w:r w:rsidRPr="00166794">
        <w:rPr>
          <w:rFonts w:ascii="Palatino Linotype" w:hAnsi="Palatino Linotype" w:cs="Arial"/>
          <w:i/>
          <w:szCs w:val="22"/>
        </w:rPr>
        <w:t>tendrá</w:t>
      </w:r>
      <w:r w:rsidRPr="00166794">
        <w:rPr>
          <w:rFonts w:ascii="Palatino Linotype" w:hAnsi="Palatino Linotype" w:cs="Arial"/>
          <w:i/>
        </w:rPr>
        <w:t xml:space="preserve"> </w:t>
      </w:r>
      <w:r w:rsidRPr="00166794">
        <w:rPr>
          <w:rFonts w:ascii="Palatino Linotype" w:hAnsi="Palatino Linotype" w:cs="Arial"/>
          <w:i/>
          <w:szCs w:val="22"/>
        </w:rPr>
        <w:t>las</w:t>
      </w:r>
      <w:r w:rsidRPr="00166794">
        <w:rPr>
          <w:rFonts w:ascii="Palatino Linotype" w:hAnsi="Palatino Linotype" w:cs="Arial"/>
          <w:i/>
        </w:rPr>
        <w:t xml:space="preserve"> </w:t>
      </w:r>
      <w:r w:rsidRPr="00166794">
        <w:rPr>
          <w:rFonts w:ascii="Palatino Linotype" w:hAnsi="Palatino Linotype" w:cs="Arial"/>
          <w:i/>
          <w:szCs w:val="22"/>
        </w:rPr>
        <w:t>siguientes</w:t>
      </w:r>
      <w:r w:rsidRPr="00166794">
        <w:rPr>
          <w:rFonts w:ascii="Palatino Linotype" w:hAnsi="Palatino Linotype" w:cs="Arial"/>
          <w:i/>
        </w:rPr>
        <w:t xml:space="preserve"> </w:t>
      </w:r>
      <w:r w:rsidRPr="00166794">
        <w:rPr>
          <w:rFonts w:ascii="Palatino Linotype" w:hAnsi="Palatino Linotype" w:cs="Arial"/>
          <w:i/>
          <w:szCs w:val="22"/>
        </w:rPr>
        <w:t>atribuciones:</w:t>
      </w:r>
    </w:p>
    <w:p w:rsidR="004C346A" w:rsidRPr="00166794" w:rsidRDefault="004C346A" w:rsidP="00122711">
      <w:pPr>
        <w:pStyle w:val="Prrafodelista"/>
        <w:autoSpaceDE w:val="0"/>
        <w:autoSpaceDN w:val="0"/>
        <w:adjustRightInd w:val="0"/>
        <w:spacing w:line="360" w:lineRule="auto"/>
        <w:ind w:left="851" w:right="822"/>
        <w:jc w:val="both"/>
        <w:rPr>
          <w:rFonts w:ascii="Palatino Linotype" w:hAnsi="Palatino Linotype" w:cs="Arial"/>
          <w:i/>
          <w:szCs w:val="22"/>
        </w:rPr>
      </w:pPr>
      <w:r w:rsidRPr="00166794">
        <w:rPr>
          <w:rFonts w:ascii="Palatino Linotype" w:hAnsi="Palatino Linotype" w:cs="Arial"/>
          <w:i/>
          <w:szCs w:val="22"/>
        </w:rPr>
        <w:t>…</w:t>
      </w:r>
    </w:p>
    <w:p w:rsidR="004C346A" w:rsidRPr="00166794" w:rsidRDefault="004C346A" w:rsidP="00122711">
      <w:pPr>
        <w:pStyle w:val="Prrafodelista"/>
        <w:autoSpaceDE w:val="0"/>
        <w:autoSpaceDN w:val="0"/>
        <w:adjustRightInd w:val="0"/>
        <w:spacing w:after="240" w:line="360" w:lineRule="auto"/>
        <w:ind w:left="851" w:right="822"/>
        <w:jc w:val="both"/>
        <w:rPr>
          <w:rFonts w:ascii="Palatino Linotype" w:hAnsi="Palatino Linotype" w:cs="Arial"/>
          <w:color w:val="000000"/>
          <w:szCs w:val="22"/>
        </w:rPr>
      </w:pPr>
      <w:r w:rsidRPr="00166794">
        <w:rPr>
          <w:rFonts w:ascii="Palatino Linotype" w:hAnsi="Palatino Linotype" w:cs="Arial"/>
          <w:b/>
          <w:bCs/>
          <w:i/>
          <w:szCs w:val="22"/>
        </w:rPr>
        <w:t>XI.</w:t>
      </w:r>
      <w:r w:rsidRPr="00166794">
        <w:rPr>
          <w:rFonts w:ascii="Palatino Linotype" w:hAnsi="Palatino Linotype" w:cs="Arial"/>
          <w:b/>
          <w:bCs/>
          <w:i/>
        </w:rPr>
        <w:t xml:space="preserve"> </w:t>
      </w:r>
      <w:r w:rsidRPr="00166794">
        <w:rPr>
          <w:rFonts w:ascii="Palatino Linotype" w:hAnsi="Palatino Linotype" w:cs="Arial"/>
          <w:i/>
          <w:szCs w:val="22"/>
        </w:rPr>
        <w:t>Establecer</w:t>
      </w:r>
      <w:r w:rsidRPr="00166794">
        <w:rPr>
          <w:rFonts w:ascii="Palatino Linotype" w:hAnsi="Palatino Linotype" w:cs="Arial"/>
          <w:i/>
        </w:rPr>
        <w:t xml:space="preserve"> </w:t>
      </w:r>
      <w:r w:rsidRPr="00166794">
        <w:rPr>
          <w:rFonts w:ascii="Palatino Linotype" w:hAnsi="Palatino Linotype" w:cs="Arial"/>
          <w:i/>
          <w:szCs w:val="22"/>
        </w:rPr>
        <w:t>los</w:t>
      </w:r>
      <w:r w:rsidRPr="00166794">
        <w:rPr>
          <w:rFonts w:ascii="Palatino Linotype" w:hAnsi="Palatino Linotype" w:cs="Arial"/>
          <w:i/>
        </w:rPr>
        <w:t xml:space="preserve"> </w:t>
      </w:r>
      <w:r w:rsidRPr="00166794">
        <w:rPr>
          <w:rFonts w:ascii="Palatino Linotype" w:hAnsi="Palatino Linotype" w:cs="Arial"/>
          <w:i/>
          <w:szCs w:val="22"/>
        </w:rPr>
        <w:t>lineamientos,</w:t>
      </w:r>
      <w:r w:rsidRPr="00166794">
        <w:rPr>
          <w:rFonts w:ascii="Palatino Linotype" w:hAnsi="Palatino Linotype" w:cs="Arial"/>
          <w:i/>
        </w:rPr>
        <w:t xml:space="preserve"> </w:t>
      </w:r>
      <w:r w:rsidRPr="00166794">
        <w:rPr>
          <w:rFonts w:ascii="Palatino Linotype" w:hAnsi="Palatino Linotype" w:cs="Arial"/>
          <w:i/>
          <w:szCs w:val="22"/>
        </w:rPr>
        <w:t>criterios,</w:t>
      </w:r>
      <w:r w:rsidRPr="00166794">
        <w:rPr>
          <w:rFonts w:ascii="Palatino Linotype" w:hAnsi="Palatino Linotype" w:cs="Arial"/>
          <w:i/>
        </w:rPr>
        <w:t xml:space="preserve"> </w:t>
      </w:r>
      <w:r w:rsidRPr="00166794">
        <w:rPr>
          <w:rFonts w:ascii="Palatino Linotype" w:hAnsi="Palatino Linotype" w:cs="Arial"/>
          <w:i/>
          <w:szCs w:val="22"/>
        </w:rPr>
        <w:t>procedimientos,</w:t>
      </w:r>
      <w:r w:rsidRPr="00166794">
        <w:rPr>
          <w:rFonts w:ascii="Palatino Linotype" w:hAnsi="Palatino Linotype" w:cs="Arial"/>
          <w:i/>
        </w:rPr>
        <w:t xml:space="preserve"> </w:t>
      </w:r>
      <w:r w:rsidRPr="00166794">
        <w:rPr>
          <w:rFonts w:ascii="Palatino Linotype" w:hAnsi="Palatino Linotype" w:cs="Arial"/>
          <w:i/>
          <w:szCs w:val="22"/>
        </w:rPr>
        <w:t>métodos</w:t>
      </w:r>
      <w:r w:rsidRPr="00166794">
        <w:rPr>
          <w:rFonts w:ascii="Palatino Linotype" w:hAnsi="Palatino Linotype" w:cs="Arial"/>
          <w:i/>
        </w:rPr>
        <w:t xml:space="preserve"> </w:t>
      </w:r>
      <w:r w:rsidRPr="00166794">
        <w:rPr>
          <w:rFonts w:ascii="Palatino Linotype" w:hAnsi="Palatino Linotype" w:cs="Arial"/>
          <w:i/>
          <w:szCs w:val="22"/>
        </w:rPr>
        <w:t>y</w:t>
      </w:r>
      <w:r w:rsidRPr="00166794">
        <w:rPr>
          <w:rFonts w:ascii="Palatino Linotype" w:hAnsi="Palatino Linotype" w:cs="Arial"/>
          <w:i/>
        </w:rPr>
        <w:t xml:space="preserve"> </w:t>
      </w:r>
      <w:r w:rsidRPr="00166794">
        <w:rPr>
          <w:rFonts w:ascii="Palatino Linotype" w:hAnsi="Palatino Linotype" w:cs="Arial"/>
          <w:i/>
          <w:szCs w:val="22"/>
        </w:rPr>
        <w:t>sistemas</w:t>
      </w:r>
      <w:r w:rsidRPr="00166794">
        <w:rPr>
          <w:rFonts w:ascii="Palatino Linotype" w:hAnsi="Palatino Linotype" w:cs="Arial"/>
          <w:i/>
        </w:rPr>
        <w:t xml:space="preserve"> </w:t>
      </w:r>
      <w:r w:rsidRPr="00166794">
        <w:rPr>
          <w:rFonts w:ascii="Palatino Linotype" w:hAnsi="Palatino Linotype" w:cs="Arial"/>
          <w:i/>
          <w:szCs w:val="22"/>
        </w:rPr>
        <w:t>para</w:t>
      </w:r>
      <w:r w:rsidRPr="00166794">
        <w:rPr>
          <w:rFonts w:ascii="Palatino Linotype" w:hAnsi="Palatino Linotype" w:cs="Arial"/>
          <w:i/>
        </w:rPr>
        <w:t xml:space="preserve"> </w:t>
      </w:r>
      <w:r w:rsidRPr="00166794">
        <w:rPr>
          <w:rFonts w:ascii="Palatino Linotype" w:hAnsi="Palatino Linotype" w:cs="Arial"/>
          <w:i/>
          <w:szCs w:val="22"/>
        </w:rPr>
        <w:t>las</w:t>
      </w:r>
      <w:r w:rsidRPr="00166794">
        <w:rPr>
          <w:rFonts w:ascii="Palatino Linotype" w:hAnsi="Palatino Linotype" w:cs="Arial"/>
          <w:i/>
        </w:rPr>
        <w:t xml:space="preserve"> </w:t>
      </w:r>
      <w:r w:rsidRPr="00166794">
        <w:rPr>
          <w:rFonts w:ascii="Palatino Linotype" w:hAnsi="Palatino Linotype" w:cs="Arial"/>
          <w:i/>
          <w:szCs w:val="22"/>
        </w:rPr>
        <w:t>acciones</w:t>
      </w:r>
      <w:r w:rsidRPr="00166794">
        <w:rPr>
          <w:rFonts w:ascii="Palatino Linotype" w:hAnsi="Palatino Linotype" w:cs="Arial"/>
          <w:i/>
        </w:rPr>
        <w:t xml:space="preserve"> </w:t>
      </w:r>
      <w:r w:rsidRPr="00166794">
        <w:rPr>
          <w:rFonts w:ascii="Palatino Linotype" w:hAnsi="Palatino Linotype" w:cs="Arial"/>
          <w:i/>
          <w:szCs w:val="22"/>
        </w:rPr>
        <w:t>de</w:t>
      </w:r>
      <w:r w:rsidRPr="00166794">
        <w:rPr>
          <w:rFonts w:ascii="Palatino Linotype" w:hAnsi="Palatino Linotype" w:cs="Arial"/>
          <w:i/>
        </w:rPr>
        <w:t xml:space="preserve"> </w:t>
      </w:r>
      <w:r w:rsidRPr="00166794">
        <w:rPr>
          <w:rFonts w:ascii="Palatino Linotype" w:hAnsi="Palatino Linotype" w:cs="Arial"/>
          <w:i/>
          <w:szCs w:val="22"/>
        </w:rPr>
        <w:t>control</w:t>
      </w:r>
      <w:r w:rsidRPr="00166794">
        <w:rPr>
          <w:rFonts w:ascii="Palatino Linotype" w:hAnsi="Palatino Linotype" w:cs="Arial"/>
          <w:i/>
        </w:rPr>
        <w:t xml:space="preserve"> </w:t>
      </w:r>
      <w:r w:rsidRPr="00166794">
        <w:rPr>
          <w:rFonts w:ascii="Palatino Linotype" w:hAnsi="Palatino Linotype" w:cs="Arial"/>
          <w:i/>
          <w:szCs w:val="22"/>
        </w:rPr>
        <w:t>y</w:t>
      </w:r>
      <w:r w:rsidRPr="00166794">
        <w:rPr>
          <w:rFonts w:ascii="Palatino Linotype" w:hAnsi="Palatino Linotype" w:cs="Arial"/>
          <w:i/>
        </w:rPr>
        <w:t xml:space="preserve"> </w:t>
      </w:r>
      <w:r w:rsidRPr="00166794">
        <w:rPr>
          <w:rFonts w:ascii="Palatino Linotype" w:hAnsi="Palatino Linotype" w:cs="Arial"/>
          <w:i/>
          <w:szCs w:val="22"/>
        </w:rPr>
        <w:t>evaluación,</w:t>
      </w:r>
      <w:r w:rsidRPr="00166794">
        <w:rPr>
          <w:rFonts w:ascii="Palatino Linotype" w:hAnsi="Palatino Linotype" w:cs="Arial"/>
          <w:i/>
        </w:rPr>
        <w:t xml:space="preserve"> </w:t>
      </w:r>
      <w:r w:rsidRPr="00166794">
        <w:rPr>
          <w:rFonts w:ascii="Palatino Linotype" w:hAnsi="Palatino Linotype" w:cs="Arial"/>
          <w:i/>
          <w:szCs w:val="22"/>
        </w:rPr>
        <w:t>necesarios</w:t>
      </w:r>
      <w:r w:rsidRPr="00166794">
        <w:rPr>
          <w:rFonts w:ascii="Palatino Linotype" w:hAnsi="Palatino Linotype" w:cs="Arial"/>
          <w:i/>
        </w:rPr>
        <w:t xml:space="preserve"> </w:t>
      </w:r>
      <w:r w:rsidRPr="00166794">
        <w:rPr>
          <w:rFonts w:ascii="Palatino Linotype" w:hAnsi="Palatino Linotype" w:cs="Arial"/>
          <w:i/>
          <w:szCs w:val="22"/>
        </w:rPr>
        <w:t>para</w:t>
      </w:r>
      <w:r w:rsidRPr="00166794">
        <w:rPr>
          <w:rFonts w:ascii="Palatino Linotype" w:hAnsi="Palatino Linotype" w:cs="Arial"/>
          <w:i/>
        </w:rPr>
        <w:t xml:space="preserve"> </w:t>
      </w:r>
      <w:r w:rsidRPr="00166794">
        <w:rPr>
          <w:rFonts w:ascii="Palatino Linotype" w:hAnsi="Palatino Linotype" w:cs="Arial"/>
          <w:i/>
          <w:szCs w:val="22"/>
        </w:rPr>
        <w:t>la</w:t>
      </w:r>
      <w:r w:rsidRPr="00166794">
        <w:rPr>
          <w:rFonts w:ascii="Palatino Linotype" w:hAnsi="Palatino Linotype" w:cs="Arial"/>
          <w:i/>
        </w:rPr>
        <w:t xml:space="preserve"> </w:t>
      </w:r>
      <w:r w:rsidRPr="00166794">
        <w:rPr>
          <w:rFonts w:ascii="Palatino Linotype" w:hAnsi="Palatino Linotype" w:cs="Arial"/>
          <w:i/>
          <w:szCs w:val="22"/>
        </w:rPr>
        <w:t>fiscalización</w:t>
      </w:r>
      <w:r w:rsidRPr="00166794">
        <w:rPr>
          <w:rFonts w:ascii="Palatino Linotype" w:hAnsi="Palatino Linotype" w:cs="Arial"/>
          <w:i/>
        </w:rPr>
        <w:t xml:space="preserve"> </w:t>
      </w:r>
      <w:r w:rsidRPr="00166794">
        <w:rPr>
          <w:rFonts w:ascii="Palatino Linotype" w:hAnsi="Palatino Linotype" w:cs="Arial"/>
          <w:i/>
          <w:szCs w:val="22"/>
        </w:rPr>
        <w:t>de</w:t>
      </w:r>
      <w:r w:rsidRPr="00166794">
        <w:rPr>
          <w:rFonts w:ascii="Palatino Linotype" w:hAnsi="Palatino Linotype" w:cs="Arial"/>
          <w:i/>
        </w:rPr>
        <w:t xml:space="preserve"> </w:t>
      </w:r>
      <w:r w:rsidRPr="00166794">
        <w:rPr>
          <w:rFonts w:ascii="Palatino Linotype" w:hAnsi="Palatino Linotype" w:cs="Arial"/>
          <w:i/>
          <w:szCs w:val="22"/>
        </w:rPr>
        <w:t>las</w:t>
      </w:r>
      <w:r w:rsidRPr="00166794">
        <w:rPr>
          <w:rFonts w:ascii="Palatino Linotype" w:hAnsi="Palatino Linotype" w:cs="Arial"/>
          <w:i/>
        </w:rPr>
        <w:t xml:space="preserve"> </w:t>
      </w:r>
      <w:r w:rsidRPr="00166794">
        <w:rPr>
          <w:rFonts w:ascii="Palatino Linotype" w:hAnsi="Palatino Linotype" w:cs="Arial"/>
          <w:i/>
          <w:szCs w:val="22"/>
        </w:rPr>
        <w:t>cuentas</w:t>
      </w:r>
      <w:r w:rsidRPr="00166794">
        <w:rPr>
          <w:rFonts w:ascii="Palatino Linotype" w:hAnsi="Palatino Linotype" w:cs="Arial"/>
          <w:i/>
        </w:rPr>
        <w:t xml:space="preserve"> </w:t>
      </w:r>
      <w:r w:rsidRPr="00166794">
        <w:rPr>
          <w:rFonts w:ascii="Palatino Linotype" w:hAnsi="Palatino Linotype" w:cs="Arial"/>
          <w:i/>
          <w:szCs w:val="22"/>
        </w:rPr>
        <w:t>públi</w:t>
      </w:r>
      <w:r w:rsidRPr="00166794">
        <w:rPr>
          <w:rFonts w:ascii="Palatino Linotype" w:hAnsi="Palatino Linotype" w:cs="Arial"/>
          <w:i/>
        </w:rPr>
        <w:t>cas y los informes trimestrales</w:t>
      </w:r>
      <w:r w:rsidRPr="00166794">
        <w:rPr>
          <w:rStyle w:val="Refdenotaalpie"/>
          <w:rFonts w:ascii="Palatino Linotype" w:hAnsi="Palatino Linotype" w:cs="Arial"/>
          <w:i/>
        </w:rPr>
        <w:footnoteReference w:id="9"/>
      </w:r>
      <w:r w:rsidRPr="00166794">
        <w:rPr>
          <w:rFonts w:ascii="Palatino Linotype" w:hAnsi="Palatino Linotype" w:cs="Arial"/>
          <w:color w:val="000000"/>
          <w:szCs w:val="22"/>
        </w:rPr>
        <w:t>…”</w:t>
      </w:r>
      <w:r w:rsidRPr="00166794">
        <w:rPr>
          <w:rFonts w:ascii="Palatino Linotype" w:hAnsi="Palatino Linotype" w:cs="Arial"/>
          <w:color w:val="000000"/>
        </w:rPr>
        <w:t xml:space="preserve"> </w:t>
      </w:r>
      <w:r w:rsidRPr="00166794">
        <w:rPr>
          <w:rFonts w:ascii="Palatino Linotype" w:hAnsi="Palatino Linotype" w:cs="Arial"/>
          <w:color w:val="000000"/>
          <w:szCs w:val="22"/>
        </w:rPr>
        <w:t>(Sic)</w:t>
      </w:r>
    </w:p>
    <w:p w:rsidR="004C346A" w:rsidRPr="00166794" w:rsidRDefault="004C346A" w:rsidP="004C346A">
      <w:pPr>
        <w:pStyle w:val="Prrafodelista"/>
        <w:autoSpaceDE w:val="0"/>
        <w:autoSpaceDN w:val="0"/>
        <w:adjustRightInd w:val="0"/>
        <w:spacing w:after="240"/>
        <w:ind w:left="360" w:right="899"/>
        <w:jc w:val="both"/>
        <w:rPr>
          <w:bCs/>
          <w:color w:val="000000"/>
        </w:rPr>
      </w:pPr>
    </w:p>
    <w:p w:rsidR="00695AFA" w:rsidRPr="00166794" w:rsidRDefault="00695AFA" w:rsidP="00F84C28">
      <w:pPr>
        <w:numPr>
          <w:ilvl w:val="0"/>
          <w:numId w:val="1"/>
        </w:numPr>
        <w:spacing w:line="360" w:lineRule="auto"/>
        <w:ind w:left="0" w:right="49" w:firstLine="0"/>
        <w:contextualSpacing/>
        <w:jc w:val="both"/>
        <w:rPr>
          <w:rFonts w:ascii="Palatino Linotype" w:hAnsi="Palatino Linotype" w:cs="Arial"/>
          <w:szCs w:val="28"/>
        </w:rPr>
      </w:pPr>
      <w:r w:rsidRPr="00166794">
        <w:rPr>
          <w:rFonts w:ascii="Palatino Linotype" w:hAnsi="Palatino Linotype" w:cs="Arial"/>
          <w:szCs w:val="28"/>
        </w:rPr>
        <w:t>Aunado a lo anterior, es importante referir que la balanza de comprobación detallada es parte integrante también de la Cuenta Pública la cual conforme al artículo 352 del Código Financiero del Estado de México, se encuentra integrada de la siguiente manera:</w:t>
      </w:r>
    </w:p>
    <w:p w:rsidR="00695AFA" w:rsidRPr="00166794" w:rsidRDefault="00695AFA" w:rsidP="00695AFA">
      <w:pPr>
        <w:spacing w:line="360" w:lineRule="auto"/>
        <w:ind w:left="851" w:right="822"/>
        <w:contextualSpacing/>
        <w:jc w:val="both"/>
        <w:rPr>
          <w:rFonts w:ascii="Palatino Linotype" w:hAnsi="Palatino Linotype" w:cs="Arial"/>
          <w:i/>
          <w:sz w:val="22"/>
          <w:szCs w:val="28"/>
        </w:rPr>
      </w:pPr>
    </w:p>
    <w:p w:rsidR="00695AFA" w:rsidRPr="00166794" w:rsidRDefault="00695AFA" w:rsidP="00695AFA">
      <w:pPr>
        <w:spacing w:line="360" w:lineRule="auto"/>
        <w:ind w:left="851" w:right="822"/>
        <w:contextualSpacing/>
        <w:jc w:val="both"/>
        <w:rPr>
          <w:rFonts w:ascii="Palatino Linotype" w:hAnsi="Palatino Linotype" w:cs="Arial"/>
          <w:i/>
          <w:sz w:val="22"/>
          <w:szCs w:val="28"/>
        </w:rPr>
      </w:pPr>
      <w:r w:rsidRPr="00166794">
        <w:rPr>
          <w:rFonts w:ascii="Palatino Linotype" w:hAnsi="Palatino Linotype" w:cs="Arial"/>
          <w:i/>
          <w:sz w:val="22"/>
          <w:szCs w:val="28"/>
        </w:rPr>
        <w:lastRenderedPageBreak/>
        <w:t>“Artículo 352.- La cuenta pública se constituye por la información económica, patrimonial, presupuestal, programática, cualitativa y cuantitativa que muestre los resultados de la ejecución de la Ley de Ingresos y del Presupuesto de Egresos. La Secretaría y las Tesorerías, proporcionarán la información complementaria requerida por los Órganos de Fiscalización locales y federales, según corresponda, para el análisis y evaluación de la cuenta pública correspondiente. El formato de entrega de las Cuentas Públicas del Estado y de los Municipios, deberá ser congruente, contener el mismo nivel de desglose y mantener la debida correlación con respecto a los formatos del Presupuesto de Egresos del Estado y de los Municipios respectivamente, para lograr una mejor claridad, comprensión y transparencia en la revisión y fiscalización por parte del Órgano Superior de Fiscalización del Estado de México.”(Sic)</w:t>
      </w:r>
    </w:p>
    <w:p w:rsidR="00695AFA" w:rsidRPr="00166794" w:rsidRDefault="00695AFA" w:rsidP="00695AFA">
      <w:pPr>
        <w:pStyle w:val="Prrafodelista"/>
        <w:spacing w:line="360" w:lineRule="auto"/>
        <w:ind w:left="360"/>
        <w:jc w:val="both"/>
        <w:rPr>
          <w:rFonts w:ascii="Palatino Linotype" w:hAnsi="Palatino Linotype"/>
          <w:sz w:val="24"/>
        </w:rPr>
      </w:pPr>
    </w:p>
    <w:p w:rsidR="004C346A" w:rsidRPr="00166794" w:rsidRDefault="004C346A" w:rsidP="00F84C28">
      <w:pPr>
        <w:pStyle w:val="Prrafodelista"/>
        <w:numPr>
          <w:ilvl w:val="0"/>
          <w:numId w:val="1"/>
        </w:numPr>
        <w:spacing w:line="360" w:lineRule="auto"/>
        <w:ind w:left="0" w:firstLine="0"/>
        <w:jc w:val="both"/>
        <w:rPr>
          <w:rFonts w:ascii="Palatino Linotype" w:hAnsi="Palatino Linotype"/>
          <w:sz w:val="24"/>
        </w:rPr>
      </w:pPr>
      <w:r w:rsidRPr="00166794">
        <w:rPr>
          <w:rFonts w:ascii="Palatino Linotype" w:hAnsi="Palatino Linotype"/>
          <w:sz w:val="24"/>
        </w:rPr>
        <w:t>De esta forma, el OSFEM emite anualmente dichos Lineamientos para definir los criterios, formatos y documentación necesaria para presentar los informes trimestrales, dentro de los cuales destacan –en relació</w:t>
      </w:r>
      <w:r w:rsidR="00695AFA" w:rsidRPr="00166794">
        <w:rPr>
          <w:rFonts w:ascii="Palatino Linotype" w:hAnsi="Palatino Linotype"/>
          <w:sz w:val="24"/>
        </w:rPr>
        <w:t>n con el análisis que nos ocupa</w:t>
      </w:r>
      <w:r w:rsidRPr="00166794">
        <w:rPr>
          <w:rFonts w:ascii="Palatino Linotype" w:hAnsi="Palatino Linotype"/>
          <w:sz w:val="24"/>
        </w:rPr>
        <w:t>, lo relativo a la matriz de información firmas y archivos.</w:t>
      </w:r>
    </w:p>
    <w:p w:rsidR="004C346A" w:rsidRPr="00166794" w:rsidRDefault="004C346A" w:rsidP="004C346A">
      <w:pPr>
        <w:pStyle w:val="Prrafodelista"/>
        <w:spacing w:line="360" w:lineRule="auto"/>
        <w:ind w:left="0"/>
        <w:jc w:val="both"/>
        <w:rPr>
          <w:rFonts w:ascii="Palatino Linotype" w:hAnsi="Palatino Linotype"/>
        </w:rPr>
      </w:pPr>
    </w:p>
    <w:p w:rsidR="004C346A" w:rsidRPr="00166794" w:rsidRDefault="009725B3" w:rsidP="009725B3">
      <w:pPr>
        <w:pStyle w:val="Prrafodelista"/>
        <w:spacing w:line="360" w:lineRule="auto"/>
        <w:ind w:left="0"/>
        <w:jc w:val="center"/>
        <w:rPr>
          <w:rFonts w:ascii="Palatino Linotype" w:hAnsi="Palatino Linotype"/>
        </w:rPr>
      </w:pPr>
      <w:r w:rsidRPr="00166794">
        <w:rPr>
          <w:noProof/>
        </w:rPr>
        <w:lastRenderedPageBreak/>
        <mc:AlternateContent>
          <mc:Choice Requires="wps">
            <w:drawing>
              <wp:anchor distT="0" distB="0" distL="114300" distR="114300" simplePos="0" relativeHeight="251659264" behindDoc="0" locked="0" layoutInCell="1" allowOverlap="1">
                <wp:simplePos x="0" y="0"/>
                <wp:positionH relativeFrom="column">
                  <wp:posOffset>782320</wp:posOffset>
                </wp:positionH>
                <wp:positionV relativeFrom="paragraph">
                  <wp:posOffset>3080385</wp:posOffset>
                </wp:positionV>
                <wp:extent cx="4914900" cy="247650"/>
                <wp:effectExtent l="19050" t="19050" r="19050" b="19050"/>
                <wp:wrapNone/>
                <wp:docPr id="2" name="Rectángulo redondeado 2"/>
                <wp:cNvGraphicFramePr/>
                <a:graphic xmlns:a="http://schemas.openxmlformats.org/drawingml/2006/main">
                  <a:graphicData uri="http://schemas.microsoft.com/office/word/2010/wordprocessingShape">
                    <wps:wsp>
                      <wps:cNvSpPr/>
                      <wps:spPr>
                        <a:xfrm>
                          <a:off x="0" y="0"/>
                          <a:ext cx="4914900" cy="247650"/>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38F5DCB" id="Rectángulo redondeado 2" o:spid="_x0000_s1026" style="position:absolute;margin-left:61.6pt;margin-top:242.55pt;width:387pt;height:19.5pt;z-index:2516592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" filled="f" strokecolor="red" strokeweight="3pt">
                <v:stroke joinstyle="miter"/>
              </v:roundrect>
            </w:pict>
          </mc:Fallback>
        </mc:AlternateContent>
      </w:r>
      <w:r w:rsidRPr="00166794">
        <w:rPr>
          <w:noProof/>
        </w:rPr>
        <w:drawing>
          <wp:inline distT="0" distB="0" distL="0" distR="0" wp14:anchorId="78BE325C" wp14:editId="58396147">
            <wp:extent cx="5495925" cy="3252209"/>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46108" t="32141" r="12594" b="24411"/>
                    <a:stretch/>
                  </pic:blipFill>
                  <pic:spPr bwMode="auto">
                    <a:xfrm>
                      <a:off x="0" y="0"/>
                      <a:ext cx="5509922" cy="3260492"/>
                    </a:xfrm>
                    <a:prstGeom prst="rect">
                      <a:avLst/>
                    </a:prstGeom>
                    <a:ln>
                      <a:noFill/>
                    </a:ln>
                    <a:extLst>
                      <a:ext uri="{53640926-AAD7-44D8-BBD7-CCE9431645EC}">
                        <a14:shadowObscured xmlns:a14="http://schemas.microsoft.com/office/drawing/2010/main"/>
                      </a:ext>
                    </a:extLst>
                  </pic:spPr>
                </pic:pic>
              </a:graphicData>
            </a:graphic>
          </wp:inline>
        </w:drawing>
      </w:r>
    </w:p>
    <w:p w:rsidR="009725B3" w:rsidRPr="00166794" w:rsidRDefault="009725B3" w:rsidP="009725B3">
      <w:pPr>
        <w:pStyle w:val="Prrafodelista"/>
        <w:spacing w:line="360" w:lineRule="auto"/>
        <w:ind w:left="0"/>
        <w:jc w:val="center"/>
        <w:rPr>
          <w:rFonts w:ascii="Palatino Linotype" w:hAnsi="Palatino Linotype"/>
        </w:rPr>
      </w:pPr>
    </w:p>
    <w:p w:rsidR="00122711" w:rsidRPr="00166794" w:rsidRDefault="00122711" w:rsidP="009725B3">
      <w:pPr>
        <w:pStyle w:val="Prrafodelista"/>
        <w:spacing w:line="360" w:lineRule="auto"/>
        <w:ind w:left="0"/>
        <w:jc w:val="center"/>
        <w:rPr>
          <w:rFonts w:ascii="Palatino Linotype" w:hAnsi="Palatino Linotype"/>
        </w:rPr>
      </w:pPr>
    </w:p>
    <w:p w:rsidR="006503BB" w:rsidRPr="00166794" w:rsidRDefault="006503BB" w:rsidP="00F84C28">
      <w:pPr>
        <w:pStyle w:val="Prrafodelista"/>
        <w:numPr>
          <w:ilvl w:val="0"/>
          <w:numId w:val="1"/>
        </w:numPr>
        <w:spacing w:before="100" w:beforeAutospacing="1" w:after="100" w:afterAutospacing="1" w:line="360" w:lineRule="auto"/>
        <w:ind w:left="0" w:firstLine="0"/>
        <w:jc w:val="both"/>
        <w:rPr>
          <w:rFonts w:ascii="Palatino Linotype" w:hAnsi="Palatino Linotype"/>
          <w:sz w:val="28"/>
          <w:lang w:eastAsia="es-ES"/>
        </w:rPr>
      </w:pPr>
      <w:r w:rsidRPr="00166794">
        <w:rPr>
          <w:rFonts w:ascii="Palatino Linotype" w:hAnsi="Palatino Linotype"/>
          <w:sz w:val="24"/>
        </w:rPr>
        <w:t>Estos lineamientos son, de observancia general para todos los servidores públicos de las entidades fiscalizables que desempeñen un empleo, cargo o comisión, de cualquier naturaleza en la administración pública municipal y que manejen recursos públicos como lo son los municipios; en atención a ello, el informe trimestral deberá ser presentado al OSFEM dentro de los 20 días posteriores al término del trimestre correspondiente de acuerdo a lo establecido en el artículo 32 de la Ley de Fiscalización Superior del Estado de México, que a la letra dice:</w:t>
      </w:r>
    </w:p>
    <w:p w:rsidR="00884B26" w:rsidRPr="00166794" w:rsidRDefault="00884B26" w:rsidP="00884B26">
      <w:pPr>
        <w:pStyle w:val="Prrafodelista"/>
        <w:spacing w:before="100" w:beforeAutospacing="1" w:after="100" w:afterAutospacing="1" w:line="360" w:lineRule="auto"/>
        <w:ind w:left="360"/>
        <w:jc w:val="both"/>
        <w:rPr>
          <w:rFonts w:ascii="Palatino Linotype" w:hAnsi="Palatino Linotype"/>
          <w:sz w:val="24"/>
          <w:lang w:eastAsia="es-ES"/>
        </w:rPr>
      </w:pPr>
    </w:p>
    <w:p w:rsidR="006503BB" w:rsidRPr="00166794" w:rsidRDefault="006503BB" w:rsidP="00884B26">
      <w:pPr>
        <w:pStyle w:val="Prrafodelista"/>
        <w:spacing w:line="360" w:lineRule="auto"/>
        <w:ind w:left="851" w:right="899"/>
        <w:jc w:val="both"/>
        <w:rPr>
          <w:rFonts w:ascii="Palatino Linotype" w:hAnsi="Palatino Linotype"/>
          <w:i/>
          <w:szCs w:val="22"/>
        </w:rPr>
      </w:pPr>
      <w:r w:rsidRPr="00166794">
        <w:rPr>
          <w:rFonts w:ascii="Palatino Linotype" w:hAnsi="Palatino Linotype"/>
          <w:b/>
          <w:i/>
          <w:szCs w:val="22"/>
        </w:rPr>
        <w:t>“Artículo</w:t>
      </w:r>
      <w:r w:rsidRPr="00166794">
        <w:rPr>
          <w:rFonts w:ascii="Palatino Linotype" w:hAnsi="Palatino Linotype"/>
          <w:b/>
          <w:i/>
        </w:rPr>
        <w:t xml:space="preserve"> </w:t>
      </w:r>
      <w:r w:rsidRPr="00166794">
        <w:rPr>
          <w:rFonts w:ascii="Palatino Linotype" w:hAnsi="Palatino Linotype"/>
          <w:b/>
          <w:i/>
          <w:szCs w:val="22"/>
        </w:rPr>
        <w:t>32.-</w:t>
      </w:r>
      <w:r w:rsidRPr="00166794">
        <w:rPr>
          <w:rFonts w:ascii="Palatino Linotype" w:hAnsi="Palatino Linotype"/>
          <w:i/>
        </w:rPr>
        <w:t xml:space="preserve"> </w:t>
      </w:r>
      <w:r w:rsidRPr="00166794">
        <w:rPr>
          <w:rFonts w:ascii="Palatino Linotype" w:hAnsi="Palatino Linotype"/>
          <w:i/>
          <w:szCs w:val="22"/>
        </w:rPr>
        <w:t>El</w:t>
      </w:r>
      <w:r w:rsidRPr="00166794">
        <w:rPr>
          <w:rFonts w:ascii="Palatino Linotype" w:hAnsi="Palatino Linotype"/>
          <w:i/>
        </w:rPr>
        <w:t xml:space="preserve"> </w:t>
      </w:r>
      <w:r w:rsidRPr="00166794">
        <w:rPr>
          <w:rFonts w:ascii="Palatino Linotype" w:hAnsi="Palatino Linotype"/>
          <w:i/>
          <w:szCs w:val="22"/>
        </w:rPr>
        <w:t>Gobernador</w:t>
      </w:r>
      <w:r w:rsidRPr="00166794">
        <w:rPr>
          <w:rFonts w:ascii="Palatino Linotype" w:hAnsi="Palatino Linotype"/>
          <w:i/>
        </w:rPr>
        <w:t xml:space="preserve"> </w:t>
      </w:r>
      <w:r w:rsidRPr="00166794">
        <w:rPr>
          <w:rFonts w:ascii="Palatino Linotype" w:hAnsi="Palatino Linotype"/>
          <w:i/>
          <w:szCs w:val="22"/>
        </w:rPr>
        <w:t>del</w:t>
      </w:r>
      <w:r w:rsidRPr="00166794">
        <w:rPr>
          <w:rFonts w:ascii="Palatino Linotype" w:hAnsi="Palatino Linotype"/>
          <w:i/>
        </w:rPr>
        <w:t xml:space="preserve"> </w:t>
      </w:r>
      <w:r w:rsidRPr="00166794">
        <w:rPr>
          <w:rFonts w:ascii="Palatino Linotype" w:hAnsi="Palatino Linotype"/>
          <w:i/>
          <w:szCs w:val="22"/>
        </w:rPr>
        <w:t>Estado,</w:t>
      </w:r>
      <w:r w:rsidRPr="00166794">
        <w:rPr>
          <w:rFonts w:ascii="Palatino Linotype" w:hAnsi="Palatino Linotype"/>
          <w:i/>
        </w:rPr>
        <w:t xml:space="preserve"> </w:t>
      </w:r>
      <w:r w:rsidRPr="00166794">
        <w:rPr>
          <w:rFonts w:ascii="Palatino Linotype" w:hAnsi="Palatino Linotype"/>
          <w:i/>
          <w:szCs w:val="22"/>
        </w:rPr>
        <w:t>por</w:t>
      </w:r>
      <w:r w:rsidRPr="00166794">
        <w:rPr>
          <w:rFonts w:ascii="Palatino Linotype" w:hAnsi="Palatino Linotype"/>
          <w:i/>
        </w:rPr>
        <w:t xml:space="preserve"> </w:t>
      </w:r>
      <w:r w:rsidRPr="00166794">
        <w:rPr>
          <w:rFonts w:ascii="Palatino Linotype" w:hAnsi="Palatino Linotype"/>
          <w:i/>
          <w:szCs w:val="22"/>
        </w:rPr>
        <w:t>conducto</w:t>
      </w:r>
      <w:r w:rsidRPr="00166794">
        <w:rPr>
          <w:rFonts w:ascii="Palatino Linotype" w:hAnsi="Palatino Linotype"/>
          <w:i/>
        </w:rPr>
        <w:t xml:space="preserve"> </w:t>
      </w:r>
      <w:r w:rsidRPr="00166794">
        <w:rPr>
          <w:rFonts w:ascii="Palatino Linotype" w:hAnsi="Palatino Linotype"/>
          <w:i/>
          <w:szCs w:val="22"/>
        </w:rPr>
        <w:t>del</w:t>
      </w:r>
      <w:r w:rsidRPr="00166794">
        <w:rPr>
          <w:rFonts w:ascii="Palatino Linotype" w:hAnsi="Palatino Linotype"/>
          <w:i/>
        </w:rPr>
        <w:t xml:space="preserve"> </w:t>
      </w:r>
      <w:r w:rsidRPr="00166794">
        <w:rPr>
          <w:rFonts w:ascii="Palatino Linotype" w:hAnsi="Palatino Linotype"/>
          <w:i/>
          <w:szCs w:val="22"/>
        </w:rPr>
        <w:t>titular</w:t>
      </w:r>
      <w:r w:rsidRPr="00166794">
        <w:rPr>
          <w:rFonts w:ascii="Palatino Linotype" w:hAnsi="Palatino Linotype"/>
          <w:i/>
        </w:rPr>
        <w:t xml:space="preserve"> </w:t>
      </w:r>
      <w:r w:rsidRPr="00166794">
        <w:rPr>
          <w:rFonts w:ascii="Palatino Linotype" w:hAnsi="Palatino Linotype"/>
          <w:i/>
          <w:szCs w:val="22"/>
        </w:rPr>
        <w:t>de</w:t>
      </w:r>
      <w:r w:rsidRPr="00166794">
        <w:rPr>
          <w:rFonts w:ascii="Palatino Linotype" w:hAnsi="Palatino Linotype"/>
          <w:i/>
        </w:rPr>
        <w:t xml:space="preserve"> </w:t>
      </w:r>
      <w:r w:rsidRPr="00166794">
        <w:rPr>
          <w:rFonts w:ascii="Palatino Linotype" w:hAnsi="Palatino Linotype"/>
          <w:i/>
          <w:szCs w:val="22"/>
        </w:rPr>
        <w:t>la</w:t>
      </w:r>
      <w:r w:rsidRPr="00166794">
        <w:rPr>
          <w:rFonts w:ascii="Palatino Linotype" w:hAnsi="Palatino Linotype"/>
          <w:i/>
        </w:rPr>
        <w:t xml:space="preserve"> </w:t>
      </w:r>
      <w:r w:rsidRPr="00166794">
        <w:rPr>
          <w:rFonts w:ascii="Palatino Linotype" w:hAnsi="Palatino Linotype"/>
          <w:i/>
          <w:szCs w:val="22"/>
        </w:rPr>
        <w:t>dependencia</w:t>
      </w:r>
      <w:r w:rsidRPr="00166794">
        <w:rPr>
          <w:rFonts w:ascii="Palatino Linotype" w:hAnsi="Palatino Linotype"/>
          <w:i/>
        </w:rPr>
        <w:t xml:space="preserve"> </w:t>
      </w:r>
      <w:r w:rsidRPr="00166794">
        <w:rPr>
          <w:rFonts w:ascii="Palatino Linotype" w:hAnsi="Palatino Linotype"/>
          <w:i/>
          <w:szCs w:val="22"/>
        </w:rPr>
        <w:t>competente,</w:t>
      </w:r>
      <w:r w:rsidRPr="00166794">
        <w:rPr>
          <w:rFonts w:ascii="Palatino Linotype" w:hAnsi="Palatino Linotype"/>
          <w:i/>
        </w:rPr>
        <w:t xml:space="preserve"> </w:t>
      </w:r>
      <w:r w:rsidRPr="00166794">
        <w:rPr>
          <w:rFonts w:ascii="Palatino Linotype" w:hAnsi="Palatino Linotype"/>
          <w:i/>
          <w:szCs w:val="22"/>
        </w:rPr>
        <w:t>presentará</w:t>
      </w:r>
      <w:r w:rsidRPr="00166794">
        <w:rPr>
          <w:rFonts w:ascii="Palatino Linotype" w:hAnsi="Palatino Linotype"/>
          <w:i/>
        </w:rPr>
        <w:t xml:space="preserve"> </w:t>
      </w:r>
      <w:r w:rsidRPr="00166794">
        <w:rPr>
          <w:rFonts w:ascii="Palatino Linotype" w:hAnsi="Palatino Linotype"/>
          <w:i/>
          <w:szCs w:val="22"/>
        </w:rPr>
        <w:t>a</w:t>
      </w:r>
      <w:r w:rsidRPr="00166794">
        <w:rPr>
          <w:rFonts w:ascii="Palatino Linotype" w:hAnsi="Palatino Linotype"/>
          <w:i/>
        </w:rPr>
        <w:t xml:space="preserve"> </w:t>
      </w:r>
      <w:r w:rsidRPr="00166794">
        <w:rPr>
          <w:rFonts w:ascii="Palatino Linotype" w:hAnsi="Palatino Linotype"/>
          <w:i/>
          <w:szCs w:val="22"/>
        </w:rPr>
        <w:t>la</w:t>
      </w:r>
      <w:r w:rsidRPr="00166794">
        <w:rPr>
          <w:rFonts w:ascii="Palatino Linotype" w:hAnsi="Palatino Linotype"/>
          <w:i/>
        </w:rPr>
        <w:t xml:space="preserve"> </w:t>
      </w:r>
      <w:r w:rsidRPr="00166794">
        <w:rPr>
          <w:rFonts w:ascii="Palatino Linotype" w:hAnsi="Palatino Linotype"/>
          <w:i/>
          <w:szCs w:val="22"/>
        </w:rPr>
        <w:t>Legislatura</w:t>
      </w:r>
      <w:r w:rsidRPr="00166794">
        <w:rPr>
          <w:rFonts w:ascii="Palatino Linotype" w:hAnsi="Palatino Linotype"/>
          <w:i/>
        </w:rPr>
        <w:t xml:space="preserve"> </w:t>
      </w:r>
      <w:r w:rsidRPr="00166794">
        <w:rPr>
          <w:rFonts w:ascii="Palatino Linotype" w:hAnsi="Palatino Linotype"/>
          <w:i/>
          <w:szCs w:val="22"/>
        </w:rPr>
        <w:t>la</w:t>
      </w:r>
      <w:r w:rsidRPr="00166794">
        <w:rPr>
          <w:rFonts w:ascii="Palatino Linotype" w:hAnsi="Palatino Linotype"/>
          <w:i/>
        </w:rPr>
        <w:t xml:space="preserve"> </w:t>
      </w:r>
      <w:r w:rsidRPr="00166794">
        <w:rPr>
          <w:rFonts w:ascii="Palatino Linotype" w:hAnsi="Palatino Linotype"/>
          <w:i/>
          <w:szCs w:val="22"/>
        </w:rPr>
        <w:t>cuenta</w:t>
      </w:r>
      <w:r w:rsidRPr="00166794">
        <w:rPr>
          <w:rFonts w:ascii="Palatino Linotype" w:hAnsi="Palatino Linotype"/>
          <w:i/>
        </w:rPr>
        <w:t xml:space="preserve"> </w:t>
      </w:r>
      <w:r w:rsidRPr="00166794">
        <w:rPr>
          <w:rFonts w:ascii="Palatino Linotype" w:hAnsi="Palatino Linotype"/>
          <w:i/>
          <w:szCs w:val="22"/>
        </w:rPr>
        <w:t>pública</w:t>
      </w:r>
      <w:r w:rsidRPr="00166794">
        <w:rPr>
          <w:rFonts w:ascii="Palatino Linotype" w:hAnsi="Palatino Linotype"/>
          <w:i/>
        </w:rPr>
        <w:t xml:space="preserve"> </w:t>
      </w:r>
      <w:r w:rsidRPr="00166794">
        <w:rPr>
          <w:rFonts w:ascii="Palatino Linotype" w:hAnsi="Palatino Linotype"/>
          <w:i/>
          <w:szCs w:val="22"/>
        </w:rPr>
        <w:t>del</w:t>
      </w:r>
      <w:r w:rsidRPr="00166794">
        <w:rPr>
          <w:rFonts w:ascii="Palatino Linotype" w:hAnsi="Palatino Linotype"/>
          <w:i/>
        </w:rPr>
        <w:t xml:space="preserve"> </w:t>
      </w:r>
      <w:r w:rsidRPr="00166794">
        <w:rPr>
          <w:rFonts w:ascii="Palatino Linotype" w:hAnsi="Palatino Linotype"/>
          <w:i/>
          <w:szCs w:val="22"/>
        </w:rPr>
        <w:t>Gobierno</w:t>
      </w:r>
      <w:r w:rsidRPr="00166794">
        <w:rPr>
          <w:rFonts w:ascii="Palatino Linotype" w:hAnsi="Palatino Linotype"/>
          <w:i/>
        </w:rPr>
        <w:t xml:space="preserve"> </w:t>
      </w:r>
      <w:r w:rsidRPr="00166794">
        <w:rPr>
          <w:rFonts w:ascii="Palatino Linotype" w:hAnsi="Palatino Linotype"/>
          <w:i/>
          <w:szCs w:val="22"/>
        </w:rPr>
        <w:t>del</w:t>
      </w:r>
      <w:r w:rsidRPr="00166794">
        <w:rPr>
          <w:rFonts w:ascii="Palatino Linotype" w:hAnsi="Palatino Linotype"/>
          <w:i/>
        </w:rPr>
        <w:t xml:space="preserve"> </w:t>
      </w:r>
      <w:r w:rsidRPr="00166794">
        <w:rPr>
          <w:rFonts w:ascii="Palatino Linotype" w:hAnsi="Palatino Linotype"/>
          <w:i/>
          <w:szCs w:val="22"/>
        </w:rPr>
        <w:t>Estado</w:t>
      </w:r>
      <w:r w:rsidRPr="00166794">
        <w:rPr>
          <w:rFonts w:ascii="Palatino Linotype" w:hAnsi="Palatino Linotype"/>
          <w:i/>
        </w:rPr>
        <w:t xml:space="preserve"> </w:t>
      </w:r>
      <w:r w:rsidRPr="00166794">
        <w:rPr>
          <w:rFonts w:ascii="Palatino Linotype" w:hAnsi="Palatino Linotype"/>
          <w:i/>
          <w:szCs w:val="22"/>
        </w:rPr>
        <w:t>del</w:t>
      </w:r>
      <w:r w:rsidRPr="00166794">
        <w:rPr>
          <w:rFonts w:ascii="Palatino Linotype" w:hAnsi="Palatino Linotype"/>
          <w:i/>
        </w:rPr>
        <w:t xml:space="preserve"> </w:t>
      </w:r>
      <w:r w:rsidRPr="00166794">
        <w:rPr>
          <w:rFonts w:ascii="Palatino Linotype" w:hAnsi="Palatino Linotype"/>
          <w:i/>
          <w:szCs w:val="22"/>
        </w:rPr>
        <w:t>ejercicio</w:t>
      </w:r>
      <w:r w:rsidRPr="00166794">
        <w:rPr>
          <w:rFonts w:ascii="Palatino Linotype" w:hAnsi="Palatino Linotype"/>
          <w:i/>
        </w:rPr>
        <w:t xml:space="preserve"> </w:t>
      </w:r>
      <w:r w:rsidRPr="00166794">
        <w:rPr>
          <w:rFonts w:ascii="Palatino Linotype" w:hAnsi="Palatino Linotype"/>
          <w:i/>
          <w:szCs w:val="22"/>
        </w:rPr>
        <w:t>fiscal</w:t>
      </w:r>
      <w:r w:rsidRPr="00166794">
        <w:rPr>
          <w:rFonts w:ascii="Palatino Linotype" w:hAnsi="Palatino Linotype"/>
          <w:i/>
        </w:rPr>
        <w:t xml:space="preserve"> </w:t>
      </w:r>
      <w:r w:rsidRPr="00166794">
        <w:rPr>
          <w:rFonts w:ascii="Palatino Linotype" w:hAnsi="Palatino Linotype"/>
          <w:i/>
          <w:szCs w:val="22"/>
        </w:rPr>
        <w:t>inmediato</w:t>
      </w:r>
      <w:r w:rsidRPr="00166794">
        <w:rPr>
          <w:rFonts w:ascii="Palatino Linotype" w:hAnsi="Palatino Linotype"/>
          <w:i/>
        </w:rPr>
        <w:t xml:space="preserve"> </w:t>
      </w:r>
      <w:r w:rsidRPr="00166794">
        <w:rPr>
          <w:rFonts w:ascii="Palatino Linotype" w:hAnsi="Palatino Linotype"/>
          <w:i/>
          <w:szCs w:val="22"/>
        </w:rPr>
        <w:t>anterior,</w:t>
      </w:r>
      <w:r w:rsidRPr="00166794">
        <w:rPr>
          <w:rFonts w:ascii="Palatino Linotype" w:hAnsi="Palatino Linotype"/>
          <w:i/>
        </w:rPr>
        <w:t xml:space="preserve"> </w:t>
      </w:r>
      <w:r w:rsidRPr="00166794">
        <w:rPr>
          <w:rFonts w:ascii="Palatino Linotype" w:hAnsi="Palatino Linotype"/>
          <w:i/>
          <w:szCs w:val="22"/>
        </w:rPr>
        <w:t>a</w:t>
      </w:r>
      <w:r w:rsidRPr="00166794">
        <w:rPr>
          <w:rFonts w:ascii="Palatino Linotype" w:hAnsi="Palatino Linotype"/>
          <w:i/>
        </w:rPr>
        <w:t xml:space="preserve"> </w:t>
      </w:r>
      <w:r w:rsidRPr="00166794">
        <w:rPr>
          <w:rFonts w:ascii="Palatino Linotype" w:hAnsi="Palatino Linotype"/>
          <w:i/>
          <w:szCs w:val="22"/>
        </w:rPr>
        <w:t>más</w:t>
      </w:r>
      <w:r w:rsidRPr="00166794">
        <w:rPr>
          <w:rFonts w:ascii="Palatino Linotype" w:hAnsi="Palatino Linotype"/>
          <w:i/>
        </w:rPr>
        <w:t xml:space="preserve"> </w:t>
      </w:r>
      <w:r w:rsidRPr="00166794">
        <w:rPr>
          <w:rFonts w:ascii="Palatino Linotype" w:hAnsi="Palatino Linotype"/>
          <w:i/>
          <w:szCs w:val="22"/>
        </w:rPr>
        <w:t>tardar</w:t>
      </w:r>
      <w:r w:rsidRPr="00166794">
        <w:rPr>
          <w:rFonts w:ascii="Palatino Linotype" w:hAnsi="Palatino Linotype"/>
          <w:i/>
        </w:rPr>
        <w:t xml:space="preserve"> </w:t>
      </w:r>
      <w:r w:rsidRPr="00166794">
        <w:rPr>
          <w:rFonts w:ascii="Palatino Linotype" w:hAnsi="Palatino Linotype"/>
          <w:i/>
          <w:szCs w:val="22"/>
        </w:rPr>
        <w:t>el</w:t>
      </w:r>
      <w:r w:rsidRPr="00166794">
        <w:rPr>
          <w:rFonts w:ascii="Palatino Linotype" w:hAnsi="Palatino Linotype"/>
          <w:i/>
        </w:rPr>
        <w:t xml:space="preserve"> </w:t>
      </w:r>
      <w:r w:rsidRPr="00166794">
        <w:rPr>
          <w:rFonts w:ascii="Palatino Linotype" w:hAnsi="Palatino Linotype"/>
          <w:i/>
          <w:szCs w:val="22"/>
        </w:rPr>
        <w:t>quince</w:t>
      </w:r>
      <w:r w:rsidRPr="00166794">
        <w:rPr>
          <w:rFonts w:ascii="Palatino Linotype" w:hAnsi="Palatino Linotype"/>
          <w:i/>
        </w:rPr>
        <w:t xml:space="preserve"> </w:t>
      </w:r>
      <w:r w:rsidRPr="00166794">
        <w:rPr>
          <w:rFonts w:ascii="Palatino Linotype" w:hAnsi="Palatino Linotype"/>
          <w:i/>
          <w:szCs w:val="22"/>
        </w:rPr>
        <w:t>de</w:t>
      </w:r>
      <w:r w:rsidRPr="00166794">
        <w:rPr>
          <w:rFonts w:ascii="Palatino Linotype" w:hAnsi="Palatino Linotype"/>
          <w:i/>
        </w:rPr>
        <w:t xml:space="preserve"> </w:t>
      </w:r>
      <w:r w:rsidRPr="00166794">
        <w:rPr>
          <w:rFonts w:ascii="Palatino Linotype" w:hAnsi="Palatino Linotype"/>
          <w:i/>
          <w:szCs w:val="22"/>
        </w:rPr>
        <w:t>mayo</w:t>
      </w:r>
      <w:r w:rsidRPr="00166794">
        <w:rPr>
          <w:rFonts w:ascii="Palatino Linotype" w:hAnsi="Palatino Linotype"/>
          <w:i/>
        </w:rPr>
        <w:t xml:space="preserve"> </w:t>
      </w:r>
      <w:r w:rsidRPr="00166794">
        <w:rPr>
          <w:rFonts w:ascii="Palatino Linotype" w:hAnsi="Palatino Linotype"/>
          <w:i/>
          <w:szCs w:val="22"/>
        </w:rPr>
        <w:t>de</w:t>
      </w:r>
      <w:r w:rsidRPr="00166794">
        <w:rPr>
          <w:rFonts w:ascii="Palatino Linotype" w:hAnsi="Palatino Linotype"/>
          <w:i/>
        </w:rPr>
        <w:t xml:space="preserve"> </w:t>
      </w:r>
      <w:r w:rsidRPr="00166794">
        <w:rPr>
          <w:rFonts w:ascii="Palatino Linotype" w:hAnsi="Palatino Linotype"/>
          <w:i/>
          <w:szCs w:val="22"/>
        </w:rPr>
        <w:t>cada</w:t>
      </w:r>
      <w:r w:rsidRPr="00166794">
        <w:rPr>
          <w:rFonts w:ascii="Palatino Linotype" w:hAnsi="Palatino Linotype"/>
          <w:i/>
        </w:rPr>
        <w:t xml:space="preserve"> </w:t>
      </w:r>
      <w:r w:rsidRPr="00166794">
        <w:rPr>
          <w:rFonts w:ascii="Palatino Linotype" w:hAnsi="Palatino Linotype"/>
          <w:i/>
          <w:szCs w:val="22"/>
        </w:rPr>
        <w:t>año.</w:t>
      </w:r>
    </w:p>
    <w:p w:rsidR="006503BB" w:rsidRPr="00166794" w:rsidRDefault="006503BB" w:rsidP="00884B26">
      <w:pPr>
        <w:pStyle w:val="Prrafodelista"/>
        <w:spacing w:line="360" w:lineRule="auto"/>
        <w:ind w:left="851" w:right="899"/>
        <w:jc w:val="both"/>
        <w:rPr>
          <w:rFonts w:ascii="Palatino Linotype" w:hAnsi="Palatino Linotype"/>
          <w:b/>
          <w:i/>
          <w:szCs w:val="22"/>
        </w:rPr>
      </w:pPr>
      <w:r w:rsidRPr="00166794">
        <w:rPr>
          <w:rFonts w:ascii="Palatino Linotype" w:hAnsi="Palatino Linotype"/>
          <w:b/>
          <w:i/>
          <w:szCs w:val="22"/>
        </w:rPr>
        <w:lastRenderedPageBreak/>
        <w:t>Los</w:t>
      </w:r>
      <w:r w:rsidRPr="00166794">
        <w:rPr>
          <w:rFonts w:ascii="Palatino Linotype" w:hAnsi="Palatino Linotype"/>
          <w:b/>
          <w:i/>
        </w:rPr>
        <w:t xml:space="preserve"> </w:t>
      </w:r>
      <w:r w:rsidRPr="00166794">
        <w:rPr>
          <w:rFonts w:ascii="Palatino Linotype" w:hAnsi="Palatino Linotype"/>
          <w:b/>
          <w:i/>
          <w:szCs w:val="22"/>
        </w:rPr>
        <w:t>Presidentes</w:t>
      </w:r>
      <w:r w:rsidRPr="00166794">
        <w:rPr>
          <w:rFonts w:ascii="Palatino Linotype" w:hAnsi="Palatino Linotype"/>
          <w:b/>
          <w:i/>
        </w:rPr>
        <w:t xml:space="preserve"> </w:t>
      </w:r>
      <w:r w:rsidRPr="00166794">
        <w:rPr>
          <w:rFonts w:ascii="Palatino Linotype" w:hAnsi="Palatino Linotype"/>
          <w:b/>
          <w:i/>
          <w:szCs w:val="22"/>
        </w:rPr>
        <w:t>Municipales</w:t>
      </w:r>
      <w:r w:rsidRPr="00166794">
        <w:rPr>
          <w:rFonts w:ascii="Palatino Linotype" w:hAnsi="Palatino Linotype"/>
          <w:b/>
          <w:i/>
        </w:rPr>
        <w:t xml:space="preserve"> </w:t>
      </w:r>
      <w:r w:rsidRPr="00166794">
        <w:rPr>
          <w:rFonts w:ascii="Palatino Linotype" w:hAnsi="Palatino Linotype"/>
          <w:b/>
          <w:i/>
          <w:szCs w:val="22"/>
        </w:rPr>
        <w:t>presentarán</w:t>
      </w:r>
      <w:r w:rsidRPr="00166794">
        <w:rPr>
          <w:rFonts w:ascii="Palatino Linotype" w:hAnsi="Palatino Linotype"/>
          <w:b/>
          <w:i/>
        </w:rPr>
        <w:t xml:space="preserve"> </w:t>
      </w:r>
      <w:r w:rsidRPr="00166794">
        <w:rPr>
          <w:rFonts w:ascii="Palatino Linotype" w:hAnsi="Palatino Linotype"/>
          <w:b/>
          <w:i/>
          <w:szCs w:val="22"/>
        </w:rPr>
        <w:t>a</w:t>
      </w:r>
      <w:r w:rsidRPr="00166794">
        <w:rPr>
          <w:rFonts w:ascii="Palatino Linotype" w:hAnsi="Palatino Linotype"/>
          <w:b/>
          <w:i/>
        </w:rPr>
        <w:t xml:space="preserve"> </w:t>
      </w:r>
      <w:r w:rsidRPr="00166794">
        <w:rPr>
          <w:rFonts w:ascii="Palatino Linotype" w:hAnsi="Palatino Linotype"/>
          <w:b/>
          <w:i/>
          <w:szCs w:val="22"/>
        </w:rPr>
        <w:t>la</w:t>
      </w:r>
      <w:r w:rsidRPr="00166794">
        <w:rPr>
          <w:rFonts w:ascii="Palatino Linotype" w:hAnsi="Palatino Linotype"/>
          <w:b/>
          <w:i/>
        </w:rPr>
        <w:t xml:space="preserve"> </w:t>
      </w:r>
      <w:r w:rsidRPr="00166794">
        <w:rPr>
          <w:rFonts w:ascii="Palatino Linotype" w:hAnsi="Palatino Linotype"/>
          <w:b/>
          <w:i/>
          <w:szCs w:val="22"/>
        </w:rPr>
        <w:t>Legislatura</w:t>
      </w:r>
      <w:r w:rsidRPr="00166794">
        <w:rPr>
          <w:rFonts w:ascii="Palatino Linotype" w:hAnsi="Palatino Linotype"/>
          <w:b/>
          <w:i/>
        </w:rPr>
        <w:t xml:space="preserve"> </w:t>
      </w:r>
      <w:r w:rsidRPr="00166794">
        <w:rPr>
          <w:rFonts w:ascii="Palatino Linotype" w:hAnsi="Palatino Linotype"/>
          <w:b/>
          <w:i/>
          <w:szCs w:val="22"/>
        </w:rPr>
        <w:t>las</w:t>
      </w:r>
      <w:r w:rsidRPr="00166794">
        <w:rPr>
          <w:rFonts w:ascii="Palatino Linotype" w:hAnsi="Palatino Linotype"/>
          <w:b/>
          <w:i/>
        </w:rPr>
        <w:t xml:space="preserve"> </w:t>
      </w:r>
      <w:r w:rsidRPr="00166794">
        <w:rPr>
          <w:rFonts w:ascii="Palatino Linotype" w:hAnsi="Palatino Linotype"/>
          <w:b/>
          <w:i/>
          <w:szCs w:val="22"/>
        </w:rPr>
        <w:t>cuentas</w:t>
      </w:r>
      <w:r w:rsidRPr="00166794">
        <w:rPr>
          <w:rFonts w:ascii="Palatino Linotype" w:hAnsi="Palatino Linotype"/>
          <w:b/>
          <w:i/>
        </w:rPr>
        <w:t xml:space="preserve"> </w:t>
      </w:r>
      <w:r w:rsidRPr="00166794">
        <w:rPr>
          <w:rFonts w:ascii="Palatino Linotype" w:hAnsi="Palatino Linotype"/>
          <w:b/>
          <w:i/>
          <w:szCs w:val="22"/>
        </w:rPr>
        <w:t>públicas</w:t>
      </w:r>
      <w:r w:rsidRPr="00166794">
        <w:rPr>
          <w:rFonts w:ascii="Palatino Linotype" w:hAnsi="Palatino Linotype"/>
          <w:b/>
          <w:i/>
        </w:rPr>
        <w:t xml:space="preserve"> </w:t>
      </w:r>
      <w:r w:rsidRPr="00166794">
        <w:rPr>
          <w:rFonts w:ascii="Palatino Linotype" w:hAnsi="Palatino Linotype"/>
          <w:b/>
          <w:i/>
          <w:szCs w:val="22"/>
        </w:rPr>
        <w:t>anuales</w:t>
      </w:r>
      <w:r w:rsidRPr="00166794">
        <w:rPr>
          <w:rFonts w:ascii="Palatino Linotype" w:hAnsi="Palatino Linotype"/>
          <w:i/>
        </w:rPr>
        <w:t xml:space="preserve"> </w:t>
      </w:r>
      <w:r w:rsidRPr="00166794">
        <w:rPr>
          <w:rFonts w:ascii="Palatino Linotype" w:hAnsi="Palatino Linotype"/>
          <w:i/>
          <w:szCs w:val="22"/>
        </w:rPr>
        <w:t>de</w:t>
      </w:r>
      <w:r w:rsidRPr="00166794">
        <w:rPr>
          <w:rFonts w:ascii="Palatino Linotype" w:hAnsi="Palatino Linotype"/>
          <w:i/>
        </w:rPr>
        <w:t xml:space="preserve"> </w:t>
      </w:r>
      <w:r w:rsidRPr="00166794">
        <w:rPr>
          <w:rFonts w:ascii="Palatino Linotype" w:hAnsi="Palatino Linotype"/>
          <w:i/>
          <w:szCs w:val="22"/>
        </w:rPr>
        <w:t>sus</w:t>
      </w:r>
      <w:r w:rsidRPr="00166794">
        <w:rPr>
          <w:rFonts w:ascii="Palatino Linotype" w:hAnsi="Palatino Linotype"/>
          <w:i/>
        </w:rPr>
        <w:t xml:space="preserve"> </w:t>
      </w:r>
      <w:r w:rsidRPr="00166794">
        <w:rPr>
          <w:rFonts w:ascii="Palatino Linotype" w:hAnsi="Palatino Linotype"/>
          <w:i/>
          <w:szCs w:val="22"/>
        </w:rPr>
        <w:t>respectivos</w:t>
      </w:r>
      <w:r w:rsidRPr="00166794">
        <w:rPr>
          <w:rFonts w:ascii="Palatino Linotype" w:hAnsi="Palatino Linotype"/>
          <w:i/>
        </w:rPr>
        <w:t xml:space="preserve"> </w:t>
      </w:r>
      <w:r w:rsidRPr="00166794">
        <w:rPr>
          <w:rFonts w:ascii="Palatino Linotype" w:hAnsi="Palatino Linotype"/>
          <w:i/>
          <w:szCs w:val="22"/>
        </w:rPr>
        <w:t>municipios,</w:t>
      </w:r>
      <w:r w:rsidRPr="00166794">
        <w:rPr>
          <w:rFonts w:ascii="Palatino Linotype" w:hAnsi="Palatino Linotype"/>
          <w:i/>
        </w:rPr>
        <w:t xml:space="preserve"> </w:t>
      </w:r>
      <w:r w:rsidRPr="00166794">
        <w:rPr>
          <w:rFonts w:ascii="Palatino Linotype" w:hAnsi="Palatino Linotype"/>
          <w:i/>
          <w:szCs w:val="22"/>
        </w:rPr>
        <w:t>del</w:t>
      </w:r>
      <w:r w:rsidRPr="00166794">
        <w:rPr>
          <w:rFonts w:ascii="Palatino Linotype" w:hAnsi="Palatino Linotype"/>
          <w:i/>
        </w:rPr>
        <w:t xml:space="preserve"> </w:t>
      </w:r>
      <w:r w:rsidRPr="00166794">
        <w:rPr>
          <w:rFonts w:ascii="Palatino Linotype" w:hAnsi="Palatino Linotype"/>
          <w:i/>
          <w:szCs w:val="22"/>
        </w:rPr>
        <w:t>ejercicio</w:t>
      </w:r>
      <w:r w:rsidRPr="00166794">
        <w:rPr>
          <w:rFonts w:ascii="Palatino Linotype" w:hAnsi="Palatino Linotype"/>
          <w:i/>
        </w:rPr>
        <w:t xml:space="preserve"> </w:t>
      </w:r>
      <w:r w:rsidRPr="00166794">
        <w:rPr>
          <w:rFonts w:ascii="Palatino Linotype" w:hAnsi="Palatino Linotype"/>
          <w:i/>
          <w:szCs w:val="22"/>
        </w:rPr>
        <w:t>fiscal</w:t>
      </w:r>
      <w:r w:rsidRPr="00166794">
        <w:rPr>
          <w:rFonts w:ascii="Palatino Linotype" w:hAnsi="Palatino Linotype"/>
          <w:i/>
        </w:rPr>
        <w:t xml:space="preserve"> </w:t>
      </w:r>
      <w:r w:rsidRPr="00166794">
        <w:rPr>
          <w:rFonts w:ascii="Palatino Linotype" w:hAnsi="Palatino Linotype"/>
          <w:i/>
          <w:szCs w:val="22"/>
        </w:rPr>
        <w:t>inmediato</w:t>
      </w:r>
      <w:r w:rsidRPr="00166794">
        <w:rPr>
          <w:rFonts w:ascii="Palatino Linotype" w:hAnsi="Palatino Linotype"/>
          <w:i/>
        </w:rPr>
        <w:t xml:space="preserve"> </w:t>
      </w:r>
      <w:r w:rsidRPr="00166794">
        <w:rPr>
          <w:rFonts w:ascii="Palatino Linotype" w:hAnsi="Palatino Linotype"/>
          <w:i/>
          <w:szCs w:val="22"/>
        </w:rPr>
        <w:t>anterior,</w:t>
      </w:r>
      <w:r w:rsidRPr="00166794">
        <w:rPr>
          <w:rFonts w:ascii="Palatino Linotype" w:hAnsi="Palatino Linotype"/>
          <w:i/>
        </w:rPr>
        <w:t xml:space="preserve"> </w:t>
      </w:r>
      <w:r w:rsidRPr="00166794">
        <w:rPr>
          <w:rFonts w:ascii="Palatino Linotype" w:hAnsi="Palatino Linotype"/>
          <w:b/>
          <w:i/>
          <w:szCs w:val="22"/>
        </w:rPr>
        <w:t>dentro</w:t>
      </w:r>
      <w:r w:rsidRPr="00166794">
        <w:rPr>
          <w:rFonts w:ascii="Palatino Linotype" w:hAnsi="Palatino Linotype"/>
          <w:b/>
          <w:i/>
        </w:rPr>
        <w:t xml:space="preserve"> </w:t>
      </w:r>
      <w:r w:rsidRPr="00166794">
        <w:rPr>
          <w:rFonts w:ascii="Palatino Linotype" w:hAnsi="Palatino Linotype"/>
          <w:b/>
          <w:i/>
          <w:szCs w:val="22"/>
        </w:rPr>
        <w:t>de</w:t>
      </w:r>
      <w:r w:rsidRPr="00166794">
        <w:rPr>
          <w:rFonts w:ascii="Palatino Linotype" w:hAnsi="Palatino Linotype"/>
          <w:b/>
          <w:i/>
        </w:rPr>
        <w:t xml:space="preserve"> </w:t>
      </w:r>
      <w:r w:rsidRPr="00166794">
        <w:rPr>
          <w:rFonts w:ascii="Palatino Linotype" w:hAnsi="Palatino Linotype"/>
          <w:b/>
          <w:i/>
          <w:szCs w:val="22"/>
        </w:rPr>
        <w:t>los</w:t>
      </w:r>
      <w:r w:rsidRPr="00166794">
        <w:rPr>
          <w:rFonts w:ascii="Palatino Linotype" w:hAnsi="Palatino Linotype"/>
          <w:b/>
          <w:i/>
        </w:rPr>
        <w:t xml:space="preserve"> </w:t>
      </w:r>
      <w:r w:rsidRPr="00166794">
        <w:rPr>
          <w:rFonts w:ascii="Palatino Linotype" w:hAnsi="Palatino Linotype"/>
          <w:b/>
          <w:i/>
          <w:szCs w:val="22"/>
        </w:rPr>
        <w:t>quince</w:t>
      </w:r>
      <w:r w:rsidRPr="00166794">
        <w:rPr>
          <w:rFonts w:ascii="Palatino Linotype" w:hAnsi="Palatino Linotype"/>
          <w:b/>
          <w:i/>
        </w:rPr>
        <w:t xml:space="preserve"> </w:t>
      </w:r>
      <w:r w:rsidRPr="00166794">
        <w:rPr>
          <w:rFonts w:ascii="Palatino Linotype" w:hAnsi="Palatino Linotype"/>
          <w:b/>
          <w:i/>
          <w:szCs w:val="22"/>
        </w:rPr>
        <w:t>primeros</w:t>
      </w:r>
      <w:r w:rsidRPr="00166794">
        <w:rPr>
          <w:rFonts w:ascii="Palatino Linotype" w:hAnsi="Palatino Linotype"/>
          <w:b/>
          <w:i/>
        </w:rPr>
        <w:t xml:space="preserve"> </w:t>
      </w:r>
      <w:r w:rsidRPr="00166794">
        <w:rPr>
          <w:rFonts w:ascii="Palatino Linotype" w:hAnsi="Palatino Linotype"/>
          <w:b/>
          <w:i/>
          <w:szCs w:val="22"/>
        </w:rPr>
        <w:t>días</w:t>
      </w:r>
      <w:r w:rsidRPr="00166794">
        <w:rPr>
          <w:rFonts w:ascii="Palatino Linotype" w:hAnsi="Palatino Linotype"/>
          <w:b/>
          <w:i/>
        </w:rPr>
        <w:t xml:space="preserve"> </w:t>
      </w:r>
      <w:r w:rsidRPr="00166794">
        <w:rPr>
          <w:rFonts w:ascii="Palatino Linotype" w:hAnsi="Palatino Linotype"/>
          <w:b/>
          <w:i/>
          <w:szCs w:val="22"/>
        </w:rPr>
        <w:t>del</w:t>
      </w:r>
      <w:r w:rsidRPr="00166794">
        <w:rPr>
          <w:rFonts w:ascii="Palatino Linotype" w:hAnsi="Palatino Linotype"/>
          <w:b/>
          <w:i/>
        </w:rPr>
        <w:t xml:space="preserve"> </w:t>
      </w:r>
      <w:r w:rsidRPr="00166794">
        <w:rPr>
          <w:rFonts w:ascii="Palatino Linotype" w:hAnsi="Palatino Linotype"/>
          <w:b/>
          <w:i/>
          <w:szCs w:val="22"/>
        </w:rPr>
        <w:t>mes</w:t>
      </w:r>
      <w:r w:rsidRPr="00166794">
        <w:rPr>
          <w:rFonts w:ascii="Palatino Linotype" w:hAnsi="Palatino Linotype"/>
          <w:b/>
          <w:i/>
        </w:rPr>
        <w:t xml:space="preserve"> </w:t>
      </w:r>
      <w:r w:rsidRPr="00166794">
        <w:rPr>
          <w:rFonts w:ascii="Palatino Linotype" w:hAnsi="Palatino Linotype"/>
          <w:b/>
          <w:i/>
          <w:szCs w:val="22"/>
        </w:rPr>
        <w:t>de</w:t>
      </w:r>
      <w:r w:rsidRPr="00166794">
        <w:rPr>
          <w:rFonts w:ascii="Palatino Linotype" w:hAnsi="Palatino Linotype"/>
          <w:b/>
          <w:i/>
        </w:rPr>
        <w:t xml:space="preserve"> </w:t>
      </w:r>
      <w:r w:rsidRPr="00166794">
        <w:rPr>
          <w:rFonts w:ascii="Palatino Linotype" w:hAnsi="Palatino Linotype"/>
          <w:b/>
          <w:i/>
          <w:szCs w:val="22"/>
        </w:rPr>
        <w:t>marzo</w:t>
      </w:r>
      <w:r w:rsidRPr="00166794">
        <w:rPr>
          <w:rFonts w:ascii="Palatino Linotype" w:hAnsi="Palatino Linotype"/>
          <w:i/>
        </w:rPr>
        <w:t xml:space="preserve"> </w:t>
      </w:r>
      <w:r w:rsidRPr="00166794">
        <w:rPr>
          <w:rFonts w:ascii="Palatino Linotype" w:hAnsi="Palatino Linotype"/>
          <w:i/>
          <w:szCs w:val="22"/>
        </w:rPr>
        <w:t>de</w:t>
      </w:r>
      <w:r w:rsidRPr="00166794">
        <w:rPr>
          <w:rFonts w:ascii="Palatino Linotype" w:hAnsi="Palatino Linotype"/>
          <w:i/>
        </w:rPr>
        <w:t xml:space="preserve"> </w:t>
      </w:r>
      <w:r w:rsidRPr="00166794">
        <w:rPr>
          <w:rFonts w:ascii="Palatino Linotype" w:hAnsi="Palatino Linotype"/>
          <w:i/>
          <w:szCs w:val="22"/>
        </w:rPr>
        <w:t>cada</w:t>
      </w:r>
      <w:r w:rsidRPr="00166794">
        <w:rPr>
          <w:rFonts w:ascii="Palatino Linotype" w:hAnsi="Palatino Linotype"/>
          <w:i/>
        </w:rPr>
        <w:t xml:space="preserve"> </w:t>
      </w:r>
      <w:r w:rsidRPr="00166794">
        <w:rPr>
          <w:rFonts w:ascii="Palatino Linotype" w:hAnsi="Palatino Linotype"/>
          <w:i/>
          <w:szCs w:val="22"/>
        </w:rPr>
        <w:t>año;</w:t>
      </w:r>
      <w:r w:rsidRPr="00166794">
        <w:rPr>
          <w:rFonts w:ascii="Palatino Linotype" w:hAnsi="Palatino Linotype"/>
          <w:i/>
        </w:rPr>
        <w:t xml:space="preserve"> </w:t>
      </w:r>
      <w:r w:rsidRPr="00166794">
        <w:rPr>
          <w:rFonts w:ascii="Palatino Linotype" w:hAnsi="Palatino Linotype"/>
          <w:b/>
          <w:i/>
          <w:szCs w:val="22"/>
        </w:rPr>
        <w:t>asimism</w:t>
      </w:r>
      <w:r w:rsidRPr="00166794">
        <w:rPr>
          <w:rFonts w:ascii="Palatino Linotype" w:hAnsi="Palatino Linotype"/>
          <w:i/>
          <w:szCs w:val="22"/>
        </w:rPr>
        <w:t>o,</w:t>
      </w:r>
      <w:r w:rsidRPr="00166794">
        <w:rPr>
          <w:rFonts w:ascii="Palatino Linotype" w:hAnsi="Palatino Linotype"/>
          <w:i/>
        </w:rPr>
        <w:t xml:space="preserve"> </w:t>
      </w:r>
      <w:r w:rsidRPr="00166794">
        <w:rPr>
          <w:rFonts w:ascii="Palatino Linotype" w:hAnsi="Palatino Linotype"/>
          <w:b/>
          <w:i/>
          <w:szCs w:val="22"/>
        </w:rPr>
        <w:t>los</w:t>
      </w:r>
      <w:r w:rsidRPr="00166794">
        <w:rPr>
          <w:rFonts w:ascii="Palatino Linotype" w:hAnsi="Palatino Linotype"/>
          <w:b/>
          <w:i/>
        </w:rPr>
        <w:t xml:space="preserve"> </w:t>
      </w:r>
      <w:r w:rsidRPr="00166794">
        <w:rPr>
          <w:rFonts w:ascii="Palatino Linotype" w:hAnsi="Palatino Linotype"/>
          <w:b/>
          <w:i/>
          <w:szCs w:val="22"/>
        </w:rPr>
        <w:t>informes</w:t>
      </w:r>
      <w:r w:rsidRPr="00166794">
        <w:rPr>
          <w:rFonts w:ascii="Palatino Linotype" w:hAnsi="Palatino Linotype"/>
          <w:b/>
          <w:i/>
        </w:rPr>
        <w:t xml:space="preserve"> </w:t>
      </w:r>
      <w:r w:rsidRPr="00166794">
        <w:rPr>
          <w:rFonts w:ascii="Palatino Linotype" w:hAnsi="Palatino Linotype"/>
          <w:b/>
          <w:i/>
          <w:szCs w:val="22"/>
        </w:rPr>
        <w:t>trimestrales</w:t>
      </w:r>
      <w:r w:rsidRPr="00166794">
        <w:rPr>
          <w:rFonts w:ascii="Palatino Linotype" w:hAnsi="Palatino Linotype"/>
          <w:i/>
        </w:rPr>
        <w:t xml:space="preserve"> </w:t>
      </w:r>
      <w:r w:rsidRPr="00166794">
        <w:rPr>
          <w:rFonts w:ascii="Palatino Linotype" w:hAnsi="Palatino Linotype"/>
          <w:i/>
          <w:szCs w:val="22"/>
        </w:rPr>
        <w:t>los</w:t>
      </w:r>
      <w:r w:rsidRPr="00166794">
        <w:rPr>
          <w:rFonts w:ascii="Palatino Linotype" w:hAnsi="Palatino Linotype"/>
          <w:i/>
        </w:rPr>
        <w:t xml:space="preserve"> </w:t>
      </w:r>
      <w:r w:rsidRPr="00166794">
        <w:rPr>
          <w:rFonts w:ascii="Palatino Linotype" w:hAnsi="Palatino Linotype"/>
          <w:i/>
          <w:szCs w:val="22"/>
        </w:rPr>
        <w:t>deberán</w:t>
      </w:r>
      <w:r w:rsidRPr="00166794">
        <w:rPr>
          <w:rFonts w:ascii="Palatino Linotype" w:hAnsi="Palatino Linotype"/>
          <w:i/>
        </w:rPr>
        <w:t xml:space="preserve"> </w:t>
      </w:r>
      <w:r w:rsidRPr="00166794">
        <w:rPr>
          <w:rFonts w:ascii="Palatino Linotype" w:hAnsi="Palatino Linotype"/>
          <w:i/>
          <w:szCs w:val="22"/>
        </w:rPr>
        <w:t>presentar</w:t>
      </w:r>
      <w:r w:rsidRPr="00166794">
        <w:rPr>
          <w:rFonts w:ascii="Palatino Linotype" w:hAnsi="Palatino Linotype"/>
          <w:i/>
        </w:rPr>
        <w:t xml:space="preserve"> </w:t>
      </w:r>
      <w:r w:rsidRPr="00166794">
        <w:rPr>
          <w:rFonts w:ascii="Palatino Linotype" w:hAnsi="Palatino Linotype"/>
          <w:b/>
          <w:i/>
          <w:szCs w:val="22"/>
        </w:rPr>
        <w:t>dentro</w:t>
      </w:r>
      <w:r w:rsidRPr="00166794">
        <w:rPr>
          <w:rFonts w:ascii="Palatino Linotype" w:hAnsi="Palatino Linotype"/>
          <w:b/>
          <w:i/>
        </w:rPr>
        <w:t xml:space="preserve"> </w:t>
      </w:r>
      <w:r w:rsidRPr="00166794">
        <w:rPr>
          <w:rFonts w:ascii="Palatino Linotype" w:hAnsi="Palatino Linotype"/>
          <w:b/>
          <w:i/>
          <w:szCs w:val="22"/>
        </w:rPr>
        <w:t>de</w:t>
      </w:r>
      <w:r w:rsidRPr="00166794">
        <w:rPr>
          <w:rFonts w:ascii="Palatino Linotype" w:hAnsi="Palatino Linotype"/>
          <w:b/>
          <w:i/>
        </w:rPr>
        <w:t xml:space="preserve"> </w:t>
      </w:r>
      <w:r w:rsidRPr="00166794">
        <w:rPr>
          <w:rFonts w:ascii="Palatino Linotype" w:hAnsi="Palatino Linotype"/>
          <w:b/>
          <w:i/>
          <w:szCs w:val="22"/>
        </w:rPr>
        <w:t>los</w:t>
      </w:r>
      <w:r w:rsidRPr="00166794">
        <w:rPr>
          <w:rFonts w:ascii="Palatino Linotype" w:hAnsi="Palatino Linotype"/>
          <w:b/>
          <w:i/>
        </w:rPr>
        <w:t xml:space="preserve"> </w:t>
      </w:r>
      <w:r w:rsidRPr="00166794">
        <w:rPr>
          <w:rFonts w:ascii="Palatino Linotype" w:hAnsi="Palatino Linotype"/>
          <w:b/>
          <w:i/>
          <w:szCs w:val="22"/>
        </w:rPr>
        <w:t>veinte</w:t>
      </w:r>
      <w:r w:rsidRPr="00166794">
        <w:rPr>
          <w:rFonts w:ascii="Palatino Linotype" w:hAnsi="Palatino Linotype"/>
          <w:b/>
          <w:i/>
        </w:rPr>
        <w:t xml:space="preserve"> </w:t>
      </w:r>
      <w:r w:rsidRPr="00166794">
        <w:rPr>
          <w:rFonts w:ascii="Palatino Linotype" w:hAnsi="Palatino Linotype"/>
          <w:b/>
          <w:i/>
          <w:szCs w:val="22"/>
        </w:rPr>
        <w:t>días</w:t>
      </w:r>
      <w:r w:rsidRPr="00166794">
        <w:rPr>
          <w:rFonts w:ascii="Palatino Linotype" w:hAnsi="Palatino Linotype"/>
          <w:b/>
          <w:i/>
        </w:rPr>
        <w:t xml:space="preserve"> </w:t>
      </w:r>
      <w:r w:rsidRPr="00166794">
        <w:rPr>
          <w:rFonts w:ascii="Palatino Linotype" w:hAnsi="Palatino Linotype"/>
          <w:b/>
          <w:i/>
          <w:szCs w:val="22"/>
        </w:rPr>
        <w:t>posteriores</w:t>
      </w:r>
      <w:r w:rsidRPr="00166794">
        <w:rPr>
          <w:rFonts w:ascii="Palatino Linotype" w:hAnsi="Palatino Linotype"/>
          <w:b/>
          <w:i/>
        </w:rPr>
        <w:t xml:space="preserve"> </w:t>
      </w:r>
      <w:r w:rsidRPr="00166794">
        <w:rPr>
          <w:rFonts w:ascii="Palatino Linotype" w:hAnsi="Palatino Linotype"/>
          <w:b/>
          <w:i/>
          <w:szCs w:val="22"/>
        </w:rPr>
        <w:t>al</w:t>
      </w:r>
      <w:r w:rsidRPr="00166794">
        <w:rPr>
          <w:rFonts w:ascii="Palatino Linotype" w:hAnsi="Palatino Linotype"/>
          <w:b/>
          <w:i/>
        </w:rPr>
        <w:t xml:space="preserve"> </w:t>
      </w:r>
      <w:r w:rsidRPr="00166794">
        <w:rPr>
          <w:rFonts w:ascii="Palatino Linotype" w:hAnsi="Palatino Linotype"/>
          <w:b/>
          <w:i/>
          <w:szCs w:val="22"/>
        </w:rPr>
        <w:t>término</w:t>
      </w:r>
      <w:r w:rsidRPr="00166794">
        <w:rPr>
          <w:rFonts w:ascii="Palatino Linotype" w:hAnsi="Palatino Linotype"/>
          <w:b/>
          <w:i/>
        </w:rPr>
        <w:t xml:space="preserve"> </w:t>
      </w:r>
      <w:r w:rsidRPr="00166794">
        <w:rPr>
          <w:rFonts w:ascii="Palatino Linotype" w:hAnsi="Palatino Linotype"/>
          <w:b/>
          <w:i/>
          <w:szCs w:val="22"/>
        </w:rPr>
        <w:t>del</w:t>
      </w:r>
      <w:r w:rsidRPr="00166794">
        <w:rPr>
          <w:rFonts w:ascii="Palatino Linotype" w:hAnsi="Palatino Linotype"/>
          <w:b/>
          <w:i/>
        </w:rPr>
        <w:t xml:space="preserve"> trimestre </w:t>
      </w:r>
      <w:r w:rsidRPr="00166794">
        <w:rPr>
          <w:rFonts w:ascii="Palatino Linotype" w:hAnsi="Palatino Linotype"/>
          <w:b/>
          <w:i/>
          <w:szCs w:val="22"/>
        </w:rPr>
        <w:t>correspondiente.”</w:t>
      </w:r>
    </w:p>
    <w:p w:rsidR="006503BB" w:rsidRPr="00166794" w:rsidRDefault="006503BB" w:rsidP="00884B26">
      <w:pPr>
        <w:pStyle w:val="Prrafodelista"/>
        <w:spacing w:line="360" w:lineRule="auto"/>
        <w:ind w:left="851" w:right="899"/>
        <w:jc w:val="both"/>
        <w:rPr>
          <w:rFonts w:ascii="Palatino Linotype" w:hAnsi="Palatino Linotype"/>
          <w:i/>
          <w:szCs w:val="22"/>
        </w:rPr>
      </w:pPr>
      <w:r w:rsidRPr="00166794">
        <w:rPr>
          <w:rFonts w:ascii="Palatino Linotype" w:hAnsi="Palatino Linotype"/>
          <w:i/>
          <w:szCs w:val="22"/>
        </w:rPr>
        <w:t>(Énfasis</w:t>
      </w:r>
      <w:r w:rsidRPr="00166794">
        <w:rPr>
          <w:rFonts w:ascii="Palatino Linotype" w:hAnsi="Palatino Linotype"/>
          <w:i/>
        </w:rPr>
        <w:t xml:space="preserve"> </w:t>
      </w:r>
      <w:r w:rsidRPr="00166794">
        <w:rPr>
          <w:rFonts w:ascii="Palatino Linotype" w:hAnsi="Palatino Linotype"/>
          <w:i/>
          <w:szCs w:val="22"/>
        </w:rPr>
        <w:t>añadido)</w:t>
      </w:r>
    </w:p>
    <w:p w:rsidR="00884B26" w:rsidRPr="00166794" w:rsidRDefault="00884B26" w:rsidP="00884B26">
      <w:pPr>
        <w:ind w:right="899"/>
        <w:jc w:val="both"/>
        <w:rPr>
          <w:rFonts w:ascii="Palatino Linotype" w:hAnsi="Palatino Linotype"/>
          <w:i/>
          <w:szCs w:val="22"/>
        </w:rPr>
      </w:pPr>
    </w:p>
    <w:p w:rsidR="00884B26" w:rsidRPr="00166794" w:rsidRDefault="00884B26" w:rsidP="00F84C28">
      <w:pPr>
        <w:pStyle w:val="Prrafodelista"/>
        <w:numPr>
          <w:ilvl w:val="0"/>
          <w:numId w:val="1"/>
        </w:numPr>
        <w:spacing w:before="100" w:beforeAutospacing="1" w:after="100" w:afterAutospacing="1" w:line="360" w:lineRule="auto"/>
        <w:ind w:left="0" w:right="-91" w:firstLine="0"/>
        <w:jc w:val="both"/>
        <w:rPr>
          <w:rFonts w:ascii="Palatino Linotype" w:hAnsi="Palatino Linotype"/>
          <w:color w:val="000000"/>
          <w:sz w:val="28"/>
          <w:lang w:val="es-ES" w:eastAsia="es-ES"/>
        </w:rPr>
      </w:pPr>
      <w:r w:rsidRPr="00166794">
        <w:rPr>
          <w:rFonts w:ascii="Palatino Linotype" w:hAnsi="Palatino Linotype"/>
          <w:sz w:val="24"/>
        </w:rPr>
        <w:t xml:space="preserve">Por ello, la información </w:t>
      </w:r>
      <w:r w:rsidRPr="00166794">
        <w:rPr>
          <w:rFonts w:ascii="Palatino Linotype" w:hAnsi="Palatino Linotype"/>
          <w:b/>
          <w:sz w:val="24"/>
        </w:rPr>
        <w:t>documental comprobatoria</w:t>
      </w:r>
      <w:r w:rsidRPr="00166794">
        <w:rPr>
          <w:rFonts w:ascii="Palatino Linotype" w:hAnsi="Palatino Linotype"/>
          <w:sz w:val="24"/>
        </w:rPr>
        <w:t xml:space="preserve">, </w:t>
      </w:r>
      <w:r w:rsidRPr="00166794">
        <w:rPr>
          <w:rFonts w:ascii="Palatino Linotype" w:hAnsi="Palatino Linotype"/>
          <w:b/>
          <w:sz w:val="24"/>
        </w:rPr>
        <w:t>deberá conservarse en los archivos de la entidad fiscalizada</w:t>
      </w:r>
      <w:r w:rsidRPr="00166794">
        <w:rPr>
          <w:rFonts w:ascii="Palatino Linotype" w:hAnsi="Palatino Linotype"/>
          <w:sz w:val="24"/>
        </w:rPr>
        <w:t xml:space="preserve">, en original y debidamente integrada en términos de los lineamientos de referencia, pues son susceptibles de revisión directa por el </w:t>
      </w:r>
      <w:r w:rsidRPr="00166794">
        <w:rPr>
          <w:rFonts w:ascii="Palatino Linotype" w:hAnsi="Palatino Linotype"/>
          <w:color w:val="000000"/>
          <w:sz w:val="24"/>
          <w:lang w:val="es-ES"/>
        </w:rPr>
        <w:t>OSFEM</w:t>
      </w:r>
      <w:r w:rsidRPr="00166794">
        <w:rPr>
          <w:sz w:val="24"/>
        </w:rPr>
        <w:t>,</w:t>
      </w:r>
      <w:r w:rsidRPr="00166794">
        <w:rPr>
          <w:rFonts w:ascii="Palatino Linotype" w:hAnsi="Palatino Linotype"/>
          <w:color w:val="000000"/>
          <w:sz w:val="24"/>
          <w:lang w:val="es-ES"/>
        </w:rPr>
        <w:t xml:space="preserve"> destacando que dentro de los informes trimestrales que </w:t>
      </w:r>
      <w:r w:rsidRPr="00166794">
        <w:rPr>
          <w:rFonts w:ascii="Palatino Linotype" w:hAnsi="Palatino Linotype"/>
          <w:b/>
          <w:color w:val="000000"/>
          <w:sz w:val="24"/>
          <w:lang w:val="es-ES"/>
        </w:rPr>
        <w:t xml:space="preserve">EL SUJETO OBLIGADO </w:t>
      </w:r>
      <w:r w:rsidRPr="00166794">
        <w:rPr>
          <w:rFonts w:ascii="Palatino Linotype" w:hAnsi="Palatino Linotype"/>
          <w:color w:val="000000"/>
          <w:sz w:val="24"/>
          <w:lang w:val="es-ES"/>
        </w:rPr>
        <w:t xml:space="preserve">tiene la obligación de transparentar; se contempla específicamente en el “módulo 1, submódulo-Formatos Auxiliares” tal y como, se muestra en las imágenes siguientes: </w:t>
      </w:r>
    </w:p>
    <w:p w:rsidR="00884B26" w:rsidRPr="00166794" w:rsidRDefault="00884B26" w:rsidP="00884B26">
      <w:pPr>
        <w:pStyle w:val="Prrafodelista"/>
        <w:spacing w:before="100" w:beforeAutospacing="1" w:after="100" w:afterAutospacing="1" w:line="360" w:lineRule="auto"/>
        <w:ind w:left="0" w:right="-91"/>
        <w:jc w:val="center"/>
        <w:rPr>
          <w:rFonts w:ascii="Palatino Linotype" w:hAnsi="Palatino Linotype"/>
          <w:color w:val="000000"/>
          <w:sz w:val="28"/>
          <w:lang w:val="es-ES" w:eastAsia="es-ES"/>
        </w:rPr>
      </w:pPr>
      <w:r w:rsidRPr="00166794">
        <w:rPr>
          <w:noProof/>
        </w:rPr>
        <w:lastRenderedPageBreak/>
        <w:drawing>
          <wp:inline distT="0" distB="0" distL="0" distR="0" wp14:anchorId="781E13B8" wp14:editId="41E0E298">
            <wp:extent cx="4152900" cy="4818281"/>
            <wp:effectExtent l="0" t="0" r="0" b="190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4664" t="11500" r="35316" b="26578"/>
                    <a:stretch/>
                  </pic:blipFill>
                  <pic:spPr bwMode="auto">
                    <a:xfrm>
                      <a:off x="0" y="0"/>
                      <a:ext cx="4162190" cy="4829059"/>
                    </a:xfrm>
                    <a:prstGeom prst="rect">
                      <a:avLst/>
                    </a:prstGeom>
                    <a:ln>
                      <a:noFill/>
                    </a:ln>
                    <a:extLst>
                      <a:ext uri="{53640926-AAD7-44D8-BBD7-CCE9431645EC}">
                        <a14:shadowObscured xmlns:a14="http://schemas.microsoft.com/office/drawing/2010/main"/>
                      </a:ext>
                    </a:extLst>
                  </pic:spPr>
                </pic:pic>
              </a:graphicData>
            </a:graphic>
          </wp:inline>
        </w:drawing>
      </w:r>
    </w:p>
    <w:p w:rsidR="00884B26" w:rsidRPr="00166794" w:rsidRDefault="00884B26" w:rsidP="00884B26">
      <w:pPr>
        <w:pStyle w:val="Prrafodelista"/>
        <w:spacing w:before="100" w:beforeAutospacing="1" w:after="100" w:afterAutospacing="1" w:line="360" w:lineRule="auto"/>
        <w:ind w:left="0" w:right="-91"/>
        <w:jc w:val="center"/>
        <w:rPr>
          <w:rFonts w:ascii="Palatino Linotype" w:hAnsi="Palatino Linotype"/>
          <w:color w:val="000000"/>
          <w:sz w:val="28"/>
          <w:lang w:val="es-ES" w:eastAsia="es-ES"/>
        </w:rPr>
      </w:pPr>
    </w:p>
    <w:p w:rsidR="00884B26" w:rsidRPr="00166794" w:rsidRDefault="00884B26" w:rsidP="00884B26">
      <w:pPr>
        <w:pStyle w:val="Prrafodelista"/>
        <w:spacing w:before="100" w:beforeAutospacing="1" w:after="100" w:afterAutospacing="1" w:line="360" w:lineRule="auto"/>
        <w:ind w:left="0" w:right="-91"/>
        <w:jc w:val="center"/>
        <w:rPr>
          <w:rFonts w:ascii="Palatino Linotype" w:hAnsi="Palatino Linotype"/>
          <w:color w:val="000000"/>
          <w:sz w:val="28"/>
          <w:lang w:val="es-ES" w:eastAsia="es-ES"/>
        </w:rPr>
      </w:pPr>
      <w:r w:rsidRPr="00166794">
        <w:rPr>
          <w:noProof/>
        </w:rPr>
        <w:drawing>
          <wp:inline distT="0" distB="0" distL="0" distR="0" wp14:anchorId="2B64EB56" wp14:editId="1616B677">
            <wp:extent cx="4790986" cy="197167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7864" t="32730" r="29014" b="35719"/>
                    <a:stretch/>
                  </pic:blipFill>
                  <pic:spPr bwMode="auto">
                    <a:xfrm>
                      <a:off x="0" y="0"/>
                      <a:ext cx="4797107" cy="1974194"/>
                    </a:xfrm>
                    <a:prstGeom prst="rect">
                      <a:avLst/>
                    </a:prstGeom>
                    <a:ln>
                      <a:noFill/>
                    </a:ln>
                    <a:extLst>
                      <a:ext uri="{53640926-AAD7-44D8-BBD7-CCE9431645EC}">
                        <a14:shadowObscured xmlns:a14="http://schemas.microsoft.com/office/drawing/2010/main"/>
                      </a:ext>
                    </a:extLst>
                  </pic:spPr>
                </pic:pic>
              </a:graphicData>
            </a:graphic>
          </wp:inline>
        </w:drawing>
      </w:r>
    </w:p>
    <w:p w:rsidR="00884B26" w:rsidRPr="00166794" w:rsidRDefault="00884B26" w:rsidP="00F84C28">
      <w:pPr>
        <w:pStyle w:val="Prrafodelista"/>
        <w:numPr>
          <w:ilvl w:val="0"/>
          <w:numId w:val="1"/>
        </w:numPr>
        <w:spacing w:before="100" w:beforeAutospacing="1" w:line="360" w:lineRule="auto"/>
        <w:ind w:left="0" w:firstLine="0"/>
        <w:jc w:val="both"/>
        <w:rPr>
          <w:rFonts w:ascii="Palatino Linotype" w:hAnsi="Palatino Linotype" w:cs="Arial"/>
          <w:sz w:val="28"/>
          <w:lang w:val="es-ES" w:eastAsia="es-ES"/>
        </w:rPr>
      </w:pPr>
      <w:r w:rsidRPr="00166794">
        <w:rPr>
          <w:rFonts w:ascii="Palatino Linotype" w:hAnsi="Palatino Linotype" w:cs="Arial"/>
          <w:sz w:val="24"/>
          <w:lang w:val="es-ES"/>
        </w:rPr>
        <w:lastRenderedPageBreak/>
        <w:t xml:space="preserve">Atento a lo anterior, resulta claro que existe fuente obligacional que constriñe al </w:t>
      </w:r>
      <w:r w:rsidRPr="00166794">
        <w:rPr>
          <w:rFonts w:ascii="Palatino Linotype" w:hAnsi="Palatino Linotype" w:cs="Arial"/>
          <w:b/>
          <w:sz w:val="24"/>
          <w:lang w:val="es-ES"/>
        </w:rPr>
        <w:t>SUJETO OBLIGADO</w:t>
      </w:r>
      <w:r w:rsidRPr="00166794">
        <w:rPr>
          <w:rFonts w:ascii="Palatino Linotype" w:hAnsi="Palatino Linotype" w:cs="Arial"/>
          <w:sz w:val="24"/>
          <w:lang w:val="es-ES"/>
        </w:rPr>
        <w:t xml:space="preserve">, para entregar los informes pertinentes al OSFEM, en los cuales se incluye lo referente a la Balanza de Comprobación Detallada Acumulada Trimestral; en consecuencia, la información solicitada por </w:t>
      </w:r>
      <w:r w:rsidRPr="00166794">
        <w:rPr>
          <w:rFonts w:ascii="Palatino Linotype" w:hAnsi="Palatino Linotype"/>
          <w:b/>
          <w:sz w:val="24"/>
          <w:lang w:val="es-ES"/>
        </w:rPr>
        <w:t>EL</w:t>
      </w:r>
      <w:r w:rsidRPr="00166794">
        <w:rPr>
          <w:rFonts w:ascii="Palatino Linotype" w:hAnsi="Palatino Linotype" w:cs="Arial"/>
          <w:b/>
          <w:sz w:val="24"/>
          <w:lang w:val="es-ES"/>
        </w:rPr>
        <w:t xml:space="preserve"> RECURRENTE </w:t>
      </w:r>
      <w:r w:rsidRPr="00166794">
        <w:rPr>
          <w:rFonts w:ascii="Palatino Linotype" w:hAnsi="Palatino Linotype" w:cs="Arial"/>
          <w:sz w:val="24"/>
          <w:lang w:val="es-ES"/>
        </w:rPr>
        <w:t xml:space="preserve">debe obrar en los archivos del </w:t>
      </w:r>
      <w:r w:rsidRPr="00166794">
        <w:rPr>
          <w:rFonts w:ascii="Palatino Linotype" w:hAnsi="Palatino Linotype" w:cs="Arial"/>
          <w:b/>
          <w:sz w:val="24"/>
          <w:lang w:val="es-ES"/>
        </w:rPr>
        <w:t>SUJETO OBLIGADO</w:t>
      </w:r>
      <w:r w:rsidRPr="00166794">
        <w:rPr>
          <w:rFonts w:ascii="Palatino Linotype" w:hAnsi="Palatino Linotype" w:cs="Arial"/>
          <w:sz w:val="24"/>
          <w:lang w:val="es-ES"/>
        </w:rPr>
        <w:t>, sumando a que en la respuesta proporcionada por el mismo no manifestó lo contrario.</w:t>
      </w:r>
    </w:p>
    <w:p w:rsidR="00884B26" w:rsidRPr="00166794" w:rsidRDefault="00884B26" w:rsidP="00F84C28">
      <w:pPr>
        <w:pStyle w:val="Prrafodelista"/>
        <w:spacing w:before="100" w:beforeAutospacing="1" w:line="360" w:lineRule="auto"/>
        <w:ind w:left="0"/>
        <w:jc w:val="both"/>
        <w:rPr>
          <w:rFonts w:ascii="Palatino Linotype" w:hAnsi="Palatino Linotype" w:cs="Arial"/>
          <w:sz w:val="28"/>
          <w:lang w:val="es-ES" w:eastAsia="es-ES"/>
        </w:rPr>
      </w:pPr>
    </w:p>
    <w:p w:rsidR="00884B26" w:rsidRPr="00166794" w:rsidRDefault="00884B26" w:rsidP="00F84C28">
      <w:pPr>
        <w:pStyle w:val="Prrafodelista"/>
        <w:numPr>
          <w:ilvl w:val="0"/>
          <w:numId w:val="1"/>
        </w:numPr>
        <w:spacing w:line="360" w:lineRule="auto"/>
        <w:ind w:left="0" w:firstLine="0"/>
        <w:jc w:val="both"/>
        <w:rPr>
          <w:rFonts w:ascii="Palatino Linotype" w:hAnsi="Palatino Linotype" w:cs="Arial"/>
          <w:sz w:val="24"/>
        </w:rPr>
      </w:pPr>
      <w:r w:rsidRPr="00166794">
        <w:rPr>
          <w:rFonts w:ascii="Palatino Linotype" w:hAnsi="Palatino Linotype" w:cs="Arial"/>
          <w:sz w:val="24"/>
        </w:rPr>
        <w:t xml:space="preserve">Adicionalmente, es de destacar que en el </w:t>
      </w:r>
      <w:r w:rsidRPr="00166794">
        <w:rPr>
          <w:rFonts w:ascii="Palatino Linotype" w:hAnsi="Palatino Linotype" w:cs="Arial"/>
          <w:b/>
          <w:bCs/>
          <w:sz w:val="24"/>
          <w:u w:val="single"/>
        </w:rPr>
        <w:t>Calendario de Obligaciones de las Entidades Fiscalizables 2022</w:t>
      </w:r>
      <w:r w:rsidRPr="00166794">
        <w:rPr>
          <w:rFonts w:ascii="Palatino Linotype" w:hAnsi="Palatino Linotype" w:cs="Arial"/>
          <w:sz w:val="24"/>
        </w:rPr>
        <w:t>, publicado en la página oficial del Órgano Superior de Fiscalización del Estado de México (OSFEM), establece que, el periodo de presentación del Informe Trimestral de enero a marzo, será del 02 al 16 de mayo de 2022, de conformidad con la siguiente captura de pantalla:</w:t>
      </w:r>
    </w:p>
    <w:p w:rsidR="00791BCF" w:rsidRPr="00166794" w:rsidRDefault="00791BCF" w:rsidP="00791BCF">
      <w:pPr>
        <w:pStyle w:val="Prrafodelista"/>
        <w:spacing w:line="360" w:lineRule="auto"/>
        <w:ind w:left="0"/>
        <w:jc w:val="both"/>
        <w:rPr>
          <w:rFonts w:ascii="Palatino Linotype" w:hAnsi="Palatino Linotype" w:cs="Arial"/>
          <w:sz w:val="24"/>
        </w:rPr>
      </w:pPr>
    </w:p>
    <w:p w:rsidR="00791BCF" w:rsidRPr="00166794" w:rsidRDefault="00791BCF" w:rsidP="00791BCF">
      <w:pPr>
        <w:pStyle w:val="Prrafodelista"/>
        <w:spacing w:line="360" w:lineRule="auto"/>
        <w:ind w:left="0"/>
        <w:jc w:val="center"/>
        <w:rPr>
          <w:rFonts w:ascii="Palatino Linotype" w:hAnsi="Palatino Linotype" w:cs="Arial"/>
          <w:sz w:val="24"/>
        </w:rPr>
      </w:pPr>
      <w:r w:rsidRPr="00166794">
        <w:rPr>
          <w:rFonts w:ascii="Palatino Linotype" w:hAnsi="Palatino Linotype" w:cs="Arial"/>
          <w:noProof/>
        </w:rPr>
        <w:drawing>
          <wp:inline distT="0" distB="0" distL="0" distR="0" wp14:anchorId="25BC0AF9" wp14:editId="39FDC8B3">
            <wp:extent cx="3428845" cy="2095500"/>
            <wp:effectExtent l="152400" t="152400" r="362585" b="36195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36222" cy="2100008"/>
                    </a:xfrm>
                    <a:prstGeom prst="rect">
                      <a:avLst/>
                    </a:prstGeom>
                    <a:ln>
                      <a:noFill/>
                    </a:ln>
                    <a:effectLst>
                      <a:outerShdw blurRad="292100" dist="139700" dir="2700000" algn="tl" rotWithShape="0">
                        <a:srgbClr val="333333">
                          <a:alpha val="65000"/>
                        </a:srgbClr>
                      </a:outerShdw>
                    </a:effectLst>
                  </pic:spPr>
                </pic:pic>
              </a:graphicData>
            </a:graphic>
          </wp:inline>
        </w:drawing>
      </w:r>
    </w:p>
    <w:p w:rsidR="00695AFA" w:rsidRPr="00166794" w:rsidRDefault="00695AFA" w:rsidP="00695AFA">
      <w:pPr>
        <w:spacing w:line="360" w:lineRule="auto"/>
        <w:ind w:left="851" w:right="822"/>
        <w:contextualSpacing/>
        <w:jc w:val="both"/>
        <w:rPr>
          <w:rFonts w:ascii="Palatino Linotype" w:hAnsi="Palatino Linotype" w:cs="Arial"/>
          <w:i/>
          <w:sz w:val="22"/>
          <w:szCs w:val="28"/>
        </w:rPr>
      </w:pPr>
    </w:p>
    <w:p w:rsidR="00BD29D8" w:rsidRPr="00166794" w:rsidRDefault="00BD29D8" w:rsidP="00BD29D8">
      <w:pPr>
        <w:pStyle w:val="Prrafodelista"/>
        <w:numPr>
          <w:ilvl w:val="0"/>
          <w:numId w:val="1"/>
        </w:numPr>
        <w:tabs>
          <w:tab w:val="left" w:pos="426"/>
        </w:tabs>
        <w:spacing w:before="240" w:after="360" w:line="360" w:lineRule="auto"/>
        <w:ind w:left="0" w:firstLine="0"/>
        <w:jc w:val="both"/>
        <w:rPr>
          <w:rFonts w:ascii="Palatino Linotype" w:hAnsi="Palatino Linotype" w:cs="Arial"/>
          <w:i/>
          <w:color w:val="000000" w:themeColor="text1"/>
        </w:rPr>
      </w:pPr>
      <w:r w:rsidRPr="00166794">
        <w:rPr>
          <w:rFonts w:ascii="Palatino Linotype" w:hAnsi="Palatino Linotype"/>
          <w:color w:val="000000" w:themeColor="text1"/>
        </w:rPr>
        <w:lastRenderedPageBreak/>
        <w:t xml:space="preserve">Resulta necesario referir que, el </w:t>
      </w:r>
      <w:r w:rsidRPr="00166794">
        <w:rPr>
          <w:rFonts w:ascii="Palatino Linotype" w:eastAsia="Calibri" w:hAnsi="Palatino Linotype" w:cs="Arial"/>
        </w:rPr>
        <w:t xml:space="preserve">artículo 6° apartado A fracción I, de la Constitución Política de los Estados Unidos Mexicanos, artículo 5 fracción I de la Constitución Política del Estado Libre y Soberano de México y el artículo 18 de la Ley de Transparencia y Acceso a la Información Pública del Estado de México y Municipios, guardan una estrecha relación, puesto que los ordenamientos citados concurren refiriendo que los Sujetos Obligados deberán documentar todo acto que se derive del ejercicio de sus facultades, competencias o funciones, considerando desde su origen </w:t>
      </w:r>
      <w:r w:rsidRPr="00166794">
        <w:rPr>
          <w:rFonts w:ascii="Palatino Linotype" w:eastAsia="Calibri" w:hAnsi="Palatino Linotype" w:cs="Arial"/>
          <w:b/>
        </w:rPr>
        <w:t>la eventual publicidad y reutilización de la información que generen, posean o administren.</w:t>
      </w:r>
    </w:p>
    <w:p w:rsidR="00BD29D8" w:rsidRPr="00166794" w:rsidRDefault="00BD29D8" w:rsidP="00BD29D8">
      <w:pPr>
        <w:pStyle w:val="Prrafodelista"/>
        <w:spacing w:line="360" w:lineRule="auto"/>
        <w:rPr>
          <w:rFonts w:ascii="Palatino Linotype" w:hAnsi="Palatino Linotype" w:cs="Arial"/>
          <w:i/>
          <w:color w:val="000000" w:themeColor="text1"/>
        </w:rPr>
      </w:pPr>
    </w:p>
    <w:p w:rsidR="00BD29D8" w:rsidRPr="00166794" w:rsidRDefault="00BD29D8" w:rsidP="00BD29D8">
      <w:pPr>
        <w:pStyle w:val="Prrafodelista"/>
        <w:numPr>
          <w:ilvl w:val="0"/>
          <w:numId w:val="1"/>
        </w:numPr>
        <w:spacing w:line="360" w:lineRule="auto"/>
        <w:ind w:left="0" w:right="49" w:firstLine="0"/>
        <w:jc w:val="both"/>
        <w:rPr>
          <w:rFonts w:ascii="Palatino Linotype" w:hAnsi="Palatino Linotype" w:cs="Arial"/>
          <w:color w:val="000000"/>
        </w:rPr>
      </w:pPr>
      <w:r w:rsidRPr="00166794">
        <w:rPr>
          <w:rFonts w:ascii="Palatino Linotype" w:hAnsi="Palatino Linotype" w:cs="Arial"/>
          <w:color w:val="000000"/>
        </w:rPr>
        <w:t>Además, debemos tomar en cuenta los artículos 4 y 12, de la Ley de Transparencia y Acceso a la Información Pública del Estado de México y Municipios, los cuales establecen lo siguiente:</w:t>
      </w:r>
    </w:p>
    <w:p w:rsidR="00BD29D8" w:rsidRPr="00166794" w:rsidRDefault="00BD29D8" w:rsidP="00BD29D8">
      <w:pPr>
        <w:pStyle w:val="Prrafodelista"/>
        <w:spacing w:line="360" w:lineRule="auto"/>
        <w:rPr>
          <w:rFonts w:ascii="Palatino Linotype" w:hAnsi="Palatino Linotype" w:cs="Arial"/>
          <w:color w:val="000000"/>
        </w:rPr>
      </w:pPr>
    </w:p>
    <w:p w:rsidR="00BD29D8" w:rsidRPr="00166794" w:rsidRDefault="00BD29D8" w:rsidP="00BD29D8">
      <w:pPr>
        <w:autoSpaceDE w:val="0"/>
        <w:autoSpaceDN w:val="0"/>
        <w:adjustRightInd w:val="0"/>
        <w:spacing w:line="360" w:lineRule="auto"/>
        <w:ind w:left="567" w:right="567"/>
        <w:jc w:val="both"/>
        <w:rPr>
          <w:rFonts w:ascii="Palatino Linotype" w:hAnsi="Palatino Linotype" w:cs="Bookman Old Style"/>
          <w:i/>
          <w:sz w:val="22"/>
          <w:szCs w:val="20"/>
        </w:rPr>
      </w:pPr>
      <w:r w:rsidRPr="00166794">
        <w:rPr>
          <w:rFonts w:ascii="Palatino Linotype" w:hAnsi="Palatino Linotype" w:cs="Bookman Old Style,Bold"/>
          <w:b/>
          <w:bCs/>
          <w:i/>
          <w:sz w:val="22"/>
          <w:szCs w:val="20"/>
        </w:rPr>
        <w:t xml:space="preserve">Artículo 4. </w:t>
      </w:r>
      <w:r w:rsidRPr="00166794">
        <w:rPr>
          <w:rFonts w:ascii="Palatino Linotype" w:hAnsi="Palatino Linotype" w:cs="Bookman Old Style"/>
          <w:i/>
          <w:sz w:val="22"/>
          <w:szCs w:val="20"/>
        </w:rPr>
        <w:t>El derecho humano de acceso a la información pública es la prerrogativa de las personas para buscar, difundir, investigar, recabar, recibir y solicitar información pública, sin necesidad de acreditar personalidad ni interés jurídico.</w:t>
      </w:r>
    </w:p>
    <w:p w:rsidR="00BD29D8" w:rsidRPr="00166794" w:rsidRDefault="00BD29D8" w:rsidP="00BD29D8">
      <w:pPr>
        <w:autoSpaceDE w:val="0"/>
        <w:autoSpaceDN w:val="0"/>
        <w:adjustRightInd w:val="0"/>
        <w:spacing w:line="360" w:lineRule="auto"/>
        <w:ind w:left="567" w:right="567"/>
        <w:jc w:val="both"/>
        <w:rPr>
          <w:rFonts w:ascii="Palatino Linotype" w:hAnsi="Palatino Linotype" w:cs="Bookman Old Style"/>
          <w:i/>
          <w:sz w:val="22"/>
          <w:szCs w:val="20"/>
        </w:rPr>
      </w:pPr>
    </w:p>
    <w:p w:rsidR="00BD29D8" w:rsidRPr="00166794" w:rsidRDefault="00BD29D8" w:rsidP="00BD29D8">
      <w:pPr>
        <w:autoSpaceDE w:val="0"/>
        <w:autoSpaceDN w:val="0"/>
        <w:adjustRightInd w:val="0"/>
        <w:spacing w:line="360" w:lineRule="auto"/>
        <w:ind w:left="567" w:right="567"/>
        <w:jc w:val="both"/>
        <w:rPr>
          <w:rFonts w:ascii="Palatino Linotype" w:hAnsi="Palatino Linotype" w:cs="Bookman Old Style"/>
          <w:i/>
          <w:sz w:val="22"/>
          <w:szCs w:val="20"/>
        </w:rPr>
      </w:pPr>
      <w:r w:rsidRPr="00166794">
        <w:rPr>
          <w:rFonts w:ascii="Palatino Linotype" w:hAnsi="Palatino Linotype" w:cs="Bookman Old Style"/>
          <w:b/>
          <w:i/>
          <w:sz w:val="22"/>
          <w:szCs w:val="20"/>
        </w:rPr>
        <w:t>Toda la información generada, obtenida, adquirida, transformada, administrada o en posesión de los sujetos obligados es pública y accesible de manera permanente a cualquier persona</w:t>
      </w:r>
      <w:r w:rsidRPr="00166794">
        <w:rPr>
          <w:rFonts w:ascii="Palatino Linotype" w:hAnsi="Palatino Linotype" w:cs="Bookman Old Style"/>
          <w:i/>
          <w:sz w:val="22"/>
          <w:szCs w:val="20"/>
        </w:rPr>
        <w:t xml:space="preserve">, en los términos y condiciones que se establezcan en los tratados internacionales de los que el Estado mexicano sea parte, en la Ley General, la presente Ley y demás disposiciones de la materia, privilegiando </w:t>
      </w:r>
      <w:r w:rsidRPr="00166794">
        <w:rPr>
          <w:rFonts w:ascii="Palatino Linotype" w:hAnsi="Palatino Linotype" w:cs="Bookman Old Style"/>
          <w:b/>
          <w:i/>
          <w:sz w:val="22"/>
          <w:szCs w:val="20"/>
        </w:rPr>
        <w:t>el principio de máxima publicidad de la información. Solo podrá ser clasificada excepcionalmente como reservada temporalmente por razones de interés público, en los términos de las causas legítimas y estrictamente necesarias previstas por esta Ley.</w:t>
      </w:r>
    </w:p>
    <w:p w:rsidR="00BD29D8" w:rsidRPr="00166794" w:rsidRDefault="00BD29D8" w:rsidP="00BD29D8">
      <w:pPr>
        <w:autoSpaceDE w:val="0"/>
        <w:autoSpaceDN w:val="0"/>
        <w:adjustRightInd w:val="0"/>
        <w:spacing w:line="360" w:lineRule="auto"/>
        <w:ind w:left="567" w:right="567"/>
        <w:jc w:val="both"/>
        <w:rPr>
          <w:rFonts w:ascii="Palatino Linotype" w:hAnsi="Palatino Linotype" w:cs="Bookman Old Style"/>
          <w:i/>
          <w:sz w:val="22"/>
          <w:szCs w:val="20"/>
        </w:rPr>
      </w:pPr>
    </w:p>
    <w:p w:rsidR="00BD29D8" w:rsidRPr="00166794" w:rsidRDefault="00BD29D8" w:rsidP="00BD29D8">
      <w:pPr>
        <w:autoSpaceDE w:val="0"/>
        <w:autoSpaceDN w:val="0"/>
        <w:adjustRightInd w:val="0"/>
        <w:spacing w:line="360" w:lineRule="auto"/>
        <w:ind w:left="567" w:right="567"/>
        <w:jc w:val="both"/>
        <w:rPr>
          <w:rFonts w:ascii="Palatino Linotype" w:hAnsi="Palatino Linotype" w:cs="Bookman Old Style"/>
          <w:i/>
          <w:sz w:val="22"/>
          <w:szCs w:val="20"/>
        </w:rPr>
      </w:pPr>
      <w:r w:rsidRPr="00166794">
        <w:rPr>
          <w:rFonts w:ascii="Palatino Linotype" w:hAnsi="Palatino Linotype" w:cs="Bookman Old Style"/>
          <w:i/>
          <w:sz w:val="22"/>
          <w:szCs w:val="20"/>
        </w:rPr>
        <w:lastRenderedPageBreak/>
        <w:t xml:space="preserve">Los sujetos obligados deben poner en práctica, políticas y programas de acceso a la información que se apeguen a </w:t>
      </w:r>
      <w:r w:rsidRPr="00166794">
        <w:rPr>
          <w:rFonts w:ascii="Palatino Linotype" w:hAnsi="Palatino Linotype" w:cs="Bookman Old Style"/>
          <w:b/>
          <w:i/>
          <w:sz w:val="22"/>
          <w:szCs w:val="20"/>
        </w:rPr>
        <w:t>criterios de publicidad</w:t>
      </w:r>
      <w:r w:rsidRPr="00166794">
        <w:rPr>
          <w:rFonts w:ascii="Palatino Linotype" w:hAnsi="Palatino Linotype" w:cs="Bookman Old Style"/>
          <w:i/>
          <w:sz w:val="22"/>
          <w:szCs w:val="20"/>
        </w:rPr>
        <w:t>, veracidad, oportunidad, precisión y suficiencia en beneficio de los solicitantes.</w:t>
      </w:r>
    </w:p>
    <w:p w:rsidR="00BD29D8" w:rsidRPr="00166794" w:rsidRDefault="00BD29D8" w:rsidP="00BD29D8">
      <w:pPr>
        <w:autoSpaceDE w:val="0"/>
        <w:autoSpaceDN w:val="0"/>
        <w:adjustRightInd w:val="0"/>
        <w:spacing w:line="360" w:lineRule="auto"/>
        <w:ind w:right="567"/>
        <w:jc w:val="both"/>
        <w:rPr>
          <w:rFonts w:ascii="Palatino Linotype" w:hAnsi="Palatino Linotype" w:cs="Arial"/>
          <w:i/>
          <w:color w:val="000000"/>
          <w:sz w:val="28"/>
        </w:rPr>
      </w:pPr>
    </w:p>
    <w:p w:rsidR="00BD29D8" w:rsidRPr="00166794" w:rsidRDefault="00BD29D8" w:rsidP="00BD29D8">
      <w:pPr>
        <w:autoSpaceDE w:val="0"/>
        <w:autoSpaceDN w:val="0"/>
        <w:adjustRightInd w:val="0"/>
        <w:spacing w:line="360" w:lineRule="auto"/>
        <w:ind w:left="567" w:right="567"/>
        <w:jc w:val="both"/>
        <w:rPr>
          <w:rFonts w:ascii="Palatino Linotype" w:hAnsi="Palatino Linotype" w:cs="Bookman Old Style"/>
          <w:i/>
          <w:sz w:val="22"/>
          <w:szCs w:val="20"/>
        </w:rPr>
      </w:pPr>
      <w:r w:rsidRPr="00166794">
        <w:rPr>
          <w:rFonts w:ascii="Palatino Linotype" w:hAnsi="Palatino Linotype" w:cs="Bookman Old Style,Bold"/>
          <w:b/>
          <w:bCs/>
          <w:i/>
          <w:sz w:val="22"/>
          <w:szCs w:val="20"/>
        </w:rPr>
        <w:t xml:space="preserve">Artículo 12. </w:t>
      </w:r>
      <w:r w:rsidRPr="00166794">
        <w:rPr>
          <w:rFonts w:ascii="Palatino Linotype" w:hAnsi="Palatino Linotype" w:cs="Bookman Old Style"/>
          <w:i/>
          <w:sz w:val="22"/>
          <w:szCs w:val="20"/>
        </w:rPr>
        <w:t xml:space="preserve">Quienes generen, recopilen, administren, manejen, procesen, archiven o conserven información pública serán responsables de la misma en los términos de las disposiciones jurídicas aplicables. </w:t>
      </w:r>
    </w:p>
    <w:p w:rsidR="00BD29D8" w:rsidRPr="00166794" w:rsidRDefault="00BD29D8" w:rsidP="00BD29D8">
      <w:pPr>
        <w:autoSpaceDE w:val="0"/>
        <w:autoSpaceDN w:val="0"/>
        <w:adjustRightInd w:val="0"/>
        <w:spacing w:line="360" w:lineRule="auto"/>
        <w:ind w:left="567" w:right="567"/>
        <w:jc w:val="both"/>
        <w:rPr>
          <w:rFonts w:ascii="Palatino Linotype" w:hAnsi="Palatino Linotype" w:cs="Bookman Old Style"/>
          <w:i/>
          <w:sz w:val="22"/>
          <w:szCs w:val="20"/>
        </w:rPr>
      </w:pPr>
    </w:p>
    <w:p w:rsidR="00BD29D8" w:rsidRPr="00166794" w:rsidRDefault="00BD29D8" w:rsidP="00BD29D8">
      <w:pPr>
        <w:autoSpaceDE w:val="0"/>
        <w:autoSpaceDN w:val="0"/>
        <w:adjustRightInd w:val="0"/>
        <w:spacing w:line="360" w:lineRule="auto"/>
        <w:ind w:left="567" w:right="567"/>
        <w:jc w:val="both"/>
        <w:rPr>
          <w:rFonts w:ascii="Palatino Linotype" w:hAnsi="Palatino Linotype" w:cs="Bookman Old Style"/>
          <w:i/>
          <w:sz w:val="22"/>
          <w:szCs w:val="20"/>
        </w:rPr>
      </w:pPr>
      <w:r w:rsidRPr="00166794">
        <w:rPr>
          <w:rFonts w:ascii="Palatino Linotype" w:hAnsi="Palatino Linotype" w:cs="Bookman Old Style"/>
          <w:i/>
          <w:sz w:val="22"/>
          <w:szCs w:val="20"/>
        </w:rPr>
        <w:t xml:space="preserve">Los sujetos obligados sólo proporcionarán la información pública que se les requiera y que obre en sus archivos y en el estado en que ésta se encuentre. </w:t>
      </w:r>
      <w:r w:rsidRPr="00166794">
        <w:rPr>
          <w:rFonts w:ascii="Palatino Linotype" w:hAnsi="Palatino Linotype" w:cs="Bookman Old Style"/>
          <w:b/>
          <w:i/>
          <w:sz w:val="22"/>
          <w:szCs w:val="20"/>
        </w:rPr>
        <w:t>La obligación de proporcionar información no comprende el procesamiento de la misma, ni el presentarla conforme al interés del solicitante; no estarán obligados a generarla, resumirla, efectuar cálculos o practicar investigaciones.</w:t>
      </w:r>
    </w:p>
    <w:p w:rsidR="00BD29D8" w:rsidRPr="00166794" w:rsidRDefault="00BD29D8" w:rsidP="00BD29D8">
      <w:pPr>
        <w:autoSpaceDE w:val="0"/>
        <w:autoSpaceDN w:val="0"/>
        <w:adjustRightInd w:val="0"/>
        <w:spacing w:line="360" w:lineRule="auto"/>
        <w:ind w:left="567" w:right="567"/>
        <w:jc w:val="both"/>
        <w:rPr>
          <w:rFonts w:ascii="Palatino Linotype" w:hAnsi="Palatino Linotype" w:cs="Arial"/>
          <w:i/>
          <w:color w:val="000000"/>
          <w:sz w:val="28"/>
        </w:rPr>
      </w:pPr>
    </w:p>
    <w:p w:rsidR="00BD29D8" w:rsidRPr="00166794" w:rsidRDefault="00BD29D8" w:rsidP="00BD29D8">
      <w:pPr>
        <w:pStyle w:val="Prrafodelista"/>
        <w:numPr>
          <w:ilvl w:val="0"/>
          <w:numId w:val="1"/>
        </w:numPr>
        <w:tabs>
          <w:tab w:val="left" w:pos="851"/>
        </w:tabs>
        <w:spacing w:line="360" w:lineRule="auto"/>
        <w:ind w:left="0" w:right="49" w:firstLine="0"/>
        <w:jc w:val="both"/>
        <w:rPr>
          <w:rFonts w:ascii="Palatino Linotype" w:hAnsi="Palatino Linotype"/>
          <w:lang w:val="es-ES"/>
        </w:rPr>
      </w:pPr>
      <w:r w:rsidRPr="00166794">
        <w:rPr>
          <w:rFonts w:ascii="Palatino Linotype" w:hAnsi="Palatino Linotype"/>
          <w:lang w:val="es-ES"/>
        </w:rPr>
        <w:t>Es así que, por un lado se tiene la obligación de documentar todos los actos que se lleven a cabo en el ejercicio de sus funciones, atribuciones y competencias, mientras que por otro, se ven impuestos por la obligación de hacer pública toda aquella información que se encuentre en su posesión en estricto apego a los principios de eficacia</w:t>
      </w:r>
      <w:r w:rsidRPr="00166794">
        <w:rPr>
          <w:rStyle w:val="Refdenotaalpie"/>
          <w:rFonts w:ascii="Palatino Linotype" w:hAnsi="Palatino Linotype"/>
          <w:lang w:val="es-ES"/>
        </w:rPr>
        <w:footnoteReference w:id="10"/>
      </w:r>
      <w:r w:rsidRPr="00166794">
        <w:rPr>
          <w:rFonts w:ascii="Palatino Linotype" w:hAnsi="Palatino Linotype"/>
          <w:lang w:val="es-ES"/>
        </w:rPr>
        <w:t xml:space="preserve"> y </w:t>
      </w:r>
      <w:r w:rsidRPr="00166794">
        <w:rPr>
          <w:rFonts w:ascii="Palatino Linotype" w:hAnsi="Palatino Linotype"/>
          <w:b/>
          <w:lang w:val="es-ES"/>
        </w:rPr>
        <w:t>máxima publicidad</w:t>
      </w:r>
      <w:r w:rsidRPr="00166794">
        <w:rPr>
          <w:rFonts w:ascii="Palatino Linotype" w:hAnsi="Palatino Linotype"/>
          <w:lang w:val="es-ES"/>
        </w:rPr>
        <w:t xml:space="preserve">, sobre éste último se debe poner mayor énfasis, puesto que establece que </w:t>
      </w:r>
      <w:r w:rsidRPr="00166794">
        <w:rPr>
          <w:rFonts w:ascii="Palatino Linotype" w:hAnsi="Palatino Linotype"/>
          <w:b/>
          <w:lang w:val="es-ES"/>
        </w:rPr>
        <w:t>toda la información en posesión de los Sujetos Obligados será pública</w:t>
      </w:r>
      <w:r w:rsidRPr="00166794">
        <w:rPr>
          <w:rFonts w:ascii="Palatino Linotype" w:hAnsi="Palatino Linotype"/>
          <w:lang w:val="es-ES"/>
        </w:rPr>
        <w:t xml:space="preserve">, completa, oportuna y </w:t>
      </w:r>
      <w:r w:rsidRPr="00166794">
        <w:rPr>
          <w:rFonts w:ascii="Palatino Linotype" w:hAnsi="Palatino Linotype"/>
          <w:b/>
          <w:lang w:val="es-ES"/>
        </w:rPr>
        <w:t>accesible,</w:t>
      </w:r>
      <w:r w:rsidRPr="00166794">
        <w:rPr>
          <w:rFonts w:ascii="Palatino Linotype" w:hAnsi="Palatino Linotype"/>
          <w:lang w:val="es-ES"/>
        </w:rPr>
        <w:t xml:space="preserve"> lo que permite que la ciudadanía tenga un amplio acceso sobre lo que es el actuar de las autoridades.</w:t>
      </w:r>
    </w:p>
    <w:p w:rsidR="00BD29D8" w:rsidRPr="00166794" w:rsidRDefault="00BD29D8" w:rsidP="00BD29D8">
      <w:pPr>
        <w:pStyle w:val="Prrafodelista"/>
        <w:tabs>
          <w:tab w:val="left" w:pos="851"/>
        </w:tabs>
        <w:spacing w:line="360" w:lineRule="auto"/>
        <w:ind w:left="0" w:right="49"/>
        <w:jc w:val="both"/>
        <w:rPr>
          <w:rFonts w:ascii="Palatino Linotype" w:hAnsi="Palatino Linotype"/>
          <w:lang w:val="es-ES"/>
        </w:rPr>
      </w:pPr>
    </w:p>
    <w:p w:rsidR="00BD29D8" w:rsidRPr="00166794" w:rsidRDefault="00BD29D8" w:rsidP="00BD29D8">
      <w:pPr>
        <w:pStyle w:val="Prrafodelista"/>
        <w:numPr>
          <w:ilvl w:val="0"/>
          <w:numId w:val="1"/>
        </w:numPr>
        <w:tabs>
          <w:tab w:val="left" w:pos="851"/>
        </w:tabs>
        <w:spacing w:line="360" w:lineRule="auto"/>
        <w:ind w:left="0" w:right="49" w:firstLine="0"/>
        <w:jc w:val="both"/>
        <w:rPr>
          <w:rFonts w:ascii="Palatino Linotype" w:hAnsi="Palatino Linotype"/>
          <w:lang w:val="es-ES"/>
        </w:rPr>
      </w:pPr>
      <w:r w:rsidRPr="00166794">
        <w:rPr>
          <w:rFonts w:ascii="Palatino Linotype" w:hAnsi="Palatino Linotype"/>
          <w:lang w:val="es-ES"/>
        </w:rPr>
        <w:lastRenderedPageBreak/>
        <w:t>Robustece lo anterior la Tesis aislada identificada con la clave I.4º.A.40 A del Cuarto Tribunal colegiado en Materia Administrativa del Primer Circuito, publicada en el Seminario Judicial de la Federación y su Gaceta en el libro XVIII, Marzo 2013, Página 1899.</w:t>
      </w:r>
    </w:p>
    <w:p w:rsidR="00BD29D8" w:rsidRPr="00166794" w:rsidRDefault="00BD29D8" w:rsidP="00BD29D8">
      <w:pPr>
        <w:pStyle w:val="Prrafodelista"/>
        <w:spacing w:line="360" w:lineRule="auto"/>
        <w:rPr>
          <w:rFonts w:ascii="Palatino Linotype" w:hAnsi="Palatino Linotype"/>
          <w:lang w:val="es-ES"/>
        </w:rPr>
      </w:pPr>
    </w:p>
    <w:p w:rsidR="00BD29D8" w:rsidRPr="00166794" w:rsidRDefault="00BD29D8" w:rsidP="00BD29D8">
      <w:pPr>
        <w:pStyle w:val="Prrafodelista"/>
        <w:tabs>
          <w:tab w:val="left" w:pos="851"/>
        </w:tabs>
        <w:spacing w:line="360" w:lineRule="auto"/>
        <w:ind w:left="567" w:right="567"/>
        <w:jc w:val="both"/>
        <w:rPr>
          <w:rFonts w:ascii="Palatino Linotype" w:hAnsi="Palatino Linotype"/>
          <w:i/>
        </w:rPr>
      </w:pPr>
      <w:r w:rsidRPr="00166794">
        <w:rPr>
          <w:rFonts w:ascii="Palatino Linotype" w:hAnsi="Palatino Linotype"/>
          <w:b/>
          <w:i/>
        </w:rPr>
        <w:t>ACCESO A LA INFORMACIÓN. IMPLICACIÓN DEL PRINCIPIO DE MÁXIMA PUBLICIDAD EN EL DERECHO FUNDAMENTAL RELATIVO.</w:t>
      </w:r>
      <w:r w:rsidRPr="00166794">
        <w:rPr>
          <w:rFonts w:ascii="Palatino Linotype" w:hAnsi="Palatino Linotype"/>
          <w:i/>
        </w:rPr>
        <w:t xml:space="preserve"> Del artículo 6o. de la Constitución Política de los Estados Unidos Mexicanos se advierte que el Estado Mexicano está constreñido a publicitar sus actos, pues se reconoce el derecho fundamental de los ciudadanos a acceder a la información que obra en poder de la autoridad, que como lo ha expuesto el Pleno de la Suprema Corte de Justicia de la Nación en la tesis P./J. 54/2008, publicada en el Semanario Judicial de la Federación y su Gaceta, Novena Época, Tomo XXVII, junio de 2008, página 743, de rubro: "ACCESO A LA INFORMACIÓN. SU NATURALEZA COMO GARANTÍAS INDIVIDUAL Y SOCIAL.", contiene una doble dimensión: individual y social. En su primer aspecto, cumple con la función de maximizar el campo de la autonomía personal, posibilitando el ejercicio de la libertad de expresión en un contexto de mayor diversidad de datos, voces y opiniones, mientras que en el segundo, brinda un derecho colectivo o social que tiende a revelar el empleo instrumental de la información no sólo como factor de autorrealización personal, sino como un mecanismo de control institucional, pues se trata de un derecho fundado en una de las características principales del gobierno republicano, que es la publicidad de los actos de gobierno y la transparencia en el actuar de la administración, conducente y necesaria para la rendición de cuentas. Por ello, el principio de máxima publicidad incorporado en el texto constitucional, implica para cualquier autoridad, realizar un manejo de la información bajo la premisa inicial que toda ella es pública y sólo por excepción, en los casos expresamente previstos en la legislación secundaria y justificados bajo determinadas circunstancias, se podrá clasificar como confidencial o reservada, esto es, considerarla con una calidad diversa. </w:t>
      </w:r>
    </w:p>
    <w:p w:rsidR="00BD29D8" w:rsidRPr="00166794" w:rsidRDefault="00BD29D8" w:rsidP="00BD29D8">
      <w:pPr>
        <w:pStyle w:val="Prrafodelista"/>
        <w:tabs>
          <w:tab w:val="left" w:pos="851"/>
        </w:tabs>
        <w:spacing w:line="360" w:lineRule="auto"/>
        <w:ind w:left="567" w:right="567"/>
        <w:jc w:val="both"/>
        <w:rPr>
          <w:rFonts w:ascii="Palatino Linotype" w:hAnsi="Palatino Linotype"/>
          <w:i/>
        </w:rPr>
      </w:pPr>
    </w:p>
    <w:p w:rsidR="00BD29D8" w:rsidRPr="00166794" w:rsidRDefault="00BD29D8" w:rsidP="00BD29D8">
      <w:pPr>
        <w:pStyle w:val="Prrafodelista"/>
        <w:tabs>
          <w:tab w:val="left" w:pos="851"/>
        </w:tabs>
        <w:spacing w:line="360" w:lineRule="auto"/>
        <w:ind w:left="567" w:right="567"/>
        <w:jc w:val="both"/>
        <w:rPr>
          <w:rFonts w:ascii="Palatino Linotype" w:hAnsi="Palatino Linotype"/>
          <w:i/>
        </w:rPr>
      </w:pPr>
      <w:r w:rsidRPr="00166794">
        <w:rPr>
          <w:rFonts w:ascii="Palatino Linotype" w:hAnsi="Palatino Linotype"/>
          <w:i/>
        </w:rPr>
        <w:t xml:space="preserve">CUARTO TRIBUNAL COLEGIADO EN MATERIA ADMINISTRATIVA DEL PRIMER CIRCUITO. </w:t>
      </w:r>
    </w:p>
    <w:p w:rsidR="00BD29D8" w:rsidRPr="00166794" w:rsidRDefault="00BD29D8" w:rsidP="00BD29D8">
      <w:pPr>
        <w:pStyle w:val="Prrafodelista"/>
        <w:tabs>
          <w:tab w:val="left" w:pos="851"/>
        </w:tabs>
        <w:spacing w:line="360" w:lineRule="auto"/>
        <w:ind w:left="567" w:right="567"/>
        <w:jc w:val="both"/>
        <w:rPr>
          <w:rFonts w:ascii="Palatino Linotype" w:hAnsi="Palatino Linotype"/>
          <w:i/>
        </w:rPr>
      </w:pPr>
    </w:p>
    <w:p w:rsidR="00BD29D8" w:rsidRPr="00166794" w:rsidRDefault="00BD29D8" w:rsidP="00BD29D8">
      <w:pPr>
        <w:pStyle w:val="Prrafodelista"/>
        <w:tabs>
          <w:tab w:val="left" w:pos="851"/>
        </w:tabs>
        <w:spacing w:line="360" w:lineRule="auto"/>
        <w:ind w:left="567" w:right="567"/>
        <w:jc w:val="both"/>
        <w:rPr>
          <w:rFonts w:ascii="Palatino Linotype" w:hAnsi="Palatino Linotype"/>
          <w:i/>
          <w:lang w:val="es-ES"/>
        </w:rPr>
      </w:pPr>
      <w:r w:rsidRPr="00166794">
        <w:rPr>
          <w:rFonts w:ascii="Palatino Linotype" w:hAnsi="Palatino Linotype"/>
          <w:i/>
        </w:rPr>
        <w:t>Amparo en revisión 257/2012. Ruth Corona Muñoz. 6 de diciembre de 2012. Unanimidad de votos. Ponente: Jean Claude Tron Petit. Secretaria: Mayra Susana Martínez López.</w:t>
      </w:r>
    </w:p>
    <w:p w:rsidR="00BD29D8" w:rsidRPr="00166794" w:rsidRDefault="00BD29D8" w:rsidP="00BD29D8">
      <w:pPr>
        <w:pStyle w:val="Prrafodelista"/>
        <w:tabs>
          <w:tab w:val="left" w:pos="851"/>
        </w:tabs>
        <w:spacing w:line="360" w:lineRule="auto"/>
        <w:ind w:left="0" w:right="49"/>
        <w:jc w:val="both"/>
        <w:rPr>
          <w:rFonts w:ascii="Palatino Linotype" w:hAnsi="Palatino Linotype"/>
          <w:lang w:val="es-ES"/>
        </w:rPr>
      </w:pPr>
    </w:p>
    <w:p w:rsidR="00BD29D8" w:rsidRPr="00166794" w:rsidRDefault="00BD29D8" w:rsidP="00BD29D8">
      <w:pPr>
        <w:pStyle w:val="Prrafodelista"/>
        <w:numPr>
          <w:ilvl w:val="0"/>
          <w:numId w:val="1"/>
        </w:numPr>
        <w:tabs>
          <w:tab w:val="left" w:pos="851"/>
        </w:tabs>
        <w:spacing w:line="360" w:lineRule="auto"/>
        <w:ind w:left="0" w:right="49" w:firstLine="0"/>
        <w:jc w:val="both"/>
        <w:rPr>
          <w:rFonts w:ascii="Palatino Linotype" w:hAnsi="Palatino Linotype"/>
          <w:lang w:val="es-ES"/>
        </w:rPr>
      </w:pPr>
      <w:r w:rsidRPr="00166794">
        <w:rPr>
          <w:rFonts w:ascii="Palatino Linotype" w:hAnsi="Palatino Linotype"/>
          <w:lang w:val="es-ES"/>
        </w:rPr>
        <w:t xml:space="preserve">Es así que, todos los actos de autoridad que realicen los Sujetos Obligados deben estar documentados y, bajo el más alto estándar </w:t>
      </w:r>
      <w:r w:rsidRPr="00166794">
        <w:rPr>
          <w:rFonts w:ascii="Palatino Linotype" w:hAnsi="Palatino Linotype"/>
          <w:b/>
          <w:lang w:val="es-ES"/>
        </w:rPr>
        <w:t>de transparencia</w:t>
      </w:r>
      <w:r w:rsidRPr="00166794">
        <w:rPr>
          <w:rFonts w:ascii="Palatino Linotype" w:hAnsi="Palatino Linotype"/>
          <w:lang w:val="es-ES"/>
        </w:rPr>
        <w:t xml:space="preserve"> deberán </w:t>
      </w:r>
      <w:r w:rsidRPr="00166794">
        <w:rPr>
          <w:rFonts w:ascii="Palatino Linotype" w:hAnsi="Palatino Linotype"/>
          <w:b/>
          <w:lang w:val="es-ES"/>
        </w:rPr>
        <w:t>poner toda la información que se encuentre en su posesión</w:t>
      </w:r>
      <w:r w:rsidRPr="00166794">
        <w:rPr>
          <w:rFonts w:ascii="Palatino Linotype" w:hAnsi="Palatino Linotype"/>
          <w:lang w:val="es-ES"/>
        </w:rPr>
        <w:t xml:space="preserve">, a disposición de los particulares que la soliciten. Por lo tanto, este Órgano Garante determina que son fundadas las razones y motivos de inconformidad del Recurrente, por lo que ORDENA la entrega, de ser procedente en versión pública, de la Balanza de Comprobación Detallada, referente al primer trimestre del ejercicio fiscal dos mil veintidós. </w:t>
      </w:r>
    </w:p>
    <w:p w:rsidR="004C346A" w:rsidRPr="00166794" w:rsidRDefault="004C346A" w:rsidP="00BD29D8">
      <w:pPr>
        <w:pStyle w:val="Prrafodelista"/>
        <w:tabs>
          <w:tab w:val="left" w:pos="851"/>
        </w:tabs>
        <w:spacing w:line="360" w:lineRule="auto"/>
        <w:ind w:left="0" w:right="49"/>
        <w:jc w:val="both"/>
        <w:rPr>
          <w:rFonts w:ascii="Palatino Linotype" w:hAnsi="Palatino Linotype"/>
          <w:lang w:val="es-ES"/>
        </w:rPr>
      </w:pPr>
    </w:p>
    <w:p w:rsidR="009954DB" w:rsidRPr="00166794" w:rsidRDefault="009954DB" w:rsidP="00BD29D8">
      <w:pPr>
        <w:numPr>
          <w:ilvl w:val="0"/>
          <w:numId w:val="1"/>
        </w:numPr>
        <w:spacing w:line="360" w:lineRule="auto"/>
        <w:ind w:left="0" w:right="49" w:firstLine="0"/>
        <w:contextualSpacing/>
        <w:jc w:val="both"/>
        <w:rPr>
          <w:rFonts w:ascii="Palatino Linotype" w:hAnsi="Palatino Linotype" w:cs="Arial"/>
          <w:szCs w:val="28"/>
        </w:rPr>
      </w:pPr>
      <w:r w:rsidRPr="00166794">
        <w:rPr>
          <w:rFonts w:ascii="Palatino Linotype" w:hAnsi="Palatino Linotype" w:cs="Arial"/>
          <w:szCs w:val="28"/>
        </w:rPr>
        <w:t xml:space="preserve">Ahora bien, atendiendo a que la información que se ordena entregar, pudiera contener información susceptible de clasificarse, el Sujeto Obligado deberá observar lo establecido en el Considerando Quinto de la presente resolución. </w:t>
      </w:r>
    </w:p>
    <w:p w:rsidR="001774E1" w:rsidRPr="00166794" w:rsidRDefault="001774E1" w:rsidP="00F720E4">
      <w:pPr>
        <w:pStyle w:val="Prrafodelista"/>
        <w:spacing w:line="360" w:lineRule="auto"/>
        <w:ind w:left="0"/>
        <w:jc w:val="both"/>
        <w:rPr>
          <w:rFonts w:ascii="Palatino Linotype" w:hAnsi="Palatino Linotype" w:cs="Arial"/>
          <w:sz w:val="24"/>
          <w:szCs w:val="28"/>
        </w:rPr>
      </w:pPr>
    </w:p>
    <w:p w:rsidR="00262BA7" w:rsidRPr="00166794" w:rsidRDefault="00262BA7" w:rsidP="00262BA7">
      <w:pPr>
        <w:spacing w:line="360" w:lineRule="auto"/>
        <w:ind w:right="49"/>
        <w:contextualSpacing/>
        <w:jc w:val="both"/>
        <w:rPr>
          <w:rFonts w:ascii="Palatino Linotype" w:hAnsi="Palatino Linotype"/>
          <w:b/>
          <w:color w:val="000000" w:themeColor="text1"/>
        </w:rPr>
      </w:pPr>
      <w:r w:rsidRPr="00166794">
        <w:rPr>
          <w:rFonts w:ascii="Palatino Linotype" w:hAnsi="Palatino Linotype"/>
          <w:b/>
          <w:color w:val="000000" w:themeColor="text1"/>
          <w:lang w:eastAsia="es-ES_tradnl"/>
        </w:rPr>
        <w:t xml:space="preserve">QUINTO. </w:t>
      </w:r>
      <w:r w:rsidRPr="00166794">
        <w:rPr>
          <w:rFonts w:ascii="Palatino Linotype" w:hAnsi="Palatino Linotype"/>
          <w:b/>
          <w:color w:val="000000" w:themeColor="text1"/>
        </w:rPr>
        <w:t xml:space="preserve"> </w:t>
      </w:r>
      <w:bookmarkStart w:id="37" w:name="_Toc80889843"/>
      <w:bookmarkStart w:id="38" w:name="_Toc81384826"/>
      <w:r w:rsidRPr="00166794">
        <w:rPr>
          <w:rFonts w:ascii="Palatino Linotype" w:hAnsi="Palatino Linotype" w:cs="Arial"/>
          <w:b/>
          <w:color w:val="000000"/>
          <w:lang w:val="es-ES_tradnl"/>
        </w:rPr>
        <w:t>De la versión pública</w:t>
      </w:r>
      <w:bookmarkEnd w:id="37"/>
      <w:bookmarkEnd w:id="38"/>
      <w:r w:rsidRPr="00166794">
        <w:rPr>
          <w:rFonts w:ascii="Palatino Linotype" w:hAnsi="Palatino Linotype" w:cs="Arial"/>
          <w:b/>
          <w:color w:val="000000"/>
          <w:lang w:val="es-ES_tradnl"/>
        </w:rPr>
        <w:t>.</w:t>
      </w:r>
    </w:p>
    <w:p w:rsidR="00262BA7" w:rsidRPr="00166794" w:rsidRDefault="00262BA7" w:rsidP="00262BA7">
      <w:pPr>
        <w:spacing w:line="360" w:lineRule="auto"/>
        <w:ind w:right="49"/>
        <w:contextualSpacing/>
        <w:jc w:val="both"/>
        <w:rPr>
          <w:rFonts w:ascii="Palatino Linotype" w:eastAsiaTheme="minorEastAsia" w:hAnsi="Palatino Linotype"/>
          <w:lang w:eastAsia="es-ES"/>
        </w:rPr>
      </w:pPr>
    </w:p>
    <w:p w:rsidR="00262BA7" w:rsidRPr="00166794" w:rsidRDefault="00262BA7" w:rsidP="00262BA7">
      <w:pPr>
        <w:pStyle w:val="Ttulo1"/>
        <w:numPr>
          <w:ilvl w:val="0"/>
          <w:numId w:val="37"/>
        </w:numPr>
        <w:spacing w:before="0" w:line="360" w:lineRule="auto"/>
        <w:rPr>
          <w:rFonts w:ascii="Palatino Linotype" w:hAnsi="Palatino Linotype" w:cs="Times New Roman"/>
          <w:b/>
          <w:color w:val="000000" w:themeColor="text1"/>
          <w:sz w:val="24"/>
          <w:szCs w:val="24"/>
          <w:lang w:eastAsia="es-ES_tradnl"/>
        </w:rPr>
      </w:pPr>
      <w:bookmarkStart w:id="39" w:name="_Toc48135362"/>
      <w:bookmarkStart w:id="40" w:name="_Toc82017070"/>
      <w:bookmarkStart w:id="41" w:name="_Toc82537188"/>
      <w:bookmarkStart w:id="42" w:name="_Toc83830735"/>
      <w:bookmarkStart w:id="43" w:name="_Toc85112355"/>
      <w:r w:rsidRPr="00166794">
        <w:rPr>
          <w:rFonts w:ascii="Palatino Linotype" w:hAnsi="Palatino Linotype" w:cs="Times New Roman"/>
          <w:b/>
          <w:color w:val="000000" w:themeColor="text1"/>
          <w:sz w:val="24"/>
          <w:szCs w:val="24"/>
          <w:lang w:eastAsia="es-ES_tradnl"/>
        </w:rPr>
        <w:t>Nociones generales.</w:t>
      </w:r>
      <w:bookmarkEnd w:id="39"/>
      <w:bookmarkEnd w:id="40"/>
      <w:bookmarkEnd w:id="41"/>
      <w:bookmarkEnd w:id="42"/>
      <w:bookmarkEnd w:id="43"/>
      <w:r w:rsidRPr="00166794">
        <w:rPr>
          <w:rFonts w:ascii="Palatino Linotype" w:hAnsi="Palatino Linotype" w:cs="Times New Roman"/>
          <w:b/>
          <w:color w:val="000000" w:themeColor="text1"/>
          <w:sz w:val="24"/>
          <w:szCs w:val="24"/>
          <w:lang w:eastAsia="es-ES_tradnl"/>
        </w:rPr>
        <w:t xml:space="preserve"> </w:t>
      </w:r>
    </w:p>
    <w:p w:rsidR="00262BA7" w:rsidRPr="00166794" w:rsidRDefault="00262BA7" w:rsidP="00262BA7">
      <w:pPr>
        <w:pStyle w:val="Prrafodelista"/>
        <w:spacing w:line="360" w:lineRule="auto"/>
        <w:ind w:left="0" w:right="49"/>
        <w:jc w:val="both"/>
        <w:rPr>
          <w:rFonts w:ascii="Palatino Linotype" w:hAnsi="Palatino Linotype" w:cs="Arial"/>
          <w:color w:val="000000"/>
          <w:sz w:val="24"/>
        </w:rPr>
      </w:pPr>
    </w:p>
    <w:p w:rsidR="00AD078B" w:rsidRPr="00166794" w:rsidRDefault="00AD078B" w:rsidP="00695AFA">
      <w:pPr>
        <w:pStyle w:val="Prrafodelista"/>
        <w:numPr>
          <w:ilvl w:val="0"/>
          <w:numId w:val="1"/>
        </w:numPr>
        <w:spacing w:line="360" w:lineRule="auto"/>
        <w:ind w:right="49"/>
        <w:jc w:val="both"/>
        <w:rPr>
          <w:rFonts w:ascii="Palatino Linotype" w:hAnsi="Palatino Linotype" w:cs="Arial"/>
          <w:color w:val="000000"/>
          <w:sz w:val="24"/>
        </w:rPr>
      </w:pPr>
      <w:r w:rsidRPr="00166794">
        <w:rPr>
          <w:rFonts w:ascii="Palatino Linotype" w:hAnsi="Palatino Linotype" w:cs="Arial"/>
          <w:color w:val="000000"/>
          <w:sz w:val="24"/>
        </w:rPr>
        <w:t>Debe destacarse que, debido a la naturaleza de la información solicitada</w:t>
      </w:r>
      <w:r w:rsidRPr="00166794">
        <w:rPr>
          <w:rFonts w:ascii="Palatino Linotype" w:hAnsi="Palatino Linotype" w:cs="Arial"/>
          <w:b/>
          <w:color w:val="000000"/>
          <w:sz w:val="24"/>
        </w:rPr>
        <w:t xml:space="preserve">, </w:t>
      </w:r>
      <w:r w:rsidRPr="00166794">
        <w:rPr>
          <w:rFonts w:ascii="Palatino Linotype" w:hAnsi="Palatino Linotype" w:cs="Arial"/>
          <w:color w:val="000000"/>
          <w:sz w:val="24"/>
        </w:rPr>
        <w:t xml:space="preserve">eventualmente pudiera obrar datos personales susceptibles de protegerse, el </w:t>
      </w:r>
      <w:r w:rsidRPr="00166794">
        <w:rPr>
          <w:rFonts w:ascii="Palatino Linotype" w:hAnsi="Palatino Linotype" w:cs="Arial"/>
          <w:b/>
          <w:bCs/>
          <w:color w:val="000000"/>
          <w:sz w:val="24"/>
        </w:rPr>
        <w:lastRenderedPageBreak/>
        <w:t xml:space="preserve">Sujeto Obligado </w:t>
      </w:r>
      <w:r w:rsidRPr="00166794">
        <w:rPr>
          <w:rFonts w:ascii="Palatino Linotype" w:hAnsi="Palatino Linotype" w:cs="Arial"/>
          <w:color w:val="000000"/>
          <w:sz w:val="24"/>
        </w:rPr>
        <w:t xml:space="preserve">deberá de hacer la adecuada versión pública, protegiendo los datos que no son susceptibles de ser proporcionados. </w:t>
      </w:r>
    </w:p>
    <w:p w:rsidR="00AD078B" w:rsidRPr="00166794" w:rsidRDefault="00AD078B" w:rsidP="00AD078B">
      <w:pPr>
        <w:pStyle w:val="Prrafodelista"/>
        <w:spacing w:line="360" w:lineRule="auto"/>
        <w:ind w:left="0" w:right="49"/>
        <w:jc w:val="both"/>
        <w:rPr>
          <w:rFonts w:ascii="Palatino Linotype" w:hAnsi="Palatino Linotype" w:cs="Arial"/>
          <w:color w:val="000000"/>
          <w:sz w:val="24"/>
        </w:rPr>
      </w:pPr>
    </w:p>
    <w:p w:rsidR="00AD078B" w:rsidRPr="00166794" w:rsidRDefault="00AD078B" w:rsidP="00695AFA">
      <w:pPr>
        <w:numPr>
          <w:ilvl w:val="0"/>
          <w:numId w:val="1"/>
        </w:numPr>
        <w:spacing w:line="360" w:lineRule="auto"/>
        <w:ind w:right="49"/>
        <w:contextualSpacing/>
        <w:jc w:val="both"/>
        <w:rPr>
          <w:rFonts w:ascii="Palatino Linotype" w:hAnsi="Palatino Linotype" w:cs="Arial"/>
          <w:color w:val="000000"/>
        </w:rPr>
      </w:pPr>
      <w:r w:rsidRPr="00166794">
        <w:rPr>
          <w:rFonts w:ascii="Palatino Linotype" w:hAnsi="Palatino Linotype" w:cs="Arial"/>
          <w:color w:val="000000"/>
        </w:rPr>
        <w:t xml:space="preserve">No pasa desapercibido para este Órgano Garante que los </w:t>
      </w:r>
      <w:r w:rsidRPr="00166794">
        <w:rPr>
          <w:rFonts w:ascii="Palatino Linotype" w:hAnsi="Palatino Linotype" w:cs="Arial"/>
          <w:b/>
          <w:bCs/>
          <w:color w:val="000000"/>
        </w:rPr>
        <w:t xml:space="preserve">Sujetos Obligados </w:t>
      </w:r>
      <w:r w:rsidRPr="00166794">
        <w:rPr>
          <w:rFonts w:ascii="Palatino Linotype" w:hAnsi="Palatino Linotype" w:cs="Arial"/>
          <w:color w:val="000000"/>
        </w:rPr>
        <w:t>serán responsables de los datos personales en su posesión y que, en caso de localizarse datos concernientes a terceros, éstos no podrán difundir, distribuir o comercializar los datos personales.  Cabe destacar que, para la realización de la clasificación de la información, se deben seguir una serie de pasos y procedimientos, por lo que es menester reiterar los mismos:</w:t>
      </w:r>
    </w:p>
    <w:p w:rsidR="00AD078B" w:rsidRPr="00166794" w:rsidRDefault="00AD078B" w:rsidP="00AD078B">
      <w:pPr>
        <w:spacing w:line="360" w:lineRule="auto"/>
        <w:ind w:right="49"/>
        <w:contextualSpacing/>
        <w:jc w:val="both"/>
        <w:rPr>
          <w:rFonts w:ascii="Palatino Linotype" w:hAnsi="Palatino Linotype" w:cs="Arial"/>
          <w:color w:val="000000"/>
        </w:rPr>
      </w:pPr>
    </w:p>
    <w:tbl>
      <w:tblPr>
        <w:tblStyle w:val="Tablanormal1"/>
        <w:tblW w:w="0" w:type="auto"/>
        <w:tblLook w:val="04A0" w:firstRow="1" w:lastRow="0" w:firstColumn="1" w:lastColumn="0" w:noHBand="0" w:noVBand="1"/>
      </w:tblPr>
      <w:tblGrid>
        <w:gridCol w:w="1838"/>
        <w:gridCol w:w="6990"/>
      </w:tblGrid>
      <w:tr w:rsidR="00AD078B" w:rsidRPr="00166794" w:rsidTr="006B245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hideMark/>
          </w:tcPr>
          <w:p w:rsidR="00AD078B" w:rsidRPr="00166794" w:rsidRDefault="00AD078B" w:rsidP="006B2450">
            <w:pPr>
              <w:spacing w:line="360" w:lineRule="auto"/>
              <w:rPr>
                <w:rFonts w:ascii="Palatino Linotype" w:hAnsi="Palatino Linotype"/>
                <w:bCs w:val="0"/>
                <w:sz w:val="22"/>
              </w:rPr>
            </w:pPr>
            <w:r w:rsidRPr="00166794">
              <w:rPr>
                <w:rFonts w:ascii="Palatino Linotype" w:hAnsi="Palatino Linotype" w:cstheme="majorBidi"/>
                <w:bCs w:val="0"/>
                <w:sz w:val="22"/>
              </w:rPr>
              <w:t>a) Requisitos previos.</w:t>
            </w:r>
          </w:p>
        </w:tc>
        <w:tc>
          <w:tcPr>
            <w:tcW w:w="6990" w:type="dxa"/>
            <w:hideMark/>
          </w:tcPr>
          <w:p w:rsidR="00AD078B" w:rsidRPr="00166794" w:rsidRDefault="00AD078B" w:rsidP="006B2450">
            <w:pPr>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b w:val="0"/>
                <w:bCs w:val="0"/>
                <w:color w:val="000000"/>
                <w:sz w:val="22"/>
              </w:rPr>
            </w:pPr>
            <w:r w:rsidRPr="00166794">
              <w:rPr>
                <w:rFonts w:ascii="Palatino Linotype" w:hAnsi="Palatino Linotype" w:cs="Arial"/>
                <w:b w:val="0"/>
                <w:bCs w:val="0"/>
                <w:color w:val="000000"/>
                <w:sz w:val="22"/>
              </w:rPr>
              <w:t xml:space="preserve">Los artículos 100 y 122 de la Ley Estatal y de la Ley General, respectivamente, señalan que si los Sujetos Obligados determinan que la información actualiza alguno de los supuestos de clasificación, es deber de los titulares de las áreas proponer su clasificación y no del Comité de Transparencia. </w:t>
            </w:r>
          </w:p>
          <w:p w:rsidR="00AD078B" w:rsidRPr="00166794" w:rsidRDefault="00AD078B" w:rsidP="006B2450">
            <w:pPr>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b w:val="0"/>
                <w:bCs w:val="0"/>
                <w:color w:val="000000"/>
                <w:sz w:val="22"/>
              </w:rPr>
            </w:pPr>
            <w:r w:rsidRPr="00166794">
              <w:rPr>
                <w:rFonts w:ascii="Palatino Linotype" w:hAnsi="Palatino Linotype" w:cs="Arial"/>
                <w:b w:val="0"/>
                <w:bCs w:val="0"/>
                <w:color w:val="000000"/>
                <w:sz w:val="22"/>
              </w:rPr>
              <w:t>Al hacerlo tienen que precisar de qué información se trata, señalando el supuesto de clasificación (confidencialidad o reserva).</w:t>
            </w:r>
          </w:p>
          <w:p w:rsidR="00AD078B" w:rsidRPr="00166794" w:rsidRDefault="00AD078B" w:rsidP="006B2450">
            <w:pPr>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b w:val="0"/>
                <w:bCs w:val="0"/>
                <w:color w:val="000000"/>
                <w:sz w:val="22"/>
              </w:rPr>
            </w:pPr>
            <w:r w:rsidRPr="00166794">
              <w:rPr>
                <w:rFonts w:ascii="Palatino Linotype" w:hAnsi="Palatino Linotype" w:cs="Arial"/>
                <w:b w:val="0"/>
                <w:bCs w:val="0"/>
                <w:color w:val="000000"/>
                <w:sz w:val="22"/>
              </w:rPr>
              <w:t>Además, se debe señalar el procedimiento, de los tres que establecen los artículos 132 y 106 de la Ley Estatal y General, respectivamente.</w:t>
            </w:r>
          </w:p>
          <w:p w:rsidR="00AD078B" w:rsidRPr="00166794" w:rsidRDefault="00AD078B" w:rsidP="006B2450">
            <w:pPr>
              <w:spacing w:line="360" w:lineRule="auto"/>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sz w:val="22"/>
              </w:rPr>
            </w:pPr>
            <w:r w:rsidRPr="00166794">
              <w:rPr>
                <w:rFonts w:ascii="Palatino Linotype" w:hAnsi="Palatino Linotype" w:cs="Arial"/>
                <w:b w:val="0"/>
                <w:bCs w:val="0"/>
                <w:color w:val="000000"/>
                <w:sz w:val="22"/>
              </w:rPr>
              <w:t xml:space="preserve">El último de estos requisitos previos consiste en que no se pueden emitir acuerdos de carácter general ni particular, esto es, </w:t>
            </w:r>
            <w:r w:rsidRPr="00166794">
              <w:rPr>
                <w:rFonts w:ascii="Palatino Linotype" w:hAnsi="Palatino Linotype" w:cs="Arial"/>
                <w:b w:val="0"/>
                <w:bCs w:val="0"/>
                <w:color w:val="000000"/>
                <w:sz w:val="22"/>
                <w:u w:val="single"/>
              </w:rPr>
              <w:t>no se puede hacer un acuerdo para clasificar de manera general todos los documentos de un expediente o área, sin</w:t>
            </w:r>
            <w:r w:rsidRPr="00166794">
              <w:rPr>
                <w:rFonts w:ascii="Palatino Linotype" w:hAnsi="Palatino Linotype" w:cs="Arial"/>
                <w:b w:val="0"/>
                <w:bCs w:val="0"/>
                <w:color w:val="000000"/>
                <w:sz w:val="22"/>
              </w:rPr>
              <w:t xml:space="preserve"> individualizar su análisis y tampoco se puede hacer un acuerdo por cada dato que se vaya a clasificar dentro de un documento con diez datos, por ejemplo, susceptibles de ser clasificados.</w:t>
            </w:r>
          </w:p>
        </w:tc>
      </w:tr>
      <w:tr w:rsidR="00AD078B" w:rsidRPr="00166794" w:rsidTr="006B24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hideMark/>
          </w:tcPr>
          <w:p w:rsidR="00AD078B" w:rsidRPr="00166794" w:rsidRDefault="00AD078B" w:rsidP="006B2450">
            <w:pPr>
              <w:spacing w:line="360" w:lineRule="auto"/>
              <w:rPr>
                <w:rFonts w:ascii="Palatino Linotype" w:hAnsi="Palatino Linotype"/>
                <w:bCs w:val="0"/>
                <w:sz w:val="22"/>
              </w:rPr>
            </w:pPr>
            <w:r w:rsidRPr="00166794">
              <w:rPr>
                <w:rFonts w:ascii="Palatino Linotype" w:hAnsi="Palatino Linotype" w:cstheme="majorBidi"/>
                <w:bCs w:val="0"/>
                <w:sz w:val="22"/>
              </w:rPr>
              <w:lastRenderedPageBreak/>
              <w:t>b) Supuestos de clasificación.</w:t>
            </w:r>
          </w:p>
        </w:tc>
        <w:tc>
          <w:tcPr>
            <w:tcW w:w="6990" w:type="dxa"/>
            <w:hideMark/>
          </w:tcPr>
          <w:p w:rsidR="00AD078B" w:rsidRPr="00166794" w:rsidRDefault="00AD078B" w:rsidP="006B2450">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2"/>
              </w:rPr>
            </w:pPr>
            <w:r w:rsidRPr="00166794">
              <w:rPr>
                <w:rFonts w:ascii="Palatino Linotype" w:hAnsi="Palatino Linotype" w:cs="Arial"/>
                <w:color w:val="000000"/>
                <w:sz w:val="22"/>
              </w:rPr>
              <w:t>Las disposiciones constitucionales y legales en la materia establecen los dos supuestos generales para clasificar la información: por reserva y por confidencialidad.</w:t>
            </w:r>
          </w:p>
          <w:p w:rsidR="00AD078B" w:rsidRPr="00166794" w:rsidRDefault="00AD078B" w:rsidP="006B2450">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2"/>
              </w:rPr>
            </w:pPr>
            <w:r w:rsidRPr="00166794">
              <w:rPr>
                <w:rFonts w:ascii="Palatino Linotype" w:hAnsi="Palatino Linotype" w:cs="Arial"/>
                <w:color w:val="000000"/>
                <w:sz w:val="22"/>
              </w:rPr>
              <w:t>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rsidR="00AD078B" w:rsidRPr="00166794" w:rsidRDefault="00AD078B" w:rsidP="006B2450">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22"/>
              </w:rPr>
            </w:pPr>
            <w:r w:rsidRPr="00166794">
              <w:rPr>
                <w:rFonts w:ascii="Palatino Linotype" w:hAnsi="Palatino Linotype" w:cs="Arial"/>
                <w:color w:val="000000"/>
                <w:sz w:val="22"/>
              </w:rPr>
              <w:t xml:space="preserve">El </w:t>
            </w:r>
            <w:r w:rsidRPr="00166794">
              <w:rPr>
                <w:rFonts w:ascii="Palatino Linotype" w:hAnsi="Palatino Linotype" w:cs="Arial"/>
                <w:b/>
                <w:color w:val="000000"/>
                <w:sz w:val="22"/>
              </w:rPr>
              <w:t>Sujeto Obligado</w:t>
            </w:r>
            <w:r w:rsidRPr="00166794">
              <w:rPr>
                <w:rFonts w:ascii="Palatino Linotype" w:hAnsi="Palatino Linotype" w:cs="Arial"/>
                <w:color w:val="000000"/>
                <w:sz w:val="22"/>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AD078B" w:rsidRPr="00166794" w:rsidTr="006B2450">
        <w:tc>
          <w:tcPr>
            <w:cnfStyle w:val="001000000000" w:firstRow="0" w:lastRow="0" w:firstColumn="1" w:lastColumn="0" w:oddVBand="0" w:evenVBand="0" w:oddHBand="0" w:evenHBand="0" w:firstRowFirstColumn="0" w:firstRowLastColumn="0" w:lastRowFirstColumn="0" w:lastRowLastColumn="0"/>
            <w:tcW w:w="1838" w:type="dxa"/>
            <w:hideMark/>
          </w:tcPr>
          <w:p w:rsidR="00AD078B" w:rsidRPr="00166794" w:rsidRDefault="00AD078B" w:rsidP="006B2450">
            <w:pPr>
              <w:spacing w:line="360" w:lineRule="auto"/>
              <w:rPr>
                <w:rFonts w:ascii="Palatino Linotype" w:hAnsi="Palatino Linotype"/>
                <w:bCs w:val="0"/>
                <w:sz w:val="22"/>
              </w:rPr>
            </w:pPr>
            <w:r w:rsidRPr="00166794">
              <w:rPr>
                <w:rFonts w:ascii="Palatino Linotype" w:hAnsi="Palatino Linotype" w:cstheme="majorBidi"/>
                <w:bCs w:val="0"/>
                <w:sz w:val="22"/>
              </w:rPr>
              <w:t>c) Formalidades para emitir el acuerdo de clasificación.</w:t>
            </w:r>
          </w:p>
        </w:tc>
        <w:tc>
          <w:tcPr>
            <w:tcW w:w="6990" w:type="dxa"/>
            <w:hideMark/>
          </w:tcPr>
          <w:p w:rsidR="00AD078B" w:rsidRPr="00166794" w:rsidRDefault="00AD078B" w:rsidP="006B2450">
            <w:pPr>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2"/>
              </w:rPr>
            </w:pPr>
            <w:r w:rsidRPr="00166794">
              <w:rPr>
                <w:rFonts w:ascii="Palatino Linotype" w:hAnsi="Palatino Linotype" w:cs="Arial"/>
                <w:color w:val="000000"/>
                <w:sz w:val="22"/>
              </w:rPr>
              <w:t xml:space="preserve">El Comité de Transparencia, según lo dispuesto en los artículos cuenta con las facultades para aprobar, modificar o revocar la clasificación de la información que haya propuesto. </w:t>
            </w:r>
          </w:p>
          <w:p w:rsidR="00AD078B" w:rsidRPr="00166794" w:rsidRDefault="00AD078B" w:rsidP="006B2450">
            <w:pPr>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2"/>
              </w:rPr>
            </w:pPr>
            <w:r w:rsidRPr="00166794">
              <w:rPr>
                <w:rFonts w:ascii="Palatino Linotype" w:hAnsi="Palatino Linotype" w:cs="Arial"/>
                <w:color w:val="000000"/>
                <w:sz w:val="22"/>
              </w:rPr>
              <w:t xml:space="preserve">Es necesario que </w:t>
            </w:r>
            <w:r w:rsidRPr="00166794">
              <w:rPr>
                <w:rFonts w:ascii="Palatino Linotype" w:hAnsi="Palatino Linotype" w:cs="Arial"/>
                <w:b/>
                <w:color w:val="000000"/>
                <w:sz w:val="22"/>
                <w:u w:val="single"/>
              </w:rPr>
              <w:t>el acto reúna con los requisitos elementales</w:t>
            </w:r>
            <w:r w:rsidRPr="00166794">
              <w:rPr>
                <w:rFonts w:ascii="Palatino Linotype" w:hAnsi="Palatino Linotype" w:cs="Arial"/>
                <w:color w:val="000000"/>
                <w:sz w:val="22"/>
              </w:rPr>
              <w:t>, entre ellos, que la autoridad que va a emitir el acto de autoridad sea la legalmente facultada para ello.</w:t>
            </w:r>
          </w:p>
          <w:p w:rsidR="00AD078B" w:rsidRPr="00166794" w:rsidRDefault="00AD078B" w:rsidP="006B2450">
            <w:pPr>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22"/>
              </w:rPr>
            </w:pPr>
            <w:r w:rsidRPr="00166794">
              <w:rPr>
                <w:rFonts w:ascii="Palatino Linotype" w:hAnsi="Palatino Linotype" w:cs="Arial"/>
                <w:color w:val="000000"/>
                <w:sz w:val="22"/>
              </w:rPr>
              <w:t xml:space="preserve">La decisión de aprobar, modificar o revocar la clasificación deberá de asentarse en un documento que registre la determinación a la que se llegue después de un análisis minucioso a partir de lo propuesto por el Titular del I. área que administra la información, cuyo análisis debe </w:t>
            </w:r>
            <w:r w:rsidRPr="00166794">
              <w:rPr>
                <w:rFonts w:ascii="Palatino Linotype" w:hAnsi="Palatino Linotype" w:cs="Arial"/>
                <w:color w:val="000000"/>
                <w:sz w:val="22"/>
              </w:rPr>
              <w:lastRenderedPageBreak/>
              <w:t>integrarse en la agenda de los asuntos a tratar en las sesiones, se insiste, a partir de las decisiones adoptadas previamente por los titulares de áreas y que son sujetas a control, en primera instancia, por el Comité de Transparencia.</w:t>
            </w:r>
          </w:p>
        </w:tc>
      </w:tr>
      <w:tr w:rsidR="00AD078B" w:rsidRPr="00166794" w:rsidTr="006B24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rsidR="00AD078B" w:rsidRPr="00166794" w:rsidRDefault="00AD078B" w:rsidP="006B2450">
            <w:pPr>
              <w:spacing w:line="360" w:lineRule="auto"/>
              <w:rPr>
                <w:rFonts w:ascii="Palatino Linotype" w:hAnsi="Palatino Linotype"/>
                <w:b w:val="0"/>
                <w:sz w:val="22"/>
              </w:rPr>
            </w:pPr>
          </w:p>
          <w:p w:rsidR="00AD078B" w:rsidRPr="00166794" w:rsidRDefault="00AD078B" w:rsidP="006B2450">
            <w:pPr>
              <w:spacing w:line="360" w:lineRule="auto"/>
              <w:jc w:val="both"/>
              <w:rPr>
                <w:rFonts w:ascii="Palatino Linotype" w:hAnsi="Palatino Linotype"/>
                <w:bCs w:val="0"/>
                <w:sz w:val="22"/>
              </w:rPr>
            </w:pPr>
            <w:r w:rsidRPr="00166794">
              <w:rPr>
                <w:rFonts w:ascii="Palatino Linotype" w:hAnsi="Palatino Linotype" w:cs="Arial"/>
                <w:bCs w:val="0"/>
                <w:color w:val="000000"/>
                <w:sz w:val="22"/>
              </w:rPr>
              <w:t xml:space="preserve">d) Requisitos de fondo del acuerdo de clasificación. </w:t>
            </w:r>
          </w:p>
        </w:tc>
        <w:tc>
          <w:tcPr>
            <w:tcW w:w="6990" w:type="dxa"/>
            <w:hideMark/>
          </w:tcPr>
          <w:p w:rsidR="00AD078B" w:rsidRPr="00166794" w:rsidRDefault="00AD078B" w:rsidP="006B2450">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2"/>
              </w:rPr>
            </w:pPr>
            <w:r w:rsidRPr="00166794">
              <w:rPr>
                <w:rFonts w:ascii="Palatino Linotype" w:hAnsi="Palatino Linotype" w:cs="Arial"/>
                <w:color w:val="000000"/>
                <w:sz w:val="22"/>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RPr="00166794">
              <w:rPr>
                <w:rFonts w:ascii="Palatino Linotype" w:hAnsi="Palatino Linotype" w:cs="Arial"/>
                <w:b/>
                <w:color w:val="000000"/>
                <w:sz w:val="22"/>
              </w:rPr>
              <w:t>Sujetos Obligados</w:t>
            </w:r>
            <w:r w:rsidRPr="00166794">
              <w:rPr>
                <w:rFonts w:ascii="Palatino Linotype" w:hAnsi="Palatino Linotype" w:cs="Arial"/>
                <w:color w:val="000000"/>
                <w:sz w:val="22"/>
              </w:rPr>
              <w:t xml:space="preserve">, por lo que deberán fundar y motivar debidamente la clasificación. </w:t>
            </w:r>
          </w:p>
          <w:p w:rsidR="00AD078B" w:rsidRPr="00166794" w:rsidRDefault="00AD078B" w:rsidP="006B2450">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2"/>
              </w:rPr>
            </w:pPr>
            <w:r w:rsidRPr="00166794">
              <w:rPr>
                <w:rFonts w:ascii="Palatino Linotype" w:hAnsi="Palatino Linotype" w:cs="Arial"/>
                <w:color w:val="000000"/>
                <w:sz w:val="22"/>
              </w:rPr>
              <w:t xml:space="preserve">De lo anterior, se desprende que para una correcta </w:t>
            </w:r>
            <w:r w:rsidRPr="00166794">
              <w:rPr>
                <w:rFonts w:ascii="Palatino Linotype" w:hAnsi="Palatino Linotype" w:cs="Arial"/>
                <w:b/>
                <w:color w:val="000000"/>
                <w:sz w:val="22"/>
              </w:rPr>
              <w:t>clasificación total o parcial</w:t>
            </w:r>
            <w:r w:rsidRPr="00166794">
              <w:rPr>
                <w:rFonts w:ascii="Palatino Linotype" w:hAnsi="Palatino Linotype" w:cs="Arial"/>
                <w:color w:val="000000"/>
                <w:sz w:val="22"/>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rsidR="00AD078B" w:rsidRPr="00166794" w:rsidRDefault="00AD078B" w:rsidP="006B2450">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2"/>
              </w:rPr>
            </w:pPr>
            <w:r w:rsidRPr="00166794">
              <w:rPr>
                <w:rFonts w:ascii="Palatino Linotype" w:hAnsi="Palatino Linotype" w:cs="Arial"/>
                <w:color w:val="000000"/>
                <w:sz w:val="22"/>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rsidR="00AD078B" w:rsidRPr="00166794" w:rsidRDefault="00AD078B" w:rsidP="006B2450">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2"/>
              </w:rPr>
            </w:pPr>
            <w:r w:rsidRPr="00166794">
              <w:rPr>
                <w:rFonts w:ascii="Palatino Linotype" w:hAnsi="Palatino Linotype" w:cs="Arial"/>
                <w:color w:val="000000"/>
                <w:sz w:val="22"/>
              </w:rPr>
              <w:lastRenderedPageBreak/>
              <w:t>En ese mismo sentido, el numeral trigésimo tercero fracción V de los Lineamientos Generales, precisa que para motivar la clasificación se deben acreditar las circunstancias de tiempo, modo y lugar.</w:t>
            </w:r>
          </w:p>
          <w:p w:rsidR="00AD078B" w:rsidRPr="00166794" w:rsidRDefault="00AD078B" w:rsidP="006B2450">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2"/>
              </w:rPr>
            </w:pPr>
            <w:r w:rsidRPr="00166794">
              <w:rPr>
                <w:rFonts w:ascii="Palatino Linotype" w:hAnsi="Palatino Linotype" w:cs="Arial"/>
                <w:color w:val="000000"/>
                <w:sz w:val="22"/>
              </w:rPr>
              <w:t xml:space="preserve">Ahora bien, </w:t>
            </w:r>
            <w:r w:rsidRPr="00166794">
              <w:rPr>
                <w:rFonts w:ascii="Palatino Linotype" w:hAnsi="Palatino Linotype" w:cs="Arial"/>
                <w:b/>
                <w:color w:val="000000"/>
                <w:sz w:val="22"/>
                <w:u w:val="single"/>
              </w:rPr>
              <w:t>para cada caso además de fundar y motivar</w:t>
            </w:r>
            <w:r w:rsidRPr="00166794">
              <w:rPr>
                <w:rFonts w:ascii="Palatino Linotype" w:hAnsi="Palatino Linotype" w:cs="Arial"/>
                <w:color w:val="000000"/>
                <w:sz w:val="22"/>
              </w:rPr>
              <w:t xml:space="preserve">, se debe identificar con claridad que datos contenidos en las documentales que son susceptibles de suprimirse, por ejemplo; </w:t>
            </w:r>
            <w:r w:rsidRPr="00166794">
              <w:rPr>
                <w:rFonts w:ascii="Palatino Linotype" w:hAnsi="Palatino Linotype" w:cs="Arial"/>
                <w:color w:val="000000"/>
                <w:sz w:val="22"/>
                <w:lang w:val="es-ES"/>
              </w:rPr>
              <w:t>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AD078B" w:rsidRPr="00166794" w:rsidTr="006B2450">
        <w:tc>
          <w:tcPr>
            <w:cnfStyle w:val="001000000000" w:firstRow="0" w:lastRow="0" w:firstColumn="1" w:lastColumn="0" w:oddVBand="0" w:evenVBand="0" w:oddHBand="0" w:evenHBand="0" w:firstRowFirstColumn="0" w:firstRowLastColumn="0" w:lastRowFirstColumn="0" w:lastRowLastColumn="0"/>
            <w:tcW w:w="1838" w:type="dxa"/>
          </w:tcPr>
          <w:p w:rsidR="00AD078B" w:rsidRPr="00166794" w:rsidRDefault="00AD078B" w:rsidP="006B2450">
            <w:pPr>
              <w:spacing w:line="360" w:lineRule="auto"/>
              <w:ind w:right="49"/>
              <w:jc w:val="both"/>
              <w:rPr>
                <w:rFonts w:ascii="Palatino Linotype" w:hAnsi="Palatino Linotype" w:cs="Arial"/>
                <w:bCs w:val="0"/>
                <w:sz w:val="22"/>
              </w:rPr>
            </w:pPr>
            <w:r w:rsidRPr="00166794">
              <w:rPr>
                <w:rFonts w:ascii="Palatino Linotype" w:eastAsia="MS Gothic" w:hAnsi="Palatino Linotype"/>
                <w:b w:val="0"/>
                <w:sz w:val="22"/>
              </w:rPr>
              <w:lastRenderedPageBreak/>
              <w:t>e</w:t>
            </w:r>
            <w:r w:rsidRPr="00166794">
              <w:rPr>
                <w:rFonts w:ascii="Palatino Linotype" w:eastAsia="MS Gothic" w:hAnsi="Palatino Linotype"/>
                <w:bCs w:val="0"/>
                <w:sz w:val="22"/>
              </w:rPr>
              <w:t xml:space="preserve">) Condiciones especiales de la clasificación de la información como confidencial. </w:t>
            </w:r>
          </w:p>
        </w:tc>
        <w:tc>
          <w:tcPr>
            <w:tcW w:w="6990" w:type="dxa"/>
            <w:hideMark/>
          </w:tcPr>
          <w:p w:rsidR="00AD078B" w:rsidRPr="00166794" w:rsidRDefault="00AD078B" w:rsidP="006B2450">
            <w:pPr>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2"/>
              </w:rPr>
            </w:pPr>
            <w:r w:rsidRPr="00166794">
              <w:rPr>
                <w:rFonts w:ascii="Palatino Linotype" w:hAnsi="Palatino Linotype" w:cs="Arial"/>
                <w:color w:val="000000"/>
                <w:sz w:val="22"/>
              </w:rPr>
              <w:t xml:space="preserve">Los artículos 148 y 120 de la Ley Estatal y de la Ley General, respectivamente, establecen que aun tratándose de datos personales, se podrán proporcionar, incluso sin solicitar el consentimiento de su titular. </w:t>
            </w:r>
          </w:p>
          <w:p w:rsidR="00AD078B" w:rsidRPr="00166794" w:rsidRDefault="00AD078B" w:rsidP="006B2450">
            <w:pPr>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2"/>
              </w:rPr>
            </w:pPr>
            <w:r w:rsidRPr="00166794">
              <w:rPr>
                <w:rFonts w:ascii="Palatino Linotype" w:hAnsi="Palatino Linotype" w:cs="Arial"/>
                <w:color w:val="000000"/>
                <w:sz w:val="22"/>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rsidR="00AD078B" w:rsidRPr="00166794" w:rsidRDefault="00AD078B" w:rsidP="006B2450">
            <w:pPr>
              <w:spacing w:line="360" w:lineRule="auto"/>
              <w:cnfStyle w:val="000000000000" w:firstRow="0" w:lastRow="0" w:firstColumn="0" w:lastColumn="0" w:oddVBand="0" w:evenVBand="0" w:oddHBand="0" w:evenHBand="0" w:firstRowFirstColumn="0" w:firstRowLastColumn="0" w:lastRowFirstColumn="0" w:lastRowLastColumn="0"/>
              <w:rPr>
                <w:rFonts w:ascii="Palatino Linotype" w:hAnsi="Palatino Linotype"/>
                <w:sz w:val="22"/>
              </w:rPr>
            </w:pPr>
            <w:r w:rsidRPr="00166794">
              <w:rPr>
                <w:rFonts w:ascii="Palatino Linotype" w:hAnsi="Palatino Linotype" w:cs="Arial"/>
                <w:color w:val="000000"/>
                <w:sz w:val="22"/>
              </w:rPr>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rsidR="00AD078B" w:rsidRPr="00166794" w:rsidRDefault="00AD078B" w:rsidP="00AD078B">
      <w:pPr>
        <w:spacing w:line="360" w:lineRule="auto"/>
        <w:ind w:right="49"/>
        <w:contextualSpacing/>
        <w:jc w:val="both"/>
        <w:rPr>
          <w:rFonts w:ascii="Palatino Linotype" w:hAnsi="Palatino Linotype" w:cs="Arial"/>
          <w:color w:val="000000"/>
        </w:rPr>
      </w:pPr>
    </w:p>
    <w:p w:rsidR="00F720E4" w:rsidRPr="00166794" w:rsidRDefault="00AD078B" w:rsidP="00695AFA">
      <w:pPr>
        <w:pStyle w:val="Prrafodelista"/>
        <w:numPr>
          <w:ilvl w:val="0"/>
          <w:numId w:val="1"/>
        </w:numPr>
        <w:shd w:val="clear" w:color="auto" w:fill="FFFFFF"/>
        <w:spacing w:line="360" w:lineRule="auto"/>
        <w:jc w:val="both"/>
        <w:rPr>
          <w:rFonts w:ascii="Palatino Linotype" w:hAnsi="Palatino Linotype" w:cs="Arial"/>
          <w:sz w:val="24"/>
        </w:rPr>
      </w:pPr>
      <w:r w:rsidRPr="00166794">
        <w:rPr>
          <w:rFonts w:ascii="Palatino Linotype" w:hAnsi="Palatino Linotype" w:cs="Arial"/>
          <w:sz w:val="24"/>
          <w:lang w:eastAsia="en-US"/>
        </w:rPr>
        <w:t xml:space="preserve">Si el servidor público incumple con estas formalidades y entrega la información sin proteger los datos personales incumple con lo que estipula las disposiciones </w:t>
      </w:r>
      <w:r w:rsidRPr="00166794">
        <w:rPr>
          <w:rFonts w:ascii="Palatino Linotype" w:hAnsi="Palatino Linotype" w:cs="Arial"/>
          <w:sz w:val="24"/>
          <w:lang w:eastAsia="en-US"/>
        </w:rPr>
        <w:lastRenderedPageBreak/>
        <w:t>legales establecidas, asimismo que si entrega un documento testado sin el debido acuerdo de clasificación.</w:t>
      </w:r>
    </w:p>
    <w:p w:rsidR="00D771ED" w:rsidRPr="00166794" w:rsidRDefault="00D771ED" w:rsidP="00F720E4">
      <w:pPr>
        <w:pStyle w:val="Prrafodelista"/>
        <w:shd w:val="clear" w:color="auto" w:fill="FFFFFF"/>
        <w:spacing w:line="360" w:lineRule="auto"/>
        <w:ind w:left="0"/>
        <w:jc w:val="both"/>
        <w:rPr>
          <w:rFonts w:ascii="Palatino Linotype" w:hAnsi="Palatino Linotype" w:cs="Arial"/>
          <w:sz w:val="24"/>
        </w:rPr>
      </w:pPr>
    </w:p>
    <w:p w:rsidR="00C02C47" w:rsidRPr="00166794" w:rsidRDefault="00D771ED" w:rsidP="00695AFA">
      <w:pPr>
        <w:pStyle w:val="Sinespaciado"/>
        <w:numPr>
          <w:ilvl w:val="0"/>
          <w:numId w:val="1"/>
        </w:numPr>
        <w:spacing w:line="360" w:lineRule="auto"/>
        <w:contextualSpacing/>
        <w:jc w:val="both"/>
        <w:rPr>
          <w:rFonts w:ascii="Palatino Linotype" w:eastAsia="Calibri" w:hAnsi="Palatino Linotype"/>
          <w:sz w:val="24"/>
        </w:rPr>
      </w:pPr>
      <w:r w:rsidRPr="00166794">
        <w:rPr>
          <w:rFonts w:ascii="Palatino Linotype" w:eastAsia="Calibri" w:hAnsi="Palatino Linotype"/>
          <w:sz w:val="24"/>
        </w:rPr>
        <w:t xml:space="preserve">Por lo anteriormente expuesto y fundado, este </w:t>
      </w:r>
      <w:r w:rsidRPr="00166794">
        <w:rPr>
          <w:rFonts w:ascii="Palatino Linotype" w:eastAsia="Calibri" w:hAnsi="Palatino Linotype"/>
          <w:b/>
          <w:bCs/>
          <w:sz w:val="24"/>
        </w:rPr>
        <w:t>ÓRGANO GARANTE</w:t>
      </w:r>
      <w:r w:rsidRPr="00166794">
        <w:rPr>
          <w:rFonts w:ascii="Palatino Linotype" w:eastAsia="Calibri" w:hAnsi="Palatino Linotype"/>
          <w:sz w:val="24"/>
        </w:rPr>
        <w:t xml:space="preserve"> emite los siguientes:</w:t>
      </w:r>
    </w:p>
    <w:p w:rsidR="00C02C47" w:rsidRPr="00166794" w:rsidRDefault="00C02C47" w:rsidP="009B6FD5">
      <w:pPr>
        <w:spacing w:line="360" w:lineRule="auto"/>
        <w:contextualSpacing/>
        <w:jc w:val="both"/>
        <w:rPr>
          <w:rFonts w:ascii="Palatino Linotype" w:eastAsia="Calibri" w:hAnsi="Palatino Linotype"/>
        </w:rPr>
      </w:pPr>
    </w:p>
    <w:p w:rsidR="00D771ED" w:rsidRPr="00166794" w:rsidRDefault="00D771ED" w:rsidP="009B6FD5">
      <w:pPr>
        <w:keepNext/>
        <w:keepLines/>
        <w:spacing w:line="360" w:lineRule="auto"/>
        <w:jc w:val="center"/>
        <w:outlineLvl w:val="0"/>
        <w:rPr>
          <w:rFonts w:ascii="Palatino Linotype" w:eastAsiaTheme="majorEastAsia" w:hAnsi="Palatino Linotype" w:cstheme="majorBidi"/>
          <w:b/>
          <w:color w:val="000000" w:themeColor="text1"/>
          <w:lang w:eastAsia="en-US"/>
        </w:rPr>
      </w:pPr>
      <w:bookmarkStart w:id="44" w:name="_Toc528153792"/>
      <w:bookmarkStart w:id="45" w:name="_Toc71158406"/>
      <w:bookmarkStart w:id="46" w:name="_Toc83301643"/>
      <w:r w:rsidRPr="00166794">
        <w:rPr>
          <w:rFonts w:ascii="Palatino Linotype" w:eastAsiaTheme="majorEastAsia" w:hAnsi="Palatino Linotype" w:cstheme="majorBidi"/>
          <w:b/>
          <w:color w:val="000000" w:themeColor="text1"/>
          <w:lang w:eastAsia="en-US"/>
        </w:rPr>
        <w:t>R E S O L U T I V O S</w:t>
      </w:r>
      <w:bookmarkEnd w:id="44"/>
      <w:bookmarkEnd w:id="45"/>
      <w:bookmarkEnd w:id="46"/>
    </w:p>
    <w:p w:rsidR="00D771ED" w:rsidRPr="00166794" w:rsidRDefault="00D771ED" w:rsidP="009B6FD5">
      <w:pPr>
        <w:keepNext/>
        <w:keepLines/>
        <w:spacing w:line="360" w:lineRule="auto"/>
        <w:jc w:val="center"/>
        <w:outlineLvl w:val="0"/>
        <w:rPr>
          <w:rFonts w:ascii="Palatino Linotype" w:eastAsiaTheme="majorEastAsia" w:hAnsi="Palatino Linotype" w:cstheme="majorBidi"/>
          <w:b/>
          <w:color w:val="000000" w:themeColor="text1"/>
          <w:lang w:eastAsia="en-US"/>
        </w:rPr>
      </w:pPr>
    </w:p>
    <w:bookmarkEnd w:id="7"/>
    <w:bookmarkEnd w:id="8"/>
    <w:bookmarkEnd w:id="9"/>
    <w:p w:rsidR="00D771ED" w:rsidRPr="00166794" w:rsidRDefault="00D771ED" w:rsidP="009B6FD5">
      <w:pPr>
        <w:spacing w:line="360" w:lineRule="auto"/>
        <w:ind w:right="48"/>
        <w:jc w:val="both"/>
        <w:rPr>
          <w:rFonts w:ascii="Palatino Linotype" w:hAnsi="Palatino Linotype" w:cs="Arial"/>
          <w:bCs/>
        </w:rPr>
      </w:pPr>
      <w:r w:rsidRPr="00166794">
        <w:rPr>
          <w:rFonts w:ascii="Palatino Linotype" w:hAnsi="Palatino Linotype" w:cs="Arial"/>
          <w:b/>
        </w:rPr>
        <w:t xml:space="preserve">PRIMERO. </w:t>
      </w:r>
      <w:r w:rsidR="00675D3E" w:rsidRPr="00166794">
        <w:rPr>
          <w:rFonts w:ascii="Palatino Linotype" w:hAnsi="Palatino Linotype" w:cs="Arial"/>
        </w:rPr>
        <w:t>Resultan</w:t>
      </w:r>
      <w:r w:rsidR="00787C4C" w:rsidRPr="00166794">
        <w:rPr>
          <w:rFonts w:ascii="Palatino Linotype" w:hAnsi="Palatino Linotype" w:cs="Arial"/>
        </w:rPr>
        <w:t xml:space="preserve"> </w:t>
      </w:r>
      <w:r w:rsidRPr="00166794">
        <w:rPr>
          <w:rFonts w:ascii="Palatino Linotype" w:hAnsi="Palatino Linotype" w:cs="Arial"/>
        </w:rPr>
        <w:t>fundadas las</w:t>
      </w:r>
      <w:r w:rsidRPr="00166794">
        <w:rPr>
          <w:rFonts w:ascii="Palatino Linotype" w:hAnsi="Palatino Linotype" w:cs="Arial"/>
          <w:b/>
        </w:rPr>
        <w:t xml:space="preserve"> </w:t>
      </w:r>
      <w:r w:rsidRPr="00166794">
        <w:rPr>
          <w:rFonts w:ascii="Palatino Linotype" w:hAnsi="Palatino Linotype" w:cs="Arial"/>
          <w:lang w:val="es-ES"/>
        </w:rPr>
        <w:t xml:space="preserve">razones o motivos de inconformidad hechos valer </w:t>
      </w:r>
      <w:r w:rsidRPr="00166794">
        <w:rPr>
          <w:rFonts w:ascii="Palatino Linotype" w:eastAsia="Calibri" w:hAnsi="Palatino Linotype" w:cs="Arial"/>
          <w:lang w:val="es-ES"/>
        </w:rPr>
        <w:t xml:space="preserve">en el recurso de revisión </w:t>
      </w:r>
      <w:r w:rsidR="00BD29D8" w:rsidRPr="00166794">
        <w:rPr>
          <w:rFonts w:ascii="Palatino Linotype" w:hAnsi="Palatino Linotype" w:cs="Arial"/>
          <w:b/>
          <w:bCs/>
        </w:rPr>
        <w:t>14623</w:t>
      </w:r>
      <w:r w:rsidR="005D445E" w:rsidRPr="00166794">
        <w:rPr>
          <w:rFonts w:ascii="Palatino Linotype" w:hAnsi="Palatino Linotype" w:cs="Arial"/>
          <w:b/>
          <w:bCs/>
        </w:rPr>
        <w:t>/INFOEM/IP/RR/2022</w:t>
      </w:r>
      <w:r w:rsidRPr="00166794">
        <w:rPr>
          <w:rFonts w:ascii="Palatino Linotype" w:hAnsi="Palatino Linotype" w:cs="Arial"/>
          <w:b/>
          <w:bCs/>
        </w:rPr>
        <w:t xml:space="preserve">, </w:t>
      </w:r>
      <w:r w:rsidRPr="00166794">
        <w:rPr>
          <w:rFonts w:ascii="Palatino Linotype" w:hAnsi="Palatino Linotype" w:cs="Arial"/>
          <w:bCs/>
        </w:rPr>
        <w:t xml:space="preserve">en términos del </w:t>
      </w:r>
      <w:r w:rsidRPr="00166794">
        <w:rPr>
          <w:rFonts w:ascii="Palatino Linotype" w:hAnsi="Palatino Linotype" w:cs="Arial"/>
          <w:b/>
          <w:bCs/>
        </w:rPr>
        <w:t>Considerando</w:t>
      </w:r>
      <w:r w:rsidRPr="00166794">
        <w:rPr>
          <w:rFonts w:ascii="Palatino Linotype" w:hAnsi="Palatino Linotype" w:cs="Arial"/>
          <w:bCs/>
        </w:rPr>
        <w:t xml:space="preserve"> </w:t>
      </w:r>
      <w:r w:rsidR="00F720E4" w:rsidRPr="00166794">
        <w:rPr>
          <w:rFonts w:ascii="Palatino Linotype" w:hAnsi="Palatino Linotype" w:cs="Arial"/>
          <w:b/>
          <w:bCs/>
        </w:rPr>
        <w:t>CUARTO Y QUINTO</w:t>
      </w:r>
      <w:r w:rsidRPr="00166794">
        <w:rPr>
          <w:rFonts w:ascii="Palatino Linotype" w:hAnsi="Palatino Linotype" w:cs="Arial"/>
          <w:b/>
          <w:bCs/>
        </w:rPr>
        <w:t xml:space="preserve">  </w:t>
      </w:r>
      <w:r w:rsidRPr="00166794">
        <w:rPr>
          <w:rFonts w:ascii="Palatino Linotype" w:hAnsi="Palatino Linotype" w:cs="Arial"/>
          <w:bCs/>
        </w:rPr>
        <w:t>de la presente resolución.</w:t>
      </w:r>
    </w:p>
    <w:p w:rsidR="00D771ED" w:rsidRPr="00166794" w:rsidRDefault="00D771ED" w:rsidP="009B6FD5">
      <w:pPr>
        <w:spacing w:line="360" w:lineRule="auto"/>
        <w:ind w:right="48"/>
        <w:jc w:val="both"/>
        <w:rPr>
          <w:rFonts w:ascii="Palatino Linotype" w:hAnsi="Palatino Linotype" w:cs="Arial"/>
          <w:bCs/>
        </w:rPr>
      </w:pPr>
    </w:p>
    <w:p w:rsidR="00624906" w:rsidRPr="00166794" w:rsidRDefault="00D771ED" w:rsidP="009B6FD5">
      <w:pPr>
        <w:spacing w:line="360" w:lineRule="auto"/>
        <w:ind w:right="48"/>
        <w:jc w:val="both"/>
        <w:rPr>
          <w:rFonts w:ascii="Palatino Linotype" w:hAnsi="Palatino Linotype" w:cs="Arial"/>
          <w:bCs/>
        </w:rPr>
      </w:pPr>
      <w:bookmarkStart w:id="47" w:name="_Toc477891768"/>
      <w:bookmarkStart w:id="48" w:name="_Toc477891858"/>
      <w:bookmarkStart w:id="49" w:name="_Toc481576259"/>
      <w:bookmarkStart w:id="50" w:name="_Toc492590391"/>
      <w:bookmarkStart w:id="51" w:name="_Toc462653937"/>
      <w:bookmarkStart w:id="52" w:name="_Toc453696502"/>
      <w:bookmarkStart w:id="53" w:name="_Toc454301155"/>
      <w:r w:rsidRPr="00166794">
        <w:rPr>
          <w:rFonts w:ascii="Palatino Linotype" w:hAnsi="Palatino Linotype"/>
          <w:b/>
        </w:rPr>
        <w:t>SEGUNDO.</w:t>
      </w:r>
      <w:r w:rsidRPr="00166794">
        <w:rPr>
          <w:rStyle w:val="Ttulo2Car"/>
          <w:rFonts w:ascii="Palatino Linotype" w:hAnsi="Palatino Linotype"/>
          <w:sz w:val="28"/>
        </w:rPr>
        <w:t xml:space="preserve"> </w:t>
      </w:r>
      <w:bookmarkEnd w:id="47"/>
      <w:bookmarkEnd w:id="48"/>
      <w:bookmarkEnd w:id="49"/>
      <w:bookmarkEnd w:id="50"/>
      <w:bookmarkEnd w:id="51"/>
      <w:bookmarkEnd w:id="52"/>
      <w:bookmarkEnd w:id="53"/>
      <w:r w:rsidRPr="00166794">
        <w:rPr>
          <w:rFonts w:ascii="Palatino Linotype" w:eastAsia="Calibri" w:hAnsi="Palatino Linotype" w:cs="Arial"/>
          <w:lang w:val="es-ES"/>
        </w:rPr>
        <w:t>Se</w:t>
      </w:r>
      <w:r w:rsidR="005B0948" w:rsidRPr="00166794">
        <w:rPr>
          <w:rFonts w:ascii="Palatino Linotype" w:eastAsia="Calibri" w:hAnsi="Palatino Linotype" w:cs="Arial"/>
          <w:b/>
          <w:lang w:val="es-ES"/>
        </w:rPr>
        <w:t xml:space="preserve"> REVOCA</w:t>
      </w:r>
      <w:r w:rsidRPr="00166794">
        <w:rPr>
          <w:rFonts w:ascii="Palatino Linotype" w:eastAsia="Calibri" w:hAnsi="Palatino Linotype" w:cs="Arial"/>
          <w:b/>
          <w:lang w:val="es-ES"/>
        </w:rPr>
        <w:t xml:space="preserve"> </w:t>
      </w:r>
      <w:r w:rsidR="00464213" w:rsidRPr="00166794">
        <w:rPr>
          <w:rFonts w:ascii="Palatino Linotype" w:eastAsia="Calibri" w:hAnsi="Palatino Linotype" w:cs="Arial"/>
          <w:lang w:val="es-ES"/>
        </w:rPr>
        <w:t>la respuesta emitida por el</w:t>
      </w:r>
      <w:r w:rsidRPr="00166794">
        <w:rPr>
          <w:rFonts w:ascii="Palatino Linotype" w:eastAsia="Calibri" w:hAnsi="Palatino Linotype" w:cs="Arial"/>
          <w:lang w:val="es-ES"/>
        </w:rPr>
        <w:t xml:space="preserve"> </w:t>
      </w:r>
      <w:r w:rsidR="00675D3E" w:rsidRPr="00166794">
        <w:rPr>
          <w:rFonts w:ascii="Palatino Linotype" w:hAnsi="Palatino Linotype" w:cs="Arial"/>
          <w:b/>
        </w:rPr>
        <w:t>Ayu</w:t>
      </w:r>
      <w:r w:rsidR="00BD29D8" w:rsidRPr="00166794">
        <w:rPr>
          <w:rFonts w:ascii="Palatino Linotype" w:hAnsi="Palatino Linotype" w:cs="Arial"/>
          <w:b/>
        </w:rPr>
        <w:t>ntamiento de Tlalnepantla de Baz</w:t>
      </w:r>
      <w:r w:rsidR="00F720E4" w:rsidRPr="00166794">
        <w:rPr>
          <w:rFonts w:ascii="Palatino Linotype" w:hAnsi="Palatino Linotype" w:cs="Arial"/>
          <w:b/>
        </w:rPr>
        <w:t xml:space="preserve"> </w:t>
      </w:r>
      <w:r w:rsidRPr="00166794">
        <w:rPr>
          <w:rFonts w:ascii="Palatino Linotype" w:eastAsia="Calibri" w:hAnsi="Palatino Linotype" w:cs="Arial"/>
          <w:lang w:val="es-ES"/>
        </w:rPr>
        <w:t>y se</w:t>
      </w:r>
      <w:r w:rsidRPr="00166794">
        <w:rPr>
          <w:rFonts w:ascii="Palatino Linotype" w:eastAsia="Calibri" w:hAnsi="Palatino Linotype" w:cs="Arial"/>
          <w:b/>
          <w:lang w:val="es-ES"/>
        </w:rPr>
        <w:t xml:space="preserve"> ORDENA </w:t>
      </w:r>
      <w:r w:rsidRPr="00166794">
        <w:rPr>
          <w:rFonts w:ascii="Palatino Linotype" w:hAnsi="Palatino Linotype" w:cs="Arial"/>
          <w:lang w:val="es-ES"/>
        </w:rPr>
        <w:t>entregar vía Sistema de Accesos a la Información Mexiquense (SAIMEX),</w:t>
      </w:r>
      <w:r w:rsidR="00675D3E" w:rsidRPr="00166794">
        <w:rPr>
          <w:rFonts w:ascii="Palatino Linotype" w:hAnsi="Palatino Linotype" w:cs="Arial"/>
          <w:lang w:val="es-ES"/>
        </w:rPr>
        <w:t xml:space="preserve"> de ser procedente</w:t>
      </w:r>
      <w:r w:rsidRPr="00166794">
        <w:rPr>
          <w:rFonts w:ascii="Palatino Linotype" w:hAnsi="Palatino Linotype" w:cs="Arial"/>
          <w:lang w:val="es-ES"/>
        </w:rPr>
        <w:t xml:space="preserve"> en versión pública, la siguiente </w:t>
      </w:r>
      <w:r w:rsidRPr="00166794">
        <w:rPr>
          <w:rFonts w:ascii="Palatino Linotype" w:hAnsi="Palatino Linotype" w:cs="Arial"/>
          <w:bCs/>
        </w:rPr>
        <w:t>información:</w:t>
      </w:r>
    </w:p>
    <w:p w:rsidR="00C02C47" w:rsidRPr="00166794" w:rsidRDefault="00C02C47" w:rsidP="009B6FD5">
      <w:pPr>
        <w:spacing w:line="360" w:lineRule="auto"/>
        <w:ind w:right="48"/>
        <w:jc w:val="both"/>
        <w:rPr>
          <w:rFonts w:ascii="Palatino Linotype" w:hAnsi="Palatino Linotype" w:cs="Arial"/>
          <w:b/>
          <w:bCs/>
          <w:sz w:val="28"/>
        </w:rPr>
      </w:pPr>
    </w:p>
    <w:p w:rsidR="00787C4C" w:rsidRPr="00166794" w:rsidRDefault="00122711" w:rsidP="00F720E4">
      <w:pPr>
        <w:pStyle w:val="Prrafodelista"/>
        <w:numPr>
          <w:ilvl w:val="3"/>
          <w:numId w:val="39"/>
        </w:numPr>
        <w:spacing w:line="360" w:lineRule="auto"/>
        <w:ind w:left="1276" w:right="48" w:firstLine="0"/>
        <w:jc w:val="both"/>
        <w:rPr>
          <w:rFonts w:ascii="Palatino Linotype" w:eastAsia="Palatino Linotype" w:hAnsi="Palatino Linotype" w:cs="Palatino Linotype"/>
          <w:b/>
          <w:sz w:val="28"/>
        </w:rPr>
      </w:pPr>
      <w:bookmarkStart w:id="54" w:name="_Toc460947013"/>
      <w:r w:rsidRPr="00166794">
        <w:rPr>
          <w:rFonts w:ascii="Palatino Linotype" w:hAnsi="Palatino Linotype" w:cs="Arial"/>
          <w:b/>
          <w:sz w:val="24"/>
          <w:szCs w:val="28"/>
        </w:rPr>
        <w:t xml:space="preserve">Balanza de Comprobación Detallada correspondiente al primer trimestre del ejercicio fiscal dos mil veintidós. </w:t>
      </w:r>
    </w:p>
    <w:p w:rsidR="00F720E4" w:rsidRPr="00166794" w:rsidRDefault="00F720E4" w:rsidP="00F720E4">
      <w:pPr>
        <w:pStyle w:val="Prrafodelista"/>
        <w:spacing w:line="360" w:lineRule="auto"/>
        <w:ind w:left="1276" w:right="48"/>
        <w:jc w:val="both"/>
        <w:rPr>
          <w:rFonts w:ascii="Palatino Linotype" w:eastAsia="Palatino Linotype" w:hAnsi="Palatino Linotype" w:cs="Palatino Linotype"/>
          <w:b/>
          <w:sz w:val="24"/>
        </w:rPr>
      </w:pPr>
    </w:p>
    <w:p w:rsidR="009B6FD5" w:rsidRPr="00166794" w:rsidRDefault="009B6FD5" w:rsidP="009B6FD5">
      <w:pPr>
        <w:spacing w:line="360" w:lineRule="auto"/>
        <w:jc w:val="both"/>
        <w:rPr>
          <w:rFonts w:ascii="Palatino Linotype" w:eastAsia="Calibri" w:hAnsi="Palatino Linotype" w:cs="Arial"/>
          <w:b/>
        </w:rPr>
      </w:pPr>
      <w:r w:rsidRPr="00166794">
        <w:rPr>
          <w:rFonts w:ascii="Palatino Linotype" w:eastAsia="Calibri" w:hAnsi="Palatino Linotype" w:cs="Arial"/>
        </w:rPr>
        <w:t xml:space="preserve">Para efecto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w:t>
      </w:r>
      <w:r w:rsidRPr="00166794">
        <w:rPr>
          <w:rFonts w:ascii="Palatino Linotype" w:eastAsia="Calibri" w:hAnsi="Palatino Linotype" w:cs="Arial"/>
        </w:rPr>
        <w:lastRenderedPageBreak/>
        <w:t xml:space="preserve">documental respectivo objeto de las versiones públicas que se formulen y se pongan a disposición del </w:t>
      </w:r>
      <w:r w:rsidRPr="00166794">
        <w:rPr>
          <w:rFonts w:ascii="Palatino Linotype" w:eastAsia="Calibri" w:hAnsi="Palatino Linotype" w:cs="Arial"/>
          <w:b/>
        </w:rPr>
        <w:t>RECURRENTE.</w:t>
      </w:r>
    </w:p>
    <w:p w:rsidR="009B6FD5" w:rsidRPr="00166794" w:rsidRDefault="009B6FD5" w:rsidP="009B6FD5">
      <w:pPr>
        <w:pStyle w:val="Prrafodelista"/>
        <w:spacing w:line="360" w:lineRule="auto"/>
        <w:ind w:right="48"/>
        <w:jc w:val="both"/>
        <w:rPr>
          <w:rFonts w:ascii="Palatino Linotype" w:eastAsia="Palatino Linotype" w:hAnsi="Palatino Linotype" w:cs="Palatino Linotype"/>
          <w:b/>
          <w:sz w:val="24"/>
        </w:rPr>
      </w:pPr>
    </w:p>
    <w:p w:rsidR="00D771ED" w:rsidRPr="00166794" w:rsidRDefault="00D771ED" w:rsidP="009B6FD5">
      <w:pPr>
        <w:tabs>
          <w:tab w:val="left" w:pos="8080"/>
        </w:tabs>
        <w:spacing w:line="360" w:lineRule="auto"/>
        <w:ind w:right="48"/>
        <w:contextualSpacing/>
        <w:jc w:val="both"/>
        <w:rPr>
          <w:rFonts w:ascii="Palatino Linotype" w:eastAsia="Palatino Linotype" w:hAnsi="Palatino Linotype" w:cs="Palatino Linotype"/>
          <w:b/>
        </w:rPr>
      </w:pPr>
      <w:r w:rsidRPr="00166794">
        <w:rPr>
          <w:rFonts w:ascii="Palatino Linotype" w:eastAsia="Palatino Linotype" w:hAnsi="Palatino Linotype" w:cs="Palatino Linotype"/>
          <w:b/>
        </w:rPr>
        <w:t xml:space="preserve">TERCERO. Notifíquese </w:t>
      </w:r>
      <w:r w:rsidRPr="00166794">
        <w:rPr>
          <w:rFonts w:ascii="Palatino Linotype" w:eastAsia="Palatino Linotype" w:hAnsi="Palatino Linotype" w:cs="Palatino Linotype"/>
        </w:rPr>
        <w:t xml:space="preserve">al Titular de la Unidad de Transparencia del </w:t>
      </w:r>
      <w:r w:rsidRPr="00166794">
        <w:rPr>
          <w:rFonts w:ascii="Palatino Linotype" w:eastAsia="Palatino Linotype" w:hAnsi="Palatino Linotype" w:cs="Palatino Linotype"/>
          <w:b/>
        </w:rPr>
        <w:t>SUJETO OBLIGADO</w:t>
      </w:r>
      <w:r w:rsidRPr="00166794">
        <w:rPr>
          <w:rFonts w:ascii="Palatino Linotype" w:eastAsia="Palatino Linotype" w:hAnsi="Palatino Linotype" w:cs="Palatino Linotype"/>
        </w:rPr>
        <w:t xml:space="preserve">, para que conforme a los artículos 186 último párrafo, 189 párrafo segundo y 199 de la Ley de Transparencia y Acceso a la Información Pública del Estado de México y Municipios, </w:t>
      </w:r>
      <w:r w:rsidRPr="00166794">
        <w:rPr>
          <w:rFonts w:ascii="Palatino Linotype" w:hAnsi="Palatino Linotype"/>
          <w:color w:val="222222"/>
          <w:shd w:val="clear" w:color="auto" w:fill="FFFFFF"/>
        </w:rPr>
        <w:t>vigente, dé cumplimiento a lo ordenado dentro del plazo de diez días hábiles, debiendo rendir a este Instituto el informe de cumplimiento de la resolución en un plazo de tres días hábiles posteriores.</w:t>
      </w:r>
    </w:p>
    <w:p w:rsidR="00D771ED" w:rsidRPr="00166794" w:rsidRDefault="00D771ED" w:rsidP="009B6FD5">
      <w:pPr>
        <w:shd w:val="clear" w:color="auto" w:fill="FFFFFF"/>
        <w:tabs>
          <w:tab w:val="left" w:pos="4020"/>
        </w:tabs>
        <w:spacing w:line="360" w:lineRule="auto"/>
        <w:ind w:right="48"/>
        <w:jc w:val="both"/>
        <w:rPr>
          <w:rFonts w:ascii="Palatino Linotype" w:hAnsi="Palatino Linotype" w:cs="Arial"/>
          <w:b/>
        </w:rPr>
      </w:pPr>
      <w:r w:rsidRPr="00166794">
        <w:rPr>
          <w:rFonts w:ascii="Palatino Linotype" w:hAnsi="Palatino Linotype" w:cs="Arial"/>
          <w:b/>
        </w:rPr>
        <w:tab/>
      </w:r>
    </w:p>
    <w:p w:rsidR="00D771ED" w:rsidRPr="00166794" w:rsidRDefault="00D771ED" w:rsidP="009B6FD5">
      <w:pPr>
        <w:shd w:val="clear" w:color="auto" w:fill="FFFFFF"/>
        <w:spacing w:line="360" w:lineRule="auto"/>
        <w:ind w:right="48"/>
        <w:jc w:val="both"/>
        <w:rPr>
          <w:rFonts w:ascii="Palatino Linotype" w:hAnsi="Palatino Linotype"/>
        </w:rPr>
      </w:pPr>
      <w:r w:rsidRPr="00166794">
        <w:rPr>
          <w:rFonts w:ascii="Palatino Linotype" w:hAnsi="Palatino Linotype" w:cs="Arial"/>
          <w:b/>
        </w:rPr>
        <w:t xml:space="preserve">CUARTO. </w:t>
      </w:r>
      <w:r w:rsidRPr="00166794">
        <w:rPr>
          <w:rFonts w:ascii="Palatino Linotype" w:hAnsi="Palatino Linotype"/>
          <w:b/>
          <w:bCs/>
          <w:lang w:val="es-ES"/>
        </w:rPr>
        <w:t>Notifíquese al RECURRENTE</w:t>
      </w:r>
      <w:r w:rsidRPr="00166794">
        <w:rPr>
          <w:rFonts w:ascii="Palatino Linotype" w:hAnsi="Palatino Linotype"/>
        </w:rPr>
        <w:t xml:space="preserve"> la presente resolución.</w:t>
      </w:r>
    </w:p>
    <w:p w:rsidR="00D771ED" w:rsidRPr="00166794" w:rsidRDefault="00D771ED" w:rsidP="009B6FD5">
      <w:pPr>
        <w:shd w:val="clear" w:color="auto" w:fill="FFFFFF"/>
        <w:spacing w:line="360" w:lineRule="auto"/>
        <w:ind w:right="48"/>
        <w:jc w:val="both"/>
        <w:rPr>
          <w:rFonts w:ascii="Palatino Linotype" w:hAnsi="Palatino Linotype"/>
          <w:b/>
          <w:color w:val="FF0000"/>
        </w:rPr>
      </w:pPr>
    </w:p>
    <w:bookmarkEnd w:id="54"/>
    <w:p w:rsidR="00D771ED" w:rsidRPr="00166794" w:rsidRDefault="00D771ED" w:rsidP="009B6FD5">
      <w:pPr>
        <w:spacing w:line="360" w:lineRule="auto"/>
        <w:ind w:right="48"/>
        <w:jc w:val="both"/>
        <w:rPr>
          <w:rFonts w:ascii="Palatino Linotype" w:eastAsia="MS Mincho" w:hAnsi="Palatino Linotype"/>
          <w:lang w:val="es-ES"/>
        </w:rPr>
      </w:pPr>
      <w:r w:rsidRPr="00166794">
        <w:rPr>
          <w:rFonts w:ascii="Palatino Linotype" w:eastAsia="MS Mincho" w:hAnsi="Palatino Linotype"/>
          <w:b/>
        </w:rPr>
        <w:t>QUINTO.</w:t>
      </w:r>
      <w:r w:rsidRPr="00166794">
        <w:rPr>
          <w:rFonts w:ascii="Palatino Linotype" w:eastAsia="MS Mincho" w:hAnsi="Palatino Linotype"/>
        </w:rPr>
        <w:t xml:space="preserve"> </w:t>
      </w:r>
      <w:r w:rsidRPr="00166794">
        <w:rPr>
          <w:rFonts w:ascii="Palatino Linotype" w:eastAsia="MS Mincho" w:hAnsi="Palatino Linotype"/>
          <w:lang w:val="es-ES"/>
        </w:rPr>
        <w:t xml:space="preserve">Se hace del conocimiento del </w:t>
      </w:r>
      <w:r w:rsidRPr="00166794">
        <w:rPr>
          <w:rFonts w:ascii="Palatino Linotype" w:hAnsi="Palatino Linotype"/>
          <w:b/>
        </w:rPr>
        <w:t>RECURRENTE</w:t>
      </w:r>
      <w:r w:rsidRPr="00166794">
        <w:rPr>
          <w:rFonts w:ascii="Palatino Linotype" w:hAnsi="Palatino Linotype"/>
        </w:rPr>
        <w:t xml:space="preserve"> </w:t>
      </w:r>
      <w:r w:rsidRPr="00166794">
        <w:rPr>
          <w:rFonts w:ascii="Palatino Linotype" w:eastAsia="MS Mincho" w:hAnsi="Palatino Linotype"/>
          <w:lang w:val="es-ES"/>
        </w:rPr>
        <w:t>que de conformidad con lo establecido en el artículo 196 de la Ley de Transparencia y Acceso a la Información Pública del Estado de México y Municipios, en caso de que considere que la resolución le cause algún perjuicio podrá impugnarla </w:t>
      </w:r>
      <w:r w:rsidRPr="00166794">
        <w:rPr>
          <w:rFonts w:ascii="Palatino Linotype" w:eastAsia="MS Mincho" w:hAnsi="Palatino Linotype"/>
          <w:bCs/>
          <w:lang w:val="es-ES"/>
        </w:rPr>
        <w:t>vía juicio de amparo</w:t>
      </w:r>
      <w:r w:rsidRPr="00166794">
        <w:rPr>
          <w:rFonts w:ascii="Palatino Linotype" w:eastAsia="MS Mincho" w:hAnsi="Palatino Linotype"/>
          <w:lang w:val="es-ES"/>
        </w:rPr>
        <w:t> en los términos de las leyes aplicables.</w:t>
      </w:r>
    </w:p>
    <w:p w:rsidR="00D771ED" w:rsidRPr="00166794" w:rsidRDefault="00D771ED" w:rsidP="009B6FD5">
      <w:pPr>
        <w:spacing w:line="360" w:lineRule="auto"/>
        <w:ind w:right="48"/>
        <w:jc w:val="both"/>
        <w:rPr>
          <w:rFonts w:ascii="Palatino Linotype" w:hAnsi="Palatino Linotype"/>
          <w:color w:val="000000"/>
          <w:shd w:val="clear" w:color="auto" w:fill="FFFFFF"/>
        </w:rPr>
      </w:pPr>
    </w:p>
    <w:p w:rsidR="00D771ED" w:rsidRPr="00166794" w:rsidRDefault="00D771ED" w:rsidP="009B6FD5">
      <w:pPr>
        <w:spacing w:line="360" w:lineRule="auto"/>
        <w:ind w:right="48"/>
        <w:jc w:val="both"/>
        <w:rPr>
          <w:rFonts w:ascii="Palatino Linotype" w:eastAsia="Calibri" w:hAnsi="Palatino Linotype" w:cs="Arial"/>
          <w:bCs/>
        </w:rPr>
      </w:pPr>
      <w:r w:rsidRPr="00166794">
        <w:rPr>
          <w:rFonts w:ascii="Palatino Linotype" w:hAnsi="Palatino Linotype"/>
          <w:b/>
          <w:color w:val="000000"/>
          <w:shd w:val="clear" w:color="auto" w:fill="FFFFFF"/>
        </w:rPr>
        <w:t xml:space="preserve">SEXTO. </w:t>
      </w:r>
      <w:r w:rsidRPr="00166794">
        <w:rPr>
          <w:rFonts w:ascii="Palatino Linotype" w:eastAsia="Calibri" w:hAnsi="Palatino Linotype" w:cs="Arial"/>
          <w:bCs/>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rsidR="00D771ED" w:rsidRPr="00166794" w:rsidRDefault="00D771ED" w:rsidP="009B6FD5">
      <w:pPr>
        <w:spacing w:line="360" w:lineRule="auto"/>
        <w:ind w:right="48"/>
        <w:jc w:val="both"/>
        <w:rPr>
          <w:rFonts w:ascii="Palatino Linotype" w:hAnsi="Palatino Linotype"/>
        </w:rPr>
      </w:pPr>
    </w:p>
    <w:p w:rsidR="00E7252C" w:rsidRDefault="00E7252C" w:rsidP="00E7252C">
      <w:pPr>
        <w:spacing w:before="240" w:after="240" w:line="360" w:lineRule="auto"/>
        <w:jc w:val="both"/>
        <w:rPr>
          <w:rFonts w:ascii="Palatino Linotype" w:hAnsi="Palatino Linotype"/>
        </w:rPr>
      </w:pPr>
      <w:r w:rsidRPr="00166794">
        <w:rPr>
          <w:rFonts w:ascii="Palatino Linotype" w:hAnsi="Palatino Linotype"/>
        </w:rPr>
        <w:lastRenderedPageBreak/>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TRIGÉSIMA SÉPTIMA SESIÓN ORDINARIA CELEBRADA EL DOCE (12) DE OCTUBRE DE DOS MIL VEINTIDÓS, ANTE EL SECRETARIO TÉCNICO DEL PLENO ALEXIS TAPIA RAMÍREZ.</w:t>
      </w:r>
      <w:bookmarkStart w:id="55" w:name="_GoBack"/>
      <w:bookmarkEnd w:id="55"/>
      <w:r w:rsidRPr="00624AAD">
        <w:rPr>
          <w:rFonts w:ascii="Palatino Linotype" w:hAnsi="Palatino Linotype"/>
        </w:rPr>
        <w:t xml:space="preserve"> </w:t>
      </w:r>
    </w:p>
    <w:p w:rsidR="00D771ED" w:rsidRPr="009B6FD5" w:rsidRDefault="00D771ED" w:rsidP="009B6FD5">
      <w:pPr>
        <w:spacing w:line="360" w:lineRule="auto"/>
        <w:ind w:right="48"/>
        <w:rPr>
          <w:rFonts w:ascii="Palatino Linotype" w:hAnsi="Palatino Linotype"/>
        </w:rPr>
      </w:pPr>
    </w:p>
    <w:p w:rsidR="00D771ED" w:rsidRPr="009B6FD5" w:rsidRDefault="00D771ED" w:rsidP="009B6FD5">
      <w:pPr>
        <w:spacing w:line="360" w:lineRule="auto"/>
        <w:ind w:right="49"/>
        <w:jc w:val="both"/>
        <w:rPr>
          <w:rFonts w:ascii="Palatino Linotype" w:eastAsiaTheme="minorEastAsia" w:hAnsi="Palatino Linotype" w:cs="Arial"/>
          <w:lang w:val="es-ES_tradnl" w:eastAsia="es-ES"/>
        </w:rPr>
      </w:pPr>
    </w:p>
    <w:p w:rsidR="00D771ED" w:rsidRPr="009B6FD5" w:rsidRDefault="00D771ED" w:rsidP="009B6FD5">
      <w:pPr>
        <w:spacing w:line="360" w:lineRule="auto"/>
        <w:ind w:right="49"/>
        <w:jc w:val="both"/>
        <w:rPr>
          <w:rFonts w:ascii="Palatino Linotype" w:eastAsiaTheme="minorEastAsia" w:hAnsi="Palatino Linotype" w:cs="Arial"/>
          <w:lang w:val="es-ES_tradnl" w:eastAsia="es-ES"/>
        </w:rPr>
      </w:pPr>
    </w:p>
    <w:p w:rsidR="00D771ED" w:rsidRPr="009B6FD5" w:rsidRDefault="00D771ED" w:rsidP="009B6FD5">
      <w:pPr>
        <w:spacing w:line="360" w:lineRule="auto"/>
        <w:ind w:right="49"/>
        <w:jc w:val="both"/>
        <w:rPr>
          <w:rFonts w:ascii="Palatino Linotype" w:eastAsiaTheme="minorEastAsia" w:hAnsi="Palatino Linotype" w:cs="Arial"/>
          <w:lang w:val="es-ES_tradnl" w:eastAsia="es-ES"/>
        </w:rPr>
      </w:pPr>
    </w:p>
    <w:p w:rsidR="00D771ED" w:rsidRPr="009B6FD5" w:rsidRDefault="00D771ED" w:rsidP="009B6FD5">
      <w:pPr>
        <w:spacing w:line="360" w:lineRule="auto"/>
        <w:ind w:right="49"/>
        <w:jc w:val="both"/>
        <w:rPr>
          <w:rFonts w:ascii="Palatino Linotype" w:eastAsiaTheme="minorEastAsia" w:hAnsi="Palatino Linotype" w:cs="Arial"/>
          <w:lang w:val="es-ES_tradnl" w:eastAsia="es-ES"/>
        </w:rPr>
      </w:pPr>
    </w:p>
    <w:p w:rsidR="00D771ED" w:rsidRPr="009B6FD5" w:rsidRDefault="00D771ED" w:rsidP="009B6FD5">
      <w:pPr>
        <w:spacing w:line="360" w:lineRule="auto"/>
        <w:ind w:right="49"/>
        <w:jc w:val="both"/>
        <w:rPr>
          <w:rFonts w:ascii="Palatino Linotype" w:eastAsiaTheme="minorEastAsia" w:hAnsi="Palatino Linotype" w:cs="Arial"/>
          <w:lang w:val="es-ES_tradnl" w:eastAsia="es-ES"/>
        </w:rPr>
      </w:pPr>
    </w:p>
    <w:p w:rsidR="00D771ED" w:rsidRPr="009B6FD5" w:rsidRDefault="00D771ED" w:rsidP="009B6FD5">
      <w:pPr>
        <w:spacing w:line="360" w:lineRule="auto"/>
        <w:ind w:right="49"/>
        <w:jc w:val="both"/>
        <w:rPr>
          <w:rFonts w:ascii="Palatino Linotype" w:eastAsiaTheme="minorEastAsia" w:hAnsi="Palatino Linotype" w:cs="Arial"/>
          <w:lang w:val="es-ES_tradnl" w:eastAsia="es-ES"/>
        </w:rPr>
      </w:pPr>
    </w:p>
    <w:p w:rsidR="00D771ED" w:rsidRPr="009B6FD5" w:rsidRDefault="00D771ED" w:rsidP="009B6FD5">
      <w:pPr>
        <w:spacing w:line="360" w:lineRule="auto"/>
        <w:ind w:right="49"/>
        <w:jc w:val="both"/>
        <w:rPr>
          <w:rFonts w:ascii="Palatino Linotype" w:eastAsiaTheme="minorEastAsia" w:hAnsi="Palatino Linotype" w:cs="Arial"/>
          <w:lang w:val="es-ES_tradnl" w:eastAsia="es-ES"/>
        </w:rPr>
      </w:pPr>
    </w:p>
    <w:p w:rsidR="00D771ED" w:rsidRPr="009B6FD5" w:rsidRDefault="00D771ED" w:rsidP="009B6FD5">
      <w:pPr>
        <w:spacing w:line="360" w:lineRule="auto"/>
        <w:ind w:right="49"/>
        <w:jc w:val="both"/>
        <w:rPr>
          <w:rFonts w:ascii="Palatino Linotype" w:eastAsiaTheme="minorEastAsia" w:hAnsi="Palatino Linotype" w:cs="Arial"/>
          <w:lang w:val="es-ES_tradnl" w:eastAsia="es-ES"/>
        </w:rPr>
      </w:pPr>
    </w:p>
    <w:p w:rsidR="00D771ED" w:rsidRPr="009B6FD5" w:rsidRDefault="00D771ED" w:rsidP="009B6FD5">
      <w:pPr>
        <w:spacing w:line="360" w:lineRule="auto"/>
        <w:ind w:right="49"/>
        <w:jc w:val="both"/>
        <w:rPr>
          <w:rFonts w:ascii="Palatino Linotype" w:eastAsiaTheme="minorEastAsia" w:hAnsi="Palatino Linotype" w:cs="Arial"/>
          <w:lang w:val="es-ES_tradnl" w:eastAsia="es-ES"/>
        </w:rPr>
      </w:pPr>
    </w:p>
    <w:p w:rsidR="00D771ED" w:rsidRPr="009B6FD5" w:rsidRDefault="00D771ED" w:rsidP="009B6FD5">
      <w:pPr>
        <w:spacing w:line="360" w:lineRule="auto"/>
        <w:ind w:right="49"/>
        <w:jc w:val="both"/>
        <w:rPr>
          <w:rFonts w:ascii="Palatino Linotype" w:eastAsiaTheme="minorEastAsia" w:hAnsi="Palatino Linotype" w:cs="Arial"/>
          <w:lang w:val="es-ES_tradnl" w:eastAsia="es-ES"/>
        </w:rPr>
      </w:pPr>
    </w:p>
    <w:p w:rsidR="00D771ED" w:rsidRPr="009B6FD5" w:rsidRDefault="00D771ED" w:rsidP="009B6FD5">
      <w:pPr>
        <w:spacing w:line="360" w:lineRule="auto"/>
        <w:ind w:right="49"/>
        <w:jc w:val="both"/>
        <w:rPr>
          <w:rFonts w:ascii="Palatino Linotype" w:eastAsiaTheme="minorEastAsia" w:hAnsi="Palatino Linotype" w:cs="Arial"/>
          <w:lang w:val="es-ES_tradnl" w:eastAsia="es-ES"/>
        </w:rPr>
      </w:pPr>
    </w:p>
    <w:p w:rsidR="00D771ED" w:rsidRPr="009B6FD5" w:rsidRDefault="00D771ED" w:rsidP="009B6FD5">
      <w:pPr>
        <w:spacing w:line="360" w:lineRule="auto"/>
        <w:ind w:right="49"/>
        <w:jc w:val="both"/>
        <w:rPr>
          <w:rFonts w:ascii="Palatino Linotype" w:eastAsiaTheme="minorEastAsia" w:hAnsi="Palatino Linotype" w:cs="Arial"/>
          <w:lang w:val="es-ES_tradnl" w:eastAsia="es-ES"/>
        </w:rPr>
      </w:pPr>
    </w:p>
    <w:p w:rsidR="00D771ED" w:rsidRPr="009B6FD5" w:rsidRDefault="00D771ED" w:rsidP="009B6FD5">
      <w:pPr>
        <w:spacing w:line="360" w:lineRule="auto"/>
        <w:ind w:right="49"/>
        <w:jc w:val="both"/>
        <w:rPr>
          <w:rFonts w:ascii="Palatino Linotype" w:eastAsiaTheme="minorEastAsia" w:hAnsi="Palatino Linotype" w:cs="Arial"/>
          <w:lang w:val="es-ES_tradnl" w:eastAsia="es-ES"/>
        </w:rPr>
      </w:pPr>
    </w:p>
    <w:p w:rsidR="00D771ED" w:rsidRPr="009B6FD5" w:rsidRDefault="00D771ED" w:rsidP="009B6FD5">
      <w:pPr>
        <w:spacing w:line="360" w:lineRule="auto"/>
        <w:rPr>
          <w:rFonts w:ascii="Palatino Linotype" w:hAnsi="Palatino Linotype"/>
        </w:rPr>
      </w:pPr>
    </w:p>
    <w:p w:rsidR="00D771ED" w:rsidRPr="009B6FD5" w:rsidRDefault="00D771ED" w:rsidP="009B6FD5">
      <w:pPr>
        <w:spacing w:line="360" w:lineRule="auto"/>
        <w:rPr>
          <w:rFonts w:ascii="Palatino Linotype" w:hAnsi="Palatino Linotype"/>
        </w:rPr>
      </w:pPr>
    </w:p>
    <w:p w:rsidR="00D771ED" w:rsidRPr="009B6FD5" w:rsidRDefault="00D771ED" w:rsidP="009B6FD5">
      <w:pPr>
        <w:spacing w:line="360" w:lineRule="auto"/>
        <w:rPr>
          <w:rFonts w:ascii="Palatino Linotype" w:hAnsi="Palatino Linotype"/>
        </w:rPr>
      </w:pPr>
    </w:p>
    <w:p w:rsidR="00D771ED" w:rsidRPr="009B6FD5" w:rsidRDefault="00D771ED" w:rsidP="009B6FD5">
      <w:pPr>
        <w:spacing w:line="360" w:lineRule="auto"/>
        <w:rPr>
          <w:rFonts w:ascii="Palatino Linotype" w:hAnsi="Palatino Linotype"/>
        </w:rPr>
      </w:pPr>
    </w:p>
    <w:p w:rsidR="00D771ED" w:rsidRPr="009B6FD5" w:rsidRDefault="00D771ED" w:rsidP="009B6FD5">
      <w:pPr>
        <w:spacing w:line="360" w:lineRule="auto"/>
        <w:rPr>
          <w:rFonts w:ascii="Palatino Linotype" w:hAnsi="Palatino Linotype"/>
        </w:rPr>
      </w:pPr>
    </w:p>
    <w:p w:rsidR="00D771ED" w:rsidRPr="009B6FD5" w:rsidRDefault="00D771ED" w:rsidP="009B6FD5">
      <w:pPr>
        <w:spacing w:line="360" w:lineRule="auto"/>
        <w:rPr>
          <w:rFonts w:ascii="Palatino Linotype" w:hAnsi="Palatino Linotype"/>
        </w:rPr>
      </w:pPr>
    </w:p>
    <w:p w:rsidR="00D771ED" w:rsidRPr="009B6FD5" w:rsidRDefault="00D771ED" w:rsidP="009B6FD5">
      <w:pPr>
        <w:spacing w:line="360" w:lineRule="auto"/>
        <w:rPr>
          <w:rFonts w:ascii="Palatino Linotype" w:hAnsi="Palatino Linotype"/>
        </w:rPr>
      </w:pPr>
    </w:p>
    <w:p w:rsidR="009177B0" w:rsidRPr="009B6FD5" w:rsidRDefault="009177B0" w:rsidP="009B6FD5">
      <w:pPr>
        <w:spacing w:line="360" w:lineRule="auto"/>
        <w:rPr>
          <w:rFonts w:ascii="Palatino Linotype" w:hAnsi="Palatino Linotype"/>
        </w:rPr>
      </w:pPr>
    </w:p>
    <w:sectPr w:rsidR="009177B0" w:rsidRPr="009B6FD5" w:rsidSect="009177B0">
      <w:headerReference w:type="even" r:id="rId14"/>
      <w:headerReference w:type="default" r:id="rId15"/>
      <w:footerReference w:type="default" r:id="rId16"/>
      <w:headerReference w:type="first" r:id="rId17"/>
      <w:footerReference w:type="first" r:id="rId18"/>
      <w:pgSz w:w="12240" w:h="15840"/>
      <w:pgMar w:top="80" w:right="1608" w:bottom="1418" w:left="1588" w:header="709" w:footer="91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F7D55" w:rsidRDefault="00BF7D55" w:rsidP="00D771ED">
      <w:r>
        <w:separator/>
      </w:r>
    </w:p>
  </w:endnote>
  <w:endnote w:type="continuationSeparator" w:id="0">
    <w:p w:rsidR="00BF7D55" w:rsidRDefault="00BF7D55" w:rsidP="00D771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Bookman Old Style,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74E1" w:rsidRDefault="001774E1">
    <w:pPr>
      <w:pStyle w:val="Piedepgina"/>
      <w:jc w:val="right"/>
    </w:pPr>
    <w:r>
      <w:rPr>
        <w:lang w:val="es-ES"/>
      </w:rPr>
      <w:t xml:space="preserve">Página </w:t>
    </w:r>
    <w:r>
      <w:rPr>
        <w:b/>
        <w:bCs/>
      </w:rPr>
      <w:fldChar w:fldCharType="begin"/>
    </w:r>
    <w:r>
      <w:rPr>
        <w:b/>
        <w:bCs/>
      </w:rPr>
      <w:instrText>PAGE</w:instrText>
    </w:r>
    <w:r>
      <w:rPr>
        <w:b/>
        <w:bCs/>
      </w:rPr>
      <w:fldChar w:fldCharType="separate"/>
    </w:r>
    <w:r w:rsidR="00166794">
      <w:rPr>
        <w:b/>
        <w:bCs/>
        <w:noProof/>
      </w:rPr>
      <w:t>40</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166794">
      <w:rPr>
        <w:b/>
        <w:bCs/>
        <w:noProof/>
      </w:rPr>
      <w:t>41</w:t>
    </w:r>
    <w:r>
      <w:rPr>
        <w:b/>
        <w:bCs/>
      </w:rPr>
      <w:fldChar w:fldCharType="end"/>
    </w:r>
  </w:p>
  <w:p w:rsidR="001774E1" w:rsidRDefault="001774E1">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74E1" w:rsidRDefault="001774E1">
    <w:pPr>
      <w:pStyle w:val="Piedepgina"/>
      <w:jc w:val="right"/>
    </w:pPr>
    <w:r>
      <w:rPr>
        <w:lang w:val="es-ES"/>
      </w:rPr>
      <w:t xml:space="preserve">Página </w:t>
    </w:r>
    <w:r>
      <w:rPr>
        <w:b/>
        <w:bCs/>
      </w:rPr>
      <w:fldChar w:fldCharType="begin"/>
    </w:r>
    <w:r>
      <w:rPr>
        <w:b/>
        <w:bCs/>
      </w:rPr>
      <w:instrText>PAGE</w:instrText>
    </w:r>
    <w:r>
      <w:rPr>
        <w:b/>
        <w:bCs/>
      </w:rPr>
      <w:fldChar w:fldCharType="separate"/>
    </w:r>
    <w:r w:rsidR="00166794">
      <w:rPr>
        <w:b/>
        <w:bCs/>
        <w:noProof/>
      </w:rPr>
      <w:t>1</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166794">
      <w:rPr>
        <w:b/>
        <w:bCs/>
        <w:noProof/>
      </w:rPr>
      <w:t>41</w:t>
    </w:r>
    <w:r>
      <w:rPr>
        <w:b/>
        <w:bCs/>
      </w:rPr>
      <w:fldChar w:fldCharType="end"/>
    </w:r>
  </w:p>
  <w:p w:rsidR="001774E1" w:rsidRDefault="001774E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F7D55" w:rsidRDefault="00BF7D55" w:rsidP="00D771ED">
      <w:r>
        <w:separator/>
      </w:r>
    </w:p>
  </w:footnote>
  <w:footnote w:type="continuationSeparator" w:id="0">
    <w:p w:rsidR="00BF7D55" w:rsidRDefault="00BF7D55" w:rsidP="00D771ED">
      <w:r>
        <w:continuationSeparator/>
      </w:r>
    </w:p>
  </w:footnote>
  <w:footnote w:id="1">
    <w:p w:rsidR="001774E1" w:rsidRDefault="001774E1" w:rsidP="00D771ED">
      <w:pPr>
        <w:pStyle w:val="Textonotapie"/>
      </w:pPr>
      <w:r>
        <w:rPr>
          <w:rStyle w:val="Refdenotaalpie"/>
        </w:rPr>
        <w:footnoteRef/>
      </w:r>
      <w:r>
        <w:t xml:space="preserve"> Convención Americana sobre Derechos Humanos. Artículo 13.</w:t>
      </w:r>
    </w:p>
  </w:footnote>
  <w:footnote w:id="2">
    <w:p w:rsidR="001774E1" w:rsidRDefault="001774E1" w:rsidP="00D771ED">
      <w:pPr>
        <w:pStyle w:val="Textonotapie"/>
      </w:pPr>
      <w:r>
        <w:rPr>
          <w:rStyle w:val="Refdenotaalpie"/>
        </w:rPr>
        <w:footnoteRef/>
      </w:r>
      <w:r>
        <w:t xml:space="preserve"> Constitución Política de los Estados Unidos Mexicanos. Artículo sexto, sección A, fracción I.</w:t>
      </w:r>
    </w:p>
  </w:footnote>
  <w:footnote w:id="3">
    <w:p w:rsidR="001774E1" w:rsidRDefault="001774E1" w:rsidP="00D771ED">
      <w:pPr>
        <w:pStyle w:val="Textonotapie"/>
      </w:pPr>
      <w:r>
        <w:rPr>
          <w:rStyle w:val="Refdenotaalpie"/>
        </w:rPr>
        <w:footnoteRef/>
      </w:r>
      <w:r>
        <w:t xml:space="preserve"> Corte Interamericana de Derechos Humanos. Caso Claude Reyes y otros vs. Chile. Sentencia de 19 de septiembre de 2006. Serie C. No. 151. Párr. 86.</w:t>
      </w:r>
    </w:p>
  </w:footnote>
  <w:footnote w:id="4">
    <w:p w:rsidR="001774E1" w:rsidRDefault="001774E1" w:rsidP="00D771ED">
      <w:pPr>
        <w:pStyle w:val="Textonotapie"/>
      </w:pPr>
      <w:r>
        <w:rPr>
          <w:rStyle w:val="Refdenotaalpie"/>
        </w:rPr>
        <w:footnoteRef/>
      </w:r>
      <w:r>
        <w:t xml:space="preserve"> Ibídem. Parr. 87.</w:t>
      </w:r>
    </w:p>
  </w:footnote>
  <w:footnote w:id="5">
    <w:p w:rsidR="004674F8" w:rsidRDefault="004674F8" w:rsidP="004674F8">
      <w:pPr>
        <w:pStyle w:val="Textonotapie"/>
        <w:jc w:val="both"/>
      </w:pPr>
      <w:r>
        <w:rPr>
          <w:rStyle w:val="Refdenotaalpie"/>
        </w:rPr>
        <w:footnoteRef/>
      </w:r>
      <w:r w:rsidRPr="00266430">
        <w:t xml:space="preserve"> </w:t>
      </w:r>
      <w:r w:rsidRPr="00266430">
        <w:rPr>
          <w:b/>
        </w:rPr>
        <w:t>RESTRICCIONES A LOS DERECHOS FUNDAMENTALES. ELEMENTOS QUE EL JUEZ CONSTITUCIONAL DEBE TOMAR EN CUENTA PARA CONSIDERARLAS VÁLIDAS.</w:t>
      </w:r>
      <w:r w:rsidRPr="00266430">
        <w:t xml:space="preserve"> Ningún derecho fundamental es absoluto y en esa medida todos admiten restricciones. Sin embargo, la regulación de dichas restricciones no puede ser arbitraria. Para que las medidas emitidas por el legislador ordinario con el propósito de restringir los derechos fundamentales sean válidas, deben satisfacer al menos los siguientes requisitos: a) ser admisibles dentro del ámbito constitucional, esto es, el legislador ordinario sólo puede restringir o suspender el ejercicio de las garantías individuales con objetivos que puedan enmarcarse dentro de las previsiones de la Carta Magna; b) ser necesarias para asegurar la obtención de los fines que fundamentan la restricción constitucional, es decir, no basta que la restricción sea en términos amplios útil para la obtención de esos objetivos, sino que debe ser la idónea para su realización, lo que significa que el fin buscado por el legislador no se pueda alcanzar razonablemente por otros medios menos restrictivos de derechos fundamentales; y, c) ser proporcional, esto es, la medida legislativa debe respetar una correspondencia entre la importancia del fin buscado por la ley, y los efectos perjudiciales que produce en otros derechos e intereses constitucionales, en el entendido de que la persecución de un objetivo constitucional no puede hacerse a costa de una afectación innecesaria o desmedida a otros bienes y derechos constitucionalmente protegidos. Así, el juzgador debe determinar en cada caso si la restricción legislativa a un derecho fundamental es, en primer lugar, admisible dadas las previsiones constitucionales, en segundo lugar, si es el medio necesario para proteger esos fines o intereses constitucionalmente amparados, al no existir opciones menos restrictivas que permitan alcanzarlos; y en tercer lugar, si la distinción legislativa se encuentra dentro de las opciones de tratamiento que pueden considerarse proporcionales. De igual manera, las restricciones deberán estar en consonancia con la ley, incluidas las normas internacionales de derechos humanos, y ser compatibles con la naturaleza de los derechos amparados por la Constitución, en aras de la consecución de los objetivos legítimos perseguidos, y ser estrictamente necesarias para promover el bienestar general en una sociedad democrática. </w:t>
      </w:r>
    </w:p>
    <w:p w:rsidR="004674F8" w:rsidRPr="00266430" w:rsidRDefault="004674F8" w:rsidP="004674F8">
      <w:pPr>
        <w:pStyle w:val="Textonotapie"/>
        <w:jc w:val="both"/>
      </w:pPr>
      <w:r w:rsidRPr="00266430">
        <w:t xml:space="preserve">1a./J. 2/2012 (9a.). Primera Sala. Décima Época. Semanario Judicial de la Federación y su Gaceta. Libro V, Febrero de 2012, Pág. 533.  </w:t>
      </w:r>
    </w:p>
  </w:footnote>
  <w:footnote w:id="6">
    <w:p w:rsidR="004674F8" w:rsidRPr="00A870EF" w:rsidRDefault="004674F8" w:rsidP="004674F8">
      <w:pPr>
        <w:pStyle w:val="Textonotapie"/>
        <w:jc w:val="both"/>
      </w:pPr>
      <w:r>
        <w:rPr>
          <w:rStyle w:val="Refdenotaalpie"/>
        </w:rPr>
        <w:footnoteRef/>
      </w:r>
      <w:r>
        <w:t xml:space="preserve"> “67. Según se ha interpretado por la jurisprudencia interamericana, el artículo 13.2 de la Convención Americana exige el cumplimiento de las siguientes tres condiciones básicas para que una limitación al derecho a la libertad de expresión sea admisible: (1) la limitación debe haber sido definida en forma precisa y clara a través de una ley formal y material, (2) la limitación debe estar orientada al logro de objetivos imperiosos autorizados por la Convención Americana, y (3) la limitación debe ser necesaria en una sociedad democrática para el logro de los fines imperiosos que se buscan; estrictamente proporcionada a la finalidad perseguida; e idónea para lograr el objetivo imperioso que pretende lograr”. Relatoría Especial para la Libertad de Expresión, Comisión Interamericana de Derechos Humanos. </w:t>
      </w:r>
      <w:r w:rsidRPr="008E2275">
        <w:rPr>
          <w:i/>
        </w:rPr>
        <w:t>Marco jurídico interamericano sobre el derecho a la libertad de expresión</w:t>
      </w:r>
      <w:r>
        <w:t xml:space="preserve">. Párr. 67. </w:t>
      </w:r>
    </w:p>
  </w:footnote>
  <w:footnote w:id="7">
    <w:p w:rsidR="004674F8" w:rsidRPr="0037004E" w:rsidRDefault="004674F8" w:rsidP="004674F8">
      <w:pPr>
        <w:pStyle w:val="Textonotapie"/>
        <w:jc w:val="both"/>
      </w:pPr>
      <w:r>
        <w:rPr>
          <w:rStyle w:val="Refdenotaalpie"/>
        </w:rPr>
        <w:footnoteRef/>
      </w:r>
      <w:r>
        <w:t xml:space="preserve"> </w:t>
      </w:r>
      <w:r w:rsidRPr="00C4034A">
        <w:t>Tribunales Colegiados de Circuito. Novena Epoca. Semanario Judicial de la Federación y su Gaceta. Tomo III, marzo de 1996. Pág 769. Consultado en http://sjf.scjn.gob.mx/sjfsist/Documentos/Tesis/203/203143.pdf  el viernes 16 de junio de 2017.</w:t>
      </w:r>
    </w:p>
    <w:p w:rsidR="004674F8" w:rsidRDefault="004674F8" w:rsidP="004674F8">
      <w:pPr>
        <w:pStyle w:val="Textonotapie"/>
      </w:pPr>
    </w:p>
  </w:footnote>
  <w:footnote w:id="8">
    <w:p w:rsidR="004C346A" w:rsidRDefault="004C346A" w:rsidP="004C346A">
      <w:pPr>
        <w:pStyle w:val="Textonotapie"/>
        <w:rPr>
          <w:rFonts w:ascii="Palatino Linotype" w:hAnsi="Palatino Linotype"/>
          <w:sz w:val="16"/>
          <w:szCs w:val="16"/>
        </w:rPr>
      </w:pPr>
      <w:r>
        <w:rPr>
          <w:rStyle w:val="Refdenotaalpie"/>
        </w:rPr>
        <w:footnoteRef/>
      </w:r>
      <w:r>
        <w:t xml:space="preserve"> </w:t>
      </w:r>
      <w:r>
        <w:rPr>
          <w:rFonts w:ascii="Palatino Linotype" w:hAnsi="Palatino Linotype"/>
          <w:sz w:val="16"/>
          <w:szCs w:val="16"/>
        </w:rPr>
        <w:t>El precepto legal en cita establece que los Municipios son sujetos de fiscalización.</w:t>
      </w:r>
    </w:p>
  </w:footnote>
  <w:footnote w:id="9">
    <w:p w:rsidR="004C346A" w:rsidRDefault="004C346A" w:rsidP="004C346A">
      <w:pPr>
        <w:pStyle w:val="Textonotapie"/>
        <w:rPr>
          <w:rFonts w:ascii="Palatino Linotype" w:hAnsi="Palatino Linotype"/>
          <w:sz w:val="18"/>
          <w:szCs w:val="18"/>
        </w:rPr>
      </w:pPr>
      <w:r>
        <w:rPr>
          <w:rStyle w:val="Refdenotaalpie"/>
          <w:rFonts w:ascii="Palatino Linotype" w:hAnsi="Palatino Linotype"/>
          <w:sz w:val="18"/>
          <w:szCs w:val="18"/>
        </w:rPr>
        <w:footnoteRef/>
      </w:r>
      <w:r>
        <w:rPr>
          <w:rFonts w:ascii="Palatino Linotype" w:hAnsi="Palatino Linotype"/>
          <w:sz w:val="18"/>
          <w:szCs w:val="18"/>
        </w:rPr>
        <w:t xml:space="preserve"> A partir del ejercicio fiscal de 2021, son informes trimestrales.</w:t>
      </w:r>
    </w:p>
  </w:footnote>
  <w:footnote w:id="10">
    <w:p w:rsidR="00BD29D8" w:rsidRDefault="00BD29D8" w:rsidP="00BD29D8">
      <w:pPr>
        <w:pStyle w:val="Textonotapie"/>
      </w:pPr>
      <w:r>
        <w:rPr>
          <w:rStyle w:val="Refdenotaalpie"/>
        </w:rPr>
        <w:footnoteRef/>
      </w:r>
      <w:r>
        <w:t xml:space="preserve"> Ley de Transparencia y Acceso a la Información Pública del Estado de México y Municipios. Artículo 9. …</w:t>
      </w:r>
    </w:p>
    <w:p w:rsidR="00BD29D8" w:rsidRDefault="00BD29D8" w:rsidP="00BD29D8">
      <w:pPr>
        <w:pStyle w:val="Textonotapie"/>
      </w:pPr>
      <w:r>
        <w:t>II. Eficacia: Obligación del Instituto para tutelar, de manera efectiva, el derecho de acceso a la información;</w:t>
      </w:r>
    </w:p>
    <w:p w:rsidR="00BD29D8" w:rsidRDefault="00BD29D8" w:rsidP="00BD29D8">
      <w:pPr>
        <w:pStyle w:val="Textonotapie"/>
      </w:pPr>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74E1" w:rsidRDefault="00BF7D55">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7395963" o:spid="_x0000_s2049" type="#_x0000_t75" alt="" style="position:absolute;margin-left:0;margin-top:0;width:589.8pt;height:768pt;z-index:-251657216;mso-wrap-edited:f;mso-width-percent:0;mso-height-percent:0;mso-position-horizontal:center;mso-position-horizontal-relative:margin;mso-position-vertical:center;mso-position-vertical-relative:margin;mso-width-percent:0;mso-height-percent:0" o:allowincell="f">
          <v:imagedata r:id="rId1" o:title="resolución infoem image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214" w:type="dxa"/>
      <w:tblLayout w:type="fixed"/>
      <w:tblLook w:val="04A0" w:firstRow="1" w:lastRow="0" w:firstColumn="1" w:lastColumn="0" w:noHBand="0" w:noVBand="1"/>
    </w:tblPr>
    <w:tblGrid>
      <w:gridCol w:w="2268"/>
      <w:gridCol w:w="6946"/>
    </w:tblGrid>
    <w:tr w:rsidR="001774E1" w:rsidRPr="005C106F" w:rsidTr="009177B0">
      <w:trPr>
        <w:trHeight w:val="1435"/>
      </w:trPr>
      <w:tc>
        <w:tcPr>
          <w:tcW w:w="2268" w:type="dxa"/>
          <w:shd w:val="clear" w:color="auto" w:fill="auto"/>
        </w:tcPr>
        <w:p w:rsidR="001774E1" w:rsidRPr="005C106F" w:rsidRDefault="001774E1" w:rsidP="009177B0">
          <w:pPr>
            <w:tabs>
              <w:tab w:val="right" w:pos="4273"/>
            </w:tabs>
            <w:rPr>
              <w:rFonts w:ascii="Garamond" w:eastAsia="Calibri" w:hAnsi="Garamond"/>
              <w:sz w:val="16"/>
              <w:szCs w:val="16"/>
              <w:lang w:eastAsia="en-US"/>
            </w:rPr>
          </w:pPr>
        </w:p>
      </w:tc>
      <w:tc>
        <w:tcPr>
          <w:tcW w:w="6946" w:type="dxa"/>
          <w:shd w:val="clear" w:color="auto" w:fill="auto"/>
        </w:tcPr>
        <w:p w:rsidR="001774E1" w:rsidRDefault="001774E1" w:rsidP="009177B0"/>
        <w:tbl>
          <w:tblPr>
            <w:tblW w:w="6662" w:type="dxa"/>
            <w:tblInd w:w="40" w:type="dxa"/>
            <w:tblLayout w:type="fixed"/>
            <w:tblLook w:val="0420" w:firstRow="1" w:lastRow="0" w:firstColumn="0" w:lastColumn="0" w:noHBand="0" w:noVBand="1"/>
          </w:tblPr>
          <w:tblGrid>
            <w:gridCol w:w="2551"/>
            <w:gridCol w:w="4111"/>
          </w:tblGrid>
          <w:tr w:rsidR="001774E1" w:rsidTr="009177B0">
            <w:trPr>
              <w:trHeight w:val="150"/>
            </w:trPr>
            <w:tc>
              <w:tcPr>
                <w:tcW w:w="2551" w:type="dxa"/>
                <w:shd w:val="clear" w:color="auto" w:fill="auto"/>
              </w:tcPr>
              <w:p w:rsidR="001774E1" w:rsidRPr="00020E73" w:rsidRDefault="001774E1" w:rsidP="009177B0">
                <w:pPr>
                  <w:tabs>
                    <w:tab w:val="right" w:pos="8838"/>
                  </w:tabs>
                  <w:ind w:right="-10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Recurso de Revisión:</w:t>
                </w:r>
              </w:p>
            </w:tc>
            <w:tc>
              <w:tcPr>
                <w:tcW w:w="4111" w:type="dxa"/>
                <w:shd w:val="clear" w:color="auto" w:fill="auto"/>
              </w:tcPr>
              <w:p w:rsidR="001774E1" w:rsidRPr="00020E73" w:rsidRDefault="00062D39" w:rsidP="009177B0">
                <w:pPr>
                  <w:tabs>
                    <w:tab w:val="right" w:pos="8838"/>
                  </w:tabs>
                  <w:ind w:left="-108" w:right="-102"/>
                  <w:jc w:val="both"/>
                  <w:rPr>
                    <w:rFonts w:ascii="Palatino Linotype" w:eastAsia="Calibri" w:hAnsi="Palatino Linotype" w:cs="Tahoma"/>
                    <w:bCs/>
                    <w:sz w:val="22"/>
                    <w:szCs w:val="22"/>
                    <w:lang w:val="es-ES" w:eastAsia="en-US"/>
                  </w:rPr>
                </w:pPr>
                <w:r>
                  <w:rPr>
                    <w:rFonts w:ascii="Palatino Linotype" w:eastAsia="Calibri" w:hAnsi="Palatino Linotype" w:cs="Tahoma"/>
                    <w:bCs/>
                    <w:sz w:val="22"/>
                    <w:szCs w:val="22"/>
                    <w:lang w:eastAsia="en-US"/>
                  </w:rPr>
                  <w:t>14623</w:t>
                </w:r>
                <w:r w:rsidR="001774E1">
                  <w:rPr>
                    <w:rFonts w:ascii="Palatino Linotype" w:eastAsia="Calibri" w:hAnsi="Palatino Linotype" w:cs="Tahoma"/>
                    <w:bCs/>
                    <w:sz w:val="22"/>
                    <w:szCs w:val="22"/>
                    <w:lang w:eastAsia="en-US"/>
                  </w:rPr>
                  <w:t>/INFOEM/IP/RR/2022</w:t>
                </w:r>
                <w:r w:rsidR="001774E1" w:rsidRPr="009E7B0A">
                  <w:rPr>
                    <w:rFonts w:ascii="Palatino Linotype" w:eastAsia="Calibri" w:hAnsi="Palatino Linotype" w:cs="Tahoma"/>
                    <w:b/>
                    <w:bCs/>
                    <w:sz w:val="22"/>
                    <w:szCs w:val="22"/>
                    <w:lang w:eastAsia="en-US"/>
                  </w:rPr>
                  <w:t xml:space="preserve"> </w:t>
                </w:r>
              </w:p>
            </w:tc>
          </w:tr>
          <w:tr w:rsidR="001774E1" w:rsidTr="009177B0">
            <w:trPr>
              <w:trHeight w:val="295"/>
            </w:trPr>
            <w:tc>
              <w:tcPr>
                <w:tcW w:w="2551" w:type="dxa"/>
                <w:shd w:val="clear" w:color="auto" w:fill="auto"/>
              </w:tcPr>
              <w:p w:rsidR="001774E1" w:rsidRPr="00020E73" w:rsidRDefault="001774E1" w:rsidP="009177B0">
                <w:pPr>
                  <w:tabs>
                    <w:tab w:val="right" w:pos="8838"/>
                  </w:tabs>
                  <w:ind w:right="-10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Sujeto Obligado:</w:t>
                </w:r>
              </w:p>
            </w:tc>
            <w:tc>
              <w:tcPr>
                <w:tcW w:w="4111" w:type="dxa"/>
                <w:shd w:val="clear" w:color="auto" w:fill="auto"/>
              </w:tcPr>
              <w:p w:rsidR="001774E1" w:rsidRPr="00020E73" w:rsidRDefault="003F27EF" w:rsidP="009177B0">
                <w:pPr>
                  <w:tabs>
                    <w:tab w:val="left" w:pos="2834"/>
                    <w:tab w:val="right" w:pos="8838"/>
                  </w:tabs>
                  <w:ind w:left="-108" w:right="-102"/>
                  <w:jc w:val="both"/>
                  <w:rPr>
                    <w:rFonts w:ascii="Palatino Linotype" w:eastAsia="Calibri" w:hAnsi="Palatino Linotype" w:cs="Tahoma"/>
                    <w:b/>
                    <w:sz w:val="22"/>
                    <w:szCs w:val="22"/>
                    <w:lang w:val="es-ES" w:eastAsia="en-US"/>
                  </w:rPr>
                </w:pPr>
                <w:r>
                  <w:rPr>
                    <w:rFonts w:ascii="Palatino Linotype" w:eastAsia="Calibri" w:hAnsi="Palatino Linotype" w:cs="Tahoma"/>
                    <w:sz w:val="22"/>
                    <w:szCs w:val="22"/>
                    <w:lang w:eastAsia="en-US"/>
                  </w:rPr>
                  <w:t>Ayu</w:t>
                </w:r>
                <w:r w:rsidR="00062D39">
                  <w:rPr>
                    <w:rFonts w:ascii="Palatino Linotype" w:eastAsia="Calibri" w:hAnsi="Palatino Linotype" w:cs="Tahoma"/>
                    <w:sz w:val="22"/>
                    <w:szCs w:val="22"/>
                    <w:lang w:eastAsia="en-US"/>
                  </w:rPr>
                  <w:t>ntamiento de Tlalnepantla de Baz</w:t>
                </w:r>
              </w:p>
            </w:tc>
          </w:tr>
          <w:tr w:rsidR="001774E1" w:rsidTr="009177B0">
            <w:trPr>
              <w:trHeight w:val="295"/>
            </w:trPr>
            <w:tc>
              <w:tcPr>
                <w:tcW w:w="2551" w:type="dxa"/>
                <w:shd w:val="clear" w:color="auto" w:fill="auto"/>
              </w:tcPr>
              <w:p w:rsidR="001774E1" w:rsidRPr="00020E73" w:rsidRDefault="001774E1" w:rsidP="009177B0">
                <w:pPr>
                  <w:tabs>
                    <w:tab w:val="right" w:pos="8838"/>
                  </w:tabs>
                  <w:ind w:right="-105"/>
                  <w:rPr>
                    <w:rFonts w:ascii="Palatino Linotype" w:eastAsia="Calibri" w:hAnsi="Palatino Linotype" w:cs="Tahoma"/>
                    <w:b/>
                    <w:sz w:val="22"/>
                    <w:szCs w:val="22"/>
                    <w:lang w:val="es-ES" w:eastAsia="en-US"/>
                  </w:rPr>
                </w:pPr>
                <w:r>
                  <w:rPr>
                    <w:rFonts w:ascii="Palatino Linotype" w:eastAsia="Calibri" w:hAnsi="Palatino Linotype" w:cs="Tahoma"/>
                    <w:b/>
                    <w:sz w:val="22"/>
                    <w:szCs w:val="22"/>
                    <w:lang w:val="es-ES" w:eastAsia="en-US"/>
                  </w:rPr>
                  <w:t>Comisionada ponente</w:t>
                </w:r>
                <w:r w:rsidRPr="00020E73">
                  <w:rPr>
                    <w:rFonts w:ascii="Palatino Linotype" w:eastAsia="Calibri" w:hAnsi="Palatino Linotype" w:cs="Tahoma"/>
                    <w:b/>
                    <w:sz w:val="22"/>
                    <w:szCs w:val="22"/>
                    <w:lang w:val="es-ES" w:eastAsia="en-US"/>
                  </w:rPr>
                  <w:t>:</w:t>
                </w:r>
              </w:p>
            </w:tc>
            <w:tc>
              <w:tcPr>
                <w:tcW w:w="4111" w:type="dxa"/>
                <w:shd w:val="clear" w:color="auto" w:fill="auto"/>
              </w:tcPr>
              <w:p w:rsidR="001774E1" w:rsidRPr="00020E73" w:rsidRDefault="001774E1" w:rsidP="009177B0">
                <w:pPr>
                  <w:tabs>
                    <w:tab w:val="right" w:pos="8838"/>
                  </w:tabs>
                  <w:ind w:left="-108" w:right="171"/>
                  <w:jc w:val="both"/>
                  <w:rPr>
                    <w:rFonts w:ascii="Palatino Linotype" w:eastAsia="Calibri" w:hAnsi="Palatino Linotype" w:cs="Tahoma"/>
                    <w:sz w:val="22"/>
                    <w:szCs w:val="22"/>
                    <w:lang w:val="es-ES" w:eastAsia="en-US"/>
                  </w:rPr>
                </w:pPr>
                <w:r>
                  <w:rPr>
                    <w:rFonts w:ascii="Palatino Linotype" w:eastAsia="Calibri" w:hAnsi="Palatino Linotype" w:cs="Tahoma"/>
                    <w:sz w:val="22"/>
                    <w:szCs w:val="22"/>
                    <w:lang w:val="es-ES" w:eastAsia="en-US"/>
                  </w:rPr>
                  <w:t>María del Rosario Mejía Ayala</w:t>
                </w:r>
              </w:p>
              <w:p w:rsidR="001774E1" w:rsidRPr="00020E73" w:rsidRDefault="001774E1" w:rsidP="009177B0">
                <w:pPr>
                  <w:tabs>
                    <w:tab w:val="right" w:pos="8838"/>
                  </w:tabs>
                  <w:ind w:left="-108" w:right="171"/>
                  <w:jc w:val="both"/>
                  <w:rPr>
                    <w:rFonts w:ascii="Palatino Linotype" w:eastAsia="Calibri" w:hAnsi="Palatino Linotype" w:cs="Tahoma"/>
                    <w:b/>
                    <w:sz w:val="22"/>
                    <w:szCs w:val="22"/>
                    <w:lang w:val="es-ES" w:eastAsia="en-US"/>
                  </w:rPr>
                </w:pPr>
              </w:p>
            </w:tc>
          </w:tr>
        </w:tbl>
        <w:p w:rsidR="001774E1" w:rsidRPr="005C106F" w:rsidRDefault="001774E1" w:rsidP="009177B0">
          <w:pPr>
            <w:tabs>
              <w:tab w:val="right" w:pos="8838"/>
            </w:tabs>
            <w:ind w:left="-28"/>
            <w:jc w:val="both"/>
            <w:rPr>
              <w:rFonts w:ascii="Arial" w:eastAsia="Calibri" w:hAnsi="Arial" w:cs="Arial"/>
              <w:b/>
              <w:sz w:val="22"/>
              <w:szCs w:val="22"/>
              <w:lang w:eastAsia="en-US"/>
            </w:rPr>
          </w:pPr>
        </w:p>
      </w:tc>
    </w:tr>
  </w:tbl>
  <w:p w:rsidR="001774E1" w:rsidRPr="00443C6B" w:rsidRDefault="00BF7D55" w:rsidP="009177B0">
    <w:pPr>
      <w:pStyle w:val="Encabezado"/>
      <w:rPr>
        <w:sz w:val="14"/>
      </w:rPr>
    </w:pPr>
    <w:r>
      <w:rPr>
        <w:noProof/>
        <w:sz w:val="1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7395964" o:spid="_x0000_s2050" type="#_x0000_t75" alt="" style="position:absolute;margin-left:-68.8pt;margin-top:-120.5pt;width:589.8pt;height:768pt;z-index:-251656192;mso-wrap-edited:f;mso-width-percent:0;mso-height-percent:0;mso-position-horizontal-relative:margin;mso-position-vertical-relative:margin;mso-width-percent:0;mso-height-percent:0" o:allowincell="f">
          <v:imagedata r:id="rId1" o:title="resolución infoem imagen"/>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072" w:type="dxa"/>
      <w:tblLayout w:type="fixed"/>
      <w:tblLook w:val="04A0" w:firstRow="1" w:lastRow="0" w:firstColumn="1" w:lastColumn="0" w:noHBand="0" w:noVBand="1"/>
    </w:tblPr>
    <w:tblGrid>
      <w:gridCol w:w="2268"/>
      <w:gridCol w:w="6804"/>
    </w:tblGrid>
    <w:tr w:rsidR="001774E1" w:rsidRPr="00330DA7" w:rsidTr="009177B0">
      <w:trPr>
        <w:trHeight w:val="1435"/>
      </w:trPr>
      <w:tc>
        <w:tcPr>
          <w:tcW w:w="2268" w:type="dxa"/>
          <w:shd w:val="clear" w:color="auto" w:fill="auto"/>
        </w:tcPr>
        <w:p w:rsidR="001774E1" w:rsidRPr="00330DA7" w:rsidRDefault="001774E1" w:rsidP="009177B0">
          <w:pPr>
            <w:tabs>
              <w:tab w:val="right" w:pos="4273"/>
            </w:tabs>
            <w:rPr>
              <w:rFonts w:ascii="Garamond" w:eastAsia="Calibri" w:hAnsi="Garamond"/>
              <w:sz w:val="22"/>
              <w:szCs w:val="22"/>
              <w:lang w:eastAsia="en-US"/>
            </w:rPr>
          </w:pPr>
        </w:p>
      </w:tc>
      <w:tc>
        <w:tcPr>
          <w:tcW w:w="6804" w:type="dxa"/>
          <w:shd w:val="clear" w:color="auto" w:fill="auto"/>
        </w:tcPr>
        <w:tbl>
          <w:tblPr>
            <w:tblW w:w="6662" w:type="dxa"/>
            <w:tblInd w:w="40" w:type="dxa"/>
            <w:tblLayout w:type="fixed"/>
            <w:tblLook w:val="0420" w:firstRow="1" w:lastRow="0" w:firstColumn="0" w:lastColumn="0" w:noHBand="0" w:noVBand="1"/>
          </w:tblPr>
          <w:tblGrid>
            <w:gridCol w:w="2444"/>
            <w:gridCol w:w="4218"/>
          </w:tblGrid>
          <w:tr w:rsidR="001774E1" w:rsidRPr="00330DA7" w:rsidTr="009177B0">
            <w:trPr>
              <w:trHeight w:val="144"/>
            </w:trPr>
            <w:tc>
              <w:tcPr>
                <w:tcW w:w="2444" w:type="dxa"/>
                <w:shd w:val="clear" w:color="auto" w:fill="auto"/>
              </w:tcPr>
              <w:p w:rsidR="001774E1" w:rsidRPr="00020E73" w:rsidRDefault="001774E1" w:rsidP="009177B0">
                <w:pPr>
                  <w:tabs>
                    <w:tab w:val="right" w:pos="8838"/>
                  </w:tabs>
                  <w:ind w:left="-264" w:right="-105" w:firstLine="19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Recurso de Revisión:</w:t>
                </w:r>
              </w:p>
            </w:tc>
            <w:tc>
              <w:tcPr>
                <w:tcW w:w="4218" w:type="dxa"/>
                <w:shd w:val="clear" w:color="auto" w:fill="auto"/>
              </w:tcPr>
              <w:p w:rsidR="001774E1" w:rsidRPr="00020E73" w:rsidRDefault="00062D39" w:rsidP="009177B0">
                <w:pPr>
                  <w:tabs>
                    <w:tab w:val="right" w:pos="8838"/>
                  </w:tabs>
                  <w:ind w:left="-74" w:right="-105"/>
                  <w:jc w:val="both"/>
                  <w:rPr>
                    <w:rFonts w:ascii="Palatino Linotype" w:eastAsia="Calibri" w:hAnsi="Palatino Linotype" w:cs="Tahoma"/>
                    <w:bCs/>
                    <w:sz w:val="22"/>
                    <w:szCs w:val="22"/>
                    <w:lang w:val="es-ES" w:eastAsia="en-US"/>
                  </w:rPr>
                </w:pPr>
                <w:r>
                  <w:rPr>
                    <w:rFonts w:ascii="Palatino Linotype" w:eastAsia="Calibri" w:hAnsi="Palatino Linotype" w:cs="Tahoma"/>
                    <w:sz w:val="22"/>
                    <w:szCs w:val="22"/>
                    <w:lang w:eastAsia="en-US"/>
                  </w:rPr>
                  <w:t>14623</w:t>
                </w:r>
                <w:r w:rsidR="001774E1">
                  <w:rPr>
                    <w:rFonts w:ascii="Palatino Linotype" w:eastAsia="Calibri" w:hAnsi="Palatino Linotype" w:cs="Tahoma"/>
                    <w:sz w:val="22"/>
                    <w:szCs w:val="22"/>
                    <w:lang w:eastAsia="en-US"/>
                  </w:rPr>
                  <w:t>/INFOEM/IP/RR/2022</w:t>
                </w:r>
                <w:r w:rsidR="001774E1">
                  <w:rPr>
                    <w:rFonts w:ascii="Palatino Linotype" w:eastAsia="Calibri" w:hAnsi="Palatino Linotype" w:cs="Tahoma"/>
                    <w:b/>
                    <w:bCs/>
                    <w:sz w:val="22"/>
                    <w:szCs w:val="22"/>
                    <w:lang w:eastAsia="en-US"/>
                  </w:rPr>
                  <w:t xml:space="preserve"> </w:t>
                </w:r>
              </w:p>
            </w:tc>
          </w:tr>
          <w:tr w:rsidR="001774E1" w:rsidRPr="00330DA7" w:rsidTr="009177B0">
            <w:trPr>
              <w:trHeight w:val="144"/>
            </w:trPr>
            <w:tc>
              <w:tcPr>
                <w:tcW w:w="2444" w:type="dxa"/>
                <w:shd w:val="clear" w:color="auto" w:fill="auto"/>
              </w:tcPr>
              <w:p w:rsidR="001774E1" w:rsidRPr="00020E73" w:rsidRDefault="001774E1" w:rsidP="009177B0">
                <w:pPr>
                  <w:tabs>
                    <w:tab w:val="right" w:pos="8838"/>
                  </w:tabs>
                  <w:ind w:left="-74" w:right="-10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Recurrente:</w:t>
                </w:r>
              </w:p>
            </w:tc>
            <w:tc>
              <w:tcPr>
                <w:tcW w:w="4218" w:type="dxa"/>
                <w:shd w:val="clear" w:color="auto" w:fill="auto"/>
              </w:tcPr>
              <w:p w:rsidR="001774E1" w:rsidRPr="00020E73" w:rsidRDefault="00166794" w:rsidP="00C60D17">
                <w:pPr>
                  <w:tabs>
                    <w:tab w:val="left" w:pos="1185"/>
                  </w:tabs>
                  <w:ind w:right="-105"/>
                  <w:jc w:val="both"/>
                  <w:rPr>
                    <w:rFonts w:ascii="Palatino Linotype" w:eastAsia="Calibri" w:hAnsi="Palatino Linotype" w:cs="Tahoma"/>
                    <w:sz w:val="22"/>
                    <w:szCs w:val="22"/>
                    <w:lang w:val="es-ES" w:eastAsia="en-US"/>
                  </w:rPr>
                </w:pPr>
                <w:r>
                  <w:rPr>
                    <w:rFonts w:ascii="Palatino Linotype" w:eastAsia="Calibri" w:hAnsi="Palatino Linotype" w:cs="Tahoma"/>
                    <w:sz w:val="22"/>
                    <w:szCs w:val="22"/>
                    <w:lang w:val="es-ES" w:eastAsia="en-US"/>
                  </w:rPr>
                  <w:t>XXX XXXX XXXX</w:t>
                </w:r>
              </w:p>
            </w:tc>
          </w:tr>
          <w:tr w:rsidR="001774E1" w:rsidRPr="00330DA7" w:rsidTr="009177B0">
            <w:trPr>
              <w:trHeight w:val="283"/>
            </w:trPr>
            <w:tc>
              <w:tcPr>
                <w:tcW w:w="2444" w:type="dxa"/>
                <w:shd w:val="clear" w:color="auto" w:fill="auto"/>
              </w:tcPr>
              <w:p w:rsidR="001774E1" w:rsidRPr="00020E73" w:rsidRDefault="001774E1" w:rsidP="009177B0">
                <w:pPr>
                  <w:tabs>
                    <w:tab w:val="right" w:pos="8838"/>
                  </w:tabs>
                  <w:ind w:left="-74" w:right="-10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Sujeto Obligado:</w:t>
                </w:r>
              </w:p>
            </w:tc>
            <w:tc>
              <w:tcPr>
                <w:tcW w:w="4218" w:type="dxa"/>
                <w:shd w:val="clear" w:color="auto" w:fill="auto"/>
              </w:tcPr>
              <w:p w:rsidR="001774E1" w:rsidRPr="009E7B0A" w:rsidRDefault="003F27EF" w:rsidP="009177B0">
                <w:pPr>
                  <w:tabs>
                    <w:tab w:val="left" w:pos="2834"/>
                    <w:tab w:val="right" w:pos="8838"/>
                  </w:tabs>
                  <w:ind w:left="-74" w:right="-105"/>
                  <w:jc w:val="both"/>
                  <w:rPr>
                    <w:rFonts w:ascii="Palatino Linotype" w:eastAsia="Calibri" w:hAnsi="Palatino Linotype" w:cs="Tahoma"/>
                    <w:sz w:val="22"/>
                    <w:szCs w:val="22"/>
                    <w:lang w:val="es-ES" w:eastAsia="en-US"/>
                  </w:rPr>
                </w:pPr>
                <w:r>
                  <w:rPr>
                    <w:rFonts w:ascii="Palatino Linotype" w:eastAsia="Calibri" w:hAnsi="Palatino Linotype" w:cs="Tahoma"/>
                    <w:sz w:val="22"/>
                    <w:szCs w:val="22"/>
                    <w:lang w:eastAsia="en-US"/>
                  </w:rPr>
                  <w:t>Ayu</w:t>
                </w:r>
                <w:r w:rsidR="00062D39">
                  <w:rPr>
                    <w:rFonts w:ascii="Palatino Linotype" w:eastAsia="Calibri" w:hAnsi="Palatino Linotype" w:cs="Tahoma"/>
                    <w:sz w:val="22"/>
                    <w:szCs w:val="22"/>
                    <w:lang w:eastAsia="en-US"/>
                  </w:rPr>
                  <w:t xml:space="preserve">ntamiento de Tlalnepantla de Baz </w:t>
                </w:r>
              </w:p>
            </w:tc>
          </w:tr>
          <w:tr w:rsidR="001774E1" w:rsidRPr="00330DA7" w:rsidTr="009177B0">
            <w:trPr>
              <w:trHeight w:val="283"/>
            </w:trPr>
            <w:tc>
              <w:tcPr>
                <w:tcW w:w="2444" w:type="dxa"/>
                <w:shd w:val="clear" w:color="auto" w:fill="auto"/>
              </w:tcPr>
              <w:p w:rsidR="001774E1" w:rsidRPr="00020E73" w:rsidRDefault="001774E1" w:rsidP="009177B0">
                <w:pPr>
                  <w:tabs>
                    <w:tab w:val="right" w:pos="8838"/>
                  </w:tabs>
                  <w:ind w:left="-74" w:right="-105"/>
                  <w:rPr>
                    <w:rFonts w:ascii="Palatino Linotype" w:eastAsia="Calibri" w:hAnsi="Palatino Linotype" w:cs="Tahoma"/>
                    <w:b/>
                    <w:sz w:val="22"/>
                    <w:szCs w:val="22"/>
                    <w:lang w:val="es-ES" w:eastAsia="en-US"/>
                  </w:rPr>
                </w:pPr>
                <w:r>
                  <w:rPr>
                    <w:rFonts w:ascii="Palatino Linotype" w:eastAsia="Calibri" w:hAnsi="Palatino Linotype" w:cs="Tahoma"/>
                    <w:b/>
                    <w:sz w:val="22"/>
                    <w:szCs w:val="22"/>
                    <w:lang w:val="es-ES" w:eastAsia="en-US"/>
                  </w:rPr>
                  <w:t>Comisionada ponente</w:t>
                </w:r>
                <w:r w:rsidRPr="00020E73">
                  <w:rPr>
                    <w:rFonts w:ascii="Palatino Linotype" w:eastAsia="Calibri" w:hAnsi="Palatino Linotype" w:cs="Tahoma"/>
                    <w:b/>
                    <w:sz w:val="22"/>
                    <w:szCs w:val="22"/>
                    <w:lang w:val="es-ES" w:eastAsia="en-US"/>
                  </w:rPr>
                  <w:t>:</w:t>
                </w:r>
              </w:p>
            </w:tc>
            <w:tc>
              <w:tcPr>
                <w:tcW w:w="4218" w:type="dxa"/>
                <w:shd w:val="clear" w:color="auto" w:fill="auto"/>
              </w:tcPr>
              <w:p w:rsidR="001774E1" w:rsidRPr="00020E73" w:rsidRDefault="001774E1" w:rsidP="009177B0">
                <w:pPr>
                  <w:tabs>
                    <w:tab w:val="right" w:pos="8838"/>
                  </w:tabs>
                  <w:ind w:left="-74" w:right="-105"/>
                  <w:jc w:val="both"/>
                  <w:rPr>
                    <w:rFonts w:ascii="Palatino Linotype" w:eastAsia="Calibri" w:hAnsi="Palatino Linotype" w:cs="Tahoma"/>
                    <w:sz w:val="22"/>
                    <w:szCs w:val="22"/>
                    <w:lang w:val="es-ES" w:eastAsia="en-US"/>
                  </w:rPr>
                </w:pPr>
                <w:r>
                  <w:rPr>
                    <w:rFonts w:ascii="Palatino Linotype" w:eastAsia="Calibri" w:hAnsi="Palatino Linotype" w:cs="Tahoma"/>
                    <w:sz w:val="22"/>
                    <w:szCs w:val="22"/>
                    <w:lang w:val="es-ES" w:eastAsia="en-US"/>
                  </w:rPr>
                  <w:t>María del Rosario Mejía Ayala</w:t>
                </w:r>
              </w:p>
              <w:p w:rsidR="001774E1" w:rsidRPr="00020E73" w:rsidRDefault="001774E1" w:rsidP="009177B0">
                <w:pPr>
                  <w:tabs>
                    <w:tab w:val="right" w:pos="8838"/>
                  </w:tabs>
                  <w:ind w:left="-74" w:right="-105"/>
                  <w:jc w:val="both"/>
                  <w:rPr>
                    <w:rFonts w:ascii="Palatino Linotype" w:eastAsia="Calibri" w:hAnsi="Palatino Linotype" w:cs="Tahoma"/>
                    <w:b/>
                    <w:sz w:val="22"/>
                    <w:szCs w:val="22"/>
                    <w:lang w:val="es-ES" w:eastAsia="en-US"/>
                  </w:rPr>
                </w:pPr>
              </w:p>
            </w:tc>
          </w:tr>
        </w:tbl>
        <w:p w:rsidR="001774E1" w:rsidRPr="00330DA7" w:rsidRDefault="001774E1" w:rsidP="009177B0">
          <w:pPr>
            <w:tabs>
              <w:tab w:val="right" w:pos="8838"/>
            </w:tabs>
            <w:ind w:left="-28"/>
            <w:jc w:val="both"/>
            <w:rPr>
              <w:rFonts w:ascii="Arial" w:eastAsia="Calibri" w:hAnsi="Arial" w:cs="Arial"/>
              <w:b/>
              <w:sz w:val="22"/>
              <w:szCs w:val="22"/>
              <w:lang w:eastAsia="en-US"/>
            </w:rPr>
          </w:pPr>
        </w:p>
      </w:tc>
    </w:tr>
  </w:tbl>
  <w:p w:rsidR="001774E1" w:rsidRPr="00827FA0" w:rsidRDefault="00BF7D55" w:rsidP="009177B0">
    <w:pPr>
      <w:pStyle w:val="Encabezado"/>
      <w:rPr>
        <w:sz w:val="2"/>
        <w:szCs w:val="22"/>
      </w:rPr>
    </w:pPr>
    <w:r>
      <w:rPr>
        <w:noProof/>
        <w:sz w:val="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7395962" o:spid="_x0000_s2051" type="#_x0000_t75" alt="" style="position:absolute;margin-left:-68.8pt;margin-top:-117.6pt;width:589.8pt;height:768pt;z-index:-251655168;mso-wrap-edited:f;mso-width-percent:0;mso-height-percent:0;mso-position-horizontal-relative:margin;mso-position-vertical-relative:margin;mso-width-percent:0;mso-height-percent:0" o:allowincell="f">
          <v:imagedata r:id="rId1" o:title="resolución infoem image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291B51"/>
    <w:multiLevelType w:val="hybridMultilevel"/>
    <w:tmpl w:val="3658570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A56472A"/>
    <w:multiLevelType w:val="multilevel"/>
    <w:tmpl w:val="D862D7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A6D2A8B"/>
    <w:multiLevelType w:val="hybridMultilevel"/>
    <w:tmpl w:val="B1EA01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0F045075"/>
    <w:multiLevelType w:val="hybridMultilevel"/>
    <w:tmpl w:val="CAD286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0F403E35"/>
    <w:multiLevelType w:val="hybridMultilevel"/>
    <w:tmpl w:val="C8D88A20"/>
    <w:lvl w:ilvl="0" w:tplc="92BE0B36">
      <w:start w:val="1"/>
      <w:numFmt w:val="decimal"/>
      <w:lvlText w:val="%1."/>
      <w:lvlJc w:val="left"/>
      <w:pPr>
        <w:ind w:left="360" w:hanging="360"/>
      </w:pPr>
      <w:rPr>
        <w:rFonts w:ascii="Palatino Linotype" w:hAnsi="Palatino Linotype" w:hint="default"/>
        <w:b/>
        <w:i w:val="0"/>
        <w:color w:val="auto"/>
        <w:sz w:val="24"/>
      </w:rPr>
    </w:lvl>
    <w:lvl w:ilvl="1" w:tplc="080A0013">
      <w:start w:val="1"/>
      <w:numFmt w:val="upperRoman"/>
      <w:lvlText w:val="%2."/>
      <w:lvlJc w:val="right"/>
      <w:pPr>
        <w:ind w:left="7525" w:hanging="720"/>
      </w:pPr>
      <w:rPr>
        <w:rFonts w:hint="default"/>
      </w:rPr>
    </w:lvl>
    <w:lvl w:ilvl="2" w:tplc="362EE9DC">
      <w:start w:val="4"/>
      <w:numFmt w:val="lowerLetter"/>
      <w:lvlText w:val="%3)"/>
      <w:lvlJc w:val="left"/>
      <w:pPr>
        <w:ind w:left="2340" w:hanging="360"/>
      </w:pPr>
      <w:rPr>
        <w:rFonts w:hint="default"/>
      </w:rPr>
    </w:lvl>
    <w:lvl w:ilvl="3" w:tplc="080A000F">
      <w:start w:val="1"/>
      <w:numFmt w:val="decimal"/>
      <w:lvlText w:val="%4."/>
      <w:lvlJc w:val="left"/>
      <w:pPr>
        <w:ind w:left="2880" w:hanging="360"/>
      </w:pPr>
    </w:lvl>
    <w:lvl w:ilvl="4" w:tplc="3B14BCD2">
      <w:start w:val="104"/>
      <w:numFmt w:val="decimal"/>
      <w:lvlText w:val="%5"/>
      <w:lvlJc w:val="left"/>
      <w:pPr>
        <w:ind w:left="3600" w:hanging="360"/>
      </w:pPr>
      <w:rPr>
        <w:rFonts w:hint="default"/>
        <w:b/>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18F57E5"/>
    <w:multiLevelType w:val="hybridMultilevel"/>
    <w:tmpl w:val="A7E4770A"/>
    <w:lvl w:ilvl="0" w:tplc="8976ECCA">
      <w:start w:val="1"/>
      <w:numFmt w:val="upperRoman"/>
      <w:lvlText w:val="%1."/>
      <w:lvlJc w:val="left"/>
      <w:pPr>
        <w:ind w:left="1080" w:hanging="720"/>
      </w:pPr>
      <w:rPr>
        <w:rFonts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122A1263"/>
    <w:multiLevelType w:val="hybridMultilevel"/>
    <w:tmpl w:val="C50041F4"/>
    <w:lvl w:ilvl="0" w:tplc="488219D8">
      <w:start w:val="4"/>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13B713D7"/>
    <w:multiLevelType w:val="hybridMultilevel"/>
    <w:tmpl w:val="9470F554"/>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8">
    <w:nsid w:val="15230A8C"/>
    <w:multiLevelType w:val="hybridMultilevel"/>
    <w:tmpl w:val="71EE1F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194E680A"/>
    <w:multiLevelType w:val="multilevel"/>
    <w:tmpl w:val="39E6A6F0"/>
    <w:lvl w:ilvl="0">
      <w:start w:val="1"/>
      <w:numFmt w:val="bullet"/>
      <w:lvlText w:val=""/>
      <w:lvlJc w:val="left"/>
      <w:pPr>
        <w:tabs>
          <w:tab w:val="num" w:pos="720"/>
        </w:tabs>
        <w:ind w:left="720" w:hanging="360"/>
      </w:pPr>
      <w:rPr>
        <w:rFonts w:ascii="Symbol" w:hAnsi="Symbol" w:hint="default"/>
        <w:sz w:val="20"/>
      </w:rPr>
    </w:lvl>
    <w:lvl w:ilvl="1">
      <w:start w:val="5"/>
      <w:numFmt w:val="upperRoman"/>
      <w:lvlText w:val="%2."/>
      <w:lvlJc w:val="left"/>
      <w:pPr>
        <w:ind w:left="1800" w:hanging="72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B8611E4"/>
    <w:multiLevelType w:val="multilevel"/>
    <w:tmpl w:val="21948E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599255F"/>
    <w:multiLevelType w:val="multilevel"/>
    <w:tmpl w:val="ABCEA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6776F8C"/>
    <w:multiLevelType w:val="hybridMultilevel"/>
    <w:tmpl w:val="A0D6B406"/>
    <w:lvl w:ilvl="0" w:tplc="0AD2893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26DC054D"/>
    <w:multiLevelType w:val="multilevel"/>
    <w:tmpl w:val="F746D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A4557A3"/>
    <w:multiLevelType w:val="hybridMultilevel"/>
    <w:tmpl w:val="88B2A158"/>
    <w:lvl w:ilvl="0" w:tplc="AF668C6A">
      <w:start w:val="1"/>
      <w:numFmt w:val="lowerLetter"/>
      <w:lvlText w:val="%1)"/>
      <w:lvlJc w:val="left"/>
      <w:pPr>
        <w:ind w:left="720" w:hanging="360"/>
      </w:pPr>
      <w:rPr>
        <w:rFonts w:cs="Times New Roman"/>
        <w:b/>
        <w:bCs/>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5">
    <w:nsid w:val="2A9C596E"/>
    <w:multiLevelType w:val="hybridMultilevel"/>
    <w:tmpl w:val="9852044C"/>
    <w:lvl w:ilvl="0" w:tplc="080A001B">
      <w:start w:val="1"/>
      <w:numFmt w:val="low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2DC0610A"/>
    <w:multiLevelType w:val="hybridMultilevel"/>
    <w:tmpl w:val="C44AC4EC"/>
    <w:lvl w:ilvl="0" w:tplc="5B82041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313736CB"/>
    <w:multiLevelType w:val="hybridMultilevel"/>
    <w:tmpl w:val="0252402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340A1CB1"/>
    <w:multiLevelType w:val="multilevel"/>
    <w:tmpl w:val="19647DEA"/>
    <w:lvl w:ilvl="0">
      <w:start w:val="25"/>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nsid w:val="34317490"/>
    <w:multiLevelType w:val="hybridMultilevel"/>
    <w:tmpl w:val="93441E8A"/>
    <w:lvl w:ilvl="0" w:tplc="92BE0B36">
      <w:start w:val="1"/>
      <w:numFmt w:val="decimal"/>
      <w:lvlText w:val="%1."/>
      <w:lvlJc w:val="left"/>
      <w:pPr>
        <w:ind w:left="360" w:hanging="360"/>
      </w:pPr>
      <w:rPr>
        <w:rFonts w:ascii="Palatino Linotype" w:hAnsi="Palatino Linotype" w:hint="default"/>
        <w:b/>
        <w:i w:val="0"/>
        <w:color w:val="auto"/>
        <w:sz w:val="24"/>
      </w:rPr>
    </w:lvl>
    <w:lvl w:ilvl="1" w:tplc="080A0013">
      <w:start w:val="1"/>
      <w:numFmt w:val="upperRoman"/>
      <w:lvlText w:val="%2."/>
      <w:lvlJc w:val="right"/>
      <w:pPr>
        <w:ind w:left="7525" w:hanging="720"/>
      </w:pPr>
      <w:rPr>
        <w:rFonts w:hint="default"/>
      </w:rPr>
    </w:lvl>
    <w:lvl w:ilvl="2" w:tplc="362EE9DC">
      <w:start w:val="4"/>
      <w:numFmt w:val="lowerLetter"/>
      <w:lvlText w:val="%3)"/>
      <w:lvlJc w:val="left"/>
      <w:pPr>
        <w:ind w:left="2340" w:hanging="360"/>
      </w:pPr>
      <w:rPr>
        <w:rFonts w:hint="default"/>
      </w:rPr>
    </w:lvl>
    <w:lvl w:ilvl="3" w:tplc="080A000F">
      <w:start w:val="1"/>
      <w:numFmt w:val="decimal"/>
      <w:lvlText w:val="%4."/>
      <w:lvlJc w:val="left"/>
      <w:pPr>
        <w:ind w:left="2880" w:hanging="360"/>
      </w:pPr>
    </w:lvl>
    <w:lvl w:ilvl="4" w:tplc="3B14BCD2">
      <w:start w:val="104"/>
      <w:numFmt w:val="decimal"/>
      <w:lvlText w:val="%5"/>
      <w:lvlJc w:val="left"/>
      <w:pPr>
        <w:ind w:left="3600" w:hanging="360"/>
      </w:pPr>
      <w:rPr>
        <w:rFonts w:hint="default"/>
        <w:b/>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3698179C"/>
    <w:multiLevelType w:val="multilevel"/>
    <w:tmpl w:val="ED348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92753F6"/>
    <w:multiLevelType w:val="hybridMultilevel"/>
    <w:tmpl w:val="CDC6BB0E"/>
    <w:lvl w:ilvl="0" w:tplc="DBC0F55E">
      <w:start w:val="1"/>
      <w:numFmt w:val="upperRoman"/>
      <w:lvlText w:val="%1."/>
      <w:lvlJc w:val="left"/>
      <w:pPr>
        <w:ind w:left="1080" w:hanging="720"/>
      </w:pPr>
      <w:rPr>
        <w:rFonts w:cs="Times New Roman"/>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2">
    <w:nsid w:val="3CCA62DB"/>
    <w:multiLevelType w:val="hybridMultilevel"/>
    <w:tmpl w:val="133060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428B21A9"/>
    <w:multiLevelType w:val="multilevel"/>
    <w:tmpl w:val="1812D8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81227ED"/>
    <w:multiLevelType w:val="multilevel"/>
    <w:tmpl w:val="D28C04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CAD431B"/>
    <w:multiLevelType w:val="hybridMultilevel"/>
    <w:tmpl w:val="118A4FD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nsid w:val="4E6831A2"/>
    <w:multiLevelType w:val="hybridMultilevel"/>
    <w:tmpl w:val="C44AC4EC"/>
    <w:lvl w:ilvl="0" w:tplc="5B82041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4E707071"/>
    <w:multiLevelType w:val="hybridMultilevel"/>
    <w:tmpl w:val="CAEA1478"/>
    <w:lvl w:ilvl="0" w:tplc="893E82A6">
      <w:start w:val="1"/>
      <w:numFmt w:val="lowerLetter"/>
      <w:lvlText w:val="%1)"/>
      <w:lvlJc w:val="left"/>
      <w:pPr>
        <w:ind w:left="720" w:hanging="360"/>
      </w:pPr>
      <w:rPr>
        <w:rFonts w:ascii="Palatino Linotype" w:eastAsiaTheme="minorHAnsi" w:hAnsi="Palatino Linotype" w:cstheme="minorBidi"/>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51F45554"/>
    <w:multiLevelType w:val="hybridMultilevel"/>
    <w:tmpl w:val="A1A84E52"/>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29">
    <w:nsid w:val="560839D1"/>
    <w:multiLevelType w:val="hybridMultilevel"/>
    <w:tmpl w:val="69765CEE"/>
    <w:lvl w:ilvl="0" w:tplc="89E0DA48">
      <w:start w:val="1"/>
      <w:numFmt w:val="decimal"/>
      <w:lvlText w:val="%1."/>
      <w:lvlJc w:val="left"/>
      <w:pPr>
        <w:ind w:left="644" w:hanging="360"/>
      </w:pPr>
      <w:rPr>
        <w:b/>
        <w:i w:val="0"/>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59014D2C"/>
    <w:multiLevelType w:val="multilevel"/>
    <w:tmpl w:val="C248E1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E11042D"/>
    <w:multiLevelType w:val="hybridMultilevel"/>
    <w:tmpl w:val="06B6CC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nsid w:val="602B190D"/>
    <w:multiLevelType w:val="hybridMultilevel"/>
    <w:tmpl w:val="936ACE08"/>
    <w:lvl w:ilvl="0" w:tplc="3EF48730">
      <w:start w:val="1"/>
      <w:numFmt w:val="decimal"/>
      <w:lvlText w:val="%1."/>
      <w:lvlJc w:val="left"/>
      <w:pPr>
        <w:ind w:left="360" w:hanging="360"/>
      </w:pPr>
      <w:rPr>
        <w:rFonts w:ascii="Palatino Linotype" w:hAnsi="Palatino Linotype" w:hint="default"/>
        <w:b/>
        <w:i w:val="0"/>
        <w:color w:val="auto"/>
        <w:sz w:val="24"/>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3">
    <w:nsid w:val="63A50FF6"/>
    <w:multiLevelType w:val="hybridMultilevel"/>
    <w:tmpl w:val="E29CFFBE"/>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34">
    <w:nsid w:val="6CD5741B"/>
    <w:multiLevelType w:val="multilevel"/>
    <w:tmpl w:val="EDF2E1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FCC2614"/>
    <w:multiLevelType w:val="multilevel"/>
    <w:tmpl w:val="F432C79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6">
    <w:nsid w:val="76DB0AAF"/>
    <w:multiLevelType w:val="multilevel"/>
    <w:tmpl w:val="06D452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E2C32A8"/>
    <w:multiLevelType w:val="hybridMultilevel"/>
    <w:tmpl w:val="D5A0EB8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nsid w:val="7FCB5368"/>
    <w:multiLevelType w:val="hybridMultilevel"/>
    <w:tmpl w:val="E2EADFB2"/>
    <w:lvl w:ilvl="0" w:tplc="5A1A0B60">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abstractNumId w:val="19"/>
  </w:num>
  <w:num w:numId="2">
    <w:abstractNumId w:val="0"/>
  </w:num>
  <w:num w:numId="3">
    <w:abstractNumId w:val="37"/>
  </w:num>
  <w:num w:numId="4">
    <w:abstractNumId w:val="16"/>
  </w:num>
  <w:num w:numId="5">
    <w:abstractNumId w:val="27"/>
  </w:num>
  <w:num w:numId="6">
    <w:abstractNumId w:val="26"/>
  </w:num>
  <w:num w:numId="7">
    <w:abstractNumId w:val="17"/>
  </w:num>
  <w:num w:numId="8">
    <w:abstractNumId w:val="19"/>
    <w:lvlOverride w:ilvl="0">
      <w:startOverride w:val="1"/>
    </w:lvlOverride>
    <w:lvlOverride w:ilvl="1">
      <w:startOverride w:val="1"/>
    </w:lvlOverride>
    <w:lvlOverride w:ilvl="2">
      <w:startOverride w:val="4"/>
    </w:lvlOverride>
    <w:lvlOverride w:ilvl="3">
      <w:startOverride w:val="1"/>
    </w:lvlOverride>
    <w:lvlOverride w:ilvl="4">
      <w:startOverride w:val="104"/>
    </w:lvlOverride>
    <w:lvlOverride w:ilvl="5">
      <w:startOverride w:val="1"/>
    </w:lvlOverride>
    <w:lvlOverride w:ilvl="6">
      <w:startOverride w:val="1"/>
    </w:lvlOverride>
    <w:lvlOverride w:ilvl="7">
      <w:startOverride w:val="1"/>
    </w:lvlOverride>
    <w:lvlOverride w:ilvl="8">
      <w:startOverride w:val="1"/>
    </w:lvlOverride>
  </w:num>
  <w:num w:numId="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4"/>
  </w:num>
  <w:num w:numId="11">
    <w:abstractNumId w:val="1"/>
  </w:num>
  <w:num w:numId="12">
    <w:abstractNumId w:val="24"/>
  </w:num>
  <w:num w:numId="13">
    <w:abstractNumId w:val="10"/>
  </w:num>
  <w:num w:numId="14">
    <w:abstractNumId w:val="13"/>
  </w:num>
  <w:num w:numId="15">
    <w:abstractNumId w:val="36"/>
  </w:num>
  <w:num w:numId="16">
    <w:abstractNumId w:val="35"/>
  </w:num>
  <w:num w:numId="17">
    <w:abstractNumId w:val="35"/>
    <w:lvlOverride w:ilvl="0">
      <w:startOverride w:val="2"/>
    </w:lvlOverride>
  </w:num>
  <w:num w:numId="18">
    <w:abstractNumId w:val="35"/>
    <w:lvlOverride w:ilvl="0">
      <w:startOverride w:val="3"/>
    </w:lvlOverride>
  </w:num>
  <w:num w:numId="19">
    <w:abstractNumId w:val="35"/>
    <w:lvlOverride w:ilvl="0">
      <w:startOverride w:val="4"/>
    </w:lvlOverride>
  </w:num>
  <w:num w:numId="20">
    <w:abstractNumId w:val="35"/>
    <w:lvlOverride w:ilvl="0">
      <w:startOverride w:val="5"/>
    </w:lvlOverride>
  </w:num>
  <w:num w:numId="21">
    <w:abstractNumId w:val="30"/>
  </w:num>
  <w:num w:numId="22">
    <w:abstractNumId w:val="23"/>
  </w:num>
  <w:num w:numId="23">
    <w:abstractNumId w:val="20"/>
  </w:num>
  <w:num w:numId="24">
    <w:abstractNumId w:val="34"/>
  </w:num>
  <w:num w:numId="25">
    <w:abstractNumId w:val="11"/>
  </w:num>
  <w:num w:numId="26">
    <w:abstractNumId w:val="9"/>
  </w:num>
  <w:num w:numId="27">
    <w:abstractNumId w:val="29"/>
  </w:num>
  <w:num w:numId="28">
    <w:abstractNumId w:val="3"/>
  </w:num>
  <w:num w:numId="29">
    <w:abstractNumId w:val="12"/>
  </w:num>
  <w:num w:numId="30">
    <w:abstractNumId w:val="33"/>
  </w:num>
  <w:num w:numId="31">
    <w:abstractNumId w:val="28"/>
  </w:num>
  <w:num w:numId="32">
    <w:abstractNumId w:val="7"/>
  </w:num>
  <w:num w:numId="33">
    <w:abstractNumId w:val="6"/>
  </w:num>
  <w:num w:numId="34">
    <w:abstractNumId w:val="32"/>
  </w:num>
  <w:num w:numId="35">
    <w:abstractNumId w:val="25"/>
  </w:num>
  <w:num w:numId="36">
    <w:abstractNumId w:val="38"/>
  </w:num>
  <w:num w:numId="37">
    <w:abstractNumId w:val="5"/>
  </w:num>
  <w:num w:numId="38">
    <w:abstractNumId w:val="31"/>
  </w:num>
  <w:num w:numId="39">
    <w:abstractNumId w:val="18"/>
  </w:num>
  <w:num w:numId="40">
    <w:abstractNumId w:val="22"/>
  </w:num>
  <w:num w:numId="41">
    <w:abstractNumId w:val="8"/>
  </w:num>
  <w:num w:numId="42">
    <w:abstractNumId w:val="2"/>
  </w:num>
  <w:num w:numId="43">
    <w:abstractNumId w:val="4"/>
  </w:num>
  <w:num w:numId="4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71ED"/>
    <w:rsid w:val="000010B3"/>
    <w:rsid w:val="00007A3C"/>
    <w:rsid w:val="00026EC3"/>
    <w:rsid w:val="0003313A"/>
    <w:rsid w:val="00056A59"/>
    <w:rsid w:val="00057CC7"/>
    <w:rsid w:val="00062D39"/>
    <w:rsid w:val="00081D5B"/>
    <w:rsid w:val="000839E0"/>
    <w:rsid w:val="00086B87"/>
    <w:rsid w:val="0009789E"/>
    <w:rsid w:val="000D3605"/>
    <w:rsid w:val="000D710D"/>
    <w:rsid w:val="000F0B2D"/>
    <w:rsid w:val="000F2137"/>
    <w:rsid w:val="001031C5"/>
    <w:rsid w:val="00122711"/>
    <w:rsid w:val="001465F8"/>
    <w:rsid w:val="001504E7"/>
    <w:rsid w:val="00166794"/>
    <w:rsid w:val="00174E58"/>
    <w:rsid w:val="001774E1"/>
    <w:rsid w:val="001A2C14"/>
    <w:rsid w:val="001A7A6B"/>
    <w:rsid w:val="001C147A"/>
    <w:rsid w:val="001C623B"/>
    <w:rsid w:val="001D5CA3"/>
    <w:rsid w:val="001D6B0A"/>
    <w:rsid w:val="001F362D"/>
    <w:rsid w:val="002030FA"/>
    <w:rsid w:val="0021125A"/>
    <w:rsid w:val="00214EBE"/>
    <w:rsid w:val="0022714D"/>
    <w:rsid w:val="0023061D"/>
    <w:rsid w:val="00235936"/>
    <w:rsid w:val="00237B30"/>
    <w:rsid w:val="00262BA7"/>
    <w:rsid w:val="002B0C3D"/>
    <w:rsid w:val="002F0045"/>
    <w:rsid w:val="0030306B"/>
    <w:rsid w:val="00320A33"/>
    <w:rsid w:val="00345582"/>
    <w:rsid w:val="00354870"/>
    <w:rsid w:val="00365331"/>
    <w:rsid w:val="0037058E"/>
    <w:rsid w:val="0037329C"/>
    <w:rsid w:val="00397389"/>
    <w:rsid w:val="003A0EBB"/>
    <w:rsid w:val="003B12BB"/>
    <w:rsid w:val="003C70C2"/>
    <w:rsid w:val="003D14CF"/>
    <w:rsid w:val="003F27EF"/>
    <w:rsid w:val="00410AEF"/>
    <w:rsid w:val="00417ACD"/>
    <w:rsid w:val="00464213"/>
    <w:rsid w:val="004674F8"/>
    <w:rsid w:val="00476A23"/>
    <w:rsid w:val="004A7012"/>
    <w:rsid w:val="004C346A"/>
    <w:rsid w:val="004F78EA"/>
    <w:rsid w:val="00501A5B"/>
    <w:rsid w:val="00544F84"/>
    <w:rsid w:val="0054757B"/>
    <w:rsid w:val="00563053"/>
    <w:rsid w:val="0056596E"/>
    <w:rsid w:val="0058435A"/>
    <w:rsid w:val="00593BE3"/>
    <w:rsid w:val="005B0948"/>
    <w:rsid w:val="005B21E0"/>
    <w:rsid w:val="005B447E"/>
    <w:rsid w:val="005C7CFA"/>
    <w:rsid w:val="005D020A"/>
    <w:rsid w:val="005D445E"/>
    <w:rsid w:val="005D7A0B"/>
    <w:rsid w:val="005E0589"/>
    <w:rsid w:val="00605506"/>
    <w:rsid w:val="006200BF"/>
    <w:rsid w:val="00624906"/>
    <w:rsid w:val="00641E0C"/>
    <w:rsid w:val="006503BB"/>
    <w:rsid w:val="006642B9"/>
    <w:rsid w:val="00664C6F"/>
    <w:rsid w:val="0067259A"/>
    <w:rsid w:val="00675D3E"/>
    <w:rsid w:val="00690A62"/>
    <w:rsid w:val="00695AFA"/>
    <w:rsid w:val="00697765"/>
    <w:rsid w:val="006B2450"/>
    <w:rsid w:val="006B73B2"/>
    <w:rsid w:val="006D0141"/>
    <w:rsid w:val="006D15E0"/>
    <w:rsid w:val="006D1ED3"/>
    <w:rsid w:val="006F66A4"/>
    <w:rsid w:val="00712860"/>
    <w:rsid w:val="00715022"/>
    <w:rsid w:val="007400B8"/>
    <w:rsid w:val="00755754"/>
    <w:rsid w:val="0076643E"/>
    <w:rsid w:val="00770803"/>
    <w:rsid w:val="0077204A"/>
    <w:rsid w:val="00787C4C"/>
    <w:rsid w:val="00791BCF"/>
    <w:rsid w:val="007C0134"/>
    <w:rsid w:val="007D429F"/>
    <w:rsid w:val="007D5A0C"/>
    <w:rsid w:val="007E19E4"/>
    <w:rsid w:val="00860157"/>
    <w:rsid w:val="00874BC8"/>
    <w:rsid w:val="008755DD"/>
    <w:rsid w:val="0088142D"/>
    <w:rsid w:val="00884B26"/>
    <w:rsid w:val="008A5D8C"/>
    <w:rsid w:val="008B628C"/>
    <w:rsid w:val="008F381E"/>
    <w:rsid w:val="009177B0"/>
    <w:rsid w:val="00923909"/>
    <w:rsid w:val="0094246A"/>
    <w:rsid w:val="009725B3"/>
    <w:rsid w:val="00994FEB"/>
    <w:rsid w:val="009954DB"/>
    <w:rsid w:val="00996A56"/>
    <w:rsid w:val="009B6FD5"/>
    <w:rsid w:val="00A02D82"/>
    <w:rsid w:val="00A14B38"/>
    <w:rsid w:val="00A3041A"/>
    <w:rsid w:val="00A63369"/>
    <w:rsid w:val="00A657B2"/>
    <w:rsid w:val="00A80D02"/>
    <w:rsid w:val="00A834B6"/>
    <w:rsid w:val="00A9346F"/>
    <w:rsid w:val="00A96646"/>
    <w:rsid w:val="00AD078B"/>
    <w:rsid w:val="00AD6B52"/>
    <w:rsid w:val="00B00F9B"/>
    <w:rsid w:val="00B34EE2"/>
    <w:rsid w:val="00B648C3"/>
    <w:rsid w:val="00B72B98"/>
    <w:rsid w:val="00B76E16"/>
    <w:rsid w:val="00B773D9"/>
    <w:rsid w:val="00B8615F"/>
    <w:rsid w:val="00B92590"/>
    <w:rsid w:val="00BA5E14"/>
    <w:rsid w:val="00BB7308"/>
    <w:rsid w:val="00BD29D8"/>
    <w:rsid w:val="00BD4BF5"/>
    <w:rsid w:val="00BE4EB3"/>
    <w:rsid w:val="00BF5C26"/>
    <w:rsid w:val="00BF7D55"/>
    <w:rsid w:val="00C02C47"/>
    <w:rsid w:val="00C60D17"/>
    <w:rsid w:val="00C92DB2"/>
    <w:rsid w:val="00C931FC"/>
    <w:rsid w:val="00CD24B8"/>
    <w:rsid w:val="00D24A01"/>
    <w:rsid w:val="00D64AFE"/>
    <w:rsid w:val="00D70833"/>
    <w:rsid w:val="00D771ED"/>
    <w:rsid w:val="00D82C77"/>
    <w:rsid w:val="00DD183F"/>
    <w:rsid w:val="00DF2A3A"/>
    <w:rsid w:val="00DF666E"/>
    <w:rsid w:val="00E7252C"/>
    <w:rsid w:val="00EB61F5"/>
    <w:rsid w:val="00ED78EA"/>
    <w:rsid w:val="00F10F86"/>
    <w:rsid w:val="00F11CA3"/>
    <w:rsid w:val="00F24524"/>
    <w:rsid w:val="00F720E4"/>
    <w:rsid w:val="00F84C28"/>
    <w:rsid w:val="00FA273A"/>
    <w:rsid w:val="00FA5B74"/>
    <w:rsid w:val="00FC7473"/>
    <w:rsid w:val="00FC7B9E"/>
    <w:rsid w:val="00FE2824"/>
    <w:rsid w:val="00FE48D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3EEE087A-53DA-4ED8-930E-84266214B4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771ED"/>
    <w:pPr>
      <w:spacing w:after="0" w:line="240" w:lineRule="auto"/>
    </w:pPr>
    <w:rPr>
      <w:rFonts w:ascii="Times New Roman" w:eastAsia="Times New Roman" w:hAnsi="Times New Roman" w:cs="Times New Roman"/>
      <w:sz w:val="24"/>
      <w:szCs w:val="24"/>
      <w:lang w:val="es-MX" w:eastAsia="es-MX"/>
    </w:rPr>
  </w:style>
  <w:style w:type="paragraph" w:styleId="Ttulo1">
    <w:name w:val="heading 1"/>
    <w:basedOn w:val="Normal"/>
    <w:next w:val="Normal"/>
    <w:link w:val="Ttulo1Car"/>
    <w:uiPriority w:val="9"/>
    <w:qFormat/>
    <w:rsid w:val="00D771ED"/>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D771ED"/>
    <w:pPr>
      <w:keepNext/>
      <w:keepLines/>
      <w:spacing w:before="40" w:line="259" w:lineRule="auto"/>
      <w:outlineLvl w:val="1"/>
    </w:pPr>
    <w:rPr>
      <w:rFonts w:asciiTheme="majorHAnsi" w:eastAsiaTheme="majorEastAsia" w:hAnsiTheme="majorHAnsi" w:cstheme="majorBidi"/>
      <w:color w:val="2E74B5" w:themeColor="accent1" w:themeShade="BF"/>
      <w:sz w:val="26"/>
      <w:szCs w:val="26"/>
      <w:lang w:eastAsia="en-US"/>
    </w:rPr>
  </w:style>
  <w:style w:type="paragraph" w:styleId="Ttulo3">
    <w:name w:val="heading 3"/>
    <w:basedOn w:val="Normal"/>
    <w:next w:val="Normal"/>
    <w:link w:val="Ttulo3Car"/>
    <w:uiPriority w:val="9"/>
    <w:unhideWhenUsed/>
    <w:qFormat/>
    <w:rsid w:val="004674F8"/>
    <w:pPr>
      <w:keepNext/>
      <w:keepLines/>
      <w:spacing w:before="40"/>
      <w:outlineLvl w:val="2"/>
    </w:pPr>
    <w:rPr>
      <w:rFonts w:asciiTheme="majorHAnsi" w:eastAsiaTheme="majorEastAsia" w:hAnsiTheme="majorHAnsi" w:cstheme="majorBidi"/>
      <w:color w:val="1F4D78" w:themeColor="accent1" w:themeShade="7F"/>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D771ED"/>
    <w:rPr>
      <w:rFonts w:asciiTheme="majorHAnsi" w:eastAsiaTheme="majorEastAsia" w:hAnsiTheme="majorHAnsi" w:cstheme="majorBidi"/>
      <w:color w:val="2E74B5" w:themeColor="accent1" w:themeShade="BF"/>
      <w:sz w:val="32"/>
      <w:szCs w:val="32"/>
      <w:lang w:val="es-MX" w:eastAsia="es-MX"/>
    </w:rPr>
  </w:style>
  <w:style w:type="character" w:customStyle="1" w:styleId="Ttulo2Car">
    <w:name w:val="Título 2 Car"/>
    <w:basedOn w:val="Fuentedeprrafopredeter"/>
    <w:link w:val="Ttulo2"/>
    <w:uiPriority w:val="9"/>
    <w:rsid w:val="00D771ED"/>
    <w:rPr>
      <w:rFonts w:asciiTheme="majorHAnsi" w:eastAsiaTheme="majorEastAsia" w:hAnsiTheme="majorHAnsi" w:cstheme="majorBidi"/>
      <w:color w:val="2E74B5" w:themeColor="accent1" w:themeShade="BF"/>
      <w:sz w:val="26"/>
      <w:szCs w:val="26"/>
      <w:lang w:val="es-MX"/>
    </w:rPr>
  </w:style>
  <w:style w:type="paragraph" w:styleId="Encabezado">
    <w:name w:val="header"/>
    <w:basedOn w:val="Normal"/>
    <w:link w:val="EncabezadoCar"/>
    <w:uiPriority w:val="99"/>
    <w:unhideWhenUsed/>
    <w:rsid w:val="00D771ED"/>
    <w:pPr>
      <w:tabs>
        <w:tab w:val="center" w:pos="4419"/>
        <w:tab w:val="right" w:pos="8838"/>
      </w:tabs>
    </w:pPr>
  </w:style>
  <w:style w:type="character" w:customStyle="1" w:styleId="EncabezadoCar">
    <w:name w:val="Encabezado Car"/>
    <w:basedOn w:val="Fuentedeprrafopredeter"/>
    <w:link w:val="Encabezado"/>
    <w:uiPriority w:val="99"/>
    <w:rsid w:val="00D771ED"/>
    <w:rPr>
      <w:rFonts w:ascii="Times New Roman" w:eastAsia="Times New Roman" w:hAnsi="Times New Roman" w:cs="Times New Roman"/>
      <w:sz w:val="24"/>
      <w:szCs w:val="24"/>
      <w:lang w:val="es-MX" w:eastAsia="es-MX"/>
    </w:rPr>
  </w:style>
  <w:style w:type="paragraph" w:styleId="Piedepgina">
    <w:name w:val="footer"/>
    <w:basedOn w:val="Normal"/>
    <w:link w:val="PiedepginaCar"/>
    <w:uiPriority w:val="99"/>
    <w:unhideWhenUsed/>
    <w:rsid w:val="00D771ED"/>
    <w:pPr>
      <w:tabs>
        <w:tab w:val="center" w:pos="4419"/>
        <w:tab w:val="right" w:pos="8838"/>
      </w:tabs>
    </w:pPr>
  </w:style>
  <w:style w:type="character" w:customStyle="1" w:styleId="PiedepginaCar">
    <w:name w:val="Pie de página Car"/>
    <w:basedOn w:val="Fuentedeprrafopredeter"/>
    <w:link w:val="Piedepgina"/>
    <w:uiPriority w:val="99"/>
    <w:rsid w:val="00D771ED"/>
    <w:rPr>
      <w:rFonts w:ascii="Times New Roman" w:eastAsia="Times New Roman" w:hAnsi="Times New Roman" w:cs="Times New Roman"/>
      <w:sz w:val="24"/>
      <w:szCs w:val="24"/>
      <w:lang w:val="es-MX" w:eastAsia="es-MX"/>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D771ED"/>
    <w:pPr>
      <w:ind w:left="720"/>
      <w:contextualSpacing/>
    </w:pPr>
    <w:rPr>
      <w:rFonts w:ascii="Century Gothic" w:hAnsi="Century Gothic"/>
      <w:sz w:val="22"/>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rsid w:val="00D771ED"/>
    <w:rPr>
      <w:rFonts w:ascii="Century Gothic" w:eastAsia="Times New Roman" w:hAnsi="Century Gothic" w:cs="Times New Roman"/>
      <w:szCs w:val="24"/>
      <w:lang w:val="es-MX" w:eastAsia="es-MX"/>
    </w:rPr>
  </w:style>
  <w:style w:type="character" w:styleId="Hipervnculo">
    <w:name w:val="Hyperlink"/>
    <w:aliases w:val="Hipervínculo1,Hipervínculo11,Hipervínculo12,Hipervínculo13,Hipervínculo14,Hipervínculo15"/>
    <w:uiPriority w:val="99"/>
    <w:unhideWhenUsed/>
    <w:rsid w:val="00D771ED"/>
    <w:rPr>
      <w:color w:val="0563C1"/>
      <w:u w:val="single"/>
    </w:rPr>
  </w:style>
  <w:style w:type="paragraph" w:styleId="Sinespaciado">
    <w:name w:val="No Spacing"/>
    <w:aliases w:val="Francesa,INAI"/>
    <w:link w:val="SinespaciadoCar"/>
    <w:uiPriority w:val="1"/>
    <w:qFormat/>
    <w:rsid w:val="00D771ED"/>
    <w:pPr>
      <w:spacing w:after="0" w:line="240" w:lineRule="auto"/>
    </w:pPr>
    <w:rPr>
      <w:lang w:val="es-MX"/>
    </w:rPr>
  </w:style>
  <w:style w:type="character" w:customStyle="1" w:styleId="SinespaciadoCar">
    <w:name w:val="Sin espaciado Car"/>
    <w:aliases w:val="Francesa Car,INAI Car"/>
    <w:link w:val="Sinespaciado"/>
    <w:uiPriority w:val="1"/>
    <w:locked/>
    <w:rsid w:val="00D771ED"/>
    <w:rPr>
      <w:lang w:val="es-MX"/>
    </w:rPr>
  </w:style>
  <w:style w:type="paragraph" w:styleId="TDC1">
    <w:name w:val="toc 1"/>
    <w:basedOn w:val="Normal"/>
    <w:next w:val="Normal"/>
    <w:autoRedefine/>
    <w:uiPriority w:val="39"/>
    <w:unhideWhenUsed/>
    <w:rsid w:val="00D771ED"/>
    <w:pPr>
      <w:spacing w:after="100" w:line="259" w:lineRule="auto"/>
    </w:pPr>
    <w:rPr>
      <w:rFonts w:asciiTheme="minorHAnsi" w:eastAsiaTheme="minorHAnsi" w:hAnsiTheme="minorHAnsi" w:cstheme="minorBidi"/>
      <w:sz w:val="22"/>
      <w:szCs w:val="22"/>
      <w:lang w:eastAsia="en-US"/>
    </w:rPr>
  </w:style>
  <w:style w:type="paragraph" w:styleId="TDC2">
    <w:name w:val="toc 2"/>
    <w:basedOn w:val="Normal"/>
    <w:next w:val="Normal"/>
    <w:autoRedefine/>
    <w:uiPriority w:val="39"/>
    <w:unhideWhenUsed/>
    <w:rsid w:val="00D771ED"/>
    <w:pPr>
      <w:tabs>
        <w:tab w:val="right" w:leader="dot" w:pos="8637"/>
      </w:tabs>
      <w:spacing w:line="480" w:lineRule="auto"/>
    </w:pPr>
    <w:rPr>
      <w:rFonts w:asciiTheme="minorHAnsi" w:eastAsiaTheme="minorHAnsi" w:hAnsiTheme="minorHAnsi" w:cstheme="minorBidi"/>
      <w:sz w:val="22"/>
      <w:szCs w:val="22"/>
      <w:lang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D771ED"/>
    <w:rPr>
      <w:vertAlign w:val="superscript"/>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locked/>
    <w:rsid w:val="00D771ED"/>
    <w:rPr>
      <w:sz w:val="20"/>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D771ED"/>
    <w:rPr>
      <w:rFonts w:asciiTheme="minorHAnsi" w:eastAsiaTheme="minorHAnsi" w:hAnsiTheme="minorHAnsi" w:cstheme="minorBidi"/>
      <w:sz w:val="20"/>
      <w:szCs w:val="20"/>
      <w:lang w:val="es-ES" w:eastAsia="en-US"/>
    </w:rPr>
  </w:style>
  <w:style w:type="character" w:customStyle="1" w:styleId="TextonotapieCar1">
    <w:name w:val="Texto nota pie Car1"/>
    <w:basedOn w:val="Fuentedeprrafopredeter"/>
    <w:uiPriority w:val="99"/>
    <w:semiHidden/>
    <w:rsid w:val="00D771ED"/>
    <w:rPr>
      <w:rFonts w:ascii="Times New Roman" w:eastAsia="Times New Roman" w:hAnsi="Times New Roman" w:cs="Times New Roman"/>
      <w:sz w:val="20"/>
      <w:szCs w:val="20"/>
      <w:lang w:val="es-MX" w:eastAsia="es-MX"/>
    </w:rPr>
  </w:style>
  <w:style w:type="paragraph" w:styleId="TDC3">
    <w:name w:val="toc 3"/>
    <w:basedOn w:val="Normal"/>
    <w:next w:val="Normal"/>
    <w:autoRedefine/>
    <w:uiPriority w:val="39"/>
    <w:unhideWhenUsed/>
    <w:rsid w:val="00D771ED"/>
    <w:pPr>
      <w:spacing w:after="100"/>
      <w:ind w:left="480"/>
    </w:pPr>
  </w:style>
  <w:style w:type="table" w:styleId="Tabladecuadrcula6concolores">
    <w:name w:val="Grid Table 6 Colorful"/>
    <w:basedOn w:val="Tablanormal"/>
    <w:uiPriority w:val="51"/>
    <w:rsid w:val="0030306B"/>
    <w:pPr>
      <w:spacing w:after="0" w:line="240" w:lineRule="auto"/>
    </w:pPr>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apple-converted-space">
    <w:name w:val="apple-converted-space"/>
    <w:basedOn w:val="Fuentedeprrafopredeter"/>
    <w:qFormat/>
    <w:rsid w:val="001A7A6B"/>
  </w:style>
  <w:style w:type="table" w:customStyle="1" w:styleId="Tablaconcuadrcula27">
    <w:name w:val="Tabla con cuadrícula27"/>
    <w:basedOn w:val="Tablanormal"/>
    <w:next w:val="Tablaconcuadrcula"/>
    <w:uiPriority w:val="39"/>
    <w:rsid w:val="001A7A6B"/>
    <w:pPr>
      <w:spacing w:after="0" w:line="240" w:lineRule="auto"/>
    </w:pPr>
    <w:rPr>
      <w:rFonts w:eastAsia="Times New Roman"/>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aconcuadrcula">
    <w:name w:val="Table Grid"/>
    <w:basedOn w:val="Tablanormal"/>
    <w:uiPriority w:val="39"/>
    <w:rsid w:val="001A7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visitado">
    <w:name w:val="FollowedHyperlink"/>
    <w:basedOn w:val="Fuentedeprrafopredeter"/>
    <w:uiPriority w:val="99"/>
    <w:semiHidden/>
    <w:unhideWhenUsed/>
    <w:rsid w:val="0094246A"/>
    <w:rPr>
      <w:color w:val="954F72" w:themeColor="followedHyperlink"/>
      <w:u w:val="single"/>
    </w:rPr>
  </w:style>
  <w:style w:type="table" w:styleId="Tablanormal1">
    <w:name w:val="Plain Table 1"/>
    <w:basedOn w:val="Tablanormal"/>
    <w:uiPriority w:val="41"/>
    <w:rsid w:val="00AD078B"/>
    <w:pPr>
      <w:spacing w:after="0" w:line="240" w:lineRule="auto"/>
    </w:pPr>
    <w:rPr>
      <w:lang w:val="es-MX"/>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Default">
    <w:name w:val="Default"/>
    <w:rsid w:val="00FC7473"/>
    <w:pPr>
      <w:autoSpaceDE w:val="0"/>
      <w:autoSpaceDN w:val="0"/>
      <w:adjustRightInd w:val="0"/>
      <w:spacing w:after="0" w:line="240" w:lineRule="auto"/>
    </w:pPr>
    <w:rPr>
      <w:rFonts w:ascii="Arial" w:hAnsi="Arial" w:cs="Arial"/>
      <w:color w:val="000000"/>
      <w:sz w:val="24"/>
      <w:szCs w:val="24"/>
      <w:lang w:val="es-MX"/>
    </w:rPr>
  </w:style>
  <w:style w:type="character" w:customStyle="1" w:styleId="Ttulo3Car">
    <w:name w:val="Título 3 Car"/>
    <w:basedOn w:val="Fuentedeprrafopredeter"/>
    <w:link w:val="Ttulo3"/>
    <w:uiPriority w:val="9"/>
    <w:rsid w:val="004674F8"/>
    <w:rPr>
      <w:rFonts w:asciiTheme="majorHAnsi" w:eastAsiaTheme="majorEastAsia" w:hAnsiTheme="majorHAnsi" w:cstheme="majorBidi"/>
      <w:color w:val="1F4D78" w:themeColor="accent1" w:themeShade="7F"/>
      <w:sz w:val="24"/>
      <w:szCs w:val="24"/>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16329872">
      <w:bodyDiv w:val="1"/>
      <w:marLeft w:val="0"/>
      <w:marRight w:val="0"/>
      <w:marTop w:val="0"/>
      <w:marBottom w:val="0"/>
      <w:divBdr>
        <w:top w:val="none" w:sz="0" w:space="0" w:color="auto"/>
        <w:left w:val="none" w:sz="0" w:space="0" w:color="auto"/>
        <w:bottom w:val="none" w:sz="0" w:space="0" w:color="auto"/>
        <w:right w:val="none" w:sz="0" w:space="0" w:color="auto"/>
      </w:divBdr>
    </w:div>
    <w:div w:id="980888520">
      <w:bodyDiv w:val="1"/>
      <w:marLeft w:val="0"/>
      <w:marRight w:val="0"/>
      <w:marTop w:val="0"/>
      <w:marBottom w:val="0"/>
      <w:divBdr>
        <w:top w:val="none" w:sz="0" w:space="0" w:color="auto"/>
        <w:left w:val="none" w:sz="0" w:space="0" w:color="auto"/>
        <w:bottom w:val="none" w:sz="0" w:space="0" w:color="auto"/>
        <w:right w:val="none" w:sz="0" w:space="0" w:color="auto"/>
      </w:divBdr>
    </w:div>
    <w:div w:id="984897592">
      <w:bodyDiv w:val="1"/>
      <w:marLeft w:val="0"/>
      <w:marRight w:val="0"/>
      <w:marTop w:val="0"/>
      <w:marBottom w:val="0"/>
      <w:divBdr>
        <w:top w:val="none" w:sz="0" w:space="0" w:color="auto"/>
        <w:left w:val="none" w:sz="0" w:space="0" w:color="auto"/>
        <w:bottom w:val="none" w:sz="0" w:space="0" w:color="auto"/>
        <w:right w:val="none" w:sz="0" w:space="0" w:color="auto"/>
      </w:divBdr>
    </w:div>
    <w:div w:id="1289513029">
      <w:bodyDiv w:val="1"/>
      <w:marLeft w:val="0"/>
      <w:marRight w:val="0"/>
      <w:marTop w:val="0"/>
      <w:marBottom w:val="0"/>
      <w:divBdr>
        <w:top w:val="none" w:sz="0" w:space="0" w:color="auto"/>
        <w:left w:val="none" w:sz="0" w:space="0" w:color="auto"/>
        <w:bottom w:val="none" w:sz="0" w:space="0" w:color="auto"/>
        <w:right w:val="none" w:sz="0" w:space="0" w:color="auto"/>
      </w:divBdr>
    </w:div>
    <w:div w:id="1341348193">
      <w:bodyDiv w:val="1"/>
      <w:marLeft w:val="0"/>
      <w:marRight w:val="0"/>
      <w:marTop w:val="0"/>
      <w:marBottom w:val="0"/>
      <w:divBdr>
        <w:top w:val="none" w:sz="0" w:space="0" w:color="auto"/>
        <w:left w:val="none" w:sz="0" w:space="0" w:color="auto"/>
        <w:bottom w:val="none" w:sz="0" w:space="0" w:color="auto"/>
        <w:right w:val="none" w:sz="0" w:space="0" w:color="auto"/>
      </w:divBdr>
    </w:div>
    <w:div w:id="1356078717">
      <w:bodyDiv w:val="1"/>
      <w:marLeft w:val="0"/>
      <w:marRight w:val="0"/>
      <w:marTop w:val="0"/>
      <w:marBottom w:val="0"/>
      <w:divBdr>
        <w:top w:val="none" w:sz="0" w:space="0" w:color="auto"/>
        <w:left w:val="none" w:sz="0" w:space="0" w:color="auto"/>
        <w:bottom w:val="none" w:sz="0" w:space="0" w:color="auto"/>
        <w:right w:val="none" w:sz="0" w:space="0" w:color="auto"/>
      </w:divBdr>
    </w:div>
    <w:div w:id="1383407087">
      <w:bodyDiv w:val="1"/>
      <w:marLeft w:val="0"/>
      <w:marRight w:val="0"/>
      <w:marTop w:val="0"/>
      <w:marBottom w:val="0"/>
      <w:divBdr>
        <w:top w:val="none" w:sz="0" w:space="0" w:color="auto"/>
        <w:left w:val="none" w:sz="0" w:space="0" w:color="auto"/>
        <w:bottom w:val="none" w:sz="0" w:space="0" w:color="auto"/>
        <w:right w:val="none" w:sz="0" w:space="0" w:color="auto"/>
      </w:divBdr>
    </w:div>
    <w:div w:id="1438792582">
      <w:bodyDiv w:val="1"/>
      <w:marLeft w:val="0"/>
      <w:marRight w:val="0"/>
      <w:marTop w:val="0"/>
      <w:marBottom w:val="0"/>
      <w:divBdr>
        <w:top w:val="none" w:sz="0" w:space="0" w:color="auto"/>
        <w:left w:val="none" w:sz="0" w:space="0" w:color="auto"/>
        <w:bottom w:val="none" w:sz="0" w:space="0" w:color="auto"/>
        <w:right w:val="none" w:sz="0" w:space="0" w:color="auto"/>
      </w:divBdr>
    </w:div>
    <w:div w:id="1591159543">
      <w:bodyDiv w:val="1"/>
      <w:marLeft w:val="0"/>
      <w:marRight w:val="0"/>
      <w:marTop w:val="0"/>
      <w:marBottom w:val="0"/>
      <w:divBdr>
        <w:top w:val="none" w:sz="0" w:space="0" w:color="auto"/>
        <w:left w:val="none" w:sz="0" w:space="0" w:color="auto"/>
        <w:bottom w:val="none" w:sz="0" w:space="0" w:color="auto"/>
        <w:right w:val="none" w:sz="0" w:space="0" w:color="auto"/>
      </w:divBdr>
    </w:div>
    <w:div w:id="1602639496">
      <w:bodyDiv w:val="1"/>
      <w:marLeft w:val="0"/>
      <w:marRight w:val="0"/>
      <w:marTop w:val="0"/>
      <w:marBottom w:val="0"/>
      <w:divBdr>
        <w:top w:val="none" w:sz="0" w:space="0" w:color="auto"/>
        <w:left w:val="none" w:sz="0" w:space="0" w:color="auto"/>
        <w:bottom w:val="none" w:sz="0" w:space="0" w:color="auto"/>
        <w:right w:val="none" w:sz="0" w:space="0" w:color="auto"/>
      </w:divBdr>
    </w:div>
    <w:div w:id="20229745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aimex.org.mx/saimex/solicitud/downloadAttach/1566947.page" TargetMode="External"/><Relationship Id="rId13" Type="http://schemas.openxmlformats.org/officeDocument/2006/relationships/image" Target="media/image4.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saimex.org.mx/saimex/solicitud/downloadAttach/1584491.page"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6BB9DF-2B70-45C8-8138-84AA6B4621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41</Pages>
  <Words>7984</Words>
  <Characters>43912</Characters>
  <Application>Microsoft Office Word</Application>
  <DocSecurity>0</DocSecurity>
  <Lines>365</Lines>
  <Paragraphs>103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51793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4</cp:revision>
  <dcterms:created xsi:type="dcterms:W3CDTF">2022-10-10T22:19:00Z</dcterms:created>
  <dcterms:modified xsi:type="dcterms:W3CDTF">2022-11-11T19:06:00Z</dcterms:modified>
</cp:coreProperties>
</file>