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93156" w14:textId="77777777" w:rsidR="00BC21BF" w:rsidRPr="00F86869" w:rsidRDefault="00334506">
      <w:pPr>
        <w:spacing w:before="240" w:after="240" w:line="360" w:lineRule="auto"/>
        <w:jc w:val="both"/>
        <w:rPr>
          <w:rFonts w:ascii="Palatino Linotype" w:eastAsia="Palatino Linotype" w:hAnsi="Palatino Linotype" w:cs="Palatino Linotype"/>
        </w:rPr>
      </w:pPr>
      <w:bookmarkStart w:id="0" w:name="_heading=h.1fob9te" w:colFirst="0" w:colLast="0"/>
      <w:bookmarkStart w:id="1" w:name="_GoBack"/>
      <w:bookmarkEnd w:id="0"/>
      <w:bookmarkEnd w:id="1"/>
      <w:r w:rsidRPr="00F8686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475460" w:rsidRPr="00F86869">
        <w:rPr>
          <w:rFonts w:ascii="Palatino Linotype" w:eastAsia="Palatino Linotype" w:hAnsi="Palatino Linotype" w:cs="Palatino Linotype"/>
        </w:rPr>
        <w:t xml:space="preserve"> Estado de México, de fecha diecisiete</w:t>
      </w:r>
      <w:r w:rsidRPr="00F86869">
        <w:rPr>
          <w:rFonts w:ascii="Palatino Linotype" w:eastAsia="Palatino Linotype" w:hAnsi="Palatino Linotype" w:cs="Palatino Linotype"/>
        </w:rPr>
        <w:t xml:space="preserve"> de agosto del dos mil veintidós.</w:t>
      </w:r>
    </w:p>
    <w:p w14:paraId="08A668E4" w14:textId="77777777" w:rsidR="00BC21BF" w:rsidRPr="00F86869" w:rsidRDefault="00334506">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Visto</w:t>
      </w:r>
      <w:r w:rsidRPr="00F86869">
        <w:rPr>
          <w:rFonts w:ascii="Palatino Linotype" w:eastAsia="Palatino Linotype" w:hAnsi="Palatino Linotype" w:cs="Palatino Linotype"/>
        </w:rPr>
        <w:t xml:space="preserve"> el expediente relativo al recurso de revisión </w:t>
      </w:r>
      <w:r w:rsidRPr="00F86869">
        <w:rPr>
          <w:rFonts w:ascii="Palatino Linotype" w:eastAsia="Palatino Linotype" w:hAnsi="Palatino Linotype" w:cs="Palatino Linotype"/>
          <w:b/>
        </w:rPr>
        <w:t>05209/INFOEM/IP/RR/2022</w:t>
      </w:r>
      <w:r w:rsidRPr="00F86869">
        <w:rPr>
          <w:rFonts w:ascii="Palatino Linotype" w:eastAsia="Palatino Linotype" w:hAnsi="Palatino Linotype" w:cs="Palatino Linotype"/>
        </w:rPr>
        <w:t xml:space="preserve">, interpuesto por </w:t>
      </w:r>
      <w:r w:rsidRPr="00F86869">
        <w:rPr>
          <w:rFonts w:ascii="Palatino Linotype" w:eastAsia="Palatino Linotype" w:hAnsi="Palatino Linotype" w:cs="Palatino Linotype"/>
          <w:b/>
        </w:rPr>
        <w:t>un particular que no proporcionó nombre o seudónimo</w:t>
      </w:r>
      <w:r w:rsidRPr="00F86869">
        <w:rPr>
          <w:rFonts w:ascii="Palatino Linotype" w:eastAsia="Palatino Linotype" w:hAnsi="Palatino Linotype" w:cs="Palatino Linotype"/>
        </w:rPr>
        <w:t xml:space="preserve">, a quien se le denominará la parte </w:t>
      </w:r>
      <w:r w:rsidRPr="00F86869">
        <w:rPr>
          <w:rFonts w:ascii="Palatino Linotype" w:eastAsia="Palatino Linotype" w:hAnsi="Palatino Linotype" w:cs="Palatino Linotype"/>
          <w:b/>
        </w:rPr>
        <w:t>RECURRENTE</w:t>
      </w:r>
      <w:r w:rsidRPr="00F86869">
        <w:rPr>
          <w:rFonts w:ascii="Palatino Linotype" w:eastAsia="Palatino Linotype" w:hAnsi="Palatino Linotype" w:cs="Palatino Linotype"/>
        </w:rPr>
        <w:t xml:space="preserve">, en contra de la respuesta a su solicitud de información con número de folio </w:t>
      </w:r>
      <w:r w:rsidRPr="00F86869">
        <w:rPr>
          <w:rFonts w:ascii="Palatino Linotype" w:eastAsia="Palatino Linotype" w:hAnsi="Palatino Linotype" w:cs="Palatino Linotype"/>
          <w:b/>
        </w:rPr>
        <w:t xml:space="preserve">00632/TOLUCA/IP/2022, </w:t>
      </w:r>
      <w:r w:rsidRPr="00F86869">
        <w:rPr>
          <w:rFonts w:ascii="Palatino Linotype" w:eastAsia="Palatino Linotype" w:hAnsi="Palatino Linotype" w:cs="Palatino Linotype"/>
        </w:rPr>
        <w:t xml:space="preserve">por parte del </w:t>
      </w:r>
      <w:r w:rsidRPr="00F86869">
        <w:rPr>
          <w:rFonts w:ascii="Palatino Linotype" w:eastAsia="Palatino Linotype" w:hAnsi="Palatino Linotype" w:cs="Palatino Linotype"/>
          <w:b/>
        </w:rPr>
        <w:t xml:space="preserve">Ayuntamiento de Toluca, </w:t>
      </w:r>
      <w:r w:rsidRPr="00F86869">
        <w:rPr>
          <w:rFonts w:ascii="Palatino Linotype" w:eastAsia="Palatino Linotype" w:hAnsi="Palatino Linotype" w:cs="Palatino Linotype"/>
        </w:rPr>
        <w:t xml:space="preserve">en lo sucesivo el </w:t>
      </w:r>
      <w:r w:rsidRPr="00F86869">
        <w:rPr>
          <w:rFonts w:ascii="Palatino Linotype" w:eastAsia="Palatino Linotype" w:hAnsi="Palatino Linotype" w:cs="Palatino Linotype"/>
          <w:b/>
        </w:rPr>
        <w:t xml:space="preserve">SUJETO OBLIGADO; </w:t>
      </w:r>
      <w:r w:rsidRPr="00F86869">
        <w:rPr>
          <w:rFonts w:ascii="Palatino Linotype" w:eastAsia="Palatino Linotype" w:hAnsi="Palatino Linotype" w:cs="Palatino Linotype"/>
        </w:rPr>
        <w:t>se procede a dictar la presente resolución, con base en los siguientes:</w:t>
      </w:r>
    </w:p>
    <w:p w14:paraId="7312B297" w14:textId="77777777" w:rsidR="00BC21BF" w:rsidRPr="00F86869" w:rsidRDefault="00334506">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F86869">
        <w:rPr>
          <w:rFonts w:ascii="Palatino Linotype" w:eastAsia="Palatino Linotype" w:hAnsi="Palatino Linotype" w:cs="Palatino Linotype"/>
          <w:b/>
          <w:color w:val="000000"/>
        </w:rPr>
        <w:t>A N T E C E D E N T E S:</w:t>
      </w:r>
    </w:p>
    <w:p w14:paraId="2F5A3ACD" w14:textId="77777777" w:rsidR="00BC21BF" w:rsidRPr="00F86869" w:rsidRDefault="00334506">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 xml:space="preserve">1. SOLICITUD DE ACCESO A LA INFORMACIÓN. </w:t>
      </w:r>
      <w:r w:rsidRPr="00F86869">
        <w:rPr>
          <w:rFonts w:ascii="Palatino Linotype" w:eastAsia="Palatino Linotype" w:hAnsi="Palatino Linotype" w:cs="Palatino Linotype"/>
        </w:rPr>
        <w:t xml:space="preserve">En fecha siete de marzo del dos mil veintidós, la parte </w:t>
      </w:r>
      <w:r w:rsidRPr="00F86869">
        <w:rPr>
          <w:rFonts w:ascii="Palatino Linotype" w:eastAsia="Palatino Linotype" w:hAnsi="Palatino Linotype" w:cs="Palatino Linotype"/>
          <w:b/>
        </w:rPr>
        <w:t>RECURRENTE</w:t>
      </w:r>
      <w:r w:rsidRPr="00F86869">
        <w:rPr>
          <w:rFonts w:ascii="Palatino Linotype" w:eastAsia="Palatino Linotype" w:hAnsi="Palatino Linotype" w:cs="Palatino Linotype"/>
        </w:rPr>
        <w:t xml:space="preserve"> formuló solicitud de acceso a información pública al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xml:space="preserve"> a través del Sistema de Acceso a la Información Mexiquense, en adelante </w:t>
      </w:r>
      <w:r w:rsidRPr="00F86869">
        <w:rPr>
          <w:rFonts w:ascii="Palatino Linotype" w:eastAsia="Palatino Linotype" w:hAnsi="Palatino Linotype" w:cs="Palatino Linotype"/>
          <w:b/>
        </w:rPr>
        <w:t>SAIMEX,</w:t>
      </w:r>
      <w:r w:rsidRPr="00F86869">
        <w:rPr>
          <w:rFonts w:ascii="Palatino Linotype" w:eastAsia="Palatino Linotype" w:hAnsi="Palatino Linotype" w:cs="Palatino Linotype"/>
        </w:rPr>
        <w:t xml:space="preserve"> requiriéndole lo siguiente:</w:t>
      </w:r>
    </w:p>
    <w:p w14:paraId="338E8C56" w14:textId="77777777" w:rsidR="00BC21BF" w:rsidRPr="00F86869" w:rsidRDefault="00334506" w:rsidP="00475460">
      <w:pPr>
        <w:spacing w:line="276" w:lineRule="auto"/>
        <w:ind w:left="851" w:right="616"/>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“solicito atentamente los manuales de organización de la administración 2022-2024. asimismo solicito el directorio actualizado de todos los servidores públicos.” (Sic)</w:t>
      </w:r>
    </w:p>
    <w:p w14:paraId="7EAA8C1D" w14:textId="77777777" w:rsidR="00BC21BF" w:rsidRPr="00F86869" w:rsidRDefault="00334506">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 xml:space="preserve">Modalidad elegida para la entrega de la información: </w:t>
      </w:r>
      <w:r w:rsidRPr="00F86869">
        <w:rPr>
          <w:rFonts w:ascii="Palatino Linotype" w:eastAsia="Palatino Linotype" w:hAnsi="Palatino Linotype" w:cs="Palatino Linotype"/>
        </w:rPr>
        <w:t xml:space="preserve">a través del </w:t>
      </w:r>
      <w:r w:rsidRPr="00F86869">
        <w:rPr>
          <w:rFonts w:ascii="Palatino Linotype" w:eastAsia="Palatino Linotype" w:hAnsi="Palatino Linotype" w:cs="Palatino Linotype"/>
          <w:b/>
        </w:rPr>
        <w:t>SAIMEX</w:t>
      </w:r>
      <w:r w:rsidRPr="00F86869">
        <w:rPr>
          <w:rFonts w:ascii="Palatino Linotype" w:eastAsia="Palatino Linotype" w:hAnsi="Palatino Linotype" w:cs="Palatino Linotype"/>
        </w:rPr>
        <w:t>.</w:t>
      </w:r>
    </w:p>
    <w:p w14:paraId="6FCE42AC" w14:textId="77777777" w:rsidR="00BC21BF" w:rsidRPr="00F86869" w:rsidRDefault="00334506">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 xml:space="preserve">2. RESPUESTA. </w:t>
      </w:r>
      <w:r w:rsidRPr="00F86869">
        <w:rPr>
          <w:rFonts w:ascii="Palatino Linotype" w:eastAsia="Palatino Linotype" w:hAnsi="Palatino Linotype" w:cs="Palatino Linotype"/>
        </w:rPr>
        <w:t xml:space="preserve">Con fecha veintinueve de marzo del dos mil veintidós 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xml:space="preserve"> envió su respuesta a la solicitud de acceso a la información a través del SAIMEX, la cual versa como sigue:</w:t>
      </w:r>
    </w:p>
    <w:p w14:paraId="56E0B05A" w14:textId="77777777" w:rsidR="00BC21BF" w:rsidRPr="00F86869" w:rsidRDefault="00334506" w:rsidP="00475460">
      <w:pPr>
        <w:spacing w:before="240" w:line="276" w:lineRule="auto"/>
        <w:ind w:left="851" w:right="616"/>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4DA4DE2" w14:textId="77777777" w:rsidR="00BC21BF" w:rsidRPr="00F86869" w:rsidRDefault="00334506" w:rsidP="00475460">
      <w:pPr>
        <w:spacing w:before="240" w:line="276" w:lineRule="auto"/>
        <w:ind w:left="851" w:right="902"/>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t>En atención a la solicitud de información número 00632/TOLUCA/IP/2022, me permito adjuntar al presente la respuesta correspondiente. Sin más por el momento, le envío un cordial saludo.</w:t>
      </w:r>
    </w:p>
    <w:p w14:paraId="45EA7AC4" w14:textId="77777777" w:rsidR="00BC21BF" w:rsidRPr="00F86869" w:rsidRDefault="00334506" w:rsidP="00475460">
      <w:pPr>
        <w:spacing w:before="240" w:line="276" w:lineRule="auto"/>
        <w:ind w:left="851" w:right="902"/>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t>ATENTAMENTE</w:t>
      </w:r>
    </w:p>
    <w:p w14:paraId="4F749CB9" w14:textId="77777777" w:rsidR="00BC21BF" w:rsidRPr="00F86869" w:rsidRDefault="00334506" w:rsidP="00475460">
      <w:pPr>
        <w:spacing w:before="240" w:line="276" w:lineRule="auto"/>
        <w:ind w:left="851" w:right="902"/>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t>Lic. Norma Sofía Pérez Martínez” (Sic)</w:t>
      </w:r>
    </w:p>
    <w:p w14:paraId="47AD5826" w14:textId="77777777" w:rsidR="00BC21BF" w:rsidRPr="00F86869" w:rsidRDefault="00BC21BF">
      <w:pPr>
        <w:ind w:right="902"/>
        <w:jc w:val="both"/>
        <w:rPr>
          <w:rFonts w:ascii="Palatino Linotype" w:eastAsia="Palatino Linotype" w:hAnsi="Palatino Linotype" w:cs="Palatino Linotype"/>
          <w:i/>
          <w:color w:val="000000"/>
        </w:rPr>
      </w:pPr>
    </w:p>
    <w:p w14:paraId="601B75B5"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xml:space="preserve">, adjuntó a su respuesta el archivo electrónico denominado </w:t>
      </w:r>
      <w:r w:rsidRPr="00F86869">
        <w:rPr>
          <w:rFonts w:ascii="Palatino Linotype" w:eastAsia="Palatino Linotype" w:hAnsi="Palatino Linotype" w:cs="Palatino Linotype"/>
          <w:b/>
          <w:i/>
        </w:rPr>
        <w:t>“</w:t>
      </w:r>
      <w:hyperlink r:id="rId9">
        <w:r w:rsidRPr="00F86869">
          <w:rPr>
            <w:rFonts w:ascii="Palatino Linotype" w:eastAsia="Palatino Linotype" w:hAnsi="Palatino Linotype" w:cs="Palatino Linotype"/>
            <w:b/>
            <w:i/>
          </w:rPr>
          <w:t>Saimex 00632.pdf</w:t>
        </w:r>
      </w:hyperlink>
      <w:r w:rsidRPr="00F86869">
        <w:rPr>
          <w:rFonts w:ascii="Palatino Linotype" w:eastAsia="Palatino Linotype" w:hAnsi="Palatino Linotype" w:cs="Palatino Linotype"/>
          <w:b/>
          <w:i/>
        </w:rPr>
        <w:t>”;</w:t>
      </w:r>
      <w:r w:rsidRPr="00F86869">
        <w:rPr>
          <w:rFonts w:ascii="Palatino Linotype" w:eastAsia="Palatino Linotype" w:hAnsi="Palatino Linotype" w:cs="Palatino Linotype"/>
        </w:rPr>
        <w:t xml:space="preserve"> el cual contiene el oficio sin número, de fecha veintinueve de marzo de dos mil veintidós signado por la Titular de la Unidad de Transparencia del Ayuntamiento de Toluca, mediante el cual señala que la información puede ser consultada a través de la liga del IPOMEX que indica, tal como se advierte a continuación:  </w:t>
      </w:r>
    </w:p>
    <w:p w14:paraId="187F7AAC" w14:textId="77777777" w:rsidR="00BC21BF" w:rsidRPr="00F86869" w:rsidRDefault="00334506">
      <w:pPr>
        <w:spacing w:line="360" w:lineRule="auto"/>
        <w:jc w:val="both"/>
      </w:pPr>
      <w:r w:rsidRPr="00F86869">
        <w:rPr>
          <w:noProof/>
          <w:lang w:val="es-MX" w:eastAsia="es-MX"/>
        </w:rPr>
        <mc:AlternateContent>
          <mc:Choice Requires="wpg">
            <w:drawing>
              <wp:anchor distT="0" distB="0" distL="114300" distR="114300" simplePos="0" relativeHeight="251658240" behindDoc="0" locked="0" layoutInCell="1" hidden="0" allowOverlap="1" wp14:anchorId="34793642" wp14:editId="29234C02">
                <wp:simplePos x="0" y="0"/>
                <wp:positionH relativeFrom="column">
                  <wp:posOffset>38101</wp:posOffset>
                </wp:positionH>
                <wp:positionV relativeFrom="paragraph">
                  <wp:posOffset>88900</wp:posOffset>
                </wp:positionV>
                <wp:extent cx="5343525" cy="3067050"/>
                <wp:effectExtent l="0" t="0" r="0" b="0"/>
                <wp:wrapNone/>
                <wp:docPr id="49" name="Conector recto de flecha 49"/>
                <wp:cNvGraphicFramePr/>
                <a:graphic xmlns:a="http://schemas.openxmlformats.org/drawingml/2006/main">
                  <a:graphicData uri="http://schemas.microsoft.com/office/word/2010/wordprocessingShape">
                    <wps:wsp>
                      <wps:cNvCnPr/>
                      <wps:spPr>
                        <a:xfrm>
                          <a:off x="2683763" y="2256000"/>
                          <a:ext cx="5324475" cy="3048000"/>
                        </a:xfrm>
                        <a:prstGeom prst="straightConnector1">
                          <a:avLst/>
                        </a:prstGeom>
                        <a:noFill/>
                        <a:ln w="19050" cap="flat" cmpd="sng">
                          <a:solidFill>
                            <a:schemeClr val="accent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38101</wp:posOffset>
                </wp:positionH>
                <wp:positionV relativeFrom="paragraph">
                  <wp:posOffset>88900</wp:posOffset>
                </wp:positionV>
                <wp:extent cx="5343525" cy="3067050"/>
                <wp:effectExtent b="0" l="0" r="0" t="0"/>
                <wp:wrapNone/>
                <wp:docPr id="4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343525" cy="3067050"/>
                        </a:xfrm>
                        <a:prstGeom prst="rect"/>
                        <a:ln/>
                      </pic:spPr>
                    </pic:pic>
                  </a:graphicData>
                </a:graphic>
              </wp:anchor>
            </w:drawing>
          </mc:Fallback>
        </mc:AlternateContent>
      </w:r>
    </w:p>
    <w:p w14:paraId="6D91CAC2" w14:textId="77777777" w:rsidR="00BC21BF" w:rsidRPr="00F86869" w:rsidRDefault="00BC21BF">
      <w:pPr>
        <w:spacing w:line="360" w:lineRule="auto"/>
        <w:jc w:val="both"/>
      </w:pPr>
    </w:p>
    <w:p w14:paraId="0D1C701D" w14:textId="77777777" w:rsidR="00BC21BF" w:rsidRPr="00F86869" w:rsidRDefault="00334506">
      <w:pPr>
        <w:spacing w:line="360" w:lineRule="auto"/>
        <w:jc w:val="both"/>
        <w:rPr>
          <w:rFonts w:ascii="Palatino Linotype" w:eastAsia="Palatino Linotype" w:hAnsi="Palatino Linotype" w:cs="Palatino Linotype"/>
        </w:rPr>
      </w:pPr>
      <w:r w:rsidRPr="00F86869">
        <w:rPr>
          <w:noProof/>
          <w:lang w:val="es-MX" w:eastAsia="es-MX"/>
        </w:rPr>
        <w:lastRenderedPageBreak/>
        <w:drawing>
          <wp:inline distT="0" distB="0" distL="0" distR="0" wp14:anchorId="4A27ADE3" wp14:editId="6F46AA0A">
            <wp:extent cx="5305870" cy="7660725"/>
            <wp:effectExtent l="19050" t="19050" r="28575" b="16510"/>
            <wp:docPr id="52" name="image8.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 Word&#10;&#10;Descripción generada automáticamente"/>
                    <pic:cNvPicPr preferRelativeResize="0"/>
                  </pic:nvPicPr>
                  <pic:blipFill>
                    <a:blip r:embed="rId11"/>
                    <a:srcRect l="59403" t="12674" r="10386" b="9776"/>
                    <a:stretch>
                      <a:fillRect/>
                    </a:stretch>
                  </pic:blipFill>
                  <pic:spPr>
                    <a:xfrm>
                      <a:off x="0" y="0"/>
                      <a:ext cx="5305870" cy="7660725"/>
                    </a:xfrm>
                    <a:prstGeom prst="rect">
                      <a:avLst/>
                    </a:prstGeom>
                    <a:ln>
                      <a:solidFill>
                        <a:schemeClr val="tx1"/>
                      </a:solidFill>
                    </a:ln>
                  </pic:spPr>
                </pic:pic>
              </a:graphicData>
            </a:graphic>
          </wp:inline>
        </w:drawing>
      </w:r>
    </w:p>
    <w:p w14:paraId="1705B0ED" w14:textId="77777777" w:rsidR="00BC21BF" w:rsidRPr="00F86869" w:rsidRDefault="00334506">
      <w:pPr>
        <w:spacing w:line="360" w:lineRule="auto"/>
        <w:jc w:val="both"/>
        <w:rPr>
          <w:rFonts w:ascii="Palatino Linotype" w:eastAsia="Palatino Linotype" w:hAnsi="Palatino Linotype" w:cs="Palatino Linotype"/>
          <w:b/>
        </w:rPr>
      </w:pPr>
      <w:r w:rsidRPr="00F86869">
        <w:rPr>
          <w:noProof/>
          <w:lang w:val="es-MX" w:eastAsia="es-MX"/>
        </w:rPr>
        <w:lastRenderedPageBreak/>
        <w:drawing>
          <wp:inline distT="0" distB="0" distL="0" distR="0" wp14:anchorId="04F633E7" wp14:editId="7431D88A">
            <wp:extent cx="5518950" cy="7684856"/>
            <wp:effectExtent l="19050" t="19050" r="24765" b="11430"/>
            <wp:docPr id="54" name="image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Word&#10;&#10;Descripción generada automáticamente"/>
                    <pic:cNvPicPr preferRelativeResize="0"/>
                  </pic:nvPicPr>
                  <pic:blipFill>
                    <a:blip r:embed="rId12"/>
                    <a:srcRect l="57536" t="13276" r="8010" b="9173"/>
                    <a:stretch>
                      <a:fillRect/>
                    </a:stretch>
                  </pic:blipFill>
                  <pic:spPr>
                    <a:xfrm>
                      <a:off x="0" y="0"/>
                      <a:ext cx="5518950" cy="7684856"/>
                    </a:xfrm>
                    <a:prstGeom prst="rect">
                      <a:avLst/>
                    </a:prstGeom>
                    <a:ln w="12700">
                      <a:solidFill>
                        <a:schemeClr val="tx1"/>
                      </a:solidFill>
                    </a:ln>
                  </pic:spPr>
                </pic:pic>
              </a:graphicData>
            </a:graphic>
          </wp:inline>
        </w:drawing>
      </w:r>
    </w:p>
    <w:p w14:paraId="506123E7"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lastRenderedPageBreak/>
        <w:t xml:space="preserve">3. INTERPOSICIÓN DEL RECURSO DE REVISIÓN. </w:t>
      </w:r>
      <w:r w:rsidRPr="00F86869">
        <w:rPr>
          <w:rFonts w:ascii="Palatino Linotype" w:eastAsia="Palatino Linotype" w:hAnsi="Palatino Linotype" w:cs="Palatino Linotype"/>
        </w:rPr>
        <w:t xml:space="preserve">Inconforme la solicitante con la respuesta del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xml:space="preserve"> interpuso el recurso de revisión a través del SAIMEX en fecha veintinueve de marzo del dos mil veintidós, a través del cual expresó lo siguiente:</w:t>
      </w:r>
    </w:p>
    <w:p w14:paraId="39AB2A69" w14:textId="77777777" w:rsidR="00BC21BF" w:rsidRPr="00F86869" w:rsidRDefault="00BC21BF">
      <w:pPr>
        <w:spacing w:line="360" w:lineRule="auto"/>
        <w:jc w:val="both"/>
        <w:rPr>
          <w:rFonts w:ascii="Palatino Linotype" w:eastAsia="Palatino Linotype" w:hAnsi="Palatino Linotype" w:cs="Palatino Linotype"/>
        </w:rPr>
      </w:pPr>
    </w:p>
    <w:p w14:paraId="7686E1A5" w14:textId="77777777" w:rsidR="00BC21BF" w:rsidRPr="00F86869" w:rsidRDefault="00334506">
      <w:pPr>
        <w:spacing w:line="360" w:lineRule="auto"/>
        <w:rPr>
          <w:rFonts w:ascii="Palatino Linotype" w:eastAsia="Palatino Linotype" w:hAnsi="Palatino Linotype" w:cs="Palatino Linotype"/>
          <w:b/>
        </w:rPr>
      </w:pPr>
      <w:r w:rsidRPr="00F86869">
        <w:rPr>
          <w:rFonts w:ascii="Palatino Linotype" w:eastAsia="Palatino Linotype" w:hAnsi="Palatino Linotype" w:cs="Palatino Linotype"/>
          <w:b/>
        </w:rPr>
        <w:t>a) Acto impugnado.</w:t>
      </w:r>
    </w:p>
    <w:p w14:paraId="2F8B7F89" w14:textId="77777777" w:rsidR="00BC21BF" w:rsidRPr="00F86869" w:rsidRDefault="00334506" w:rsidP="00475460">
      <w:pPr>
        <w:spacing w:after="240" w:line="276" w:lineRule="auto"/>
        <w:ind w:left="851" w:right="616"/>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t>“Me dicen que debo consultar un link para mi información, el cual ya lo ingrese varias veces y me marca error, el ayuntamiento no proporciona la información en tiempo, solicito se me proporcione la información por este medio como la solicite.” (Sic)</w:t>
      </w:r>
    </w:p>
    <w:p w14:paraId="15A889B5" w14:textId="77777777" w:rsidR="00BC21BF" w:rsidRPr="00F86869" w:rsidRDefault="00334506">
      <w:pPr>
        <w:spacing w:line="360" w:lineRule="auto"/>
        <w:jc w:val="both"/>
        <w:rPr>
          <w:rFonts w:ascii="Palatino Linotype" w:eastAsia="Palatino Linotype" w:hAnsi="Palatino Linotype" w:cs="Palatino Linotype"/>
          <w:b/>
        </w:rPr>
      </w:pPr>
      <w:r w:rsidRPr="00F86869">
        <w:rPr>
          <w:rFonts w:ascii="Palatino Linotype" w:eastAsia="Palatino Linotype" w:hAnsi="Palatino Linotype" w:cs="Palatino Linotype"/>
          <w:b/>
        </w:rPr>
        <w:t>b) Motivos de inconformidad.</w:t>
      </w:r>
    </w:p>
    <w:p w14:paraId="7DB79D8C" w14:textId="77777777" w:rsidR="00BC21BF" w:rsidRPr="00F86869" w:rsidRDefault="00334506" w:rsidP="00475460">
      <w:pPr>
        <w:spacing w:after="240" w:line="276" w:lineRule="auto"/>
        <w:ind w:left="851" w:right="616"/>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t>“Me dicen que debo consultar un link para mi información, el cual ya lo ingrese varias veces y me marca error, el ayuntamiento no proporciona la información en tiempo, solicito se me proporcione la información por este medio como la solicite.” (Sic)</w:t>
      </w:r>
    </w:p>
    <w:p w14:paraId="0823F7ED" w14:textId="77777777" w:rsidR="00BC21BF" w:rsidRPr="00F86869" w:rsidRDefault="00334506">
      <w:pPr>
        <w:spacing w:before="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 xml:space="preserve">4. TURNO. </w:t>
      </w:r>
      <w:r w:rsidRPr="00F8686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F86869">
        <w:rPr>
          <w:rFonts w:ascii="Palatino Linotype" w:eastAsia="Palatino Linotype" w:hAnsi="Palatino Linotype" w:cs="Palatino Linotype"/>
          <w:b/>
        </w:rPr>
        <w:t xml:space="preserve">05209/INFOEM/IP/RR/2022 </w:t>
      </w:r>
      <w:r w:rsidRPr="00F86869">
        <w:rPr>
          <w:rFonts w:ascii="Palatino Linotype" w:eastAsia="Palatino Linotype" w:hAnsi="Palatino Linotype" w:cs="Palatino Linotype"/>
        </w:rPr>
        <w:t>se turnó</w:t>
      </w:r>
      <w:r w:rsidRPr="00F86869">
        <w:rPr>
          <w:rFonts w:ascii="Palatino Linotype" w:eastAsia="Palatino Linotype" w:hAnsi="Palatino Linotype" w:cs="Palatino Linotype"/>
          <w:b/>
        </w:rPr>
        <w:t xml:space="preserve"> </w:t>
      </w:r>
      <w:r w:rsidRPr="00F86869">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F86869">
        <w:rPr>
          <w:rFonts w:ascii="Palatino Linotype" w:eastAsia="Palatino Linotype" w:hAnsi="Palatino Linotype" w:cs="Palatino Linotype"/>
          <w:b/>
        </w:rPr>
        <w:t>Guadalupe Ramírez Peña,</w:t>
      </w:r>
      <w:r w:rsidRPr="00F86869">
        <w:rPr>
          <w:rFonts w:ascii="Palatino Linotype" w:eastAsia="Palatino Linotype" w:hAnsi="Palatino Linotype" w:cs="Palatino Linotype"/>
        </w:rPr>
        <w:t xml:space="preserve"> para su análisis, estudio, elaboración del proyecto y presentación ante el Pleno de este Instituto.</w:t>
      </w:r>
    </w:p>
    <w:p w14:paraId="66EB0082" w14:textId="77777777" w:rsidR="00BC21BF" w:rsidRPr="00F86869" w:rsidRDefault="00BC21BF">
      <w:pPr>
        <w:spacing w:line="360" w:lineRule="auto"/>
        <w:jc w:val="both"/>
        <w:rPr>
          <w:rFonts w:ascii="Palatino Linotype" w:eastAsia="Palatino Linotype" w:hAnsi="Palatino Linotype" w:cs="Palatino Linotype"/>
        </w:rPr>
      </w:pPr>
    </w:p>
    <w:p w14:paraId="607F6B05" w14:textId="77777777" w:rsidR="00BC21BF" w:rsidRPr="00F86869" w:rsidRDefault="00334506">
      <w:pPr>
        <w:spacing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 xml:space="preserve">5. ADMISIÓN DEL RECURSO DE REVISIÓN: </w:t>
      </w:r>
      <w:r w:rsidRPr="00F86869">
        <w:rPr>
          <w:rFonts w:ascii="Palatino Linotype" w:eastAsia="Palatino Linotype" w:hAnsi="Palatino Linotype" w:cs="Palatino Linotype"/>
        </w:rPr>
        <w:t xml:space="preserve">En fecha primero de abril del dos mil veintidós, la Comisionada ponente, admitió a trámite el recurso de revisión que ahora se resuelve, dando un plazo máximo de siete días hábiles para que las partes </w:t>
      </w:r>
      <w:r w:rsidRPr="00F86869">
        <w:rPr>
          <w:rFonts w:ascii="Palatino Linotype" w:eastAsia="Palatino Linotype" w:hAnsi="Palatino Linotype" w:cs="Palatino Linotype"/>
        </w:rPr>
        <w:lastRenderedPageBreak/>
        <w:t xml:space="preserve">manifestaran lo que a su derecho resultara conveniente, ofrecieran pruebas, formularan alegatos y el Sujeto Obligado presentara su informe justificado. </w:t>
      </w:r>
    </w:p>
    <w:p w14:paraId="133978F5" w14:textId="77777777" w:rsidR="00BC21BF" w:rsidRPr="00F86869" w:rsidRDefault="00334506">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b/>
          <w:color w:val="000000"/>
        </w:rPr>
        <w:t>6. MANIFESTACIONES</w:t>
      </w:r>
      <w:r w:rsidRPr="00F86869">
        <w:rPr>
          <w:rFonts w:ascii="Palatino Linotype" w:eastAsia="Palatino Linotype" w:hAnsi="Palatino Linotype" w:cs="Palatino Linotype"/>
          <w:color w:val="000000"/>
        </w:rPr>
        <w:t xml:space="preserve">: De las constancias que integran el expediente en que se actúan se advierte que la parte </w:t>
      </w:r>
      <w:r w:rsidRPr="00F86869">
        <w:rPr>
          <w:rFonts w:ascii="Palatino Linotype" w:eastAsia="Palatino Linotype" w:hAnsi="Palatino Linotype" w:cs="Palatino Linotype"/>
          <w:b/>
          <w:color w:val="000000"/>
        </w:rPr>
        <w:t>RECURRENTE</w:t>
      </w:r>
      <w:r w:rsidRPr="00F86869">
        <w:rPr>
          <w:rFonts w:ascii="Palatino Linotype" w:eastAsia="Palatino Linotype" w:hAnsi="Palatino Linotype" w:cs="Palatino Linotype"/>
          <w:color w:val="000000"/>
        </w:rPr>
        <w:t xml:space="preserve"> fue omisa en ofrecer alegatos.</w:t>
      </w:r>
    </w:p>
    <w:p w14:paraId="1EE21630"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Por su parte, 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xml:space="preserve"> en fecha dieciocho de abril de dos mil veintidós, remite en el apartado de manifestaciones del SAIMEX el archivo electrónico denominado: </w:t>
      </w:r>
      <w:r w:rsidRPr="00F86869">
        <w:rPr>
          <w:rFonts w:ascii="Palatino Linotype" w:eastAsia="Palatino Linotype" w:hAnsi="Palatino Linotype" w:cs="Palatino Linotype"/>
          <w:b/>
          <w:i/>
        </w:rPr>
        <w:t>“</w:t>
      </w:r>
      <w:hyperlink r:id="rId13">
        <w:r w:rsidRPr="00F86869">
          <w:rPr>
            <w:rFonts w:ascii="Palatino Linotype" w:eastAsia="Palatino Linotype" w:hAnsi="Palatino Linotype" w:cs="Palatino Linotype"/>
            <w:b/>
            <w:i/>
          </w:rPr>
          <w:t>Informe 05209_2022.pdf</w:t>
        </w:r>
      </w:hyperlink>
      <w:r w:rsidRPr="00F86869">
        <w:rPr>
          <w:rFonts w:ascii="Palatino Linotype" w:eastAsia="Palatino Linotype" w:hAnsi="Palatino Linotype" w:cs="Palatino Linotype"/>
          <w:b/>
          <w:i/>
        </w:rPr>
        <w:t xml:space="preserve"> ”</w:t>
      </w:r>
      <w:r w:rsidRPr="00F86869">
        <w:rPr>
          <w:rFonts w:ascii="Palatino Linotype" w:eastAsia="Palatino Linotype" w:hAnsi="Palatino Linotype" w:cs="Palatino Linotype"/>
        </w:rPr>
        <w:t xml:space="preserve">, el cual contiene el informe justificado </w:t>
      </w:r>
      <w:r w:rsidR="00475460" w:rsidRPr="00F86869">
        <w:rPr>
          <w:rFonts w:ascii="Palatino Linotype" w:eastAsia="Palatino Linotype" w:hAnsi="Palatino Linotype" w:cs="Palatino Linotype"/>
        </w:rPr>
        <w:t>rendido por</w:t>
      </w:r>
      <w:r w:rsidRPr="00F86869">
        <w:rPr>
          <w:rFonts w:ascii="Palatino Linotype" w:eastAsia="Palatino Linotype" w:hAnsi="Palatino Linotype" w:cs="Palatino Linotype"/>
        </w:rPr>
        <w:t xml:space="preserve"> Titular de la Unidad de Trasparencia del Ayuntamiento de Toluca, a través del cual ratificó su respuesta inicial.</w:t>
      </w:r>
    </w:p>
    <w:p w14:paraId="6279F857" w14:textId="77777777" w:rsidR="00475460" w:rsidRPr="00F86869" w:rsidRDefault="00475460">
      <w:pPr>
        <w:spacing w:line="360" w:lineRule="auto"/>
        <w:jc w:val="both"/>
        <w:rPr>
          <w:rFonts w:ascii="Palatino Linotype" w:eastAsia="Palatino Linotype" w:hAnsi="Palatino Linotype" w:cs="Palatino Linotype"/>
        </w:rPr>
      </w:pPr>
    </w:p>
    <w:p w14:paraId="7C3917B0" w14:textId="77777777" w:rsidR="00BC21BF" w:rsidRPr="00F86869" w:rsidRDefault="00475460">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Documento que el trece de julio de dos mil veintidós se puso a la vista del </w:t>
      </w:r>
      <w:r w:rsidRPr="00F86869">
        <w:rPr>
          <w:rFonts w:ascii="Palatino Linotype" w:eastAsia="Palatino Linotype" w:hAnsi="Palatino Linotype" w:cs="Palatino Linotype"/>
          <w:b/>
        </w:rPr>
        <w:t xml:space="preserve">RECURRENTE </w:t>
      </w:r>
      <w:r w:rsidRPr="00F86869">
        <w:rPr>
          <w:rFonts w:ascii="Palatino Linotype" w:eastAsia="Palatino Linotype" w:hAnsi="Palatino Linotype" w:cs="Palatino Linotype"/>
        </w:rPr>
        <w:t xml:space="preserve">para su conocimiento. </w:t>
      </w:r>
    </w:p>
    <w:p w14:paraId="354EC555" w14:textId="77777777" w:rsidR="00BC21BF" w:rsidRPr="00F86869" w:rsidRDefault="00BC21BF">
      <w:pPr>
        <w:spacing w:line="360" w:lineRule="auto"/>
        <w:jc w:val="both"/>
        <w:rPr>
          <w:rFonts w:ascii="Palatino Linotype" w:eastAsia="Palatino Linotype" w:hAnsi="Palatino Linotype" w:cs="Palatino Linotype"/>
          <w:b/>
        </w:rPr>
      </w:pPr>
    </w:p>
    <w:p w14:paraId="29F5143D"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7.- AMPLIACIÓN DEL PLAZO PARA EMITIR RESOLUCIÓN</w:t>
      </w:r>
      <w:r w:rsidRPr="00F86869">
        <w:rPr>
          <w:rFonts w:ascii="Palatino Linotype" w:eastAsia="Palatino Linotype" w:hAnsi="Palatino Linotype" w:cs="Palatino Linotype"/>
        </w:rPr>
        <w:t>. En fecha trece de julio de dos mil veintidós, este Instituto con fundamento en el artículo 181, párrafo tercero, de la Ley de Transparencia y Acceso a la Información Pública del Estado de México y Municipios.</w:t>
      </w:r>
    </w:p>
    <w:p w14:paraId="3A163124" w14:textId="77777777" w:rsidR="00BC21BF" w:rsidRPr="00F86869" w:rsidRDefault="00BC21BF">
      <w:pPr>
        <w:spacing w:line="360" w:lineRule="auto"/>
        <w:jc w:val="both"/>
        <w:rPr>
          <w:rFonts w:ascii="Palatino Linotype" w:eastAsia="Palatino Linotype" w:hAnsi="Palatino Linotype" w:cs="Palatino Linotype"/>
        </w:rPr>
      </w:pPr>
    </w:p>
    <w:p w14:paraId="006808C6"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F86869">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32254D7A" w14:textId="77777777" w:rsidR="00BC21BF" w:rsidRPr="00F86869" w:rsidRDefault="00BC21BF">
      <w:pPr>
        <w:spacing w:line="360" w:lineRule="auto"/>
        <w:jc w:val="both"/>
        <w:rPr>
          <w:rFonts w:ascii="Palatino Linotype" w:eastAsia="Palatino Linotype" w:hAnsi="Palatino Linotype" w:cs="Palatino Linotype"/>
        </w:rPr>
      </w:pPr>
    </w:p>
    <w:p w14:paraId="5C1A07FA"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DB0F50F" w14:textId="77777777" w:rsidR="00BC21BF" w:rsidRPr="00F86869" w:rsidRDefault="00BC21BF">
      <w:pPr>
        <w:spacing w:line="360" w:lineRule="auto"/>
        <w:jc w:val="both"/>
        <w:rPr>
          <w:rFonts w:ascii="Palatino Linotype" w:eastAsia="Palatino Linotype" w:hAnsi="Palatino Linotype" w:cs="Palatino Linotype"/>
        </w:rPr>
      </w:pPr>
    </w:p>
    <w:p w14:paraId="38B6283A"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320293" w14:textId="77777777" w:rsidR="00BC21BF" w:rsidRPr="00F86869" w:rsidRDefault="00BC21BF">
      <w:pPr>
        <w:spacing w:line="360" w:lineRule="auto"/>
        <w:jc w:val="both"/>
        <w:rPr>
          <w:rFonts w:ascii="Palatino Linotype" w:eastAsia="Palatino Linotype" w:hAnsi="Palatino Linotype" w:cs="Palatino Linotype"/>
        </w:rPr>
      </w:pPr>
    </w:p>
    <w:p w14:paraId="7C99A282"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FC3EA7" w14:textId="77777777" w:rsidR="00BC21BF" w:rsidRPr="00F86869" w:rsidRDefault="00BC21BF">
      <w:pPr>
        <w:spacing w:line="360" w:lineRule="auto"/>
        <w:jc w:val="both"/>
        <w:rPr>
          <w:rFonts w:ascii="Palatino Linotype" w:eastAsia="Palatino Linotype" w:hAnsi="Palatino Linotype" w:cs="Palatino Linotype"/>
        </w:rPr>
      </w:pPr>
    </w:p>
    <w:p w14:paraId="63FC5605" w14:textId="77777777" w:rsidR="00BC21BF" w:rsidRPr="00F86869" w:rsidRDefault="00334506">
      <w:pPr>
        <w:spacing w:line="360" w:lineRule="auto"/>
        <w:jc w:val="both"/>
        <w:rPr>
          <w:rFonts w:ascii="Palatino Linotype" w:eastAsia="Palatino Linotype" w:hAnsi="Palatino Linotype" w:cs="Palatino Linotype"/>
          <w:strike/>
          <w:color w:val="FF0000"/>
        </w:rPr>
      </w:pPr>
      <w:r w:rsidRPr="00F8686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7CF759" w14:textId="77777777" w:rsidR="00BC21BF" w:rsidRPr="00F86869" w:rsidRDefault="00BC21BF">
      <w:pPr>
        <w:spacing w:line="360" w:lineRule="auto"/>
        <w:jc w:val="both"/>
        <w:rPr>
          <w:rFonts w:ascii="Palatino Linotype" w:eastAsia="Palatino Linotype" w:hAnsi="Palatino Linotype" w:cs="Palatino Linotype"/>
        </w:rPr>
      </w:pPr>
    </w:p>
    <w:p w14:paraId="6F2A02FF" w14:textId="77777777" w:rsidR="00BC21BF" w:rsidRPr="00F86869" w:rsidRDefault="00334506">
      <w:pPr>
        <w:numPr>
          <w:ilvl w:val="0"/>
          <w:numId w:val="1"/>
        </w:num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39C1DF88" w14:textId="77777777" w:rsidR="00BC21BF" w:rsidRPr="00F86869" w:rsidRDefault="00BC21BF">
      <w:pPr>
        <w:spacing w:line="360" w:lineRule="auto"/>
        <w:ind w:left="927"/>
        <w:jc w:val="both"/>
        <w:rPr>
          <w:rFonts w:ascii="Palatino Linotype" w:eastAsia="Palatino Linotype" w:hAnsi="Palatino Linotype" w:cs="Palatino Linotype"/>
        </w:rPr>
      </w:pPr>
    </w:p>
    <w:p w14:paraId="5DA937A6" w14:textId="77777777" w:rsidR="00BC21BF" w:rsidRPr="00F86869" w:rsidRDefault="00334506">
      <w:pPr>
        <w:numPr>
          <w:ilvl w:val="0"/>
          <w:numId w:val="1"/>
        </w:num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Actividad Procesal del interesado. Acciones u omisiones del interesado.</w:t>
      </w:r>
    </w:p>
    <w:p w14:paraId="3FC8D3F1" w14:textId="77777777" w:rsidR="00BC21BF" w:rsidRPr="00F86869" w:rsidRDefault="00BC21BF">
      <w:pPr>
        <w:spacing w:line="360" w:lineRule="auto"/>
        <w:jc w:val="both"/>
        <w:rPr>
          <w:rFonts w:ascii="Palatino Linotype" w:eastAsia="Palatino Linotype" w:hAnsi="Palatino Linotype" w:cs="Palatino Linotype"/>
        </w:rPr>
      </w:pPr>
    </w:p>
    <w:p w14:paraId="167788F7" w14:textId="77777777" w:rsidR="00BC21BF" w:rsidRPr="00F86869" w:rsidRDefault="00334506">
      <w:pPr>
        <w:numPr>
          <w:ilvl w:val="0"/>
          <w:numId w:val="1"/>
        </w:num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Conducta de la Autoridad: Las Acciones u omisiones realizadas en el procedimiento. Así como si la autoridad actuó con la debida diligencia.</w:t>
      </w:r>
    </w:p>
    <w:p w14:paraId="02CE18FE" w14:textId="77777777" w:rsidR="00BC21BF" w:rsidRPr="00F86869" w:rsidRDefault="00BC21BF">
      <w:pPr>
        <w:spacing w:line="360" w:lineRule="auto"/>
        <w:ind w:left="708"/>
        <w:rPr>
          <w:rFonts w:ascii="Palatino Linotype" w:eastAsia="Palatino Linotype" w:hAnsi="Palatino Linotype" w:cs="Palatino Linotype"/>
        </w:rPr>
      </w:pPr>
    </w:p>
    <w:p w14:paraId="37A170A9" w14:textId="77777777" w:rsidR="00BC21BF" w:rsidRPr="00F86869" w:rsidRDefault="00334506">
      <w:pPr>
        <w:spacing w:line="360" w:lineRule="auto"/>
        <w:ind w:left="567"/>
        <w:jc w:val="both"/>
        <w:rPr>
          <w:rFonts w:ascii="Palatino Linotype" w:eastAsia="Palatino Linotype" w:hAnsi="Palatino Linotype" w:cs="Palatino Linotype"/>
        </w:rPr>
      </w:pPr>
      <w:r w:rsidRPr="00F86869">
        <w:rPr>
          <w:rFonts w:ascii="Palatino Linotype" w:eastAsia="Palatino Linotype" w:hAnsi="Palatino Linotype" w:cs="Palatino Linotype"/>
        </w:rPr>
        <w:t>d) La afectación generada en la situación jurídica de la persona involucrada en el proceso: Violación a sus derechos humanos.</w:t>
      </w:r>
    </w:p>
    <w:p w14:paraId="476BD990" w14:textId="77777777" w:rsidR="00BC21BF" w:rsidRPr="00F86869" w:rsidRDefault="00BC21BF">
      <w:pPr>
        <w:spacing w:line="360" w:lineRule="auto"/>
        <w:jc w:val="both"/>
        <w:rPr>
          <w:rFonts w:ascii="Palatino Linotype" w:eastAsia="Palatino Linotype" w:hAnsi="Palatino Linotype" w:cs="Palatino Linotype"/>
        </w:rPr>
      </w:pPr>
    </w:p>
    <w:p w14:paraId="0F8655D0"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6C0A4" w14:textId="77777777" w:rsidR="00BC21BF" w:rsidRPr="00F86869" w:rsidRDefault="00BC21BF">
      <w:pPr>
        <w:spacing w:line="360" w:lineRule="auto"/>
        <w:jc w:val="both"/>
        <w:rPr>
          <w:rFonts w:ascii="Palatino Linotype" w:eastAsia="Palatino Linotype" w:hAnsi="Palatino Linotype" w:cs="Palatino Linotype"/>
        </w:rPr>
      </w:pPr>
    </w:p>
    <w:p w14:paraId="45691045" w14:textId="77777777" w:rsidR="00BC21BF" w:rsidRPr="00F86869" w:rsidRDefault="00334506">
      <w:pPr>
        <w:spacing w:line="360" w:lineRule="auto"/>
        <w:jc w:val="both"/>
        <w:rPr>
          <w:rFonts w:ascii="Palatino Linotype" w:eastAsia="Palatino Linotype" w:hAnsi="Palatino Linotype" w:cs="Palatino Linotype"/>
          <w:b/>
        </w:rPr>
      </w:pPr>
      <w:r w:rsidRPr="00F8686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86869">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F86869">
        <w:rPr>
          <w:rFonts w:ascii="Palatino Linotype" w:eastAsia="Palatino Linotype" w:hAnsi="Palatino Linotype" w:cs="Palatino Linotype"/>
          <w:i/>
        </w:rPr>
        <w:lastRenderedPageBreak/>
        <w:t>CARACTERÍSTICAS DEL CASO.”</w:t>
      </w:r>
      <w:r w:rsidRPr="00F86869">
        <w:rPr>
          <w:rFonts w:ascii="Palatino Linotype" w:eastAsia="Palatino Linotype" w:hAnsi="Palatino Linotype" w:cs="Palatino Linotype"/>
        </w:rPr>
        <w:t>, visible en la Gaceta del Seminario Judicial de la Federación con el registro digital 205635.</w:t>
      </w:r>
    </w:p>
    <w:p w14:paraId="6AA205D9" w14:textId="77777777" w:rsidR="00BC21BF" w:rsidRPr="00F86869" w:rsidRDefault="00BC21BF">
      <w:pPr>
        <w:spacing w:line="360" w:lineRule="auto"/>
        <w:jc w:val="both"/>
        <w:rPr>
          <w:rFonts w:ascii="Palatino Linotype" w:eastAsia="Palatino Linotype" w:hAnsi="Palatino Linotype" w:cs="Palatino Linotype"/>
        </w:rPr>
      </w:pPr>
    </w:p>
    <w:p w14:paraId="64C74D6A"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CF1D7D0" w14:textId="77777777" w:rsidR="00BC21BF" w:rsidRPr="00F86869" w:rsidRDefault="00BC21BF">
      <w:pPr>
        <w:spacing w:line="360" w:lineRule="auto"/>
        <w:jc w:val="both"/>
        <w:rPr>
          <w:rFonts w:ascii="Palatino Linotype" w:eastAsia="Palatino Linotype" w:hAnsi="Palatino Linotype" w:cs="Palatino Linotype"/>
        </w:rPr>
      </w:pPr>
    </w:p>
    <w:p w14:paraId="74F12D83"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36BEA75" w14:textId="77777777" w:rsidR="00BC21BF" w:rsidRPr="00F86869" w:rsidRDefault="00BC21BF">
      <w:pPr>
        <w:spacing w:line="360" w:lineRule="auto"/>
        <w:jc w:val="both"/>
        <w:rPr>
          <w:rFonts w:ascii="Palatino Linotype" w:eastAsia="Palatino Linotype" w:hAnsi="Palatino Linotype" w:cs="Palatino Linotype"/>
        </w:rPr>
      </w:pPr>
    </w:p>
    <w:p w14:paraId="3E0E6BB0"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 </w:t>
      </w:r>
      <w:r w:rsidRPr="00F86869">
        <w:rPr>
          <w:rFonts w:ascii="Palatino Linotype" w:eastAsia="Palatino Linotype" w:hAnsi="Palatino Linotype" w:cs="Palatino Linotype"/>
          <w:i/>
        </w:rPr>
        <w:t>“PLAZO RAZONABLE PARA RESOLVER. DIMENSIÓN Y EFECTOS DE ESTE CONCEPTO CUANDO SE ADUCE EXCESIVA CARGA DE TRABAJO.”</w:t>
      </w:r>
      <w:r w:rsidRPr="00F86869">
        <w:rPr>
          <w:rFonts w:ascii="Palatino Linotype" w:eastAsia="Palatino Linotype" w:hAnsi="Palatino Linotype" w:cs="Palatino Linotype"/>
        </w:rPr>
        <w:t xml:space="preserve"> consultable en el Seminario Judicial de la Federación y su gaceta, con el registro digital 2002351.</w:t>
      </w:r>
    </w:p>
    <w:p w14:paraId="4A4608F7" w14:textId="77777777" w:rsidR="00BC21BF" w:rsidRPr="00F86869" w:rsidRDefault="00BC21BF">
      <w:pPr>
        <w:spacing w:line="360" w:lineRule="auto"/>
        <w:jc w:val="both"/>
        <w:rPr>
          <w:rFonts w:ascii="Palatino Linotype" w:eastAsia="Palatino Linotype" w:hAnsi="Palatino Linotype" w:cs="Palatino Linotype"/>
          <w:b/>
        </w:rPr>
      </w:pPr>
    </w:p>
    <w:p w14:paraId="7BD2D740"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i/>
        </w:rPr>
        <w:t xml:space="preserve">“PLAZO RAZONABLE PARA RESOLVER. CONCEPTO Y ELEMENTOS QUE LO INTEGRAN A LA LUZ DEL DERECHO INTERNACIONAL DE LOS DERECHOS </w:t>
      </w:r>
      <w:r w:rsidRPr="00F86869">
        <w:rPr>
          <w:rFonts w:ascii="Palatino Linotype" w:eastAsia="Palatino Linotype" w:hAnsi="Palatino Linotype" w:cs="Palatino Linotype"/>
          <w:i/>
        </w:rPr>
        <w:lastRenderedPageBreak/>
        <w:t>HUMANOS.”</w:t>
      </w:r>
      <w:r w:rsidRPr="00F86869">
        <w:rPr>
          <w:rFonts w:ascii="Palatino Linotype" w:eastAsia="Palatino Linotype" w:hAnsi="Palatino Linotype" w:cs="Palatino Linotype"/>
        </w:rPr>
        <w:t>, visible en el Seminario Judicial de la Federación y su gaceta, con el registro digital 2002350.</w:t>
      </w:r>
    </w:p>
    <w:p w14:paraId="6298A530" w14:textId="77777777" w:rsidR="00BC21BF" w:rsidRPr="00F86869" w:rsidRDefault="00BC21BF">
      <w:pPr>
        <w:spacing w:line="360" w:lineRule="auto"/>
        <w:jc w:val="both"/>
        <w:rPr>
          <w:rFonts w:ascii="Palatino Linotype" w:eastAsia="Palatino Linotype" w:hAnsi="Palatino Linotype" w:cs="Palatino Linotype"/>
        </w:rPr>
      </w:pPr>
    </w:p>
    <w:p w14:paraId="150614DB"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55AD70C" w14:textId="77777777" w:rsidR="00BC21BF" w:rsidRPr="00F86869" w:rsidRDefault="00BC21BF">
      <w:pPr>
        <w:spacing w:line="360" w:lineRule="auto"/>
        <w:jc w:val="both"/>
        <w:rPr>
          <w:rFonts w:ascii="Palatino Linotype" w:eastAsia="Palatino Linotype" w:hAnsi="Palatino Linotype" w:cs="Palatino Linotype"/>
          <w:b/>
        </w:rPr>
      </w:pPr>
    </w:p>
    <w:p w14:paraId="28F8B7C2" w14:textId="77777777" w:rsidR="00BC21BF" w:rsidRPr="00F86869" w:rsidRDefault="00334506">
      <w:pPr>
        <w:spacing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 xml:space="preserve">8. CIERRE DE INSTRUCCIÓN. </w:t>
      </w:r>
      <w:r w:rsidR="00475460" w:rsidRPr="00F86869">
        <w:rPr>
          <w:rFonts w:ascii="Palatino Linotype" w:eastAsia="Palatino Linotype" w:hAnsi="Palatino Linotype" w:cs="Palatino Linotype"/>
        </w:rPr>
        <w:t>En fecha cuatro</w:t>
      </w:r>
      <w:r w:rsidRPr="00F86869">
        <w:rPr>
          <w:rFonts w:ascii="Palatino Linotype" w:eastAsia="Palatino Linotype" w:hAnsi="Palatino Linotype" w:cs="Palatino Linotype"/>
        </w:rPr>
        <w:t xml:space="preserve"> de agosto de dos mil veintidós </w:t>
      </w:r>
      <w:r w:rsidRPr="00F86869">
        <w:rPr>
          <w:rFonts w:ascii="Palatino Linotype" w:eastAsia="Palatino Linotype" w:hAnsi="Palatino Linotype" w:cs="Palatino Linotype"/>
          <w:color w:val="000000"/>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8AE637E"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52BC6B2" w14:textId="77777777" w:rsidR="00BC21BF" w:rsidRPr="00F86869" w:rsidRDefault="00334506">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sidRPr="00F86869">
        <w:rPr>
          <w:rFonts w:ascii="Palatino Linotype" w:eastAsia="Palatino Linotype" w:hAnsi="Palatino Linotype" w:cs="Palatino Linotype"/>
          <w:b/>
          <w:color w:val="000000"/>
        </w:rPr>
        <w:t>II</w:t>
      </w:r>
      <w:r w:rsidRPr="00F86869">
        <w:rPr>
          <w:rFonts w:ascii="Palatino Linotype" w:eastAsia="Palatino Linotype" w:hAnsi="Palatino Linotype" w:cs="Palatino Linotype"/>
          <w:b/>
          <w:color w:val="000000"/>
        </w:rPr>
        <w:tab/>
        <w:t>C O N S I D E R A N D O:</w:t>
      </w:r>
    </w:p>
    <w:p w14:paraId="7B72600B"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 xml:space="preserve">PRIMERO. COMPETENCIA. </w:t>
      </w:r>
      <w:r w:rsidRPr="00F8686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w:t>
      </w:r>
      <w:r w:rsidRPr="00F86869">
        <w:rPr>
          <w:rFonts w:ascii="Palatino Linotype" w:eastAsia="Palatino Linotype" w:hAnsi="Palatino Linotype" w:cs="Palatino Linotype"/>
        </w:rPr>
        <w:lastRenderedPageBreak/>
        <w:t>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DDB8DD7" w14:textId="77777777" w:rsidR="00BC21BF" w:rsidRPr="00F86869" w:rsidRDefault="00334506">
      <w:pPr>
        <w:spacing w:before="240" w:after="240" w:line="360" w:lineRule="auto"/>
        <w:ind w:right="-234"/>
        <w:jc w:val="both"/>
        <w:rPr>
          <w:rFonts w:ascii="Palatino Linotype" w:eastAsia="Palatino Linotype" w:hAnsi="Palatino Linotype" w:cs="Palatino Linotype"/>
        </w:rPr>
      </w:pPr>
      <w:r w:rsidRPr="00F86869">
        <w:rPr>
          <w:rFonts w:ascii="Palatino Linotype" w:eastAsia="Palatino Linotype" w:hAnsi="Palatino Linotype" w:cs="Palatino Linotype"/>
          <w:b/>
        </w:rPr>
        <w:t>SEGUNDO. OPORTUNIDAD Y PROCEDIBILIDAD DEL RECURSO DE REVISIÓN</w:t>
      </w:r>
      <w:r w:rsidRPr="00F86869">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xml:space="preserve"> emitió su respuesta a la solicitud planteada por la solicitante en fecha </w:t>
      </w:r>
      <w:r w:rsidRPr="00F86869">
        <w:rPr>
          <w:rFonts w:ascii="Palatino Linotype" w:eastAsia="Palatino Linotype" w:hAnsi="Palatino Linotype"/>
          <w:b/>
        </w:rPr>
        <w:t>veintinueve de marzo del año dos mil veintidós</w:t>
      </w:r>
      <w:r w:rsidRPr="00F86869">
        <w:rPr>
          <w:rFonts w:ascii="Palatino Linotype" w:eastAsia="Palatino Linotype" w:hAnsi="Palatino Linotype" w:cs="Palatino Linotype"/>
        </w:rPr>
        <w:t xml:space="preserve"> mientras que el </w:t>
      </w:r>
      <w:r w:rsidRPr="00F86869">
        <w:rPr>
          <w:rFonts w:ascii="Palatino Linotype" w:eastAsia="Palatino Linotype" w:hAnsi="Palatino Linotype" w:cs="Palatino Linotype"/>
          <w:b/>
        </w:rPr>
        <w:t>RECURRENTE</w:t>
      </w:r>
      <w:r w:rsidRPr="00F86869">
        <w:rPr>
          <w:rFonts w:ascii="Palatino Linotype" w:eastAsia="Palatino Linotype" w:hAnsi="Palatino Linotype" w:cs="Palatino Linotype"/>
        </w:rPr>
        <w:t xml:space="preserve"> interpuso el recurso de revisión en la misma que se pronunció la respuesta, </w:t>
      </w:r>
      <w:r w:rsidRPr="00F86869">
        <w:rPr>
          <w:rFonts w:ascii="Palatino Linotype" w:eastAsia="Palatino Linotype" w:hAnsi="Palatino Linotype" w:cs="Palatino Linotype"/>
          <w:color w:val="000000"/>
        </w:rPr>
        <w:t>circunstancia que no es determinante para declararlos extemporáneos, toda vez que el tiempo concedido es para delimitar el término en que puede impugnarse la respuesta, lo cual no impide que se presente antes de iniciado el plazo previsto.</w:t>
      </w:r>
    </w:p>
    <w:p w14:paraId="1ADD5716" w14:textId="77777777" w:rsidR="00BC21BF" w:rsidRPr="00F86869" w:rsidRDefault="00334506" w:rsidP="00475460">
      <w:pPr>
        <w:spacing w:before="240" w:after="240" w:line="360" w:lineRule="auto"/>
        <w:ind w:right="-234"/>
        <w:jc w:val="both"/>
        <w:rPr>
          <w:color w:val="000000"/>
        </w:rPr>
      </w:pPr>
      <w:r w:rsidRPr="00F86869">
        <w:rPr>
          <w:rFonts w:ascii="Palatino Linotype" w:eastAsia="Palatino Linotype" w:hAnsi="Palatino Linotype" w:cs="Palatino Linotype"/>
          <w:color w:val="000000"/>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F86869">
        <w:rPr>
          <w:i/>
          <w:color w:val="000000"/>
        </w:rPr>
        <w:t> </w:t>
      </w:r>
    </w:p>
    <w:p w14:paraId="3862A2B6" w14:textId="77777777" w:rsidR="00BC21BF" w:rsidRPr="00F86869" w:rsidRDefault="00334506" w:rsidP="00475460">
      <w:pPr>
        <w:shd w:val="clear" w:color="auto" w:fill="FFFFFF"/>
        <w:spacing w:before="240" w:after="240" w:line="276" w:lineRule="auto"/>
        <w:ind w:left="851" w:right="616"/>
        <w:jc w:val="both"/>
        <w:rPr>
          <w:color w:val="000000"/>
          <w:sz w:val="22"/>
          <w:szCs w:val="22"/>
        </w:rPr>
      </w:pPr>
      <w:r w:rsidRPr="00F86869">
        <w:rPr>
          <w:rFonts w:ascii="Palatino Linotype" w:eastAsia="Palatino Linotype" w:hAnsi="Palatino Linotype" w:cs="Palatino Linotype"/>
          <w:color w:val="000000"/>
          <w:sz w:val="22"/>
          <w:szCs w:val="22"/>
        </w:rPr>
        <w:lastRenderedPageBreak/>
        <w:t>"</w:t>
      </w:r>
      <w:r w:rsidRPr="00F86869">
        <w:rPr>
          <w:rFonts w:ascii="Palatino Linotype" w:eastAsia="Palatino Linotype" w:hAnsi="Palatino Linotype" w:cs="Palatino Linotype"/>
          <w:i/>
          <w:color w:val="000000"/>
          <w:sz w:val="22"/>
          <w:szCs w:val="22"/>
        </w:rPr>
        <w:t>RECURSO DE RECLAMACIÓN. SU INTERPOSICIÓN NO ES EXTEMPORÁNEA SI SE REALIZA ANTES DE QUE INICIE EL PLAZO PARA HACERLO.</w:t>
      </w:r>
    </w:p>
    <w:p w14:paraId="3B08F10A" w14:textId="77777777" w:rsidR="00BC21BF" w:rsidRPr="00F86869" w:rsidRDefault="00334506" w:rsidP="00475460">
      <w:pPr>
        <w:shd w:val="clear" w:color="auto" w:fill="FFFFFF"/>
        <w:spacing w:before="240" w:after="240" w:line="276" w:lineRule="auto"/>
        <w:ind w:left="851" w:right="616"/>
        <w:jc w:val="both"/>
        <w:rPr>
          <w:color w:val="000000"/>
          <w:sz w:val="22"/>
          <w:szCs w:val="22"/>
        </w:rPr>
      </w:pPr>
      <w:r w:rsidRPr="00F86869">
        <w:rPr>
          <w:rFonts w:ascii="Palatino Linotype" w:eastAsia="Palatino Linotype" w:hAnsi="Palatino Linotype" w:cs="Palatino Linotype"/>
          <w:i/>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6113ED10" w14:textId="77777777" w:rsidR="00BC21BF" w:rsidRPr="00F86869" w:rsidRDefault="00334506" w:rsidP="00475460">
      <w:pPr>
        <w:shd w:val="clear" w:color="auto" w:fill="FFFFFF"/>
        <w:spacing w:before="240" w:after="240" w:line="276" w:lineRule="auto"/>
        <w:ind w:left="851" w:right="616"/>
        <w:jc w:val="both"/>
        <w:rPr>
          <w:color w:val="000000"/>
          <w:sz w:val="22"/>
          <w:szCs w:val="22"/>
        </w:rPr>
      </w:pPr>
      <w:r w:rsidRPr="00F86869">
        <w:rPr>
          <w:rFonts w:ascii="Palatino Linotype" w:eastAsia="Palatino Linotype" w:hAnsi="Palatino Linotype" w:cs="Palatino Linotype"/>
          <w:i/>
          <w:color w:val="000000"/>
          <w:sz w:val="22"/>
          <w:szCs w:val="22"/>
        </w:rPr>
        <w:t>De ahí que si dicho recurso se interpone antes de que inicie el plazo para hacerlo, su presentación no es extemporánea…</w:t>
      </w:r>
      <w:r w:rsidRPr="00F86869">
        <w:rPr>
          <w:rFonts w:ascii="Palatino Linotype" w:eastAsia="Palatino Linotype" w:hAnsi="Palatino Linotype" w:cs="Palatino Linotype"/>
          <w:color w:val="000000"/>
          <w:sz w:val="22"/>
          <w:szCs w:val="22"/>
        </w:rPr>
        <w:t>"(Sic)</w:t>
      </w:r>
    </w:p>
    <w:p w14:paraId="547A763F"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color w:val="000000"/>
        </w:rPr>
        <w:t>Al mismo tiempo, tras la revisión del formato de interposición del recurso</w:t>
      </w:r>
      <w:r w:rsidRPr="00F86869">
        <w:rPr>
          <w:rFonts w:ascii="Palatino Linotype" w:eastAsia="Palatino Linotype" w:hAnsi="Palatino Linotype" w:cs="Palatino Linotype"/>
        </w:rPr>
        <w:t xml:space="preserve">, es de suma importancia señalar que la parte </w:t>
      </w:r>
      <w:r w:rsidRPr="00F86869">
        <w:rPr>
          <w:rFonts w:ascii="Palatino Linotype" w:eastAsia="Palatino Linotype" w:hAnsi="Palatino Linotype" w:cs="Palatino Linotype"/>
          <w:b/>
        </w:rPr>
        <w:t>RECURRENTE</w:t>
      </w:r>
      <w:r w:rsidRPr="00F86869">
        <w:rPr>
          <w:rFonts w:ascii="Palatino Linotype" w:eastAsia="Palatino Linotype" w:hAnsi="Palatino Linotype" w:cs="Palatino Linotype"/>
        </w:rPr>
        <w:t xml:space="preserve"> </w:t>
      </w:r>
      <w:r w:rsidRPr="00F86869">
        <w:rPr>
          <w:rFonts w:ascii="Palatino Linotype" w:eastAsia="Palatino Linotype" w:hAnsi="Palatino Linotype" w:cs="Palatino Linotype"/>
          <w:b/>
        </w:rPr>
        <w:t>no proporcionó su nombre</w:t>
      </w:r>
      <w:r w:rsidRPr="00F86869">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173D41" w14:textId="77777777" w:rsidR="00BC21BF" w:rsidRPr="00F86869" w:rsidRDefault="00BC21BF">
      <w:pPr>
        <w:ind w:left="567" w:right="474"/>
        <w:jc w:val="both"/>
        <w:rPr>
          <w:rFonts w:ascii="Palatino Linotype" w:eastAsia="Palatino Linotype" w:hAnsi="Palatino Linotype" w:cs="Palatino Linotype"/>
          <w:i/>
        </w:rPr>
      </w:pPr>
    </w:p>
    <w:p w14:paraId="0B95D5CF" w14:textId="77777777" w:rsidR="00BC21BF" w:rsidRPr="00F86869" w:rsidRDefault="00334506" w:rsidP="00475460">
      <w:pPr>
        <w:tabs>
          <w:tab w:val="left" w:pos="8222"/>
        </w:tabs>
        <w:spacing w:line="276" w:lineRule="auto"/>
        <w:ind w:left="567" w:right="616"/>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w:t>
      </w:r>
      <w:r w:rsidRPr="00F86869">
        <w:rPr>
          <w:rFonts w:ascii="Palatino Linotype" w:eastAsia="Palatino Linotype" w:hAnsi="Palatino Linotype" w:cs="Palatino Linotype"/>
          <w:b/>
          <w:i/>
          <w:sz w:val="22"/>
          <w:szCs w:val="22"/>
        </w:rPr>
        <w:t>Las solicitudes anónimas</w:t>
      </w:r>
      <w:r w:rsidRPr="00F86869">
        <w:rPr>
          <w:rFonts w:ascii="Palatino Linotype" w:eastAsia="Palatino Linotype" w:hAnsi="Palatino Linotype" w:cs="Palatino Linotype"/>
          <w:i/>
          <w:sz w:val="22"/>
          <w:szCs w:val="22"/>
        </w:rPr>
        <w:t xml:space="preserve">, con nombre incompleto o seudónimo </w:t>
      </w:r>
      <w:r w:rsidRPr="00F86869">
        <w:rPr>
          <w:rFonts w:ascii="Palatino Linotype" w:eastAsia="Palatino Linotype" w:hAnsi="Palatino Linotype" w:cs="Palatino Linotype"/>
          <w:b/>
          <w:i/>
          <w:sz w:val="22"/>
          <w:szCs w:val="22"/>
        </w:rPr>
        <w:t>serán procedentes para su trámite por parte del sujeto obligado ante quien se presente</w:t>
      </w:r>
      <w:r w:rsidRPr="00F86869">
        <w:rPr>
          <w:rFonts w:ascii="Palatino Linotype" w:eastAsia="Palatino Linotype" w:hAnsi="Palatino Linotype" w:cs="Palatino Linotype"/>
          <w:i/>
          <w:sz w:val="22"/>
          <w:szCs w:val="22"/>
        </w:rPr>
        <w:t>. No podrá requerirse información adicional con motivo del nombre proporcionado por el solicitante."</w:t>
      </w:r>
    </w:p>
    <w:p w14:paraId="0E382EF5" w14:textId="77777777" w:rsidR="00BC21BF" w:rsidRPr="00F86869" w:rsidRDefault="00BC21BF">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C6E2ECB" w14:textId="77777777" w:rsidR="00BC21BF" w:rsidRPr="00F86869" w:rsidRDefault="00334506">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w:t>
      </w:r>
      <w:r w:rsidRPr="00F86869">
        <w:rPr>
          <w:rFonts w:ascii="Palatino Linotype" w:eastAsia="Palatino Linotype" w:hAnsi="Palatino Linotype" w:cs="Palatino Linotype"/>
          <w:color w:val="000000"/>
        </w:rPr>
        <w:lastRenderedPageBreak/>
        <w:t xml:space="preserve">Municipios, en atención a que fue presentado mediante el formato visible en </w:t>
      </w:r>
      <w:r w:rsidRPr="00F86869">
        <w:rPr>
          <w:rFonts w:ascii="Palatino Linotype" w:eastAsia="Palatino Linotype" w:hAnsi="Palatino Linotype" w:cs="Palatino Linotype"/>
          <w:b/>
          <w:color w:val="000000"/>
        </w:rPr>
        <w:t>EL</w:t>
      </w:r>
      <w:r w:rsidRPr="00F86869">
        <w:rPr>
          <w:rFonts w:ascii="Palatino Linotype" w:eastAsia="Palatino Linotype" w:hAnsi="Palatino Linotype" w:cs="Palatino Linotype"/>
          <w:color w:val="000000"/>
        </w:rPr>
        <w:t xml:space="preserve"> </w:t>
      </w:r>
      <w:r w:rsidRPr="00F86869">
        <w:rPr>
          <w:rFonts w:ascii="Palatino Linotype" w:eastAsia="Palatino Linotype" w:hAnsi="Palatino Linotype" w:cs="Palatino Linotype"/>
          <w:b/>
          <w:color w:val="000000"/>
        </w:rPr>
        <w:t>SAIMEX</w:t>
      </w:r>
      <w:r w:rsidRPr="00F86869">
        <w:rPr>
          <w:rFonts w:ascii="Palatino Linotype" w:eastAsia="Palatino Linotype" w:hAnsi="Palatino Linotype" w:cs="Palatino Linotype"/>
          <w:color w:val="000000"/>
        </w:rPr>
        <w:t>.</w:t>
      </w:r>
    </w:p>
    <w:p w14:paraId="4A05E7A7" w14:textId="77777777" w:rsidR="00BC21BF" w:rsidRPr="00F86869" w:rsidRDefault="00BC21B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5F94DD90" w14:textId="77777777" w:rsidR="00BC21BF" w:rsidRPr="00F86869" w:rsidRDefault="00334506">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Finalmente, resulta procedente la interposición del recurso, según lo aducido por el </w:t>
      </w:r>
      <w:r w:rsidRPr="00F86869">
        <w:rPr>
          <w:rFonts w:ascii="Palatino Linotype" w:eastAsia="Palatino Linotype" w:hAnsi="Palatino Linotype" w:cs="Palatino Linotype"/>
          <w:b/>
        </w:rPr>
        <w:t>RECURRENTE</w:t>
      </w:r>
      <w:r w:rsidRPr="00F86869">
        <w:rPr>
          <w:rFonts w:ascii="Palatino Linotype" w:eastAsia="Palatino Linotype" w:hAnsi="Palatino Linotype" w:cs="Palatino Linotype"/>
        </w:rPr>
        <w:t xml:space="preserve"> en sus razones o motivos de inconformidad, de acuerdo al artículo 179, fracción I</w:t>
      </w:r>
      <w:r w:rsidR="00384B4D" w:rsidRPr="00F86869">
        <w:rPr>
          <w:rFonts w:ascii="Palatino Linotype" w:eastAsia="Palatino Linotype" w:hAnsi="Palatino Linotype" w:cs="Palatino Linotype"/>
        </w:rPr>
        <w:t>X</w:t>
      </w:r>
      <w:r w:rsidRPr="00F86869">
        <w:rPr>
          <w:rFonts w:ascii="Palatino Linotype" w:eastAsia="Palatino Linotype" w:hAnsi="Palatino Linotype" w:cs="Palatino Linotype"/>
        </w:rPr>
        <w:t xml:space="preserve"> de la Ley de Transparencia y Acceso a la Información Pública del Estado de México y Municipios; que a la letra dice:</w:t>
      </w:r>
    </w:p>
    <w:p w14:paraId="6D04CCBA" w14:textId="77777777" w:rsidR="00BC21BF" w:rsidRPr="00F86869" w:rsidRDefault="0033450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F86869">
        <w:rPr>
          <w:rFonts w:ascii="Palatino Linotype" w:eastAsia="Palatino Linotype" w:hAnsi="Palatino Linotype" w:cs="Palatino Linotype"/>
          <w:b/>
          <w:i/>
        </w:rPr>
        <w:t>“Artículo 179</w:t>
      </w:r>
      <w:r w:rsidRPr="00F86869">
        <w:rPr>
          <w:rFonts w:ascii="Palatino Linotype" w:eastAsia="Palatino Linotype" w:hAnsi="Palatino Linotype" w:cs="Palatino Linotype"/>
          <w:i/>
        </w:rPr>
        <w:t xml:space="preserve">. </w:t>
      </w:r>
      <w:r w:rsidRPr="00F86869">
        <w:rPr>
          <w:rFonts w:ascii="Palatino Linotype" w:eastAsia="Palatino Linotype" w:hAnsi="Palatino Linotype" w:cs="Palatino Linotype"/>
          <w:b/>
          <w:i/>
        </w:rPr>
        <w:t>El recurso de revisión</w:t>
      </w:r>
      <w:r w:rsidRPr="00F8686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86869">
        <w:rPr>
          <w:rFonts w:ascii="Palatino Linotype" w:eastAsia="Palatino Linotype" w:hAnsi="Palatino Linotype" w:cs="Palatino Linotype"/>
          <w:b/>
          <w:i/>
        </w:rPr>
        <w:t>, y procederá en contra de las siguientes causas</w:t>
      </w:r>
      <w:r w:rsidRPr="00F86869">
        <w:rPr>
          <w:rFonts w:ascii="Palatino Linotype" w:eastAsia="Palatino Linotype" w:hAnsi="Palatino Linotype" w:cs="Palatino Linotype"/>
          <w:i/>
        </w:rPr>
        <w:t>:</w:t>
      </w:r>
    </w:p>
    <w:p w14:paraId="6C2EFF97" w14:textId="77777777" w:rsidR="00BC21BF" w:rsidRPr="00F86869" w:rsidRDefault="0033450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F86869">
        <w:rPr>
          <w:rFonts w:ascii="Palatino Linotype" w:eastAsia="Palatino Linotype" w:hAnsi="Palatino Linotype" w:cs="Palatino Linotype"/>
          <w:i/>
        </w:rPr>
        <w:t>…</w:t>
      </w:r>
    </w:p>
    <w:p w14:paraId="62104627" w14:textId="77777777" w:rsidR="00BC21BF" w:rsidRPr="00F86869" w:rsidRDefault="0033450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F86869">
        <w:rPr>
          <w:rFonts w:ascii="Palatino Linotype" w:eastAsia="Palatino Linotype" w:hAnsi="Palatino Linotype" w:cs="Palatino Linotype"/>
          <w:i/>
        </w:rPr>
        <w:t>I</w:t>
      </w:r>
      <w:r w:rsidR="00384B4D" w:rsidRPr="00F86869">
        <w:rPr>
          <w:rFonts w:ascii="Palatino Linotype" w:eastAsia="Palatino Linotype" w:hAnsi="Palatino Linotype" w:cs="Palatino Linotype"/>
          <w:i/>
        </w:rPr>
        <w:t>X</w:t>
      </w:r>
      <w:r w:rsidRPr="00F86869">
        <w:rPr>
          <w:rFonts w:ascii="Palatino Linotype" w:eastAsia="Palatino Linotype" w:hAnsi="Palatino Linotype" w:cs="Palatino Linotype"/>
          <w:i/>
        </w:rPr>
        <w:t xml:space="preserve">. La </w:t>
      </w:r>
      <w:r w:rsidR="00384B4D" w:rsidRPr="00F86869">
        <w:rPr>
          <w:rFonts w:ascii="Palatino Linotype" w:eastAsia="Palatino Linotype" w:hAnsi="Palatino Linotype" w:cs="Palatino Linotype"/>
          <w:i/>
        </w:rPr>
        <w:t>entrega o puesta a disposición de información en un formato incomprensible y/o no accesible para el solicitante</w:t>
      </w:r>
      <w:r w:rsidRPr="00F86869">
        <w:rPr>
          <w:rFonts w:ascii="Palatino Linotype" w:eastAsia="Palatino Linotype" w:hAnsi="Palatino Linotype" w:cs="Palatino Linotype"/>
          <w:i/>
        </w:rPr>
        <w:t>;” (Sic)</w:t>
      </w:r>
    </w:p>
    <w:p w14:paraId="25604194" w14:textId="77777777" w:rsidR="00BC21BF" w:rsidRPr="00F86869" w:rsidRDefault="00BC21BF">
      <w:pPr>
        <w:pBdr>
          <w:top w:val="nil"/>
          <w:left w:val="nil"/>
          <w:bottom w:val="nil"/>
          <w:right w:val="nil"/>
          <w:between w:val="nil"/>
        </w:pBdr>
        <w:spacing w:after="240" w:line="360" w:lineRule="auto"/>
        <w:ind w:right="-91"/>
        <w:jc w:val="both"/>
        <w:rPr>
          <w:rFonts w:ascii="Palatino Linotype" w:eastAsia="Palatino Linotype" w:hAnsi="Palatino Linotype" w:cs="Palatino Linotype"/>
          <w:b/>
          <w:i/>
          <w:color w:val="000000"/>
          <w:sz w:val="22"/>
          <w:szCs w:val="22"/>
        </w:rPr>
      </w:pPr>
    </w:p>
    <w:p w14:paraId="78C08475" w14:textId="77777777" w:rsidR="00BC21BF" w:rsidRPr="00F86869" w:rsidRDefault="00334506" w:rsidP="00750429">
      <w:pPr>
        <w:spacing w:line="360" w:lineRule="auto"/>
        <w:jc w:val="both"/>
        <w:rPr>
          <w:rFonts w:ascii="Palatino Linotype" w:eastAsia="Palatino Linotype" w:hAnsi="Palatino Linotype" w:cs="Palatino Linotype"/>
          <w:i/>
        </w:rPr>
      </w:pPr>
      <w:r w:rsidRPr="00F86869">
        <w:rPr>
          <w:rFonts w:ascii="Palatino Linotype" w:eastAsia="Palatino Linotype" w:hAnsi="Palatino Linotype" w:cs="Palatino Linotype"/>
          <w:b/>
        </w:rPr>
        <w:t xml:space="preserve">TERCERO. </w:t>
      </w:r>
      <w:r w:rsidR="00750429" w:rsidRPr="00F86869">
        <w:rPr>
          <w:rFonts w:ascii="Palatino Linotype" w:eastAsia="Palatino Linotype" w:hAnsi="Palatino Linotype" w:cs="Palatino Linotype"/>
          <w:b/>
        </w:rPr>
        <w:t>ANÁLISIS DE LAS CAUSALES DE SOBRESEIMIENTO</w:t>
      </w:r>
      <w:r w:rsidR="00750429" w:rsidRPr="00F86869">
        <w:rPr>
          <w:rFonts w:ascii="Palatino Linotype" w:eastAsia="Palatino Linotype" w:hAnsi="Palatino Linotype" w:cs="Palatino Linotype"/>
        </w:rPr>
        <w:t xml:space="preserve">: </w:t>
      </w:r>
      <w:r w:rsidR="00750429" w:rsidRPr="00F86869">
        <w:rPr>
          <w:rFonts w:ascii="Palatino Linotype" w:eastAsia="Palatino Linotype" w:hAnsi="Palatino Linotype" w:cs="Palatino Linotype"/>
          <w:color w:val="000000"/>
        </w:rPr>
        <w:t xml:space="preserve">En la </w:t>
      </w:r>
      <w:r w:rsidRPr="00F86869">
        <w:rPr>
          <w:rFonts w:ascii="Palatino Linotype" w:eastAsia="Palatino Linotype" w:hAnsi="Palatino Linotype" w:cs="Palatino Linotype"/>
          <w:color w:val="000000"/>
        </w:rPr>
        <w:t xml:space="preserve"> solicitud de información, motivo del recurso de revisión que ahora se resuelve se advierte que la parte </w:t>
      </w:r>
      <w:r w:rsidRPr="00F86869">
        <w:rPr>
          <w:rFonts w:ascii="Palatino Linotype" w:eastAsia="Palatino Linotype" w:hAnsi="Palatino Linotype" w:cs="Palatino Linotype"/>
          <w:b/>
          <w:color w:val="000000"/>
        </w:rPr>
        <w:t>RECURRENTE</w:t>
      </w:r>
      <w:r w:rsidR="00384B4D" w:rsidRPr="00F86869">
        <w:rPr>
          <w:rFonts w:ascii="Palatino Linotype" w:eastAsia="Palatino Linotype" w:hAnsi="Palatino Linotype" w:cs="Palatino Linotype"/>
          <w:color w:val="000000"/>
        </w:rPr>
        <w:t xml:space="preserve"> solicitó</w:t>
      </w:r>
      <w:r w:rsidRPr="00F86869">
        <w:rPr>
          <w:rFonts w:ascii="Palatino Linotype" w:eastAsia="Palatino Linotype" w:hAnsi="Palatino Linotype" w:cs="Palatino Linotype"/>
          <w:color w:val="000000"/>
        </w:rPr>
        <w:t xml:space="preserve"> al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 xml:space="preserve"> le proporcione, información consistente en lo siguiente:</w:t>
      </w:r>
    </w:p>
    <w:p w14:paraId="0CA67777" w14:textId="77777777" w:rsidR="00BC21BF" w:rsidRPr="00F86869" w:rsidRDefault="0033450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sz w:val="22"/>
          <w:szCs w:val="22"/>
        </w:rPr>
        <w:t xml:space="preserve">Los manuales de organización de la administración 2022-2024. </w:t>
      </w:r>
    </w:p>
    <w:p w14:paraId="6941C68D" w14:textId="77777777" w:rsidR="00BC21BF" w:rsidRPr="00F86869" w:rsidRDefault="0033450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sz w:val="22"/>
          <w:szCs w:val="22"/>
        </w:rPr>
        <w:t>El directorio actualizado de todos los servidores públicos.</w:t>
      </w:r>
    </w:p>
    <w:p w14:paraId="1B6B0384" w14:textId="77777777" w:rsidR="00BC21BF" w:rsidRPr="00F86869" w:rsidRDefault="00BC21B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73728ED4"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En respuesta, el </w:t>
      </w:r>
      <w:r w:rsidRPr="00F86869">
        <w:rPr>
          <w:rFonts w:ascii="Palatino Linotype" w:eastAsia="Palatino Linotype" w:hAnsi="Palatino Linotype" w:cs="Palatino Linotype"/>
          <w:b/>
          <w:color w:val="000000"/>
        </w:rPr>
        <w:t xml:space="preserve">SUJETO OBLIGADO </w:t>
      </w:r>
      <w:r w:rsidRPr="00F86869">
        <w:rPr>
          <w:rFonts w:ascii="Palatino Linotype" w:eastAsia="Palatino Linotype" w:hAnsi="Palatino Linotype" w:cs="Palatino Linotype"/>
          <w:color w:val="000000"/>
        </w:rPr>
        <w:t xml:space="preserve">señala que el Directorio de los servidores públicos actualizado podrá consultarlo en el portal del Ipomex, en el apartado del </w:t>
      </w:r>
      <w:r w:rsidRPr="00F86869">
        <w:rPr>
          <w:rFonts w:ascii="Palatino Linotype" w:eastAsia="Palatino Linotype" w:hAnsi="Palatino Linotype" w:cs="Palatino Linotype"/>
          <w:color w:val="000000"/>
        </w:rPr>
        <w:lastRenderedPageBreak/>
        <w:t xml:space="preserve">artículo 92 fracción VII, a través de la siguiente liga electrónica </w:t>
      </w:r>
      <w:hyperlink r:id="rId14">
        <w:r w:rsidRPr="00F86869">
          <w:rPr>
            <w:rFonts w:ascii="Palatino Linotype" w:eastAsia="Palatino Linotype" w:hAnsi="Palatino Linotype" w:cs="Palatino Linotype"/>
            <w:color w:val="0000FF"/>
            <w:u w:val="single"/>
          </w:rPr>
          <w:t>https://www.ipomex.org.mx/ipo3/lgt/indice/TOLUCA/art_92_xii.web</w:t>
        </w:r>
      </w:hyperlink>
    </w:p>
    <w:p w14:paraId="0CDE5DD8" w14:textId="77777777" w:rsidR="00BC21BF" w:rsidRPr="00F86869" w:rsidRDefault="00BC21BF">
      <w:pPr>
        <w:spacing w:line="360" w:lineRule="auto"/>
        <w:jc w:val="both"/>
        <w:rPr>
          <w:rFonts w:ascii="Palatino Linotype" w:eastAsia="Palatino Linotype" w:hAnsi="Palatino Linotype" w:cs="Palatino Linotype"/>
        </w:rPr>
      </w:pPr>
    </w:p>
    <w:p w14:paraId="49C2E0A4"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Así mismo, por lo que hace a los manuales, se informa al solicitante que hasta la fecha no se cuenta con la información solicitada.</w:t>
      </w:r>
    </w:p>
    <w:p w14:paraId="5430BDC2" w14:textId="77777777" w:rsidR="00BC21BF" w:rsidRPr="00F86869" w:rsidRDefault="00BC21BF">
      <w:pPr>
        <w:spacing w:line="360" w:lineRule="auto"/>
        <w:jc w:val="both"/>
        <w:rPr>
          <w:rFonts w:ascii="Palatino Linotype" w:eastAsia="Palatino Linotype" w:hAnsi="Palatino Linotype" w:cs="Palatino Linotype"/>
        </w:rPr>
      </w:pPr>
    </w:p>
    <w:p w14:paraId="6CEC8E92"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rPr>
        <w:t xml:space="preserve">Conocida la respuesta por el particular, al no estar conforme con los términos de la misma, presentó el recurso de revisión que nos ocupa, mediante el cual señaló como motivo de inconformidad, en lo medular que el link proporcionado marcaba error, así como que 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color w:val="000000"/>
        </w:rPr>
        <w:t xml:space="preserve"> no había proporcionado la información en tiempo y reiterando el medio de entrega a través del portal SAIMEX. </w:t>
      </w:r>
    </w:p>
    <w:p w14:paraId="4A2661BD" w14:textId="77777777" w:rsidR="00BC21BF" w:rsidRPr="00F86869" w:rsidRDefault="00BC21BF">
      <w:pPr>
        <w:tabs>
          <w:tab w:val="left" w:pos="8647"/>
        </w:tabs>
        <w:spacing w:line="360" w:lineRule="auto"/>
        <w:ind w:right="141"/>
        <w:jc w:val="both"/>
        <w:rPr>
          <w:rFonts w:ascii="Palatino Linotype" w:eastAsia="Palatino Linotype" w:hAnsi="Palatino Linotype" w:cs="Palatino Linotype"/>
        </w:rPr>
      </w:pPr>
    </w:p>
    <w:p w14:paraId="3D805C50"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rPr>
        <w:t xml:space="preserve">Cabe resaltar que </w:t>
      </w:r>
      <w:r w:rsidRPr="00F86869">
        <w:rPr>
          <w:rFonts w:ascii="Palatino Linotype" w:eastAsia="Palatino Linotype" w:hAnsi="Palatino Linotype" w:cs="Palatino Linotype"/>
          <w:color w:val="000000"/>
        </w:rPr>
        <w:t>durante la etapa de manifestaciones la parte</w:t>
      </w:r>
      <w:r w:rsidRPr="00F86869">
        <w:rPr>
          <w:rFonts w:ascii="Palatino Linotype" w:eastAsia="Palatino Linotype" w:hAnsi="Palatino Linotype" w:cs="Palatino Linotype"/>
          <w:b/>
          <w:color w:val="000000"/>
        </w:rPr>
        <w:t xml:space="preserve"> RECURRENTE</w:t>
      </w:r>
      <w:r w:rsidRPr="00F86869">
        <w:rPr>
          <w:rFonts w:ascii="Palatino Linotype" w:eastAsia="Palatino Linotype" w:hAnsi="Palatino Linotype" w:cs="Palatino Linotype"/>
          <w:color w:val="000000"/>
        </w:rPr>
        <w:t xml:space="preserve"> fue omisa de rendir alegatos.</w:t>
      </w:r>
    </w:p>
    <w:p w14:paraId="00623BF0" w14:textId="77777777" w:rsidR="00784A20" w:rsidRPr="00F86869" w:rsidRDefault="00784A20">
      <w:pPr>
        <w:spacing w:line="360" w:lineRule="auto"/>
        <w:jc w:val="both"/>
        <w:rPr>
          <w:rFonts w:ascii="Palatino Linotype" w:eastAsia="Palatino Linotype" w:hAnsi="Palatino Linotype" w:cs="Palatino Linotype"/>
          <w:color w:val="000000"/>
        </w:rPr>
      </w:pPr>
    </w:p>
    <w:p w14:paraId="53A2159E"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Por otra parte, el </w:t>
      </w:r>
      <w:r w:rsidRPr="00F86869">
        <w:rPr>
          <w:rFonts w:ascii="Palatino Linotype" w:eastAsia="Palatino Linotype" w:hAnsi="Palatino Linotype" w:cs="Palatino Linotype"/>
          <w:b/>
        </w:rPr>
        <w:t>SUJETO</w:t>
      </w:r>
      <w:r w:rsidRPr="00F86869">
        <w:rPr>
          <w:rFonts w:ascii="Palatino Linotype" w:eastAsia="Palatino Linotype" w:hAnsi="Palatino Linotype" w:cs="Palatino Linotype"/>
          <w:b/>
          <w:color w:val="000000"/>
        </w:rPr>
        <w:t xml:space="preserve"> OBLIGADO</w:t>
      </w:r>
      <w:r w:rsidRPr="00F86869">
        <w:rPr>
          <w:rFonts w:ascii="Palatino Linotype" w:eastAsia="Palatino Linotype" w:hAnsi="Palatino Linotype" w:cs="Palatino Linotype"/>
        </w:rPr>
        <w:t>, a través del archivo electrónico denominado “</w:t>
      </w:r>
      <w:hyperlink r:id="rId15">
        <w:r w:rsidRPr="00F86869">
          <w:rPr>
            <w:rFonts w:ascii="Palatino Linotype" w:eastAsia="Palatino Linotype" w:hAnsi="Palatino Linotype" w:cs="Palatino Linotype"/>
            <w:b/>
            <w:i/>
          </w:rPr>
          <w:t>Informe 05209_2022.pdf</w:t>
        </w:r>
      </w:hyperlink>
      <w:r w:rsidRPr="00F86869">
        <w:rPr>
          <w:rFonts w:ascii="Palatino Linotype" w:eastAsia="Palatino Linotype" w:hAnsi="Palatino Linotype" w:cs="Palatino Linotype"/>
          <w:b/>
          <w:i/>
        </w:rPr>
        <w:t xml:space="preserve"> ”</w:t>
      </w:r>
      <w:r w:rsidRPr="00F86869">
        <w:rPr>
          <w:rFonts w:ascii="Palatino Linotype" w:eastAsia="Palatino Linotype" w:hAnsi="Palatino Linotype" w:cs="Palatino Linotype"/>
        </w:rPr>
        <w:t>, ratificó su respuesta inicial respecto de</w:t>
      </w:r>
      <w:r w:rsidRPr="00F86869">
        <w:rPr>
          <w:rFonts w:ascii="Palatino Linotype" w:eastAsia="Palatino Linotype" w:hAnsi="Palatino Linotype" w:cs="Palatino Linotype"/>
          <w:color w:val="000000"/>
        </w:rPr>
        <w:t xml:space="preserve">l directorio actualizado de todos los servidores públicos, ahora bien, por lo que respecta a los manuales de organización de la administración 2022-2024, señala que </w:t>
      </w:r>
      <w:r w:rsidR="00784A20" w:rsidRPr="00F86869">
        <w:rPr>
          <w:rFonts w:ascii="Palatino Linotype" w:eastAsia="Palatino Linotype" w:hAnsi="Palatino Linotype" w:cs="Palatino Linotype"/>
          <w:color w:val="000000"/>
        </w:rPr>
        <w:t>aún</w:t>
      </w:r>
      <w:r w:rsidRPr="00F86869">
        <w:rPr>
          <w:rFonts w:ascii="Palatino Linotype" w:eastAsia="Palatino Linotype" w:hAnsi="Palatino Linotype" w:cs="Palatino Linotype"/>
          <w:color w:val="000000"/>
        </w:rPr>
        <w:t xml:space="preserve"> no se cuenta con ellos, sin embargo, se trabaja con los anteriores que, de acuerdo a su dicho, en términos de la Ley son los que se encuentran vigentes en tanto se emitan unos nuevos y se refiere a la liga electrónica:   </w:t>
      </w:r>
    </w:p>
    <w:p w14:paraId="0C24276B" w14:textId="77777777" w:rsidR="00BC21BF" w:rsidRPr="00F86869" w:rsidRDefault="00944E9D">
      <w:pPr>
        <w:spacing w:line="360" w:lineRule="auto"/>
        <w:jc w:val="both"/>
        <w:rPr>
          <w:rFonts w:ascii="Palatino Linotype" w:eastAsia="Palatino Linotype" w:hAnsi="Palatino Linotype" w:cs="Palatino Linotype"/>
          <w:color w:val="000000"/>
        </w:rPr>
      </w:pPr>
      <w:hyperlink r:id="rId16">
        <w:r w:rsidR="00334506" w:rsidRPr="00F86869">
          <w:rPr>
            <w:rFonts w:ascii="Palatino Linotype" w:eastAsia="Palatino Linotype" w:hAnsi="Palatino Linotype" w:cs="Palatino Linotype"/>
            <w:color w:val="0000FF"/>
            <w:u w:val="single"/>
          </w:rPr>
          <w:t>https://www.ipomex.org.mx/ipo3/lgt/indice/TOLUCA/art_92_i/4.web</w:t>
        </w:r>
      </w:hyperlink>
    </w:p>
    <w:p w14:paraId="6208EDA4" w14:textId="77777777" w:rsidR="00784A20" w:rsidRPr="00F86869" w:rsidRDefault="00784A20">
      <w:pPr>
        <w:spacing w:line="360" w:lineRule="auto"/>
        <w:jc w:val="both"/>
        <w:rPr>
          <w:rFonts w:ascii="Palatino Linotype" w:eastAsia="Palatino Linotype" w:hAnsi="Palatino Linotype" w:cs="Palatino Linotype"/>
          <w:color w:val="000000"/>
        </w:rPr>
      </w:pPr>
    </w:p>
    <w:p w14:paraId="0B918825"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lastRenderedPageBreak/>
        <w:t xml:space="preserve">Finalmente, el Sujeto obligado, en la presentación de su Informe Justificado, solicita el sobreseimiento de Recurso de Revisión que nos ocupa.   </w:t>
      </w:r>
    </w:p>
    <w:p w14:paraId="6920A591" w14:textId="77777777" w:rsidR="00BC21BF" w:rsidRPr="00F86869" w:rsidRDefault="00BC21BF">
      <w:pPr>
        <w:spacing w:line="360" w:lineRule="auto"/>
        <w:jc w:val="both"/>
        <w:rPr>
          <w:rFonts w:ascii="Palatino Linotype" w:eastAsia="Palatino Linotype" w:hAnsi="Palatino Linotype" w:cs="Palatino Linotype"/>
          <w:color w:val="000000"/>
        </w:rPr>
      </w:pPr>
    </w:p>
    <w:p w14:paraId="247C995F"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Precisado lo anterior, conviene señalar, en primer lugar, que, a través de la respuesta proporcionada por el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 así como en lo referido en el Informe Justificado presentado, se asumió la existencia de la información peticionada tan es así que proporcionó dos direcciones electrónicas con la finalidad de que el particular realizará la consulta de la información que es de su interés, en consecuencia, se asume que cuenta con la información.</w:t>
      </w:r>
    </w:p>
    <w:p w14:paraId="5B14A85A" w14:textId="77777777" w:rsidR="00BC21BF" w:rsidRPr="00F86869" w:rsidRDefault="00BC21BF">
      <w:pPr>
        <w:spacing w:line="360" w:lineRule="auto"/>
        <w:jc w:val="both"/>
        <w:rPr>
          <w:rFonts w:ascii="Palatino Linotype" w:eastAsia="Palatino Linotype" w:hAnsi="Palatino Linotype" w:cs="Palatino Linotype"/>
          <w:color w:val="000000"/>
        </w:rPr>
      </w:pPr>
    </w:p>
    <w:p w14:paraId="428B728A"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Sin menoscabo de lo anterior, </w:t>
      </w:r>
      <w:r w:rsidRPr="00F86869">
        <w:rPr>
          <w:rFonts w:ascii="Palatino Linotype" w:eastAsia="Palatino Linotype" w:hAnsi="Palatino Linotype" w:cs="Palatino Linotype"/>
        </w:rPr>
        <w:t xml:space="preserve">es pertinente mencionar que, conforme a </w:t>
      </w:r>
      <w:r w:rsidRPr="00F86869">
        <w:rPr>
          <w:rFonts w:ascii="Palatino Linotype" w:eastAsia="Palatino Linotype" w:hAnsi="Palatino Linotype" w:cs="Palatino Linotype"/>
          <w:color w:val="000000"/>
        </w:rPr>
        <w:t xml:space="preserve">la Ley Orgánica Municipal del Estado de México, los ayuntamientos tienen entre sus atribuciones, la de expedir y reformar, entre otra normatividad, su Bando Municipal, sus reglamentos, circulares y disposiciones administrativas de observancia general dentro del territorio municipal, que sean necesarios para su organización, la prestación de los servicios públicos, y en general, para el cumplimiento de sus atribuciones, tal y como se establece en el artículo 31 que establece: </w:t>
      </w:r>
    </w:p>
    <w:p w14:paraId="7AB5FCE8" w14:textId="77777777" w:rsidR="00BC21BF" w:rsidRPr="00F86869" w:rsidRDefault="00BC21BF">
      <w:pPr>
        <w:spacing w:after="160"/>
        <w:ind w:left="851" w:right="900"/>
        <w:jc w:val="both"/>
        <w:rPr>
          <w:rFonts w:ascii="Palatino Linotype" w:eastAsia="Palatino Linotype" w:hAnsi="Palatino Linotype" w:cs="Palatino Linotype"/>
          <w:i/>
          <w:color w:val="000000"/>
          <w:sz w:val="22"/>
          <w:szCs w:val="22"/>
        </w:rPr>
      </w:pPr>
    </w:p>
    <w:p w14:paraId="32B45C40" w14:textId="77777777" w:rsidR="00BC21BF" w:rsidRPr="00F86869" w:rsidRDefault="00334506">
      <w:pPr>
        <w:spacing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color w:val="000000"/>
          <w:sz w:val="22"/>
          <w:szCs w:val="22"/>
        </w:rPr>
        <w:t>“</w:t>
      </w:r>
      <w:r w:rsidRPr="00F86869">
        <w:rPr>
          <w:rFonts w:ascii="Palatino Linotype" w:eastAsia="Palatino Linotype" w:hAnsi="Palatino Linotype" w:cs="Palatino Linotype"/>
          <w:b/>
          <w:i/>
          <w:sz w:val="22"/>
          <w:szCs w:val="22"/>
        </w:rPr>
        <w:t>Artículo 31.-</w:t>
      </w:r>
      <w:r w:rsidRPr="00F86869">
        <w:rPr>
          <w:rFonts w:ascii="Palatino Linotype" w:eastAsia="Palatino Linotype" w:hAnsi="Palatino Linotype" w:cs="Palatino Linotype"/>
          <w:i/>
          <w:sz w:val="22"/>
          <w:szCs w:val="22"/>
        </w:rPr>
        <w:t xml:space="preserve"> Son atribuciones de los ayuntamientos: </w:t>
      </w:r>
    </w:p>
    <w:p w14:paraId="4C43C26A" w14:textId="77777777" w:rsidR="00BC21BF" w:rsidRPr="00F86869" w:rsidRDefault="00334506">
      <w:pPr>
        <w:spacing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I. Expedir y reformar el Bando Municipal, así como los reglamentos, circulares y</w:t>
      </w:r>
      <w:r w:rsidRPr="00F86869">
        <w:rPr>
          <w:rFonts w:ascii="Palatino Linotype" w:eastAsia="Palatino Linotype" w:hAnsi="Palatino Linotype" w:cs="Palatino Linotype"/>
          <w:b/>
          <w:i/>
          <w:sz w:val="22"/>
          <w:szCs w:val="22"/>
        </w:rPr>
        <w:t xml:space="preserve"> disposiciones administrativas de observancia general</w:t>
      </w:r>
      <w:r w:rsidRPr="00F86869">
        <w:rPr>
          <w:rFonts w:ascii="Palatino Linotype" w:eastAsia="Palatino Linotype" w:hAnsi="Palatino Linotype" w:cs="Palatino Linotype"/>
          <w:i/>
          <w:sz w:val="22"/>
          <w:szCs w:val="22"/>
        </w:rPr>
        <w:t xml:space="preserve"> dentro del territorio del municipio, que sean necesarios para su organización, prestación de los servicios públicos y, en general, para el cumplimiento de sus atribuciones;</w:t>
      </w:r>
    </w:p>
    <w:p w14:paraId="5E863B11" w14:textId="77777777" w:rsidR="00BC21BF" w:rsidRPr="00F86869" w:rsidRDefault="00334506">
      <w:pPr>
        <w:spacing w:after="160"/>
        <w:ind w:left="851" w:right="900"/>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i/>
          <w:sz w:val="22"/>
          <w:szCs w:val="22"/>
        </w:rPr>
        <w:t>…”</w:t>
      </w:r>
    </w:p>
    <w:p w14:paraId="5E94DDDB" w14:textId="77777777" w:rsidR="00BC21BF" w:rsidRPr="00F86869" w:rsidRDefault="00334506">
      <w:pPr>
        <w:spacing w:before="240" w:after="16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Lo anterior en armonía con la atribución que le corresponde al Presidente Municipal de cada Ayuntamiento, a saber:</w:t>
      </w:r>
    </w:p>
    <w:p w14:paraId="100FFCDE" w14:textId="77777777" w:rsidR="00BC21BF" w:rsidRPr="00F86869" w:rsidRDefault="00334506">
      <w:pPr>
        <w:spacing w:before="240"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lastRenderedPageBreak/>
        <w:t>“</w:t>
      </w:r>
      <w:r w:rsidRPr="00F86869">
        <w:rPr>
          <w:rFonts w:ascii="Palatino Linotype" w:eastAsia="Palatino Linotype" w:hAnsi="Palatino Linotype" w:cs="Palatino Linotype"/>
          <w:b/>
          <w:i/>
          <w:sz w:val="22"/>
          <w:szCs w:val="22"/>
        </w:rPr>
        <w:t>Artículo 48.- El presidente municipal tiene las siguientes atribuciones</w:t>
      </w:r>
      <w:r w:rsidRPr="00F86869">
        <w:rPr>
          <w:rFonts w:ascii="Palatino Linotype" w:eastAsia="Palatino Linotype" w:hAnsi="Palatino Linotype" w:cs="Palatino Linotype"/>
          <w:i/>
          <w:sz w:val="22"/>
          <w:szCs w:val="22"/>
        </w:rPr>
        <w:t xml:space="preserve">: </w:t>
      </w:r>
    </w:p>
    <w:p w14:paraId="5064901D" w14:textId="77777777" w:rsidR="00BC21BF" w:rsidRPr="00F86869" w:rsidRDefault="00334506">
      <w:pPr>
        <w:spacing w:before="240"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w:t>
      </w:r>
    </w:p>
    <w:p w14:paraId="3CF97C9B" w14:textId="77777777" w:rsidR="00BC21BF" w:rsidRPr="00F86869" w:rsidRDefault="00334506">
      <w:pPr>
        <w:spacing w:before="240"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b/>
          <w:i/>
          <w:sz w:val="22"/>
          <w:szCs w:val="22"/>
        </w:rPr>
        <w:t xml:space="preserve">III. </w:t>
      </w:r>
      <w:r w:rsidRPr="00F86869">
        <w:rPr>
          <w:rFonts w:ascii="Palatino Linotype" w:eastAsia="Palatino Linotype" w:hAnsi="Palatino Linotype" w:cs="Palatino Linotype"/>
          <w:i/>
          <w:sz w:val="22"/>
          <w:szCs w:val="22"/>
        </w:rPr>
        <w:t>Promulgar y publicar el Bando Municipal en la Gaceta Municipal y en los estrados de la Secretaría del Ayuntamiento, así como ordenar la difusión de las normas de carácter general y reglamentos aprobados por el Ayuntamiento;</w:t>
      </w:r>
    </w:p>
    <w:p w14:paraId="4A2E1881" w14:textId="77777777" w:rsidR="00BC21BF" w:rsidRPr="00F86869" w:rsidRDefault="00334506">
      <w:pPr>
        <w:spacing w:before="240" w:after="160"/>
        <w:ind w:left="851" w:right="900"/>
        <w:jc w:val="both"/>
        <w:rPr>
          <w:rFonts w:ascii="Palatino Linotype" w:eastAsia="Palatino Linotype" w:hAnsi="Palatino Linotype" w:cs="Palatino Linotype"/>
        </w:rPr>
      </w:pPr>
      <w:r w:rsidRPr="00F86869">
        <w:rPr>
          <w:rFonts w:ascii="Palatino Linotype" w:eastAsia="Palatino Linotype" w:hAnsi="Palatino Linotype" w:cs="Palatino Linotype"/>
          <w:i/>
          <w:sz w:val="22"/>
          <w:szCs w:val="22"/>
        </w:rPr>
        <w:t>…”</w:t>
      </w:r>
    </w:p>
    <w:p w14:paraId="656EF0AA" w14:textId="77777777" w:rsidR="00BC21BF" w:rsidRPr="00F86869" w:rsidRDefault="00334506">
      <w:pPr>
        <w:spacing w:after="16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Por su parte, respecto de las dependencias administrativas, la </w:t>
      </w:r>
      <w:r w:rsidRPr="00F86869">
        <w:rPr>
          <w:rFonts w:ascii="Palatino Linotype" w:eastAsia="Palatino Linotype" w:hAnsi="Palatino Linotype" w:cs="Palatino Linotype"/>
          <w:color w:val="000000"/>
        </w:rPr>
        <w:t>Ley Orgánica Municipal del Estado de México señala:</w:t>
      </w:r>
    </w:p>
    <w:p w14:paraId="6C13A7DC" w14:textId="77777777" w:rsidR="00BC21BF" w:rsidRPr="00F86869" w:rsidRDefault="00334506">
      <w:pPr>
        <w:spacing w:after="160" w:line="360" w:lineRule="auto"/>
        <w:ind w:left="720" w:right="900"/>
        <w:jc w:val="both"/>
        <w:rPr>
          <w:rFonts w:ascii="Palatino Linotype" w:eastAsia="Palatino Linotype" w:hAnsi="Palatino Linotype" w:cs="Palatino Linotype"/>
        </w:rPr>
      </w:pPr>
      <w:r w:rsidRPr="00F86869">
        <w:rPr>
          <w:b/>
          <w:i/>
        </w:rPr>
        <w:t>“</w:t>
      </w:r>
      <w:r w:rsidRPr="00F86869">
        <w:rPr>
          <w:b/>
          <w:i/>
          <w:sz w:val="22"/>
          <w:szCs w:val="22"/>
        </w:rPr>
        <w:t>Artículo 86.-</w:t>
      </w:r>
      <w:r w:rsidRPr="00F86869">
        <w:rPr>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w:t>
      </w:r>
      <w:r w:rsidRPr="00F86869">
        <w:rPr>
          <w:b/>
          <w:i/>
          <w:sz w:val="22"/>
          <w:szCs w:val="22"/>
        </w:rPr>
        <w:t>manuales</w:t>
      </w:r>
      <w:r w:rsidRPr="00F86869">
        <w:rPr>
          <w:i/>
          <w:sz w:val="22"/>
          <w:szCs w:val="22"/>
        </w:rPr>
        <w:t>, acuerdos, circulares y otras disposiciones legales que tiendan a regular el funcionamiento del Municipio</w:t>
      </w:r>
      <w:r w:rsidRPr="00F86869">
        <w:rPr>
          <w:sz w:val="22"/>
          <w:szCs w:val="22"/>
        </w:rPr>
        <w:t>.</w:t>
      </w:r>
      <w:r w:rsidRPr="00F86869">
        <w:rPr>
          <w:rFonts w:ascii="Palatino Linotype" w:eastAsia="Palatino Linotype" w:hAnsi="Palatino Linotype" w:cs="Palatino Linotype"/>
        </w:rPr>
        <w:t xml:space="preserve"> “ </w:t>
      </w:r>
    </w:p>
    <w:p w14:paraId="491B97A9" w14:textId="77777777" w:rsidR="00BC21BF" w:rsidRPr="00F86869" w:rsidRDefault="00334506">
      <w:pPr>
        <w:spacing w:after="16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Además, la Secretaría del Ayuntamiento, tiene la obligación expresa de publicar los reglamentos, circulares, y demás disposiciones municipales </w:t>
      </w:r>
    </w:p>
    <w:p w14:paraId="4296083C" w14:textId="77777777" w:rsidR="00BC21BF" w:rsidRPr="00F86869" w:rsidRDefault="00334506">
      <w:pPr>
        <w:spacing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w:t>
      </w:r>
      <w:r w:rsidRPr="00F86869">
        <w:rPr>
          <w:rFonts w:ascii="Palatino Linotype" w:eastAsia="Palatino Linotype" w:hAnsi="Palatino Linotype" w:cs="Palatino Linotype"/>
          <w:b/>
          <w:i/>
          <w:sz w:val="22"/>
          <w:szCs w:val="22"/>
        </w:rPr>
        <w:t>Artículo 91</w:t>
      </w:r>
      <w:r w:rsidRPr="00F86869">
        <w:rPr>
          <w:rFonts w:ascii="Palatino Linotype" w:eastAsia="Palatino Linotype" w:hAnsi="Palatino Linotype" w:cs="Palatino Linotype"/>
          <w:i/>
          <w:sz w:val="22"/>
          <w:szCs w:val="22"/>
        </w:rPr>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0C6B779" w14:textId="77777777" w:rsidR="00BC21BF" w:rsidRPr="00F86869" w:rsidRDefault="00334506">
      <w:pPr>
        <w:spacing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w:t>
      </w:r>
    </w:p>
    <w:p w14:paraId="32794FFC" w14:textId="77777777" w:rsidR="00BC21BF" w:rsidRPr="00F86869" w:rsidRDefault="00334506">
      <w:pPr>
        <w:numPr>
          <w:ilvl w:val="0"/>
          <w:numId w:val="2"/>
        </w:numPr>
        <w:pBdr>
          <w:top w:val="nil"/>
          <w:left w:val="nil"/>
          <w:bottom w:val="nil"/>
          <w:right w:val="nil"/>
          <w:between w:val="nil"/>
        </w:pBdr>
        <w:tabs>
          <w:tab w:val="left" w:pos="567"/>
        </w:tabs>
        <w:spacing w:after="160"/>
        <w:ind w:right="900"/>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b/>
          <w:i/>
          <w:color w:val="000000"/>
          <w:sz w:val="22"/>
          <w:szCs w:val="22"/>
        </w:rPr>
        <w:t>Publicar los reglamentos, circulares y demás disposiciones municipales de observancia general</w:t>
      </w:r>
    </w:p>
    <w:p w14:paraId="72FE44C5" w14:textId="77777777" w:rsidR="00BC21BF" w:rsidRPr="00F86869" w:rsidRDefault="00334506">
      <w:pPr>
        <w:numPr>
          <w:ilvl w:val="0"/>
          <w:numId w:val="2"/>
        </w:numPr>
        <w:pBdr>
          <w:top w:val="nil"/>
          <w:left w:val="nil"/>
          <w:bottom w:val="nil"/>
          <w:right w:val="nil"/>
          <w:between w:val="nil"/>
        </w:pBdr>
        <w:ind w:left="1077" w:right="902"/>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lastRenderedPageBreak/>
        <w:t>Compilar leyes, decretos, reglamentos, periódicos oficiales del estado, circulares y órdenes relativas a los distintos sectores de la administración pública municipal;</w:t>
      </w:r>
    </w:p>
    <w:p w14:paraId="1FA12BAF" w14:textId="77777777" w:rsidR="00BC21BF" w:rsidRPr="00F86869" w:rsidRDefault="00334506">
      <w:pPr>
        <w:pBdr>
          <w:top w:val="nil"/>
          <w:left w:val="nil"/>
          <w:bottom w:val="nil"/>
          <w:right w:val="nil"/>
          <w:between w:val="nil"/>
        </w:pBdr>
        <w:ind w:left="1077" w:right="902"/>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t>…”</w:t>
      </w:r>
    </w:p>
    <w:p w14:paraId="0515A4A1" w14:textId="77777777" w:rsidR="00BC21BF" w:rsidRPr="00F86869" w:rsidRDefault="00BC21BF">
      <w:pPr>
        <w:pBdr>
          <w:top w:val="nil"/>
          <w:left w:val="nil"/>
          <w:bottom w:val="nil"/>
          <w:right w:val="nil"/>
          <w:between w:val="nil"/>
        </w:pBdr>
        <w:ind w:left="1077" w:right="902"/>
        <w:jc w:val="both"/>
        <w:rPr>
          <w:rFonts w:ascii="Palatino Linotype" w:eastAsia="Palatino Linotype" w:hAnsi="Palatino Linotype" w:cs="Palatino Linotype"/>
          <w:i/>
          <w:color w:val="000000"/>
          <w:sz w:val="22"/>
          <w:szCs w:val="22"/>
        </w:rPr>
      </w:pPr>
    </w:p>
    <w:p w14:paraId="2A5975FA" w14:textId="77777777" w:rsidR="00BC21BF" w:rsidRPr="00F86869" w:rsidRDefault="00334506">
      <w:pPr>
        <w:spacing w:after="16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Aunado a lo anterior se tiene que la información relativa al marco normativo aplicable a los Sujetos Obligados es información que éstos deben poner a disposición de cualquier persona en los medios electrónicos destinados para tal efecto, incluyendo, leyes, códigos, reglamentos, decretos de creación, acuerdos, convenios, manuales de organización y procedimientos, reglas de operación, criterios, políticas, entre otros, como se lee del artículo 92, fracción I de la Ley de Transparencia y Acceso a la Información Pública de la entidad que ordena:</w:t>
      </w:r>
    </w:p>
    <w:p w14:paraId="450FC838" w14:textId="77777777" w:rsidR="00BC21BF" w:rsidRPr="00F86869" w:rsidRDefault="00334506">
      <w:pPr>
        <w:spacing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w:t>
      </w:r>
      <w:r w:rsidRPr="00F86869">
        <w:rPr>
          <w:rFonts w:ascii="Palatino Linotype" w:eastAsia="Palatino Linotype" w:hAnsi="Palatino Linotype" w:cs="Palatino Linotype"/>
          <w:b/>
          <w:i/>
          <w:sz w:val="22"/>
          <w:szCs w:val="22"/>
        </w:rPr>
        <w:t>Artículo 92.</w:t>
      </w:r>
      <w:r w:rsidRPr="00F86869">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980E25D" w14:textId="77777777" w:rsidR="00BC21BF" w:rsidRPr="00F86869" w:rsidRDefault="00334506">
      <w:pPr>
        <w:spacing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b/>
          <w:i/>
          <w:sz w:val="22"/>
          <w:szCs w:val="22"/>
        </w:rPr>
        <w:t>I.</w:t>
      </w:r>
      <w:r w:rsidRPr="00F86869">
        <w:rPr>
          <w:rFonts w:ascii="Palatino Linotype" w:eastAsia="Palatino Linotype" w:hAnsi="Palatino Linotype" w:cs="Palatino Linotype"/>
          <w:i/>
          <w:sz w:val="22"/>
          <w:szCs w:val="22"/>
        </w:rPr>
        <w:t xml:space="preserve"> El marco normativo aplicable al sujeto obligado, en el que deberá incluirse leyes, códigos, reglamentos, decretos de creación, acuerdos, convenios, </w:t>
      </w:r>
      <w:r w:rsidRPr="00F86869">
        <w:rPr>
          <w:rFonts w:ascii="Palatino Linotype" w:eastAsia="Palatino Linotype" w:hAnsi="Palatino Linotype" w:cs="Palatino Linotype"/>
          <w:b/>
          <w:i/>
          <w:sz w:val="22"/>
          <w:szCs w:val="22"/>
        </w:rPr>
        <w:t>manuales de organización</w:t>
      </w:r>
      <w:r w:rsidRPr="00F86869">
        <w:rPr>
          <w:rFonts w:ascii="Palatino Linotype" w:eastAsia="Palatino Linotype" w:hAnsi="Palatino Linotype" w:cs="Palatino Linotype"/>
          <w:i/>
          <w:sz w:val="22"/>
          <w:szCs w:val="22"/>
        </w:rPr>
        <w:t xml:space="preserve"> y procedimientos, reglas de operación, criterios, políticas, entre otros;</w:t>
      </w:r>
    </w:p>
    <w:p w14:paraId="3078D158" w14:textId="77777777" w:rsidR="00BC21BF" w:rsidRPr="00F86869" w:rsidRDefault="00334506">
      <w:pPr>
        <w:ind w:left="851" w:right="902"/>
        <w:jc w:val="both"/>
        <w:rPr>
          <w:rFonts w:ascii="Palatino Linotype" w:eastAsia="Palatino Linotype" w:hAnsi="Palatino Linotype" w:cs="Palatino Linotype"/>
          <w:b/>
          <w:i/>
          <w:color w:val="000000"/>
          <w:sz w:val="22"/>
          <w:szCs w:val="22"/>
        </w:rPr>
      </w:pPr>
      <w:r w:rsidRPr="00F86869">
        <w:rPr>
          <w:rFonts w:ascii="Palatino Linotype" w:eastAsia="Palatino Linotype" w:hAnsi="Palatino Linotype" w:cs="Palatino Linotype"/>
          <w:b/>
          <w:i/>
          <w:color w:val="000000"/>
          <w:sz w:val="22"/>
          <w:szCs w:val="22"/>
        </w:rPr>
        <w:t>[…]</w:t>
      </w:r>
    </w:p>
    <w:p w14:paraId="2603E25B" w14:textId="77777777" w:rsidR="00BC21BF" w:rsidRPr="00F86869" w:rsidRDefault="00BC21BF">
      <w:pPr>
        <w:ind w:left="851" w:right="902"/>
        <w:jc w:val="both"/>
        <w:rPr>
          <w:rFonts w:ascii="Palatino Linotype" w:eastAsia="Palatino Linotype" w:hAnsi="Palatino Linotype" w:cs="Palatino Linotype"/>
          <w:b/>
          <w:i/>
          <w:color w:val="000000"/>
          <w:sz w:val="22"/>
          <w:szCs w:val="22"/>
        </w:rPr>
      </w:pPr>
    </w:p>
    <w:p w14:paraId="7E0F782C" w14:textId="77777777" w:rsidR="00BC21BF" w:rsidRPr="00F86869" w:rsidRDefault="00334506">
      <w:pPr>
        <w:ind w:left="851" w:right="902"/>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b/>
          <w:i/>
          <w:color w:val="000000"/>
          <w:sz w:val="22"/>
          <w:szCs w:val="22"/>
        </w:rPr>
        <w:t>VII.</w:t>
      </w:r>
      <w:r w:rsidRPr="00F86869">
        <w:rPr>
          <w:rFonts w:ascii="Palatino Linotype" w:eastAsia="Palatino Linotype" w:hAnsi="Palatino Linotype" w:cs="Palatino Linotype"/>
          <w:i/>
          <w:color w:val="000000"/>
          <w:sz w:val="22"/>
          <w:szCs w:val="22"/>
        </w:rPr>
        <w:t xml:space="preserve"> </w:t>
      </w:r>
      <w:r w:rsidRPr="00F86869">
        <w:rPr>
          <w:rFonts w:ascii="Palatino Linotype" w:eastAsia="Palatino Linotype" w:hAnsi="Palatino Linotype" w:cs="Palatino Linotype"/>
          <w:b/>
          <w:i/>
          <w:color w:val="000000"/>
          <w:sz w:val="22"/>
          <w:szCs w:val="22"/>
        </w:rPr>
        <w:t>El directorio de todos los servidores públicos</w:t>
      </w:r>
      <w:r w:rsidRPr="00F86869">
        <w:rPr>
          <w:rFonts w:ascii="Palatino Linotype" w:eastAsia="Palatino Linotype" w:hAnsi="Palatino Linotype" w:cs="Palatino Linotype"/>
          <w:i/>
          <w:color w:val="000000"/>
          <w:sz w:val="22"/>
          <w:szCs w:val="22"/>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32823C40" w14:textId="77777777" w:rsidR="00BC21BF" w:rsidRPr="00F86869" w:rsidRDefault="00BC21BF">
      <w:pPr>
        <w:ind w:left="851" w:right="902"/>
        <w:jc w:val="both"/>
        <w:rPr>
          <w:rFonts w:ascii="Palatino Linotype" w:eastAsia="Palatino Linotype" w:hAnsi="Palatino Linotype" w:cs="Palatino Linotype"/>
          <w:i/>
          <w:color w:val="000000"/>
          <w:sz w:val="22"/>
          <w:szCs w:val="22"/>
        </w:rPr>
      </w:pPr>
    </w:p>
    <w:p w14:paraId="494E3E4A" w14:textId="77777777" w:rsidR="00BC21BF" w:rsidRPr="00F86869" w:rsidRDefault="00334506">
      <w:pPr>
        <w:ind w:left="851" w:right="902"/>
        <w:jc w:val="both"/>
        <w:rPr>
          <w:rFonts w:ascii="Palatino Linotype" w:eastAsia="Palatino Linotype" w:hAnsi="Palatino Linotype" w:cs="Palatino Linotype"/>
          <w:i/>
          <w:color w:val="000000"/>
          <w:sz w:val="22"/>
          <w:szCs w:val="22"/>
        </w:rPr>
      </w:pPr>
      <w:r w:rsidRPr="00F86869">
        <w:rPr>
          <w:rFonts w:ascii="Palatino Linotype" w:eastAsia="Palatino Linotype" w:hAnsi="Palatino Linotype" w:cs="Palatino Linotype"/>
          <w:i/>
          <w:color w:val="000000"/>
          <w:sz w:val="22"/>
          <w:szCs w:val="22"/>
        </w:rPr>
        <w:t xml:space="preserve">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59B86AF5" w14:textId="77777777" w:rsidR="00BC21BF" w:rsidRPr="00F86869" w:rsidRDefault="00334506">
      <w:pPr>
        <w:spacing w:after="160"/>
        <w:ind w:left="851" w:right="900"/>
        <w:jc w:val="both"/>
        <w:rPr>
          <w:rFonts w:ascii="Palatino Linotype" w:eastAsia="Palatino Linotype" w:hAnsi="Palatino Linotype" w:cs="Palatino Linotype"/>
          <w:i/>
          <w:sz w:val="22"/>
          <w:szCs w:val="22"/>
        </w:rPr>
      </w:pPr>
      <w:r w:rsidRPr="00F86869">
        <w:rPr>
          <w:rFonts w:ascii="Palatino Linotype" w:eastAsia="Palatino Linotype" w:hAnsi="Palatino Linotype" w:cs="Palatino Linotype"/>
          <w:i/>
          <w:sz w:val="22"/>
          <w:szCs w:val="22"/>
        </w:rPr>
        <w:t>…”</w:t>
      </w:r>
    </w:p>
    <w:p w14:paraId="12EC1D30" w14:textId="77777777" w:rsidR="00BC21BF" w:rsidRPr="00F86869" w:rsidRDefault="00BC21BF">
      <w:pPr>
        <w:spacing w:line="360" w:lineRule="auto"/>
        <w:jc w:val="both"/>
        <w:rPr>
          <w:rFonts w:ascii="Palatino Linotype" w:eastAsia="Palatino Linotype" w:hAnsi="Palatino Linotype" w:cs="Palatino Linotype"/>
          <w:color w:val="000000"/>
        </w:rPr>
      </w:pPr>
    </w:p>
    <w:p w14:paraId="0728684C"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De la anterior transcripción, se observa que las Obligaciones de Transparencia Comunes, son aquellas que los Sujetos Obligados tienen el deber tener a disposición del público en medios electrónicos, de manera permanente, actualizada, sencilla, precisa y entendible y, por tanto, de fácil acceso para los particulares, es decir, se trata de información a la que debe </w:t>
      </w:r>
      <w:r w:rsidRPr="00F86869">
        <w:rPr>
          <w:rFonts w:ascii="Palatino Linotype" w:eastAsia="Palatino Linotype" w:hAnsi="Palatino Linotype" w:cs="Palatino Linotype"/>
        </w:rPr>
        <w:t xml:space="preserve">otorgársele el nivel máximo de publicidad que otorga la Ley y a la que </w:t>
      </w:r>
      <w:r w:rsidRPr="00F86869">
        <w:rPr>
          <w:rFonts w:ascii="Palatino Linotype" w:eastAsia="Palatino Linotype" w:hAnsi="Palatino Linotype" w:cs="Palatino Linotype"/>
          <w:color w:val="000000"/>
        </w:rPr>
        <w:t>los Sujetos Obligados tienen el deber de mantener publicada en su página oficial para su consulta actualizada, precisa, clara y entendible para toda la ciudadanía.</w:t>
      </w:r>
    </w:p>
    <w:p w14:paraId="3435E561" w14:textId="77777777" w:rsidR="00BC21BF" w:rsidRPr="00F86869" w:rsidRDefault="00BC21BF">
      <w:pPr>
        <w:jc w:val="both"/>
        <w:rPr>
          <w:rFonts w:ascii="Palatino Linotype" w:eastAsia="Palatino Linotype" w:hAnsi="Palatino Linotype" w:cs="Palatino Linotype"/>
          <w:color w:val="000000"/>
        </w:rPr>
      </w:pPr>
    </w:p>
    <w:p w14:paraId="12AD95CE"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En ese tenor, el precepto legal en cita, prevé un catálogo de información, la cual constituye las Obligaciones de Transparencia Comunes y, entre ellas, se encuentran </w:t>
      </w:r>
      <w:r w:rsidRPr="00F86869">
        <w:rPr>
          <w:rFonts w:ascii="Palatino Linotype" w:eastAsia="Palatino Linotype" w:hAnsi="Palatino Linotype" w:cs="Palatino Linotype"/>
          <w:b/>
          <w:color w:val="000000"/>
        </w:rPr>
        <w:t>los manuales de organización y el directorio de servidores públicos a partir de jefes de departamento o equivalente o de menor nivel</w:t>
      </w:r>
      <w:r w:rsidRPr="00F86869">
        <w:rPr>
          <w:rFonts w:ascii="Palatino Linotype" w:eastAsia="Palatino Linotype" w:hAnsi="Palatino Linotype" w:cs="Palatino Linotype"/>
          <w:color w:val="000000"/>
        </w:rPr>
        <w:t>, así como personal de base, que ha de incluir su nombre, cargo o nombramiento oficial asignado, nivel de puesto en la estructura orgánica, fecha de alta en el cargo, número telefónico, domicilio para recibir correspondencia y dirección de correo electrónico oficiales.</w:t>
      </w:r>
    </w:p>
    <w:p w14:paraId="2858B1F7" w14:textId="77777777" w:rsidR="00BC21BF" w:rsidRPr="00F86869" w:rsidRDefault="00BC21BF">
      <w:pPr>
        <w:spacing w:line="360" w:lineRule="auto"/>
        <w:jc w:val="both"/>
        <w:rPr>
          <w:rFonts w:ascii="Palatino Linotype" w:eastAsia="Palatino Linotype" w:hAnsi="Palatino Linotype" w:cs="Palatino Linotype"/>
          <w:color w:val="000000"/>
        </w:rPr>
      </w:pPr>
    </w:p>
    <w:p w14:paraId="6DB0180F" w14:textId="77777777" w:rsidR="00BC21BF" w:rsidRPr="00F86869" w:rsidRDefault="00334506">
      <w:pPr>
        <w:spacing w:after="160" w:line="360" w:lineRule="auto"/>
        <w:ind w:right="49"/>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Por lo anterior se advierte que 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está en condiciones de poseer, generar y administrar la información solicitada.</w:t>
      </w:r>
    </w:p>
    <w:p w14:paraId="1797F4A8" w14:textId="77777777" w:rsidR="00BC21BF" w:rsidRPr="00F86869" w:rsidRDefault="00334506">
      <w:pPr>
        <w:spacing w:after="240"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En este tenor, toda vez que hubo un pronunciamiento por parte del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 xml:space="preserve">, se estima oportuno efectuar el análisis de la información proporcionada, a efecto de determinar si es suficiente para tener por colmado el derecho de acceso a la información de la parte </w:t>
      </w:r>
      <w:r w:rsidRPr="00F86869">
        <w:rPr>
          <w:rFonts w:ascii="Palatino Linotype" w:eastAsia="Palatino Linotype" w:hAnsi="Palatino Linotype" w:cs="Palatino Linotype"/>
          <w:b/>
          <w:color w:val="000000"/>
        </w:rPr>
        <w:t>RECURRENTE</w:t>
      </w:r>
      <w:r w:rsidRPr="00F86869">
        <w:rPr>
          <w:rFonts w:ascii="Palatino Linotype" w:eastAsia="Palatino Linotype" w:hAnsi="Palatino Linotype" w:cs="Palatino Linotype"/>
          <w:color w:val="000000"/>
        </w:rPr>
        <w:t xml:space="preserve">. </w:t>
      </w:r>
    </w:p>
    <w:p w14:paraId="3B919897" w14:textId="77777777" w:rsidR="00BC21BF" w:rsidRPr="00F86869" w:rsidRDefault="00334506">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lastRenderedPageBreak/>
        <w:t>En tal contexto, en primer lugar, debemos traer a colación el artículo 161</w:t>
      </w:r>
      <w:r w:rsidRPr="00F86869">
        <w:rPr>
          <w:rFonts w:ascii="Palatino Linotype" w:eastAsia="Palatino Linotype" w:hAnsi="Palatino Linotype" w:cs="Palatino Linotype"/>
          <w:vertAlign w:val="superscript"/>
        </w:rPr>
        <w:footnoteReference w:id="1"/>
      </w:r>
      <w:r w:rsidRPr="00F86869">
        <w:rPr>
          <w:rFonts w:ascii="Palatino Linotype" w:eastAsia="Palatino Linotype" w:hAnsi="Palatino Linotype" w:cs="Palatino Linotype"/>
        </w:rPr>
        <w:t xml:space="preserve"> de la Ley de Transparencia y Acceso a la Información Pública del Estado de México y Municipios</w:t>
      </w:r>
      <w:r w:rsidRPr="00F86869">
        <w:rPr>
          <w:rFonts w:ascii="Palatino Linotype" w:eastAsia="Palatino Linotype" w:hAnsi="Palatino Linotype" w:cs="Palatino Linotype"/>
          <w:i/>
        </w:rPr>
        <w:t xml:space="preserve">, </w:t>
      </w:r>
      <w:r w:rsidRPr="00F86869">
        <w:rPr>
          <w:rFonts w:ascii="Palatino Linotype" w:eastAsia="Palatino Linotype" w:hAnsi="Palatino Linotype" w:cs="Palatino Linotype"/>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B979E3D" w14:textId="77777777" w:rsidR="00BC21BF" w:rsidRPr="00F86869" w:rsidRDefault="00334506">
      <w:pPr>
        <w:spacing w:before="240" w:after="240" w:line="276" w:lineRule="auto"/>
        <w:ind w:left="284" w:right="49"/>
        <w:jc w:val="both"/>
        <w:rPr>
          <w:rFonts w:ascii="Palatino Linotype" w:eastAsia="Palatino Linotype" w:hAnsi="Palatino Linotype" w:cs="Palatino Linotype"/>
        </w:rPr>
      </w:pPr>
      <w:r w:rsidRPr="00F86869">
        <w:rPr>
          <w:rFonts w:ascii="Palatino Linotype" w:eastAsia="Palatino Linotype" w:hAnsi="Palatino Linotype" w:cs="Palatino Linotype"/>
        </w:rPr>
        <w:t>a) La fuente</w:t>
      </w:r>
    </w:p>
    <w:p w14:paraId="629E6BA4" w14:textId="77777777" w:rsidR="00BC21BF" w:rsidRPr="00F86869" w:rsidRDefault="00334506">
      <w:pPr>
        <w:spacing w:before="240" w:after="240" w:line="276" w:lineRule="auto"/>
        <w:ind w:left="284" w:right="49"/>
        <w:jc w:val="both"/>
        <w:rPr>
          <w:rFonts w:ascii="Palatino Linotype" w:eastAsia="Palatino Linotype" w:hAnsi="Palatino Linotype" w:cs="Palatino Linotype"/>
        </w:rPr>
      </w:pPr>
      <w:r w:rsidRPr="00F86869">
        <w:rPr>
          <w:rFonts w:ascii="Palatino Linotype" w:eastAsia="Palatino Linotype" w:hAnsi="Palatino Linotype" w:cs="Palatino Linotype"/>
        </w:rPr>
        <w:t>b) El lugar y</w:t>
      </w:r>
    </w:p>
    <w:p w14:paraId="7294587A" w14:textId="77777777" w:rsidR="00BC21BF" w:rsidRPr="00F86869" w:rsidRDefault="00334506">
      <w:pPr>
        <w:spacing w:before="240" w:after="240" w:line="276" w:lineRule="auto"/>
        <w:ind w:left="284" w:right="49"/>
        <w:jc w:val="both"/>
        <w:rPr>
          <w:rFonts w:ascii="Palatino Linotype" w:eastAsia="Palatino Linotype" w:hAnsi="Palatino Linotype" w:cs="Palatino Linotype"/>
        </w:rPr>
      </w:pPr>
      <w:r w:rsidRPr="00F86869">
        <w:rPr>
          <w:rFonts w:ascii="Palatino Linotype" w:eastAsia="Palatino Linotype" w:hAnsi="Palatino Linotype" w:cs="Palatino Linotype"/>
        </w:rPr>
        <w:t>c) La forma</w:t>
      </w:r>
    </w:p>
    <w:p w14:paraId="401341B9" w14:textId="77777777" w:rsidR="00BC21BF" w:rsidRPr="00F86869" w:rsidRDefault="00334506">
      <w:pPr>
        <w:spacing w:before="240" w:after="240" w:line="360" w:lineRule="auto"/>
        <w:ind w:right="49"/>
        <w:jc w:val="both"/>
        <w:rPr>
          <w:rFonts w:ascii="Palatino Linotype" w:eastAsia="Palatino Linotype" w:hAnsi="Palatino Linotype" w:cs="Palatino Linotype"/>
        </w:rPr>
      </w:pPr>
      <w:r w:rsidRPr="00F86869">
        <w:rPr>
          <w:rFonts w:ascii="Palatino Linotype" w:eastAsia="Palatino Linotype" w:hAnsi="Palatino Linotype" w:cs="Palatino Linotype"/>
        </w:rPr>
        <w:t>Asimismo, se establece que la fuente de la información deberá ser:</w:t>
      </w:r>
    </w:p>
    <w:p w14:paraId="3DCD245C" w14:textId="77777777" w:rsidR="00BC21BF" w:rsidRPr="00F86869" w:rsidRDefault="00334506">
      <w:pPr>
        <w:spacing w:before="240" w:after="240" w:line="276" w:lineRule="auto"/>
        <w:ind w:left="284" w:right="49"/>
        <w:jc w:val="both"/>
        <w:rPr>
          <w:rFonts w:ascii="Palatino Linotype" w:eastAsia="Palatino Linotype" w:hAnsi="Palatino Linotype" w:cs="Palatino Linotype"/>
        </w:rPr>
      </w:pPr>
      <w:r w:rsidRPr="00F86869">
        <w:rPr>
          <w:rFonts w:ascii="Palatino Linotype" w:eastAsia="Palatino Linotype" w:hAnsi="Palatino Linotype" w:cs="Palatino Linotype"/>
        </w:rPr>
        <w:t>a) Precisa</w:t>
      </w:r>
    </w:p>
    <w:p w14:paraId="01F8A236" w14:textId="77777777" w:rsidR="00BC21BF" w:rsidRPr="00F86869" w:rsidRDefault="00334506">
      <w:pPr>
        <w:spacing w:before="240" w:after="240" w:line="276" w:lineRule="auto"/>
        <w:ind w:left="284" w:right="49"/>
        <w:jc w:val="both"/>
        <w:rPr>
          <w:rFonts w:ascii="Palatino Linotype" w:eastAsia="Palatino Linotype" w:hAnsi="Palatino Linotype" w:cs="Palatino Linotype"/>
        </w:rPr>
      </w:pPr>
      <w:r w:rsidRPr="00F86869">
        <w:rPr>
          <w:rFonts w:ascii="Palatino Linotype" w:eastAsia="Palatino Linotype" w:hAnsi="Palatino Linotype" w:cs="Palatino Linotype"/>
        </w:rPr>
        <w:t>b) Concreta</w:t>
      </w:r>
    </w:p>
    <w:p w14:paraId="3A739B5A" w14:textId="77777777" w:rsidR="00BC21BF" w:rsidRPr="00F86869" w:rsidRDefault="00334506">
      <w:pPr>
        <w:spacing w:before="240" w:after="240" w:line="276" w:lineRule="auto"/>
        <w:ind w:left="284" w:right="49"/>
        <w:jc w:val="both"/>
        <w:rPr>
          <w:rFonts w:ascii="Palatino Linotype" w:eastAsia="Palatino Linotype" w:hAnsi="Palatino Linotype" w:cs="Palatino Linotype"/>
        </w:rPr>
      </w:pPr>
      <w:r w:rsidRPr="00F86869">
        <w:rPr>
          <w:rFonts w:ascii="Palatino Linotype" w:eastAsia="Palatino Linotype" w:hAnsi="Palatino Linotype" w:cs="Palatino Linotype"/>
        </w:rPr>
        <w:t>c) Y no debe implicar que el solicitante realice una búsqueda en toda la información que se encuentre disponible.</w:t>
      </w:r>
    </w:p>
    <w:p w14:paraId="001BAC36" w14:textId="77777777" w:rsidR="00BC21BF" w:rsidRPr="00F86869" w:rsidRDefault="00334506">
      <w:pPr>
        <w:spacing w:before="240" w:after="240" w:line="360" w:lineRule="auto"/>
        <w:ind w:right="49"/>
        <w:jc w:val="both"/>
        <w:rPr>
          <w:rFonts w:ascii="Palatino Linotype" w:eastAsia="Palatino Linotype" w:hAnsi="Palatino Linotype" w:cs="Palatino Linotype"/>
        </w:rPr>
      </w:pPr>
      <w:r w:rsidRPr="00F86869">
        <w:rPr>
          <w:rFonts w:ascii="Palatino Linotype" w:eastAsia="Palatino Linotype" w:hAnsi="Palatino Linotype" w:cs="Palatino Linotype"/>
        </w:rPr>
        <w:lastRenderedPageBreak/>
        <w:t xml:space="preserve">Imperativos legales que establecen el procedimiento que debe seguir el </w:t>
      </w:r>
      <w:r w:rsidRPr="00F86869">
        <w:rPr>
          <w:rFonts w:ascii="Palatino Linotype" w:eastAsia="Palatino Linotype" w:hAnsi="Palatino Linotype" w:cs="Palatino Linotype"/>
          <w:b/>
        </w:rPr>
        <w:t>Sujeto Obligado</w:t>
      </w:r>
      <w:r w:rsidRPr="00F86869">
        <w:rPr>
          <w:rFonts w:ascii="Palatino Linotype" w:eastAsia="Palatino Linotype" w:hAnsi="Palatino Linotype" w:cs="Palatino Linotype"/>
        </w:rPr>
        <w:t xml:space="preserve"> para que pueda tomarse como válida su orientación sobre la forma en que puede consultar la información requerida.</w:t>
      </w:r>
    </w:p>
    <w:p w14:paraId="40AA35EF" w14:textId="77777777" w:rsidR="00BC21BF" w:rsidRPr="00F86869" w:rsidRDefault="00334506">
      <w:pPr>
        <w:spacing w:before="240" w:after="240" w:line="360" w:lineRule="auto"/>
        <w:ind w:right="49"/>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Así, en el presente caso, </w:t>
      </w:r>
      <w:r w:rsidRPr="00F86869">
        <w:rPr>
          <w:rFonts w:ascii="Palatino Linotype" w:eastAsia="Palatino Linotype" w:hAnsi="Palatino Linotype" w:cs="Palatino Linotype"/>
          <w:color w:val="000000"/>
        </w:rPr>
        <w:t xml:space="preserve">el </w:t>
      </w:r>
      <w:r w:rsidRPr="00F86869">
        <w:rPr>
          <w:rFonts w:ascii="Palatino Linotype" w:eastAsia="Palatino Linotype" w:hAnsi="Palatino Linotype" w:cs="Palatino Linotype"/>
          <w:b/>
          <w:color w:val="000000"/>
        </w:rPr>
        <w:t xml:space="preserve">SUJETO OBLIGADO </w:t>
      </w:r>
      <w:r w:rsidRPr="00F86869">
        <w:rPr>
          <w:rFonts w:ascii="Palatino Linotype" w:eastAsia="Palatino Linotype" w:hAnsi="Palatino Linotype" w:cs="Palatino Linotype"/>
          <w:color w:val="000000"/>
        </w:rPr>
        <w:t>en su respuesta primigenia</w:t>
      </w:r>
      <w:r w:rsidRPr="00F86869">
        <w:rPr>
          <w:rFonts w:ascii="Palatino Linotype" w:eastAsia="Palatino Linotype" w:hAnsi="Palatino Linotype" w:cs="Palatino Linotype"/>
          <w:b/>
          <w:color w:val="000000"/>
        </w:rPr>
        <w:t xml:space="preserve"> </w:t>
      </w:r>
      <w:r w:rsidRPr="00F86869">
        <w:rPr>
          <w:rFonts w:ascii="Palatino Linotype" w:eastAsia="Palatino Linotype" w:hAnsi="Palatino Linotype" w:cs="Palatino Linotype"/>
          <w:color w:val="000000"/>
        </w:rPr>
        <w:t xml:space="preserve">señala que el Directorio de los servidores públicos actualizado podrá consultarlo en el portal del IPOMEX, en el apartado del artículo 92 fracción VII, a través de la siguiente liga electrónica </w:t>
      </w:r>
      <w:hyperlink r:id="rId17">
        <w:r w:rsidRPr="00F86869">
          <w:rPr>
            <w:rFonts w:ascii="Palatino Linotype" w:eastAsia="Palatino Linotype" w:hAnsi="Palatino Linotype" w:cs="Palatino Linotype"/>
            <w:color w:val="0000FF"/>
            <w:u w:val="single"/>
          </w:rPr>
          <w:t>https://www.ipomex.org.mx/ipo3/lgt/indice/TOLUCA/art_92_vii.web</w:t>
        </w:r>
      </w:hyperlink>
      <w:r w:rsidRPr="00F86869">
        <w:rPr>
          <w:rFonts w:ascii="Palatino Linotype" w:eastAsia="Palatino Linotype" w:hAnsi="Palatino Linotype" w:cs="Palatino Linotype"/>
          <w:color w:val="000000"/>
        </w:rPr>
        <w:t xml:space="preserve"> </w:t>
      </w:r>
      <w:r w:rsidRPr="00F86869">
        <w:rPr>
          <w:rFonts w:ascii="Palatino Linotype" w:eastAsia="Palatino Linotype" w:hAnsi="Palatino Linotype" w:cs="Palatino Linotype"/>
        </w:rPr>
        <w:t>por lo que este Organismo Garante procedió a consultar la información disponible en dicho portal, en el cual se observa lo siguiente:</w:t>
      </w:r>
    </w:p>
    <w:p w14:paraId="5CE3F302" w14:textId="77777777" w:rsidR="00BC21BF" w:rsidRPr="00F86869" w:rsidRDefault="00334506">
      <w:pPr>
        <w:spacing w:line="360" w:lineRule="auto"/>
        <w:jc w:val="center"/>
        <w:rPr>
          <w:rFonts w:ascii="Palatino Linotype" w:eastAsia="Palatino Linotype" w:hAnsi="Palatino Linotype" w:cs="Palatino Linotype"/>
          <w:color w:val="000000"/>
        </w:rPr>
      </w:pPr>
      <w:r w:rsidRPr="00F86869">
        <w:rPr>
          <w:noProof/>
          <w:lang w:val="es-MX" w:eastAsia="es-MX"/>
        </w:rPr>
        <w:drawing>
          <wp:inline distT="0" distB="0" distL="0" distR="0" wp14:anchorId="374D2C1B" wp14:editId="26A1D8F5">
            <wp:extent cx="5534201" cy="4174262"/>
            <wp:effectExtent l="0" t="0" r="0" b="0"/>
            <wp:docPr id="53" name="image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Word&#10;&#10;Descripción generada automáticamente"/>
                    <pic:cNvPicPr preferRelativeResize="0"/>
                  </pic:nvPicPr>
                  <pic:blipFill>
                    <a:blip r:embed="rId18"/>
                    <a:srcRect l="49729" t="7544" r="543" b="25770"/>
                    <a:stretch>
                      <a:fillRect/>
                    </a:stretch>
                  </pic:blipFill>
                  <pic:spPr>
                    <a:xfrm>
                      <a:off x="0" y="0"/>
                      <a:ext cx="5534201" cy="4174262"/>
                    </a:xfrm>
                    <a:prstGeom prst="rect">
                      <a:avLst/>
                    </a:prstGeom>
                    <a:ln/>
                  </pic:spPr>
                </pic:pic>
              </a:graphicData>
            </a:graphic>
          </wp:inline>
        </w:drawing>
      </w:r>
    </w:p>
    <w:p w14:paraId="2FEE6C25" w14:textId="77777777" w:rsidR="00BC21BF" w:rsidRPr="00F86869" w:rsidRDefault="00334506">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lastRenderedPageBreak/>
        <w:t xml:space="preserve">Como se advierte, la dirección electrónica proporcionada dirige al portal de Información Pública de Oficio Mexiquense, IPOMEX, del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 xml:space="preserve">, específicamente al cumplimiento de la obligación de transparencia establecida en la fracción VII del artículo 92 de la Ley de Transparencia y Acceso a la Información Pública del Estado de México y Municipios, de manera particular al directorio de todos los servidores públicos del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w:t>
      </w:r>
    </w:p>
    <w:p w14:paraId="68B787CD" w14:textId="77777777" w:rsidR="00BC21BF" w:rsidRPr="00F86869" w:rsidRDefault="00334506">
      <w:pPr>
        <w:spacing w:line="360" w:lineRule="auto"/>
        <w:jc w:val="both"/>
      </w:pPr>
      <w:r w:rsidRPr="00F86869">
        <w:t xml:space="preserve"> </w:t>
      </w:r>
    </w:p>
    <w:p w14:paraId="63E1C4CC"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Una vez ubicados en la página electrónica señalada, se procedió a seleccionar el año de Ejercicio </w:t>
      </w:r>
      <w:r w:rsidRPr="00F86869">
        <w:rPr>
          <w:rFonts w:ascii="Palatino Linotype" w:eastAsia="Palatino Linotype" w:hAnsi="Palatino Linotype" w:cs="Palatino Linotype"/>
          <w:b/>
          <w:i/>
        </w:rPr>
        <w:t>2022</w:t>
      </w:r>
      <w:r w:rsidRPr="00F86869">
        <w:rPr>
          <w:rFonts w:ascii="Palatino Linotype" w:eastAsia="Palatino Linotype" w:hAnsi="Palatino Linotype" w:cs="Palatino Linotype"/>
        </w:rPr>
        <w:t xml:space="preserve">, acto seguido, se desplegó la pantalla que continuación se ilustra:  </w:t>
      </w:r>
    </w:p>
    <w:p w14:paraId="6747B394" w14:textId="77777777" w:rsidR="00BC21BF" w:rsidRPr="00F86869" w:rsidRDefault="00334506">
      <w:pPr>
        <w:spacing w:line="360" w:lineRule="auto"/>
        <w:jc w:val="both"/>
        <w:rPr>
          <w:rFonts w:ascii="Palatino Linotype" w:eastAsia="Palatino Linotype" w:hAnsi="Palatino Linotype" w:cs="Palatino Linotype"/>
        </w:rPr>
      </w:pPr>
      <w:r w:rsidRPr="00F86869">
        <w:rPr>
          <w:noProof/>
          <w:lang w:val="es-MX" w:eastAsia="es-MX"/>
        </w:rPr>
        <w:lastRenderedPageBreak/>
        <w:drawing>
          <wp:inline distT="0" distB="0" distL="0" distR="0" wp14:anchorId="2A0CFDFB" wp14:editId="4F784AE4">
            <wp:extent cx="5485380" cy="5069248"/>
            <wp:effectExtent l="0" t="0" r="0" b="0"/>
            <wp:docPr id="56" name="image6.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 Word&#10;&#10;Descripción generada automáticamente"/>
                    <pic:cNvPicPr preferRelativeResize="0"/>
                  </pic:nvPicPr>
                  <pic:blipFill>
                    <a:blip r:embed="rId19"/>
                    <a:srcRect l="50068" t="8449" r="713" b="10681"/>
                    <a:stretch>
                      <a:fillRect/>
                    </a:stretch>
                  </pic:blipFill>
                  <pic:spPr>
                    <a:xfrm>
                      <a:off x="0" y="0"/>
                      <a:ext cx="5485380" cy="5069248"/>
                    </a:xfrm>
                    <a:prstGeom prst="rect">
                      <a:avLst/>
                    </a:prstGeom>
                    <a:ln/>
                  </pic:spPr>
                </pic:pic>
              </a:graphicData>
            </a:graphic>
          </wp:inline>
        </w:drawing>
      </w:r>
    </w:p>
    <w:p w14:paraId="44C11D11"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En este mismo sentido, se procedió a seleccionar el vínculo denominado “</w:t>
      </w:r>
      <w:r w:rsidRPr="00F86869">
        <w:rPr>
          <w:rFonts w:ascii="Palatino Linotype" w:eastAsia="Palatino Linotype" w:hAnsi="Palatino Linotype" w:cs="Palatino Linotype"/>
          <w:b/>
          <w:i/>
          <w:u w:val="single"/>
        </w:rPr>
        <w:t>Descarga completa</w:t>
      </w:r>
      <w:r w:rsidRPr="00F86869">
        <w:rPr>
          <w:rFonts w:ascii="Palatino Linotype" w:eastAsia="Palatino Linotype" w:hAnsi="Palatino Linotype" w:cs="Palatino Linotype"/>
        </w:rPr>
        <w:t xml:space="preserve">”, acto seguido se descargó el archivo en formato Excel denominado “info_Art92_7.xlsx”, que contiene el directorio del Ayuntamiento de Toluca y del cual se obtuvo la siguiente captura:   </w:t>
      </w:r>
    </w:p>
    <w:p w14:paraId="3F84E905" w14:textId="77777777" w:rsidR="00BC21BF" w:rsidRPr="00F86869" w:rsidRDefault="00334506">
      <w:pPr>
        <w:spacing w:line="360" w:lineRule="auto"/>
        <w:jc w:val="both"/>
        <w:rPr>
          <w:rFonts w:ascii="Palatino Linotype" w:eastAsia="Palatino Linotype" w:hAnsi="Palatino Linotype" w:cs="Palatino Linotype"/>
        </w:rPr>
      </w:pPr>
      <w:r w:rsidRPr="00F86869">
        <w:rPr>
          <w:noProof/>
          <w:lang w:val="es-MX" w:eastAsia="es-MX"/>
        </w:rPr>
        <w:lastRenderedPageBreak/>
        <w:drawing>
          <wp:inline distT="0" distB="0" distL="0" distR="0" wp14:anchorId="54DDFC52" wp14:editId="6325BA6A">
            <wp:extent cx="5506867" cy="2616470"/>
            <wp:effectExtent l="0" t="0" r="0" b="0"/>
            <wp:docPr id="55" name="image1.png" descr="Interfaz de usuario gráfica, Aplicación, Tabla, Exce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Aplicación, Tabla, Excel&#10;&#10;Descripción generada automáticamente"/>
                    <pic:cNvPicPr preferRelativeResize="0"/>
                  </pic:nvPicPr>
                  <pic:blipFill>
                    <a:blip r:embed="rId20"/>
                    <a:srcRect t="6939" r="1051" b="9475"/>
                    <a:stretch>
                      <a:fillRect/>
                    </a:stretch>
                  </pic:blipFill>
                  <pic:spPr>
                    <a:xfrm>
                      <a:off x="0" y="0"/>
                      <a:ext cx="5506867" cy="2616470"/>
                    </a:xfrm>
                    <a:prstGeom prst="rect">
                      <a:avLst/>
                    </a:prstGeom>
                    <a:ln/>
                  </pic:spPr>
                </pic:pic>
              </a:graphicData>
            </a:graphic>
          </wp:inline>
        </w:drawing>
      </w:r>
    </w:p>
    <w:p w14:paraId="68EC4878"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De lo anterior se advierte que, contrario a lo señalado por la parte </w:t>
      </w:r>
      <w:r w:rsidRPr="00F86869">
        <w:rPr>
          <w:rFonts w:ascii="Palatino Linotype" w:eastAsia="Palatino Linotype" w:hAnsi="Palatino Linotype" w:cs="Palatino Linotype"/>
          <w:b/>
        </w:rPr>
        <w:t xml:space="preserve">RECURRENTE, </w:t>
      </w:r>
      <w:r w:rsidRPr="00F86869">
        <w:rPr>
          <w:rFonts w:ascii="Palatino Linotype" w:eastAsia="Palatino Linotype" w:hAnsi="Palatino Linotype" w:cs="Palatino Linotype"/>
        </w:rPr>
        <w:t xml:space="preserve">la página electrónica proporcionada por el </w:t>
      </w:r>
      <w:r w:rsidRPr="00F86869">
        <w:rPr>
          <w:rFonts w:ascii="Palatino Linotype" w:eastAsia="Palatino Linotype" w:hAnsi="Palatino Linotype" w:cs="Palatino Linotype"/>
          <w:b/>
        </w:rPr>
        <w:t>SUJETO OBLIGADO si remite</w:t>
      </w:r>
      <w:r w:rsidRPr="00F86869">
        <w:rPr>
          <w:rFonts w:ascii="Palatino Linotype" w:eastAsia="Palatino Linotype" w:hAnsi="Palatino Linotype" w:cs="Palatino Linotype"/>
        </w:rPr>
        <w:t xml:space="preserve"> al Directorio de los servidores públicos del Ayuntamiento de Toluca, por lo que resultan </w:t>
      </w:r>
      <w:r w:rsidRPr="00F86869">
        <w:rPr>
          <w:rFonts w:ascii="Palatino Linotype" w:eastAsia="Palatino Linotype" w:hAnsi="Palatino Linotype" w:cs="Palatino Linotype"/>
          <w:b/>
        </w:rPr>
        <w:t>infundados</w:t>
      </w:r>
      <w:r w:rsidRPr="00F86869">
        <w:rPr>
          <w:rFonts w:ascii="Palatino Linotype" w:eastAsia="Palatino Linotype" w:hAnsi="Palatino Linotype" w:cs="Palatino Linotype"/>
        </w:rPr>
        <w:t xml:space="preserve"> los motivos de su inconformidad, respecto de la parte atinente de la solicitud. </w:t>
      </w:r>
    </w:p>
    <w:p w14:paraId="4BA513C3"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  </w:t>
      </w:r>
    </w:p>
    <w:p w14:paraId="16F3F676"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 xml:space="preserve">Ahora bien, como fue referido, la parte </w:t>
      </w:r>
      <w:r w:rsidRPr="00F86869">
        <w:rPr>
          <w:rFonts w:ascii="Palatino Linotype" w:eastAsia="Palatino Linotype" w:hAnsi="Palatino Linotype" w:cs="Palatino Linotype"/>
          <w:b/>
        </w:rPr>
        <w:t>RECURRENTE</w:t>
      </w:r>
      <w:r w:rsidRPr="00F86869">
        <w:rPr>
          <w:rFonts w:ascii="Palatino Linotype" w:eastAsia="Palatino Linotype" w:hAnsi="Palatino Linotype" w:cs="Palatino Linotype"/>
        </w:rPr>
        <w:t xml:space="preserve"> de igual manera solicitó los manuales de organización de la administración 2022-2024, en este sentido, el SUJETO OBLIGADO, en un primer momento señaló no contar con la información solicitada, posteriormente, al presentar su Informe Justificado, </w:t>
      </w:r>
      <w:r w:rsidRPr="00F86869">
        <w:rPr>
          <w:rFonts w:ascii="Palatino Linotype" w:eastAsia="Palatino Linotype" w:hAnsi="Palatino Linotype" w:cs="Palatino Linotype"/>
          <w:color w:val="000000"/>
        </w:rPr>
        <w:t xml:space="preserve">señaló que aún no se contaba con ellos, sin embargo, se trabajaba con los anteriores que, de acuerdo a su percepción, se encuentran vigentes en tanto se emitan unos nuevos y enuncia la liga electrónica </w:t>
      </w:r>
      <w:hyperlink r:id="rId21">
        <w:r w:rsidRPr="00F86869">
          <w:rPr>
            <w:rFonts w:ascii="Palatino Linotype" w:eastAsia="Palatino Linotype" w:hAnsi="Palatino Linotype" w:cs="Palatino Linotype"/>
            <w:color w:val="0000FF"/>
            <w:u w:val="single"/>
          </w:rPr>
          <w:t>https://www.ipomex.org.mx/ipo3/lgt/indice/TOLUCA/art_92_i/4.web</w:t>
        </w:r>
      </w:hyperlink>
      <w:r w:rsidRPr="00F86869">
        <w:rPr>
          <w:rFonts w:ascii="Palatino Linotype" w:eastAsia="Palatino Linotype" w:hAnsi="Palatino Linotype" w:cs="Palatino Linotype"/>
          <w:color w:val="000000"/>
        </w:rPr>
        <w:t xml:space="preserve"> d</w:t>
      </w:r>
      <w:r w:rsidRPr="00F86869">
        <w:rPr>
          <w:rFonts w:ascii="Palatino Linotype" w:eastAsia="Palatino Linotype" w:hAnsi="Palatino Linotype" w:cs="Palatino Linotype"/>
        </w:rPr>
        <w:t>onde refiere que podrá ser hallada la información solicitada por la parte RECURRENTE.</w:t>
      </w:r>
    </w:p>
    <w:p w14:paraId="2842BF72" w14:textId="77777777" w:rsidR="00BC21BF" w:rsidRPr="00F86869" w:rsidRDefault="00334506">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lastRenderedPageBreak/>
        <w:t>En virtud de lo anterior, este Organismo Garante procedió a consultar la información disponible en dicho portal, en el cual se observa lo siguiente:</w:t>
      </w:r>
    </w:p>
    <w:p w14:paraId="23B74332" w14:textId="77777777" w:rsidR="00BC21BF" w:rsidRPr="00F86869" w:rsidRDefault="00784A20">
      <w:pPr>
        <w:spacing w:line="360" w:lineRule="auto"/>
        <w:jc w:val="both"/>
        <w:rPr>
          <w:rFonts w:ascii="Palatino Linotype" w:eastAsia="Palatino Linotype" w:hAnsi="Palatino Linotype" w:cs="Palatino Linotype"/>
        </w:rPr>
      </w:pPr>
      <w:r w:rsidRPr="00F86869">
        <w:rPr>
          <w:noProof/>
          <w:lang w:val="es-MX" w:eastAsia="es-MX"/>
        </w:rPr>
        <mc:AlternateContent>
          <mc:Choice Requires="wps">
            <w:drawing>
              <wp:anchor distT="0" distB="0" distL="114300" distR="114300" simplePos="0" relativeHeight="251659264" behindDoc="0" locked="0" layoutInCell="1" allowOverlap="1" wp14:anchorId="396D728A" wp14:editId="36CFDF8A">
                <wp:simplePos x="0" y="0"/>
                <wp:positionH relativeFrom="column">
                  <wp:posOffset>1145575</wp:posOffset>
                </wp:positionH>
                <wp:positionV relativeFrom="paragraph">
                  <wp:posOffset>2593919</wp:posOffset>
                </wp:positionV>
                <wp:extent cx="1894114" cy="326572"/>
                <wp:effectExtent l="19050" t="19050" r="11430" b="16510"/>
                <wp:wrapNone/>
                <wp:docPr id="1" name="Rectángulo 1"/>
                <wp:cNvGraphicFramePr/>
                <a:graphic xmlns:a="http://schemas.openxmlformats.org/drawingml/2006/main">
                  <a:graphicData uri="http://schemas.microsoft.com/office/word/2010/wordprocessingShape">
                    <wps:wsp>
                      <wps:cNvSpPr/>
                      <wps:spPr>
                        <a:xfrm>
                          <a:off x="0" y="0"/>
                          <a:ext cx="1894114" cy="3265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5DB720" id="Rectángulo 1" o:spid="_x0000_s1026" style="position:absolute;margin-left:90.2pt;margin-top:204.25pt;width:149.15pt;height:2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" filled="f" strokecolor="red" strokeweight="3pt"/>
            </w:pict>
          </mc:Fallback>
        </mc:AlternateContent>
      </w:r>
      <w:r w:rsidR="00334506" w:rsidRPr="00F86869">
        <w:rPr>
          <w:noProof/>
          <w:lang w:val="es-MX" w:eastAsia="es-MX"/>
        </w:rPr>
        <w:drawing>
          <wp:inline distT="0" distB="0" distL="0" distR="0" wp14:anchorId="5FBF8EF1" wp14:editId="52DB9D46">
            <wp:extent cx="5530944" cy="4716016"/>
            <wp:effectExtent l="0" t="0" r="0" b="0"/>
            <wp:docPr id="57"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22"/>
                    <a:srcRect l="50237" t="7544" b="17019"/>
                    <a:stretch>
                      <a:fillRect/>
                    </a:stretch>
                  </pic:blipFill>
                  <pic:spPr>
                    <a:xfrm>
                      <a:off x="0" y="0"/>
                      <a:ext cx="5530944" cy="4716016"/>
                    </a:xfrm>
                    <a:prstGeom prst="rect">
                      <a:avLst/>
                    </a:prstGeom>
                    <a:ln/>
                  </pic:spPr>
                </pic:pic>
              </a:graphicData>
            </a:graphic>
          </wp:inline>
        </w:drawing>
      </w:r>
    </w:p>
    <w:p w14:paraId="48999348" w14:textId="77777777" w:rsidR="00BC21BF" w:rsidRPr="00F86869" w:rsidRDefault="00BC21BF">
      <w:pPr>
        <w:spacing w:line="360" w:lineRule="auto"/>
        <w:jc w:val="both"/>
        <w:rPr>
          <w:rFonts w:ascii="Palatino Linotype" w:eastAsia="Palatino Linotype" w:hAnsi="Palatino Linotype" w:cs="Palatino Linotype"/>
        </w:rPr>
      </w:pPr>
    </w:p>
    <w:p w14:paraId="46B3FAE3" w14:textId="77777777" w:rsidR="00F503FA" w:rsidRPr="00F86869" w:rsidRDefault="00784A20">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t>De la consulta descrita es</w:t>
      </w:r>
      <w:r w:rsidR="00334506" w:rsidRPr="00F86869">
        <w:rPr>
          <w:rFonts w:ascii="Palatino Linotype" w:eastAsia="Palatino Linotype" w:hAnsi="Palatino Linotype" w:cs="Palatino Linotype"/>
        </w:rPr>
        <w:t xml:space="preserve"> posible advertir</w:t>
      </w:r>
      <w:r w:rsidR="00F503FA" w:rsidRPr="00F86869">
        <w:rPr>
          <w:rFonts w:ascii="Palatino Linotype" w:eastAsia="Palatino Linotype" w:hAnsi="Palatino Linotype" w:cs="Palatino Linotype"/>
        </w:rPr>
        <w:t xml:space="preserve"> los manuales de organización aplicables y vigentes para el Ayuntamiento de Toluca, se encuentran publicados en como Manuales Administrativos de Integración Organizacionales, tal como se advierte en la siguiente imagen. </w:t>
      </w:r>
    </w:p>
    <w:p w14:paraId="01ACA61E" w14:textId="77777777" w:rsidR="00F503FA" w:rsidRPr="00F86869" w:rsidRDefault="00F503FA">
      <w:pPr>
        <w:spacing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0288" behindDoc="0" locked="0" layoutInCell="1" allowOverlap="1" wp14:anchorId="4E2D6B95" wp14:editId="3F851536">
                <wp:simplePos x="0" y="0"/>
                <wp:positionH relativeFrom="column">
                  <wp:posOffset>1843935</wp:posOffset>
                </wp:positionH>
                <wp:positionV relativeFrom="paragraph">
                  <wp:posOffset>3276453</wp:posOffset>
                </wp:positionV>
                <wp:extent cx="1879042" cy="120581"/>
                <wp:effectExtent l="19050" t="19050" r="26035" b="13335"/>
                <wp:wrapNone/>
                <wp:docPr id="3" name="Rectángulo 3"/>
                <wp:cNvGraphicFramePr/>
                <a:graphic xmlns:a="http://schemas.openxmlformats.org/drawingml/2006/main">
                  <a:graphicData uri="http://schemas.microsoft.com/office/word/2010/wordprocessingShape">
                    <wps:wsp>
                      <wps:cNvSpPr/>
                      <wps:spPr>
                        <a:xfrm>
                          <a:off x="0" y="0"/>
                          <a:ext cx="1879042" cy="1205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F6450B" id="Rectángulo 3" o:spid="_x0000_s1026" style="position:absolute;margin-left:145.2pt;margin-top:258pt;width:147.95pt;height: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" filled="f" strokecolor="red" strokeweight="2.25pt"/>
            </w:pict>
          </mc:Fallback>
        </mc:AlternateContent>
      </w:r>
      <w:r w:rsidRPr="00F86869">
        <w:rPr>
          <w:rFonts w:ascii="Palatino Linotype" w:eastAsia="Palatino Linotype" w:hAnsi="Palatino Linotype" w:cs="Palatino Linotype"/>
          <w:noProof/>
          <w:lang w:val="es-MX" w:eastAsia="es-MX"/>
        </w:rPr>
        <w:drawing>
          <wp:inline distT="0" distB="0" distL="0" distR="0" wp14:anchorId="6F8B898A" wp14:editId="57285390">
            <wp:extent cx="5612130" cy="539686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396865"/>
                    </a:xfrm>
                    <a:prstGeom prst="rect">
                      <a:avLst/>
                    </a:prstGeom>
                  </pic:spPr>
                </pic:pic>
              </a:graphicData>
            </a:graphic>
          </wp:inline>
        </w:drawing>
      </w:r>
    </w:p>
    <w:p w14:paraId="576D8398" w14:textId="77777777" w:rsidR="00F503FA" w:rsidRPr="00F86869" w:rsidRDefault="00F503FA">
      <w:pPr>
        <w:spacing w:line="360" w:lineRule="auto"/>
        <w:jc w:val="both"/>
        <w:rPr>
          <w:rFonts w:ascii="Palatino Linotype" w:eastAsia="Palatino Linotype" w:hAnsi="Palatino Linotype" w:cs="Palatino Linotype"/>
        </w:rPr>
      </w:pPr>
    </w:p>
    <w:p w14:paraId="1F5E4EFE" w14:textId="77777777" w:rsidR="00BC21BF" w:rsidRPr="00F86869" w:rsidRDefault="00792287">
      <w:pPr>
        <w:spacing w:line="360" w:lineRule="auto"/>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rPr>
        <w:t xml:space="preserve">De las imágenes insertas se advierte que el </w:t>
      </w:r>
      <w:r w:rsidR="00F76808" w:rsidRPr="00F86869">
        <w:rPr>
          <w:rFonts w:ascii="Palatino Linotype" w:eastAsia="Palatino Linotype" w:hAnsi="Palatino Linotype" w:cs="Palatino Linotype"/>
        </w:rPr>
        <w:t>hipervínculo</w:t>
      </w:r>
      <w:r w:rsidRPr="00F86869">
        <w:rPr>
          <w:rFonts w:ascii="Palatino Linotype" w:eastAsia="Palatino Linotype" w:hAnsi="Palatino Linotype" w:cs="Palatino Linotype"/>
        </w:rPr>
        <w:t xml:space="preserve"> proporcionado por el Sujeto Obligado</w:t>
      </w:r>
      <w:r w:rsidRPr="00F86869">
        <w:rPr>
          <w:rFonts w:ascii="Palatino Linotype" w:eastAsia="Palatino Linotype" w:hAnsi="Palatino Linotype" w:cs="Palatino Linotype"/>
          <w:color w:val="000000"/>
        </w:rPr>
        <w:t xml:space="preserve"> dirige al sitio en que se encuentran publicados </w:t>
      </w:r>
      <w:r w:rsidRPr="00F86869">
        <w:rPr>
          <w:rFonts w:ascii="Palatino Linotype" w:eastAsia="Palatino Linotype" w:hAnsi="Palatino Linotype" w:cs="Palatino Linotype"/>
        </w:rPr>
        <w:t>Manuales Administrativos de Integración Organizacionales</w:t>
      </w:r>
      <w:r w:rsidRPr="00F86869">
        <w:rPr>
          <w:rFonts w:ascii="Palatino Linotype" w:eastAsia="Palatino Linotype" w:hAnsi="Palatino Linotype" w:cs="Palatino Linotype"/>
          <w:color w:val="000000"/>
        </w:rPr>
        <w:t xml:space="preserve"> relacionados con los requerimiento formulado en la solicitud de información y que ahora se analiza, dando cumplimiento a lo dispuesto en el artículo 161</w:t>
      </w:r>
      <w:r w:rsidRPr="00F86869">
        <w:t xml:space="preserve"> </w:t>
      </w:r>
      <w:r w:rsidRPr="00F86869">
        <w:rPr>
          <w:rFonts w:ascii="Palatino Linotype" w:eastAsia="Palatino Linotype" w:hAnsi="Palatino Linotype" w:cs="Palatino Linotype"/>
          <w:color w:val="000000"/>
        </w:rPr>
        <w:t xml:space="preserve">de la de Transparencia y Acceso a la Información Pública del Estado de México y </w:t>
      </w:r>
      <w:r w:rsidR="00F76808" w:rsidRPr="00F86869">
        <w:rPr>
          <w:rFonts w:ascii="Palatino Linotype" w:eastAsia="Palatino Linotype" w:hAnsi="Palatino Linotype" w:cs="Palatino Linotype"/>
          <w:color w:val="000000"/>
        </w:rPr>
        <w:t>Municipios, que es del texto literal siguiente:</w:t>
      </w:r>
    </w:p>
    <w:p w14:paraId="0009188E" w14:textId="77777777" w:rsidR="00F503FA" w:rsidRPr="00F86869" w:rsidRDefault="00F503FA" w:rsidP="00F503FA">
      <w:pPr>
        <w:spacing w:before="240" w:after="240" w:line="360" w:lineRule="auto"/>
        <w:ind w:left="851" w:right="900"/>
        <w:jc w:val="both"/>
        <w:rPr>
          <w:rFonts w:ascii="Palatino Linotype" w:eastAsia="Palatino Linotype" w:hAnsi="Palatino Linotype" w:cs="Palatino Linotype"/>
          <w:i/>
          <w:sz w:val="22"/>
        </w:rPr>
      </w:pPr>
      <w:r w:rsidRPr="00F86869">
        <w:rPr>
          <w:rFonts w:ascii="Palatino Linotype" w:hAnsi="Palatino Linotype"/>
          <w:i/>
          <w:sz w:val="22"/>
        </w:rPr>
        <w:lastRenderedPageBreak/>
        <w:t xml:space="preserve">Artículo 161. </w:t>
      </w:r>
      <w:r w:rsidRPr="00F86869">
        <w:rPr>
          <w:rFonts w:ascii="Palatino Linotype" w:hAnsi="Palatino Linotype"/>
          <w:b/>
          <w:i/>
          <w:sz w:val="22"/>
        </w:rPr>
        <w:t>Cuando la información requerida por el solicitante ya esté disponible</w:t>
      </w:r>
      <w:r w:rsidRPr="00F86869">
        <w:rPr>
          <w:rFonts w:ascii="Palatino Linotype" w:hAnsi="Palatino Linotype"/>
          <w:i/>
          <w:sz w:val="22"/>
        </w:rPr>
        <w:t xml:space="preserve"> al público en medios impresos, tales como libros, compendios, trípticos, registros públicos, </w:t>
      </w:r>
      <w:r w:rsidRPr="00F86869">
        <w:rPr>
          <w:rFonts w:ascii="Palatino Linotype" w:hAnsi="Palatino Linotype"/>
          <w:b/>
          <w:i/>
          <w:sz w:val="22"/>
          <w:u w:val="single"/>
        </w:rPr>
        <w:t>en formatos electrónicos disponibles en Internet</w:t>
      </w:r>
      <w:r w:rsidRPr="00F86869">
        <w:rPr>
          <w:rFonts w:ascii="Palatino Linotype" w:hAnsi="Palatino Linotype"/>
          <w:i/>
          <w:sz w:val="22"/>
        </w:rPr>
        <w:t xml:space="preserve">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7FFAE7D" w14:textId="77777777" w:rsidR="00CA6477" w:rsidRPr="00F86869" w:rsidRDefault="00CA6477" w:rsidP="00CA6477">
      <w:pPr>
        <w:pStyle w:val="Prrafodelista"/>
        <w:spacing w:before="240" w:after="240" w:line="360" w:lineRule="auto"/>
        <w:ind w:left="0"/>
        <w:jc w:val="both"/>
        <w:rPr>
          <w:rFonts w:ascii="Palatino Linotype" w:hAnsi="Palatino Linotype" w:cs="Arial"/>
        </w:rPr>
      </w:pPr>
      <w:r w:rsidRPr="00F86869">
        <w:rPr>
          <w:rFonts w:ascii="Palatino Linotype" w:hAnsi="Palatino Linotype"/>
          <w:bCs/>
          <w:lang w:eastAsia="es-MX"/>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6D5E660" w14:textId="77777777" w:rsidR="00CA6477" w:rsidRPr="00F86869" w:rsidRDefault="00CA6477" w:rsidP="00CA6477">
      <w:pPr>
        <w:pStyle w:val="Prrafodelista"/>
        <w:spacing w:before="240" w:after="360" w:line="360" w:lineRule="auto"/>
        <w:ind w:left="0" w:right="49"/>
        <w:jc w:val="both"/>
        <w:rPr>
          <w:rFonts w:ascii="Palatino Linotype" w:hAnsi="Palatino Linotype" w:cs="Arial"/>
          <w:bCs/>
          <w:lang w:eastAsia="es-MX"/>
        </w:rPr>
      </w:pPr>
      <w:r w:rsidRPr="00F86869">
        <w:rPr>
          <w:rFonts w:ascii="Palatino Linotype"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76F3C6D1" w14:textId="77777777" w:rsidR="00CA6477" w:rsidRPr="00F86869" w:rsidRDefault="00CA6477" w:rsidP="00CA6477">
      <w:pPr>
        <w:spacing w:before="240" w:after="360" w:line="360" w:lineRule="auto"/>
        <w:ind w:left="567" w:right="616"/>
        <w:jc w:val="both"/>
        <w:rPr>
          <w:rFonts w:ascii="Palatino Linotype" w:hAnsi="Palatino Linotype" w:cs="Arial"/>
          <w:bCs/>
          <w:sz w:val="22"/>
          <w:szCs w:val="22"/>
          <w:lang w:eastAsia="es-MX"/>
        </w:rPr>
      </w:pPr>
      <w:r w:rsidRPr="00F86869">
        <w:rPr>
          <w:rFonts w:ascii="Palatino Linotype" w:hAnsi="Palatino Linotype" w:cs="Arial"/>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w:t>
      </w:r>
      <w:r w:rsidRPr="00F86869">
        <w:rPr>
          <w:rFonts w:ascii="Palatino Linotype" w:hAnsi="Palatino Linotype" w:cs="Arial"/>
          <w:bCs/>
          <w:i/>
          <w:iCs/>
          <w:sz w:val="22"/>
          <w:szCs w:val="22"/>
          <w:lang w:eastAsia="es-MX"/>
        </w:rPr>
        <w:lastRenderedPageBreak/>
        <w:t>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1F26E2"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t>En este sentido, y ante la información adicional y precisa remitida vía informe justificado, conviene hacer alusión a lo que señala el artículo 192, fracción III de la Ley de Transparencia y Acceso a la Información Pública del Estado de México y Municipios vigente, a saber:</w:t>
      </w:r>
    </w:p>
    <w:p w14:paraId="23234F65" w14:textId="77777777" w:rsidR="00CA6477" w:rsidRPr="00F86869" w:rsidRDefault="00CA6477" w:rsidP="00CA6477">
      <w:pPr>
        <w:pBdr>
          <w:top w:val="nil"/>
          <w:left w:val="nil"/>
          <w:bottom w:val="nil"/>
          <w:right w:val="nil"/>
          <w:between w:val="nil"/>
        </w:pBdr>
        <w:spacing w:before="240" w:after="240"/>
        <w:ind w:left="851" w:right="900"/>
        <w:jc w:val="both"/>
        <w:rPr>
          <w:color w:val="000000"/>
        </w:rPr>
      </w:pPr>
      <w:r w:rsidRPr="00F86869">
        <w:rPr>
          <w:rFonts w:ascii="Palatino Linotype" w:eastAsia="Palatino Linotype" w:hAnsi="Palatino Linotype" w:cs="Palatino Linotype"/>
          <w:i/>
          <w:color w:val="000000"/>
          <w:sz w:val="22"/>
          <w:szCs w:val="22"/>
        </w:rPr>
        <w:t>“</w:t>
      </w:r>
      <w:r w:rsidRPr="00F86869">
        <w:rPr>
          <w:rFonts w:ascii="Palatino Linotype" w:eastAsia="Palatino Linotype" w:hAnsi="Palatino Linotype" w:cs="Palatino Linotype"/>
          <w:b/>
          <w:i/>
          <w:color w:val="000000"/>
          <w:sz w:val="22"/>
          <w:szCs w:val="22"/>
        </w:rPr>
        <w:t>Artículo 192</w:t>
      </w:r>
      <w:r w:rsidRPr="00F86869">
        <w:rPr>
          <w:rFonts w:ascii="Palatino Linotype" w:eastAsia="Palatino Linotype" w:hAnsi="Palatino Linotype" w:cs="Palatino Linotype"/>
          <w:i/>
          <w:color w:val="000000"/>
          <w:sz w:val="22"/>
          <w:szCs w:val="22"/>
        </w:rPr>
        <w:t xml:space="preserve">. </w:t>
      </w:r>
      <w:r w:rsidRPr="00F86869">
        <w:rPr>
          <w:rFonts w:ascii="Palatino Linotype" w:eastAsia="Palatino Linotype" w:hAnsi="Palatino Linotype" w:cs="Palatino Linotype"/>
          <w:b/>
          <w:i/>
          <w:color w:val="000000"/>
          <w:sz w:val="22"/>
          <w:szCs w:val="22"/>
        </w:rPr>
        <w:t>El recurso será sobreseído</w:t>
      </w:r>
      <w:r w:rsidRPr="00F86869">
        <w:rPr>
          <w:rFonts w:ascii="Palatino Linotype" w:eastAsia="Palatino Linotype" w:hAnsi="Palatino Linotype" w:cs="Palatino Linotype"/>
          <w:i/>
          <w:color w:val="000000"/>
          <w:sz w:val="22"/>
          <w:szCs w:val="22"/>
        </w:rPr>
        <w:t xml:space="preserve">, </w:t>
      </w:r>
      <w:r w:rsidRPr="00F86869">
        <w:rPr>
          <w:rFonts w:ascii="Palatino Linotype" w:eastAsia="Palatino Linotype" w:hAnsi="Palatino Linotype" w:cs="Palatino Linotype"/>
          <w:b/>
          <w:i/>
          <w:color w:val="000000"/>
          <w:sz w:val="22"/>
          <w:szCs w:val="22"/>
        </w:rPr>
        <w:t>en todo o en parte,</w:t>
      </w:r>
      <w:r w:rsidRPr="00F86869">
        <w:rPr>
          <w:rFonts w:ascii="Palatino Linotype" w:eastAsia="Palatino Linotype" w:hAnsi="Palatino Linotype" w:cs="Palatino Linotype"/>
          <w:i/>
          <w:color w:val="000000"/>
          <w:sz w:val="22"/>
          <w:szCs w:val="22"/>
        </w:rPr>
        <w:t xml:space="preserve"> </w:t>
      </w:r>
      <w:r w:rsidRPr="00F86869">
        <w:rPr>
          <w:rFonts w:ascii="Palatino Linotype" w:eastAsia="Palatino Linotype" w:hAnsi="Palatino Linotype" w:cs="Palatino Linotype"/>
          <w:b/>
          <w:i/>
          <w:color w:val="000000"/>
          <w:sz w:val="22"/>
          <w:szCs w:val="22"/>
        </w:rPr>
        <w:t>cuando una vez admitido, se actualicen alguno de los siguientes supuestos</w:t>
      </w:r>
      <w:r w:rsidRPr="00F86869">
        <w:rPr>
          <w:rFonts w:ascii="Palatino Linotype" w:eastAsia="Palatino Linotype" w:hAnsi="Palatino Linotype" w:cs="Palatino Linotype"/>
          <w:i/>
          <w:color w:val="000000"/>
          <w:sz w:val="22"/>
          <w:szCs w:val="22"/>
        </w:rPr>
        <w:t>: </w:t>
      </w:r>
    </w:p>
    <w:p w14:paraId="1CA99E60" w14:textId="77777777" w:rsidR="00CA6477" w:rsidRPr="00F86869" w:rsidRDefault="00CA6477" w:rsidP="00CA6477">
      <w:pPr>
        <w:pBdr>
          <w:top w:val="nil"/>
          <w:left w:val="nil"/>
          <w:bottom w:val="nil"/>
          <w:right w:val="nil"/>
          <w:between w:val="nil"/>
        </w:pBdr>
        <w:spacing w:before="240" w:after="240"/>
        <w:ind w:left="1134" w:right="900"/>
        <w:jc w:val="both"/>
        <w:rPr>
          <w:color w:val="000000"/>
        </w:rPr>
      </w:pPr>
      <w:r w:rsidRPr="00F86869">
        <w:rPr>
          <w:rFonts w:ascii="Palatino Linotype" w:eastAsia="Palatino Linotype" w:hAnsi="Palatino Linotype" w:cs="Palatino Linotype"/>
          <w:i/>
          <w:color w:val="000000"/>
          <w:sz w:val="22"/>
          <w:szCs w:val="22"/>
        </w:rPr>
        <w:t>(…)</w:t>
      </w:r>
    </w:p>
    <w:p w14:paraId="322D8F32" w14:textId="77777777" w:rsidR="00CA6477" w:rsidRPr="00F86869" w:rsidRDefault="00CA6477" w:rsidP="00CA6477">
      <w:pPr>
        <w:pBdr>
          <w:top w:val="nil"/>
          <w:left w:val="nil"/>
          <w:bottom w:val="nil"/>
          <w:right w:val="nil"/>
          <w:between w:val="nil"/>
        </w:pBdr>
        <w:spacing w:before="240" w:after="240"/>
        <w:ind w:left="1134" w:right="900"/>
        <w:jc w:val="both"/>
        <w:rPr>
          <w:color w:val="000000"/>
        </w:rPr>
      </w:pPr>
      <w:r w:rsidRPr="00F86869">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r w:rsidRPr="00F86869">
        <w:rPr>
          <w:rFonts w:ascii="Palatino Linotype" w:eastAsia="Palatino Linotype" w:hAnsi="Palatino Linotype" w:cs="Palatino Linotype"/>
          <w:i/>
          <w:color w:val="000000"/>
          <w:sz w:val="22"/>
          <w:szCs w:val="22"/>
        </w:rPr>
        <w:t>”</w:t>
      </w:r>
    </w:p>
    <w:p w14:paraId="18DB49D8"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t>De lo establecido en el precepto legal citado se advierte que el sobreseimiento del recurso de revisión procede en los siguientes casos:</w:t>
      </w:r>
    </w:p>
    <w:p w14:paraId="2FACA90A" w14:textId="77777777" w:rsidR="00CA6477" w:rsidRPr="00F86869" w:rsidRDefault="00CA6477" w:rsidP="00CA6477">
      <w:pPr>
        <w:pBdr>
          <w:top w:val="nil"/>
          <w:left w:val="nil"/>
          <w:bottom w:val="nil"/>
          <w:right w:val="nil"/>
          <w:between w:val="nil"/>
        </w:pBdr>
        <w:spacing w:before="240" w:after="240"/>
        <w:ind w:left="284"/>
        <w:jc w:val="both"/>
        <w:rPr>
          <w:color w:val="000000"/>
        </w:rPr>
      </w:pPr>
      <w:r w:rsidRPr="00F86869">
        <w:rPr>
          <w:rFonts w:ascii="Palatino Linotype" w:eastAsia="Palatino Linotype" w:hAnsi="Palatino Linotype" w:cs="Palatino Linotype"/>
          <w:color w:val="000000"/>
        </w:rPr>
        <w:t>a) Cuando el Sujeto Obligado modifique el acto impugnado. </w:t>
      </w:r>
    </w:p>
    <w:p w14:paraId="0DDDC45B" w14:textId="77777777" w:rsidR="00CA6477" w:rsidRPr="00F86869" w:rsidRDefault="00CA6477" w:rsidP="00CA6477">
      <w:pPr>
        <w:pBdr>
          <w:top w:val="nil"/>
          <w:left w:val="nil"/>
          <w:bottom w:val="nil"/>
          <w:right w:val="nil"/>
          <w:between w:val="nil"/>
        </w:pBdr>
        <w:spacing w:before="240" w:after="240"/>
        <w:ind w:left="284"/>
        <w:jc w:val="both"/>
        <w:rPr>
          <w:color w:val="000000"/>
        </w:rPr>
      </w:pPr>
      <w:r w:rsidRPr="00F86869">
        <w:rPr>
          <w:rFonts w:ascii="Palatino Linotype" w:eastAsia="Palatino Linotype" w:hAnsi="Palatino Linotype" w:cs="Palatino Linotype"/>
          <w:color w:val="000000"/>
        </w:rPr>
        <w:t>b) Cuando el Sujeto Obligado revoque el acto impugnado; </w:t>
      </w:r>
    </w:p>
    <w:p w14:paraId="0FC29F7B"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t>Quedando en ambos casos el acto combatido sin materia o sin efectos.</w:t>
      </w:r>
    </w:p>
    <w:p w14:paraId="386CE74C"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t>Como se observa de lo anterior, un acto impugnado es modificado en aquellos casos en los que el Sujeto Obligado después de haber otorgado una respuesta, o haber omitido hacerlo (acto de no hacer), emite una o una diversa de manera posterior y en ésta subsan</w:t>
      </w:r>
      <w:r w:rsidRPr="00F86869">
        <w:rPr>
          <w:rFonts w:ascii="Palatino Linotype" w:eastAsia="Palatino Linotype" w:hAnsi="Palatino Linotype" w:cs="Palatino Linotype"/>
        </w:rPr>
        <w:t>ó</w:t>
      </w:r>
      <w:r w:rsidRPr="00F86869">
        <w:rPr>
          <w:rFonts w:ascii="Palatino Linotype" w:eastAsia="Palatino Linotype" w:hAnsi="Palatino Linotype" w:cs="Palatino Linotype"/>
          <w:color w:val="000000"/>
        </w:rPr>
        <w:t xml:space="preserve"> las deficiencias que hubiera tenido, quedando satisfecho el derecho subjetivo accionado por la parte recurrente.</w:t>
      </w:r>
    </w:p>
    <w:p w14:paraId="44F213E1"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lastRenderedPageBreak/>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15F188FD"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t xml:space="preserve">En este orden de ideas, un acto impugnado queda sin efectos, cuando </w:t>
      </w:r>
      <w:r w:rsidR="005D1552" w:rsidRPr="00F86869">
        <w:rPr>
          <w:rFonts w:ascii="Palatino Linotype" w:eastAsia="Palatino Linotype" w:hAnsi="Palatino Linotype" w:cs="Palatino Linotype"/>
          <w:color w:val="000000"/>
        </w:rPr>
        <w:t>aun</w:t>
      </w:r>
      <w:r w:rsidRPr="00F86869">
        <w:rPr>
          <w:rFonts w:ascii="Palatino Linotype" w:eastAsia="Palatino Linotype" w:hAnsi="Palatino Linotype" w:cs="Palatino Linotype"/>
          <w:color w:val="000000"/>
        </w:rPr>
        <w:t xml:space="preserve"> existiendo jurídicamente (esto es, que no se ha modificado, ni revocado) ya no genera ninguna consecuencia legal.</w:t>
      </w:r>
    </w:p>
    <w:p w14:paraId="6E211B1D"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071A1323" w14:textId="77777777" w:rsidR="00CA6477" w:rsidRPr="00F86869" w:rsidRDefault="00CA6477" w:rsidP="00CA6477">
      <w:pPr>
        <w:pBdr>
          <w:top w:val="nil"/>
          <w:left w:val="nil"/>
          <w:bottom w:val="nil"/>
          <w:right w:val="nil"/>
          <w:between w:val="nil"/>
        </w:pBdr>
        <w:spacing w:before="240" w:after="240" w:line="360" w:lineRule="auto"/>
        <w:jc w:val="both"/>
        <w:rPr>
          <w:color w:val="000000"/>
        </w:rPr>
      </w:pPr>
      <w:r w:rsidRPr="00F86869">
        <w:rPr>
          <w:rFonts w:ascii="Palatino Linotype" w:eastAsia="Palatino Linotype" w:hAnsi="Palatino Linotype" w:cs="Palatino Linotype"/>
          <w:color w:val="000000"/>
        </w:rPr>
        <w:t xml:space="preserve">Ahora bien, en el caso concreto, es evidente que el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 xml:space="preserve"> modificó su respuesta, ya que, a través de su pronunciamiento emitido en la etapa de manifestaciones, proporcionó la información requerida.</w:t>
      </w:r>
    </w:p>
    <w:p w14:paraId="0E5CD2E6" w14:textId="77777777" w:rsidR="00CA6477" w:rsidRPr="00F86869" w:rsidRDefault="00CA6477" w:rsidP="00CA647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De este modo, cuando el </w:t>
      </w:r>
      <w:r w:rsidRPr="00F86869">
        <w:rPr>
          <w:rFonts w:ascii="Palatino Linotype" w:eastAsia="Palatino Linotype" w:hAnsi="Palatino Linotype" w:cs="Palatino Linotype"/>
          <w:b/>
          <w:color w:val="000000"/>
        </w:rPr>
        <w:t xml:space="preserve">SUJETO OBLIGADO, </w:t>
      </w:r>
      <w:r w:rsidRPr="00F86869">
        <w:rPr>
          <w:rFonts w:ascii="Palatino Linotype" w:eastAsia="Palatino Linotype" w:hAnsi="Palatino Linotype" w:cs="Palatino Linotype"/>
          <w:color w:val="000000"/>
        </w:rPr>
        <w:t xml:space="preserve">antes de que se dicte resolución definitiva, entrega la información solicitada o </w:t>
      </w:r>
      <w:r w:rsidRPr="00F86869">
        <w:rPr>
          <w:rFonts w:ascii="Palatino Linotype" w:eastAsia="Palatino Linotype" w:hAnsi="Palatino Linotype" w:cs="Palatino Linotype"/>
          <w:color w:val="000000"/>
          <w:u w:val="single"/>
        </w:rPr>
        <w:t>completa la respuesta que en un primer momento fue incompleta</w:t>
      </w:r>
      <w:r w:rsidRPr="00F86869">
        <w:rPr>
          <w:rFonts w:ascii="Palatino Linotype" w:eastAsia="Palatino Linotype" w:hAnsi="Palatino Linotype" w:cs="Palatino Linotype"/>
          <w:color w:val="000000"/>
        </w:rPr>
        <w:t xml:space="preserve"> o no correspondió con lo solicitado; el recurso de revisión que al efecto se haya interpuesto queda sin materia lo que imposibilita el estudio de fondo de la </w:t>
      </w:r>
      <w:r w:rsidRPr="00F86869">
        <w:rPr>
          <w:rFonts w:ascii="Palatino Linotype" w:eastAsia="Palatino Linotype" w:hAnsi="Palatino Linotype" w:cs="Palatino Linotype"/>
          <w:i/>
          <w:color w:val="000000"/>
        </w:rPr>
        <w:t>litis</w:t>
      </w:r>
      <w:r w:rsidRPr="00F86869">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14:paraId="1A138957" w14:textId="77777777" w:rsidR="00CA6477" w:rsidRPr="00F86869" w:rsidRDefault="00CA6477" w:rsidP="00CA6477">
      <w:pPr>
        <w:pBdr>
          <w:top w:val="nil"/>
          <w:left w:val="nil"/>
          <w:bottom w:val="nil"/>
          <w:right w:val="nil"/>
          <w:between w:val="nil"/>
        </w:pBdr>
        <w:ind w:left="720"/>
        <w:rPr>
          <w:rFonts w:ascii="Palatino Linotype" w:eastAsia="Palatino Linotype" w:hAnsi="Palatino Linotype" w:cs="Palatino Linotype"/>
          <w:color w:val="000000"/>
        </w:rPr>
      </w:pPr>
    </w:p>
    <w:p w14:paraId="7A888287" w14:textId="77777777" w:rsidR="00CA6477" w:rsidRPr="00F86869" w:rsidRDefault="00CA6477" w:rsidP="00CA647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lastRenderedPageBreak/>
        <w:t xml:space="preserve">Por lo tanto, para que se actualice el sobreseimiento de un recurso de revisión, el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 xml:space="preserve"> puede entregar o completar la información al momento de rendir su </w:t>
      </w:r>
      <w:r w:rsidRPr="00F86869">
        <w:rPr>
          <w:rFonts w:ascii="Palatino Linotype" w:eastAsia="Palatino Linotype" w:hAnsi="Palatino Linotype" w:cs="Palatino Linotype"/>
          <w:b/>
          <w:color w:val="000000"/>
          <w:u w:val="single"/>
        </w:rPr>
        <w:t>informe de justificación</w:t>
      </w:r>
      <w:r w:rsidRPr="00F86869">
        <w:rPr>
          <w:rFonts w:ascii="Palatino Linotype" w:eastAsia="Palatino Linotype" w:hAnsi="Palatino Linotype" w:cs="Palatino Linotype"/>
          <w:color w:val="000000"/>
        </w:rPr>
        <w:t xml:space="preserve"> </w:t>
      </w:r>
      <w:r w:rsidRPr="00F86869">
        <w:rPr>
          <w:rFonts w:ascii="Palatino Linotype" w:eastAsia="Palatino Linotype" w:hAnsi="Palatino Linotype" w:cs="Palatino Linotype"/>
          <w:b/>
          <w:color w:val="000000"/>
          <w:u w:val="single"/>
        </w:rPr>
        <w:t>dentro de los siete días</w:t>
      </w:r>
      <w:r w:rsidRPr="00F86869">
        <w:rPr>
          <w:rFonts w:ascii="Palatino Linotype" w:eastAsia="Palatino Linotype" w:hAnsi="Palatino Linotype" w:cs="Palatino Linotype"/>
          <w:color w:val="000000"/>
        </w:rPr>
        <w:t xml:space="preserve"> previstos para manifestar lo que a su derecho convenga, lo anterior también puede ocurrir si entrega la información después de ese lapso, pero antes del cierre de instrucción. </w:t>
      </w:r>
    </w:p>
    <w:p w14:paraId="62047086" w14:textId="77777777" w:rsidR="00CA6477" w:rsidRPr="00F86869" w:rsidRDefault="00CA6477" w:rsidP="00CA6477">
      <w:pPr>
        <w:pBdr>
          <w:top w:val="nil"/>
          <w:left w:val="nil"/>
          <w:bottom w:val="nil"/>
          <w:right w:val="nil"/>
          <w:between w:val="nil"/>
        </w:pBdr>
        <w:ind w:left="720"/>
        <w:rPr>
          <w:rFonts w:ascii="Palatino Linotype" w:eastAsia="Palatino Linotype" w:hAnsi="Palatino Linotype" w:cs="Palatino Linotype"/>
          <w:color w:val="000000"/>
        </w:rPr>
      </w:pPr>
    </w:p>
    <w:p w14:paraId="5F5DABB4" w14:textId="77777777" w:rsidR="00CA6477" w:rsidRPr="00F86869" w:rsidRDefault="00CA6477" w:rsidP="00CA647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Este Pleno advierte que el </w:t>
      </w:r>
      <w:r w:rsidRPr="00F86869">
        <w:rPr>
          <w:rFonts w:ascii="Palatino Linotype" w:eastAsia="Palatino Linotype" w:hAnsi="Palatino Linotype" w:cs="Palatino Linotype"/>
          <w:b/>
          <w:color w:val="000000"/>
        </w:rPr>
        <w:t>SUJETO OBLIGADO</w:t>
      </w:r>
      <w:r w:rsidRPr="00F86869">
        <w:rPr>
          <w:rFonts w:ascii="Palatino Linotype" w:eastAsia="Palatino Linotype" w:hAnsi="Palatino Linotype" w:cs="Palatino Linotype"/>
          <w:color w:val="000000"/>
        </w:rPr>
        <w:t xml:space="preserve"> con la información enviada, </w:t>
      </w:r>
      <w:r w:rsidRPr="00F86869">
        <w:rPr>
          <w:rFonts w:ascii="Palatino Linotype" w:eastAsia="Palatino Linotype" w:hAnsi="Palatino Linotype" w:cs="Palatino Linotype"/>
          <w:b/>
          <w:color w:val="000000"/>
        </w:rPr>
        <w:t>modifica</w:t>
      </w:r>
      <w:r w:rsidRPr="00F86869">
        <w:rPr>
          <w:rFonts w:ascii="Palatino Linotype" w:eastAsia="Palatino Linotype" w:hAnsi="Palatino Linotype" w:cs="Palatino Linotype"/>
          <w:color w:val="000000"/>
        </w:rPr>
        <w:t xml:space="preserve"> </w:t>
      </w:r>
      <w:r w:rsidRPr="00F86869">
        <w:rPr>
          <w:rFonts w:ascii="Palatino Linotype" w:eastAsia="Palatino Linotype" w:hAnsi="Palatino Linotype" w:cs="Palatino Linotype"/>
          <w:color w:val="000000"/>
          <w:u w:val="single"/>
        </w:rPr>
        <w:t>el acto que le dio origen al recurso de revisión, por lo que trae como consecuencia que el mismo quede sin materia</w:t>
      </w:r>
      <w:r w:rsidRPr="00F86869">
        <w:rPr>
          <w:rFonts w:ascii="Palatino Linotype" w:eastAsia="Palatino Linotype" w:hAnsi="Palatino Linotype" w:cs="Palatino Linotype"/>
          <w:color w:val="000000"/>
        </w:rPr>
        <w:t xml:space="preserve">, actualizándose de este modo, la hipótesis jurídica contenida en la </w:t>
      </w:r>
      <w:r w:rsidRPr="00F86869">
        <w:rPr>
          <w:rFonts w:ascii="Palatino Linotype" w:eastAsia="Palatino Linotype" w:hAnsi="Palatino Linotype" w:cs="Palatino Linotype"/>
          <w:b/>
          <w:color w:val="000000"/>
        </w:rPr>
        <w:t>fracción III</w:t>
      </w:r>
      <w:r w:rsidRPr="00F86869">
        <w:rPr>
          <w:rFonts w:ascii="Palatino Linotype" w:eastAsia="Palatino Linotype" w:hAnsi="Palatino Linotype" w:cs="Palatino Linotype"/>
          <w:color w:val="000000"/>
        </w:rPr>
        <w:t xml:space="preserve"> del citado artículo </w:t>
      </w:r>
      <w:r w:rsidRPr="00F86869">
        <w:rPr>
          <w:rFonts w:ascii="Palatino Linotype" w:eastAsia="Palatino Linotype" w:hAnsi="Palatino Linotype" w:cs="Palatino Linotype"/>
          <w:b/>
          <w:color w:val="000000"/>
        </w:rPr>
        <w:t>192</w:t>
      </w:r>
      <w:r w:rsidRPr="00F86869">
        <w:rPr>
          <w:rFonts w:ascii="Palatino Linotype" w:eastAsia="Palatino Linotype" w:hAnsi="Palatino Linotype" w:cs="Palatino Linotype"/>
          <w:color w:val="000000"/>
        </w:rPr>
        <w:t>.</w:t>
      </w:r>
    </w:p>
    <w:p w14:paraId="27910F3B" w14:textId="77777777" w:rsidR="00CA6477" w:rsidRPr="00F86869" w:rsidRDefault="00CA6477" w:rsidP="00CA647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302010F" w14:textId="77777777" w:rsidR="00CA6477" w:rsidRPr="00F86869" w:rsidRDefault="00CA6477" w:rsidP="00CA647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Así, siendo el </w:t>
      </w:r>
      <w:r w:rsidRPr="00F86869">
        <w:rPr>
          <w:rFonts w:ascii="Palatino Linotype" w:eastAsia="Palatino Linotype" w:hAnsi="Palatino Linotype" w:cs="Palatino Linotype"/>
          <w:i/>
          <w:color w:val="000000"/>
        </w:rPr>
        <w:t>sobreseimiento</w:t>
      </w:r>
      <w:r w:rsidRPr="00F86869">
        <w:rPr>
          <w:rFonts w:ascii="Palatino Linotype" w:eastAsia="Palatino Linotype" w:hAnsi="Palatino Linotype" w:cs="Palatino Linotype"/>
          <w:color w:val="000000"/>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F86869">
        <w:rPr>
          <w:rFonts w:ascii="Palatino Linotype" w:eastAsia="Palatino Linotype" w:hAnsi="Palatino Linotype" w:cs="Palatino Linotype"/>
          <w:b/>
          <w:color w:val="000000"/>
        </w:rPr>
        <w:t>SOBRESEIMIENTO, NO PERMITE ENTRAR AL ESTUDIO DE LAS CUESTIONES DE FONDO</w:t>
      </w:r>
    </w:p>
    <w:p w14:paraId="7EEF5FE2" w14:textId="77777777" w:rsidR="00CA6477" w:rsidRPr="00F86869" w:rsidRDefault="00CA6477" w:rsidP="00CA6477">
      <w:pPr>
        <w:pBdr>
          <w:top w:val="nil"/>
          <w:left w:val="nil"/>
          <w:bottom w:val="nil"/>
          <w:right w:val="nil"/>
          <w:between w:val="nil"/>
        </w:pBdr>
        <w:ind w:left="720"/>
        <w:rPr>
          <w:rFonts w:ascii="Palatino Linotype" w:eastAsia="Palatino Linotype" w:hAnsi="Palatino Linotype" w:cs="Palatino Linotype"/>
          <w:color w:val="000000"/>
        </w:rPr>
      </w:pPr>
    </w:p>
    <w:p w14:paraId="403E4D3A" w14:textId="77777777" w:rsidR="00CA6477" w:rsidRPr="00F86869" w:rsidRDefault="00CA6477" w:rsidP="00CA647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F86869">
        <w:rPr>
          <w:rFonts w:ascii="Palatino Linotype" w:eastAsia="Palatino Linotype" w:hAnsi="Palatino Linotype" w:cs="Palatino Linotype"/>
          <w:color w:val="000000"/>
        </w:rPr>
        <w:t xml:space="preserve">Por lo tanto, en términos del artículo 186 fracción I este Pleno determina el </w:t>
      </w:r>
      <w:r w:rsidRPr="00F86869">
        <w:rPr>
          <w:rFonts w:ascii="Palatino Linotype" w:eastAsia="Palatino Linotype" w:hAnsi="Palatino Linotype" w:cs="Palatino Linotype"/>
          <w:b/>
          <w:color w:val="000000"/>
        </w:rPr>
        <w:t xml:space="preserve">SOBRESEIMIENTO </w:t>
      </w:r>
      <w:r w:rsidRPr="00F86869">
        <w:rPr>
          <w:rFonts w:ascii="Palatino Linotype" w:eastAsia="Palatino Linotype" w:hAnsi="Palatino Linotype" w:cs="Palatino Linotype"/>
          <w:color w:val="000000"/>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14:paraId="312578AC" w14:textId="77777777" w:rsidR="00BC21BF" w:rsidRPr="00F86869" w:rsidRDefault="00BC21BF">
      <w:pPr>
        <w:spacing w:line="360" w:lineRule="auto"/>
        <w:jc w:val="both"/>
        <w:rPr>
          <w:rFonts w:ascii="Palatino Linotype" w:eastAsia="Palatino Linotype" w:hAnsi="Palatino Linotype" w:cs="Palatino Linotype"/>
          <w:color w:val="000000"/>
        </w:rPr>
      </w:pPr>
    </w:p>
    <w:p w14:paraId="059326B8" w14:textId="77777777" w:rsidR="00BC21BF" w:rsidRPr="00F86869" w:rsidRDefault="00334506">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9411836" w14:textId="77777777" w:rsidR="00BC21BF" w:rsidRPr="00F86869" w:rsidRDefault="00551038">
      <w:pPr>
        <w:widowControl w:val="0"/>
        <w:numPr>
          <w:ilvl w:val="0"/>
          <w:numId w:val="5"/>
        </w:numPr>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sidRPr="00F86869">
        <w:rPr>
          <w:rFonts w:ascii="Palatino Linotype" w:eastAsia="Palatino Linotype" w:hAnsi="Palatino Linotype" w:cs="Palatino Linotype"/>
          <w:b/>
          <w:color w:val="000000"/>
        </w:rPr>
        <w:t xml:space="preserve"> </w:t>
      </w:r>
      <w:r w:rsidR="00334506" w:rsidRPr="00F86869">
        <w:rPr>
          <w:rFonts w:ascii="Palatino Linotype" w:eastAsia="Palatino Linotype" w:hAnsi="Palatino Linotype" w:cs="Palatino Linotype"/>
          <w:b/>
          <w:color w:val="000000"/>
        </w:rPr>
        <w:t>R E S U E L V E:</w:t>
      </w:r>
    </w:p>
    <w:p w14:paraId="514AD8BC" w14:textId="77777777" w:rsidR="00CA6477" w:rsidRPr="00F86869" w:rsidRDefault="00CA6477" w:rsidP="00F517FE">
      <w:pPr>
        <w:spacing w:before="240" w:after="240" w:line="360" w:lineRule="auto"/>
        <w:jc w:val="both"/>
        <w:rPr>
          <w:rFonts w:ascii="Palatino Linotype" w:eastAsia="Palatino Linotype" w:hAnsi="Palatino Linotype" w:cs="Palatino Linotype"/>
          <w:b/>
        </w:rPr>
      </w:pPr>
      <w:r w:rsidRPr="00F86869">
        <w:rPr>
          <w:rFonts w:ascii="Palatino Linotype" w:eastAsia="Palatino Linotype" w:hAnsi="Palatino Linotype" w:cs="Palatino Linotype"/>
          <w:b/>
        </w:rPr>
        <w:t xml:space="preserve">PRIMERO. </w:t>
      </w:r>
      <w:r w:rsidRPr="00F86869">
        <w:rPr>
          <w:rFonts w:ascii="Palatino Linotype" w:eastAsia="Palatino Linotype" w:hAnsi="Palatino Linotype" w:cs="Palatino Linotype"/>
        </w:rPr>
        <w:t xml:space="preserve">Se </w:t>
      </w:r>
      <w:r w:rsidRPr="00F86869">
        <w:rPr>
          <w:rFonts w:ascii="Palatino Linotype" w:eastAsia="Palatino Linotype" w:hAnsi="Palatino Linotype" w:cs="Palatino Linotype"/>
          <w:b/>
        </w:rPr>
        <w:t>SOBRESEE</w:t>
      </w:r>
      <w:r w:rsidRPr="00F86869">
        <w:rPr>
          <w:rFonts w:ascii="Palatino Linotype" w:eastAsia="Palatino Linotype" w:hAnsi="Palatino Linotype" w:cs="Palatino Linotype"/>
        </w:rPr>
        <w:t xml:space="preserve"> el recurso de revisión número </w:t>
      </w:r>
      <w:r w:rsidRPr="00F86869">
        <w:rPr>
          <w:rFonts w:ascii="Palatino Linotype" w:eastAsia="Palatino Linotype" w:hAnsi="Palatino Linotype" w:cs="Palatino Linotype"/>
          <w:b/>
        </w:rPr>
        <w:t>0</w:t>
      </w:r>
      <w:r w:rsidR="00F517FE" w:rsidRPr="00F86869">
        <w:rPr>
          <w:rFonts w:ascii="Palatino Linotype" w:eastAsia="Palatino Linotype" w:hAnsi="Palatino Linotype" w:cs="Palatino Linotype"/>
          <w:b/>
        </w:rPr>
        <w:t>5209</w:t>
      </w:r>
      <w:r w:rsidRPr="00F86869">
        <w:rPr>
          <w:rFonts w:ascii="Palatino Linotype" w:eastAsia="Palatino Linotype" w:hAnsi="Palatino Linotype" w:cs="Palatino Linotype"/>
          <w:b/>
        </w:rPr>
        <w:t>/INFOEM/IP/RR/2022,</w:t>
      </w:r>
      <w:r w:rsidRPr="00F86869">
        <w:rPr>
          <w:rFonts w:ascii="Palatino Linotype" w:eastAsia="Palatino Linotype" w:hAnsi="Palatino Linotype" w:cs="Palatino Linotype"/>
        </w:rPr>
        <w:t xml:space="preserve"> de conformidad con lo dispuesto en la fracción III del artículo 192 de la Ley de Transparencia de la Entidad, porque al modificar la respuesta a la solicitud de acceso a la información </w:t>
      </w:r>
      <w:r w:rsidR="00F517FE" w:rsidRPr="00F86869">
        <w:rPr>
          <w:rFonts w:ascii="Palatino Linotype" w:eastAsia="Palatino Linotype" w:hAnsi="Palatino Linotype" w:cs="Palatino Linotype"/>
          <w:b/>
        </w:rPr>
        <w:t>00632</w:t>
      </w:r>
      <w:r w:rsidRPr="00F86869">
        <w:rPr>
          <w:rFonts w:ascii="Palatino Linotype" w:eastAsia="Palatino Linotype" w:hAnsi="Palatino Linotype" w:cs="Palatino Linotype"/>
          <w:b/>
        </w:rPr>
        <w:t>/</w:t>
      </w:r>
      <w:r w:rsidR="00F517FE" w:rsidRPr="00F86869">
        <w:rPr>
          <w:rFonts w:ascii="Palatino Linotype" w:eastAsia="Palatino Linotype" w:hAnsi="Palatino Linotype" w:cs="Palatino Linotype"/>
          <w:b/>
        </w:rPr>
        <w:t>TOLUCA</w:t>
      </w:r>
      <w:r w:rsidRPr="00F86869">
        <w:rPr>
          <w:rFonts w:ascii="Palatino Linotype" w:eastAsia="Palatino Linotype" w:hAnsi="Palatino Linotype" w:cs="Palatino Linotype"/>
          <w:b/>
        </w:rPr>
        <w:t>/IP/2022</w:t>
      </w:r>
      <w:r w:rsidRPr="00F86869">
        <w:rPr>
          <w:rFonts w:ascii="Palatino Linotype" w:eastAsia="Palatino Linotype" w:hAnsi="Palatino Linotype" w:cs="Palatino Linotype"/>
        </w:rPr>
        <w:t xml:space="preserve"> el recurso de revisión quedó sin materia en términos del Considerando Tercero de la presente resolución</w:t>
      </w:r>
      <w:r w:rsidRPr="00F86869">
        <w:rPr>
          <w:rFonts w:ascii="Palatino Linotype" w:eastAsia="Palatino Linotype" w:hAnsi="Palatino Linotype" w:cs="Palatino Linotype"/>
          <w:b/>
        </w:rPr>
        <w:t>.</w:t>
      </w:r>
    </w:p>
    <w:p w14:paraId="3F698DB9" w14:textId="77777777" w:rsidR="00CA6477" w:rsidRPr="00F86869" w:rsidRDefault="00CA6477" w:rsidP="00F517FE">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SEGUNDO. Notifíquese vía SAIMEX</w:t>
      </w:r>
      <w:r w:rsidRPr="00F86869">
        <w:rPr>
          <w:rFonts w:ascii="Palatino Linotype" w:eastAsia="Palatino Linotype" w:hAnsi="Palatino Linotype" w:cs="Palatino Linotype"/>
          <w:b/>
          <w:i/>
        </w:rPr>
        <w:t xml:space="preserve">, </w:t>
      </w:r>
      <w:r w:rsidRPr="00F86869">
        <w:rPr>
          <w:rFonts w:ascii="Palatino Linotype" w:eastAsia="Palatino Linotype" w:hAnsi="Palatino Linotype" w:cs="Palatino Linotype"/>
        </w:rPr>
        <w:t xml:space="preserve">al Titular de la Unidad de Transparencia del </w:t>
      </w:r>
      <w:r w:rsidR="005D1552" w:rsidRPr="00F86869">
        <w:rPr>
          <w:rFonts w:ascii="Palatino Linotype" w:eastAsia="Palatino Linotype" w:hAnsi="Palatino Linotype" w:cs="Palatino Linotype"/>
          <w:b/>
        </w:rPr>
        <w:t>SUJETO OBLIGADO</w:t>
      </w:r>
      <w:r w:rsidR="005D1552" w:rsidRPr="00F86869">
        <w:rPr>
          <w:rFonts w:ascii="Palatino Linotype" w:eastAsia="Palatino Linotype" w:hAnsi="Palatino Linotype" w:cs="Palatino Linotype"/>
        </w:rPr>
        <w:t xml:space="preserve"> </w:t>
      </w:r>
      <w:r w:rsidRPr="00F86869">
        <w:rPr>
          <w:rFonts w:ascii="Palatino Linotype" w:eastAsia="Palatino Linotype" w:hAnsi="Palatino Linotype" w:cs="Palatino Linotype"/>
        </w:rPr>
        <w:t xml:space="preserve">la presente resolución, para su conocimiento. </w:t>
      </w:r>
    </w:p>
    <w:p w14:paraId="4F6EBB7C" w14:textId="77777777" w:rsidR="00CA6477" w:rsidRDefault="00CA6477" w:rsidP="00F517FE">
      <w:pPr>
        <w:spacing w:before="240" w:after="240" w:line="360" w:lineRule="auto"/>
        <w:jc w:val="both"/>
        <w:rPr>
          <w:rFonts w:ascii="Palatino Linotype" w:eastAsia="Palatino Linotype" w:hAnsi="Palatino Linotype" w:cs="Palatino Linotype"/>
        </w:rPr>
      </w:pPr>
      <w:r w:rsidRPr="00F86869">
        <w:rPr>
          <w:rFonts w:ascii="Palatino Linotype" w:eastAsia="Palatino Linotype" w:hAnsi="Palatino Linotype" w:cs="Palatino Linotype"/>
          <w:b/>
        </w:rPr>
        <w:t>TERCERO</w:t>
      </w:r>
      <w:r w:rsidRPr="00F86869">
        <w:rPr>
          <w:rFonts w:ascii="Palatino Linotype" w:eastAsia="Palatino Linotype" w:hAnsi="Palatino Linotype" w:cs="Palatino Linotype"/>
          <w:b/>
          <w:sz w:val="28"/>
          <w:szCs w:val="28"/>
        </w:rPr>
        <w:t>.</w:t>
      </w:r>
      <w:r w:rsidRPr="00F86869">
        <w:rPr>
          <w:rFonts w:ascii="Palatino Linotype" w:eastAsia="Palatino Linotype" w:hAnsi="Palatino Linotype" w:cs="Palatino Linotype"/>
          <w:b/>
        </w:rPr>
        <w:t xml:space="preserve">  Notifíquese </w:t>
      </w:r>
      <w:r w:rsidRPr="00F86869">
        <w:rPr>
          <w:rFonts w:ascii="Palatino Linotype" w:eastAsia="Palatino Linotype" w:hAnsi="Palatino Linotype" w:cs="Palatino Linotype"/>
        </w:rPr>
        <w:t xml:space="preserve">al </w:t>
      </w:r>
      <w:r w:rsidRPr="00F86869">
        <w:rPr>
          <w:rFonts w:ascii="Palatino Linotype" w:eastAsia="Palatino Linotype" w:hAnsi="Palatino Linotype" w:cs="Palatino Linotype"/>
          <w:b/>
        </w:rPr>
        <w:t>RECURRENTE,</w:t>
      </w:r>
      <w:r w:rsidRPr="00F86869">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61B769C" w14:textId="77777777" w:rsidR="00F86869" w:rsidRDefault="00F86869" w:rsidP="00F517FE">
      <w:pPr>
        <w:spacing w:before="240" w:after="240" w:line="360" w:lineRule="auto"/>
        <w:jc w:val="both"/>
        <w:rPr>
          <w:rFonts w:ascii="Palatino Linotype" w:eastAsia="Palatino Linotype" w:hAnsi="Palatino Linotype" w:cs="Palatino Linotype"/>
        </w:rPr>
      </w:pPr>
    </w:p>
    <w:p w14:paraId="46A23476" w14:textId="77777777" w:rsidR="00F86869" w:rsidRPr="00F86869" w:rsidRDefault="00F86869" w:rsidP="00F517FE">
      <w:pPr>
        <w:spacing w:before="240" w:after="240" w:line="360" w:lineRule="auto"/>
        <w:jc w:val="both"/>
        <w:rPr>
          <w:rFonts w:ascii="Palatino Linotype" w:eastAsia="Palatino Linotype" w:hAnsi="Palatino Linotype" w:cs="Palatino Linotype"/>
        </w:rPr>
      </w:pPr>
    </w:p>
    <w:p w14:paraId="57C35B06" w14:textId="77777777" w:rsidR="00BC21BF" w:rsidRDefault="00334506">
      <w:pPr>
        <w:spacing w:before="240" w:after="240" w:line="360" w:lineRule="auto"/>
        <w:jc w:val="both"/>
        <w:rPr>
          <w:rFonts w:ascii="Palatino Linotype" w:eastAsia="Palatino Linotype" w:hAnsi="Palatino Linotype" w:cs="Palatino Linotype"/>
        </w:rPr>
        <w:sectPr w:rsidR="00BC21BF">
          <w:headerReference w:type="default" r:id="rId24"/>
          <w:footerReference w:type="default" r:id="rId25"/>
          <w:headerReference w:type="first" r:id="rId26"/>
          <w:footerReference w:type="first" r:id="rId27"/>
          <w:pgSz w:w="12240" w:h="15840"/>
          <w:pgMar w:top="1417" w:right="1701" w:bottom="1417" w:left="1701" w:header="709" w:footer="709" w:gutter="0"/>
          <w:pgNumType w:start="1"/>
          <w:cols w:space="720"/>
          <w:titlePg/>
        </w:sectPr>
      </w:pPr>
      <w:r w:rsidRPr="00F86869">
        <w:rPr>
          <w:rFonts w:ascii="Palatino Linotype" w:eastAsia="Palatino Linotype" w:hAnsi="Palatino Linotype" w:cs="Palatino Linotype"/>
          <w:color w:val="2222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750429" w:rsidRPr="00F86869">
        <w:rPr>
          <w:rFonts w:ascii="Palatino Linotype" w:eastAsia="Palatino Linotype" w:hAnsi="Palatino Linotype" w:cs="Palatino Linotype"/>
          <w:color w:val="222222"/>
        </w:rPr>
        <w:t>NOVENA</w:t>
      </w:r>
      <w:r w:rsidRPr="00F86869">
        <w:rPr>
          <w:rFonts w:ascii="Palatino Linotype" w:eastAsia="Palatino Linotype" w:hAnsi="Palatino Linotype" w:cs="Palatino Linotype"/>
          <w:color w:val="222222"/>
        </w:rPr>
        <w:t xml:space="preserve"> SE</w:t>
      </w:r>
      <w:r w:rsidR="00750429" w:rsidRPr="00F86869">
        <w:rPr>
          <w:rFonts w:ascii="Palatino Linotype" w:eastAsia="Palatino Linotype" w:hAnsi="Palatino Linotype" w:cs="Palatino Linotype"/>
          <w:color w:val="222222"/>
        </w:rPr>
        <w:t>SIÓN ORDINARIA CELEBRADA EL DIECISIETE</w:t>
      </w:r>
      <w:r w:rsidRPr="00F86869">
        <w:rPr>
          <w:rFonts w:ascii="Palatino Linotype" w:eastAsia="Palatino Linotype" w:hAnsi="Palatino Linotype" w:cs="Palatino Linotype"/>
        </w:rPr>
        <w:t xml:space="preserve"> DE AGOSTO DE DOS MIL VEINTIDÓS, ANTE EL SECRETARIO TÉCNICO DEL PLENO ALEXIS TAPIA RAMÍREZ.</w:t>
      </w:r>
    </w:p>
    <w:p w14:paraId="7C87CBF1" w14:textId="77777777" w:rsidR="00BC21BF" w:rsidRDefault="00BC21BF">
      <w:pPr>
        <w:spacing w:before="240" w:after="240" w:line="360" w:lineRule="auto"/>
        <w:jc w:val="both"/>
        <w:rPr>
          <w:rFonts w:ascii="Palatino Linotype" w:eastAsia="Palatino Linotype" w:hAnsi="Palatino Linotype" w:cs="Palatino Linotype"/>
        </w:rPr>
      </w:pPr>
    </w:p>
    <w:p w14:paraId="00A7E9CB" w14:textId="77777777" w:rsidR="00BC21BF" w:rsidRDefault="00BC21BF">
      <w:pPr>
        <w:spacing w:before="240" w:after="240" w:line="360" w:lineRule="auto"/>
        <w:jc w:val="both"/>
        <w:rPr>
          <w:rFonts w:ascii="Palatino Linotype" w:eastAsia="Palatino Linotype" w:hAnsi="Palatino Linotype" w:cs="Palatino Linotype"/>
        </w:rPr>
      </w:pPr>
    </w:p>
    <w:p w14:paraId="44C0D35B" w14:textId="77777777" w:rsidR="00BC21BF" w:rsidRDefault="00BC21BF">
      <w:pPr>
        <w:spacing w:before="240" w:after="240" w:line="360" w:lineRule="auto"/>
        <w:jc w:val="both"/>
        <w:rPr>
          <w:rFonts w:ascii="Palatino Linotype" w:eastAsia="Palatino Linotype" w:hAnsi="Palatino Linotype" w:cs="Palatino Linotype"/>
        </w:rPr>
      </w:pPr>
    </w:p>
    <w:sectPr w:rsidR="00BC21BF">
      <w:headerReference w:type="first" r:id="rId28"/>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F1F7A" w14:textId="77777777" w:rsidR="00944E9D" w:rsidRDefault="00944E9D">
      <w:r>
        <w:separator/>
      </w:r>
    </w:p>
  </w:endnote>
  <w:endnote w:type="continuationSeparator" w:id="0">
    <w:p w14:paraId="31292C39" w14:textId="77777777" w:rsidR="00944E9D" w:rsidRDefault="00944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4D5C6" w14:textId="77777777" w:rsidR="00BC21BF" w:rsidRDefault="0033450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2BD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2BDC">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3529C2A7" w14:textId="77777777" w:rsidR="00BC21BF" w:rsidRDefault="00BC21B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CC56C" w14:textId="77777777" w:rsidR="00BC21BF" w:rsidRDefault="0033450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B2BD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B2BDC">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08FE9FC6" w14:textId="77777777" w:rsidR="00BC21BF" w:rsidRDefault="00BC21B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0E28F" w14:textId="77777777" w:rsidR="00944E9D" w:rsidRDefault="00944E9D">
      <w:r>
        <w:separator/>
      </w:r>
    </w:p>
  </w:footnote>
  <w:footnote w:type="continuationSeparator" w:id="0">
    <w:p w14:paraId="24BC774A" w14:textId="77777777" w:rsidR="00944E9D" w:rsidRDefault="00944E9D">
      <w:r>
        <w:continuationSeparator/>
      </w:r>
    </w:p>
  </w:footnote>
  <w:footnote w:id="1">
    <w:p w14:paraId="7A18A0D5" w14:textId="77777777" w:rsidR="00BC21BF" w:rsidRDefault="003345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0D1C4" w14:textId="77777777" w:rsidR="00BC21BF" w:rsidRDefault="0033450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23E78FFE" wp14:editId="058BC3DE">
          <wp:simplePos x="0" y="0"/>
          <wp:positionH relativeFrom="column">
            <wp:posOffset>-665858</wp:posOffset>
          </wp:positionH>
          <wp:positionV relativeFrom="paragraph">
            <wp:posOffset>-453614</wp:posOffset>
          </wp:positionV>
          <wp:extent cx="7635600" cy="9943200"/>
          <wp:effectExtent l="0" t="0" r="0" b="0"/>
          <wp:wrapNone/>
          <wp:docPr id="5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BC21BF" w14:paraId="248D77FF" w14:textId="77777777">
      <w:tc>
        <w:tcPr>
          <w:tcW w:w="2551" w:type="dxa"/>
          <w:vAlign w:val="center"/>
        </w:tcPr>
        <w:p w14:paraId="1BDC06E0" w14:textId="77777777" w:rsidR="00BC21BF" w:rsidRDefault="0033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3007B77" w14:textId="77777777" w:rsidR="00BC21BF" w:rsidRDefault="0033450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05209/INFOEM/IP/RR/2022. </w:t>
          </w:r>
        </w:p>
      </w:tc>
    </w:tr>
    <w:tr w:rsidR="00BC21BF" w14:paraId="5468881C" w14:textId="77777777">
      <w:trPr>
        <w:trHeight w:val="228"/>
      </w:trPr>
      <w:tc>
        <w:tcPr>
          <w:tcW w:w="2551" w:type="dxa"/>
          <w:vAlign w:val="center"/>
        </w:tcPr>
        <w:p w14:paraId="62413D76" w14:textId="77777777" w:rsidR="00BC21BF" w:rsidRDefault="0033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7BDFD12C" w14:textId="77777777" w:rsidR="00BC21BF" w:rsidRDefault="0033450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C21BF" w14:paraId="0802613B" w14:textId="77777777">
      <w:tc>
        <w:tcPr>
          <w:tcW w:w="2551" w:type="dxa"/>
          <w:vAlign w:val="center"/>
        </w:tcPr>
        <w:p w14:paraId="493A6F37" w14:textId="77777777" w:rsidR="00BC21BF" w:rsidRDefault="0033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1C97109" w14:textId="77777777" w:rsidR="00BC21BF" w:rsidRDefault="0033450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58CAAE" w14:textId="77777777" w:rsidR="00BC21BF" w:rsidRDefault="00BC21B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1CF3F" w14:textId="77777777" w:rsidR="00BC21BF" w:rsidRDefault="00334506">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5DE5BECA" wp14:editId="51D52C7D">
          <wp:simplePos x="0" y="0"/>
          <wp:positionH relativeFrom="column">
            <wp:posOffset>-680311</wp:posOffset>
          </wp:positionH>
          <wp:positionV relativeFrom="paragraph">
            <wp:posOffset>-168882</wp:posOffset>
          </wp:positionV>
          <wp:extent cx="7635600" cy="9943200"/>
          <wp:effectExtent l="0" t="0" r="0" b="0"/>
          <wp:wrapNone/>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5812" w:type="dxa"/>
      <w:tblInd w:w="3119" w:type="dxa"/>
      <w:tblLayout w:type="fixed"/>
      <w:tblLook w:val="0400" w:firstRow="0" w:lastRow="0" w:firstColumn="0" w:lastColumn="0" w:noHBand="0" w:noVBand="1"/>
    </w:tblPr>
    <w:tblGrid>
      <w:gridCol w:w="2551"/>
      <w:gridCol w:w="3261"/>
    </w:tblGrid>
    <w:tr w:rsidR="00BC21BF" w14:paraId="68FB4C7A" w14:textId="77777777">
      <w:tc>
        <w:tcPr>
          <w:tcW w:w="2551" w:type="dxa"/>
          <w:vAlign w:val="center"/>
        </w:tcPr>
        <w:p w14:paraId="56F8A3B7" w14:textId="77777777" w:rsidR="00BC21BF" w:rsidRDefault="0033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1BAD78AD" w14:textId="77777777" w:rsidR="00BC21BF" w:rsidRDefault="0033450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05209/INFOEM/IP/RR/2022. </w:t>
          </w:r>
        </w:p>
      </w:tc>
    </w:tr>
    <w:tr w:rsidR="00BC21BF" w14:paraId="6EAF73C3" w14:textId="77777777">
      <w:tc>
        <w:tcPr>
          <w:tcW w:w="2551" w:type="dxa"/>
          <w:vAlign w:val="center"/>
        </w:tcPr>
        <w:p w14:paraId="0BB1D70A" w14:textId="77777777" w:rsidR="00BC21BF" w:rsidRDefault="0033450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409351A1" w14:textId="77777777" w:rsidR="00BC21BF" w:rsidRDefault="00BC21BF">
          <w:pPr>
            <w:jc w:val="both"/>
            <w:rPr>
              <w:rFonts w:ascii="Palatino Linotype" w:eastAsia="Palatino Linotype" w:hAnsi="Palatino Linotype" w:cs="Palatino Linotype"/>
              <w:b/>
              <w:sz w:val="22"/>
              <w:szCs w:val="22"/>
            </w:rPr>
          </w:pPr>
        </w:p>
      </w:tc>
    </w:tr>
    <w:tr w:rsidR="00BC21BF" w14:paraId="460BE1E6" w14:textId="77777777">
      <w:trPr>
        <w:trHeight w:val="228"/>
      </w:trPr>
      <w:tc>
        <w:tcPr>
          <w:tcW w:w="2551" w:type="dxa"/>
          <w:vAlign w:val="center"/>
        </w:tcPr>
        <w:p w14:paraId="5BF8FDB8" w14:textId="77777777" w:rsidR="00BC21BF" w:rsidRDefault="0033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7A2A5BAC" w14:textId="77777777" w:rsidR="00BC21BF" w:rsidRDefault="0033450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C21BF" w14:paraId="498DCCDF" w14:textId="77777777">
      <w:tc>
        <w:tcPr>
          <w:tcW w:w="2551" w:type="dxa"/>
          <w:vAlign w:val="center"/>
        </w:tcPr>
        <w:p w14:paraId="50E61DAE" w14:textId="77777777" w:rsidR="00BC21BF" w:rsidRDefault="0033450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270D6FFC" w14:textId="77777777" w:rsidR="00BC21BF" w:rsidRDefault="0033450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F954EF" w14:textId="77777777" w:rsidR="00BC21BF" w:rsidRDefault="00BC21BF">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FFC7B" w14:textId="77777777" w:rsidR="00BC21BF" w:rsidRDefault="00BC21BF">
    <w:pPr>
      <w:pBdr>
        <w:top w:val="nil"/>
        <w:left w:val="nil"/>
        <w:bottom w:val="nil"/>
        <w:right w:val="nil"/>
        <w:between w:val="nil"/>
      </w:pBdr>
      <w:tabs>
        <w:tab w:val="center" w:pos="4419"/>
        <w:tab w:val="right" w:pos="8838"/>
      </w:tabs>
      <w:jc w:val="both"/>
      <w:rPr>
        <w:color w:val="000000"/>
      </w:rPr>
    </w:pPr>
  </w:p>
  <w:p w14:paraId="47D5E562" w14:textId="77777777" w:rsidR="00BC21BF" w:rsidRDefault="00BC21B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BF1F69"/>
    <w:multiLevelType w:val="multilevel"/>
    <w:tmpl w:val="59D014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217511F"/>
    <w:multiLevelType w:val="multilevel"/>
    <w:tmpl w:val="AC26B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0144D9"/>
    <w:multiLevelType w:val="multilevel"/>
    <w:tmpl w:val="D72407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2C7C8D"/>
    <w:multiLevelType w:val="multilevel"/>
    <w:tmpl w:val="DE0C30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8204F6"/>
    <w:multiLevelType w:val="multilevel"/>
    <w:tmpl w:val="0A2CB16A"/>
    <w:lvl w:ilvl="0">
      <w:start w:val="8"/>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1BF"/>
    <w:rsid w:val="00294A8E"/>
    <w:rsid w:val="00334506"/>
    <w:rsid w:val="00384B4D"/>
    <w:rsid w:val="00475460"/>
    <w:rsid w:val="00551038"/>
    <w:rsid w:val="005D1552"/>
    <w:rsid w:val="006B2BDC"/>
    <w:rsid w:val="00750429"/>
    <w:rsid w:val="00784A20"/>
    <w:rsid w:val="00792287"/>
    <w:rsid w:val="009367A9"/>
    <w:rsid w:val="00944E9D"/>
    <w:rsid w:val="009A604F"/>
    <w:rsid w:val="00AB0D5E"/>
    <w:rsid w:val="00B14288"/>
    <w:rsid w:val="00BC21BF"/>
    <w:rsid w:val="00CA6477"/>
    <w:rsid w:val="00D61924"/>
    <w:rsid w:val="00F503FA"/>
    <w:rsid w:val="00F517FE"/>
    <w:rsid w:val="00F76808"/>
    <w:rsid w:val="00F868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8FBC4"/>
  <w15:docId w15:val="{412E5FA0-815A-434B-90CE-271D4446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4C7173"/>
    <w:rPr>
      <w:color w:val="605E5C"/>
      <w:shd w:val="clear" w:color="auto" w:fill="E1DFDD"/>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377490.page"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ipomex.org.mx/ipo3/lgt/indice/TOLUCA/art_92_i/4.web"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ipomex.org.mx/ipo3/lgt/indice/TOLUCA/art_92_vii.web"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pomex.org.mx/ipo3/lgt/indice/TOLUCA/art_92_i/4.web"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saimex.org.mx/saimex/solicitud/downloadAttach/1377490.page"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saimex.org.mx/saimex/solicitud/downloadAttach/1359683.page" TargetMode="External"/><Relationship Id="rId14" Type="http://schemas.openxmlformats.org/officeDocument/2006/relationships/hyperlink" Target="https://www.ipomex.org.mx/ipo3/lgt/indice/TOLUCA/art_92_xii.web"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IbaZFQoPzQdH+wyM94h96iG9fw==">AMUW2mUFOa6WeZfnEADr3dh2gUhBIJbh/Gcowb4zGIzpeM6Zg2MNtpwda5InPJRLzjGAAo2bSdpd8o+2oiXo2UPg1PmV+D0xWlXY/cpK8Zl22lGafk07wLhQlHLtuAfkWav9u1PdbimtPDFSJuCEpL9gq/USZyRTrg==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1C75B8-C556-4EB7-8944-716D96FF3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5769</Words>
  <Characters>31731</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2022-08-19T15:15:00Z</cp:lastPrinted>
  <dcterms:created xsi:type="dcterms:W3CDTF">2022-09-06T21:34:00Z</dcterms:created>
  <dcterms:modified xsi:type="dcterms:W3CDTF">2022-09-06T21:34:00Z</dcterms:modified>
</cp:coreProperties>
</file>