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C884D0" w14:textId="77777777" w:rsidR="0052657E" w:rsidRDefault="00340731">
      <w:pPr>
        <w:spacing w:line="360" w:lineRule="auto"/>
        <w:jc w:val="both"/>
        <w:rPr>
          <w:rFonts w:ascii="Palatino Linotype" w:eastAsia="Palatino Linotype" w:hAnsi="Palatino Linotype" w:cs="Palatino Linotype"/>
        </w:rPr>
      </w:pPr>
      <w:bookmarkStart w:id="0" w:name="_GoBack"/>
      <w:bookmarkEnd w:id="0"/>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México, a veintiuno de junio del dos mil veintidós.</w:t>
      </w:r>
    </w:p>
    <w:p w14:paraId="689BF56E"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03519/INFOEM/IP/RR/2022</w:t>
      </w:r>
      <w:r>
        <w:rPr>
          <w:rFonts w:ascii="Palatino Linotype" w:eastAsia="Palatino Linotype" w:hAnsi="Palatino Linotype" w:cs="Palatino Linotype"/>
        </w:rPr>
        <w:t>, interpuesto por una persona de manera anónima</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lo sucesivo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Ayuntamiento de Toluca</w:t>
      </w:r>
      <w:r>
        <w:rPr>
          <w:rFonts w:ascii="Palatino Linotype" w:eastAsia="Palatino Linotype" w:hAnsi="Palatino Linotype" w:cs="Palatino Linotype"/>
        </w:rPr>
        <w:t xml:space="preserve">, en lo sucesivo el </w:t>
      </w:r>
      <w:r>
        <w:rPr>
          <w:rFonts w:ascii="Palatino Linotype" w:eastAsia="Palatino Linotype" w:hAnsi="Palatino Linotype" w:cs="Palatino Linotype"/>
          <w:b/>
        </w:rPr>
        <w:t>SUJETO OBLIGADO</w:t>
      </w:r>
      <w:r>
        <w:rPr>
          <w:rFonts w:ascii="Palatino Linotype" w:eastAsia="Palatino Linotype" w:hAnsi="Palatino Linotype" w:cs="Palatino Linotype"/>
        </w:rPr>
        <w:t>, se procede a dictar la presente resolución, con base en los siguientes:</w:t>
      </w:r>
    </w:p>
    <w:p w14:paraId="42235CF2" w14:textId="77777777" w:rsidR="0052657E" w:rsidRDefault="00340731">
      <w:pPr>
        <w:spacing w:before="240" w:after="240" w:line="360" w:lineRule="auto"/>
        <w:jc w:val="center"/>
        <w:rPr>
          <w:rFonts w:ascii="Palatino Linotype" w:eastAsia="Palatino Linotype" w:hAnsi="Palatino Linotype" w:cs="Palatino Linotype"/>
        </w:rPr>
      </w:pPr>
      <w:r>
        <w:rPr>
          <w:rFonts w:ascii="Palatino Linotype" w:eastAsia="Palatino Linotype" w:hAnsi="Palatino Linotype" w:cs="Palatino Linotype"/>
          <w:b/>
        </w:rPr>
        <w:t>I. A N T E C E D E N T E S</w:t>
      </w:r>
    </w:p>
    <w:p w14:paraId="61B17D8A"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cuatro de febrero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información pública registrada con el número</w:t>
      </w:r>
      <w:r>
        <w:rPr>
          <w:rFonts w:ascii="Verdana" w:eastAsia="Verdana" w:hAnsi="Verdana" w:cs="Verdana"/>
          <w:b/>
          <w:color w:val="FF0000"/>
        </w:rPr>
        <w:t> </w:t>
      </w:r>
      <w:r>
        <w:rPr>
          <w:rFonts w:ascii="Palatino Linotype" w:eastAsia="Palatino Linotype" w:hAnsi="Palatino Linotype" w:cs="Palatino Linotype"/>
          <w:b/>
        </w:rPr>
        <w:t>00446/TOLUCA/IP/2022,</w:t>
      </w:r>
      <w:r>
        <w:rPr>
          <w:rFonts w:ascii="Palatino Linotype" w:eastAsia="Palatino Linotype" w:hAnsi="Palatino Linotype" w:cs="Palatino Linotype"/>
        </w:rPr>
        <w:t xml:space="preserve"> mediante la cual solicitó lo siguiente:</w:t>
      </w:r>
    </w:p>
    <w:p w14:paraId="7129F7DD" w14:textId="77777777" w:rsidR="0052657E" w:rsidRDefault="00340731">
      <w:pPr>
        <w:spacing w:before="240"/>
        <w:ind w:left="992" w:right="1043"/>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Solicito recibos de nomina del Personal de la dirección de servicios públicos correspondiente a la segunda quincena del mes de enero de 2022. Así como la plantilla nominal de esta área.</w:t>
      </w:r>
      <w:r>
        <w:rPr>
          <w:rFonts w:ascii="Palatino Linotype" w:eastAsia="Palatino Linotype" w:hAnsi="Palatino Linotype" w:cs="Palatino Linotype"/>
          <w:i/>
          <w:sz w:val="22"/>
          <w:szCs w:val="22"/>
        </w:rPr>
        <w:t>” (Sic)</w:t>
      </w:r>
    </w:p>
    <w:p w14:paraId="7216C63A" w14:textId="77777777" w:rsidR="0052657E" w:rsidRDefault="0052657E">
      <w:pPr>
        <w:ind w:left="992" w:right="1043"/>
        <w:jc w:val="both"/>
        <w:rPr>
          <w:rFonts w:ascii="Palatino Linotype" w:eastAsia="Palatino Linotype" w:hAnsi="Palatino Linotype" w:cs="Palatino Linotype"/>
          <w:sz w:val="22"/>
          <w:szCs w:val="22"/>
        </w:rPr>
      </w:pPr>
    </w:p>
    <w:p w14:paraId="6EBFA377" w14:textId="77777777" w:rsidR="0052657E" w:rsidRDefault="00340731">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Señaló como modalidad de entrega a través del </w:t>
      </w:r>
      <w:r>
        <w:rPr>
          <w:rFonts w:ascii="Palatino Linotype" w:eastAsia="Palatino Linotype" w:hAnsi="Palatino Linotype" w:cs="Palatino Linotype"/>
          <w:b/>
        </w:rPr>
        <w:t>SAIMEX</w:t>
      </w:r>
      <w:r>
        <w:rPr>
          <w:rFonts w:ascii="Palatino Linotype" w:eastAsia="Palatino Linotype" w:hAnsi="Palatino Linotype" w:cs="Palatino Linotype"/>
        </w:rPr>
        <w:t>.</w:t>
      </w:r>
    </w:p>
    <w:p w14:paraId="48EF0AEF" w14:textId="77777777" w:rsidR="0052657E" w:rsidRDefault="0052657E">
      <w:pPr>
        <w:spacing w:after="240" w:line="360" w:lineRule="auto"/>
        <w:jc w:val="both"/>
        <w:rPr>
          <w:rFonts w:ascii="Palatino Linotype" w:eastAsia="Palatino Linotype" w:hAnsi="Palatino Linotype" w:cs="Palatino Linotype"/>
          <w:b/>
        </w:rPr>
      </w:pPr>
    </w:p>
    <w:p w14:paraId="158352A9"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Respuesta. </w:t>
      </w:r>
      <w:r>
        <w:rPr>
          <w:rFonts w:ascii="Palatino Linotype" w:eastAsia="Palatino Linotype" w:hAnsi="Palatino Linotype" w:cs="Palatino Linotype"/>
        </w:rPr>
        <w:t xml:space="preserve">Con fecha </w:t>
      </w:r>
      <w:r>
        <w:rPr>
          <w:rFonts w:ascii="Palatino Linotype" w:eastAsia="Palatino Linotype" w:hAnsi="Palatino Linotype" w:cs="Palatino Linotype"/>
          <w:b/>
        </w:rPr>
        <w:t xml:space="preserve">veintiocho de febrero de dos mil veintidós,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envió su respuesta a la solicitud de acceso a la información a través de </w:t>
      </w:r>
      <w:r>
        <w:rPr>
          <w:rFonts w:ascii="Palatino Linotype" w:eastAsia="Palatino Linotype" w:hAnsi="Palatino Linotype" w:cs="Palatino Linotype"/>
          <w:b/>
        </w:rPr>
        <w:t>SAIMEX</w:t>
      </w:r>
      <w:r>
        <w:rPr>
          <w:rFonts w:ascii="Palatino Linotype" w:eastAsia="Palatino Linotype" w:hAnsi="Palatino Linotype" w:cs="Palatino Linotype"/>
        </w:rPr>
        <w:t xml:space="preserve">, sustancialmente en los términos siguientes: </w:t>
      </w:r>
    </w:p>
    <w:p w14:paraId="6A06DD15" w14:textId="77777777" w:rsidR="0052657E" w:rsidRDefault="00340731">
      <w:pPr>
        <w:spacing w:before="240" w:after="24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245C579B" w14:textId="77777777" w:rsidR="0052657E" w:rsidRDefault="00340731">
      <w:pPr>
        <w:spacing w:before="240" w:after="24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la solicitud de información número 00446/TOLUCA/IP/2022, me permito adjuntar al presente la respuesta correspondiente. Sin más por el momento, le envío un cordial saludo.</w:t>
      </w:r>
    </w:p>
    <w:p w14:paraId="05999B25" w14:textId="77777777" w:rsidR="0052657E" w:rsidRDefault="00340731">
      <w:pPr>
        <w:spacing w:before="240" w:after="24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70E19901" w14:textId="77777777" w:rsidR="0052657E" w:rsidRDefault="00340731">
      <w:pPr>
        <w:spacing w:before="240" w:after="24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Norma Sofía Pérez Martínez”(Sic).</w:t>
      </w:r>
    </w:p>
    <w:p w14:paraId="19B7AEE8" w14:textId="77777777" w:rsidR="0052657E" w:rsidRDefault="0034073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adjuntó  a su respuesta el archivo </w:t>
      </w:r>
      <w:r>
        <w:rPr>
          <w:rFonts w:ascii="Palatino Linotype" w:eastAsia="Palatino Linotype" w:hAnsi="Palatino Linotype" w:cs="Palatino Linotype"/>
          <w:i/>
        </w:rPr>
        <w:t>“</w:t>
      </w:r>
      <w:r>
        <w:rPr>
          <w:rFonts w:ascii="Palatino Linotype" w:eastAsia="Palatino Linotype" w:hAnsi="Palatino Linotype" w:cs="Palatino Linotype"/>
          <w:b/>
          <w:i/>
        </w:rPr>
        <w:t>SAIMEX 0446 (PLANTILLA NOMINAL SERV PUBLICOS ENERO 2022) - copia.pdf”</w:t>
      </w:r>
      <w:r>
        <w:rPr>
          <w:rFonts w:ascii="Palatino Linotype" w:eastAsia="Palatino Linotype" w:hAnsi="Palatino Linotype" w:cs="Palatino Linotype"/>
          <w:i/>
        </w:rPr>
        <w:t xml:space="preserve">, </w:t>
      </w:r>
      <w:r>
        <w:rPr>
          <w:rFonts w:ascii="Palatino Linotype" w:eastAsia="Palatino Linotype" w:hAnsi="Palatino Linotype" w:cs="Palatino Linotype"/>
        </w:rPr>
        <w:t>que consiste en la  plantilla nominal de la Dirección General de Servicios Públicos del mes de enero de 2022, la cual contiene datos relativos al nombre, adscripción, dirección, percepción bruta mensual y percepción neta mensual, integrada por un total de veintidós hojas de las cuales se inserta un extracto de una de ellas a manera de ejemplo:</w:t>
      </w:r>
    </w:p>
    <w:p w14:paraId="36BDB15B" w14:textId="77777777" w:rsidR="0052657E" w:rsidRDefault="00340731">
      <w:pPr>
        <w:spacing w:before="240" w:after="240" w:line="360" w:lineRule="auto"/>
        <w:ind w:right="49"/>
        <w:jc w:val="both"/>
        <w:rPr>
          <w:rFonts w:ascii="Palatino Linotype" w:eastAsia="Palatino Linotype" w:hAnsi="Palatino Linotype" w:cs="Palatino Linotype"/>
          <w:i/>
        </w:rPr>
      </w:pPr>
      <w:r>
        <w:rPr>
          <w:rFonts w:ascii="Palatino Linotype" w:eastAsia="Palatino Linotype" w:hAnsi="Palatino Linotype" w:cs="Palatino Linotype"/>
          <w:i/>
          <w:noProof/>
          <w:lang w:val="es-MX" w:eastAsia="es-MX"/>
        </w:rPr>
        <w:drawing>
          <wp:inline distT="0" distB="0" distL="0" distR="0" wp14:anchorId="6630C773" wp14:editId="78606A6E">
            <wp:extent cx="5933440" cy="2705100"/>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638" b="37047"/>
                    <a:stretch>
                      <a:fillRect/>
                    </a:stretch>
                  </pic:blipFill>
                  <pic:spPr>
                    <a:xfrm>
                      <a:off x="0" y="0"/>
                      <a:ext cx="5933440" cy="2705100"/>
                    </a:xfrm>
                    <a:prstGeom prst="rect">
                      <a:avLst/>
                    </a:prstGeom>
                    <a:ln/>
                  </pic:spPr>
                </pic:pic>
              </a:graphicData>
            </a:graphic>
          </wp:inline>
        </w:drawing>
      </w:r>
    </w:p>
    <w:p w14:paraId="2649B6F1" w14:textId="77777777" w:rsidR="0052657E" w:rsidRDefault="0034073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Asimismo, el Sujeto Obligado adjunta el archivo </w:t>
      </w:r>
      <w:r>
        <w:rPr>
          <w:rFonts w:ascii="Palatino Linotype" w:eastAsia="Palatino Linotype" w:hAnsi="Palatino Linotype" w:cs="Palatino Linotype"/>
          <w:b/>
          <w:i/>
          <w:u w:val="single"/>
        </w:rPr>
        <w:t xml:space="preserve">Saimex 00446.pdf </w:t>
      </w:r>
      <w:r>
        <w:rPr>
          <w:rFonts w:ascii="Palatino Linotype" w:eastAsia="Palatino Linotype" w:hAnsi="Palatino Linotype" w:cs="Palatino Linotype"/>
        </w:rPr>
        <w:t xml:space="preserve">que consiste en un oficio sin número, signado por la Titular de la Unidad de Transparencia, de fecha veintiocho de febrero de dos mil veintidós, mediante el cual informa lo siguiente: </w:t>
      </w:r>
    </w:p>
    <w:p w14:paraId="74FC0EF1" w14:textId="77777777" w:rsidR="0052657E" w:rsidRDefault="00340731">
      <w:pPr>
        <w:spacing w:before="240" w:after="240" w:line="360" w:lineRule="auto"/>
        <w:ind w:right="49"/>
        <w:jc w:val="both"/>
        <w:rPr>
          <w:rFonts w:ascii="Palatino Linotype" w:eastAsia="Palatino Linotype" w:hAnsi="Palatino Linotype" w:cs="Palatino Linotype"/>
        </w:rPr>
      </w:pPr>
      <w:r>
        <w:rPr>
          <w:noProof/>
          <w:lang w:val="es-MX" w:eastAsia="es-MX"/>
        </w:rPr>
        <w:drawing>
          <wp:inline distT="0" distB="0" distL="0" distR="0" wp14:anchorId="25DFEE21" wp14:editId="1ABF3EAF">
            <wp:extent cx="5819775" cy="6343650"/>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5819775" cy="6343650"/>
                    </a:xfrm>
                    <a:prstGeom prst="rect">
                      <a:avLst/>
                    </a:prstGeom>
                    <a:ln/>
                  </pic:spPr>
                </pic:pic>
              </a:graphicData>
            </a:graphic>
          </wp:inline>
        </w:drawing>
      </w:r>
    </w:p>
    <w:p w14:paraId="04D63A20" w14:textId="77777777" w:rsidR="0052657E" w:rsidRDefault="00340731">
      <w:pPr>
        <w:spacing w:before="240" w:after="240" w:line="360" w:lineRule="auto"/>
        <w:ind w:right="49"/>
        <w:jc w:val="both"/>
        <w:rPr>
          <w:rFonts w:ascii="Palatino Linotype" w:eastAsia="Palatino Linotype" w:hAnsi="Palatino Linotype" w:cs="Palatino Linotype"/>
        </w:rPr>
      </w:pPr>
      <w:r>
        <w:rPr>
          <w:noProof/>
          <w:lang w:val="es-MX" w:eastAsia="es-MX"/>
        </w:rPr>
        <w:lastRenderedPageBreak/>
        <w:drawing>
          <wp:inline distT="0" distB="0" distL="0" distR="0" wp14:anchorId="35D4791F" wp14:editId="333760EC">
            <wp:extent cx="5572125" cy="7048500"/>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572125" cy="7048500"/>
                    </a:xfrm>
                    <a:prstGeom prst="rect">
                      <a:avLst/>
                    </a:prstGeom>
                    <a:ln/>
                  </pic:spPr>
                </pic:pic>
              </a:graphicData>
            </a:graphic>
          </wp:inline>
        </w:drawing>
      </w:r>
    </w:p>
    <w:p w14:paraId="298099CB" w14:textId="77777777" w:rsidR="0052657E" w:rsidRDefault="00340731">
      <w:pPr>
        <w:spacing w:before="240" w:after="240" w:line="360" w:lineRule="auto"/>
        <w:ind w:right="49"/>
        <w:jc w:val="both"/>
        <w:rPr>
          <w:rFonts w:ascii="Palatino Linotype" w:eastAsia="Palatino Linotype" w:hAnsi="Palatino Linotype" w:cs="Palatino Linotype"/>
        </w:rPr>
      </w:pPr>
      <w:r>
        <w:rPr>
          <w:noProof/>
          <w:lang w:val="es-MX" w:eastAsia="es-MX"/>
        </w:rPr>
        <w:lastRenderedPageBreak/>
        <w:drawing>
          <wp:inline distT="0" distB="0" distL="0" distR="0" wp14:anchorId="6E8DFC39" wp14:editId="58120347">
            <wp:extent cx="5200650" cy="6610350"/>
            <wp:effectExtent l="0" t="0" r="0" b="0"/>
            <wp:docPr id="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5200650" cy="6610350"/>
                    </a:xfrm>
                    <a:prstGeom prst="rect">
                      <a:avLst/>
                    </a:prstGeom>
                    <a:ln/>
                  </pic:spPr>
                </pic:pic>
              </a:graphicData>
            </a:graphic>
          </wp:inline>
        </w:drawing>
      </w:r>
    </w:p>
    <w:p w14:paraId="4598D51E" w14:textId="77777777" w:rsidR="0052657E" w:rsidRDefault="00340731">
      <w:pPr>
        <w:spacing w:before="240" w:after="240" w:line="360" w:lineRule="auto"/>
        <w:ind w:right="49"/>
        <w:jc w:val="both"/>
        <w:rPr>
          <w:rFonts w:ascii="Palatino Linotype" w:eastAsia="Palatino Linotype" w:hAnsi="Palatino Linotype" w:cs="Palatino Linotype"/>
          <w:b/>
        </w:rPr>
      </w:pPr>
      <w:r>
        <w:rPr>
          <w:noProof/>
          <w:lang w:val="es-MX" w:eastAsia="es-MX"/>
        </w:rPr>
        <w:lastRenderedPageBreak/>
        <w:drawing>
          <wp:inline distT="0" distB="0" distL="0" distR="0" wp14:anchorId="46149C46" wp14:editId="1FBC0F56">
            <wp:extent cx="5362575" cy="5114925"/>
            <wp:effectExtent l="0" t="0" r="0" b="0"/>
            <wp:docPr id="4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5362575" cy="5114925"/>
                    </a:xfrm>
                    <a:prstGeom prst="rect">
                      <a:avLst/>
                    </a:prstGeom>
                    <a:ln/>
                  </pic:spPr>
                </pic:pic>
              </a:graphicData>
            </a:graphic>
          </wp:inline>
        </w:drawing>
      </w:r>
    </w:p>
    <w:p w14:paraId="1334A79C" w14:textId="77777777" w:rsidR="0052657E" w:rsidRDefault="0052657E">
      <w:pPr>
        <w:spacing w:before="240" w:after="240" w:line="360" w:lineRule="auto"/>
        <w:ind w:right="49"/>
        <w:jc w:val="both"/>
        <w:rPr>
          <w:rFonts w:ascii="Palatino Linotype" w:eastAsia="Palatino Linotype" w:hAnsi="Palatino Linotype" w:cs="Palatino Linotype"/>
          <w:b/>
        </w:rPr>
      </w:pPr>
    </w:p>
    <w:p w14:paraId="660EB8A0" w14:textId="77777777" w:rsidR="0052657E" w:rsidRDefault="0034073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Inconforme con la respuesta, el día </w:t>
      </w:r>
      <w:r>
        <w:rPr>
          <w:rFonts w:ascii="Palatino Linotype" w:eastAsia="Palatino Linotype" w:hAnsi="Palatino Linotype" w:cs="Palatino Linotype"/>
          <w:b/>
        </w:rPr>
        <w:t>siete de marzo del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interpuso el recurso de revisión materia del presente estudio, en el que señaló como:</w:t>
      </w:r>
    </w:p>
    <w:p w14:paraId="5DCDD1BA" w14:textId="77777777" w:rsidR="0052657E" w:rsidRDefault="00340731">
      <w:pPr>
        <w:spacing w:before="240" w:after="240"/>
        <w:jc w:val="both"/>
        <w:rPr>
          <w:rFonts w:ascii="Palatino Linotype" w:eastAsia="Palatino Linotype" w:hAnsi="Palatino Linotype" w:cs="Palatino Linotype"/>
          <w:b/>
        </w:rPr>
      </w:pPr>
      <w:r>
        <w:rPr>
          <w:rFonts w:ascii="Palatino Linotype" w:eastAsia="Palatino Linotype" w:hAnsi="Palatino Linotype" w:cs="Palatino Linotype"/>
          <w:b/>
        </w:rPr>
        <w:t>a) Acto impugnado:</w:t>
      </w:r>
    </w:p>
    <w:p w14:paraId="3BF3B339" w14:textId="77777777" w:rsidR="0052657E" w:rsidRDefault="00340731">
      <w:pPr>
        <w:spacing w:line="276" w:lineRule="auto"/>
        <w:ind w:left="993" w:right="615"/>
        <w:jc w:val="both"/>
      </w:pPr>
      <w:r>
        <w:rPr>
          <w:rFonts w:ascii="Palatino Linotype" w:eastAsia="Palatino Linotype" w:hAnsi="Palatino Linotype" w:cs="Palatino Linotype"/>
          <w:i/>
          <w:sz w:val="22"/>
          <w:szCs w:val="22"/>
        </w:rPr>
        <w:lastRenderedPageBreak/>
        <w:t>“solicito atentamente al Infoem, ordene al ayuntamiento de Toluca a entregar la información por este medio, ya que me están ordenando pagar una cantidad que no es correcta.” (Sic)</w:t>
      </w:r>
    </w:p>
    <w:p w14:paraId="0F2F65B4" w14:textId="77777777" w:rsidR="0052657E" w:rsidRDefault="0052657E">
      <w:pPr>
        <w:tabs>
          <w:tab w:val="left" w:pos="8080"/>
          <w:tab w:val="left" w:pos="8364"/>
        </w:tabs>
        <w:ind w:left="992" w:right="900"/>
        <w:jc w:val="both"/>
        <w:rPr>
          <w:rFonts w:ascii="Palatino Linotype" w:eastAsia="Palatino Linotype" w:hAnsi="Palatino Linotype" w:cs="Palatino Linotype"/>
          <w:i/>
          <w:sz w:val="22"/>
          <w:szCs w:val="22"/>
        </w:rPr>
      </w:pPr>
    </w:p>
    <w:p w14:paraId="285D759F" w14:textId="77777777" w:rsidR="0052657E" w:rsidRDefault="00340731">
      <w:pPr>
        <w:widowControl w:val="0"/>
        <w:spacing w:after="240" w:line="360" w:lineRule="auto"/>
        <w:ind w:right="567"/>
        <w:jc w:val="both"/>
        <w:rPr>
          <w:rFonts w:ascii="Palatino Linotype" w:eastAsia="Palatino Linotype" w:hAnsi="Palatino Linotype" w:cs="Palatino Linotype"/>
          <w:b/>
        </w:rPr>
      </w:pPr>
      <w:r>
        <w:rPr>
          <w:rFonts w:ascii="Palatino Linotype" w:eastAsia="Palatino Linotype" w:hAnsi="Palatino Linotype" w:cs="Palatino Linotype"/>
          <w:b/>
        </w:rPr>
        <w:t xml:space="preserve">b) Motivo de inconformidad: </w:t>
      </w:r>
    </w:p>
    <w:p w14:paraId="24761653" w14:textId="77777777" w:rsidR="0052657E" w:rsidRDefault="00340731">
      <w:pPr>
        <w:tabs>
          <w:tab w:val="left" w:pos="8080"/>
          <w:tab w:val="left" w:pos="8364"/>
        </w:tabs>
        <w:spacing w:before="240" w:line="276" w:lineRule="auto"/>
        <w:ind w:left="992"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i/>
          <w:color w:val="000000"/>
          <w:sz w:val="22"/>
          <w:szCs w:val="22"/>
        </w:rPr>
        <w:t>M ordenan pagar mas de 20 mil pesos por información que debe ser gratuita.</w:t>
      </w:r>
      <w:r>
        <w:rPr>
          <w:rFonts w:ascii="Palatino Linotype" w:eastAsia="Palatino Linotype" w:hAnsi="Palatino Linotype" w:cs="Palatino Linotype"/>
          <w:i/>
          <w:sz w:val="22"/>
          <w:szCs w:val="22"/>
        </w:rPr>
        <w:t>” (Sic)</w:t>
      </w:r>
    </w:p>
    <w:p w14:paraId="61434584" w14:textId="77777777" w:rsidR="0052657E" w:rsidRDefault="0052657E">
      <w:pPr>
        <w:tabs>
          <w:tab w:val="left" w:pos="8080"/>
          <w:tab w:val="left" w:pos="8364"/>
        </w:tabs>
        <w:ind w:right="900"/>
        <w:jc w:val="both"/>
        <w:rPr>
          <w:rFonts w:ascii="Palatino Linotype" w:eastAsia="Palatino Linotype" w:hAnsi="Palatino Linotype" w:cs="Palatino Linotype"/>
          <w:i/>
          <w:sz w:val="22"/>
          <w:szCs w:val="22"/>
        </w:rPr>
      </w:pPr>
    </w:p>
    <w:p w14:paraId="6CCED136" w14:textId="77777777" w:rsidR="0052657E" w:rsidRDefault="003407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recurso de revisión </w:t>
      </w:r>
      <w:r>
        <w:rPr>
          <w:rFonts w:ascii="Palatino Linotype" w:eastAsia="Palatino Linotype" w:hAnsi="Palatino Linotype" w:cs="Palatino Linotype"/>
          <w:b/>
        </w:rPr>
        <w:t>03519/INFOEM/IP/RR/2022</w:t>
      </w:r>
      <w:r>
        <w:rPr>
          <w:rFonts w:ascii="Palatino Linotype" w:eastAsia="Palatino Linotype" w:hAnsi="Palatino Linotype" w:cs="Palatino Linotype"/>
        </w:rPr>
        <w:t xml:space="preserve">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Guadalupe Ramírez Peña</w:t>
      </w:r>
      <w:r>
        <w:rPr>
          <w:rFonts w:ascii="Palatino Linotype" w:eastAsia="Palatino Linotype" w:hAnsi="Palatino Linotype" w:cs="Palatino Linotype"/>
        </w:rPr>
        <w:t>, para su análisis, estudio, elaboración del proyecto y presentación ante el Pleno de este Instituto.</w:t>
      </w:r>
    </w:p>
    <w:p w14:paraId="553CF2E9" w14:textId="77777777" w:rsidR="0052657E" w:rsidRDefault="0052657E">
      <w:pPr>
        <w:widowControl w:val="0"/>
        <w:jc w:val="both"/>
        <w:rPr>
          <w:rFonts w:ascii="Palatino Linotype" w:eastAsia="Palatino Linotype" w:hAnsi="Palatino Linotype" w:cs="Palatino Linotype"/>
          <w:b/>
          <w:sz w:val="16"/>
          <w:szCs w:val="16"/>
        </w:rPr>
      </w:pPr>
    </w:p>
    <w:p w14:paraId="1E3FBCDF"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b/>
          <w:sz w:val="28"/>
          <w:szCs w:val="28"/>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Con fecha</w:t>
      </w:r>
      <w:r>
        <w:rPr>
          <w:rFonts w:ascii="Palatino Linotype" w:eastAsia="Palatino Linotype" w:hAnsi="Palatino Linotype" w:cs="Palatino Linotype"/>
          <w:b/>
        </w:rPr>
        <w:t xml:space="preserve"> diez de marzo del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presentara su informe justificado.</w:t>
      </w:r>
    </w:p>
    <w:p w14:paraId="0E3D83E4" w14:textId="77777777" w:rsidR="0052657E" w:rsidRDefault="00340731">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rPr>
        <w:t>6.</w:t>
      </w:r>
      <w:r>
        <w:rPr>
          <w:rFonts w:ascii="Palatino Linotype" w:eastAsia="Palatino Linotype" w:hAnsi="Palatino Linotype" w:cs="Palatino Linotype"/>
        </w:rPr>
        <w:t xml:space="preserve"> </w:t>
      </w:r>
      <w:r>
        <w:rPr>
          <w:rFonts w:ascii="Palatino Linotype" w:eastAsia="Palatino Linotype" w:hAnsi="Palatino Linotype" w:cs="Palatino Linotype"/>
          <w:b/>
        </w:rPr>
        <w:t>Manifestaciones</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 xml:space="preserve">veintidós de marzo de dos mil veintidós </w:t>
      </w:r>
      <w:r>
        <w:rPr>
          <w:rFonts w:ascii="Palatino Linotype" w:eastAsia="Palatino Linotype" w:hAnsi="Palatino Linotype" w:cs="Palatino Linotype"/>
        </w:rPr>
        <w:t>presentó su informe justificado</w:t>
      </w:r>
      <w:r>
        <w:rPr>
          <w:rFonts w:ascii="Palatino Linotype" w:eastAsia="Palatino Linotype" w:hAnsi="Palatino Linotype" w:cs="Palatino Linotype"/>
          <w:color w:val="000000"/>
        </w:rPr>
        <w:t>, por su parte el recurrente no realizó manifestación alguna, como se observa a continuación:</w:t>
      </w:r>
    </w:p>
    <w:p w14:paraId="68F9833D" w14:textId="77777777" w:rsidR="0052657E" w:rsidRDefault="00340731">
      <w:pPr>
        <w:spacing w:before="240" w:after="240" w:line="360" w:lineRule="auto"/>
        <w:jc w:val="both"/>
        <w:rPr>
          <w:rFonts w:ascii="Palatino Linotype" w:eastAsia="Palatino Linotype" w:hAnsi="Palatino Linotype" w:cs="Palatino Linotype"/>
        </w:rPr>
      </w:pPr>
      <w:r>
        <w:rPr>
          <w:noProof/>
          <w:lang w:val="es-MX" w:eastAsia="es-MX"/>
        </w:rPr>
        <w:lastRenderedPageBreak/>
        <w:drawing>
          <wp:inline distT="0" distB="0" distL="0" distR="0" wp14:anchorId="0CA50AEC" wp14:editId="32A0A773">
            <wp:extent cx="6077891" cy="2104128"/>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9300" t="24095" r="29027" b="50259"/>
                    <a:stretch>
                      <a:fillRect/>
                    </a:stretch>
                  </pic:blipFill>
                  <pic:spPr>
                    <a:xfrm>
                      <a:off x="0" y="0"/>
                      <a:ext cx="6077891" cy="2104128"/>
                    </a:xfrm>
                    <a:prstGeom prst="rect">
                      <a:avLst/>
                    </a:prstGeom>
                    <a:ln/>
                  </pic:spPr>
                </pic:pic>
              </a:graphicData>
            </a:graphic>
          </wp:inline>
        </w:drawing>
      </w:r>
    </w:p>
    <w:p w14:paraId="472CAAF4" w14:textId="77777777" w:rsidR="0052657E" w:rsidRDefault="00340731">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mediante informe justificado ratifica en términos generales su respuesta inicial, tal como se advierte a continuación: </w:t>
      </w:r>
    </w:p>
    <w:p w14:paraId="17A72CC8" w14:textId="77777777" w:rsidR="0052657E" w:rsidRDefault="0052657E">
      <w:pPr>
        <w:spacing w:line="360" w:lineRule="auto"/>
        <w:jc w:val="both"/>
      </w:pPr>
    </w:p>
    <w:p w14:paraId="036DBBD8" w14:textId="77777777" w:rsidR="0052657E" w:rsidRDefault="00340731">
      <w:pPr>
        <w:spacing w:line="360" w:lineRule="auto"/>
        <w:jc w:val="both"/>
      </w:pPr>
      <w:r>
        <w:rPr>
          <w:noProof/>
          <w:lang w:val="es-MX" w:eastAsia="es-MX"/>
        </w:rPr>
        <w:lastRenderedPageBreak/>
        <w:drawing>
          <wp:inline distT="0" distB="0" distL="0" distR="0" wp14:anchorId="5844A498" wp14:editId="5C6B2F70">
            <wp:extent cx="5210175" cy="5648325"/>
            <wp:effectExtent l="0" t="0" r="0" b="0"/>
            <wp:docPr id="4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210175" cy="5648325"/>
                    </a:xfrm>
                    <a:prstGeom prst="rect">
                      <a:avLst/>
                    </a:prstGeom>
                    <a:ln/>
                  </pic:spPr>
                </pic:pic>
              </a:graphicData>
            </a:graphic>
          </wp:inline>
        </w:drawing>
      </w:r>
      <w:r>
        <w:t xml:space="preserve"> </w:t>
      </w:r>
      <w:r>
        <w:rPr>
          <w:noProof/>
          <w:lang w:val="es-MX" w:eastAsia="es-MX"/>
        </w:rPr>
        <w:lastRenderedPageBreak/>
        <w:drawing>
          <wp:inline distT="0" distB="0" distL="0" distR="0" wp14:anchorId="1707BBD3" wp14:editId="1EBD42DB">
            <wp:extent cx="4953000" cy="6029325"/>
            <wp:effectExtent l="0" t="0" r="0" b="0"/>
            <wp:docPr id="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4953000" cy="6029325"/>
                    </a:xfrm>
                    <a:prstGeom prst="rect">
                      <a:avLst/>
                    </a:prstGeom>
                    <a:ln/>
                  </pic:spPr>
                </pic:pic>
              </a:graphicData>
            </a:graphic>
          </wp:inline>
        </w:drawing>
      </w:r>
      <w:r>
        <w:t xml:space="preserve"> </w:t>
      </w:r>
    </w:p>
    <w:p w14:paraId="23CBF003" w14:textId="77777777" w:rsidR="0052657E" w:rsidRDefault="00340731">
      <w:pPr>
        <w:spacing w:line="360" w:lineRule="auto"/>
        <w:jc w:val="both"/>
      </w:pPr>
      <w:r>
        <w:rPr>
          <w:noProof/>
          <w:lang w:val="es-MX" w:eastAsia="es-MX"/>
        </w:rPr>
        <w:lastRenderedPageBreak/>
        <w:drawing>
          <wp:inline distT="0" distB="0" distL="0" distR="0" wp14:anchorId="5DBA7DAF" wp14:editId="56749045">
            <wp:extent cx="5200650" cy="6743700"/>
            <wp:effectExtent l="0" t="0" r="0" b="0"/>
            <wp:docPr id="4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200650" cy="6743700"/>
                    </a:xfrm>
                    <a:prstGeom prst="rect">
                      <a:avLst/>
                    </a:prstGeom>
                    <a:ln/>
                  </pic:spPr>
                </pic:pic>
              </a:graphicData>
            </a:graphic>
          </wp:inline>
        </w:drawing>
      </w:r>
    </w:p>
    <w:p w14:paraId="61C372D0" w14:textId="77777777" w:rsidR="0052657E" w:rsidRDefault="00340731">
      <w:pPr>
        <w:spacing w:line="360" w:lineRule="auto"/>
        <w:jc w:val="both"/>
      </w:pPr>
      <w:r>
        <w:rPr>
          <w:noProof/>
          <w:lang w:val="es-MX" w:eastAsia="es-MX"/>
        </w:rPr>
        <w:lastRenderedPageBreak/>
        <w:drawing>
          <wp:inline distT="0" distB="0" distL="0" distR="0" wp14:anchorId="50CF7DE8" wp14:editId="431E1B20">
            <wp:extent cx="5429250" cy="6886575"/>
            <wp:effectExtent l="0" t="0" r="0" b="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a:stretch>
                      <a:fillRect/>
                    </a:stretch>
                  </pic:blipFill>
                  <pic:spPr>
                    <a:xfrm>
                      <a:off x="0" y="0"/>
                      <a:ext cx="5429250" cy="6886575"/>
                    </a:xfrm>
                    <a:prstGeom prst="rect">
                      <a:avLst/>
                    </a:prstGeom>
                    <a:ln/>
                  </pic:spPr>
                </pic:pic>
              </a:graphicData>
            </a:graphic>
          </wp:inline>
        </w:drawing>
      </w:r>
      <w:r>
        <w:t xml:space="preserve"> </w:t>
      </w:r>
    </w:p>
    <w:p w14:paraId="22187998" w14:textId="77777777" w:rsidR="0052657E" w:rsidRDefault="0052657E">
      <w:pPr>
        <w:spacing w:line="360" w:lineRule="auto"/>
        <w:jc w:val="both"/>
        <w:rPr>
          <w:rFonts w:ascii="Palatino Linotype" w:eastAsia="Palatino Linotype" w:hAnsi="Palatino Linotype" w:cs="Palatino Linotype"/>
          <w:b/>
        </w:rPr>
      </w:pPr>
    </w:p>
    <w:p w14:paraId="1FFD8281" w14:textId="77777777" w:rsidR="0052657E" w:rsidRDefault="00340731">
      <w:pPr>
        <w:spacing w:line="360" w:lineRule="auto"/>
        <w:jc w:val="both"/>
        <w:rPr>
          <w:rFonts w:ascii="Palatino Linotype" w:eastAsia="Palatino Linotype" w:hAnsi="Palatino Linotype" w:cs="Palatino Linotype"/>
          <w:b/>
        </w:rPr>
      </w:pPr>
      <w:r>
        <w:rPr>
          <w:noProof/>
          <w:lang w:val="es-MX" w:eastAsia="es-MX"/>
        </w:rPr>
        <w:lastRenderedPageBreak/>
        <w:drawing>
          <wp:inline distT="0" distB="0" distL="0" distR="0" wp14:anchorId="75037F67" wp14:editId="223B7806">
            <wp:extent cx="5448300" cy="6448425"/>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448300" cy="6448425"/>
                    </a:xfrm>
                    <a:prstGeom prst="rect">
                      <a:avLst/>
                    </a:prstGeom>
                    <a:ln/>
                  </pic:spPr>
                </pic:pic>
              </a:graphicData>
            </a:graphic>
          </wp:inline>
        </w:drawing>
      </w:r>
      <w:r>
        <w:t xml:space="preserve"> </w:t>
      </w:r>
    </w:p>
    <w:p w14:paraId="5B8450E0" w14:textId="77777777" w:rsidR="0052657E" w:rsidRDefault="0052657E">
      <w:pPr>
        <w:spacing w:line="360" w:lineRule="auto"/>
        <w:jc w:val="both"/>
        <w:rPr>
          <w:rFonts w:ascii="Palatino Linotype" w:eastAsia="Palatino Linotype" w:hAnsi="Palatino Linotype" w:cs="Palatino Linotype"/>
          <w:b/>
        </w:rPr>
      </w:pPr>
    </w:p>
    <w:p w14:paraId="7E1F7C2F" w14:textId="77777777" w:rsidR="0052657E" w:rsidRDefault="003407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término para resolver</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trece de mayo de dos mil veintidós</w:t>
      </w:r>
      <w:r>
        <w:rPr>
          <w:rFonts w:ascii="Palatino Linotype" w:eastAsia="Palatino Linotype" w:hAnsi="Palatino Linotype" w:cs="Palatino Linotype"/>
        </w:rPr>
        <w:t xml:space="preserve">, se amplió el término para resolver el recurso de revisión en términos del artículo 181 </w:t>
      </w:r>
      <w:r>
        <w:rPr>
          <w:rFonts w:ascii="Palatino Linotype" w:eastAsia="Palatino Linotype" w:hAnsi="Palatino Linotype" w:cs="Palatino Linotype"/>
        </w:rPr>
        <w:lastRenderedPageBreak/>
        <w:t>párrafo tercero de la Ley de Transparencia y Acceso a la Información Pública del Estado de México y Municipios por un plazo de quince días hábiles.</w:t>
      </w:r>
    </w:p>
    <w:p w14:paraId="18EC1CF9" w14:textId="77777777" w:rsidR="0052657E" w:rsidRDefault="0052657E">
      <w:pPr>
        <w:spacing w:line="360" w:lineRule="auto"/>
        <w:jc w:val="both"/>
        <w:rPr>
          <w:rFonts w:ascii="Palatino Linotype" w:eastAsia="Palatino Linotype" w:hAnsi="Palatino Linotype" w:cs="Palatino Linotype"/>
        </w:rPr>
      </w:pPr>
    </w:p>
    <w:p w14:paraId="352046B6" w14:textId="77777777" w:rsidR="0052657E" w:rsidRDefault="003407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8. Cierre de Instrucción</w:t>
      </w:r>
      <w:r>
        <w:rPr>
          <w:rFonts w:ascii="Palatino Linotype" w:eastAsia="Palatino Linotype" w:hAnsi="Palatino Linotype" w:cs="Palatino Linotype"/>
          <w:b/>
          <w:sz w:val="28"/>
          <w:szCs w:val="28"/>
        </w:rPr>
        <w:t>.</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tres de junio del dos mil veintidós,</w:t>
      </w:r>
      <w:r>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32458E2F" w14:textId="77777777" w:rsidR="0052657E" w:rsidRDefault="0052657E">
      <w:pPr>
        <w:spacing w:line="360" w:lineRule="auto"/>
        <w:jc w:val="both"/>
        <w:rPr>
          <w:rFonts w:ascii="Palatino Linotype" w:eastAsia="Palatino Linotype" w:hAnsi="Palatino Linotype" w:cs="Palatino Linotype"/>
        </w:rPr>
      </w:pPr>
    </w:p>
    <w:p w14:paraId="316C614A" w14:textId="77777777" w:rsidR="0052657E" w:rsidRDefault="00340731">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5DD20E9" w14:textId="77777777" w:rsidR="0052657E" w:rsidRDefault="0052657E">
      <w:pPr>
        <w:spacing w:before="240" w:line="360" w:lineRule="auto"/>
        <w:jc w:val="both"/>
        <w:rPr>
          <w:rFonts w:ascii="Palatino Linotype" w:eastAsia="Palatino Linotype" w:hAnsi="Palatino Linotype" w:cs="Palatino Linotype"/>
        </w:rPr>
      </w:pPr>
    </w:p>
    <w:p w14:paraId="2F4459FF" w14:textId="77777777" w:rsidR="0052657E" w:rsidRDefault="00340731">
      <w:pPr>
        <w:spacing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sz w:val="28"/>
          <w:szCs w:val="28"/>
        </w:rPr>
        <w:t>II.CONSIDERANDO</w:t>
      </w:r>
    </w:p>
    <w:p w14:paraId="6C3D4CD2" w14:textId="77777777" w:rsidR="0052657E" w:rsidRDefault="00340731">
      <w:pPr>
        <w:spacing w:before="240" w:after="240" w:line="360" w:lineRule="auto"/>
        <w:jc w:val="both"/>
        <w:rPr>
          <w:rFonts w:ascii="Palatino Linotype" w:eastAsia="Palatino Linotype" w:hAnsi="Palatino Linotype" w:cs="Palatino Linotype"/>
          <w:color w:val="222222"/>
          <w:highlight w:val="white"/>
        </w:rPr>
      </w:pPr>
      <w:r>
        <w:rPr>
          <w:rFonts w:ascii="Palatino Linotype" w:eastAsia="Palatino Linotype" w:hAnsi="Palatino Linotype" w:cs="Palatino Linotype"/>
          <w:b/>
        </w:rPr>
        <w:t xml:space="preserve">Primero. Competencia. </w:t>
      </w:r>
      <w:r>
        <w:rPr>
          <w:rFonts w:ascii="Palatino Linotype" w:eastAsia="Palatino Linotype" w:hAnsi="Palatino Linotype" w:cs="Palatino Linotype"/>
          <w:color w:val="222222"/>
          <w:highlight w:val="whit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trigésimos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w:t>
      </w:r>
      <w:r>
        <w:rPr>
          <w:rFonts w:ascii="Palatino Linotype" w:eastAsia="Palatino Linotype" w:hAnsi="Palatino Linotype" w:cs="Palatino Linotype"/>
          <w:color w:val="222222"/>
          <w:highlight w:val="white"/>
        </w:rPr>
        <w:lastRenderedPageBreak/>
        <w:t>Transparencia, Acceso a la Información Pública y Protección de Datos Personales del Estado de México y Municipios.</w:t>
      </w:r>
    </w:p>
    <w:p w14:paraId="06B9158B"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 en el estudio se advierte que el presente recurso fue interpuesto dentro del plazo de quince días hábiles, previsto en el primer artículo señalado anteriormente como referencia, toda vez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Pr>
          <w:rFonts w:ascii="Palatino Linotype" w:eastAsia="Palatino Linotype" w:hAnsi="Palatino Linotype" w:cs="Palatino Linotype"/>
          <w:b/>
        </w:rPr>
        <w:t xml:space="preserve">veintiocho de febrero de dos mil veintidós, </w:t>
      </w:r>
      <w:r>
        <w:rPr>
          <w:rFonts w:ascii="Palatino Linotype" w:eastAsia="Palatino Linotype" w:hAnsi="Palatino Linotype" w:cs="Palatino Linotype"/>
        </w:rPr>
        <w:t xml:space="preserve">mientras que el recurso de revisión interpuesto por 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Pr>
          <w:rFonts w:ascii="Palatino Linotype" w:eastAsia="Palatino Linotype" w:hAnsi="Palatino Linotype" w:cs="Palatino Linotype"/>
          <w:b/>
        </w:rPr>
        <w:t>siete de marzo de dos mil veintidós</w:t>
      </w:r>
      <w:r>
        <w:rPr>
          <w:rFonts w:ascii="Palatino Linotype" w:eastAsia="Palatino Linotype" w:hAnsi="Palatino Linotype" w:cs="Palatino Linotype"/>
        </w:rPr>
        <w:t>, esto es, al cuarto día en que tuvo conocimiento de la respuesta impugnada.</w:t>
      </w:r>
    </w:p>
    <w:p w14:paraId="057C35B7" w14:textId="77777777" w:rsidR="0052657E" w:rsidRDefault="00340731">
      <w:pPr>
        <w:spacing w:before="240" w:after="240" w:line="360" w:lineRule="auto"/>
        <w:jc w:val="both"/>
        <w:rPr>
          <w:rFonts w:ascii="Palatino Linotype" w:eastAsia="Palatino Linotype" w:hAnsi="Palatino Linotype" w:cs="Palatino Linotype"/>
        </w:rPr>
      </w:pPr>
      <w:bookmarkStart w:id="1" w:name="_heading=h.3znysh7" w:colFirst="0" w:colLast="0"/>
      <w:bookmarkEnd w:id="1"/>
      <w:r>
        <w:rPr>
          <w:rFonts w:ascii="Palatino Linotype" w:eastAsia="Palatino Linotype" w:hAnsi="Palatino Linotype" w:cs="Palatino Linotype"/>
        </w:rPr>
        <w:t xml:space="preserve">En este sentido, al considerar la fecha en que se formuló la solicitud y la fecha en que respondió a ésta el </w:t>
      </w:r>
      <w:r>
        <w:rPr>
          <w:rFonts w:ascii="Palatino Linotype" w:eastAsia="Palatino Linotype" w:hAnsi="Palatino Linotype" w:cs="Palatino Linotype"/>
          <w:b/>
        </w:rPr>
        <w:t>Sujeto Obligado</w:t>
      </w:r>
      <w:r>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09255426" w14:textId="77777777" w:rsidR="0052657E" w:rsidRDefault="00340731">
      <w:pPr>
        <w:spacing w:before="240" w:after="240" w:line="360" w:lineRule="auto"/>
        <w:jc w:val="both"/>
        <w:rPr>
          <w:rFonts w:ascii="Palatino Linotype" w:eastAsia="Palatino Linotype" w:hAnsi="Palatino Linotype" w:cs="Palatino Linotype"/>
        </w:rPr>
      </w:pPr>
      <w:bookmarkStart w:id="2" w:name="_heading=h.17dp8vu" w:colFirst="0" w:colLast="0"/>
      <w:bookmarkEnd w:id="2"/>
      <w:r>
        <w:rPr>
          <w:rFonts w:ascii="Palatino Linotype" w:eastAsia="Palatino Linotype" w:hAnsi="Palatino Linotype" w:cs="Palatino Linotype"/>
          <w:color w:val="000000"/>
        </w:rPr>
        <w:t xml:space="preserve">Al mismo tiempo, por cuanto hace a la procedibilidad del recurso de revisión, es de suma importancia señalar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no proporcionó nombre o seudónimo con el cual sea identificado, </w:t>
      </w:r>
      <w:r>
        <w:rPr>
          <w:rFonts w:ascii="Palatino Linotype" w:eastAsia="Palatino Linotype" w:hAnsi="Palatino Linotype" w:cs="Palatino Linotype"/>
          <w:color w:val="000000"/>
        </w:rPr>
        <w:t xml:space="preserve"> como se advierte en el detalle de seguimiento del SAIMEX, no obstante lo anterior, no proporcionar el nombre no es motivo para archivar la solicitud de acceso a la información pública como concluida, conforme a lo previsto en el artículo 155, </w:t>
      </w:r>
      <w:r>
        <w:rPr>
          <w:rFonts w:ascii="Palatino Linotype" w:eastAsia="Palatino Linotype" w:hAnsi="Palatino Linotype" w:cs="Palatino Linotype"/>
          <w:color w:val="000000"/>
        </w:rPr>
        <w:lastRenderedPageBreak/>
        <w:t>penúltimo párrafo de la Ley de Transparencia y Acceso a la Información Pública del Estado de México y Municipios que establece lo siguiente:</w:t>
      </w:r>
    </w:p>
    <w:p w14:paraId="7819DECA" w14:textId="77777777" w:rsidR="0052657E" w:rsidRDefault="00340731">
      <w:pPr>
        <w:spacing w:before="240" w:after="240" w:line="276" w:lineRule="auto"/>
        <w:ind w:left="851" w:right="900"/>
        <w:jc w:val="both"/>
        <w:rPr>
          <w:rFonts w:ascii="Palatino Linotype" w:eastAsia="Palatino Linotype" w:hAnsi="Palatino Linotype" w:cs="Palatino Linotype"/>
          <w:sz w:val="22"/>
          <w:szCs w:val="22"/>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Las solicitudes anónimas</w:t>
      </w:r>
      <w:r>
        <w:rPr>
          <w:rFonts w:ascii="Palatino Linotype" w:eastAsia="Palatino Linotype" w:hAnsi="Palatino Linotype" w:cs="Palatino Linotype"/>
          <w:i/>
          <w:color w:val="000000"/>
          <w:sz w:val="22"/>
          <w:szCs w:val="22"/>
        </w:rPr>
        <w:t xml:space="preserve">, con nombre incompleto o seudónimo </w:t>
      </w:r>
      <w:r>
        <w:rPr>
          <w:rFonts w:ascii="Palatino Linotype" w:eastAsia="Palatino Linotype" w:hAnsi="Palatino Linotype" w:cs="Palatino Linotype"/>
          <w:b/>
          <w:i/>
          <w:color w:val="000000"/>
          <w:sz w:val="22"/>
          <w:szCs w:val="22"/>
        </w:rPr>
        <w:t>serán procedentes para su trámite por parte del sujeto obligado ante quien se presente</w:t>
      </w:r>
      <w:r>
        <w:rPr>
          <w:rFonts w:ascii="Palatino Linotype" w:eastAsia="Palatino Linotype" w:hAnsi="Palatino Linotype" w:cs="Palatino Linotype"/>
          <w:i/>
          <w:color w:val="000000"/>
          <w:sz w:val="22"/>
          <w:szCs w:val="22"/>
        </w:rPr>
        <w:t>. No podrá requerirse información adicional con motivo del nombre proporcionado por el solicitante."</w:t>
      </w:r>
    </w:p>
    <w:p w14:paraId="1384D2F0"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14:paraId="699CF5DC"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 el recurrente en sus motivos de inconformidad, de acuerdo al artículo 179, fracción V del ordenamiento legal citado, que a la letra dice: </w:t>
      </w:r>
    </w:p>
    <w:p w14:paraId="4590ED5C" w14:textId="77777777" w:rsidR="0052657E" w:rsidRDefault="00340731">
      <w:pPr>
        <w:spacing w:before="240" w:after="24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63EEC699" w14:textId="77777777" w:rsidR="0052657E" w:rsidRDefault="00340731">
      <w:pPr>
        <w:spacing w:before="240" w:after="240" w:line="276" w:lineRule="auto"/>
        <w:ind w:left="993" w:right="902"/>
        <w:jc w:val="both"/>
        <w:rPr>
          <w:rFonts w:ascii="Palatino Linotype" w:eastAsia="Palatino Linotype" w:hAnsi="Palatino Linotype" w:cs="Palatino Linotype"/>
          <w:b/>
          <w:i/>
        </w:rPr>
      </w:pPr>
      <w:r>
        <w:rPr>
          <w:rFonts w:ascii="Palatino Linotype" w:eastAsia="Palatino Linotype" w:hAnsi="Palatino Linotype" w:cs="Palatino Linotype"/>
          <w:b/>
          <w:i/>
        </w:rPr>
        <w:t>...</w:t>
      </w:r>
    </w:p>
    <w:p w14:paraId="5A45D62A" w14:textId="77777777" w:rsidR="0052657E" w:rsidRDefault="00340731">
      <w:pPr>
        <w:spacing w:before="240" w:after="240" w:line="276" w:lineRule="auto"/>
        <w:ind w:left="993" w:right="902"/>
        <w:jc w:val="both"/>
        <w:rPr>
          <w:rFonts w:ascii="Palatino Linotype" w:eastAsia="Palatino Linotype" w:hAnsi="Palatino Linotype" w:cs="Palatino Linotype"/>
          <w:i/>
        </w:rPr>
      </w:pPr>
      <w:r>
        <w:rPr>
          <w:rFonts w:ascii="Palatino Linotype" w:eastAsia="Palatino Linotype" w:hAnsi="Palatino Linotype" w:cs="Palatino Linotype"/>
          <w:b/>
          <w:i/>
        </w:rPr>
        <w:t xml:space="preserve">X. </w:t>
      </w:r>
      <w:r>
        <w:rPr>
          <w:rFonts w:ascii="Palatino Linotype" w:eastAsia="Palatino Linotype" w:hAnsi="Palatino Linotype" w:cs="Palatino Linotype"/>
          <w:i/>
        </w:rPr>
        <w:t>Los costos o tiempos de entrega de la información;”</w:t>
      </w:r>
    </w:p>
    <w:p w14:paraId="4435E964"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 Materia de Revisión</w:t>
      </w:r>
      <w:r>
        <w:rPr>
          <w:rFonts w:ascii="Palatino Linotype" w:eastAsia="Palatino Linotype" w:hAnsi="Palatino Linotype" w:cs="Palatino Linotype"/>
        </w:rPr>
        <w:t xml:space="preserve">: 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información remitida por el SUJETO OBLIGADO es adecuada y suficiente para </w:t>
      </w:r>
      <w:r>
        <w:rPr>
          <w:rFonts w:ascii="Palatino Linotype" w:eastAsia="Palatino Linotype" w:hAnsi="Palatino Linotype" w:cs="Palatino Linotype"/>
          <w:b/>
        </w:rPr>
        <w:lastRenderedPageBreak/>
        <w:t xml:space="preserve">satisfacer el derecho de acceso a la información pública </w:t>
      </w:r>
      <w:r>
        <w:rPr>
          <w:rFonts w:ascii="Palatino Linotype" w:eastAsia="Palatino Linotype" w:hAnsi="Palatino Linotype" w:cs="Palatino Linotype"/>
        </w:rPr>
        <w:t xml:space="preserve">del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14:paraId="63477CE3" w14:textId="77777777" w:rsidR="0052657E" w:rsidRDefault="00340731">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 fondo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88F0F51" w14:textId="77777777" w:rsidR="0052657E" w:rsidRDefault="0034073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334B841F" w14:textId="77777777" w:rsidR="0052657E" w:rsidRDefault="00340731">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318701A" w14:textId="77777777" w:rsidR="0052657E" w:rsidRDefault="0034073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B91834B" w14:textId="77777777" w:rsidR="0052657E" w:rsidRDefault="00340731">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86692CF" w14:textId="77777777" w:rsidR="0052657E" w:rsidRDefault="0034073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421B02BD" w14:textId="77777777" w:rsidR="0052657E" w:rsidRDefault="00340731">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2144E9F3" w14:textId="77777777" w:rsidR="0052657E" w:rsidRDefault="0034073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6BCFC838" w14:textId="77777777" w:rsidR="0052657E" w:rsidRDefault="0034073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D410E59" w14:textId="77777777" w:rsidR="0052657E" w:rsidRDefault="00340731">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3D02580" w14:textId="77777777" w:rsidR="0052657E" w:rsidRDefault="0034073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433B900B" w14:textId="77777777" w:rsidR="0052657E" w:rsidRDefault="0034073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5F11C917" w14:textId="77777777" w:rsidR="0052657E" w:rsidRDefault="0034073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85C620E" w14:textId="77777777" w:rsidR="0052657E" w:rsidRDefault="0034073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1B2A7FBD" w14:textId="77777777" w:rsidR="0052657E" w:rsidRDefault="00340731">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8734888"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09B25F34" w14:textId="77777777" w:rsidR="0052657E" w:rsidRDefault="00340731">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AFB008B" w14:textId="77777777" w:rsidR="0052657E" w:rsidRDefault="00340731">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50A63F" w14:textId="77777777" w:rsidR="0052657E" w:rsidRDefault="00340731">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730678E1"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A584034" w14:textId="77777777" w:rsidR="0052657E" w:rsidRDefault="00340731">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6A3FD76" w14:textId="77777777" w:rsidR="0052657E" w:rsidRDefault="00340731">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sujetos obligados </w:t>
      </w:r>
      <w:r>
        <w:rPr>
          <w:rFonts w:ascii="Palatino Linotype" w:eastAsia="Palatino Linotype" w:hAnsi="Palatino Linotype" w:cs="Palatino Linotype"/>
          <w:b/>
          <w:i/>
          <w:sz w:val="22"/>
          <w:szCs w:val="22"/>
        </w:rPr>
        <w:t>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La obligación de proporcionar información no comprende el procesamiento de la misma, ni el presentarla conforme al interés del solicitante; no estarán obligados a generarla, resumirla, efectuar cálculos o practicar investigaciones.” (Sic)</w:t>
      </w:r>
    </w:p>
    <w:p w14:paraId="5C3F40ED" w14:textId="77777777" w:rsidR="0052657E" w:rsidRDefault="0034073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01AAB29F" w14:textId="77777777" w:rsidR="0052657E" w:rsidRDefault="00340731">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0C932E2B" w14:textId="77777777" w:rsidR="0052657E" w:rsidRDefault="00340731">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“NO EXISTE OBLIGACIÓN DE ELABORAR DOCUMENTOS AD HOC PARA ATENDER LAS SOLICITUDES DE ACCESO A LA INFORMACIÓN.</w:t>
      </w:r>
    </w:p>
    <w:p w14:paraId="055EE824" w14:textId="77777777" w:rsidR="0052657E" w:rsidRDefault="0034073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Los artículos 129 de la Ley General de Transparencia y Acceso a la Información Pública y 130, párrafo cuarto, de la Ley Federal de Transparencia y Acceso a la Información Pública, señalan </w:t>
      </w:r>
      <w:r>
        <w:rPr>
          <w:rFonts w:ascii="Palatino Linotype" w:eastAsia="Palatino Linotype" w:hAnsi="Palatino Linotype" w:cs="Palatino Linotype"/>
          <w:i/>
          <w:sz w:val="22"/>
          <w:szCs w:val="22"/>
        </w:rPr>
        <w:lastRenderedPageBreak/>
        <w:t>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4FC603F" w14:textId="77777777" w:rsidR="0052657E" w:rsidRDefault="0034073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1051DCC" w14:textId="77777777" w:rsidR="0052657E" w:rsidRDefault="0034073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C54BD94"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w:t>
      </w:r>
      <w:r>
        <w:rPr>
          <w:rFonts w:ascii="Palatino Linotype" w:eastAsia="Palatino Linotype" w:hAnsi="Palatino Linotype" w:cs="Palatino Linotype"/>
        </w:rPr>
        <w:lastRenderedPageBreak/>
        <w:t xml:space="preserve">medio, sea escrito, impreso, sonoro, visual, electrónico, informático u holográfico de conformidad con el artículo 3, fracción XI de la Ley de la materia, el cual señala lo siguiente: </w:t>
      </w:r>
    </w:p>
    <w:p w14:paraId="19F99F86" w14:textId="77777777" w:rsidR="0052657E" w:rsidRDefault="0034073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1869A4EF" w14:textId="77777777" w:rsidR="0052657E" w:rsidRDefault="0034073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27E922B7" w14:textId="77777777" w:rsidR="0052657E" w:rsidRDefault="00340731">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35E5A1AB"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577F922" w14:textId="77777777" w:rsidR="0052657E" w:rsidRDefault="00340731">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269D694A" w14:textId="77777777" w:rsidR="0052657E" w:rsidRDefault="0034073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FDD10D9" w14:textId="77777777" w:rsidR="0052657E" w:rsidRDefault="00340731">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14:paraId="5EDC5449" w14:textId="77777777" w:rsidR="0052657E" w:rsidRDefault="00340731">
      <w:pPr>
        <w:numPr>
          <w:ilvl w:val="0"/>
          <w:numId w:val="3"/>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459A4D4F" w14:textId="77777777" w:rsidR="0052657E" w:rsidRDefault="00340731">
      <w:pPr>
        <w:numPr>
          <w:ilvl w:val="0"/>
          <w:numId w:val="3"/>
        </w:numPr>
        <w:pBdr>
          <w:top w:val="nil"/>
          <w:left w:val="nil"/>
          <w:bottom w:val="nil"/>
          <w:right w:val="nil"/>
          <w:between w:val="nil"/>
        </w:pBdr>
        <w:spacing w:before="240" w:after="240" w:line="276" w:lineRule="auto"/>
        <w:ind w:left="993" w:right="567" w:firstLine="142"/>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4B94B2E7" w14:textId="77777777" w:rsidR="0052657E" w:rsidRDefault="00340731">
      <w:pPr>
        <w:spacing w:before="240" w:after="240" w:line="276" w:lineRule="auto"/>
        <w:ind w:left="993" w:right="567" w:firstLine="14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 (Sic)</w:t>
      </w:r>
    </w:p>
    <w:p w14:paraId="22A034A4"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7710408E" w14:textId="77777777" w:rsidR="0052657E" w:rsidRDefault="00340731">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previo análisis del presente asunto, conviene reiterar que el particular requirió que se le proporcionara la siguiente información: </w:t>
      </w:r>
    </w:p>
    <w:p w14:paraId="458984A4" w14:textId="77777777" w:rsidR="0052657E" w:rsidRDefault="00340731">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RECIBOS DE </w:t>
      </w:r>
      <w:r>
        <w:rPr>
          <w:rFonts w:ascii="Palatino Linotype" w:eastAsia="Palatino Linotype" w:hAnsi="Palatino Linotype" w:cs="Palatino Linotype"/>
        </w:rPr>
        <w:t>NÓMINA</w:t>
      </w:r>
      <w:r>
        <w:rPr>
          <w:rFonts w:ascii="Palatino Linotype" w:eastAsia="Palatino Linotype" w:hAnsi="Palatino Linotype" w:cs="Palatino Linotype"/>
          <w:color w:val="000000"/>
        </w:rPr>
        <w:t xml:space="preserve"> DEL PERSONAL DE LA DIRECCIÓN DE SERVICIOS PÚBLICOS CORRESPONDIENTE A LA SEGUNDA QUINCENA DEL MES DE ENERO DE 2022. </w:t>
      </w:r>
    </w:p>
    <w:p w14:paraId="47B26790" w14:textId="77777777" w:rsidR="0052657E" w:rsidRDefault="00340731">
      <w:pPr>
        <w:numPr>
          <w:ilvl w:val="0"/>
          <w:numId w:val="1"/>
        </w:num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PLANTILLA NOMINAL DE LA DIRECCIÓN DE SERVICIOS PÚBLICOS.</w:t>
      </w:r>
    </w:p>
    <w:p w14:paraId="223BCCF1" w14:textId="77777777" w:rsidR="0052657E" w:rsidRDefault="00340731">
      <w:pPr>
        <w:pBdr>
          <w:top w:val="nil"/>
          <w:left w:val="nil"/>
          <w:bottom w:val="nil"/>
          <w:right w:val="nil"/>
          <w:between w:val="nil"/>
        </w:pBdr>
        <w:spacing w:after="240" w:line="360" w:lineRule="auto"/>
        <w:ind w:right="-15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a través de la Unidad de Transparencia hizo de su conocimiento</w:t>
      </w:r>
      <w:r>
        <w:rPr>
          <w:rFonts w:ascii="Palatino Linotype" w:eastAsia="Palatino Linotype" w:hAnsi="Palatino Linotype" w:cs="Palatino Linotype"/>
        </w:rPr>
        <w:t xml:space="preserve"> que</w:t>
      </w:r>
      <w:r>
        <w:rPr>
          <w:rFonts w:ascii="Palatino Linotype" w:eastAsia="Palatino Linotype" w:hAnsi="Palatino Linotype" w:cs="Palatino Linotype"/>
          <w:color w:val="000000"/>
        </w:rPr>
        <w:t xml:space="preserve"> la jefa de recursos humanos le informa sobre el cobro de los recibos de nómina solicitados, de igual manera hace entrega de la plantilla nominal del personal del área de Servicios Públicos, siendo esta una lista la cual contiene nombres, adscripción, dirección y percepción bruta mensual y percepción neta mensual del personal. </w:t>
      </w:r>
    </w:p>
    <w:p w14:paraId="6B31F3EB" w14:textId="77777777" w:rsidR="0052657E" w:rsidRDefault="00340731">
      <w:pPr>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 xml:space="preserve">Al no estar conforme con los términos de la respuesta emitida, el particular presentó el recurso de revisión que nos ocupa, mediante el cual señaló, como motivo de inconformidad, que la información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le estaba ordenando pagar más de veinte mil pesos por información que es gratuita. Esto es solo se inconforma por el cambio de modalidad en la entrega de la información respecto a los recibos de nómina.</w:t>
      </w:r>
    </w:p>
    <w:p w14:paraId="76676B50" w14:textId="77777777" w:rsidR="0052657E" w:rsidRDefault="00340731">
      <w:pPr>
        <w:spacing w:before="240" w:after="36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satisface la solicitud presentada.</w:t>
      </w:r>
    </w:p>
    <w:p w14:paraId="788CE075" w14:textId="77777777" w:rsidR="0052657E" w:rsidRDefault="00340731">
      <w:pPr>
        <w:spacing w:before="240" w:after="360" w:line="360" w:lineRule="auto"/>
        <w:jc w:val="both"/>
      </w:pPr>
      <w:r>
        <w:rPr>
          <w:rFonts w:ascii="Palatino Linotype" w:eastAsia="Palatino Linotype" w:hAnsi="Palatino Linotype" w:cs="Palatino Linotype"/>
          <w:color w:val="000000"/>
        </w:rPr>
        <w:t xml:space="preserve">Lo anterior es así, debido a que cuando un recurrente impugna la respuesta del Sujeto Obligado, y </w:t>
      </w:r>
      <w:r>
        <w:rPr>
          <w:rFonts w:ascii="Palatino Linotype" w:eastAsia="Palatino Linotype" w:hAnsi="Palatino Linotype" w:cs="Palatino Linotype"/>
        </w:rPr>
        <w:t>e</w:t>
      </w:r>
      <w:r>
        <w:rPr>
          <w:rFonts w:ascii="Palatino Linotype" w:eastAsia="Palatino Linotype" w:hAnsi="Palatino Linotype" w:cs="Palatino Linotype"/>
          <w:color w:val="000000"/>
        </w:rPr>
        <w:t xml:space="preserve">ste no expresa razón o motivo de inconformidad en contra de todos los </w:t>
      </w:r>
      <w:r>
        <w:rPr>
          <w:rFonts w:ascii="Palatino Linotype" w:eastAsia="Palatino Linotype" w:hAnsi="Palatino Linotype" w:cs="Palatino Linotype"/>
          <w:color w:val="000000"/>
        </w:rPr>
        <w:lastRenderedPageBreak/>
        <w:t>rubros solicitados, dichos rubros deben declararse atendidos, pues se entiende que el recurrente está conforme con la información entregada al no contravenirla. Sirve de apoyo a lo anterior, por analogía, la Tesis Jurisprudencial Número 3ª./J.7/91, publicada en el Semanario Judicial de la Federación y su Gaceta bajo el número de registro 174,177, que establece lo siguiente:</w:t>
      </w:r>
    </w:p>
    <w:p w14:paraId="4F8BE735" w14:textId="77777777" w:rsidR="0052657E" w:rsidRDefault="00340731">
      <w:pPr>
        <w:spacing w:before="240" w:after="360"/>
        <w:ind w:left="851" w:right="615"/>
        <w:jc w:val="both"/>
      </w:pPr>
      <w:r>
        <w:rPr>
          <w:rFonts w:ascii="Palatino Linotype" w:eastAsia="Palatino Linotype" w:hAnsi="Palatino Linotype" w:cs="Palatino Linotype"/>
          <w:b/>
          <w:i/>
          <w:color w:val="000000"/>
          <w:sz w:val="18"/>
          <w:szCs w:val="18"/>
        </w:rPr>
        <w:t>“</w:t>
      </w:r>
      <w:r>
        <w:rPr>
          <w:rFonts w:ascii="Palatino Linotype" w:eastAsia="Palatino Linotype" w:hAnsi="Palatino Linotype" w:cs="Palatino Linotype"/>
          <w:b/>
          <w:i/>
          <w:color w:val="000000"/>
          <w:sz w:val="22"/>
          <w:szCs w:val="22"/>
        </w:rPr>
        <w:t xml:space="preserve">REVISIÓN EN AMPARO. LOS RESOLUTIVOS NO COMBATIDOS DEBEN DECLARARSE FIRMES. </w:t>
      </w:r>
      <w:r>
        <w:rPr>
          <w:rFonts w:ascii="Palatino Linotype" w:eastAsia="Palatino Linotype" w:hAnsi="Palatino Linotype" w:cs="Palatino Linotype"/>
          <w:i/>
          <w:color w:val="000000"/>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531BC16" w14:textId="77777777" w:rsidR="0052657E" w:rsidRDefault="00340731">
      <w:pPr>
        <w:spacing w:before="240" w:after="240" w:line="360" w:lineRule="auto"/>
        <w:jc w:val="both"/>
      </w:pPr>
      <w:r>
        <w:rPr>
          <w:rFonts w:ascii="Palatino Linotype" w:eastAsia="Palatino Linotype" w:hAnsi="Palatino Linotype" w:cs="Palatino Linotype"/>
          <w:color w:val="000000"/>
        </w:rPr>
        <w:t xml:space="preserve">Consecuentemente, se insiste, ante la falta de impugnación eficaz, la respuesta entregada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debe declararse consentida por el particular.</w:t>
      </w:r>
    </w:p>
    <w:p w14:paraId="20097E0C" w14:textId="77777777" w:rsidR="0052657E" w:rsidRDefault="00340731">
      <w:pPr>
        <w:spacing w:before="240" w:after="240" w:line="360" w:lineRule="auto"/>
        <w:jc w:val="both"/>
      </w:pPr>
      <w:r>
        <w:rPr>
          <w:rFonts w:ascii="Palatino Linotype" w:eastAsia="Palatino Linotype" w:hAnsi="Palatino Linotype" w:cs="Palatino Linotype"/>
          <w:color w:val="000000"/>
        </w:rPr>
        <w:t>Lo anterior se sustenta con lo plasmado en el criterio 01-20 emitido por el Instituto Nacional de Transparencia, Acceso a la Información, y Protección de Datos Personales (INAI), que lleva por rubro y texto los siguientes: </w:t>
      </w:r>
    </w:p>
    <w:p w14:paraId="273554F9" w14:textId="77777777" w:rsidR="0052657E" w:rsidRDefault="00340731">
      <w:pPr>
        <w:spacing w:before="120" w:after="120"/>
        <w:ind w:left="851" w:right="902"/>
        <w:jc w:val="both"/>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sz w:val="22"/>
          <w:szCs w:val="22"/>
        </w:rPr>
        <w:t xml:space="preserve">Actos consentidos tácitamente. Improcedencia de su análisis. </w:t>
      </w:r>
      <w:r>
        <w:rPr>
          <w:rFonts w:ascii="Palatino Linotype" w:eastAsia="Palatino Linotype" w:hAnsi="Palatino Linotype" w:cs="Palatino Linotype"/>
          <w:i/>
          <w:color w:val="000000"/>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44099A4A"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respecto a los recibos de nómina de la segunda quincena de enero de dos mil veintidós del personal de la Dirección de Servicios Públicos, como ya se señaló el Sujeto Obligado en respuesta a la solicitud de información refirió que se expedirán copias simples y que para ello será necesario cubrir el costo correspondiente a 996 hojas, que </w:t>
      </w:r>
      <w:r>
        <w:rPr>
          <w:rFonts w:ascii="Palatino Linotype" w:eastAsia="Palatino Linotype" w:hAnsi="Palatino Linotype" w:cs="Palatino Linotype"/>
        </w:rPr>
        <w:lastRenderedPageBreak/>
        <w:t xml:space="preserve">asciende a un total de $21,463.80, asimismo le indica el procedimiento para realizar el pago y entrega de la información. </w:t>
      </w:r>
    </w:p>
    <w:p w14:paraId="3F70EDD0"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Mediante informe justificado agregó que ello se debe a que no cuenta con facultades para tener la digitalización de los documentos que requiere, lo que implica que tenga que realizar acciones para poder entregar la información, que además es necesario elaborar la versión pública de la totalidad de la información lo cual implica las siguientes actividades, búsqueda de documentos que implica análisis, estudio y procesamiento por expediente de cada servidor Público, la elaboración de clasificación de datos y por ende la elaboración de su versión pública. Que los recibos de nómina no se encuentran digitalizados y ni en versión pública en virtud de que no se trata de una obligación por parte de ese Sujeto Obligado, por lo que resulta insuficiente el recurso humano con el que cuenta el Servidor Público Habilitado, por ello cambia la modalidad de entrega. </w:t>
      </w:r>
    </w:p>
    <w:p w14:paraId="6A6011BD" w14:textId="77777777" w:rsidR="0052657E" w:rsidRDefault="00340731">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dado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ha reconocido expresamente que cuenta con la información que colmaría la solicitud interpuesta por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a nada práctico nos llevaría el estudio de la fuente obligacional, en razón de que dicho análisis se efectúa con la finalidad de determinar si los Sujetos Obligados generan, administran o poseen la información que les fue requerida, de manera que, en el presente caso, privilegiando los principios de máxima publicidad, certeza jurídica, y gratuidad de la información pública, lo procedente es verificar si la respuesta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resulta ser suficiente para colmar con el derecho al acceso a la información de la particular.</w:t>
      </w:r>
    </w:p>
    <w:p w14:paraId="02955CF3" w14:textId="77777777" w:rsidR="0052657E" w:rsidRDefault="00340731">
      <w:pPr>
        <w:spacing w:before="240" w:after="240" w:line="360" w:lineRule="auto"/>
        <w:jc w:val="both"/>
      </w:pPr>
      <w:r>
        <w:rPr>
          <w:rFonts w:ascii="Palatino Linotype" w:eastAsia="Palatino Linotype" w:hAnsi="Palatino Linotype" w:cs="Palatino Linotype"/>
          <w:color w:val="000000"/>
        </w:rPr>
        <w:lastRenderedPageBreak/>
        <w:t xml:space="preserve">En tal contexto, y del análisis de las constancias que integran el expediente en que se actúa, así como de la materia sobre la que versa la solicitud de acceso a la información pública, se advierte que las razones o motivos de inconformidad devienen fundados, en razón de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no proporcionó la totalidad de la información que le fue requerida, a pesar de haber reconocido, de manera expresa, que cuenta con ella, por tal motivo el derecho de acceso de la parte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no ha quedado colmado, toda vez que se </w:t>
      </w:r>
      <w:r>
        <w:rPr>
          <w:rFonts w:ascii="Palatino Linotype" w:eastAsia="Palatino Linotype" w:hAnsi="Palatino Linotype" w:cs="Palatino Linotype"/>
        </w:rPr>
        <w:t>condiciona</w:t>
      </w:r>
      <w:r>
        <w:rPr>
          <w:rFonts w:ascii="Palatino Linotype" w:eastAsia="Palatino Linotype" w:hAnsi="Palatino Linotype" w:cs="Palatino Linotype"/>
          <w:color w:val="000000"/>
        </w:rPr>
        <w:t xml:space="preserve"> la entrega de dicha información a la realización de un pago por concepto de derechos para la expedición de copias simples bajo el argumento de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no cuenta con la obligatoriedad para tener la digitalización de los documentos requeridos, lo que implica que se tengan que realizar acciones para poder entregar la información que se solicita y que rebasa su capacidad.</w:t>
      </w:r>
    </w:p>
    <w:p w14:paraId="371B8F39"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tal contexto respecto al pago requerido debemos partir de la premisa de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 </w:t>
      </w:r>
      <w:r>
        <w:rPr>
          <w:rFonts w:ascii="Palatino Linotype" w:eastAsia="Palatino Linotype" w:hAnsi="Palatino Linotype" w:cs="Palatino Linotype"/>
          <w:b/>
        </w:rPr>
        <w:t>gratuidad</w:t>
      </w:r>
      <w:r>
        <w:rPr>
          <w:rFonts w:ascii="Palatino Linotype" w:eastAsia="Palatino Linotype" w:hAnsi="Palatino Linotype" w:cs="Palatino Linotype"/>
        </w:rPr>
        <w:t>, de certeza, de celeridad, de objetividad, entre otros.</w:t>
      </w:r>
    </w:p>
    <w:p w14:paraId="37525959"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 </w:t>
      </w:r>
    </w:p>
    <w:p w14:paraId="6D3A7B6E"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Pr>
          <w:rFonts w:ascii="Palatino Linotype" w:eastAsia="Palatino Linotype" w:hAnsi="Palatino Linotype" w:cs="Palatino Linotype"/>
          <w:b/>
        </w:rPr>
        <w:t>reproducción</w:t>
      </w:r>
      <w:r>
        <w:rPr>
          <w:rFonts w:ascii="Palatino Linotype" w:eastAsia="Palatino Linotype" w:hAnsi="Palatino Linotype" w:cs="Palatino Linotype"/>
        </w:rPr>
        <w:t xml:space="preserve"> de la información, y en su caso del costo de </w:t>
      </w:r>
      <w:r>
        <w:rPr>
          <w:rFonts w:ascii="Palatino Linotype" w:eastAsia="Palatino Linotype" w:hAnsi="Palatino Linotype" w:cs="Palatino Linotype"/>
          <w:b/>
        </w:rPr>
        <w:t>envío</w:t>
      </w:r>
      <w:r>
        <w:rPr>
          <w:rFonts w:ascii="Palatino Linotype" w:eastAsia="Palatino Linotype" w:hAnsi="Palatino Linotype" w:cs="Palatino Linotype"/>
        </w:rPr>
        <w:t>, finalmente, conlleva implícitamente un esfuerzo por parte de los Sujetos Obligados para reducir los costos de entrega de la información.</w:t>
      </w:r>
    </w:p>
    <w:p w14:paraId="779E0B77"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Atento a lo anterior,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052AD2A3"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otra parte,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w:t>
      </w:r>
      <w:r>
        <w:rPr>
          <w:rFonts w:ascii="Palatino Linotype" w:eastAsia="Palatino Linotype" w:hAnsi="Palatino Linotype" w:cs="Palatino Linotype"/>
          <w:b/>
          <w:i/>
        </w:rPr>
        <w:t>gratuitos</w:t>
      </w:r>
      <w:r>
        <w:rPr>
          <w:rFonts w:ascii="Palatino Linotype" w:eastAsia="Palatino Linotype" w:hAnsi="Palatino Linotype" w:cs="Palatino Linotype"/>
        </w:rPr>
        <w:t xml:space="preserve">, refiere en los artículos 17 y 150, que la búsqueda y acceso a la información es gratuita y </w:t>
      </w:r>
      <w:r>
        <w:rPr>
          <w:rFonts w:ascii="Palatino Linotype" w:eastAsia="Palatino Linotype" w:hAnsi="Palatino Linotype" w:cs="Palatino Linotype"/>
          <w:b/>
          <w:i/>
        </w:rPr>
        <w:t xml:space="preserve">sólo se cubrirá en su caso, los gastos de reproducción, </w:t>
      </w:r>
      <w:r>
        <w:rPr>
          <w:rFonts w:ascii="Palatino Linotype" w:eastAsia="Palatino Linotype" w:hAnsi="Palatino Linotype" w:cs="Palatino Linotype"/>
          <w:b/>
          <w:i/>
          <w:u w:val="single"/>
        </w:rPr>
        <w:t>por la modalidad de entrega solicitada, o por el envió</w:t>
      </w:r>
      <w:r>
        <w:rPr>
          <w:rFonts w:ascii="Palatino Linotype" w:eastAsia="Palatino Linotype" w:hAnsi="Palatino Linotype" w:cs="Palatino Linotype"/>
          <w:u w:val="single"/>
        </w:rPr>
        <w:t xml:space="preserve"> </w:t>
      </w:r>
      <w:r>
        <w:rPr>
          <w:rFonts w:ascii="Palatino Linotype" w:eastAsia="Palatino Linotype" w:hAnsi="Palatino Linotype" w:cs="Palatino Linotype"/>
        </w:rPr>
        <w:t xml:space="preserve">de conformidad con los derechos, productos y aprovechamientos establecidos en la legislación aplicable, en razón de que el procedimiento de acceso a la información es la garantía primaria del derecho en cuestión y </w:t>
      </w:r>
      <w:r>
        <w:rPr>
          <w:rFonts w:ascii="Palatino Linotype" w:eastAsia="Palatino Linotype" w:hAnsi="Palatino Linotype" w:cs="Palatino Linotype"/>
          <w:i/>
        </w:rPr>
        <w:t>se rige por los principios de simplicidad, rapidez</w:t>
      </w:r>
      <w:r>
        <w:rPr>
          <w:rFonts w:ascii="Palatino Linotype" w:eastAsia="Palatino Linotype" w:hAnsi="Palatino Linotype" w:cs="Palatino Linotype"/>
        </w:rPr>
        <w:t xml:space="preserve">, </w:t>
      </w:r>
      <w:r>
        <w:rPr>
          <w:rFonts w:ascii="Palatino Linotype" w:eastAsia="Palatino Linotype" w:hAnsi="Palatino Linotype" w:cs="Palatino Linotype"/>
          <w:i/>
        </w:rPr>
        <w:t>gratuidad</w:t>
      </w:r>
      <w:r>
        <w:rPr>
          <w:rFonts w:ascii="Palatino Linotype" w:eastAsia="Palatino Linotype" w:hAnsi="Palatino Linotype" w:cs="Palatino Linotype"/>
        </w:rPr>
        <w:t xml:space="preserve">, auxilio y orientación a los particulares, en virtud de que constituye el primer </w:t>
      </w:r>
      <w:r>
        <w:rPr>
          <w:rFonts w:ascii="Palatino Linotype" w:eastAsia="Palatino Linotype" w:hAnsi="Palatino Linotype" w:cs="Palatino Linotype"/>
        </w:rPr>
        <w:lastRenderedPageBreak/>
        <w:t>paso para integrar activamente a la ciudadanía en la acción gubernamental, toda vez que con la información proporcionada por medio de las políticas de transparencia, los ciudadanos son partícipes de las acciones realizadas por los entes públicos, lo que favorece la rendición de cuentas.</w:t>
      </w:r>
    </w:p>
    <w:p w14:paraId="56DF7B2C"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Pr>
          <w:rFonts w:ascii="Palatino Linotype" w:eastAsia="Palatino Linotype" w:hAnsi="Palatino Linotype" w:cs="Palatino Linotype"/>
          <w:b/>
          <w:i/>
        </w:rPr>
        <w:t>en caso de que se tenga que generar un gasto por la reproducción, por el envío, o por la modalidad de entrega solicitada</w:t>
      </w:r>
      <w:r>
        <w:rPr>
          <w:rFonts w:ascii="Palatino Linotype" w:eastAsia="Palatino Linotype" w:hAnsi="Palatino Linotype" w:cs="Palatino Linotype"/>
        </w:rPr>
        <w:t>, supuestos que encuadran con lo establecido en los artículos 9 fracción III, 17, 165, 174, 175 de la Ley de Acceso a la Información Pública del Estado de México y Municipios, así como el artículo 4.22 de su Reglamento.</w:t>
      </w:r>
    </w:p>
    <w:p w14:paraId="56853D85"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No obstante, en el caso concreto, dichos preceptos son interpretados en perjuicio de la solicitante, como se explica enseguida, para lo cual es necesario hacer referencia a los mismos en su parte conducente: </w:t>
      </w:r>
    </w:p>
    <w:p w14:paraId="5095FECB"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i/>
          <w:sz w:val="22"/>
          <w:szCs w:val="22"/>
        </w:rPr>
        <w:t xml:space="preserve">Artículo 9. </w:t>
      </w:r>
      <w:r>
        <w:rPr>
          <w:rFonts w:ascii="Palatino Linotype" w:eastAsia="Palatino Linotype" w:hAnsi="Palatino Linotype" w:cs="Palatino Linotype"/>
          <w:i/>
          <w:sz w:val="22"/>
          <w:szCs w:val="22"/>
        </w:rPr>
        <w:t xml:space="preserve">El Instituto deberá regir su funcionamiento de acuerdo a los siguientes </w:t>
      </w:r>
    </w:p>
    <w:p w14:paraId="255C85AB"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principios:</w:t>
      </w:r>
    </w:p>
    <w:p w14:paraId="6980B561" w14:textId="77777777" w:rsidR="0052657E" w:rsidRDefault="00340731">
      <w:pPr>
        <w:spacing w:before="280" w:after="280" w:line="276" w:lineRule="auto"/>
        <w:ind w:left="567" w:right="61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w:t>
      </w:r>
    </w:p>
    <w:p w14:paraId="09BB364A"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Gratuidad:</w:t>
      </w:r>
      <w:r>
        <w:rPr>
          <w:rFonts w:ascii="Palatino Linotype" w:eastAsia="Palatino Linotype" w:hAnsi="Palatino Linotype" w:cs="Palatino Linotype"/>
          <w:i/>
          <w:sz w:val="22"/>
          <w:szCs w:val="22"/>
        </w:rPr>
        <w:t xml:space="preserve"> Consiste en que el acceso a la información pública no genera costo alguno para los solicitantes, </w:t>
      </w:r>
      <w:r>
        <w:rPr>
          <w:rFonts w:ascii="Palatino Linotype" w:eastAsia="Palatino Linotype" w:hAnsi="Palatino Linotype" w:cs="Palatino Linotype"/>
          <w:b/>
          <w:i/>
          <w:sz w:val="22"/>
          <w:szCs w:val="22"/>
        </w:rPr>
        <w:t>sólo podrá requerirse el cobro correspondiente a la modalidad de reproducción y</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entrega solicitada</w:t>
      </w:r>
      <w:r>
        <w:rPr>
          <w:rFonts w:ascii="Palatino Linotype" w:eastAsia="Palatino Linotype" w:hAnsi="Palatino Linotype" w:cs="Palatino Linotype"/>
          <w:i/>
          <w:sz w:val="22"/>
          <w:szCs w:val="22"/>
        </w:rPr>
        <w:t xml:space="preserve"> conforme a lo establecido en la presente Ley y demás disposiciones jurídicas aplicables;</w:t>
      </w:r>
    </w:p>
    <w:p w14:paraId="6E1E6582"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p>
    <w:p w14:paraId="1F292803"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w:t>
      </w:r>
      <w:r>
        <w:rPr>
          <w:rFonts w:ascii="Palatino Linotype" w:eastAsia="Palatino Linotype" w:hAnsi="Palatino Linotype" w:cs="Palatino Linotype"/>
          <w:i/>
          <w:sz w:val="22"/>
          <w:szCs w:val="22"/>
        </w:rPr>
        <w:t xml:space="preserve"> La búsqueda y acceso a la información es gratuita y </w:t>
      </w:r>
      <w:r>
        <w:rPr>
          <w:rFonts w:ascii="Palatino Linotype" w:eastAsia="Palatino Linotype" w:hAnsi="Palatino Linotype" w:cs="Palatino Linotype"/>
          <w:b/>
          <w:i/>
          <w:sz w:val="22"/>
          <w:szCs w:val="22"/>
        </w:rPr>
        <w:t>solo se cubrirán los gastos de reproducción, o por la modalidad de entrega solicitada, así como por el envío,</w:t>
      </w:r>
      <w:r>
        <w:rPr>
          <w:rFonts w:ascii="Palatino Linotype" w:eastAsia="Palatino Linotype" w:hAnsi="Palatino Linotype" w:cs="Palatino Linotype"/>
          <w:i/>
          <w:sz w:val="22"/>
          <w:szCs w:val="22"/>
        </w:rPr>
        <w:t xml:space="preserve"> que en su caso se genere, de conformidad con los derechos, productos y aprovechamientos establecidos en la legislación aplicable, sin que exceda de los límites establecidos en la presente Ley.</w:t>
      </w:r>
    </w:p>
    <w:p w14:paraId="08F0B144"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14CD3DB2" w14:textId="77777777" w:rsidR="0052657E" w:rsidRDefault="00340731">
      <w:pPr>
        <w:spacing w:before="280" w:after="280" w:line="276" w:lineRule="auto"/>
        <w:ind w:left="567" w:right="61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165. …</w:t>
      </w:r>
    </w:p>
    <w:p w14:paraId="20C48DCA"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 información que se entregue en versión pública, </w:t>
      </w:r>
      <w:r>
        <w:rPr>
          <w:rFonts w:ascii="Palatino Linotype" w:eastAsia="Palatino Linotype" w:hAnsi="Palatino Linotype" w:cs="Palatino Linotype"/>
          <w:b/>
          <w:i/>
          <w:sz w:val="22"/>
          <w:szCs w:val="22"/>
        </w:rPr>
        <w:t>cuya modalidad de reproducción o envío tenga un costo,</w:t>
      </w:r>
      <w:r>
        <w:rPr>
          <w:rFonts w:ascii="Palatino Linotype" w:eastAsia="Palatino Linotype" w:hAnsi="Palatino Linotype" w:cs="Palatino Linotype"/>
          <w:i/>
          <w:sz w:val="22"/>
          <w:szCs w:val="22"/>
        </w:rPr>
        <w:t xml:space="preserve"> procederá una vez que se acredite el pago respectivo. No puede entenderse como reproducción la elaboración de la misma.</w:t>
      </w:r>
    </w:p>
    <w:p w14:paraId="2F8033BC"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44D735C" w14:textId="77777777" w:rsidR="0052657E" w:rsidRDefault="00340731">
      <w:pPr>
        <w:spacing w:before="280" w:after="280" w:line="276" w:lineRule="auto"/>
        <w:ind w:left="567" w:right="61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 xml:space="preserve">Artículo 174. En caso de existir costos para obtener la información </w:t>
      </w:r>
      <w:r>
        <w:rPr>
          <w:rFonts w:ascii="Palatino Linotype" w:eastAsia="Palatino Linotype" w:hAnsi="Palatino Linotype" w:cs="Palatino Linotype"/>
          <w:i/>
          <w:sz w:val="22"/>
          <w:szCs w:val="22"/>
        </w:rPr>
        <w:t xml:space="preserve">deberán cubrirse de manera previa a la entrega y </w:t>
      </w:r>
      <w:r>
        <w:rPr>
          <w:rFonts w:ascii="Palatino Linotype" w:eastAsia="Palatino Linotype" w:hAnsi="Palatino Linotype" w:cs="Palatino Linotype"/>
          <w:b/>
          <w:i/>
          <w:sz w:val="22"/>
          <w:szCs w:val="22"/>
        </w:rPr>
        <w:t xml:space="preserve">no podrán ser superiores a la suma de: </w:t>
      </w:r>
    </w:p>
    <w:p w14:paraId="0A4F75E1"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 El costo de los materiales utilizados en la reproducción</w:t>
      </w:r>
      <w:r>
        <w:rPr>
          <w:rFonts w:ascii="Palatino Linotype" w:eastAsia="Palatino Linotype" w:hAnsi="Palatino Linotype" w:cs="Palatino Linotype"/>
          <w:i/>
          <w:sz w:val="22"/>
          <w:szCs w:val="22"/>
        </w:rPr>
        <w:t xml:space="preserve"> de la información;</w:t>
      </w:r>
    </w:p>
    <w:p w14:paraId="2569E9F8"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 El costo de envío,</w:t>
      </w:r>
      <w:r>
        <w:rPr>
          <w:rFonts w:ascii="Palatino Linotype" w:eastAsia="Palatino Linotype" w:hAnsi="Palatino Linotype" w:cs="Palatino Linotype"/>
          <w:i/>
          <w:sz w:val="22"/>
          <w:szCs w:val="22"/>
        </w:rPr>
        <w:t xml:space="preserve"> en su caso; y</w:t>
      </w:r>
    </w:p>
    <w:p w14:paraId="6B418F88"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 El pago de la certificación de los documentos,</w:t>
      </w:r>
      <w:r>
        <w:rPr>
          <w:rFonts w:ascii="Palatino Linotype" w:eastAsia="Palatino Linotype" w:hAnsi="Palatino Linotype" w:cs="Palatino Linotype"/>
          <w:i/>
          <w:sz w:val="22"/>
          <w:szCs w:val="22"/>
        </w:rPr>
        <w:t xml:space="preserve"> cuando proceda.</w:t>
      </w:r>
    </w:p>
    <w:p w14:paraId="4D2C3656"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Las cuotas de los derechos aplicables deberán establecerse, en su caso, en el </w:t>
      </w:r>
      <w:r>
        <w:rPr>
          <w:rFonts w:ascii="Palatino Linotype" w:eastAsia="Palatino Linotype" w:hAnsi="Palatino Linotype" w:cs="Palatino Linotype"/>
          <w:b/>
          <w:i/>
          <w:sz w:val="22"/>
          <w:szCs w:val="22"/>
        </w:rPr>
        <w:t xml:space="preserve">Código Financiero del Estado de México y Municipios </w:t>
      </w:r>
      <w:r>
        <w:rPr>
          <w:rFonts w:ascii="Palatino Linotype" w:eastAsia="Palatino Linotype" w:hAnsi="Palatino Linotype" w:cs="Palatino Linotype"/>
          <w:i/>
          <w:sz w:val="22"/>
          <w:szCs w:val="22"/>
        </w:rPr>
        <w:t>y demás disposiciones jurídicas aplicables, las cuales se publicarán en los sitios de internet de los sujetos obligados…”</w:t>
      </w:r>
    </w:p>
    <w:p w14:paraId="342D6AAB"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4D61EB67" w14:textId="77777777" w:rsidR="0052657E" w:rsidRDefault="00340731">
      <w:pPr>
        <w:spacing w:before="280" w:after="280" w:line="276" w:lineRule="auto"/>
        <w:ind w:left="567" w:right="615"/>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175. …</w:t>
      </w:r>
    </w:p>
    <w:p w14:paraId="40909A9F" w14:textId="77777777" w:rsidR="0052657E" w:rsidRDefault="00340731">
      <w:pPr>
        <w:spacing w:before="280" w:after="280" w:line="276" w:lineRule="auto"/>
        <w:ind w:left="567" w:right="615"/>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En ningún caso, el pago de derechos deberá exceder el </w:t>
      </w:r>
      <w:r>
        <w:rPr>
          <w:rFonts w:ascii="Palatino Linotype" w:eastAsia="Palatino Linotype" w:hAnsi="Palatino Linotype" w:cs="Palatino Linotype"/>
          <w:b/>
          <w:i/>
          <w:sz w:val="22"/>
          <w:szCs w:val="22"/>
        </w:rPr>
        <w:t>costo de reproducción de la información en el material solicitado.”</w:t>
      </w:r>
    </w:p>
    <w:p w14:paraId="06889531" w14:textId="77777777" w:rsidR="0052657E" w:rsidRDefault="00340731">
      <w:pPr>
        <w:spacing w:before="280" w:after="280" w:line="276" w:lineRule="auto"/>
        <w:ind w:left="567"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 xml:space="preserve">Artículo 4.22.- </w:t>
      </w:r>
      <w:r>
        <w:rPr>
          <w:rFonts w:ascii="Palatino Linotype" w:eastAsia="Palatino Linotype" w:hAnsi="Palatino Linotype" w:cs="Palatino Linotype"/>
          <w:i/>
          <w:sz w:val="22"/>
          <w:szCs w:val="22"/>
        </w:rPr>
        <w:t>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40D01A98"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efecto, de los preceptos citados se desprende que Ley de la Materia estableció el cobró de derechos para la entrega de la información, con el objeto de que se cubran los costos de los materiales utilizados en la reproducción de la información, el costo por el envió de la misma o el pago por la certificación; sin embargo, en el caso que nos ocupa, no se estima que se actualice alguno de los supuestos previstos en la norma, toda vez que la solicitante requirió la información a través del sistema SAIMEX, por lo tanto no se le está requiriendo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que expida copias certificadas o que reproduzca la información que ya asumió poseer, en cualquier otro medio físico, sino que proporcione la información de manera electrónica, en otras palabras, con la finalidad de satisfacer la solicitud, </w:t>
      </w:r>
      <w:r>
        <w:rPr>
          <w:rFonts w:ascii="Palatino Linotype" w:eastAsia="Palatino Linotype" w:hAnsi="Palatino Linotype" w:cs="Palatino Linotype"/>
          <w:b/>
        </w:rPr>
        <w:t>no es necesario que el SUJETO OBLIGADO realice una reproducción física de la información que conserva en sus archivos,</w:t>
      </w:r>
      <w:r>
        <w:rPr>
          <w:rFonts w:ascii="Palatino Linotype" w:eastAsia="Palatino Linotype" w:hAnsi="Palatino Linotype" w:cs="Palatino Linotype"/>
        </w:rPr>
        <w:t xml:space="preserve"> más bien implicaría realizar una digitalización o escaneo de aquellos documentos que por su naturaleza se encuentran en un medio físico.</w:t>
      </w:r>
    </w:p>
    <w:p w14:paraId="0A990FFD"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necesario precisar que la digitalización o escaneo de la información, no conlleva la utilización de materiales que le generen un costo, como podría serlo por ejemplo hojas de papel para la emisión de copias; de igual manera, tampoco se actualiza el cobro por certificación, ya que la parte solicitante no requirió la entrega en dicha modalidad, así </w:t>
      </w:r>
      <w:r>
        <w:rPr>
          <w:rFonts w:ascii="Palatino Linotype" w:eastAsia="Palatino Linotype" w:hAnsi="Palatino Linotype" w:cs="Palatino Linotype"/>
        </w:rPr>
        <w:lastRenderedPageBreak/>
        <w:t>tampoco se genera un gasto por el envió de la información, ya que una de la finalidades de la utilización del sistema SAIMEX es evitar la generación de gastos tanto para los solicitantes como para los Sujetos Obligados, pues se trata de un sistema electrónico que para acceder al mismo no necesita recurso alguno, sino solamente la conexión a un sistema de internet.</w:t>
      </w:r>
    </w:p>
    <w:p w14:paraId="2D071D6D"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Aunado a lo anterior, la exposición de motivos de la Ley de Transparencia y Acceso a la Información Pública del Estado de México y Municipios señala que se adoptará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que en el artículo 24 fracción XXIII dispone como obligación de los entes públicos, la de procurar la digitalización de toda la información pública en su poder, mientras que diverso 175 prevé que la información que deban publicar los Sujetos Obligados en términos de la Ley o deba ser generada de manera electrónica, según lo dispongan las disposiciones legales o administrativas no podrán tener </w:t>
      </w:r>
      <w:r>
        <w:rPr>
          <w:rFonts w:ascii="Palatino Linotype" w:eastAsia="Palatino Linotype" w:hAnsi="Palatino Linotype" w:cs="Palatino Linotype"/>
          <w:b/>
          <w:i/>
        </w:rPr>
        <w:t>ningún costo</w:t>
      </w:r>
      <w:r>
        <w:rPr>
          <w:rFonts w:ascii="Palatino Linotype" w:eastAsia="Palatino Linotype" w:hAnsi="Palatino Linotype" w:cs="Palatino Linotype"/>
          <w:i/>
        </w:rPr>
        <w:t>,</w:t>
      </w:r>
      <w:r>
        <w:rPr>
          <w:rFonts w:ascii="Palatino Linotype" w:eastAsia="Palatino Linotype" w:hAnsi="Palatino Linotype" w:cs="Palatino Linotype"/>
        </w:rPr>
        <w:t xml:space="preserve"> incluyendo aquella que se hubiera digitalizado previamente por cualquier motivo, y aún menos en aquellos casos en que la modalidad de entrega sea por medio de la plataforma o vía electrónica.</w:t>
      </w:r>
    </w:p>
    <w:p w14:paraId="0500A123"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no existe presupuesto jurídico que autorice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requerir un pago para entregar la información vía SAIMEX, debido a que dicho sistema fue creado para facilitar el registro y atención de las solicitudes de información, y es su obligación trasladar la información de un soporte físico a uno electrónico y cuidar que los medios </w:t>
      </w:r>
      <w:r>
        <w:rPr>
          <w:rFonts w:ascii="Palatino Linotype" w:eastAsia="Palatino Linotype" w:hAnsi="Palatino Linotype" w:cs="Palatino Linotype"/>
        </w:rPr>
        <w:lastRenderedPageBreak/>
        <w:t>electrónicos o impresos en los que conste tanto información pública, como confidencial y reservada se entreguen en versión pública en los casos que eso resulte necesario.</w:t>
      </w:r>
    </w:p>
    <w:p w14:paraId="04327A95" w14:textId="77777777" w:rsidR="0052657E" w:rsidRDefault="00340731">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Pensar lo contrario, sería tanto como reconocer que la utilización del sistema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cierta información no existe la obligación de tenerla digitalizada.</w:t>
      </w:r>
    </w:p>
    <w:p w14:paraId="1F9568D1" w14:textId="77777777" w:rsidR="0052657E" w:rsidRDefault="00340731">
      <w:pPr>
        <w:spacing w:before="240" w:after="240" w:line="360" w:lineRule="auto"/>
        <w:jc w:val="both"/>
      </w:pPr>
      <w:r>
        <w:rPr>
          <w:rFonts w:ascii="Palatino Linotype" w:eastAsia="Palatino Linotype" w:hAnsi="Palatino Linotype" w:cs="Palatino Linotype"/>
          <w:color w:val="000000"/>
        </w:rPr>
        <w:t xml:space="preserve">Bajo esta óptica, el derecho del particular de acceder a los documentos que obran en posesión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 xml:space="preserve">se encuentra limitado, en virtud de que no le fue proporcionada la información solicitada, incumpliendo así lo previsto en el artículo 4 de la Ley de la Materia; apegándose en todo momento al principio de máxima publicidad consagrado en la Constitución Política de los Estados Unidos Mexicanos, en la Constitución Política del Estado Libre y Soberano de México y demás relativos y aplicables en la Materia, al establecer que toda información en posesión de cualquier autoridad, entidad, órgano y organismo federal, estatal y municipal, es pública y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14:paraId="41E2E6BA" w14:textId="77777777" w:rsidR="0052657E" w:rsidRDefault="00340731">
      <w:pPr>
        <w:spacing w:before="240" w:after="240" w:line="360" w:lineRule="auto"/>
        <w:jc w:val="both"/>
      </w:pPr>
      <w:r>
        <w:rPr>
          <w:rFonts w:ascii="Palatino Linotype" w:eastAsia="Palatino Linotype" w:hAnsi="Palatino Linotype" w:cs="Palatino Linotype"/>
          <w:color w:val="000000"/>
        </w:rPr>
        <w:lastRenderedPageBreak/>
        <w:t xml:space="preserve">Finalmente, bajo los argumentos expuestos, y toda vez que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señaló de manera expresa que no está obligado a </w:t>
      </w:r>
      <w:r>
        <w:rPr>
          <w:rFonts w:ascii="Palatino Linotype" w:eastAsia="Palatino Linotype" w:hAnsi="Palatino Linotype" w:cs="Palatino Linotype"/>
        </w:rPr>
        <w:t>tener</w:t>
      </w:r>
      <w:r>
        <w:rPr>
          <w:rFonts w:ascii="Palatino Linotype" w:eastAsia="Palatino Linotype" w:hAnsi="Palatino Linotype" w:cs="Palatino Linotype"/>
          <w:color w:val="000000"/>
        </w:rPr>
        <w:t xml:space="preserve"> digitalizados los documentos requeridos, lo que implicaría que se tengan que realizar acciones para poder entregar la información, se presume que cuenta con los medios para poder llevar a cabo la referida digitalización y posteriormente realizar la versión pública, de ser el caso, -</w:t>
      </w:r>
      <w:r>
        <w:rPr>
          <w:rFonts w:ascii="Palatino Linotype" w:eastAsia="Palatino Linotype" w:hAnsi="Palatino Linotype" w:cs="Palatino Linotype"/>
          <w:color w:val="000000"/>
          <w:sz w:val="22"/>
          <w:szCs w:val="22"/>
        </w:rPr>
        <w:t>mediante algún software o algún programa, sin que deba necesariamente reproducir la información en formato físico-</w:t>
      </w:r>
      <w:r>
        <w:rPr>
          <w:rFonts w:ascii="Palatino Linotype" w:eastAsia="Palatino Linotype" w:hAnsi="Palatino Linotype" w:cs="Palatino Linotype"/>
          <w:color w:val="000000"/>
        </w:rPr>
        <w:t>, para estar en condiciones de  atender la solicitud, este Organismo Garante estima procedente ordenar la entrega de dicho soporte documental, mediante el sistema SAIMEX, sin costo para la solicitante, en los términos del considerando siguiente.</w:t>
      </w:r>
    </w:p>
    <w:p w14:paraId="38BA4E61"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color w:val="000000"/>
        </w:rPr>
        <w:t>Como fue debidamente apuntado, el</w:t>
      </w:r>
      <w:r>
        <w:rPr>
          <w:rFonts w:ascii="Palatino Linotype" w:eastAsia="Palatino Linotype" w:hAnsi="Palatino Linotype" w:cs="Palatino Linotype"/>
          <w:b/>
          <w:color w:val="000000"/>
        </w:rPr>
        <w:t> SUJETO OBLIGADO</w:t>
      </w:r>
      <w:r>
        <w:rPr>
          <w:rFonts w:ascii="Palatino Linotype" w:eastAsia="Palatino Linotype" w:hAnsi="Palatino Linotype" w:cs="Palatino Linotype"/>
          <w:color w:val="000000"/>
        </w:rPr>
        <w:t> debe satisfacer las solicitudes de acceso a la información; sin embargo, dada la naturaleza de la información de la cual se ordena su entrega, pudieran encontrarse documentos que contengan datos personales, motivo por el cual es dable señalar que la entrega de la información deberá ser en versión pública atento a lo siguiente:</w:t>
      </w:r>
    </w:p>
    <w:p w14:paraId="5E5DACCA" w14:textId="77777777" w:rsidR="0052657E" w:rsidRDefault="00340731">
      <w:pPr>
        <w:shd w:val="clear" w:color="auto" w:fill="FFFFFF"/>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14:paraId="4ABA9B26" w14:textId="77777777" w:rsidR="0052657E" w:rsidRDefault="00340731">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3DECB81" w14:textId="77777777" w:rsidR="0052657E" w:rsidRDefault="00340731">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lastRenderedPageBreak/>
        <w:t>Por lo que, para efectos de la elaboración de la versión pública se deberá observar lo dispuesto por los artículos 3 fracciones IX, XX, XXI, XXXII y XLV; 6, 49 fracción VIII, 91, 137, 143 Fracción I, de la Ley de Transparencia y Acceso a la Información Pública del Estado de México y Municipios vigente, que establecen:</w:t>
      </w:r>
    </w:p>
    <w:p w14:paraId="453217BD" w14:textId="77777777" w:rsidR="0052657E" w:rsidRDefault="003407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3. Para los efectos de la presente Ley se entenderá por:</w:t>
      </w:r>
    </w:p>
    <w:p w14:paraId="2DC57B83" w14:textId="77777777" w:rsidR="0052657E" w:rsidRDefault="003407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i/>
        </w:rPr>
        <w:t>(…)</w:t>
      </w:r>
    </w:p>
    <w:p w14:paraId="0C201FDE" w14:textId="77777777" w:rsidR="0052657E" w:rsidRDefault="003407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IX. Datos personales:</w:t>
      </w:r>
      <w:r>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14:paraId="477341DE" w14:textId="77777777" w:rsidR="0052657E" w:rsidRDefault="003407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2BB2C0A9" w14:textId="77777777" w:rsidR="0052657E" w:rsidRDefault="003407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 Información clasificada:</w:t>
      </w:r>
      <w:r>
        <w:rPr>
          <w:rFonts w:ascii="Palatino Linotype" w:eastAsia="Palatino Linotype" w:hAnsi="Palatino Linotype" w:cs="Palatino Linotype"/>
          <w:i/>
        </w:rPr>
        <w:t> Aquella considerada por la presente Ley como reservada o confidencial;</w:t>
      </w:r>
    </w:p>
    <w:p w14:paraId="0395D32A" w14:textId="77777777" w:rsidR="0052657E" w:rsidRDefault="003407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XXI. Información confidencial:</w:t>
      </w:r>
      <w:r>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5D2957A" w14:textId="77777777" w:rsidR="0052657E" w:rsidRDefault="003407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ABD2B09" w14:textId="77777777" w:rsidR="0052657E" w:rsidRDefault="003407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XXXII. Protección de Datos Personales:</w:t>
      </w:r>
      <w:r>
        <w:rPr>
          <w:rFonts w:ascii="Palatino Linotype" w:eastAsia="Palatino Linotype" w:hAnsi="Palatino Linotype" w:cs="Palatino Linotype"/>
          <w:i/>
        </w:rPr>
        <w:t> Derecho humano que tutela la privacidad de datos personales en poder de los sujetos obligados y sujetos particulares;</w:t>
      </w:r>
    </w:p>
    <w:p w14:paraId="6628B735" w14:textId="77777777" w:rsidR="0052657E" w:rsidRDefault="003407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3095C46" w14:textId="77777777" w:rsidR="0052657E" w:rsidRDefault="003407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XLV. Versión pública</w:t>
      </w:r>
      <w:r>
        <w:rPr>
          <w:rFonts w:ascii="Palatino Linotype" w:eastAsia="Palatino Linotype" w:hAnsi="Palatino Linotype" w:cs="Palatino Linotype"/>
          <w:i/>
        </w:rPr>
        <w:t>: Documento en el que se elimine, suprime o borra la información clasificada como reservada o confidencial para permitir su acceso.</w:t>
      </w:r>
    </w:p>
    <w:p w14:paraId="5925B21C" w14:textId="77777777" w:rsidR="0052657E" w:rsidRDefault="003407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 Artículo 6.</w:t>
      </w:r>
      <w:r>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162EBD5B" w14:textId="77777777" w:rsidR="0052657E" w:rsidRDefault="003407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 </w:t>
      </w:r>
      <w:r>
        <w:rPr>
          <w:rFonts w:ascii="Palatino Linotype" w:eastAsia="Palatino Linotype" w:hAnsi="Palatino Linotype" w:cs="Palatino Linotype"/>
          <w:b/>
          <w:i/>
        </w:rPr>
        <w:t>Artículo 49.</w:t>
      </w:r>
      <w:r>
        <w:rPr>
          <w:rFonts w:ascii="Palatino Linotype" w:eastAsia="Palatino Linotype" w:hAnsi="Palatino Linotype" w:cs="Palatino Linotype"/>
          <w:i/>
        </w:rPr>
        <w:t> Los Comités de Transparencia tendrán las siguientes atribuciones:</w:t>
      </w:r>
    </w:p>
    <w:p w14:paraId="1A231617" w14:textId="77777777" w:rsidR="0052657E" w:rsidRDefault="003407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4F133584" w14:textId="77777777" w:rsidR="0052657E" w:rsidRDefault="003407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lastRenderedPageBreak/>
        <w:t>VIII</w:t>
      </w:r>
      <w:r>
        <w:rPr>
          <w:rFonts w:ascii="Palatino Linotype" w:eastAsia="Palatino Linotype" w:hAnsi="Palatino Linotype" w:cs="Palatino Linotype"/>
          <w:i/>
        </w:rPr>
        <w:t>. Aprobar, modificar o revocar la clasificación de la información;</w:t>
      </w:r>
    </w:p>
    <w:p w14:paraId="2EF8D588" w14:textId="77777777" w:rsidR="0052657E" w:rsidRDefault="003407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1B248E50" w14:textId="77777777" w:rsidR="0052657E" w:rsidRDefault="003407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Artículo 91. </w:t>
      </w:r>
      <w:r>
        <w:rPr>
          <w:rFonts w:ascii="Palatino Linotype" w:eastAsia="Palatino Linotype" w:hAnsi="Palatino Linotype" w:cs="Palatino Linotype"/>
          <w:i/>
        </w:rPr>
        <w:t>El acceso a la información pública será restringido excepcionalmente, cuando ésta sea clasificada como reservada o confidencial.</w:t>
      </w:r>
    </w:p>
    <w:p w14:paraId="6474469C" w14:textId="77777777" w:rsidR="0052657E" w:rsidRDefault="003407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p>
    <w:p w14:paraId="5BC5CDAD" w14:textId="77777777" w:rsidR="0052657E" w:rsidRDefault="003407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Artículo 137</w:t>
      </w:r>
      <w:r>
        <w:rPr>
          <w:rFonts w:ascii="Palatino Linotype" w:eastAsia="Palatino Linotype" w:hAnsi="Palatino Linotype" w:cs="Palatino Linotype"/>
          <w:i/>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E703B1E" w14:textId="77777777" w:rsidR="0052657E" w:rsidRDefault="0052657E">
      <w:pPr>
        <w:shd w:val="clear" w:color="auto" w:fill="FFFFFF"/>
        <w:ind w:left="851" w:right="851"/>
        <w:jc w:val="both"/>
        <w:rPr>
          <w:rFonts w:ascii="Palatino Linotype" w:eastAsia="Palatino Linotype" w:hAnsi="Palatino Linotype" w:cs="Palatino Linotype"/>
          <w:b/>
          <w:i/>
        </w:rPr>
      </w:pPr>
    </w:p>
    <w:p w14:paraId="4298BC80" w14:textId="77777777" w:rsidR="0052657E" w:rsidRDefault="00340731">
      <w:pPr>
        <w:shd w:val="clear" w:color="auto" w:fill="FFFFFF"/>
        <w:ind w:left="851" w:right="851"/>
        <w:jc w:val="both"/>
        <w:rPr>
          <w:rFonts w:ascii="Palatino Linotype" w:eastAsia="Palatino Linotype" w:hAnsi="Palatino Linotype" w:cs="Palatino Linotype"/>
        </w:rPr>
      </w:pPr>
      <w:r>
        <w:rPr>
          <w:rFonts w:ascii="Palatino Linotype" w:eastAsia="Palatino Linotype" w:hAnsi="Palatino Linotype" w:cs="Palatino Linotype"/>
          <w:b/>
          <w:i/>
        </w:rPr>
        <w:t>Artículo 143</w:t>
      </w:r>
      <w:r>
        <w:rPr>
          <w:rFonts w:ascii="Palatino Linotype" w:eastAsia="Palatino Linotype" w:hAnsi="Palatino Linotype" w:cs="Palatino Linotype"/>
          <w:i/>
        </w:rPr>
        <w:t>. Para los efectos de esta Ley se considera información confidencial, la clasificada como tal, de manera permanente, por su naturaleza, cuando:</w:t>
      </w:r>
    </w:p>
    <w:p w14:paraId="788442BA" w14:textId="77777777" w:rsidR="0052657E" w:rsidRDefault="00340731">
      <w:pPr>
        <w:shd w:val="clear" w:color="auto" w:fill="FFFFFF"/>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0500DDAC" w14:textId="77777777" w:rsidR="0052657E" w:rsidRDefault="0034073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deberá proceder a testar los datos personales que se encuentre contenidos en los documentos a entregar por parte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para satisfacer el derecho de acceso a la información pública del </w:t>
      </w:r>
      <w:r>
        <w:rPr>
          <w:rFonts w:ascii="Palatino Linotype" w:eastAsia="Palatino Linotype" w:hAnsi="Palatino Linotype" w:cs="Palatino Linotype"/>
          <w:b/>
        </w:rPr>
        <w:t>RECURRENTE</w:t>
      </w:r>
      <w:r>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Sujetos Obligados del Estado de México.</w:t>
      </w:r>
    </w:p>
    <w:p w14:paraId="0D44CBF4" w14:textId="77777777" w:rsidR="0052657E" w:rsidRDefault="0034073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lastRenderedPageBreak/>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3511986" w14:textId="77777777" w:rsidR="0052657E" w:rsidRDefault="00340731">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794CE0E6" w14:textId="77777777" w:rsidR="0052657E" w:rsidRDefault="00340731">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49.</w:t>
      </w:r>
      <w:r>
        <w:rPr>
          <w:rFonts w:ascii="Palatino Linotype" w:eastAsia="Palatino Linotype" w:hAnsi="Palatino Linotype" w:cs="Palatino Linotype"/>
          <w:i/>
        </w:rPr>
        <w:t xml:space="preserve"> </w:t>
      </w:r>
      <w:r>
        <w:rPr>
          <w:rFonts w:ascii="Palatino Linotype" w:eastAsia="Palatino Linotype" w:hAnsi="Palatino Linotype" w:cs="Palatino Linotype"/>
          <w:b/>
          <w:i/>
        </w:rPr>
        <w:t>Los Comités de Transparencia</w:t>
      </w:r>
      <w:r>
        <w:rPr>
          <w:rFonts w:ascii="Palatino Linotype" w:eastAsia="Palatino Linotype" w:hAnsi="Palatino Linotype" w:cs="Palatino Linotype"/>
          <w:i/>
        </w:rPr>
        <w:t xml:space="preserve"> tendrán las siguientes atribuciones:</w:t>
      </w:r>
    </w:p>
    <w:p w14:paraId="155CD2BD" w14:textId="77777777" w:rsidR="0052657E" w:rsidRDefault="0052657E">
      <w:pPr>
        <w:ind w:left="851" w:right="851"/>
        <w:jc w:val="both"/>
        <w:rPr>
          <w:rFonts w:ascii="Palatino Linotype" w:eastAsia="Palatino Linotype" w:hAnsi="Palatino Linotype" w:cs="Palatino Linotype"/>
          <w:i/>
        </w:rPr>
      </w:pPr>
    </w:p>
    <w:p w14:paraId="250D67D1" w14:textId="77777777" w:rsidR="0052657E" w:rsidRDefault="00340731">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VIII. Aprobar, modificar o revocar la clasificación de la información</w:t>
      </w:r>
      <w:r>
        <w:rPr>
          <w:rFonts w:ascii="Palatino Linotype" w:eastAsia="Palatino Linotype" w:hAnsi="Palatino Linotype" w:cs="Palatino Linotype"/>
          <w:i/>
        </w:rPr>
        <w:t>…”</w:t>
      </w:r>
    </w:p>
    <w:p w14:paraId="0E547786" w14:textId="77777777" w:rsidR="0052657E" w:rsidRDefault="0052657E">
      <w:pPr>
        <w:ind w:left="851" w:right="851"/>
        <w:jc w:val="both"/>
        <w:rPr>
          <w:rFonts w:ascii="Palatino Linotype" w:eastAsia="Palatino Linotype" w:hAnsi="Palatino Linotype" w:cs="Palatino Linotype"/>
          <w:b/>
          <w:i/>
        </w:rPr>
      </w:pPr>
    </w:p>
    <w:p w14:paraId="597A04CD" w14:textId="77777777" w:rsidR="0052657E" w:rsidRDefault="00340731">
      <w:pPr>
        <w:ind w:left="851" w:right="85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53.</w:t>
      </w:r>
      <w:r>
        <w:rPr>
          <w:rFonts w:ascii="Palatino Linotype" w:eastAsia="Palatino Linotype" w:hAnsi="Palatino Linotype" w:cs="Palatino Linotype"/>
          <w:i/>
        </w:rPr>
        <w:t xml:space="preserve"> Las </w:t>
      </w:r>
      <w:r>
        <w:rPr>
          <w:rFonts w:ascii="Palatino Linotype" w:eastAsia="Palatino Linotype" w:hAnsi="Palatino Linotype" w:cs="Palatino Linotype"/>
          <w:b/>
          <w:i/>
        </w:rPr>
        <w:t>Unidades de Transparencia</w:t>
      </w:r>
      <w:r>
        <w:rPr>
          <w:rFonts w:ascii="Palatino Linotype" w:eastAsia="Palatino Linotype" w:hAnsi="Palatino Linotype" w:cs="Palatino Linotype"/>
          <w:i/>
        </w:rPr>
        <w:t xml:space="preserve"> tendrán las siguientes </w:t>
      </w:r>
      <w:r>
        <w:rPr>
          <w:rFonts w:ascii="Palatino Linotype" w:eastAsia="Palatino Linotype" w:hAnsi="Palatino Linotype" w:cs="Palatino Linotype"/>
          <w:b/>
          <w:i/>
        </w:rPr>
        <w:t>funciones</w:t>
      </w:r>
      <w:r>
        <w:rPr>
          <w:rFonts w:ascii="Palatino Linotype" w:eastAsia="Palatino Linotype" w:hAnsi="Palatino Linotype" w:cs="Palatino Linotype"/>
          <w:i/>
        </w:rPr>
        <w:t>:</w:t>
      </w:r>
    </w:p>
    <w:p w14:paraId="3917245C" w14:textId="77777777" w:rsidR="0052657E" w:rsidRDefault="0052657E">
      <w:pPr>
        <w:ind w:left="851" w:right="851"/>
        <w:jc w:val="both"/>
        <w:rPr>
          <w:rFonts w:ascii="Palatino Linotype" w:eastAsia="Palatino Linotype" w:hAnsi="Palatino Linotype" w:cs="Palatino Linotype"/>
          <w:i/>
        </w:rPr>
      </w:pPr>
    </w:p>
    <w:p w14:paraId="47DAA8E0" w14:textId="77777777" w:rsidR="0052657E" w:rsidRDefault="00340731">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X. Presentar ante el Comité, el proyecto de clasificación de información</w:t>
      </w:r>
      <w:r>
        <w:rPr>
          <w:rFonts w:ascii="Palatino Linotype" w:eastAsia="Palatino Linotype" w:hAnsi="Palatino Linotype" w:cs="Palatino Linotype"/>
          <w:i/>
        </w:rPr>
        <w:t xml:space="preserve">…” </w:t>
      </w:r>
    </w:p>
    <w:p w14:paraId="2A8D6FD8" w14:textId="77777777" w:rsidR="0052657E" w:rsidRDefault="0052657E">
      <w:pPr>
        <w:ind w:left="851" w:right="851"/>
        <w:jc w:val="both"/>
        <w:rPr>
          <w:rFonts w:ascii="Palatino Linotype" w:eastAsia="Palatino Linotype" w:hAnsi="Palatino Linotype" w:cs="Palatino Linotype"/>
          <w:i/>
        </w:rPr>
      </w:pPr>
    </w:p>
    <w:p w14:paraId="0F087C7A" w14:textId="77777777" w:rsidR="0052657E" w:rsidRDefault="00340731">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“Artículo 59.</w:t>
      </w:r>
      <w:r>
        <w:rPr>
          <w:rFonts w:ascii="Palatino Linotype" w:eastAsia="Palatino Linotype" w:hAnsi="Palatino Linotype" w:cs="Palatino Linotype"/>
          <w:i/>
        </w:rPr>
        <w:t xml:space="preserve"> Los </w:t>
      </w:r>
      <w:r>
        <w:rPr>
          <w:rFonts w:ascii="Palatino Linotype" w:eastAsia="Palatino Linotype" w:hAnsi="Palatino Linotype" w:cs="Palatino Linotype"/>
          <w:b/>
          <w:i/>
        </w:rPr>
        <w:t>servidores públicos habilitados</w:t>
      </w:r>
      <w:r>
        <w:rPr>
          <w:rFonts w:ascii="Palatino Linotype" w:eastAsia="Palatino Linotype" w:hAnsi="Palatino Linotype" w:cs="Palatino Linotype"/>
          <w:i/>
        </w:rPr>
        <w:t xml:space="preserve"> tendrán las </w:t>
      </w:r>
      <w:r>
        <w:rPr>
          <w:rFonts w:ascii="Palatino Linotype" w:eastAsia="Palatino Linotype" w:hAnsi="Palatino Linotype" w:cs="Palatino Linotype"/>
          <w:b/>
          <w:i/>
        </w:rPr>
        <w:t>funciones</w:t>
      </w:r>
      <w:r>
        <w:rPr>
          <w:rFonts w:ascii="Palatino Linotype" w:eastAsia="Palatino Linotype" w:hAnsi="Palatino Linotype" w:cs="Palatino Linotype"/>
          <w:i/>
        </w:rPr>
        <w:t xml:space="preserve"> siguientes:</w:t>
      </w:r>
    </w:p>
    <w:p w14:paraId="539C00FA" w14:textId="77777777" w:rsidR="0052657E" w:rsidRDefault="0052657E">
      <w:pPr>
        <w:ind w:left="851" w:right="851"/>
        <w:jc w:val="both"/>
        <w:rPr>
          <w:rFonts w:ascii="Palatino Linotype" w:eastAsia="Palatino Linotype" w:hAnsi="Palatino Linotype" w:cs="Palatino Linotype"/>
          <w:b/>
          <w:i/>
        </w:rPr>
      </w:pPr>
    </w:p>
    <w:p w14:paraId="22DE5A8D" w14:textId="77777777" w:rsidR="0052657E" w:rsidRDefault="00340731">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V. Integrar y presentar al responsable de la Unidad de Transparencia la propuesta de clasificación de información</w:t>
      </w:r>
      <w:r>
        <w:rPr>
          <w:rFonts w:ascii="Palatino Linotype" w:eastAsia="Palatino Linotype" w:hAnsi="Palatino Linotype" w:cs="Palatino Linotype"/>
          <w:i/>
        </w:rPr>
        <w:t>, la cual tendrá los fundamentos y argumentos en que se basa dicha propuesta…”</w:t>
      </w:r>
    </w:p>
    <w:p w14:paraId="4744A3FF" w14:textId="77777777" w:rsidR="0052657E" w:rsidRDefault="0052657E">
      <w:pPr>
        <w:spacing w:after="80"/>
        <w:ind w:left="851" w:right="851"/>
        <w:jc w:val="both"/>
        <w:rPr>
          <w:rFonts w:ascii="Palatino Linotype" w:eastAsia="Palatino Linotype" w:hAnsi="Palatino Linotype" w:cs="Palatino Linotype"/>
          <w:i/>
        </w:rPr>
      </w:pPr>
    </w:p>
    <w:p w14:paraId="2F544022" w14:textId="77777777" w:rsidR="0052657E" w:rsidRDefault="00340731">
      <w:pPr>
        <w:spacing w:before="8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Denotándose de dichos elementos normativos que el determinar la clasificación de la información es un trabajo en conjunto tanto de los Servidores Públicos Habilitados, de las Unidades de Transparencia y del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4E2D31AA"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cuyo contenido es de la literalidad siguiente:</w:t>
      </w:r>
    </w:p>
    <w:p w14:paraId="36D73461" w14:textId="77777777" w:rsidR="0052657E" w:rsidRDefault="00340731">
      <w:pPr>
        <w:spacing w:before="240" w:after="240"/>
        <w:ind w:left="993"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Artículo 149.</w:t>
      </w:r>
      <w:r>
        <w:rPr>
          <w:rFonts w:ascii="Palatino Linotype" w:eastAsia="Palatino Linotype" w:hAnsi="Palatino Linotype" w:cs="Palatino Linotype"/>
          <w:i/>
        </w:rPr>
        <w:t xml:space="preserve"> El </w:t>
      </w:r>
      <w:r>
        <w:rPr>
          <w:rFonts w:ascii="Palatino Linotype" w:eastAsia="Palatino Linotype" w:hAnsi="Palatino Linotype" w:cs="Palatino Linotype"/>
          <w:b/>
          <w:i/>
        </w:rPr>
        <w:t>acuerdo que clasifique la información como confidencial</w:t>
      </w:r>
      <w:r>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w:t>
      </w:r>
    </w:p>
    <w:p w14:paraId="79013D1C" w14:textId="77777777" w:rsidR="0052657E" w:rsidRDefault="0034073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Es decir,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14:paraId="3F924D23" w14:textId="77777777" w:rsidR="0052657E" w:rsidRDefault="0034073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el caso específico, los documentos probatorios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Pr>
          <w:rFonts w:ascii="Palatino Linotype" w:eastAsia="Palatino Linotype" w:hAnsi="Palatino Linotype" w:cs="Palatino Linotype"/>
          <w:b/>
        </w:rPr>
        <w:t>Registro Federal de Contribuyentes</w:t>
      </w:r>
      <w:r>
        <w:rPr>
          <w:rFonts w:ascii="Palatino Linotype" w:eastAsia="Palatino Linotype" w:hAnsi="Palatino Linotype" w:cs="Palatino Linotype"/>
        </w:rPr>
        <w:t xml:space="preserve"> (RFC), la </w:t>
      </w:r>
      <w:r>
        <w:rPr>
          <w:rFonts w:ascii="Palatino Linotype" w:eastAsia="Palatino Linotype" w:hAnsi="Palatino Linotype" w:cs="Palatino Linotype"/>
          <w:b/>
        </w:rPr>
        <w:t>Clave Única de Registro de Población</w:t>
      </w:r>
      <w:r>
        <w:rPr>
          <w:rFonts w:ascii="Palatino Linotype" w:eastAsia="Palatino Linotype" w:hAnsi="Palatino Linotype" w:cs="Palatino Linotype"/>
        </w:rPr>
        <w:t xml:space="preserve"> (CURP), la </w:t>
      </w:r>
      <w:r>
        <w:rPr>
          <w:rFonts w:ascii="Palatino Linotype" w:eastAsia="Palatino Linotype" w:hAnsi="Palatino Linotype" w:cs="Palatino Linotype"/>
          <w:b/>
        </w:rPr>
        <w:t>Clave de cualquier tipo de seguridad social</w:t>
      </w:r>
      <w:r>
        <w:rPr>
          <w:rFonts w:ascii="Palatino Linotype" w:eastAsia="Palatino Linotype" w:hAnsi="Palatino Linotype" w:cs="Palatino Linotype"/>
        </w:rPr>
        <w:t xml:space="preserve"> (ISSEMYM, u otros), y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w:t>
      </w:r>
    </w:p>
    <w:p w14:paraId="6AA61C31"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al </w:t>
      </w:r>
      <w:r>
        <w:rPr>
          <w:rFonts w:ascii="Palatino Linotype" w:eastAsia="Palatino Linotype" w:hAnsi="Palatino Linotype" w:cs="Palatino Linotype"/>
          <w:b/>
        </w:rPr>
        <w:t>Registro Federal de Contribuyentes (RFC),</w:t>
      </w:r>
      <w:r>
        <w:rPr>
          <w:rFonts w:ascii="Palatino Linotype" w:eastAsia="Palatino Linotype" w:hAnsi="Palatino Linotype" w:cs="Palatino Linotype"/>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019473E6"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72EE7D7" w14:textId="77777777" w:rsidR="0052657E" w:rsidRDefault="0034073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Lo anterior es compartido por el entonces Instituto Federal de Acceso a la Información Pública y Protección de Datos Personales (IFAI) a través del Criterio </w:t>
      </w:r>
      <w:r>
        <w:rPr>
          <w:rFonts w:ascii="Palatino Linotype" w:eastAsia="Palatino Linotype" w:hAnsi="Palatino Linotype" w:cs="Palatino Linotype"/>
          <w:highlight w:val="white"/>
        </w:rPr>
        <w:t xml:space="preserve">19/17, </w:t>
      </w:r>
      <w:r>
        <w:rPr>
          <w:rFonts w:ascii="Palatino Linotype" w:eastAsia="Palatino Linotype" w:hAnsi="Palatino Linotype" w:cs="Palatino Linotype"/>
        </w:rPr>
        <w:t>el cual es del tenor literal siguiente:</w:t>
      </w:r>
    </w:p>
    <w:p w14:paraId="1D81002C" w14:textId="77777777" w:rsidR="0052657E" w:rsidRDefault="00340731">
      <w:pPr>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“Registro Federal de Contribuyentes (RFC) de personas físicas</w:t>
      </w:r>
      <w:r>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14:paraId="78F0477C" w14:textId="77777777" w:rsidR="0052657E" w:rsidRDefault="0034073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34F36665" w14:textId="77777777" w:rsidR="0052657E" w:rsidRDefault="00340731">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De igual manera la </w:t>
      </w:r>
      <w:r>
        <w:rPr>
          <w:rFonts w:ascii="Palatino Linotype" w:eastAsia="Palatino Linotype" w:hAnsi="Palatino Linotype" w:cs="Palatino Linotype"/>
          <w:b/>
          <w:color w:val="000000"/>
        </w:rPr>
        <w:t>Clave Única de Registro de Población (CURP)</w:t>
      </w:r>
      <w:r>
        <w:rPr>
          <w:rFonts w:ascii="Palatino Linotype" w:eastAsia="Palatino Linotype" w:hAnsi="Palatino Linotype" w:cs="Palatino Linotype"/>
          <w:color w:val="000000"/>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8ABFE64"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Argumento que es compartido por el Instituto </w:t>
      </w:r>
      <w:r>
        <w:rPr>
          <w:rFonts w:ascii="Palatino Linotype" w:eastAsia="Palatino Linotype" w:hAnsi="Palatino Linotype" w:cs="Palatino Linotype"/>
          <w:highlight w:val="white"/>
        </w:rPr>
        <w:t>Nacional de Transparencia, Acceso a la Información y Protección de Datos Personales, INAI</w:t>
      </w:r>
      <w:r>
        <w:rPr>
          <w:rFonts w:ascii="Palatino Linotype" w:eastAsia="Palatino Linotype" w:hAnsi="Palatino Linotype" w:cs="Palatino Linotype"/>
          <w:b/>
        </w:rPr>
        <w:t xml:space="preserve">, conforme al </w:t>
      </w:r>
      <w:r>
        <w:rPr>
          <w:rFonts w:ascii="Palatino Linotype" w:eastAsia="Palatino Linotype" w:hAnsi="Palatino Linotype" w:cs="Palatino Linotype"/>
        </w:rPr>
        <w:t xml:space="preserve">criterio 18/17, el cual refiere: </w:t>
      </w:r>
    </w:p>
    <w:p w14:paraId="794B2A07" w14:textId="77777777" w:rsidR="0052657E" w:rsidRDefault="00340731">
      <w:pPr>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“Clave Única de Registro de Población (CURP). </w:t>
      </w:r>
      <w:r>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398375E" w14:textId="77777777" w:rsidR="0052657E" w:rsidRDefault="00340731">
      <w:pPr>
        <w:spacing w:before="280" w:after="28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cuanto hace a la </w:t>
      </w:r>
      <w:r>
        <w:rPr>
          <w:rFonts w:ascii="Palatino Linotype" w:eastAsia="Palatino Linotype" w:hAnsi="Palatino Linotype" w:cs="Palatino Linotype"/>
          <w:b/>
          <w:color w:val="000000"/>
        </w:rPr>
        <w:t xml:space="preserve">Clave de cualquier tipo de seguridad social (ISSEMyM, u otros), </w:t>
      </w:r>
      <w:r>
        <w:rPr>
          <w:rFonts w:ascii="Palatino Linotype" w:eastAsia="Palatino Linotype" w:hAnsi="Palatino Linotype" w:cs="Palatino Linotype"/>
          <w:color w:val="000000"/>
        </w:rPr>
        <w:t>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190EF7C" w14:textId="77777777" w:rsidR="0052657E" w:rsidRDefault="00340731">
      <w:pPr>
        <w:spacing w:line="360" w:lineRule="auto"/>
        <w:jc w:val="both"/>
        <w:rPr>
          <w:rFonts w:ascii="Palatino Linotype" w:eastAsia="Palatino Linotype" w:hAnsi="Palatino Linotype" w:cs="Palatino Linotype"/>
          <w:u w:val="single"/>
        </w:rPr>
      </w:pPr>
      <w:r>
        <w:rPr>
          <w:rFonts w:ascii="Palatino Linotype" w:eastAsia="Palatino Linotype" w:hAnsi="Palatino Linotype" w:cs="Palatino Linotype"/>
        </w:rPr>
        <w:t xml:space="preserve">El artículo 9° del mismo ordenamiento, dispone que el ISSEMYM expedirá documentos de identificación para facilitar el acceso a las prestaciones a que tengan derecho. En este orden de ideas,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w:t>
      </w:r>
      <w:r>
        <w:rPr>
          <w:rFonts w:ascii="Palatino Linotype" w:eastAsia="Palatino Linotype" w:hAnsi="Palatino Linotype" w:cs="Palatino Linotype"/>
        </w:rPr>
        <w:lastRenderedPageBreak/>
        <w:t xml:space="preserve">datos personales y </w:t>
      </w:r>
      <w:r>
        <w:rPr>
          <w:rFonts w:ascii="Palatino Linotype" w:eastAsia="Palatino Linotype" w:hAnsi="Palatino Linotype" w:cs="Palatino Linotype"/>
          <w:u w:val="single"/>
        </w:rPr>
        <w:t>se le asigna una clave para hacer identificable al trabajador con el objetivo de poder proporcionar los servicios que brinda el ISSEMYM.</w:t>
      </w:r>
    </w:p>
    <w:p w14:paraId="004035D4" w14:textId="77777777" w:rsidR="0052657E" w:rsidRDefault="0052657E">
      <w:pPr>
        <w:spacing w:line="360" w:lineRule="auto"/>
        <w:jc w:val="both"/>
        <w:rPr>
          <w:rFonts w:ascii="Palatino Linotype" w:eastAsia="Palatino Linotype" w:hAnsi="Palatino Linotype" w:cs="Palatino Linotype"/>
        </w:rPr>
      </w:pPr>
    </w:p>
    <w:p w14:paraId="3A5DA7F5" w14:textId="77777777" w:rsidR="0052657E" w:rsidRDefault="003407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advierte, la clave ISSEMYM es un dato personal que permite identificar que una persona ya trabajó o trabaja en alguna institución pública del Estado de México, por la que tiene o tuvo derecho a esta prestación de seguridad social; es de destacar que la clave ISSEMYM no cambia, aunque el trabajador se dé de baja y alta en diversas ocasiones, con motivo de haber trabajado en diferentes instituciones públicas de la Entidad. </w:t>
      </w:r>
    </w:p>
    <w:p w14:paraId="360146B6" w14:textId="77777777" w:rsidR="0052657E" w:rsidRDefault="0052657E">
      <w:pPr>
        <w:spacing w:line="360" w:lineRule="auto"/>
        <w:jc w:val="both"/>
        <w:rPr>
          <w:rFonts w:ascii="Palatino Linotype" w:eastAsia="Palatino Linotype" w:hAnsi="Palatino Linotype" w:cs="Palatino Linotype"/>
        </w:rPr>
      </w:pPr>
    </w:p>
    <w:p w14:paraId="6A027AC6" w14:textId="77777777" w:rsidR="0052657E" w:rsidRDefault="003407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Contar con la prestación de seguridad social que brinda el ISSEMYM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14:paraId="7C2CE2C8" w14:textId="77777777" w:rsidR="0052657E" w:rsidRDefault="00340731">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color w:val="000000"/>
        </w:rPr>
        <w:t xml:space="preserve">Respecto de los </w:t>
      </w:r>
      <w:r>
        <w:rPr>
          <w:rFonts w:ascii="Palatino Linotype" w:eastAsia="Palatino Linotype" w:hAnsi="Palatino Linotype" w:cs="Palatino Linotype"/>
          <w:b/>
          <w:color w:val="000000"/>
        </w:rPr>
        <w:t>préstamos o descuentos</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de carácter personal</w:t>
      </w:r>
      <w:r>
        <w:rPr>
          <w:rFonts w:ascii="Palatino Linotype" w:eastAsia="Palatino Linotype" w:hAnsi="Palatino Linotype" w:cs="Palatino Linotype"/>
          <w:color w:val="000000"/>
        </w:rPr>
        <w:t>, estos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6104FF3A" w14:textId="77777777" w:rsidR="0052657E" w:rsidRDefault="00340731">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color w:val="000000"/>
        </w:rPr>
        <w:lastRenderedPageBreak/>
        <w:t>Por su parte, el artículo 84 de la Ley del Trabajo de los Servidores Públicos del Estado y Municipios, señala:</w:t>
      </w:r>
    </w:p>
    <w:p w14:paraId="17C0358E" w14:textId="77777777" w:rsidR="0052657E" w:rsidRDefault="00340731">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rPr>
        <w:t>ARTÍCULO</w:t>
      </w:r>
      <w:r>
        <w:rPr>
          <w:rFonts w:ascii="Palatino Linotype" w:eastAsia="Palatino Linotype" w:hAnsi="Palatino Linotype" w:cs="Palatino Linotype"/>
          <w:b/>
          <w:i/>
          <w:color w:val="000000"/>
        </w:rPr>
        <w:t xml:space="preserve"> 84. Sólo podrán hacerse retenciones, descuentos o deducciones al sueldo de los servidores públicos por concepto de:</w:t>
      </w:r>
    </w:p>
    <w:p w14:paraId="43D34820" w14:textId="77777777" w:rsidR="0052657E" w:rsidRDefault="00340731">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rPr>
        <w:t>I. Gravámenes fiscales relacionados con el sueldo;</w:t>
      </w:r>
    </w:p>
    <w:p w14:paraId="1B82CEAA" w14:textId="77777777" w:rsidR="0052657E" w:rsidRDefault="00340731">
      <w:pPr>
        <w:pBdr>
          <w:top w:val="nil"/>
          <w:left w:val="nil"/>
          <w:bottom w:val="nil"/>
          <w:right w:val="nil"/>
          <w:between w:val="nil"/>
        </w:pBdr>
        <w:ind w:left="851" w:right="902"/>
        <w:jc w:val="both"/>
        <w:rPr>
          <w:color w:val="000000"/>
        </w:rPr>
      </w:pPr>
      <w:r>
        <w:rPr>
          <w:rFonts w:ascii="Palatino Linotype" w:eastAsia="Palatino Linotype" w:hAnsi="Palatino Linotype" w:cs="Palatino Linotype"/>
          <w:b/>
          <w:i/>
          <w:color w:val="000000"/>
        </w:rPr>
        <w:t>II. Deudas contraídas con las instituciones públicas o dependencias</w:t>
      </w:r>
      <w:r>
        <w:rPr>
          <w:rFonts w:ascii="Palatino Linotype" w:eastAsia="Palatino Linotype" w:hAnsi="Palatino Linotype" w:cs="Palatino Linotype"/>
          <w:i/>
          <w:color w:val="000000"/>
        </w:rPr>
        <w:t xml:space="preserve"> por concepto de anticipos de sueldo, pagos hechos con exceso, errores o pérdidas debidamente comprobados;</w:t>
      </w:r>
    </w:p>
    <w:p w14:paraId="043F1DD6" w14:textId="77777777" w:rsidR="0052657E" w:rsidRDefault="00340731">
      <w:pPr>
        <w:pBdr>
          <w:top w:val="nil"/>
          <w:left w:val="nil"/>
          <w:bottom w:val="nil"/>
          <w:right w:val="nil"/>
          <w:between w:val="nil"/>
        </w:pBdr>
        <w:ind w:left="851" w:right="902"/>
        <w:jc w:val="both"/>
        <w:rPr>
          <w:color w:val="000000"/>
        </w:rPr>
      </w:pPr>
      <w:r>
        <w:rPr>
          <w:rFonts w:ascii="Palatino Linotype" w:eastAsia="Palatino Linotype" w:hAnsi="Palatino Linotype" w:cs="Palatino Linotype"/>
          <w:b/>
          <w:i/>
          <w:color w:val="000000"/>
        </w:rPr>
        <w:t>III. Cuotas sindicales</w:t>
      </w:r>
      <w:r>
        <w:rPr>
          <w:rFonts w:ascii="Palatino Linotype" w:eastAsia="Palatino Linotype" w:hAnsi="Palatino Linotype" w:cs="Palatino Linotype"/>
          <w:i/>
          <w:color w:val="000000"/>
        </w:rPr>
        <w:t>;</w:t>
      </w:r>
    </w:p>
    <w:p w14:paraId="04685890" w14:textId="77777777" w:rsidR="0052657E" w:rsidRDefault="00340731">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rPr>
        <w:t>IV. Cuotas de aportación a fondos para la constitución de cooperativas y de cajas de ahorro, siempre que el servidor público hubiese manifestado previamente, de manera expresa, su conformidad;</w:t>
      </w:r>
    </w:p>
    <w:p w14:paraId="321A3A2B" w14:textId="77777777" w:rsidR="0052657E" w:rsidRDefault="00340731">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rPr>
        <w:t>V. Descuentos ordenados por el Instituto de Seguridad Social del Estado de México y Municipios, con motivo de cuotas y obligaciones contraídas con éste por los servidores públicos;</w:t>
      </w:r>
    </w:p>
    <w:p w14:paraId="333663C1" w14:textId="77777777" w:rsidR="0052657E" w:rsidRDefault="00340731">
      <w:pPr>
        <w:pBdr>
          <w:top w:val="nil"/>
          <w:left w:val="nil"/>
          <w:bottom w:val="nil"/>
          <w:right w:val="nil"/>
          <w:between w:val="nil"/>
        </w:pBdr>
        <w:ind w:left="851" w:right="902"/>
        <w:jc w:val="both"/>
        <w:rPr>
          <w:color w:val="000000"/>
        </w:rPr>
      </w:pPr>
      <w:r>
        <w:rPr>
          <w:rFonts w:ascii="Palatino Linotype" w:eastAsia="Palatino Linotype" w:hAnsi="Palatino Linotype" w:cs="Palatino Linotype"/>
          <w:b/>
          <w:i/>
          <w:color w:val="000000"/>
        </w:rPr>
        <w:t>VI. Obligaciones a cargo del servidor público con las que haya consentido</w:t>
      </w:r>
      <w:r>
        <w:rPr>
          <w:rFonts w:ascii="Palatino Linotype" w:eastAsia="Palatino Linotype" w:hAnsi="Palatino Linotype" w:cs="Palatino Linotype"/>
          <w:i/>
          <w:color w:val="000000"/>
        </w:rPr>
        <w:t>, derivadas de la adquisición o del uso de habitaciones consideradas como de interés social;</w:t>
      </w:r>
    </w:p>
    <w:p w14:paraId="489DBEAD" w14:textId="77777777" w:rsidR="0052657E" w:rsidRDefault="00340731">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rPr>
        <w:t>VII. Faltas de puntualidad o de asistencia injustificadas;</w:t>
      </w:r>
    </w:p>
    <w:p w14:paraId="66A8CB56" w14:textId="77777777" w:rsidR="0052657E" w:rsidRDefault="00340731">
      <w:pPr>
        <w:pBdr>
          <w:top w:val="nil"/>
          <w:left w:val="nil"/>
          <w:bottom w:val="nil"/>
          <w:right w:val="nil"/>
          <w:between w:val="nil"/>
        </w:pBdr>
        <w:ind w:left="851" w:right="902"/>
        <w:jc w:val="both"/>
        <w:rPr>
          <w:color w:val="000000"/>
        </w:rPr>
      </w:pPr>
      <w:r>
        <w:rPr>
          <w:rFonts w:ascii="Palatino Linotype" w:eastAsia="Palatino Linotype" w:hAnsi="Palatino Linotype" w:cs="Palatino Linotype"/>
          <w:b/>
          <w:i/>
          <w:color w:val="000000"/>
        </w:rPr>
        <w:t>VIII. Pensiones alimenticias ordenadas por la autoridad judicial;</w:t>
      </w:r>
      <w:r>
        <w:rPr>
          <w:rFonts w:ascii="Palatino Linotype" w:eastAsia="Palatino Linotype" w:hAnsi="Palatino Linotype" w:cs="Palatino Linotype"/>
          <w:i/>
          <w:color w:val="000000"/>
        </w:rPr>
        <w:t xml:space="preserve"> o</w:t>
      </w:r>
    </w:p>
    <w:p w14:paraId="748D8FEF" w14:textId="77777777" w:rsidR="0052657E" w:rsidRDefault="00340731">
      <w:pPr>
        <w:pBdr>
          <w:top w:val="nil"/>
          <w:left w:val="nil"/>
          <w:bottom w:val="nil"/>
          <w:right w:val="nil"/>
          <w:between w:val="nil"/>
        </w:pBdr>
        <w:ind w:left="851" w:right="902"/>
        <w:jc w:val="both"/>
        <w:rPr>
          <w:color w:val="000000"/>
        </w:rPr>
      </w:pPr>
      <w:r>
        <w:rPr>
          <w:rFonts w:ascii="Palatino Linotype" w:eastAsia="Palatino Linotype" w:hAnsi="Palatino Linotype" w:cs="Palatino Linotype"/>
          <w:b/>
          <w:i/>
          <w:color w:val="000000"/>
        </w:rPr>
        <w:t xml:space="preserve">IX. Cualquier otro </w:t>
      </w:r>
      <w:r>
        <w:rPr>
          <w:rFonts w:ascii="Palatino Linotype" w:eastAsia="Palatino Linotype" w:hAnsi="Palatino Linotype" w:cs="Palatino Linotype"/>
          <w:b/>
          <w:i/>
        </w:rPr>
        <w:t>convenio</w:t>
      </w:r>
      <w:r>
        <w:rPr>
          <w:rFonts w:ascii="Palatino Linotype" w:eastAsia="Palatino Linotype" w:hAnsi="Palatino Linotype" w:cs="Palatino Linotype"/>
          <w:b/>
          <w:i/>
          <w:color w:val="000000"/>
        </w:rPr>
        <w:t xml:space="preserve"> con instituciones de servicios y aceptado por el servidor público.</w:t>
      </w:r>
    </w:p>
    <w:p w14:paraId="75D7C107" w14:textId="77777777" w:rsidR="0052657E" w:rsidRDefault="00340731">
      <w:pPr>
        <w:pBdr>
          <w:top w:val="nil"/>
          <w:left w:val="nil"/>
          <w:bottom w:val="nil"/>
          <w:right w:val="nil"/>
          <w:between w:val="nil"/>
        </w:pBdr>
        <w:ind w:left="851" w:right="902"/>
        <w:jc w:val="both"/>
        <w:rPr>
          <w:color w:val="000000"/>
        </w:rPr>
      </w:pPr>
      <w:r>
        <w:rPr>
          <w:rFonts w:ascii="Palatino Linotype" w:eastAsia="Palatino Linotype" w:hAnsi="Palatino Linotype" w:cs="Palatino Linotype"/>
          <w:i/>
          <w:color w:val="000000"/>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71151776" w14:textId="77777777" w:rsidR="0052657E" w:rsidRDefault="00340731">
      <w:pPr>
        <w:pBdr>
          <w:top w:val="nil"/>
          <w:left w:val="nil"/>
          <w:bottom w:val="nil"/>
          <w:right w:val="nil"/>
          <w:between w:val="nil"/>
        </w:pBdr>
        <w:ind w:left="851" w:right="902"/>
        <w:jc w:val="both"/>
        <w:rPr>
          <w:color w:val="000000"/>
        </w:rPr>
      </w:pPr>
      <w:r>
        <w:rPr>
          <w:rFonts w:ascii="Palatino Linotype" w:eastAsia="Palatino Linotype" w:hAnsi="Palatino Linotype" w:cs="Palatino Linotype"/>
          <w:color w:val="000000"/>
        </w:rPr>
        <w:t>(Énfasis añadido)</w:t>
      </w:r>
    </w:p>
    <w:p w14:paraId="5131F5B0" w14:textId="77777777" w:rsidR="0052657E" w:rsidRDefault="00340731">
      <w:pPr>
        <w:pBdr>
          <w:top w:val="nil"/>
          <w:left w:val="nil"/>
          <w:bottom w:val="nil"/>
          <w:right w:val="nil"/>
          <w:between w:val="nil"/>
        </w:pBdr>
        <w:spacing w:before="280" w:after="280" w:line="360" w:lineRule="auto"/>
        <w:jc w:val="both"/>
        <w:rPr>
          <w:color w:val="000000"/>
        </w:rPr>
      </w:pPr>
      <w:r>
        <w:rPr>
          <w:rFonts w:ascii="Palatino Linotype" w:eastAsia="Palatino Linotype" w:hAnsi="Palatino Linotype" w:cs="Palatino Linotype"/>
          <w:color w:val="000000"/>
        </w:rPr>
        <w:t xml:space="preserve">Derivado de lo anterior, la ley establece claramente cuáles son esos descuentos o gravámenes que directamente se relacionan con las obligaciones adquiridas como </w:t>
      </w:r>
      <w:r>
        <w:rPr>
          <w:rFonts w:ascii="Palatino Linotype" w:eastAsia="Palatino Linotype" w:hAnsi="Palatino Linotype" w:cs="Palatino Linotype"/>
          <w:color w:val="000000"/>
        </w:rPr>
        <w:lastRenderedPageBreak/>
        <w:t xml:space="preserve">servidores públicos y aquéllos que </w:t>
      </w:r>
      <w:r>
        <w:rPr>
          <w:rFonts w:ascii="Palatino Linotype" w:eastAsia="Palatino Linotype" w:hAnsi="Palatino Linotype" w:cs="Palatino Linotype"/>
          <w:b/>
          <w:color w:val="000000"/>
        </w:rPr>
        <w:t>únicamente inciden en su vida privada</w:t>
      </w:r>
      <w:r>
        <w:rPr>
          <w:rFonts w:ascii="Palatino Linotype" w:eastAsia="Palatino Linotype" w:hAnsi="Palatino Linotype" w:cs="Palatino Linotype"/>
          <w:color w:val="000000"/>
        </w:rPr>
        <w:t>. De este modo, descuentos por pensiones alimenticias o créditos adquiridos con instituciones privadas o públicas pero que fueron contraídas en forma individual, son información que debe clasificarse como confidencial.</w:t>
      </w:r>
    </w:p>
    <w:p w14:paraId="04AB4977"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Con base en lo expuesto, se insiste que los datos mencionados, que como se ha dicho, deben ser clasificados como confidenciales por tratarse de información privada, toda vez que los datos personales son irrenunciables, intransferibles e indelegables, por lo tanto los sujetos obligados no deben hacer entrega de éstos a persona ajena a su titular, sobre todo cuando traiga implícita que se ponga en riesgo la vida o integridad de una persona.</w:t>
      </w:r>
    </w:p>
    <w:p w14:paraId="3A2E1C9E"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Sirven de sustento a lo anterior, las tesis jurisprudenciales </w:t>
      </w:r>
      <w:r>
        <w:rPr>
          <w:rFonts w:ascii="Palatino Linotype" w:eastAsia="Palatino Linotype" w:hAnsi="Palatino Linotype" w:cs="Palatino Linotype"/>
          <w:i/>
        </w:rPr>
        <w:t xml:space="preserve">P. LX/2000 </w:t>
      </w:r>
      <w:r>
        <w:rPr>
          <w:rFonts w:ascii="Palatino Linotype" w:eastAsia="Palatino Linotype" w:hAnsi="Palatino Linotype" w:cs="Palatino Linotype"/>
        </w:rPr>
        <w:t xml:space="preserve">y </w:t>
      </w:r>
      <w:r>
        <w:rPr>
          <w:rFonts w:ascii="Palatino Linotype" w:eastAsia="Palatino Linotype" w:hAnsi="Palatino Linotype" w:cs="Palatino Linotype"/>
          <w:i/>
        </w:rPr>
        <w:t>2a. XLIII/2008</w:t>
      </w:r>
      <w:r>
        <w:rPr>
          <w:rFonts w:ascii="Tahoma" w:eastAsia="Tahoma" w:hAnsi="Tahoma" w:cs="Tahoma"/>
          <w:b/>
        </w:rPr>
        <w:t xml:space="preserve"> </w:t>
      </w:r>
      <w:r>
        <w:rPr>
          <w:rFonts w:ascii="Palatino Linotype" w:eastAsia="Palatino Linotype" w:hAnsi="Palatino Linotype" w:cs="Palatino Linotype"/>
        </w:rPr>
        <w:t>emitidas por el Peno y la Segunda Sala de la Suprema Corte de Justicia de la Nación, respectivamente, que son del tenor literal siguiente:</w:t>
      </w:r>
    </w:p>
    <w:p w14:paraId="160CB0B1" w14:textId="77777777" w:rsidR="0052657E" w:rsidRDefault="00340731">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“DERECHO A LA INFORMACIÓN. SU EJERCICIO SE ENCUENTRA LIMITADO TANTO POR LOS INTERESES NACIONALES Y DE LA SOCIEDAD, COMO POR LOS DERECHOS DE TERCEROS. </w:t>
      </w:r>
      <w:r>
        <w:rPr>
          <w:rFonts w:ascii="Palatino Linotype" w:eastAsia="Palatino Linotype" w:hAnsi="Palatino Linotype" w:cs="Palatino Linotype"/>
          <w:i/>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w:t>
      </w:r>
      <w:r>
        <w:rPr>
          <w:rFonts w:ascii="Palatino Linotype" w:eastAsia="Palatino Linotype" w:hAnsi="Palatino Linotype" w:cs="Palatino Linotype"/>
          <w:i/>
        </w:rPr>
        <w:lastRenderedPageBreak/>
        <w:t xml:space="preserve">atención a la materia a que se refiera; así, en cuanto a la seguridad nacional, se tienen normas que, por un lado, </w:t>
      </w:r>
      <w:r>
        <w:rPr>
          <w:rFonts w:ascii="Palatino Linotype" w:eastAsia="Palatino Linotype" w:hAnsi="Palatino Linotype" w:cs="Palatino Linotype"/>
          <w:b/>
          <w:i/>
        </w:rPr>
        <w:t>restringen el acceso a la información en esta materia, en razón de que su conocimiento público puede generar daños a los intereses nacionales y, por el otro, sancionan la inobservancia de esa reserva</w:t>
      </w:r>
      <w:r>
        <w:rPr>
          <w:rFonts w:ascii="Palatino Linotype" w:eastAsia="Palatino Linotype" w:hAnsi="Palatino Linotype" w:cs="Palatino Linotype"/>
          <w:i/>
        </w:rPr>
        <w:t xml:space="preserve">; por lo que hace al interés social, se cuenta con normas que tienden a proteger la averiguación de los delitos, la salud y la moral públicas, </w:t>
      </w:r>
      <w:r>
        <w:rPr>
          <w:rFonts w:ascii="Palatino Linotype" w:eastAsia="Palatino Linotype" w:hAnsi="Palatino Linotype" w:cs="Palatino Linotype"/>
          <w:b/>
          <w:i/>
        </w:rPr>
        <w:t>mientras que por lo que respecta a la protección de la persona existen normas que protegen el derecho a la vida o a la privacidad de los gobernados</w:t>
      </w:r>
      <w:r>
        <w:rPr>
          <w:rFonts w:ascii="Palatino Linotype" w:eastAsia="Palatino Linotype" w:hAnsi="Palatino Linotype" w:cs="Palatino Linotype"/>
          <w:i/>
        </w:rPr>
        <w:t>.”</w:t>
      </w:r>
    </w:p>
    <w:p w14:paraId="7FE3413A" w14:textId="77777777" w:rsidR="0052657E" w:rsidRDefault="0052657E">
      <w:pPr>
        <w:spacing w:line="276" w:lineRule="auto"/>
        <w:ind w:left="851" w:right="851"/>
        <w:jc w:val="both"/>
        <w:rPr>
          <w:rFonts w:ascii="Palatino Linotype" w:eastAsia="Palatino Linotype" w:hAnsi="Palatino Linotype" w:cs="Palatino Linotype"/>
          <w:i/>
        </w:rPr>
      </w:pPr>
    </w:p>
    <w:p w14:paraId="4C4A407C" w14:textId="77777777" w:rsidR="0052657E" w:rsidRDefault="00340731">
      <w:pPr>
        <w:spacing w:line="276" w:lineRule="auto"/>
        <w:ind w:left="851" w:right="851"/>
        <w:jc w:val="both"/>
        <w:rPr>
          <w:rFonts w:ascii="Palatino Linotype" w:eastAsia="Palatino Linotype" w:hAnsi="Palatino Linotype" w:cs="Palatino Linotype"/>
          <w:i/>
        </w:rPr>
      </w:pPr>
      <w:r>
        <w:rPr>
          <w:rFonts w:ascii="Palatino Linotype" w:eastAsia="Palatino Linotype" w:hAnsi="Palatino Linotype" w:cs="Palatino Linotype"/>
          <w:b/>
          <w:i/>
        </w:rPr>
        <w:t xml:space="preserve">“TRANSPARENCIA Y ACCESO A LA INFORMACIÓN PÚBLICA GUBERNAMENTAL. EL ARTÍCULO 14, FRACCIÓN I, DE LA LEY FEDERAL RELATIVA, NO VIOLA LA GARANTÍA DE ACCESO A LA INFORMACIÓN. </w:t>
      </w:r>
      <w:r>
        <w:rPr>
          <w:rFonts w:ascii="Palatino Linotype" w:eastAsia="Palatino Linotype" w:hAnsi="Palatino Linotype" w:cs="Palatino Linotype"/>
          <w:i/>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Pr>
          <w:rFonts w:ascii="Palatino Linotype" w:eastAsia="Palatino Linotype" w:hAnsi="Palatino Linotype" w:cs="Palatino Linotype"/>
          <w:b/>
          <w:i/>
        </w:rPr>
        <w:t xml:space="preserve">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w:t>
      </w:r>
      <w:r>
        <w:rPr>
          <w:rFonts w:ascii="Palatino Linotype" w:eastAsia="Palatino Linotype" w:hAnsi="Palatino Linotype" w:cs="Palatino Linotype"/>
          <w:b/>
          <w:i/>
        </w:rPr>
        <w:lastRenderedPageBreak/>
        <w:t>fundamental de que se trata y la razón que motive la restricción legislativa correspondiente,</w:t>
      </w:r>
      <w:r>
        <w:rPr>
          <w:rFonts w:ascii="Palatino Linotype" w:eastAsia="Palatino Linotype" w:hAnsi="Palatino Linotype" w:cs="Palatino Linotype"/>
          <w:i/>
        </w:rPr>
        <w:t xml:space="preserve"> la cual debe ser adecuada y necesaria para alcanzar el fin perseguido, de manera que las ventajas obtenidas con la reserva compensen el sacrificio que ésta implique para los titulares de la garantía individual mencionada o para la sociedad en general.”</w:t>
      </w:r>
    </w:p>
    <w:p w14:paraId="5798BCF9" w14:textId="77777777" w:rsidR="0052657E" w:rsidRDefault="0052657E">
      <w:pPr>
        <w:ind w:left="851" w:right="851"/>
        <w:jc w:val="both"/>
        <w:rPr>
          <w:rFonts w:ascii="Palatino Linotype" w:eastAsia="Palatino Linotype" w:hAnsi="Palatino Linotype" w:cs="Palatino Linotype"/>
          <w:i/>
        </w:rPr>
      </w:pPr>
    </w:p>
    <w:p w14:paraId="199673D3" w14:textId="77777777" w:rsidR="0052657E" w:rsidRDefault="00340731">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También,</w:t>
      </w:r>
      <w:r>
        <w:rPr>
          <w:rFonts w:ascii="Palatino Linotype" w:eastAsia="Palatino Linotype" w:hAnsi="Palatino Linotype" w:cs="Palatino Linotype"/>
          <w:b/>
        </w:rPr>
        <w:t xml:space="preserve"> el número de cuenta bancario</w:t>
      </w:r>
      <w:r>
        <w:rPr>
          <w:rFonts w:ascii="Palatino Linotype" w:eastAsia="Palatino Linotype" w:hAnsi="Palatino Linotype" w:cs="Palatino Linotype"/>
        </w:rPr>
        <w:t>, en el Criterio 10/17 emitido por el Pleno del Instituto Nacional de Transparencia, Acceso a la Información y Protección de Datos Personales  se establece lo siguiente:</w:t>
      </w:r>
    </w:p>
    <w:p w14:paraId="3BE6378D" w14:textId="77777777" w:rsidR="0052657E" w:rsidRDefault="0052657E">
      <w:pPr>
        <w:spacing w:line="360" w:lineRule="auto"/>
        <w:ind w:right="-93"/>
        <w:jc w:val="both"/>
        <w:rPr>
          <w:rFonts w:ascii="Palatino Linotype" w:eastAsia="Palatino Linotype" w:hAnsi="Palatino Linotype" w:cs="Palatino Linotype"/>
        </w:rPr>
      </w:pPr>
    </w:p>
    <w:p w14:paraId="09EDE428" w14:textId="77777777" w:rsidR="0052657E" w:rsidRDefault="00340731">
      <w:pPr>
        <w:shd w:val="clear" w:color="auto" w:fill="FFFFFF"/>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rPr>
        <w:t>“</w:t>
      </w:r>
      <w:r>
        <w:rPr>
          <w:rFonts w:ascii="Palatino Linotype" w:eastAsia="Palatino Linotype" w:hAnsi="Palatino Linotype" w:cs="Palatino Linotype"/>
          <w:b/>
          <w:i/>
        </w:rPr>
        <w:t>Cuentas bancarias y/o CLABE interbancaria de personas físicas y morales privadas.</w:t>
      </w:r>
      <w:r>
        <w:rPr>
          <w:rFonts w:ascii="Palatino Linotype" w:eastAsia="Palatino Linotype" w:hAnsi="Palatino Linotype" w:cs="Palatino Linotype"/>
          <w:i/>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Pr>
          <w:rFonts w:ascii="Palatino Linotype" w:eastAsia="Palatino Linotype" w:hAnsi="Palatino Linotype" w:cs="Palatino Linotype"/>
        </w:rPr>
        <w:t>.”</w:t>
      </w:r>
    </w:p>
    <w:p w14:paraId="06569466" w14:textId="77777777" w:rsidR="0052657E" w:rsidRDefault="0052657E">
      <w:pPr>
        <w:spacing w:line="360" w:lineRule="auto"/>
        <w:ind w:right="-93"/>
        <w:jc w:val="both"/>
        <w:rPr>
          <w:rFonts w:ascii="Palatino Linotype" w:eastAsia="Palatino Linotype" w:hAnsi="Palatino Linotype" w:cs="Palatino Linotype"/>
        </w:rPr>
      </w:pPr>
    </w:p>
    <w:p w14:paraId="4287B391" w14:textId="77777777" w:rsidR="0052657E" w:rsidRDefault="00340731">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Esta cuenta es de uso personal y no guarda relación con el servicio público ni con los recursos públicos, ya que es elección del trabajador determinar si desea que su sueldo se pague de manera directa o a través de depósito bancario en la institución de crédito de su elección. De tal suerte, el número de cuenta bancario lo proporciona el servidor público al </w:t>
      </w:r>
      <w:r>
        <w:rPr>
          <w:rFonts w:ascii="Palatino Linotype" w:eastAsia="Palatino Linotype" w:hAnsi="Palatino Linotype" w:cs="Palatino Linotype"/>
          <w:b/>
        </w:rPr>
        <w:t>SUJETO OBLIGADO</w:t>
      </w:r>
      <w:r>
        <w:rPr>
          <w:rFonts w:ascii="Palatino Linotype" w:eastAsia="Palatino Linotype" w:hAnsi="Palatino Linotype" w:cs="Palatino Linotype"/>
        </w:rPr>
        <w:t>, con el único fin de que realicen los depósitos de su sueldo, por lo que este número constituye información confidencial al pertenecer exclusivamente al ámbito de la vida privada del trabajador y procede su eliminación de conformidad con el artículo 143, fracción I de la Ley de Transparencia y Acceso a la Información Pública del Estado de México y Municipios.</w:t>
      </w:r>
    </w:p>
    <w:p w14:paraId="6B00A973" w14:textId="77777777" w:rsidR="0052657E" w:rsidRDefault="0052657E">
      <w:pPr>
        <w:spacing w:line="360" w:lineRule="auto"/>
        <w:ind w:right="-93"/>
        <w:jc w:val="both"/>
        <w:rPr>
          <w:rFonts w:ascii="Palatino Linotype" w:eastAsia="Palatino Linotype" w:hAnsi="Palatino Linotype" w:cs="Palatino Linotype"/>
        </w:rPr>
      </w:pPr>
    </w:p>
    <w:p w14:paraId="13719093" w14:textId="77777777" w:rsidR="0052657E" w:rsidRDefault="00340731">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Código de barras bidimensional (QR)</w:t>
      </w:r>
      <w:r>
        <w:rPr>
          <w:rFonts w:ascii="Palatino Linotype" w:eastAsia="Palatino Linotype" w:hAnsi="Palatino Linotype" w:cs="Palatino Linotype"/>
        </w:rPr>
        <w:t xml:space="preserve">, resulta necesario señalar que los comprobantes fiscales digitales por Internet, deben de incluir un código bidimensional conforme al formato </w:t>
      </w:r>
      <w:r>
        <w:rPr>
          <w:rFonts w:ascii="Palatino Linotype" w:eastAsia="Palatino Linotype" w:hAnsi="Palatino Linotype" w:cs="Palatino Linotype"/>
          <w:i/>
        </w:rPr>
        <w:t>QR Code (Quick Response Code)</w:t>
      </w:r>
      <w:r>
        <w:rPr>
          <w:rFonts w:ascii="Palatino Linotype" w:eastAsia="Palatino Linotype" w:hAnsi="Palatino Linotype" w:cs="Palatino Linotype"/>
        </w:rPr>
        <w:t xml:space="preserve">, el cual contiene el Registro Federal de Contribuyentes del receptor, del emisor, o de ambos; lo anterior, conforme al Anexo 20 de la Segunda Resolución de modificación a la Resolución Miscelánea Fiscal para el 2017, localizada en la página electrónica  </w:t>
      </w:r>
      <w:hyperlink r:id="rId19">
        <w:r>
          <w:rPr>
            <w:rFonts w:ascii="Palatino Linotype" w:eastAsia="Palatino Linotype" w:hAnsi="Palatino Linotype" w:cs="Palatino Linotype"/>
            <w:color w:val="0000FF"/>
            <w:u w:val="single"/>
          </w:rPr>
          <w:t>http://dof.gob.mx/nota_detalle.php?codigo=5492254&amp;fecha=28/07/2017</w:t>
        </w:r>
      </w:hyperlink>
      <w:r>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w:t>
      </w:r>
      <w:r>
        <w:rPr>
          <w:rFonts w:ascii="Palatino Linotype" w:eastAsia="Palatino Linotype" w:hAnsi="Palatino Linotype" w:cs="Palatino Linotype"/>
          <w:b/>
        </w:rPr>
        <w:t>SUJETO OBLIGADO</w:t>
      </w:r>
      <w:r>
        <w:rPr>
          <w:rFonts w:ascii="Palatino Linotype" w:eastAsia="Palatino Linotype" w:hAnsi="Palatino Linotype" w:cs="Palatino Linotype"/>
        </w:rPr>
        <w:t>, como de la persona física o moral correspondiente.</w:t>
      </w:r>
    </w:p>
    <w:p w14:paraId="06C40B2E" w14:textId="77777777" w:rsidR="0052657E" w:rsidRDefault="0052657E">
      <w:pPr>
        <w:spacing w:line="360" w:lineRule="auto"/>
        <w:ind w:right="-93"/>
        <w:jc w:val="both"/>
        <w:rPr>
          <w:rFonts w:ascii="Palatino Linotype" w:eastAsia="Palatino Linotype" w:hAnsi="Palatino Linotype" w:cs="Palatino Linotype"/>
          <w:b/>
        </w:rPr>
      </w:pPr>
    </w:p>
    <w:p w14:paraId="29EDAAE5" w14:textId="77777777" w:rsidR="0052657E" w:rsidRDefault="00340731">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De tales circunstancias, se considera que se actualiza la causal de clasificación prevista en el artículo 143, fracción I de la Ley de la materia, toda vez que el Registro Federal de Contribuyentes corresponde a los servidores públicos, pues como se señaló en párrafos anteriores el mismo hace identificable o identificada al mismo.</w:t>
      </w:r>
    </w:p>
    <w:p w14:paraId="1DC1DC19" w14:textId="77777777" w:rsidR="0052657E" w:rsidRDefault="00340731">
      <w:pPr>
        <w:shd w:val="clear" w:color="auto" w:fill="FFFFFF"/>
        <w:spacing w:before="240" w:after="240" w:line="360" w:lineRule="auto"/>
        <w:jc w:val="both"/>
        <w:rPr>
          <w:color w:val="222222"/>
        </w:rPr>
      </w:pPr>
      <w:r>
        <w:rPr>
          <w:rFonts w:ascii="Palatino Linotype" w:eastAsia="Palatino Linotype" w:hAnsi="Palatino Linotype" w:cs="Palatino Linotype"/>
          <w:color w:val="222222"/>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31257ACF" w14:textId="77777777" w:rsidR="0052657E" w:rsidRDefault="00340731">
      <w:pPr>
        <w:shd w:val="clear" w:color="auto" w:fill="FFFFFF"/>
        <w:spacing w:before="240" w:after="240" w:line="276" w:lineRule="auto"/>
        <w:ind w:left="567" w:right="900"/>
        <w:jc w:val="both"/>
        <w:rPr>
          <w:color w:val="222222"/>
        </w:rPr>
      </w:pPr>
      <w:r>
        <w:rPr>
          <w:rFonts w:ascii="Palatino Linotype" w:eastAsia="Palatino Linotype" w:hAnsi="Palatino Linotype" w:cs="Palatino Linotype"/>
          <w:b/>
          <w:i/>
          <w:color w:val="222222"/>
        </w:rPr>
        <w:lastRenderedPageBreak/>
        <w:t>“El número de ficha de identificación única de los trabajadores es información de carácter confidencial.</w:t>
      </w:r>
      <w:r>
        <w:rPr>
          <w:rFonts w:ascii="Palatino Linotype" w:eastAsia="Palatino Linotype" w:hAnsi="Palatino Linotype" w:cs="Palatino Linotype"/>
          <w:i/>
          <w:color w:val="222222"/>
        </w:rPr>
        <w:t> </w:t>
      </w:r>
      <w:r>
        <w:rPr>
          <w:rFonts w:ascii="Palatino Linotype" w:eastAsia="Palatino Linotype" w:hAnsi="Palatino Linotype" w:cs="Palatino Linotype"/>
          <w:i/>
          <w:color w:val="2222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Pr>
          <w:rFonts w:ascii="Palatino Linotype" w:eastAsia="Palatino Linotype" w:hAnsi="Palatino Linotype" w:cs="Palatino Linotype"/>
          <w:i/>
          <w:color w:val="222222"/>
        </w:rPr>
        <w:t>, </w:t>
      </w:r>
      <w:r>
        <w:rPr>
          <w:rFonts w:ascii="Palatino Linotype" w:eastAsia="Palatino Linotype" w:hAnsi="Palatino Linotype" w:cs="Palatino Linotype"/>
          <w:i/>
          <w:color w:val="222222"/>
          <w:u w:val="single"/>
        </w:rPr>
        <w:t>dicha información es susceptible de clasificarse con el carácter de confidencial</w:t>
      </w:r>
      <w:r>
        <w:rPr>
          <w:rFonts w:ascii="Palatino Linotype" w:eastAsia="Palatino Linotype" w:hAnsi="Palatino Linotype" w:cs="Palatino Linotype"/>
          <w:i/>
          <w:color w:val="222222"/>
        </w:rPr>
        <w:t>, en términos de lo establecido en el artículo 18, fracción II de la Ley Federal de Transparencia y Acceso a la Información Pública Gubernamental, en virtud de que a través de la misma es posible conocer información personal de su titular.” (Sic)</w:t>
      </w:r>
    </w:p>
    <w:p w14:paraId="05E514DE" w14:textId="77777777" w:rsidR="0052657E" w:rsidRDefault="00340731">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es de señalar que </w:t>
      </w:r>
      <w:r>
        <w:rPr>
          <w:rFonts w:ascii="Palatino Linotype" w:eastAsia="Palatino Linotype" w:hAnsi="Palatino Linotype" w:cs="Palatino Linotype"/>
          <w:b/>
        </w:rPr>
        <w:t xml:space="preserve">la firma </w:t>
      </w:r>
      <w:r>
        <w:rPr>
          <w:rFonts w:ascii="Palatino Linotype" w:eastAsia="Palatino Linotype" w:hAnsi="Palatino Linotype" w:cs="Palatino Linotype"/>
        </w:rPr>
        <w:t xml:space="preserve">es considerada un dato personal, al tratarse de información gráfica a través de la cual su titular exterioriza su voluntad en actos públicos y privados; no obstante, en el presente caso, dicho dato, es de la autoridad emisora del comprobante de los arqueos de caja. </w:t>
      </w:r>
    </w:p>
    <w:p w14:paraId="405E4EEE" w14:textId="77777777" w:rsidR="0052657E" w:rsidRDefault="0052657E">
      <w:pPr>
        <w:spacing w:line="360" w:lineRule="auto"/>
        <w:ind w:right="-93"/>
        <w:jc w:val="both"/>
        <w:rPr>
          <w:rFonts w:ascii="Palatino Linotype" w:eastAsia="Palatino Linotype" w:hAnsi="Palatino Linotype" w:cs="Palatino Linotype"/>
        </w:rPr>
      </w:pPr>
    </w:p>
    <w:p w14:paraId="7D06E8D5" w14:textId="77777777" w:rsidR="0052657E" w:rsidRDefault="00340731">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0D1F348F" w14:textId="77777777" w:rsidR="0052657E" w:rsidRDefault="0052657E">
      <w:pPr>
        <w:spacing w:line="360" w:lineRule="auto"/>
        <w:ind w:right="-93"/>
        <w:jc w:val="both"/>
        <w:rPr>
          <w:rFonts w:ascii="Palatino Linotype" w:eastAsia="Palatino Linotype" w:hAnsi="Palatino Linotype" w:cs="Palatino Linotype"/>
        </w:rPr>
      </w:pPr>
    </w:p>
    <w:p w14:paraId="01300B20" w14:textId="77777777" w:rsidR="0052657E" w:rsidRDefault="00340731">
      <w:pPr>
        <w:spacing w:line="360" w:lineRule="auto"/>
        <w:ind w:right="-93"/>
        <w:jc w:val="both"/>
        <w:rPr>
          <w:rFonts w:ascii="Palatino Linotype" w:eastAsia="Palatino Linotype" w:hAnsi="Palatino Linotype" w:cs="Palatino Linotype"/>
        </w:rPr>
      </w:pPr>
      <w:r>
        <w:rPr>
          <w:rFonts w:ascii="Palatino Linotype" w:eastAsia="Palatino Linotype" w:hAnsi="Palatino Linotype" w:cs="Palatino Linotype"/>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2B276E71" w14:textId="77777777" w:rsidR="0052657E" w:rsidRDefault="00340731">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Sirve de sustento a lo anterior el Criterio de Interpretación 02/19 emitido por el Instituto Nacional de Transparencia, Acceso a la Información y Protección de Datos Personales, cuyo rubro y texto establecen lo siguiente:</w:t>
      </w:r>
    </w:p>
    <w:p w14:paraId="22C4B826" w14:textId="77777777" w:rsidR="0052657E" w:rsidRDefault="0052657E">
      <w:pPr>
        <w:spacing w:line="360" w:lineRule="auto"/>
        <w:ind w:right="-93"/>
        <w:jc w:val="both"/>
        <w:rPr>
          <w:rFonts w:ascii="Palatino Linotype" w:eastAsia="Palatino Linotype" w:hAnsi="Palatino Linotype" w:cs="Palatino Linotype"/>
        </w:rPr>
      </w:pPr>
    </w:p>
    <w:p w14:paraId="6FD959A3" w14:textId="77777777" w:rsidR="0052657E" w:rsidRDefault="00340731">
      <w:pPr>
        <w:spacing w:line="276" w:lineRule="auto"/>
        <w:ind w:left="1134" w:right="1041"/>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FIRMA Y RÚBRICA DE SERVIDORES PÚBLICOS.</w:t>
      </w:r>
      <w:r>
        <w:rPr>
          <w:rFonts w:ascii="Palatino Linotype" w:eastAsia="Palatino Linotype" w:hAnsi="Palatino Linotype" w:cs="Palatino Linotype"/>
          <w:i/>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0050C3E2" w14:textId="77777777" w:rsidR="0052657E" w:rsidRDefault="00340731">
      <w:pPr>
        <w:spacing w:before="240" w:after="240" w:line="360" w:lineRule="auto"/>
        <w:jc w:val="both"/>
        <w:rPr>
          <w:rFonts w:ascii="Palatino Linotype" w:eastAsia="Palatino Linotype" w:hAnsi="Palatino Linotype" w:cs="Palatino Linotype"/>
          <w:highlight w:val="white"/>
        </w:rPr>
      </w:pPr>
      <w:r>
        <w:rPr>
          <w:rFonts w:ascii="Palatino Linotype" w:eastAsia="Palatino Linotype" w:hAnsi="Palatino Linotype" w:cs="Palatino Linotype"/>
        </w:rPr>
        <w:t xml:space="preserve">Al respecto, se destaca que la versión pública que elabore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 cumplir con las formalidades exigidas en la Ley, por lo que para tal efecto emitirá el Acuerdo del Comité de Transparencia en términos de la Ley de Transparencia y Acceso a la Información Pública del Estado de México y Municipios, y los Lineamientos Generales en Materia de Clasificación y Desclasificación de la Información, Así como para la elaboración de versiones públicas emitidos por el Consejo Nacional de Transparencia, con el cual sustentará la clasificación de datos y con ello la "versión pública" de los documentos materia de las solicitudes</w:t>
      </w:r>
      <w:r>
        <w:rPr>
          <w:rFonts w:ascii="Palatino Linotype" w:eastAsia="Palatino Linotype" w:hAnsi="Palatino Linotype" w:cs="Palatino Linotype"/>
          <w:highlight w:val="white"/>
        </w:rPr>
        <w:t>.</w:t>
      </w:r>
    </w:p>
    <w:p w14:paraId="35776222"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Efectivamente, cuando se clasifica información como confidencial o reservada es importante someterlo al Comité de Transparencia, quien debe confirmar, modificar o revocar la clasificación.</w:t>
      </w:r>
    </w:p>
    <w:p w14:paraId="3FFC9290" w14:textId="77777777" w:rsidR="0052657E" w:rsidRDefault="00340731">
      <w:pPr>
        <w:shd w:val="clear" w:color="auto" w:fill="FFFFFF"/>
        <w:spacing w:before="240" w:after="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rPr>
        <w:t>Por lo tanto, la entrega de documentos en su versión pública debe acompañarse necesariamente del Acuerdo del Comité de Transparencia que la sustente, en el que se expongan los fundamentos y razonamientos que llevaron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a testar, suprimir o eliminar datos de dicho soporte documental, ya que no hacerlo implica </w:t>
      </w:r>
      <w:r>
        <w:rPr>
          <w:rFonts w:ascii="Palatino Linotype" w:eastAsia="Palatino Linotype" w:hAnsi="Palatino Linotype" w:cs="Palatino Linotype"/>
        </w:rPr>
        <w:lastRenderedPageBreak/>
        <w:t>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Pr>
          <w:rFonts w:ascii="Palatino Linotype" w:eastAsia="Palatino Linotype" w:hAnsi="Palatino Linotype" w:cs="Palatino Linotype"/>
          <w:b/>
        </w:rPr>
        <w:t>RECURRENTE.</w:t>
      </w:r>
    </w:p>
    <w:p w14:paraId="578F68DD"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 </w:t>
      </w:r>
    </w:p>
    <w:p w14:paraId="33B6DC39"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92B4CCE"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D2E22FF" w14:textId="77777777" w:rsidR="0052657E" w:rsidRDefault="003407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lastRenderedPageBreak/>
        <w:t>“Quincuagésimo sexto</w:t>
      </w:r>
      <w:r>
        <w:rPr>
          <w:rFonts w:ascii="Palatino Linotype" w:eastAsia="Palatino Linotype" w:hAnsi="Palatino Linotype" w:cs="Palatino Linotype"/>
          <w:b/>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4E017843" w14:textId="77777777" w:rsidR="0052657E" w:rsidRDefault="003407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Quincuagésimo séptimo. Se considera, en principio, como información pública y no podrá omitirse de las versiones públicas la siguiente: </w:t>
      </w:r>
    </w:p>
    <w:p w14:paraId="296F8433" w14:textId="77777777" w:rsidR="0052657E" w:rsidRDefault="003407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362F548C" w14:textId="77777777" w:rsidR="0052657E" w:rsidRDefault="003407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II. El nombre de los servidores públicos en los documentos, y sus firmas autógrafas, cuando sean utilizados en el ejercicio de las facultades conferidas para el desempeño del servicio público, y </w:t>
      </w:r>
    </w:p>
    <w:p w14:paraId="50CB454B" w14:textId="77777777" w:rsidR="0052657E" w:rsidRDefault="003407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III. La información que documente decisiones y los actos de autoridad concluidos de los sujetos obligados, así como el ejercicio de las facultades o actividades de los servidores públicos, de manera que se pueda valorar el desempeño de los mismos.</w:t>
      </w:r>
    </w:p>
    <w:p w14:paraId="212E1E32" w14:textId="77777777" w:rsidR="0052657E" w:rsidRDefault="003407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014936BD" w14:textId="77777777" w:rsidR="0052657E" w:rsidRDefault="00340731">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Quincuagésimo octavo. Los sujetos obligados garantizarán que los sistemas o medios empleados para eliminar la información en las versiones públicas no permitan la recuperación o visualización de la misma.”</w:t>
      </w:r>
    </w:p>
    <w:p w14:paraId="70C5AA94"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w:t>
      </w:r>
      <w:r>
        <w:rPr>
          <w:rFonts w:ascii="Palatino Linotype" w:eastAsia="Palatino Linotype" w:hAnsi="Palatino Linotype" w:cs="Palatino Linotype"/>
          <w:b/>
        </w:rPr>
        <w:t>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w:t>
      </w:r>
      <w:r>
        <w:rPr>
          <w:rFonts w:ascii="Palatino Linotype" w:eastAsia="Palatino Linotype" w:hAnsi="Palatino Linotype" w:cs="Palatino Linotype"/>
        </w:rPr>
        <w:t xml:space="preserve">,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w:t>
      </w:r>
      <w:r>
        <w:rPr>
          <w:rFonts w:ascii="Palatino Linotype" w:eastAsia="Palatino Linotype" w:hAnsi="Palatino Linotype" w:cs="Palatino Linotype"/>
        </w:rPr>
        <w:lastRenderedPageBreak/>
        <w:t>estado de incertidumbre, al no conocer o comprender porque no aparecen en la documentación respectiva.</w:t>
      </w:r>
    </w:p>
    <w:p w14:paraId="6A2DD943" w14:textId="77777777" w:rsidR="0052657E" w:rsidRDefault="0034073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568"/>
        <w:gridCol w:w="968"/>
        <w:gridCol w:w="3446"/>
      </w:tblGrid>
      <w:tr w:rsidR="0052657E" w14:paraId="24FD712B" w14:textId="77777777">
        <w:tc>
          <w:tcPr>
            <w:tcW w:w="4414" w:type="dxa"/>
            <w:gridSpan w:val="2"/>
          </w:tcPr>
          <w:p w14:paraId="7BF4E17D" w14:textId="77777777" w:rsidR="0052657E" w:rsidRDefault="00340731">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14:paraId="7C7B65CD" w14:textId="77777777" w:rsidR="0052657E" w:rsidRDefault="00340731">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52657E" w14:paraId="44BAD02E" w14:textId="77777777">
        <w:tc>
          <w:tcPr>
            <w:tcW w:w="846" w:type="dxa"/>
          </w:tcPr>
          <w:p w14:paraId="29EB56AA" w14:textId="77777777" w:rsidR="0052657E" w:rsidRDefault="00340731">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Concepto</w:t>
            </w:r>
          </w:p>
        </w:tc>
        <w:tc>
          <w:tcPr>
            <w:tcW w:w="3568" w:type="dxa"/>
          </w:tcPr>
          <w:p w14:paraId="44687BA5" w14:textId="77777777" w:rsidR="0052657E" w:rsidRDefault="0034073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14:paraId="775C3225" w14:textId="77777777" w:rsidR="0052657E" w:rsidRDefault="0034073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26FCA10A" w14:textId="77777777" w:rsidR="0052657E" w:rsidRDefault="00340731">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52657E" w14:paraId="6F0A880F" w14:textId="77777777">
        <w:tc>
          <w:tcPr>
            <w:tcW w:w="8828" w:type="dxa"/>
            <w:gridSpan w:val="4"/>
          </w:tcPr>
          <w:p w14:paraId="4DD13C7E" w14:textId="77777777" w:rsidR="0052657E" w:rsidRDefault="00340731">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52657E" w14:paraId="2540D717" w14:textId="77777777">
        <w:tc>
          <w:tcPr>
            <w:tcW w:w="846" w:type="dxa"/>
          </w:tcPr>
          <w:p w14:paraId="0212A2EF"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568" w:type="dxa"/>
          </w:tcPr>
          <w:p w14:paraId="20016B7D"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14:paraId="71856AE2" w14:textId="77777777" w:rsidR="0052657E" w:rsidRDefault="0034073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26625418"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2657E" w14:paraId="2BFD76B0" w14:textId="77777777">
        <w:tc>
          <w:tcPr>
            <w:tcW w:w="846" w:type="dxa"/>
          </w:tcPr>
          <w:p w14:paraId="438853F0"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568" w:type="dxa"/>
          </w:tcPr>
          <w:p w14:paraId="6008FC12"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14:paraId="53BB2F3B" w14:textId="77777777" w:rsidR="0052657E" w:rsidRDefault="0034073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4F0FCB77"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52657E" w14:paraId="1BFF01C8" w14:textId="77777777">
        <w:tc>
          <w:tcPr>
            <w:tcW w:w="846" w:type="dxa"/>
          </w:tcPr>
          <w:p w14:paraId="35BF0B57"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568" w:type="dxa"/>
          </w:tcPr>
          <w:p w14:paraId="7D22D46E"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3C3C7945" w14:textId="77777777" w:rsidR="0052657E" w:rsidRDefault="0034073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770528E6"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52657E" w14:paraId="5427F0D1" w14:textId="77777777">
        <w:tc>
          <w:tcPr>
            <w:tcW w:w="846" w:type="dxa"/>
          </w:tcPr>
          <w:p w14:paraId="20F423CF"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568" w:type="dxa"/>
          </w:tcPr>
          <w:p w14:paraId="510E80FC"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14:paraId="347713A5" w14:textId="77777777" w:rsidR="0052657E" w:rsidRDefault="0034073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57398173"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2657E" w14:paraId="58515386" w14:textId="77777777">
        <w:tc>
          <w:tcPr>
            <w:tcW w:w="846" w:type="dxa"/>
          </w:tcPr>
          <w:p w14:paraId="1B4E6C2D"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568" w:type="dxa"/>
          </w:tcPr>
          <w:p w14:paraId="2A98C38E"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4192E3D2" w14:textId="77777777" w:rsidR="0052657E" w:rsidRDefault="0034073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3B3AC2D6"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2657E" w14:paraId="1F516F7F" w14:textId="77777777">
        <w:tc>
          <w:tcPr>
            <w:tcW w:w="846" w:type="dxa"/>
          </w:tcPr>
          <w:p w14:paraId="42FE15F8"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568" w:type="dxa"/>
          </w:tcPr>
          <w:p w14:paraId="289DA037"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2181EA5" w14:textId="77777777" w:rsidR="0052657E" w:rsidRDefault="0034073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325C706A"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2657E" w14:paraId="45939978" w14:textId="77777777">
        <w:tc>
          <w:tcPr>
            <w:tcW w:w="846" w:type="dxa"/>
          </w:tcPr>
          <w:p w14:paraId="122F1E93"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568" w:type="dxa"/>
          </w:tcPr>
          <w:p w14:paraId="34B4B329"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14:paraId="134A09DC" w14:textId="77777777" w:rsidR="0052657E" w:rsidRDefault="0034073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1A68E7DC"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52657E" w14:paraId="6125D099" w14:textId="77777777">
        <w:tc>
          <w:tcPr>
            <w:tcW w:w="846" w:type="dxa"/>
          </w:tcPr>
          <w:p w14:paraId="4A73736D"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568" w:type="dxa"/>
          </w:tcPr>
          <w:p w14:paraId="4A1FE67A"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14:paraId="44D9B3E8" w14:textId="77777777" w:rsidR="0052657E" w:rsidRDefault="0034073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6ED7A019"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2657E" w14:paraId="05CB5D98" w14:textId="77777777">
        <w:tc>
          <w:tcPr>
            <w:tcW w:w="846" w:type="dxa"/>
          </w:tcPr>
          <w:p w14:paraId="02C05E9E"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568" w:type="dxa"/>
          </w:tcPr>
          <w:p w14:paraId="28FA8F7E"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14:paraId="2F5FA22E" w14:textId="77777777" w:rsidR="0052657E" w:rsidRDefault="0034073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02DD7B2F"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52657E" w14:paraId="1FA47DFC" w14:textId="77777777">
        <w:tc>
          <w:tcPr>
            <w:tcW w:w="846" w:type="dxa"/>
          </w:tcPr>
          <w:p w14:paraId="65D24771"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568" w:type="dxa"/>
          </w:tcPr>
          <w:p w14:paraId="4F0BA5DD"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14:paraId="0CE6E874" w14:textId="77777777" w:rsidR="0052657E" w:rsidRDefault="0034073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11706377"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52657E" w14:paraId="374518B9" w14:textId="77777777">
        <w:tc>
          <w:tcPr>
            <w:tcW w:w="846" w:type="dxa"/>
          </w:tcPr>
          <w:p w14:paraId="0481F767" w14:textId="77777777" w:rsidR="0052657E" w:rsidRDefault="0052657E">
            <w:pPr>
              <w:jc w:val="both"/>
              <w:rPr>
                <w:rFonts w:ascii="Palatino Linotype" w:eastAsia="Palatino Linotype" w:hAnsi="Palatino Linotype" w:cs="Palatino Linotype"/>
                <w:sz w:val="12"/>
                <w:szCs w:val="12"/>
              </w:rPr>
            </w:pPr>
          </w:p>
        </w:tc>
        <w:tc>
          <w:tcPr>
            <w:tcW w:w="3568" w:type="dxa"/>
          </w:tcPr>
          <w:p w14:paraId="08FCEF81" w14:textId="77777777" w:rsidR="0052657E" w:rsidRDefault="0052657E">
            <w:pPr>
              <w:jc w:val="both"/>
              <w:rPr>
                <w:rFonts w:ascii="Palatino Linotype" w:eastAsia="Palatino Linotype" w:hAnsi="Palatino Linotype" w:cs="Palatino Linotype"/>
                <w:sz w:val="12"/>
                <w:szCs w:val="12"/>
              </w:rPr>
            </w:pPr>
          </w:p>
        </w:tc>
        <w:tc>
          <w:tcPr>
            <w:tcW w:w="968" w:type="dxa"/>
          </w:tcPr>
          <w:p w14:paraId="6A7CED78" w14:textId="77777777" w:rsidR="0052657E" w:rsidRDefault="0034073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55AF0AFB"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 partes o secciones del mismo reservadas o confidenciales, se señalará este hecho.</w:t>
            </w:r>
          </w:p>
        </w:tc>
      </w:tr>
      <w:tr w:rsidR="0052657E" w14:paraId="1B75E5D4" w14:textId="77777777">
        <w:tc>
          <w:tcPr>
            <w:tcW w:w="846" w:type="dxa"/>
          </w:tcPr>
          <w:p w14:paraId="70D24D5E" w14:textId="77777777" w:rsidR="0052657E" w:rsidRDefault="0052657E">
            <w:pPr>
              <w:jc w:val="both"/>
              <w:rPr>
                <w:rFonts w:ascii="Palatino Linotype" w:eastAsia="Palatino Linotype" w:hAnsi="Palatino Linotype" w:cs="Palatino Linotype"/>
                <w:sz w:val="12"/>
                <w:szCs w:val="12"/>
              </w:rPr>
            </w:pPr>
          </w:p>
        </w:tc>
        <w:tc>
          <w:tcPr>
            <w:tcW w:w="3568" w:type="dxa"/>
          </w:tcPr>
          <w:p w14:paraId="4EEEF906" w14:textId="77777777" w:rsidR="0052657E" w:rsidRDefault="0052657E">
            <w:pPr>
              <w:jc w:val="both"/>
              <w:rPr>
                <w:rFonts w:ascii="Palatino Linotype" w:eastAsia="Palatino Linotype" w:hAnsi="Palatino Linotype" w:cs="Palatino Linotype"/>
                <w:sz w:val="12"/>
                <w:szCs w:val="12"/>
              </w:rPr>
            </w:pPr>
          </w:p>
        </w:tc>
        <w:tc>
          <w:tcPr>
            <w:tcW w:w="968" w:type="dxa"/>
          </w:tcPr>
          <w:p w14:paraId="40D427FB" w14:textId="77777777" w:rsidR="0052657E" w:rsidRDefault="00340731">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260EA8FE" w14:textId="77777777" w:rsidR="0052657E" w:rsidRDefault="00340731">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14FEA96B" w14:textId="77777777" w:rsidR="0052657E" w:rsidRDefault="0052657E">
      <w:pPr>
        <w:jc w:val="both"/>
        <w:rPr>
          <w:rFonts w:ascii="Palatino Linotype" w:eastAsia="Palatino Linotype" w:hAnsi="Palatino Linotype" w:cs="Palatino Linotype"/>
          <w:color w:val="000000"/>
        </w:rPr>
      </w:pPr>
    </w:p>
    <w:p w14:paraId="08B63894" w14:textId="77777777" w:rsidR="0052657E" w:rsidRDefault="00340731">
      <w:pPr>
        <w:spacing w:line="360" w:lineRule="auto"/>
        <w:jc w:val="both"/>
      </w:pPr>
      <w:r>
        <w:rPr>
          <w:rFonts w:ascii="Palatino Linotype" w:eastAsia="Palatino Linotype" w:hAnsi="Palatino Linotype" w:cs="Palatino Linotype"/>
          <w:color w:val="000000"/>
        </w:rPr>
        <w:t>En mérito de lo expuesto en líneas anteriores, resultan fundados los motivos de inconformidad vertidos por 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por ello con fundamento en la </w:t>
      </w:r>
      <w:r>
        <w:rPr>
          <w:rFonts w:ascii="Palatino Linotype" w:eastAsia="Palatino Linotype" w:hAnsi="Palatino Linotype" w:cs="Palatino Linotype"/>
          <w:i/>
          <w:color w:val="000000"/>
        </w:rPr>
        <w:t xml:space="preserve">primera </w:t>
      </w:r>
      <w:r>
        <w:rPr>
          <w:rFonts w:ascii="Palatino Linotype" w:eastAsia="Palatino Linotype" w:hAnsi="Palatino Linotype" w:cs="Palatino Linotype"/>
          <w:i/>
          <w:color w:val="000000"/>
        </w:rPr>
        <w:lastRenderedPageBreak/>
        <w:t>hipótesis</w:t>
      </w:r>
      <w:r>
        <w:rPr>
          <w:rFonts w:ascii="Palatino Linotype" w:eastAsia="Palatino Linotype" w:hAnsi="Palatino Linotype" w:cs="Palatino Linotype"/>
          <w:color w:val="000000"/>
        </w:rPr>
        <w:t xml:space="preserve"> del artículo 186, fracción III, de la Ley de Transparencia y Acceso a la Información Pública del Estado de México y Municipios, se MODIFICA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la respuesta a la solicitud de información que ha sido materia del presente fallo. </w:t>
      </w:r>
    </w:p>
    <w:p w14:paraId="51A53CE9" w14:textId="77777777" w:rsidR="0052657E" w:rsidRDefault="00340731">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con fundamento en lo prescrito en los artículos 5 </w:t>
      </w:r>
      <w:r>
        <w:rPr>
          <w:rFonts w:ascii="Palatino Linotype" w:eastAsia="Palatino Linotype" w:hAnsi="Palatino Linotype" w:cs="Palatino Linotype"/>
          <w:highlight w:val="white"/>
        </w:rPr>
        <w:t xml:space="preserve">párrafos vigésimo segundo, vigésimo tercero y vigésimo cuarto fracciones IV y V </w:t>
      </w:r>
      <w:r>
        <w:rPr>
          <w:rFonts w:ascii="Palatino Linotype" w:eastAsia="Palatino Linotype" w:hAnsi="Palatino Linotype" w:cs="Palatino Linotype"/>
        </w:rPr>
        <w:t>de la Constitución Política del Estado Libre y Soberano de México; 2, fracción II; 29, 36 fracciones I y II; 176, 178, 181, 185 de la Ley de Transparencia y Acceso a la Información Pública del Estado de México y Municipios, este Pleno:</w:t>
      </w:r>
    </w:p>
    <w:p w14:paraId="4B1EAADC" w14:textId="77777777" w:rsidR="0052657E" w:rsidRDefault="0052657E">
      <w:pPr>
        <w:tabs>
          <w:tab w:val="left" w:pos="709"/>
        </w:tabs>
        <w:spacing w:line="360" w:lineRule="auto"/>
        <w:jc w:val="both"/>
        <w:rPr>
          <w:rFonts w:ascii="Palatino Linotype" w:eastAsia="Palatino Linotype" w:hAnsi="Palatino Linotype" w:cs="Palatino Linotype"/>
        </w:rPr>
      </w:pPr>
    </w:p>
    <w:p w14:paraId="728D8931" w14:textId="77777777" w:rsidR="0052657E" w:rsidRDefault="00340731">
      <w:pPr>
        <w:spacing w:line="360" w:lineRule="auto"/>
        <w:ind w:left="360"/>
        <w:jc w:val="center"/>
        <w:rPr>
          <w:rFonts w:ascii="Palatino Linotype" w:eastAsia="Palatino Linotype" w:hAnsi="Palatino Linotype" w:cs="Palatino Linotype"/>
          <w:b/>
        </w:rPr>
      </w:pPr>
      <w:r>
        <w:rPr>
          <w:rFonts w:ascii="Palatino Linotype" w:eastAsia="Palatino Linotype" w:hAnsi="Palatino Linotype" w:cs="Palatino Linotype"/>
          <w:b/>
        </w:rPr>
        <w:t>III. R E S U E L V E:</w:t>
      </w:r>
    </w:p>
    <w:p w14:paraId="3AD523BF" w14:textId="77777777" w:rsidR="0052657E" w:rsidRDefault="0052657E">
      <w:pPr>
        <w:spacing w:line="360" w:lineRule="auto"/>
        <w:ind w:left="360"/>
        <w:jc w:val="center"/>
        <w:rPr>
          <w:rFonts w:ascii="Palatino Linotype" w:eastAsia="Palatino Linotype" w:hAnsi="Palatino Linotype" w:cs="Palatino Linotype"/>
          <w:b/>
        </w:rPr>
      </w:pPr>
    </w:p>
    <w:p w14:paraId="1DC93579" w14:textId="77777777" w:rsidR="0052657E" w:rsidRDefault="0034073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Resultan </w:t>
      </w:r>
      <w:r>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la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03519/INFOEM/IP/RR/2022</w:t>
      </w:r>
      <w:r>
        <w:rPr>
          <w:rFonts w:ascii="Palatino Linotype" w:eastAsia="Palatino Linotype" w:hAnsi="Palatino Linotype" w:cs="Palatino Linotype"/>
        </w:rPr>
        <w:t xml:space="preserve">, en términos del considerando </w:t>
      </w:r>
      <w:r>
        <w:rPr>
          <w:rFonts w:ascii="Palatino Linotype" w:eastAsia="Palatino Linotype" w:hAnsi="Palatino Linotype" w:cs="Palatino Linotype"/>
          <w:b/>
        </w:rPr>
        <w:t>CUARTO</w:t>
      </w:r>
      <w:r>
        <w:rPr>
          <w:rFonts w:ascii="Palatino Linotype" w:eastAsia="Palatino Linotype" w:hAnsi="Palatino Linotype" w:cs="Palatino Linotype"/>
        </w:rPr>
        <w:t xml:space="preserve"> de esta resolución</w:t>
      </w:r>
    </w:p>
    <w:p w14:paraId="4B1529B0" w14:textId="77777777" w:rsidR="0052657E" w:rsidRDefault="0052657E">
      <w:pPr>
        <w:spacing w:line="360" w:lineRule="auto"/>
        <w:jc w:val="both"/>
        <w:rPr>
          <w:rFonts w:ascii="Palatino Linotype" w:eastAsia="Palatino Linotype" w:hAnsi="Palatino Linotype" w:cs="Palatino Linotype"/>
        </w:rPr>
      </w:pPr>
    </w:p>
    <w:p w14:paraId="05ED30C3" w14:textId="77777777" w:rsidR="0052657E" w:rsidRDefault="00340731">
      <w:pPr>
        <w:spacing w:after="240" w:line="360" w:lineRule="auto"/>
        <w:jc w:val="both"/>
      </w:pPr>
      <w:r>
        <w:rPr>
          <w:rFonts w:ascii="Palatino Linotype" w:eastAsia="Palatino Linotype" w:hAnsi="Palatino Linotype" w:cs="Palatino Linotype"/>
          <w:b/>
          <w:color w:val="000000"/>
        </w:rPr>
        <w:t xml:space="preserve">Segundo. </w:t>
      </w:r>
      <w:r>
        <w:rPr>
          <w:rFonts w:ascii="Palatino Linotype" w:eastAsia="Palatino Linotype" w:hAnsi="Palatino Linotype" w:cs="Palatino Linotype"/>
          <w:color w:val="000000"/>
        </w:rPr>
        <w:t xml:space="preserve">Se </w:t>
      </w:r>
      <w:r>
        <w:rPr>
          <w:rFonts w:ascii="Palatino Linotype" w:eastAsia="Palatino Linotype" w:hAnsi="Palatino Linotype" w:cs="Palatino Linotype"/>
          <w:b/>
        </w:rPr>
        <w:t>MODIFICA</w:t>
      </w:r>
      <w:r>
        <w:rPr>
          <w:rFonts w:ascii="Palatino Linotype" w:eastAsia="Palatino Linotype" w:hAnsi="Palatino Linotype" w:cs="Palatino Linotype"/>
          <w:color w:val="000000"/>
        </w:rPr>
        <w:t xml:space="preserve"> la respuesta emitida por el</w:t>
      </w:r>
      <w:r>
        <w:rPr>
          <w:rFonts w:ascii="Palatino Linotype" w:eastAsia="Palatino Linotype" w:hAnsi="Palatino Linotype" w:cs="Palatino Linotype"/>
          <w:b/>
          <w:color w:val="000000"/>
        </w:rPr>
        <w:t xml:space="preserve"> SUJETO OBLIGADO</w:t>
      </w:r>
      <w:r>
        <w:rPr>
          <w:rFonts w:ascii="Palatino Linotype" w:eastAsia="Palatino Linotype" w:hAnsi="Palatino Linotype" w:cs="Palatino Linotype"/>
          <w:color w:val="000000"/>
        </w:rPr>
        <w:t xml:space="preserve"> y se </w:t>
      </w:r>
      <w:r>
        <w:rPr>
          <w:rFonts w:ascii="Palatino Linotype" w:eastAsia="Palatino Linotype" w:hAnsi="Palatino Linotype" w:cs="Palatino Linotype"/>
          <w:b/>
          <w:color w:val="000000"/>
        </w:rPr>
        <w:t xml:space="preserve">Ordena, </w:t>
      </w:r>
      <w:r>
        <w:rPr>
          <w:rFonts w:ascii="Palatino Linotype" w:eastAsia="Palatino Linotype" w:hAnsi="Palatino Linotype" w:cs="Palatino Linotype"/>
          <w:color w:val="000000"/>
        </w:rPr>
        <w:t xml:space="preserve">en términos de los Considerandos </w:t>
      </w:r>
      <w:r>
        <w:rPr>
          <w:rFonts w:ascii="Palatino Linotype" w:eastAsia="Palatino Linotype" w:hAnsi="Palatino Linotype" w:cs="Palatino Linotype"/>
          <w:b/>
          <w:color w:val="000000"/>
        </w:rPr>
        <w:t xml:space="preserve">CUARTO </w:t>
      </w:r>
      <w:r>
        <w:rPr>
          <w:rFonts w:ascii="Palatino Linotype" w:eastAsia="Palatino Linotype" w:hAnsi="Palatino Linotype" w:cs="Palatino Linotype"/>
          <w:color w:val="000000"/>
        </w:rPr>
        <w:t>y</w:t>
      </w:r>
      <w:r>
        <w:rPr>
          <w:rFonts w:ascii="Palatino Linotype" w:eastAsia="Palatino Linotype" w:hAnsi="Palatino Linotype" w:cs="Palatino Linotype"/>
          <w:b/>
          <w:color w:val="000000"/>
        </w:rPr>
        <w:t xml:space="preserve"> QUINTO</w:t>
      </w:r>
      <w:r>
        <w:rPr>
          <w:rFonts w:ascii="Palatino Linotype" w:eastAsia="Palatino Linotype" w:hAnsi="Palatino Linotype" w:cs="Palatino Linotype"/>
          <w:color w:val="000000"/>
        </w:rPr>
        <w:t xml:space="preserve"> de esta resolución, haga entrega en versión pública, a través del SAIMEX, de lo siguiente:</w:t>
      </w:r>
    </w:p>
    <w:p w14:paraId="77746AEC" w14:textId="77777777" w:rsidR="0052657E" w:rsidRDefault="00340731">
      <w:pPr>
        <w:numPr>
          <w:ilvl w:val="0"/>
          <w:numId w:val="2"/>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Recibos de nómina del personal de la Dirección de Servicios Públicos correspondiente a la segunda quincena del mes de enero de dos mil veintidós. </w:t>
      </w:r>
    </w:p>
    <w:p w14:paraId="4836E7E1" w14:textId="77777777" w:rsidR="0052657E" w:rsidRDefault="00340731">
      <w:pPr>
        <w:spacing w:line="360" w:lineRule="auto"/>
        <w:ind w:right="49"/>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Para la entrega en versión pública, deberá emitir el Acuerdo del Comité de Transparencia en términos de la Ley de Transparencia y Acceso a la Información Pública del Estado de México y Municipios, en el que funde y motive las </w:t>
      </w:r>
      <w:r>
        <w:rPr>
          <w:rFonts w:ascii="Palatino Linotype" w:eastAsia="Palatino Linotype" w:hAnsi="Palatino Linotype" w:cs="Palatino Linotype"/>
          <w:i/>
          <w:color w:val="000000"/>
          <w:sz w:val="20"/>
          <w:szCs w:val="20"/>
        </w:rPr>
        <w:lastRenderedPageBreak/>
        <w:t>razones sobre los datos que se supriman o eliminen, así como de los documentos remitidos en respuesta, y se ponga a disposición de la parte Recurrente.</w:t>
      </w:r>
    </w:p>
    <w:p w14:paraId="7D6A7E39" w14:textId="77777777" w:rsidR="0052657E" w:rsidRDefault="0052657E">
      <w:pPr>
        <w:spacing w:line="360" w:lineRule="auto"/>
        <w:ind w:right="49"/>
        <w:jc w:val="both"/>
        <w:rPr>
          <w:rFonts w:ascii="Palatino Linotype" w:eastAsia="Palatino Linotype" w:hAnsi="Palatino Linotype" w:cs="Palatino Linotype"/>
          <w:b/>
          <w:highlight w:val="white"/>
        </w:rPr>
      </w:pPr>
    </w:p>
    <w:p w14:paraId="79794897" w14:textId="77777777" w:rsidR="0052657E" w:rsidRDefault="00340731">
      <w:pPr>
        <w:spacing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highlight w:val="white"/>
        </w:rPr>
        <w:t>Tercero. Notifíquese</w:t>
      </w:r>
      <w:r>
        <w:rPr>
          <w:rFonts w:ascii="Palatino Linotype" w:eastAsia="Palatino Linotype" w:hAnsi="Palatino Linotype" w:cs="Palatino Linotype"/>
          <w:b/>
          <w:i/>
          <w:highlight w:val="white"/>
        </w:rPr>
        <w:t xml:space="preserve"> vía SAIMEX, </w:t>
      </w:r>
      <w:r>
        <w:rPr>
          <w:rFonts w:ascii="Palatino Linotype" w:eastAsia="Palatino Linotype" w:hAnsi="Palatino Linotype" w:cs="Palatino Linotype"/>
          <w:highlight w:val="white"/>
        </w:rPr>
        <w:t xml:space="preserve">al Titular de la Unidad de Transparencia del </w:t>
      </w:r>
      <w:r>
        <w:rPr>
          <w:rFonts w:ascii="Palatino Linotype" w:eastAsia="Palatino Linotype" w:hAnsi="Palatino Linotype" w:cs="Palatino Linotype"/>
          <w:b/>
          <w:highlight w:val="white"/>
        </w:rPr>
        <w:t>SUJETO OBLIGADO</w:t>
      </w:r>
      <w:r>
        <w:rPr>
          <w:rFonts w:ascii="Palatino Linotype" w:eastAsia="Palatino Linotype" w:hAnsi="Palatino Linotype" w:cs="Palatino Linotype"/>
          <w:highlight w:val="white"/>
        </w:rPr>
        <w:t>,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3CE2BAAC" w14:textId="77777777" w:rsidR="0052657E" w:rsidRDefault="00340731">
      <w:pPr>
        <w:spacing w:before="240" w:after="240" w:line="360" w:lineRule="auto"/>
        <w:jc w:val="both"/>
      </w:pPr>
      <w:r>
        <w:rPr>
          <w:rFonts w:ascii="Palatino Linotype" w:eastAsia="Palatino Linotype" w:hAnsi="Palatino Linotype" w:cs="Palatino Linotype"/>
          <w:b/>
        </w:rPr>
        <w:t>Cuarto</w:t>
      </w:r>
      <w:r>
        <w:rPr>
          <w:rFonts w:ascii="Palatino Linotype" w:eastAsia="Palatino Linotype" w:hAnsi="Palatino Linotype" w:cs="Palatino Linotype"/>
        </w:rPr>
        <w:t xml:space="preserve">. </w:t>
      </w:r>
      <w:r>
        <w:rPr>
          <w:rFonts w:ascii="Palatino Linotype" w:eastAsia="Palatino Linotype" w:hAnsi="Palatino Linotype" w:cs="Palatino Linotype"/>
          <w:b/>
          <w:color w:val="000000"/>
        </w:rPr>
        <w:t> </w:t>
      </w:r>
      <w:r>
        <w:rPr>
          <w:rFonts w:ascii="Palatino Linotype" w:eastAsia="Palatino Linotype" w:hAnsi="Palatino Linotype" w:cs="Palatino Linotype"/>
          <w:color w:val="000000"/>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de manera fundada y motivada, podrá solicitar una ampliación de plazo para el cumplimiento de la presente resolución.</w:t>
      </w:r>
    </w:p>
    <w:p w14:paraId="61202F06" w14:textId="77777777" w:rsidR="0052657E" w:rsidRDefault="00340731">
      <w:pPr>
        <w:widowControl w:val="0"/>
        <w:tabs>
          <w:tab w:val="left" w:pos="1701"/>
        </w:tabs>
        <w:spacing w:before="240"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rPr>
        <w:t xml:space="preserve">. </w:t>
      </w:r>
      <w:r>
        <w:rPr>
          <w:rFonts w:ascii="Palatino Linotype" w:eastAsia="Palatino Linotype" w:hAnsi="Palatino Linotype" w:cs="Palatino Linotype"/>
          <w:b/>
          <w:color w:val="000000"/>
        </w:rPr>
        <w:t xml:space="preserve"> Notifíquese, </w:t>
      </w:r>
      <w:r>
        <w:rPr>
          <w:rFonts w:ascii="Palatino Linotype" w:eastAsia="Palatino Linotype" w:hAnsi="Palatino Linotype" w:cs="Palatino Linotype"/>
          <w:color w:val="000000"/>
        </w:rPr>
        <w:t xml:space="preserve">vía </w:t>
      </w:r>
      <w:r>
        <w:rPr>
          <w:rFonts w:ascii="Palatino Linotype" w:eastAsia="Palatino Linotype" w:hAnsi="Palatino Linotype" w:cs="Palatino Linotype"/>
          <w:b/>
          <w:color w:val="000000"/>
        </w:rPr>
        <w:t>SAIMEX</w:t>
      </w:r>
      <w:r>
        <w:rPr>
          <w:rFonts w:ascii="Palatino Linotype" w:eastAsia="Palatino Linotype" w:hAnsi="Palatino Linotype" w:cs="Palatino Linotype"/>
          <w:color w:val="000000"/>
        </w:rPr>
        <w:t xml:space="preserve"> a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AB8F184" w14:textId="77777777" w:rsidR="0052657E" w:rsidRDefault="0052657E">
      <w:pPr>
        <w:widowControl w:val="0"/>
        <w:tabs>
          <w:tab w:val="left" w:pos="1701"/>
        </w:tabs>
        <w:spacing w:line="360" w:lineRule="auto"/>
        <w:ind w:right="51"/>
        <w:jc w:val="both"/>
        <w:rPr>
          <w:rFonts w:ascii="Palatino Linotype" w:eastAsia="Palatino Linotype" w:hAnsi="Palatino Linotype" w:cs="Palatino Linotype"/>
          <w:b/>
        </w:rPr>
      </w:pPr>
    </w:p>
    <w:p w14:paraId="735B6FC2" w14:textId="77777777" w:rsidR="0052657E" w:rsidRDefault="00340731">
      <w:pPr>
        <w:spacing w:line="360" w:lineRule="auto"/>
        <w:ind w:right="49"/>
        <w:jc w:val="both"/>
        <w:rPr>
          <w:rFonts w:ascii="Palatino Linotype" w:eastAsia="Palatino Linotype" w:hAnsi="Palatino Linotype" w:cs="Palatino Linotype"/>
        </w:rPr>
      </w:pPr>
      <w:bookmarkStart w:id="3" w:name="_heading=h.gjdgxs" w:colFirst="0" w:colLast="0"/>
      <w:bookmarkEnd w:id="3"/>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Pr>
          <w:rFonts w:ascii="Palatino Linotype" w:eastAsia="Palatino Linotype" w:hAnsi="Palatino Linotype" w:cs="Palatino Linotype"/>
        </w:rPr>
        <w:lastRenderedPageBreak/>
        <w:t>NORIEGA Y GUADALUPE RAMÍREZ PEÑA; EN LA VIGESIMA TERCERA SESIÓN ORDINARIA CELEBRADA EL VEINTIUNO DE JUNIO DE DOS MIL VEINTIDÓS, ANTE EL SECRETARIO TÉCNICO DEL PLENO ALEXIS TAPIA RAMÍREZ.</w:t>
      </w:r>
    </w:p>
    <w:p w14:paraId="5B86DF37" w14:textId="660C61D6" w:rsidR="00EB4938" w:rsidRDefault="00EB4938">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041233AD" wp14:editId="55C175E7">
                <wp:simplePos x="0" y="0"/>
                <wp:positionH relativeFrom="column">
                  <wp:posOffset>56010</wp:posOffset>
                </wp:positionH>
                <wp:positionV relativeFrom="paragraph">
                  <wp:posOffset>235277</wp:posOffset>
                </wp:positionV>
                <wp:extent cx="5696607" cy="6369269"/>
                <wp:effectExtent l="0" t="0" r="37465" b="31750"/>
                <wp:wrapNone/>
                <wp:docPr id="1" name="Conector recto 1"/>
                <wp:cNvGraphicFramePr/>
                <a:graphic xmlns:a="http://schemas.openxmlformats.org/drawingml/2006/main">
                  <a:graphicData uri="http://schemas.microsoft.com/office/word/2010/wordprocessingShape">
                    <wps:wsp>
                      <wps:cNvCnPr/>
                      <wps:spPr>
                        <a:xfrm>
                          <a:off x="0" y="0"/>
                          <a:ext cx="5696607" cy="636926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BE5B67"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pt,18.55pt" to="452.95pt,5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" strokecolor="#ed7d31 [3205]" strokeweight=".5pt">
                <v:stroke joinstyle="miter"/>
              </v:line>
            </w:pict>
          </mc:Fallback>
        </mc:AlternateContent>
      </w:r>
    </w:p>
    <w:p w14:paraId="141623DB" w14:textId="1CBEB733" w:rsidR="00EB4938" w:rsidRDefault="00EB4938">
      <w:pPr>
        <w:spacing w:line="360" w:lineRule="auto"/>
        <w:ind w:right="49"/>
        <w:jc w:val="both"/>
        <w:rPr>
          <w:rFonts w:ascii="Palatino Linotype" w:eastAsia="Palatino Linotype" w:hAnsi="Palatino Linotype" w:cs="Palatino Linotype"/>
        </w:rPr>
        <w:sectPr w:rsidR="00EB4938">
          <w:headerReference w:type="default" r:id="rId20"/>
          <w:footerReference w:type="default" r:id="rId21"/>
          <w:headerReference w:type="first" r:id="rId22"/>
          <w:footerReference w:type="first" r:id="rId23"/>
          <w:pgSz w:w="12240" w:h="15840"/>
          <w:pgMar w:top="1701" w:right="1418" w:bottom="1843" w:left="1418" w:header="709" w:footer="709" w:gutter="0"/>
          <w:pgNumType w:start="1"/>
          <w:cols w:space="720"/>
          <w:titlePg/>
        </w:sectPr>
      </w:pPr>
    </w:p>
    <w:p w14:paraId="306A464D" w14:textId="77777777" w:rsidR="0052657E" w:rsidRDefault="0052657E">
      <w:pPr>
        <w:spacing w:before="240" w:after="240" w:line="360" w:lineRule="auto"/>
        <w:jc w:val="both"/>
        <w:rPr>
          <w:rFonts w:ascii="Palatino Linotype" w:eastAsia="Palatino Linotype" w:hAnsi="Palatino Linotype" w:cs="Palatino Linotype"/>
        </w:rPr>
      </w:pPr>
    </w:p>
    <w:p w14:paraId="7817C538" w14:textId="77777777" w:rsidR="0052657E" w:rsidRDefault="0052657E">
      <w:pPr>
        <w:spacing w:before="240" w:after="240" w:line="360" w:lineRule="auto"/>
        <w:jc w:val="both"/>
        <w:rPr>
          <w:rFonts w:ascii="Palatino Linotype" w:eastAsia="Palatino Linotype" w:hAnsi="Palatino Linotype" w:cs="Palatino Linotype"/>
        </w:rPr>
      </w:pPr>
    </w:p>
    <w:p w14:paraId="42F5FFF6" w14:textId="77777777" w:rsidR="0052657E" w:rsidRDefault="0052657E">
      <w:pPr>
        <w:spacing w:before="240" w:after="240" w:line="360" w:lineRule="auto"/>
        <w:jc w:val="both"/>
        <w:rPr>
          <w:rFonts w:ascii="Palatino Linotype" w:eastAsia="Palatino Linotype" w:hAnsi="Palatino Linotype" w:cs="Palatino Linotype"/>
        </w:rPr>
      </w:pPr>
    </w:p>
    <w:p w14:paraId="72695BB4" w14:textId="77777777" w:rsidR="0052657E" w:rsidRDefault="0052657E">
      <w:pPr>
        <w:spacing w:before="240" w:after="240" w:line="360" w:lineRule="auto"/>
        <w:jc w:val="both"/>
        <w:rPr>
          <w:rFonts w:ascii="Palatino Linotype" w:eastAsia="Palatino Linotype" w:hAnsi="Palatino Linotype" w:cs="Palatino Linotype"/>
        </w:rPr>
      </w:pPr>
    </w:p>
    <w:p w14:paraId="4EEFF257" w14:textId="77777777" w:rsidR="0052657E" w:rsidRDefault="0052657E">
      <w:pPr>
        <w:jc w:val="both"/>
        <w:rPr>
          <w:rFonts w:ascii="Palatino Linotype" w:eastAsia="Palatino Linotype" w:hAnsi="Palatino Linotype" w:cs="Palatino Linotype"/>
          <w:sz w:val="20"/>
          <w:szCs w:val="20"/>
        </w:rPr>
      </w:pPr>
    </w:p>
    <w:sectPr w:rsidR="0052657E">
      <w:headerReference w:type="first" r:id="rId24"/>
      <w:pgSz w:w="12240" w:h="15840"/>
      <w:pgMar w:top="1701" w:right="1418" w:bottom="1843" w:left="1418"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7D408" w14:textId="77777777" w:rsidR="00564220" w:rsidRDefault="00564220">
      <w:r>
        <w:separator/>
      </w:r>
    </w:p>
  </w:endnote>
  <w:endnote w:type="continuationSeparator" w:id="0">
    <w:p w14:paraId="0D29D849" w14:textId="77777777" w:rsidR="00564220" w:rsidRDefault="005642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Sitka Small"/>
    <w:charset w:val="00"/>
    <w:family w:val="auto"/>
    <w:pitch w:val="variable"/>
    <w:sig w:usb0="00000000" w:usb1="5000A1FF" w:usb2="00000000" w:usb3="00000000" w:csb0="000001BF" w:csb1="00000000"/>
  </w:font>
  <w:font w:name="Tin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100AC" w14:textId="77777777" w:rsidR="0052657E" w:rsidRDefault="0034073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729C8">
      <w:rPr>
        <w:rFonts w:ascii="Arial" w:eastAsia="Arial" w:hAnsi="Arial" w:cs="Arial"/>
        <w:b/>
        <w:noProof/>
        <w:color w:val="000000"/>
        <w:sz w:val="20"/>
        <w:szCs w:val="20"/>
      </w:rPr>
      <w:t>21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729C8">
      <w:rPr>
        <w:rFonts w:ascii="Arial" w:eastAsia="Arial" w:hAnsi="Arial" w:cs="Arial"/>
        <w:b/>
        <w:noProof/>
        <w:color w:val="000000"/>
        <w:sz w:val="20"/>
        <w:szCs w:val="20"/>
      </w:rPr>
      <w:t>56</w:t>
    </w:r>
    <w:r>
      <w:rPr>
        <w:rFonts w:ascii="Arial" w:eastAsia="Arial" w:hAnsi="Arial" w:cs="Arial"/>
        <w:b/>
        <w:color w:val="00000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45452" w14:textId="77777777" w:rsidR="0052657E" w:rsidRDefault="0034073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729C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729C8">
      <w:rPr>
        <w:rFonts w:ascii="Arial" w:eastAsia="Arial" w:hAnsi="Arial" w:cs="Arial"/>
        <w:b/>
        <w:noProof/>
        <w:color w:val="000000"/>
        <w:sz w:val="20"/>
        <w:szCs w:val="20"/>
      </w:rPr>
      <w:t>56</w:t>
    </w:r>
    <w:r>
      <w:rPr>
        <w:rFonts w:ascii="Arial" w:eastAsia="Arial" w:hAnsi="Arial" w:cs="Arial"/>
        <w:b/>
        <w:color w:val="000000"/>
        <w:sz w:val="20"/>
        <w:szCs w:val="20"/>
      </w:rPr>
      <w:fldChar w:fldCharType="end"/>
    </w:r>
  </w:p>
  <w:p w14:paraId="0BC385FD" w14:textId="77777777" w:rsidR="0052657E" w:rsidRDefault="0052657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50D8E6" w14:textId="77777777" w:rsidR="00564220" w:rsidRDefault="00564220">
      <w:r>
        <w:separator/>
      </w:r>
    </w:p>
  </w:footnote>
  <w:footnote w:type="continuationSeparator" w:id="0">
    <w:p w14:paraId="0F5F3448" w14:textId="77777777" w:rsidR="00564220" w:rsidRDefault="00564220">
      <w:r>
        <w:continuationSeparator/>
      </w:r>
    </w:p>
  </w:footnote>
  <w:footnote w:id="1">
    <w:p w14:paraId="795824D4" w14:textId="77777777" w:rsidR="0052657E" w:rsidRDefault="0034073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4589C330" w14:textId="77777777" w:rsidR="0052657E" w:rsidRDefault="0034073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89B54" w14:textId="77777777" w:rsidR="0052657E" w:rsidRDefault="00340731">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eastAsia="es-MX"/>
      </w:rPr>
      <w:drawing>
        <wp:anchor distT="0" distB="0" distL="0" distR="0" simplePos="0" relativeHeight="251658240" behindDoc="1" locked="0" layoutInCell="1" hidden="0" allowOverlap="1" wp14:anchorId="45AB0810" wp14:editId="4D61319E">
          <wp:simplePos x="0" y="0"/>
          <wp:positionH relativeFrom="column">
            <wp:posOffset>-545946</wp:posOffset>
          </wp:positionH>
          <wp:positionV relativeFrom="paragraph">
            <wp:posOffset>-446861</wp:posOffset>
          </wp:positionV>
          <wp:extent cx="7635600" cy="9943200"/>
          <wp:effectExtent l="0" t="0" r="0" b="0"/>
          <wp:wrapNone/>
          <wp:docPr id="3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7553" w:type="dxa"/>
      <w:tblInd w:w="3794" w:type="dxa"/>
      <w:tblLayout w:type="fixed"/>
      <w:tblLook w:val="0400" w:firstRow="0" w:lastRow="0" w:firstColumn="0" w:lastColumn="0" w:noHBand="0" w:noVBand="1"/>
    </w:tblPr>
    <w:tblGrid>
      <w:gridCol w:w="2551"/>
      <w:gridCol w:w="4253"/>
      <w:gridCol w:w="749"/>
    </w:tblGrid>
    <w:tr w:rsidR="0052657E" w14:paraId="2E100BF1" w14:textId="77777777">
      <w:tc>
        <w:tcPr>
          <w:tcW w:w="2551" w:type="dxa"/>
          <w:shd w:val="clear" w:color="auto" w:fill="auto"/>
        </w:tcPr>
        <w:p w14:paraId="550B8E47" w14:textId="77777777" w:rsidR="0052657E" w:rsidRDefault="003407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5002" w:type="dxa"/>
          <w:gridSpan w:val="2"/>
          <w:shd w:val="clear" w:color="auto" w:fill="auto"/>
        </w:tcPr>
        <w:p w14:paraId="375E0C71" w14:textId="77777777" w:rsidR="0052657E" w:rsidRDefault="003407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03519/INFOEM/IP/RR/2022.</w:t>
          </w:r>
        </w:p>
      </w:tc>
    </w:tr>
    <w:tr w:rsidR="0052657E" w14:paraId="26F7C089" w14:textId="77777777">
      <w:trPr>
        <w:gridAfter w:val="1"/>
        <w:wAfter w:w="749" w:type="dxa"/>
      </w:trPr>
      <w:tc>
        <w:tcPr>
          <w:tcW w:w="2551" w:type="dxa"/>
          <w:shd w:val="clear" w:color="auto" w:fill="auto"/>
        </w:tcPr>
        <w:p w14:paraId="38A6DB91" w14:textId="77777777" w:rsidR="0052657E" w:rsidRDefault="003407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53" w:type="dxa"/>
          <w:shd w:val="clear" w:color="auto" w:fill="auto"/>
        </w:tcPr>
        <w:p w14:paraId="74421A4C" w14:textId="77777777" w:rsidR="0052657E" w:rsidRDefault="00340731">
          <w:pPr>
            <w:tabs>
              <w:tab w:val="left" w:pos="3606"/>
            </w:tabs>
            <w:ind w:right="9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52657E" w14:paraId="781C58F7" w14:textId="77777777">
      <w:trPr>
        <w:trHeight w:val="228"/>
      </w:trPr>
      <w:tc>
        <w:tcPr>
          <w:tcW w:w="2551" w:type="dxa"/>
          <w:shd w:val="clear" w:color="auto" w:fill="auto"/>
        </w:tcPr>
        <w:p w14:paraId="09A2030B" w14:textId="77777777" w:rsidR="0052657E" w:rsidRDefault="003407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5002" w:type="dxa"/>
          <w:gridSpan w:val="2"/>
          <w:shd w:val="clear" w:color="auto" w:fill="auto"/>
        </w:tcPr>
        <w:p w14:paraId="275B641C" w14:textId="77777777" w:rsidR="0052657E" w:rsidRDefault="003407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28DF0EA" w14:textId="77777777" w:rsidR="0052657E" w:rsidRDefault="0052657E">
    <w:pPr>
      <w:pBdr>
        <w:top w:val="nil"/>
        <w:left w:val="nil"/>
        <w:bottom w:val="nil"/>
        <w:right w:val="nil"/>
        <w:between w:val="nil"/>
      </w:pBdr>
      <w:tabs>
        <w:tab w:val="center" w:pos="4252"/>
        <w:tab w:val="right" w:pos="8504"/>
        <w:tab w:val="left" w:pos="2326"/>
        <w:tab w:val="left" w:pos="7051"/>
      </w:tabs>
      <w:rPr>
        <w:rFonts w:ascii="Palatino Linotype" w:eastAsia="Palatino Linotype" w:hAnsi="Palatino Linotype" w:cs="Palatino Linotype"/>
        <w:b/>
        <w:color w:val="000000"/>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6E478" w14:textId="77777777" w:rsidR="0052657E" w:rsidRDefault="0052657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6844" w:type="dxa"/>
      <w:tblInd w:w="3794" w:type="dxa"/>
      <w:tblLayout w:type="fixed"/>
      <w:tblLook w:val="0400" w:firstRow="0" w:lastRow="0" w:firstColumn="0" w:lastColumn="0" w:noHBand="0" w:noVBand="1"/>
    </w:tblPr>
    <w:tblGrid>
      <w:gridCol w:w="2551"/>
      <w:gridCol w:w="3544"/>
      <w:gridCol w:w="749"/>
    </w:tblGrid>
    <w:tr w:rsidR="0052657E" w14:paraId="6B80FA1C" w14:textId="77777777">
      <w:tc>
        <w:tcPr>
          <w:tcW w:w="2551" w:type="dxa"/>
          <w:shd w:val="clear" w:color="auto" w:fill="auto"/>
        </w:tcPr>
        <w:p w14:paraId="0BD79A4D" w14:textId="77777777" w:rsidR="0052657E" w:rsidRDefault="003407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93" w:type="dxa"/>
          <w:gridSpan w:val="2"/>
          <w:shd w:val="clear" w:color="auto" w:fill="auto"/>
        </w:tcPr>
        <w:p w14:paraId="6947331E" w14:textId="77777777" w:rsidR="0052657E" w:rsidRDefault="00340731">
          <w:pPr>
            <w:ind w:left="-7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03519/INFOEM/IP/RR/2022.</w:t>
          </w:r>
        </w:p>
      </w:tc>
    </w:tr>
    <w:tr w:rsidR="0052657E" w14:paraId="6C384968" w14:textId="77777777">
      <w:trPr>
        <w:gridAfter w:val="1"/>
        <w:wAfter w:w="749" w:type="dxa"/>
      </w:trPr>
      <w:tc>
        <w:tcPr>
          <w:tcW w:w="2551" w:type="dxa"/>
          <w:shd w:val="clear" w:color="auto" w:fill="auto"/>
        </w:tcPr>
        <w:p w14:paraId="4E07F9CF" w14:textId="77777777" w:rsidR="0052657E" w:rsidRDefault="003407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544" w:type="dxa"/>
          <w:shd w:val="clear" w:color="auto" w:fill="auto"/>
        </w:tcPr>
        <w:p w14:paraId="23075AEF" w14:textId="77777777" w:rsidR="0052657E" w:rsidRDefault="0052657E">
          <w:pPr>
            <w:ind w:left="-74"/>
            <w:rPr>
              <w:rFonts w:ascii="Palatino Linotype" w:eastAsia="Palatino Linotype" w:hAnsi="Palatino Linotype" w:cs="Palatino Linotype"/>
              <w:b/>
              <w:sz w:val="22"/>
              <w:szCs w:val="22"/>
            </w:rPr>
          </w:pPr>
        </w:p>
      </w:tc>
    </w:tr>
    <w:tr w:rsidR="0052657E" w14:paraId="043036AF" w14:textId="77777777">
      <w:trPr>
        <w:trHeight w:val="228"/>
      </w:trPr>
      <w:tc>
        <w:tcPr>
          <w:tcW w:w="2551" w:type="dxa"/>
          <w:shd w:val="clear" w:color="auto" w:fill="auto"/>
        </w:tcPr>
        <w:p w14:paraId="4664F8AB" w14:textId="77777777" w:rsidR="0052657E" w:rsidRDefault="0034073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93" w:type="dxa"/>
          <w:gridSpan w:val="2"/>
          <w:shd w:val="clear" w:color="auto" w:fill="auto"/>
        </w:tcPr>
        <w:p w14:paraId="2AA48287" w14:textId="77777777" w:rsidR="0052657E" w:rsidRDefault="00340731">
          <w:pPr>
            <w:ind w:left="-74" w:right="1173" w:hanging="3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Toluca.</w:t>
          </w:r>
        </w:p>
      </w:tc>
    </w:tr>
    <w:tr w:rsidR="0052657E" w14:paraId="1BBC2486" w14:textId="77777777">
      <w:tc>
        <w:tcPr>
          <w:tcW w:w="2551" w:type="dxa"/>
          <w:shd w:val="clear" w:color="auto" w:fill="auto"/>
        </w:tcPr>
        <w:p w14:paraId="48AE8F8C" w14:textId="77777777" w:rsidR="0052657E" w:rsidRDefault="00340731">
          <w:pPr>
            <w:ind w:right="-250"/>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293" w:type="dxa"/>
          <w:gridSpan w:val="2"/>
          <w:shd w:val="clear" w:color="auto" w:fill="auto"/>
        </w:tcPr>
        <w:p w14:paraId="6BC5BBA2" w14:textId="77777777" w:rsidR="0052657E" w:rsidRDefault="00340731">
          <w:pPr>
            <w:ind w:left="-74"/>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D1E719" w14:textId="77777777" w:rsidR="0052657E" w:rsidRDefault="00340731">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eastAsia="es-MX"/>
      </w:rPr>
      <w:drawing>
        <wp:anchor distT="0" distB="0" distL="0" distR="0" simplePos="0" relativeHeight="251659264" behindDoc="1" locked="0" layoutInCell="1" hidden="0" allowOverlap="1" wp14:anchorId="24B95224" wp14:editId="7490FD73">
          <wp:simplePos x="0" y="0"/>
          <wp:positionH relativeFrom="column">
            <wp:posOffset>-455293</wp:posOffset>
          </wp:positionH>
          <wp:positionV relativeFrom="paragraph">
            <wp:posOffset>-1101724</wp:posOffset>
          </wp:positionV>
          <wp:extent cx="7635600" cy="9943200"/>
          <wp:effectExtent l="0" t="0" r="0" b="0"/>
          <wp:wrapNone/>
          <wp:docPr id="3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44E60" w14:textId="77777777" w:rsidR="0052657E" w:rsidRDefault="0052657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5043F"/>
    <w:multiLevelType w:val="multilevel"/>
    <w:tmpl w:val="374A77DE"/>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nsid w:val="71BA364F"/>
    <w:multiLevelType w:val="multilevel"/>
    <w:tmpl w:val="460A4C00"/>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nsid w:val="7F7D2040"/>
    <w:multiLevelType w:val="multilevel"/>
    <w:tmpl w:val="C3345518"/>
    <w:lvl w:ilvl="0">
      <w:start w:val="1"/>
      <w:numFmt w:val="decimal"/>
      <w:lvlText w:val="%1."/>
      <w:lvlJc w:val="left"/>
      <w:pPr>
        <w:ind w:left="720" w:hanging="360"/>
      </w:pPr>
      <w:rPr>
        <w:rFonts w:ascii="Palatino Linotype" w:eastAsia="Palatino Linotype" w:hAnsi="Palatino Linotype" w:cs="Palatino Linoty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657E"/>
    <w:rsid w:val="00077299"/>
    <w:rsid w:val="00340731"/>
    <w:rsid w:val="0052657E"/>
    <w:rsid w:val="00564220"/>
    <w:rsid w:val="006729C8"/>
    <w:rsid w:val="00EB4938"/>
    <w:rsid w:val="00F93F36"/>
    <w:rsid w:val="00FD41F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C87F9"/>
  <w15:docId w15:val="{D8B5614D-0935-46EB-8FC2-C6033E154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6F6"/>
    <w:rPr>
      <w:lang w:eastAsia="es-ES"/>
    </w:rPr>
  </w:style>
  <w:style w:type="paragraph" w:styleId="Ttulo1">
    <w:name w:val="heading 1"/>
    <w:basedOn w:val="Normal"/>
    <w:next w:val="Normal"/>
    <w:link w:val="Ttulo1Car"/>
    <w:uiPriority w:val="9"/>
    <w:qFormat/>
    <w:rsid w:val="00D53BFC"/>
    <w:pPr>
      <w:keepNext/>
      <w:spacing w:before="240" w:after="60"/>
      <w:outlineLvl w:val="0"/>
    </w:pPr>
    <w:rPr>
      <w:rFonts w:ascii="Calibri Light" w:hAnsi="Calibri Light"/>
      <w:b/>
      <w:bCs/>
      <w:kern w:val="32"/>
      <w:sz w:val="32"/>
      <w:szCs w:val="32"/>
    </w:rPr>
  </w:style>
  <w:style w:type="paragraph" w:styleId="Ttulo2">
    <w:name w:val="heading 2"/>
    <w:basedOn w:val="Normal"/>
    <w:next w:val="Normal"/>
    <w:link w:val="Ttulo2Car"/>
    <w:uiPriority w:val="9"/>
    <w:unhideWhenUsed/>
    <w:qFormat/>
    <w:rsid w:val="00D733CB"/>
    <w:pPr>
      <w:keepNext/>
      <w:keepLines/>
      <w:spacing w:before="40"/>
      <w:outlineLvl w:val="1"/>
    </w:pPr>
    <w:rPr>
      <w:rFonts w:ascii="Calibri" w:eastAsia="MS Gothic" w:hAnsi="Calibri"/>
      <w:color w:val="365F91"/>
      <w:sz w:val="26"/>
      <w:szCs w:val="26"/>
    </w:rPr>
  </w:style>
  <w:style w:type="paragraph" w:styleId="Ttulo3">
    <w:name w:val="heading 3"/>
    <w:basedOn w:val="Normal"/>
    <w:next w:val="Normal"/>
    <w:link w:val="Ttulo3Car"/>
    <w:uiPriority w:val="9"/>
    <w:unhideWhenUsed/>
    <w:qFormat/>
    <w:rsid w:val="00D53BFC"/>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unhideWhenUsed/>
    <w:qFormat/>
    <w:rsid w:val="00D53BFC"/>
    <w:pPr>
      <w:keepNext/>
      <w:spacing w:before="240" w:after="60"/>
      <w:outlineLvl w:val="3"/>
    </w:pPr>
    <w:rPr>
      <w:rFonts w:ascii="Calibri" w:hAnsi="Calibri"/>
      <w:b/>
      <w:bCs/>
      <w:sz w:val="28"/>
      <w:szCs w:val="28"/>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Cambria" w:eastAsia="MS Mincho" w:hAnsi="Cambria"/>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Cambria" w:eastAsia="MS Mincho" w:hAnsi="Cambria"/>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MS Mincho" w:hAnsi="Lucida Grande" w:cs="Lucida Grande"/>
      <w:sz w:val="18"/>
      <w:szCs w:val="18"/>
      <w:lang w:val="es-ES_tradnl"/>
    </w:rPr>
  </w:style>
  <w:style w:type="character" w:customStyle="1" w:styleId="TextodegloboCar">
    <w:name w:val="Texto de globo Ca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753FB"/>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23DC4"/>
    <w:rPr>
      <w:rFonts w:ascii="Times New Roman" w:eastAsia="Times New Roman" w:hAnsi="Times New Roman" w:cs="Times New Roman"/>
      <w:lang w:val="es-ES"/>
    </w:rPr>
  </w:style>
  <w:style w:type="character" w:styleId="Hipervnculo">
    <w:name w:val="Hyperlink"/>
    <w:uiPriority w:val="99"/>
    <w:unhideWhenUsed/>
    <w:rsid w:val="00787441"/>
    <w:rPr>
      <w:strike w:val="0"/>
      <w:dstrike w:val="0"/>
      <w:color w:val="035899"/>
      <w:u w:val="none"/>
      <w:effect w:val="none"/>
    </w:rPr>
  </w:style>
  <w:style w:type="character" w:customStyle="1" w:styleId="apple-converted-space">
    <w:name w:val="apple-converted-space"/>
    <w:rsid w:val="00434211"/>
  </w:style>
  <w:style w:type="character" w:customStyle="1" w:styleId="Ttulo2Car">
    <w:name w:val="Título 2 Car"/>
    <w:link w:val="Ttulo2"/>
    <w:uiPriority w:val="9"/>
    <w:rsid w:val="00D733CB"/>
    <w:rPr>
      <w:rFonts w:ascii="Calibri" w:eastAsia="MS Gothic" w:hAnsi="Calibri"/>
      <w:color w:val="365F91"/>
      <w:sz w:val="26"/>
      <w:szCs w:val="26"/>
      <w:lang w:val="es-ES" w:eastAsia="es-ES"/>
    </w:rPr>
  </w:style>
  <w:style w:type="table" w:styleId="Tablaconcuadrcula">
    <w:name w:val="Table Grid"/>
    <w:basedOn w:val="Tablanormal"/>
    <w:uiPriority w:val="59"/>
    <w:rsid w:val="00625E44"/>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uiPriority w:val="99"/>
    <w:semiHidden/>
    <w:unhideWhenUsed/>
    <w:rsid w:val="00632081"/>
    <w:rPr>
      <w:sz w:val="16"/>
      <w:szCs w:val="16"/>
    </w:rPr>
  </w:style>
  <w:style w:type="paragraph" w:styleId="Textocomentario">
    <w:name w:val="annotation text"/>
    <w:basedOn w:val="Normal"/>
    <w:link w:val="TextocomentarioCar"/>
    <w:uiPriority w:val="99"/>
    <w:semiHidden/>
    <w:unhideWhenUsed/>
    <w:rsid w:val="00632081"/>
    <w:rPr>
      <w:sz w:val="20"/>
      <w:szCs w:val="20"/>
    </w:rPr>
  </w:style>
  <w:style w:type="character" w:customStyle="1" w:styleId="TextocomentarioCar">
    <w:name w:val="Texto comentario Car"/>
    <w:link w:val="Textocomentario"/>
    <w:uiPriority w:val="99"/>
    <w:semiHidden/>
    <w:rsid w:val="00632081"/>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632081"/>
    <w:rPr>
      <w:b/>
      <w:bCs/>
    </w:rPr>
  </w:style>
  <w:style w:type="character" w:customStyle="1" w:styleId="AsuntodelcomentarioCar">
    <w:name w:val="Asunto del comentario Car"/>
    <w:link w:val="Asuntodelcomentario"/>
    <w:uiPriority w:val="99"/>
    <w:semiHidden/>
    <w:rsid w:val="00632081"/>
    <w:rPr>
      <w:rFonts w:ascii="Times New Roman" w:eastAsia="Times New Roman" w:hAnsi="Times New Roman"/>
      <w:b/>
      <w:bCs/>
      <w:lang w:val="es-ES" w:eastAsia="es-ES"/>
    </w:rPr>
  </w:style>
  <w:style w:type="paragraph" w:customStyle="1" w:styleId="Textonotapie1">
    <w:name w:val="Texto nota pie1"/>
    <w:basedOn w:val="Normal"/>
    <w:next w:val="Textonotapie"/>
    <w:link w:val="TextonotapieCar"/>
    <w:uiPriority w:val="99"/>
    <w:semiHidden/>
    <w:unhideWhenUsed/>
    <w:rsid w:val="00653367"/>
    <w:rPr>
      <w:rFonts w:ascii="Cambria" w:eastAsia="MS Mincho" w:hAnsi="Cambria"/>
      <w:sz w:val="20"/>
      <w:szCs w:val="20"/>
      <w:lang w:val="es-ES_tradnl"/>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link w:val="Textonotapie1"/>
    <w:uiPriority w:val="99"/>
    <w:qFormat/>
    <w:rsid w:val="00653367"/>
    <w:rPr>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uiPriority w:val="99"/>
    <w:unhideWhenUsed/>
    <w:qFormat/>
    <w:rsid w:val="0065336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1"/>
    <w:unhideWhenUsed/>
    <w:qFormat/>
    <w:rsid w:val="00653367"/>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link w:val="Textonotapie"/>
    <w:rsid w:val="00653367"/>
    <w:rPr>
      <w:rFonts w:ascii="Times New Roman" w:eastAsia="Times New Roman" w:hAnsi="Times New Roman"/>
      <w:lang w:val="es-ES" w:eastAsia="es-ES"/>
    </w:rPr>
  </w:style>
  <w:style w:type="character" w:styleId="nfasis">
    <w:name w:val="Emphasis"/>
    <w:uiPriority w:val="20"/>
    <w:qFormat/>
    <w:rsid w:val="002176FE"/>
    <w:rPr>
      <w:i/>
      <w:iCs/>
    </w:rPr>
  </w:style>
  <w:style w:type="paragraph" w:customStyle="1" w:styleId="n2">
    <w:name w:val="n2"/>
    <w:basedOn w:val="Normal"/>
    <w:rsid w:val="002176FE"/>
    <w:pPr>
      <w:spacing w:after="120"/>
    </w:pPr>
    <w:rPr>
      <w:rFonts w:ascii="Tinos" w:hAnsi="Tinos"/>
      <w:color w:val="008000"/>
      <w:sz w:val="22"/>
      <w:szCs w:val="22"/>
      <w:lang w:val="es-MX" w:eastAsia="es-MX"/>
    </w:rPr>
  </w:style>
  <w:style w:type="paragraph" w:customStyle="1" w:styleId="j">
    <w:name w:val="j"/>
    <w:basedOn w:val="Normal"/>
    <w:rsid w:val="002176FE"/>
    <w:pPr>
      <w:spacing w:after="120"/>
    </w:pPr>
    <w:rPr>
      <w:lang w:val="es-MX" w:eastAsia="es-MX"/>
    </w:rPr>
  </w:style>
  <w:style w:type="character" w:customStyle="1" w:styleId="nacep">
    <w:name w:val="n_acep"/>
    <w:rsid w:val="002176FE"/>
  </w:style>
  <w:style w:type="paragraph" w:styleId="Lista">
    <w:name w:val="List"/>
    <w:basedOn w:val="Normal"/>
    <w:uiPriority w:val="99"/>
    <w:unhideWhenUsed/>
    <w:rsid w:val="002176FE"/>
    <w:pPr>
      <w:ind w:left="283" w:hanging="283"/>
      <w:contextualSpacing/>
    </w:pPr>
  </w:style>
  <w:style w:type="paragraph" w:styleId="Lista2">
    <w:name w:val="List 2"/>
    <w:basedOn w:val="Normal"/>
    <w:uiPriority w:val="99"/>
    <w:unhideWhenUsed/>
    <w:rsid w:val="002176FE"/>
    <w:pPr>
      <w:ind w:left="566" w:hanging="283"/>
      <w:contextualSpacing/>
    </w:pPr>
  </w:style>
  <w:style w:type="paragraph" w:styleId="Continuarlista">
    <w:name w:val="List Continue"/>
    <w:basedOn w:val="Normal"/>
    <w:uiPriority w:val="99"/>
    <w:unhideWhenUsed/>
    <w:rsid w:val="002176FE"/>
    <w:pPr>
      <w:spacing w:after="120"/>
      <w:ind w:left="283"/>
      <w:contextualSpacing/>
    </w:pPr>
  </w:style>
  <w:style w:type="paragraph" w:styleId="Textoindependiente">
    <w:name w:val="Body Text"/>
    <w:basedOn w:val="Normal"/>
    <w:link w:val="TextoindependienteCar"/>
    <w:uiPriority w:val="99"/>
    <w:unhideWhenUsed/>
    <w:rsid w:val="002176FE"/>
    <w:pPr>
      <w:spacing w:after="120"/>
    </w:pPr>
  </w:style>
  <w:style w:type="character" w:customStyle="1" w:styleId="TextoindependienteCar">
    <w:name w:val="Texto independiente Car"/>
    <w:link w:val="Textoindependiente"/>
    <w:uiPriority w:val="99"/>
    <w:rsid w:val="002176FE"/>
    <w:rPr>
      <w:rFonts w:ascii="Times New Roman" w:eastAsia="Times New Roman" w:hAnsi="Times New Roman"/>
      <w:sz w:val="24"/>
      <w:szCs w:val="24"/>
      <w:lang w:val="es-ES" w:eastAsia="es-ES"/>
    </w:rPr>
  </w:style>
  <w:style w:type="paragraph" w:styleId="Sangradetextonormal">
    <w:name w:val="Body Text Indent"/>
    <w:basedOn w:val="Normal"/>
    <w:link w:val="SangradetextonormalCar"/>
    <w:uiPriority w:val="99"/>
    <w:semiHidden/>
    <w:unhideWhenUsed/>
    <w:rsid w:val="002176FE"/>
    <w:pPr>
      <w:spacing w:after="120"/>
      <w:ind w:left="283"/>
    </w:pPr>
  </w:style>
  <w:style w:type="character" w:customStyle="1" w:styleId="SangradetextonormalCar">
    <w:name w:val="Sangría de texto normal Car"/>
    <w:link w:val="Sangradetextonormal"/>
    <w:uiPriority w:val="99"/>
    <w:semiHidden/>
    <w:rsid w:val="002176FE"/>
    <w:rPr>
      <w:rFonts w:ascii="Times New Roman" w:eastAsia="Times New Roman" w:hAnsi="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2176FE"/>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2176FE"/>
    <w:rPr>
      <w:rFonts w:ascii="Times New Roman" w:eastAsia="Times New Roman" w:hAnsi="Times New Roman"/>
      <w:sz w:val="24"/>
      <w:szCs w:val="24"/>
      <w:lang w:val="es-ES" w:eastAsia="es-ES"/>
    </w:rPr>
  </w:style>
  <w:style w:type="paragraph" w:styleId="Textonotaalfinal">
    <w:name w:val="endnote text"/>
    <w:basedOn w:val="Normal"/>
    <w:link w:val="TextonotaalfinalCar"/>
    <w:uiPriority w:val="99"/>
    <w:semiHidden/>
    <w:unhideWhenUsed/>
    <w:rsid w:val="00297350"/>
    <w:rPr>
      <w:sz w:val="20"/>
      <w:szCs w:val="20"/>
    </w:rPr>
  </w:style>
  <w:style w:type="character" w:customStyle="1" w:styleId="TextonotaalfinalCar">
    <w:name w:val="Texto nota al final Car"/>
    <w:link w:val="Textonotaalfinal"/>
    <w:uiPriority w:val="99"/>
    <w:semiHidden/>
    <w:rsid w:val="00297350"/>
    <w:rPr>
      <w:rFonts w:ascii="Times New Roman" w:eastAsia="Times New Roman" w:hAnsi="Times New Roman"/>
      <w:lang w:val="es-ES" w:eastAsia="es-ES"/>
    </w:rPr>
  </w:style>
  <w:style w:type="character" w:styleId="Refdenotaalfinal">
    <w:name w:val="endnote reference"/>
    <w:uiPriority w:val="99"/>
    <w:semiHidden/>
    <w:unhideWhenUsed/>
    <w:rsid w:val="00297350"/>
    <w:rPr>
      <w:vertAlign w:val="superscript"/>
    </w:rPr>
  </w:style>
  <w:style w:type="paragraph" w:customStyle="1" w:styleId="Default">
    <w:name w:val="Default"/>
    <w:rsid w:val="002F5342"/>
    <w:pPr>
      <w:autoSpaceDE w:val="0"/>
      <w:autoSpaceDN w:val="0"/>
      <w:adjustRightInd w:val="0"/>
    </w:pPr>
    <w:rPr>
      <w:rFonts w:ascii="Arial" w:eastAsia="Calibri" w:hAnsi="Arial" w:cs="Arial"/>
      <w:color w:val="000000"/>
      <w:lang w:eastAsia="en-US"/>
    </w:rPr>
  </w:style>
  <w:style w:type="paragraph" w:styleId="Sinespaciado">
    <w:name w:val="No Spacing"/>
    <w:aliases w:val="Francesa,INAI"/>
    <w:link w:val="SinespaciadoCar"/>
    <w:uiPriority w:val="1"/>
    <w:qFormat/>
    <w:rsid w:val="00D53BFC"/>
    <w:rPr>
      <w:lang w:eastAsia="es-ES"/>
    </w:rPr>
  </w:style>
  <w:style w:type="character" w:customStyle="1" w:styleId="Ttulo1Car">
    <w:name w:val="Título 1 Car"/>
    <w:link w:val="Ttulo1"/>
    <w:uiPriority w:val="9"/>
    <w:rsid w:val="00D53BFC"/>
    <w:rPr>
      <w:rFonts w:ascii="Calibri Light" w:eastAsia="Times New Roman" w:hAnsi="Calibri Light" w:cs="Times New Roman"/>
      <w:b/>
      <w:bCs/>
      <w:kern w:val="32"/>
      <w:sz w:val="32"/>
      <w:szCs w:val="32"/>
      <w:lang w:val="es-ES" w:eastAsia="es-ES"/>
    </w:rPr>
  </w:style>
  <w:style w:type="character" w:customStyle="1" w:styleId="Ttulo3Car">
    <w:name w:val="Título 3 Car"/>
    <w:link w:val="Ttulo3"/>
    <w:uiPriority w:val="9"/>
    <w:rsid w:val="00D53BFC"/>
    <w:rPr>
      <w:rFonts w:ascii="Calibri Light" w:eastAsia="Times New Roman" w:hAnsi="Calibri Light" w:cs="Times New Roman"/>
      <w:b/>
      <w:bCs/>
      <w:sz w:val="26"/>
      <w:szCs w:val="26"/>
      <w:lang w:val="es-ES" w:eastAsia="es-ES"/>
    </w:rPr>
  </w:style>
  <w:style w:type="character" w:customStyle="1" w:styleId="Ttulo4Car">
    <w:name w:val="Título 4 Car"/>
    <w:link w:val="Ttulo4"/>
    <w:uiPriority w:val="9"/>
    <w:rsid w:val="00D53BFC"/>
    <w:rPr>
      <w:rFonts w:ascii="Calibri" w:eastAsia="Times New Roman" w:hAnsi="Calibri" w:cs="Times New Roman"/>
      <w:b/>
      <w:bCs/>
      <w:sz w:val="28"/>
      <w:szCs w:val="28"/>
      <w:lang w:val="es-ES" w:eastAsia="es-ES"/>
    </w:rPr>
  </w:style>
  <w:style w:type="paragraph" w:styleId="Textosinformato">
    <w:name w:val="Plain Text"/>
    <w:basedOn w:val="Normal"/>
    <w:link w:val="TextosinformatoCar"/>
    <w:uiPriority w:val="99"/>
    <w:semiHidden/>
    <w:unhideWhenUsed/>
    <w:rsid w:val="000D0897"/>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0D0897"/>
    <w:rPr>
      <w:rFonts w:ascii="Consolas" w:eastAsia="Times New Roman" w:hAnsi="Consolas"/>
      <w:sz w:val="21"/>
      <w:szCs w:val="21"/>
      <w:lang w:val="es-ES" w:eastAsia="es-ES"/>
    </w:rPr>
  </w:style>
  <w:style w:type="paragraph" w:styleId="NormalWeb">
    <w:name w:val="Normal (Web)"/>
    <w:basedOn w:val="Normal"/>
    <w:uiPriority w:val="99"/>
    <w:semiHidden/>
    <w:unhideWhenUsed/>
    <w:rsid w:val="00C40F59"/>
  </w:style>
  <w:style w:type="character" w:customStyle="1" w:styleId="normaltextrun">
    <w:name w:val="normaltextrun"/>
    <w:basedOn w:val="Fuentedeprrafopredeter"/>
    <w:rsid w:val="00BD4811"/>
  </w:style>
  <w:style w:type="character" w:customStyle="1" w:styleId="SinespaciadoCar">
    <w:name w:val="Sin espaciado Car"/>
    <w:aliases w:val="Francesa Car,INAI Car"/>
    <w:link w:val="Sinespaciado"/>
    <w:uiPriority w:val="1"/>
    <w:locked/>
    <w:rsid w:val="000B5A72"/>
    <w:rPr>
      <w:rFonts w:ascii="Times New Roman" w:eastAsia="Times New Roman" w:hAnsi="Times New Roman"/>
      <w:sz w:val="24"/>
      <w:szCs w:val="24"/>
      <w:lang w:val="es-ES" w:eastAsia="es-ES"/>
    </w:rPr>
  </w:style>
  <w:style w:type="character" w:styleId="Textoennegrita">
    <w:name w:val="Strong"/>
    <w:basedOn w:val="Fuentedeprrafopredeter"/>
    <w:uiPriority w:val="22"/>
    <w:qFormat/>
    <w:rsid w:val="000B5A72"/>
    <w:rPr>
      <w:b/>
      <w:bCs/>
    </w:rPr>
  </w:style>
  <w:style w:type="paragraph" w:customStyle="1" w:styleId="paragraph">
    <w:name w:val="paragraph"/>
    <w:basedOn w:val="Normal"/>
    <w:rsid w:val="00A659D6"/>
    <w:pPr>
      <w:spacing w:before="100" w:beforeAutospacing="1" w:after="100" w:afterAutospacing="1"/>
    </w:pPr>
    <w:rPr>
      <w:lang w:val="es-MX" w:eastAsia="es-MX"/>
    </w:rPr>
  </w:style>
  <w:style w:type="character" w:customStyle="1" w:styleId="apple-style-span">
    <w:name w:val="apple-style-span"/>
    <w:rsid w:val="006B4E54"/>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dof.gob.mx/nota_detalle.php?codigo=5492254&amp;fecha=28/07/201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BbBbEEJJvkMcUN7DbS8omnSChQ==">AMUW2mW7joWgR+pvz6imBJ5UyMr3t+O63H4OGgPs57yPty6YY6l3t4grGb4aThaEbHiMshe+ZdpSg/BJ+uGJnmV4W4heZtMXF9bi33LX2nxLYgwvptaZGTC/iAqLMWcaxbXPMaq+wInVq1cxUn4vhyoe54BS23AshQ==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12335</Words>
  <Characters>67847</Characters>
  <Application>Microsoft Office Word</Application>
  <DocSecurity>0</DocSecurity>
  <Lines>565</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cp:lastModifiedBy>
  <cp:revision>2</cp:revision>
  <cp:lastPrinted>2022-06-22T16:08:00Z</cp:lastPrinted>
  <dcterms:created xsi:type="dcterms:W3CDTF">2022-07-07T19:14:00Z</dcterms:created>
  <dcterms:modified xsi:type="dcterms:W3CDTF">2022-07-07T19:14:00Z</dcterms:modified>
</cp:coreProperties>
</file>