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9B43A"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veintinueve de junio de dos mil veintidós. </w:t>
      </w:r>
    </w:p>
    <w:p w14:paraId="4F742335" w14:textId="0805A0F2"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VISTOS</w:t>
      </w:r>
      <w:r w:rsidRPr="00AE3B69">
        <w:rPr>
          <w:rFonts w:ascii="Palatino Linotype" w:eastAsia="Palatino Linotype" w:hAnsi="Palatino Linotype" w:cs="Palatino Linotype"/>
        </w:rPr>
        <w:t xml:space="preserve"> los expedientes formados con motivo de los recursos de revisión </w:t>
      </w:r>
      <w:r w:rsidRPr="00AE3B69">
        <w:rPr>
          <w:rFonts w:ascii="Palatino Linotype" w:eastAsia="Palatino Linotype" w:hAnsi="Palatino Linotype" w:cs="Palatino Linotype"/>
          <w:b/>
        </w:rPr>
        <w:t xml:space="preserve">03444/INFOEM/IP/RR/2022  </w:t>
      </w:r>
      <w:r w:rsidRPr="00AE3B69">
        <w:rPr>
          <w:rFonts w:ascii="Palatino Linotype" w:eastAsia="Palatino Linotype" w:hAnsi="Palatino Linotype" w:cs="Palatino Linotype"/>
        </w:rPr>
        <w:t xml:space="preserve">y </w:t>
      </w:r>
      <w:r w:rsidRPr="00AE3B69">
        <w:rPr>
          <w:rFonts w:ascii="Palatino Linotype" w:eastAsia="Palatino Linotype" w:hAnsi="Palatino Linotype" w:cs="Palatino Linotype"/>
          <w:b/>
        </w:rPr>
        <w:t>03446/INFOEM/IP/RR/2022</w:t>
      </w:r>
      <w:r w:rsidRPr="00AE3B69">
        <w:rPr>
          <w:rFonts w:ascii="Palatino Linotype" w:eastAsia="Palatino Linotype" w:hAnsi="Palatino Linotype" w:cs="Palatino Linotype"/>
        </w:rPr>
        <w:t xml:space="preserve">, </w:t>
      </w:r>
      <w:r w:rsidRPr="00AE3B69">
        <w:rPr>
          <w:rFonts w:ascii="Palatino Linotype" w:eastAsia="Palatino Linotype" w:hAnsi="Palatino Linotype" w:cs="Palatino Linotype"/>
          <w:b/>
        </w:rPr>
        <w:t>acumulados,</w:t>
      </w:r>
      <w:r w:rsidRPr="00AE3B69">
        <w:rPr>
          <w:rFonts w:ascii="Palatino Linotype" w:eastAsia="Palatino Linotype" w:hAnsi="Palatino Linotype" w:cs="Palatino Linotype"/>
        </w:rPr>
        <w:t xml:space="preserve"> interpuestos por</w:t>
      </w:r>
      <w:r w:rsidRPr="00AE3B69">
        <w:rPr>
          <w:rFonts w:ascii="Palatino Linotype" w:eastAsia="Palatino Linotype" w:hAnsi="Palatino Linotype" w:cs="Palatino Linotype"/>
          <w:b/>
        </w:rPr>
        <w:t xml:space="preserve"> </w:t>
      </w:r>
      <w:r w:rsidR="00C47881" w:rsidRPr="00C47881">
        <w:rPr>
          <w:rFonts w:ascii="Palatino Linotype" w:eastAsia="Palatino Linotype" w:hAnsi="Palatino Linotype" w:cs="Palatino Linotype"/>
          <w:b/>
        </w:rPr>
        <w:t>Xxxxxx Xxxxxx Xxxxxx</w:t>
      </w:r>
      <w:r w:rsidRPr="00AE3B69">
        <w:rPr>
          <w:rFonts w:ascii="Palatino Linotype" w:eastAsia="Palatino Linotype" w:hAnsi="Palatino Linotype" w:cs="Palatino Linotype"/>
          <w:b/>
        </w:rPr>
        <w:t xml:space="preserve">, </w:t>
      </w:r>
      <w:r w:rsidRPr="00AE3B69">
        <w:rPr>
          <w:rFonts w:ascii="Palatino Linotype" w:eastAsia="Palatino Linotype" w:hAnsi="Palatino Linotype" w:cs="Palatino Linotype"/>
        </w:rPr>
        <w:t>en lo sucesivo</w:t>
      </w:r>
      <w:r w:rsidRPr="00AE3B69">
        <w:rPr>
          <w:rFonts w:ascii="Palatino Linotype" w:eastAsia="Palatino Linotype" w:hAnsi="Palatino Linotype" w:cs="Palatino Linotype"/>
          <w:b/>
        </w:rPr>
        <w:t xml:space="preserve"> </w:t>
      </w:r>
      <w:r w:rsidRPr="00AE3B69">
        <w:rPr>
          <w:rFonts w:ascii="Palatino Linotype" w:eastAsia="Palatino Linotype" w:hAnsi="Palatino Linotype" w:cs="Palatino Linotype"/>
        </w:rPr>
        <w:t xml:space="preserve">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xml:space="preserve"> en contra de las respuestas a sus solicitudes por parte del </w:t>
      </w:r>
      <w:r w:rsidRPr="00AE3B69">
        <w:rPr>
          <w:rFonts w:ascii="Palatino Linotype" w:eastAsia="Palatino Linotype" w:hAnsi="Palatino Linotype" w:cs="Palatino Linotype"/>
          <w:b/>
        </w:rPr>
        <w:t xml:space="preserve">Organismo Público Descentralizado para la Prestación de Los Servicios de Agua Potable Alcantarillado </w:t>
      </w:r>
      <w:bookmarkStart w:id="0" w:name="_GoBack"/>
      <w:bookmarkEnd w:id="0"/>
      <w:r w:rsidRPr="00AE3B69">
        <w:rPr>
          <w:rFonts w:ascii="Palatino Linotype" w:eastAsia="Palatino Linotype" w:hAnsi="Palatino Linotype" w:cs="Palatino Linotype"/>
          <w:b/>
        </w:rPr>
        <w:t xml:space="preserve">y Saneamiento del Municipio de Tlalnepantla de Baz, </w:t>
      </w:r>
      <w:r w:rsidRPr="00AE3B69">
        <w:rPr>
          <w:rFonts w:ascii="Palatino Linotype" w:eastAsia="Palatino Linotype" w:hAnsi="Palatino Linotype" w:cs="Palatino Linotype"/>
        </w:rPr>
        <w:t xml:space="preserve">en lo sucesivo el </w:t>
      </w:r>
      <w:r w:rsidRPr="00AE3B69">
        <w:rPr>
          <w:rFonts w:ascii="Palatino Linotype" w:eastAsia="Palatino Linotype" w:hAnsi="Palatino Linotype" w:cs="Palatino Linotype"/>
          <w:b/>
        </w:rPr>
        <w:t xml:space="preserve">Sujeto Obligado, </w:t>
      </w:r>
      <w:r w:rsidRPr="00AE3B69">
        <w:rPr>
          <w:rFonts w:ascii="Palatino Linotype" w:eastAsia="Palatino Linotype" w:hAnsi="Palatino Linotype" w:cs="Palatino Linotype"/>
        </w:rPr>
        <w:t xml:space="preserve">se procede a dictar la presente resolución con base en los siguientes: </w:t>
      </w:r>
    </w:p>
    <w:p w14:paraId="3577981F" w14:textId="77777777" w:rsidR="00155155" w:rsidRPr="00AE3B69" w:rsidRDefault="00E020DD">
      <w:pPr>
        <w:spacing w:before="240" w:after="240" w:line="360" w:lineRule="auto"/>
        <w:jc w:val="center"/>
        <w:rPr>
          <w:rFonts w:ascii="Palatino Linotype" w:eastAsia="Palatino Linotype" w:hAnsi="Palatino Linotype" w:cs="Palatino Linotype"/>
          <w:b/>
          <w:sz w:val="28"/>
          <w:szCs w:val="28"/>
        </w:rPr>
      </w:pPr>
      <w:r w:rsidRPr="00AE3B69">
        <w:rPr>
          <w:rFonts w:ascii="Palatino Linotype" w:eastAsia="Palatino Linotype" w:hAnsi="Palatino Linotype" w:cs="Palatino Linotype"/>
          <w:b/>
        </w:rPr>
        <w:t>I. A N T E C E D E N T E S</w:t>
      </w:r>
    </w:p>
    <w:p w14:paraId="4813BE5E"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1. Solicitudes de acceso a la información.</w:t>
      </w:r>
      <w:r w:rsidRPr="00AE3B69">
        <w:rPr>
          <w:rFonts w:ascii="Palatino Linotype" w:eastAsia="Palatino Linotype" w:hAnsi="Palatino Linotype" w:cs="Palatino Linotype"/>
        </w:rPr>
        <w:t xml:space="preserve"> Con fecha </w:t>
      </w:r>
      <w:r w:rsidRPr="00AE3B69">
        <w:rPr>
          <w:rFonts w:ascii="Palatino Linotype" w:eastAsia="Palatino Linotype" w:hAnsi="Palatino Linotype" w:cs="Palatino Linotype"/>
          <w:b/>
        </w:rPr>
        <w:t xml:space="preserve">ocho de febrero de dos mil veintidós, </w:t>
      </w:r>
      <w:r w:rsidRPr="00AE3B69">
        <w:rPr>
          <w:rFonts w:ascii="Palatino Linotype" w:eastAsia="Palatino Linotype" w:hAnsi="Palatino Linotype" w:cs="Palatino Linotype"/>
        </w:rPr>
        <w:t xml:space="preserve">la parte </w:t>
      </w:r>
      <w:r w:rsidRPr="00AE3B69">
        <w:rPr>
          <w:rFonts w:ascii="Palatino Linotype" w:eastAsia="Palatino Linotype" w:hAnsi="Palatino Linotype" w:cs="Palatino Linotype"/>
          <w:b/>
        </w:rPr>
        <w:t xml:space="preserve">Recurrente </w:t>
      </w:r>
      <w:r w:rsidRPr="00AE3B69">
        <w:rPr>
          <w:rFonts w:ascii="Palatino Linotype" w:eastAsia="Palatino Linotype" w:hAnsi="Palatino Linotype" w:cs="Palatino Linotype"/>
        </w:rPr>
        <w:t xml:space="preserve">presentó, a través de la Plataforma Nacional de Transparencia vinculada al Sistema de Acceso a la Información Mexiquense, en lo subsecuente el </w:t>
      </w:r>
      <w:r w:rsidRPr="00AE3B69">
        <w:rPr>
          <w:rFonts w:ascii="Palatino Linotype" w:eastAsia="Palatino Linotype" w:hAnsi="Palatino Linotype" w:cs="Palatino Linotype"/>
          <w:b/>
        </w:rPr>
        <w:t xml:space="preserve">SAIMEX, </w:t>
      </w:r>
      <w:r w:rsidRPr="00AE3B69">
        <w:rPr>
          <w:rFonts w:ascii="Palatino Linotype" w:eastAsia="Palatino Linotype" w:hAnsi="Palatino Linotype" w:cs="Palatino Linotype"/>
        </w:rPr>
        <w:t xml:space="preserve">ante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las solicitudes de acceso a la información pública, a las que se les asignaron los números </w:t>
      </w:r>
      <w:r w:rsidRPr="00AE3B69">
        <w:rPr>
          <w:rFonts w:ascii="Palatino Linotype" w:eastAsia="Palatino Linotype" w:hAnsi="Palatino Linotype" w:cs="Palatino Linotype"/>
          <w:b/>
        </w:rPr>
        <w:lastRenderedPageBreak/>
        <w:t xml:space="preserve">00057/OASTLALNE/IP/2022 </w:t>
      </w:r>
      <w:r w:rsidRPr="00AE3B69">
        <w:rPr>
          <w:rFonts w:ascii="Palatino Linotype" w:eastAsia="Palatino Linotype" w:hAnsi="Palatino Linotype" w:cs="Palatino Linotype"/>
        </w:rPr>
        <w:t xml:space="preserve">y </w:t>
      </w:r>
      <w:r w:rsidRPr="00AE3B69">
        <w:rPr>
          <w:rFonts w:ascii="Palatino Linotype" w:eastAsia="Palatino Linotype" w:hAnsi="Palatino Linotype" w:cs="Palatino Linotype"/>
          <w:b/>
        </w:rPr>
        <w:t xml:space="preserve">00058/OASTLALNE/IP/2022, </w:t>
      </w:r>
      <w:r w:rsidRPr="00AE3B69">
        <w:rPr>
          <w:rFonts w:ascii="Palatino Linotype" w:eastAsia="Palatino Linotype" w:hAnsi="Palatino Linotype" w:cs="Palatino Linotype"/>
        </w:rPr>
        <w:t>mediante las cuales requirió la información siguiente:</w:t>
      </w:r>
    </w:p>
    <w:tbl>
      <w:tblPr>
        <w:tblStyle w:val="af3"/>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AE3B69" w:rsidRPr="00AE3B69" w14:paraId="07F482C8" w14:textId="77777777">
        <w:trPr>
          <w:jc w:val="center"/>
        </w:trPr>
        <w:tc>
          <w:tcPr>
            <w:tcW w:w="2830" w:type="dxa"/>
            <w:vAlign w:val="center"/>
          </w:tcPr>
          <w:p w14:paraId="387B0593" w14:textId="77777777" w:rsidR="00155155" w:rsidRPr="00AE3B69" w:rsidRDefault="00E020DD">
            <w:pPr>
              <w:jc w:val="center"/>
              <w:rPr>
                <w:rFonts w:ascii="Palatino Linotype" w:eastAsia="Palatino Linotype" w:hAnsi="Palatino Linotype" w:cs="Palatino Linotype"/>
              </w:rPr>
            </w:pPr>
            <w:bookmarkStart w:id="1" w:name="_heading=h.gjdgxs" w:colFirst="0" w:colLast="0"/>
            <w:bookmarkEnd w:id="1"/>
            <w:r w:rsidRPr="00AE3B69">
              <w:rPr>
                <w:rFonts w:ascii="Palatino Linotype" w:eastAsia="Palatino Linotype" w:hAnsi="Palatino Linotype" w:cs="Palatino Linotype"/>
                <w:b/>
                <w:sz w:val="20"/>
                <w:szCs w:val="20"/>
              </w:rPr>
              <w:t>Solicitud 00057/OASTLALNE/IP/2022</w:t>
            </w:r>
          </w:p>
        </w:tc>
        <w:tc>
          <w:tcPr>
            <w:tcW w:w="5998" w:type="dxa"/>
            <w:vAlign w:val="center"/>
          </w:tcPr>
          <w:p w14:paraId="6291A1AE" w14:textId="77777777" w:rsidR="00155155" w:rsidRPr="00AE3B69" w:rsidRDefault="00E020DD">
            <w:pPr>
              <w:jc w:val="center"/>
              <w:rPr>
                <w:rFonts w:ascii="Palatino Linotype" w:eastAsia="Palatino Linotype" w:hAnsi="Palatino Linotype" w:cs="Palatino Linotype"/>
                <w:i/>
              </w:rPr>
            </w:pPr>
            <w:r w:rsidRPr="00AE3B69">
              <w:rPr>
                <w:rFonts w:ascii="Palatino Linotype" w:eastAsia="Palatino Linotype" w:hAnsi="Palatino Linotype" w:cs="Palatino Linotype"/>
                <w:i/>
                <w:sz w:val="20"/>
                <w:szCs w:val="20"/>
              </w:rPr>
              <w:t>“Se entregue información pública consistente en relación del total de inspecciones realizadas en cantidad a inmuebles domesticos y no domesticos por mes de enero, febrero, marzo, abril, mayo, junio, julio, agosto, septiembre, octubre, noviembre y diciembre de los años de 2019, 2020, 2021 y enero y febrero del año 2022, separado por cada una de las zonas que maneja el opdm, y los ingresos derivados del pago de dichas inspecciones por mes y por año.” (sic)</w:t>
            </w:r>
          </w:p>
        </w:tc>
      </w:tr>
      <w:tr w:rsidR="00155155" w:rsidRPr="00AE3B69" w14:paraId="35E3D8C5" w14:textId="77777777">
        <w:trPr>
          <w:jc w:val="center"/>
        </w:trPr>
        <w:tc>
          <w:tcPr>
            <w:tcW w:w="2830" w:type="dxa"/>
            <w:vAlign w:val="center"/>
          </w:tcPr>
          <w:p w14:paraId="4A49DBB7" w14:textId="77777777" w:rsidR="00155155" w:rsidRPr="00AE3B69" w:rsidRDefault="00E020DD">
            <w:pPr>
              <w:jc w:val="center"/>
              <w:rPr>
                <w:rFonts w:ascii="Palatino Linotype" w:eastAsia="Palatino Linotype" w:hAnsi="Palatino Linotype" w:cs="Palatino Linotype"/>
              </w:rPr>
            </w:pPr>
            <w:r w:rsidRPr="00AE3B69">
              <w:rPr>
                <w:rFonts w:ascii="Palatino Linotype" w:eastAsia="Palatino Linotype" w:hAnsi="Palatino Linotype" w:cs="Palatino Linotype"/>
                <w:b/>
                <w:sz w:val="20"/>
                <w:szCs w:val="20"/>
              </w:rPr>
              <w:t>Solicitud 00058/OASTLALNE/IP/2022</w:t>
            </w:r>
          </w:p>
        </w:tc>
        <w:tc>
          <w:tcPr>
            <w:tcW w:w="5998" w:type="dxa"/>
            <w:vAlign w:val="center"/>
          </w:tcPr>
          <w:p w14:paraId="0E7EEA01" w14:textId="77777777" w:rsidR="00155155" w:rsidRPr="00AE3B69" w:rsidRDefault="00E020DD">
            <w:pPr>
              <w:pBdr>
                <w:top w:val="nil"/>
                <w:left w:val="nil"/>
                <w:bottom w:val="nil"/>
                <w:right w:val="nil"/>
                <w:between w:val="nil"/>
              </w:pBdr>
              <w:jc w:val="center"/>
              <w:rPr>
                <w:rFonts w:ascii="Palatino Linotype" w:eastAsia="Palatino Linotype" w:hAnsi="Palatino Linotype" w:cs="Palatino Linotype"/>
                <w:sz w:val="20"/>
                <w:szCs w:val="20"/>
              </w:rPr>
            </w:pPr>
            <w:r w:rsidRPr="00AE3B69">
              <w:rPr>
                <w:rFonts w:ascii="Palatino Linotype" w:eastAsia="Palatino Linotype" w:hAnsi="Palatino Linotype" w:cs="Palatino Linotype"/>
                <w:i/>
                <w:sz w:val="20"/>
                <w:szCs w:val="20"/>
              </w:rPr>
              <w:t>“Se entregue información pública consistente en relación del total de inspecciones realizadas a medidores en cantidad realizadas a cuentas de tipo domesticas y no domesticas, y el numero de pruebas realizadas a medidores en el laboratorio del opdm, por mes de enero, febrero, marzo, abril, mayo, junio, julio, agosto, septiembre, octubre, noviembre y diciembre de los años de 2019, 2020, 2021 y enero y febrero del año 2022, separado por cada una de las zonas que maneja el opdm, y los ingresos derivados del pago de dichas inspecciones a medidores por mes y por año.” (sic)</w:t>
            </w:r>
          </w:p>
        </w:tc>
      </w:tr>
    </w:tbl>
    <w:p w14:paraId="00FFBE15" w14:textId="77777777" w:rsidR="00155155" w:rsidRPr="00AE3B69" w:rsidRDefault="00155155">
      <w:pPr>
        <w:spacing w:line="360" w:lineRule="auto"/>
        <w:ind w:right="900"/>
        <w:jc w:val="both"/>
        <w:rPr>
          <w:rFonts w:ascii="Palatino Linotype" w:eastAsia="Palatino Linotype" w:hAnsi="Palatino Linotype" w:cs="Palatino Linotype"/>
        </w:rPr>
      </w:pPr>
    </w:p>
    <w:p w14:paraId="6E2BEE2A" w14:textId="77777777" w:rsidR="00155155" w:rsidRPr="00AE3B69" w:rsidRDefault="00E020DD">
      <w:pPr>
        <w:spacing w:line="360" w:lineRule="auto"/>
        <w:ind w:right="900"/>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xml:space="preserve"> no adjuntó archivos a sus solicitudes.</w:t>
      </w:r>
    </w:p>
    <w:p w14:paraId="265CA67D"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Modalidad de Entrega:</w:t>
      </w:r>
      <w:r w:rsidRPr="00AE3B69">
        <w:rPr>
          <w:rFonts w:ascii="Palatino Linotype" w:eastAsia="Palatino Linotype" w:hAnsi="Palatino Linotype" w:cs="Palatino Linotype"/>
        </w:rPr>
        <w:t xml:space="preserve"> Electrónico a través del sistema de solicitudes de acceso a la información de la PNT,</w:t>
      </w:r>
      <w:r w:rsidRPr="00AE3B69">
        <w:rPr>
          <w:rFonts w:ascii="Palatino Linotype" w:eastAsia="Palatino Linotype" w:hAnsi="Palatino Linotype" w:cs="Palatino Linotype"/>
          <w:i/>
        </w:rPr>
        <w:t xml:space="preserve"> </w:t>
      </w:r>
      <w:r w:rsidRPr="00AE3B69">
        <w:rPr>
          <w:rFonts w:ascii="Palatino Linotype" w:eastAsia="Palatino Linotype" w:hAnsi="Palatino Linotype" w:cs="Palatino Linotype"/>
        </w:rPr>
        <w:t>por lo que, para efectos del presente asunto, se entenderá a través del Sistema de Acceso a la Información Mexiquense (SAIMEX), como se advierte a continuación:</w:t>
      </w:r>
    </w:p>
    <w:p w14:paraId="4B6BD7B6" w14:textId="77777777" w:rsidR="00155155" w:rsidRPr="00AE3B69" w:rsidRDefault="00E020DD">
      <w:pPr>
        <w:spacing w:before="240" w:after="240" w:line="360" w:lineRule="auto"/>
        <w:jc w:val="center"/>
        <w:rPr>
          <w:rFonts w:ascii="Palatino Linotype" w:eastAsia="Palatino Linotype" w:hAnsi="Palatino Linotype" w:cs="Palatino Linotype"/>
        </w:rPr>
      </w:pPr>
      <w:r w:rsidRPr="00AE3B69">
        <w:rPr>
          <w:rFonts w:ascii="Palatino Linotype" w:eastAsia="Palatino Linotype" w:hAnsi="Palatino Linotype" w:cs="Palatino Linotype"/>
          <w:noProof/>
          <w:lang w:val="es-MX"/>
        </w:rPr>
        <w:drawing>
          <wp:inline distT="0" distB="0" distL="0" distR="0" wp14:anchorId="2D1E617B" wp14:editId="018E762B">
            <wp:extent cx="4857750" cy="523875"/>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57750" cy="523875"/>
                    </a:xfrm>
                    <a:prstGeom prst="rect">
                      <a:avLst/>
                    </a:prstGeom>
                    <a:ln/>
                  </pic:spPr>
                </pic:pic>
              </a:graphicData>
            </a:graphic>
          </wp:inline>
        </w:drawing>
      </w:r>
    </w:p>
    <w:p w14:paraId="033F33D8" w14:textId="77777777" w:rsidR="00155155" w:rsidRPr="00AE3B69" w:rsidRDefault="00E020DD">
      <w:pPr>
        <w:spacing w:before="240" w:after="240" w:line="360" w:lineRule="auto"/>
        <w:jc w:val="center"/>
        <w:rPr>
          <w:rFonts w:ascii="Palatino Linotype" w:eastAsia="Palatino Linotype" w:hAnsi="Palatino Linotype" w:cs="Palatino Linotype"/>
          <w:b/>
        </w:rPr>
      </w:pPr>
      <w:r w:rsidRPr="00AE3B69">
        <w:rPr>
          <w:rFonts w:ascii="Palatino Linotype" w:eastAsia="Palatino Linotype" w:hAnsi="Palatino Linotype" w:cs="Palatino Linotype"/>
          <w:b/>
          <w:noProof/>
          <w:lang w:val="es-MX"/>
        </w:rPr>
        <w:lastRenderedPageBreak/>
        <w:drawing>
          <wp:inline distT="0" distB="0" distL="0" distR="0" wp14:anchorId="5157F1DD" wp14:editId="35E68580">
            <wp:extent cx="4824000" cy="499607"/>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24000" cy="499607"/>
                    </a:xfrm>
                    <a:prstGeom prst="rect">
                      <a:avLst/>
                    </a:prstGeom>
                    <a:ln/>
                  </pic:spPr>
                </pic:pic>
              </a:graphicData>
            </a:graphic>
          </wp:inline>
        </w:drawing>
      </w:r>
    </w:p>
    <w:p w14:paraId="2AB486F7"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 xml:space="preserve">2. Respuesta. </w:t>
      </w:r>
      <w:r w:rsidRPr="00AE3B69">
        <w:rPr>
          <w:rFonts w:ascii="Palatino Linotype" w:eastAsia="Palatino Linotype" w:hAnsi="Palatino Linotype" w:cs="Palatino Linotype"/>
        </w:rPr>
        <w:t xml:space="preserve"> Con fecha</w:t>
      </w:r>
      <w:r w:rsidRPr="00AE3B69">
        <w:rPr>
          <w:rFonts w:ascii="Palatino Linotype" w:eastAsia="Palatino Linotype" w:hAnsi="Palatino Linotype" w:cs="Palatino Linotype"/>
          <w:b/>
        </w:rPr>
        <w:t xml:space="preserve"> uno de marzo de dos mil veintidós</w:t>
      </w:r>
      <w:r w:rsidRPr="00AE3B69">
        <w:rPr>
          <w:rFonts w:ascii="Palatino Linotype" w:eastAsia="Palatino Linotype" w:hAnsi="Palatino Linotype" w:cs="Palatino Linotype"/>
        </w:rPr>
        <w:t xml:space="preserve">,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envió su respuesta a las solicitudes de acceso a la información a través de SAIMEX, sustancialmente en los términos siguientes:</w:t>
      </w:r>
    </w:p>
    <w:tbl>
      <w:tblPr>
        <w:tblStyle w:val="a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AE3B69" w:rsidRPr="00AE3B69" w14:paraId="168E8FF6" w14:textId="77777777">
        <w:trPr>
          <w:jc w:val="center"/>
        </w:trPr>
        <w:tc>
          <w:tcPr>
            <w:tcW w:w="2830" w:type="dxa"/>
            <w:vAlign w:val="center"/>
          </w:tcPr>
          <w:p w14:paraId="6AAA6CA0" w14:textId="77777777" w:rsidR="00155155" w:rsidRPr="00AE3B69" w:rsidRDefault="00E020DD">
            <w:pPr>
              <w:jc w:val="center"/>
              <w:rPr>
                <w:rFonts w:ascii="Palatino Linotype" w:eastAsia="Palatino Linotype" w:hAnsi="Palatino Linotype" w:cs="Palatino Linotype"/>
              </w:rPr>
            </w:pPr>
            <w:r w:rsidRPr="00AE3B69">
              <w:rPr>
                <w:rFonts w:ascii="Palatino Linotype" w:eastAsia="Palatino Linotype" w:hAnsi="Palatino Linotype" w:cs="Palatino Linotype"/>
                <w:b/>
                <w:sz w:val="20"/>
                <w:szCs w:val="20"/>
              </w:rPr>
              <w:t>Solicitud 00057/OASTLALNE/IP/2022</w:t>
            </w:r>
          </w:p>
        </w:tc>
        <w:tc>
          <w:tcPr>
            <w:tcW w:w="5998" w:type="dxa"/>
            <w:vMerge w:val="restart"/>
            <w:vAlign w:val="center"/>
          </w:tcPr>
          <w:p w14:paraId="27161E21" w14:textId="77777777" w:rsidR="00155155" w:rsidRPr="00AE3B69" w:rsidRDefault="00E020DD">
            <w:pPr>
              <w:jc w:val="center"/>
              <w:rPr>
                <w:rFonts w:ascii="Palatino Linotype" w:eastAsia="Palatino Linotype" w:hAnsi="Palatino Linotype" w:cs="Palatino Linotype"/>
                <w:i/>
                <w:sz w:val="20"/>
                <w:szCs w:val="20"/>
              </w:rPr>
            </w:pPr>
            <w:r w:rsidRPr="00AE3B69">
              <w:rPr>
                <w:rFonts w:ascii="Palatino Linotype" w:eastAsia="Palatino Linotype" w:hAnsi="Palatino Linotype" w:cs="Palatino Linotype"/>
                <w:i/>
                <w:sz w:val="20"/>
                <w:szCs w:val="20"/>
              </w:rPr>
              <w:t>“...Se envía archivos electrónicos en respuesta a su solicitud de información...” (sic)</w:t>
            </w:r>
          </w:p>
        </w:tc>
      </w:tr>
      <w:tr w:rsidR="00AE3B69" w:rsidRPr="00AE3B69" w14:paraId="70E2B92A" w14:textId="77777777">
        <w:trPr>
          <w:jc w:val="center"/>
        </w:trPr>
        <w:tc>
          <w:tcPr>
            <w:tcW w:w="2830" w:type="dxa"/>
            <w:vAlign w:val="center"/>
          </w:tcPr>
          <w:p w14:paraId="76359E24" w14:textId="77777777" w:rsidR="00155155" w:rsidRPr="00AE3B69" w:rsidRDefault="00E020DD">
            <w:pPr>
              <w:jc w:val="center"/>
              <w:rPr>
                <w:rFonts w:ascii="Palatino Linotype" w:eastAsia="Palatino Linotype" w:hAnsi="Palatino Linotype" w:cs="Palatino Linotype"/>
              </w:rPr>
            </w:pPr>
            <w:r w:rsidRPr="00AE3B69">
              <w:rPr>
                <w:rFonts w:ascii="Palatino Linotype" w:eastAsia="Palatino Linotype" w:hAnsi="Palatino Linotype" w:cs="Palatino Linotype"/>
                <w:b/>
                <w:sz w:val="20"/>
                <w:szCs w:val="20"/>
              </w:rPr>
              <w:t>Solicitud 00057/OASTLALNE/IP/2022</w:t>
            </w:r>
          </w:p>
        </w:tc>
        <w:tc>
          <w:tcPr>
            <w:tcW w:w="5998" w:type="dxa"/>
            <w:vMerge/>
            <w:vAlign w:val="center"/>
          </w:tcPr>
          <w:p w14:paraId="0200B9C0" w14:textId="77777777" w:rsidR="00155155" w:rsidRPr="00AE3B69" w:rsidRDefault="00155155">
            <w:pPr>
              <w:widowControl w:val="0"/>
              <w:pBdr>
                <w:top w:val="nil"/>
                <w:left w:val="nil"/>
                <w:bottom w:val="nil"/>
                <w:right w:val="nil"/>
                <w:between w:val="nil"/>
              </w:pBdr>
              <w:spacing w:line="276" w:lineRule="auto"/>
              <w:rPr>
                <w:rFonts w:ascii="Palatino Linotype" w:eastAsia="Palatino Linotype" w:hAnsi="Palatino Linotype" w:cs="Palatino Linotype"/>
              </w:rPr>
            </w:pPr>
          </w:p>
        </w:tc>
      </w:tr>
    </w:tbl>
    <w:p w14:paraId="44E665DD" w14:textId="77777777" w:rsidR="00155155" w:rsidRPr="00AE3B69" w:rsidRDefault="00E020DD">
      <w:pPr>
        <w:spacing w:before="240" w:after="240"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adjuntó los archivos:</w:t>
      </w:r>
    </w:p>
    <w:p w14:paraId="55DEA587" w14:textId="77777777" w:rsidR="00155155" w:rsidRPr="00AE3B69" w:rsidRDefault="00E020DD">
      <w:pPr>
        <w:spacing w:before="240" w:after="240"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 </w:t>
      </w:r>
      <w:r w:rsidRPr="00AE3B69">
        <w:rPr>
          <w:rFonts w:ascii="Palatino Linotype" w:eastAsia="Palatino Linotype" w:hAnsi="Palatino Linotype" w:cs="Palatino Linotype"/>
          <w:i/>
        </w:rPr>
        <w:t xml:space="preserve">“CONTESTACION SAIMEX 57.pdf”, </w:t>
      </w:r>
      <w:r w:rsidRPr="00AE3B69">
        <w:rPr>
          <w:rFonts w:ascii="Palatino Linotype" w:eastAsia="Palatino Linotype" w:hAnsi="Palatino Linotype" w:cs="Palatino Linotype"/>
        </w:rPr>
        <w:t>que contiene el oficio número OPDM/SC/0499/2022 de fecha doce de febrero de dos mil veintidós, mediante el cual el Subdirector de Comercialización anexa la relación de inspecciones realizadas por el Departamento de Inspecciones, así como los Ingresos de inspecciones realizadas por el Departamento de Inspecciones, de enero de 2019 a febrero de 2022.</w:t>
      </w:r>
    </w:p>
    <w:p w14:paraId="59810881" w14:textId="77777777" w:rsidR="00155155" w:rsidRPr="00AE3B69" w:rsidRDefault="00E020DD">
      <w:pPr>
        <w:spacing w:before="240" w:after="240"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 </w:t>
      </w:r>
      <w:r w:rsidRPr="00AE3B69">
        <w:rPr>
          <w:rFonts w:ascii="Palatino Linotype" w:eastAsia="Palatino Linotype" w:hAnsi="Palatino Linotype" w:cs="Palatino Linotype"/>
          <w:i/>
        </w:rPr>
        <w:t xml:space="preserve">“CONTESTACION SAIMEX 58.pdf”, </w:t>
      </w:r>
      <w:r w:rsidRPr="00AE3B69">
        <w:rPr>
          <w:rFonts w:ascii="Palatino Linotype" w:eastAsia="Palatino Linotype" w:hAnsi="Palatino Linotype" w:cs="Palatino Linotype"/>
        </w:rPr>
        <w:t>que contiene el oficio número OPDM/SC/0484/2022 de fecha doce de febrero de dos mil veintidós, mediante el cual el Subdirector de Comercialización anexa la relación de revisiones y laboratorios realizados por el Departamento de Inspecciones, así como los Ingresos de revisiones realizadas por el Departamento de Inspecciones, de enero de 2019 a febrero de 2022.</w:t>
      </w:r>
    </w:p>
    <w:p w14:paraId="46301C3F" w14:textId="77777777" w:rsidR="00155155" w:rsidRPr="00AE3B69" w:rsidRDefault="00E020DD">
      <w:pPr>
        <w:spacing w:before="240" w:after="240"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b/>
        </w:rPr>
        <w:lastRenderedPageBreak/>
        <w:t xml:space="preserve">3. Interposición de los recursos de revisión. </w:t>
      </w:r>
      <w:r w:rsidRPr="00AE3B69">
        <w:rPr>
          <w:rFonts w:ascii="Palatino Linotype" w:eastAsia="Palatino Linotype" w:hAnsi="Palatino Linotype" w:cs="Palatino Linotype"/>
        </w:rPr>
        <w:t xml:space="preserve">Inconforme con los términos de la respuesta emitida por parte del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con fecha </w:t>
      </w:r>
      <w:r w:rsidRPr="00AE3B69">
        <w:rPr>
          <w:rFonts w:ascii="Palatino Linotype" w:eastAsia="Palatino Linotype" w:hAnsi="Palatino Linotype" w:cs="Palatino Linotype"/>
          <w:b/>
        </w:rPr>
        <w:t>siete de marzo de dos mil veintidós,</w:t>
      </w:r>
      <w:r w:rsidRPr="00AE3B69">
        <w:rPr>
          <w:rFonts w:ascii="Palatino Linotype" w:eastAsia="Palatino Linotype" w:hAnsi="Palatino Linotype" w:cs="Palatino Linotype"/>
        </w:rPr>
        <w:t xml:space="preserve"> 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xml:space="preserve"> interpuso los recursos de revisión a través de </w:t>
      </w:r>
      <w:r w:rsidRPr="00AE3B69">
        <w:rPr>
          <w:rFonts w:ascii="Palatino Linotype" w:eastAsia="Palatino Linotype" w:hAnsi="Palatino Linotype" w:cs="Palatino Linotype"/>
          <w:b/>
        </w:rPr>
        <w:t xml:space="preserve">SAIMEX, </w:t>
      </w:r>
      <w:r w:rsidRPr="00AE3B69">
        <w:rPr>
          <w:rFonts w:ascii="Palatino Linotype" w:eastAsia="Palatino Linotype" w:hAnsi="Palatino Linotype" w:cs="Palatino Linotype"/>
        </w:rPr>
        <w:t>en donde se manifestó de la siguiente manera en ambos casos:</w:t>
      </w:r>
    </w:p>
    <w:p w14:paraId="3EB87F7E" w14:textId="77777777" w:rsidR="00155155" w:rsidRPr="00AE3B69" w:rsidRDefault="00E020DD">
      <w:pPr>
        <w:tabs>
          <w:tab w:val="left" w:pos="2745"/>
        </w:tabs>
        <w:spacing w:before="240" w:after="240" w:line="360" w:lineRule="auto"/>
        <w:jc w:val="both"/>
        <w:rPr>
          <w:rFonts w:ascii="Palatino Linotype" w:eastAsia="Palatino Linotype" w:hAnsi="Palatino Linotype" w:cs="Palatino Linotype"/>
          <w:b/>
        </w:rPr>
      </w:pPr>
      <w:r w:rsidRPr="00AE3B69">
        <w:rPr>
          <w:rFonts w:ascii="Palatino Linotype" w:eastAsia="Palatino Linotype" w:hAnsi="Palatino Linotype" w:cs="Palatino Linotype"/>
          <w:b/>
        </w:rPr>
        <w:t xml:space="preserve">Acto impugnado: </w:t>
      </w:r>
    </w:p>
    <w:tbl>
      <w:tblPr>
        <w:tblStyle w:val="af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AE3B69" w:rsidRPr="00AE3B69" w14:paraId="687B0B40" w14:textId="77777777">
        <w:trPr>
          <w:jc w:val="center"/>
        </w:trPr>
        <w:tc>
          <w:tcPr>
            <w:tcW w:w="2830" w:type="dxa"/>
            <w:vAlign w:val="center"/>
          </w:tcPr>
          <w:p w14:paraId="46FFE01C" w14:textId="77777777" w:rsidR="00155155" w:rsidRPr="00AE3B69" w:rsidRDefault="00E020DD">
            <w:pPr>
              <w:jc w:val="center"/>
              <w:rPr>
                <w:rFonts w:ascii="Palatino Linotype" w:eastAsia="Palatino Linotype" w:hAnsi="Palatino Linotype" w:cs="Palatino Linotype"/>
                <w:b/>
                <w:sz w:val="20"/>
                <w:szCs w:val="20"/>
              </w:rPr>
            </w:pPr>
            <w:r w:rsidRPr="00AE3B69">
              <w:rPr>
                <w:rFonts w:ascii="Palatino Linotype" w:eastAsia="Palatino Linotype" w:hAnsi="Palatino Linotype" w:cs="Palatino Linotype"/>
                <w:b/>
                <w:sz w:val="20"/>
                <w:szCs w:val="20"/>
              </w:rPr>
              <w:t>Solicitud 00057/OASTLALNE/IP/2022</w:t>
            </w:r>
          </w:p>
          <w:p w14:paraId="61457C1E" w14:textId="77777777" w:rsidR="00155155" w:rsidRPr="00AE3B69" w:rsidRDefault="00E020DD">
            <w:pPr>
              <w:jc w:val="center"/>
              <w:rPr>
                <w:rFonts w:ascii="Palatino Linotype" w:eastAsia="Palatino Linotype" w:hAnsi="Palatino Linotype" w:cs="Palatino Linotype"/>
                <w:b/>
                <w:sz w:val="20"/>
                <w:szCs w:val="20"/>
              </w:rPr>
            </w:pPr>
            <w:r w:rsidRPr="00AE3B69">
              <w:rPr>
                <w:rFonts w:ascii="Palatino Linotype" w:eastAsia="Palatino Linotype" w:hAnsi="Palatino Linotype" w:cs="Palatino Linotype"/>
                <w:b/>
                <w:sz w:val="20"/>
                <w:szCs w:val="20"/>
              </w:rPr>
              <w:t>Recurso</w:t>
            </w:r>
          </w:p>
          <w:p w14:paraId="41B784F5" w14:textId="77777777" w:rsidR="00155155" w:rsidRPr="00AE3B69" w:rsidRDefault="00E020DD">
            <w:pPr>
              <w:jc w:val="center"/>
              <w:rPr>
                <w:rFonts w:ascii="Palatino Linotype" w:eastAsia="Palatino Linotype" w:hAnsi="Palatino Linotype" w:cs="Palatino Linotype"/>
                <w:b/>
                <w:sz w:val="20"/>
                <w:szCs w:val="20"/>
              </w:rPr>
            </w:pPr>
            <w:r w:rsidRPr="00AE3B69">
              <w:rPr>
                <w:rFonts w:ascii="Palatino Linotype" w:eastAsia="Palatino Linotype" w:hAnsi="Palatino Linotype" w:cs="Palatino Linotype"/>
                <w:b/>
                <w:sz w:val="20"/>
                <w:szCs w:val="20"/>
              </w:rPr>
              <w:t>03446/INFOEM/IP/RR/2022</w:t>
            </w:r>
          </w:p>
        </w:tc>
        <w:tc>
          <w:tcPr>
            <w:tcW w:w="5998" w:type="dxa"/>
            <w:vAlign w:val="center"/>
          </w:tcPr>
          <w:p w14:paraId="387480B9" w14:textId="77777777" w:rsidR="00155155" w:rsidRPr="00AE3B69" w:rsidRDefault="00E020DD">
            <w:pPr>
              <w:jc w:val="both"/>
              <w:rPr>
                <w:rFonts w:ascii="Palatino Linotype" w:eastAsia="Palatino Linotype" w:hAnsi="Palatino Linotype" w:cs="Palatino Linotype"/>
                <w:i/>
              </w:rPr>
            </w:pPr>
            <w:r w:rsidRPr="00AE3B69">
              <w:rPr>
                <w:rFonts w:ascii="Palatino Linotype" w:eastAsia="Palatino Linotype" w:hAnsi="Palatino Linotype" w:cs="Palatino Linotype"/>
                <w:i/>
                <w:sz w:val="20"/>
                <w:szCs w:val="20"/>
              </w:rPr>
              <w:t>“Se promueve Recurso de Revisión por haber entregado la información INCOMPLETA y ante la NEGATIVA DE ACCESO A LA INFORMACIÓN y la simulación de entrega de información por parte del Sujeto Obligado, toda vez que no se ME entrego la información como se solicito haciendo falta la información de “el total de inspecciones realizadas en cantidad a inmuebles domesticos y no domesticos “ y “separado por cada una de las zonas que maneja el opdm” y la información entregada no contiene el tipo de inmueble y menos la zona de cada una de las inspecciones realizadas de los años de 2019, 2020 y 2021, violando nuestro derecho a recibir información pública establecido en el articulo 6 de la constitución política” (sic)</w:t>
            </w:r>
          </w:p>
        </w:tc>
      </w:tr>
      <w:tr w:rsidR="00155155" w:rsidRPr="00AE3B69" w14:paraId="0DE638EC" w14:textId="77777777">
        <w:trPr>
          <w:jc w:val="center"/>
        </w:trPr>
        <w:tc>
          <w:tcPr>
            <w:tcW w:w="2830" w:type="dxa"/>
            <w:vAlign w:val="center"/>
          </w:tcPr>
          <w:p w14:paraId="536B927B" w14:textId="77777777" w:rsidR="00155155" w:rsidRPr="00AE3B69" w:rsidRDefault="00E020DD">
            <w:pPr>
              <w:jc w:val="center"/>
              <w:rPr>
                <w:rFonts w:ascii="Palatino Linotype" w:eastAsia="Palatino Linotype" w:hAnsi="Palatino Linotype" w:cs="Palatino Linotype"/>
                <w:b/>
                <w:sz w:val="20"/>
                <w:szCs w:val="20"/>
              </w:rPr>
            </w:pPr>
            <w:r w:rsidRPr="00AE3B69">
              <w:rPr>
                <w:rFonts w:ascii="Palatino Linotype" w:eastAsia="Palatino Linotype" w:hAnsi="Palatino Linotype" w:cs="Palatino Linotype"/>
                <w:b/>
                <w:sz w:val="20"/>
                <w:szCs w:val="20"/>
              </w:rPr>
              <w:t>Solicitud 00058/OASTLALNE/IP/2022</w:t>
            </w:r>
          </w:p>
          <w:p w14:paraId="60DF58AA" w14:textId="77777777" w:rsidR="00155155" w:rsidRPr="00AE3B69" w:rsidRDefault="00E020DD">
            <w:pPr>
              <w:jc w:val="center"/>
              <w:rPr>
                <w:rFonts w:ascii="Palatino Linotype" w:eastAsia="Palatino Linotype" w:hAnsi="Palatino Linotype" w:cs="Palatino Linotype"/>
                <w:b/>
                <w:sz w:val="20"/>
                <w:szCs w:val="20"/>
              </w:rPr>
            </w:pPr>
            <w:r w:rsidRPr="00AE3B69">
              <w:rPr>
                <w:rFonts w:ascii="Palatino Linotype" w:eastAsia="Palatino Linotype" w:hAnsi="Palatino Linotype" w:cs="Palatino Linotype"/>
                <w:b/>
                <w:sz w:val="20"/>
                <w:szCs w:val="20"/>
              </w:rPr>
              <w:t>Recurso</w:t>
            </w:r>
          </w:p>
          <w:p w14:paraId="735965BE" w14:textId="77777777" w:rsidR="00155155" w:rsidRPr="00AE3B69" w:rsidRDefault="00E020DD">
            <w:pPr>
              <w:jc w:val="center"/>
              <w:rPr>
                <w:rFonts w:ascii="Palatino Linotype" w:eastAsia="Palatino Linotype" w:hAnsi="Palatino Linotype" w:cs="Palatino Linotype"/>
              </w:rPr>
            </w:pPr>
            <w:r w:rsidRPr="00AE3B69">
              <w:rPr>
                <w:rFonts w:ascii="Palatino Linotype" w:eastAsia="Palatino Linotype" w:hAnsi="Palatino Linotype" w:cs="Palatino Linotype"/>
                <w:b/>
                <w:sz w:val="20"/>
                <w:szCs w:val="20"/>
              </w:rPr>
              <w:t>03444/INFOEM/IP/RR/2022</w:t>
            </w:r>
          </w:p>
        </w:tc>
        <w:tc>
          <w:tcPr>
            <w:tcW w:w="5998" w:type="dxa"/>
            <w:vAlign w:val="center"/>
          </w:tcPr>
          <w:p w14:paraId="47A1311E" w14:textId="77777777" w:rsidR="00155155" w:rsidRPr="00AE3B69" w:rsidRDefault="00E020DD">
            <w:pPr>
              <w:pBdr>
                <w:top w:val="nil"/>
                <w:left w:val="nil"/>
                <w:bottom w:val="nil"/>
                <w:right w:val="nil"/>
                <w:between w:val="nil"/>
              </w:pBdr>
              <w:jc w:val="both"/>
              <w:rPr>
                <w:rFonts w:ascii="Palatino Linotype" w:eastAsia="Palatino Linotype" w:hAnsi="Palatino Linotype" w:cs="Palatino Linotype"/>
                <w:sz w:val="20"/>
                <w:szCs w:val="20"/>
              </w:rPr>
            </w:pPr>
            <w:r w:rsidRPr="00AE3B69">
              <w:rPr>
                <w:rFonts w:ascii="Palatino Linotype" w:eastAsia="Palatino Linotype" w:hAnsi="Palatino Linotype" w:cs="Palatino Linotype"/>
                <w:i/>
                <w:sz w:val="20"/>
                <w:szCs w:val="20"/>
              </w:rPr>
              <w:t>“Se promueve Recurso de Revisión por haber entregado la información INCOMPLETA y ante la NEGATIVA DE ACCESO A LA INFORMACIÓN y la simulación de entrega de información por parte del Sujeto Obligado, toda vez que no se me entrego completa la información que se solicito de “el total de inspecciones realizadas a medidores en cantidad realizadas a cuentas de tipo domesticos y no domesticos “ y “separado por cada una de las zonas que maneja el opdm” y la información entregada no contiene el tipo de inmueble y menos la zona de cada una de las inspecciones a medidores realizadas de los años de 2019, 2020 y 2021, violando nuestro derecho a recibir información pública establecido en el articulo 6 de la constitución política” (sic)</w:t>
            </w:r>
          </w:p>
        </w:tc>
      </w:tr>
    </w:tbl>
    <w:p w14:paraId="54227439" w14:textId="77777777" w:rsidR="00155155" w:rsidRPr="00AE3B69" w:rsidRDefault="00155155">
      <w:pPr>
        <w:spacing w:line="360" w:lineRule="auto"/>
        <w:jc w:val="both"/>
        <w:rPr>
          <w:rFonts w:ascii="Palatino Linotype" w:eastAsia="Palatino Linotype" w:hAnsi="Palatino Linotype" w:cs="Palatino Linotype"/>
          <w:i/>
          <w:sz w:val="22"/>
          <w:szCs w:val="22"/>
        </w:rPr>
      </w:pPr>
    </w:p>
    <w:p w14:paraId="48D19B47" w14:textId="77777777" w:rsidR="00155155" w:rsidRPr="00AE3B69" w:rsidRDefault="00E020DD">
      <w:pPr>
        <w:spacing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Y Razones o motivos de inconformidad</w:t>
      </w:r>
      <w:r w:rsidRPr="00AE3B69">
        <w:rPr>
          <w:rFonts w:ascii="Palatino Linotype" w:eastAsia="Palatino Linotype" w:hAnsi="Palatino Linotype" w:cs="Palatino Linotype"/>
        </w:rPr>
        <w:t xml:space="preserve">: </w:t>
      </w:r>
    </w:p>
    <w:p w14:paraId="2C3ED434" w14:textId="77777777" w:rsidR="00155155" w:rsidRPr="00AE3B69" w:rsidRDefault="00E020DD">
      <w:pPr>
        <w:spacing w:line="360" w:lineRule="auto"/>
        <w:jc w:val="both"/>
        <w:rPr>
          <w:rFonts w:ascii="Palatino Linotype" w:eastAsia="Palatino Linotype" w:hAnsi="Palatino Linotype" w:cs="Palatino Linotype"/>
          <w:b/>
        </w:rPr>
      </w:pPr>
      <w:r w:rsidRPr="00AE3B69">
        <w:rPr>
          <w:rFonts w:ascii="Palatino Linotype" w:eastAsia="Palatino Linotype" w:hAnsi="Palatino Linotype" w:cs="Palatino Linotype"/>
        </w:rPr>
        <w:t xml:space="preserve">No se advierten manifestaciones de la parte </w:t>
      </w:r>
      <w:r w:rsidRPr="00AE3B69">
        <w:rPr>
          <w:rFonts w:ascii="Palatino Linotype" w:eastAsia="Palatino Linotype" w:hAnsi="Palatino Linotype" w:cs="Palatino Linotype"/>
          <w:b/>
        </w:rPr>
        <w:t>Recurrente.</w:t>
      </w:r>
    </w:p>
    <w:p w14:paraId="015F8777" w14:textId="77777777" w:rsidR="00155155" w:rsidRPr="00AE3B69" w:rsidRDefault="00E020DD">
      <w:pPr>
        <w:spacing w:before="240" w:after="240"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b/>
        </w:rPr>
        <w:lastRenderedPageBreak/>
        <w:t xml:space="preserve">Anexos: </w:t>
      </w:r>
      <w:r w:rsidRPr="00AE3B69">
        <w:rPr>
          <w:rFonts w:ascii="Palatino Linotype" w:eastAsia="Palatino Linotype" w:hAnsi="Palatino Linotype" w:cs="Palatino Linotype"/>
        </w:rPr>
        <w:t xml:space="preserve">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xml:space="preserve"> adjuntó los archivos “</w:t>
      </w:r>
      <w:r w:rsidRPr="00AE3B69">
        <w:rPr>
          <w:rFonts w:ascii="Palatino Linotype" w:eastAsia="Palatino Linotype" w:hAnsi="Palatino Linotype" w:cs="Palatino Linotype"/>
          <w:i/>
        </w:rPr>
        <w:t>Archivo1646603904258.</w:t>
      </w:r>
      <w:r w:rsidRPr="00AE3B69">
        <w:rPr>
          <w:rFonts w:ascii="Palatino Linotype" w:eastAsia="Palatino Linotype" w:hAnsi="Palatino Linotype" w:cs="Palatino Linotype"/>
        </w:rPr>
        <w:t>” y “</w:t>
      </w:r>
      <w:r w:rsidRPr="00AE3B69">
        <w:rPr>
          <w:rFonts w:ascii="Palatino Linotype" w:eastAsia="Palatino Linotype" w:hAnsi="Palatino Linotype" w:cs="Palatino Linotype"/>
          <w:i/>
        </w:rPr>
        <w:t>Archivo1646595245803</w:t>
      </w:r>
      <w:r w:rsidRPr="00AE3B69">
        <w:rPr>
          <w:rFonts w:ascii="Palatino Linotype" w:eastAsia="Palatino Linotype" w:hAnsi="Palatino Linotype" w:cs="Palatino Linotype"/>
        </w:rPr>
        <w:t>.” documentos a los que no es posible acceder.</w:t>
      </w:r>
    </w:p>
    <w:p w14:paraId="48DC9907"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4. Turno.</w:t>
      </w:r>
      <w:r w:rsidRPr="00AE3B69">
        <w:rPr>
          <w:rFonts w:ascii="Palatino Linotype" w:eastAsia="Palatino Linotype" w:hAnsi="Palatino Linotype" w:cs="Palatino Linotype"/>
          <w:b/>
          <w:sz w:val="28"/>
          <w:szCs w:val="28"/>
        </w:rPr>
        <w:t xml:space="preserve"> </w:t>
      </w:r>
      <w:r w:rsidRPr="00AE3B69">
        <w:rPr>
          <w:rFonts w:ascii="Palatino Linotype" w:eastAsia="Palatino Linotype" w:hAnsi="Palatino Linotype" w:cs="Palatino Linotype"/>
        </w:rPr>
        <w:t>De conformidad con el artículo 185 fracción I de la Ley de Transparencia y Acceso a la Información Pública del Estado de México y Municipios vigente, los presentes recursos de revisión se turnó por el sistema electrónico del Instituto de Transparencia, Acceso a la Información Pública y Protección de Datos Personales del Estado de México y Municipios, a los Comisionados</w:t>
      </w:r>
      <w:r w:rsidRPr="00AE3B69">
        <w:rPr>
          <w:rFonts w:ascii="Palatino Linotype" w:eastAsia="Palatino Linotype" w:hAnsi="Palatino Linotype" w:cs="Palatino Linotype"/>
          <w:b/>
        </w:rPr>
        <w:t xml:space="preserve"> Guadalupe Ramírez Peña </w:t>
      </w:r>
      <w:r w:rsidRPr="00AE3B69">
        <w:rPr>
          <w:rFonts w:ascii="Palatino Linotype" w:eastAsia="Palatino Linotype" w:hAnsi="Palatino Linotype" w:cs="Palatino Linotype"/>
        </w:rPr>
        <w:t>y</w:t>
      </w:r>
      <w:r w:rsidRPr="00AE3B69">
        <w:rPr>
          <w:rFonts w:ascii="Palatino Linotype" w:eastAsia="Palatino Linotype" w:hAnsi="Palatino Linotype" w:cs="Palatino Linotype"/>
          <w:b/>
        </w:rPr>
        <w:t xml:space="preserve"> Luis Gustavo Parra Noriega, </w:t>
      </w:r>
      <w:r w:rsidRPr="00AE3B69">
        <w:rPr>
          <w:rFonts w:ascii="Palatino Linotype" w:eastAsia="Palatino Linotype" w:hAnsi="Palatino Linotype" w:cs="Palatino Linotype"/>
        </w:rPr>
        <w:t>a efecto de que analizaran sobre su admisión o su desechamiento.</w:t>
      </w:r>
    </w:p>
    <w:p w14:paraId="51E76F3E" w14:textId="77777777" w:rsidR="00155155" w:rsidRPr="00AE3B69" w:rsidRDefault="00E020DD">
      <w:pPr>
        <w:spacing w:before="240" w:after="240" w:line="360" w:lineRule="auto"/>
        <w:jc w:val="both"/>
        <w:rPr>
          <w:rFonts w:ascii="Palatino Linotype" w:eastAsia="Palatino Linotype" w:hAnsi="Palatino Linotype" w:cs="Palatino Linotype"/>
          <w:b/>
        </w:rPr>
      </w:pPr>
      <w:r w:rsidRPr="00AE3B69">
        <w:rPr>
          <w:rFonts w:ascii="Palatino Linotype" w:eastAsia="Palatino Linotype" w:hAnsi="Palatino Linotype" w:cs="Palatino Linotype"/>
          <w:b/>
        </w:rPr>
        <w:t>5.</w:t>
      </w:r>
      <w:r w:rsidRPr="00AE3B69">
        <w:rPr>
          <w:rFonts w:ascii="Palatino Linotype" w:eastAsia="Palatino Linotype" w:hAnsi="Palatino Linotype" w:cs="Palatino Linotype"/>
          <w:b/>
          <w:i/>
        </w:rPr>
        <w:t xml:space="preserve"> </w:t>
      </w:r>
      <w:r w:rsidRPr="00AE3B69">
        <w:rPr>
          <w:rFonts w:ascii="Palatino Linotype" w:eastAsia="Palatino Linotype" w:hAnsi="Palatino Linotype" w:cs="Palatino Linotype"/>
          <w:b/>
        </w:rPr>
        <w:t>Admisión de los Recursos de revisión.</w:t>
      </w:r>
      <w:r w:rsidRPr="00AE3B69">
        <w:rPr>
          <w:rFonts w:ascii="Palatino Linotype" w:eastAsia="Palatino Linotype" w:hAnsi="Palatino Linotype" w:cs="Palatino Linotype"/>
          <w:sz w:val="28"/>
          <w:szCs w:val="28"/>
        </w:rPr>
        <w:t xml:space="preserve"> </w:t>
      </w:r>
      <w:r w:rsidRPr="00AE3B69">
        <w:rPr>
          <w:rFonts w:ascii="Palatino Linotype" w:eastAsia="Palatino Linotype" w:hAnsi="Palatino Linotype" w:cs="Palatino Linotype"/>
        </w:rPr>
        <w:t>Con fecha</w:t>
      </w:r>
      <w:r w:rsidRPr="00AE3B69">
        <w:rPr>
          <w:rFonts w:ascii="Palatino Linotype" w:eastAsia="Palatino Linotype" w:hAnsi="Palatino Linotype" w:cs="Palatino Linotype"/>
          <w:b/>
        </w:rPr>
        <w:t xml:space="preserve"> nueve y catorce de marzo de dos mil veintidós, </w:t>
      </w:r>
      <w:r w:rsidRPr="00AE3B6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presentara su informe justificado.</w:t>
      </w:r>
    </w:p>
    <w:p w14:paraId="36A390B0" w14:textId="77777777" w:rsidR="00155155" w:rsidRPr="00AE3B69" w:rsidRDefault="00E020DD">
      <w:pPr>
        <w:widowControl w:val="0"/>
        <w:spacing w:before="240" w:after="240" w:line="360" w:lineRule="auto"/>
        <w:jc w:val="both"/>
        <w:rPr>
          <w:rFonts w:ascii="Palatino Linotype" w:eastAsia="Palatino Linotype" w:hAnsi="Palatino Linotype" w:cs="Palatino Linotype"/>
          <w:b/>
        </w:rPr>
      </w:pPr>
      <w:r w:rsidRPr="00AE3B69">
        <w:rPr>
          <w:rFonts w:ascii="Palatino Linotype" w:eastAsia="Palatino Linotype" w:hAnsi="Palatino Linotype" w:cs="Palatino Linotype"/>
          <w:b/>
        </w:rPr>
        <w:t xml:space="preserve">6. Acumulación de los recursos de revisión. </w:t>
      </w:r>
      <w:r w:rsidRPr="00AE3B69">
        <w:rPr>
          <w:rFonts w:ascii="Palatino Linotype" w:eastAsia="Palatino Linotype" w:hAnsi="Palatino Linotype" w:cs="Palatino Linotype"/>
        </w:rPr>
        <w:t xml:space="preserve">Al respecto cabe señalar, que el Pleno de este Instituto, en la </w:t>
      </w:r>
      <w:r w:rsidRPr="00AE3B69">
        <w:rPr>
          <w:rFonts w:ascii="Palatino Linotype" w:eastAsia="Palatino Linotype" w:hAnsi="Palatino Linotype" w:cs="Palatino Linotype"/>
          <w:b/>
        </w:rPr>
        <w:t>Décimo Primera Sesión Ordinaria</w:t>
      </w:r>
      <w:r w:rsidRPr="00AE3B69">
        <w:rPr>
          <w:rFonts w:ascii="Palatino Linotype" w:eastAsia="Palatino Linotype" w:hAnsi="Palatino Linotype" w:cs="Palatino Linotype"/>
        </w:rPr>
        <w:t xml:space="preserve"> de fecha</w:t>
      </w:r>
      <w:r w:rsidRPr="00AE3B69">
        <w:rPr>
          <w:rFonts w:ascii="Palatino Linotype" w:eastAsia="Palatino Linotype" w:hAnsi="Palatino Linotype" w:cs="Palatino Linotype"/>
          <w:b/>
        </w:rPr>
        <w:t xml:space="preserve"> veinticuatro de marzo de dos mil veintidós</w:t>
      </w:r>
      <w:r w:rsidRPr="00AE3B69">
        <w:rPr>
          <w:rFonts w:ascii="Palatino Linotype" w:eastAsia="Palatino Linotype" w:hAnsi="Palatino Linotype" w:cs="Palatino Linotype"/>
        </w:rPr>
        <w:t xml:space="preserve">, ordenó la acumulación de los expedientes citados y el </w:t>
      </w:r>
      <w:r w:rsidRPr="00AE3B69">
        <w:rPr>
          <w:rFonts w:ascii="Palatino Linotype" w:eastAsia="Palatino Linotype" w:hAnsi="Palatino Linotype" w:cs="Palatino Linotype"/>
        </w:rPr>
        <w:lastRenderedPageBreak/>
        <w:t xml:space="preserve">turno de los mismos a la Comisionada </w:t>
      </w:r>
      <w:r w:rsidRPr="00AE3B69">
        <w:rPr>
          <w:rFonts w:ascii="Palatino Linotype" w:eastAsia="Palatino Linotype" w:hAnsi="Palatino Linotype" w:cs="Palatino Linotype"/>
          <w:b/>
        </w:rPr>
        <w:t xml:space="preserve">Guadalupe Ramírez Peña, </w:t>
      </w:r>
      <w:r w:rsidRPr="00AE3B69">
        <w:rPr>
          <w:rFonts w:ascii="Palatino Linotype" w:eastAsia="Palatino Linotype" w:hAnsi="Palatino Linotype" w:cs="Palatino Linotype"/>
        </w:rPr>
        <w:t>para que formulara y presentara el proyecto de resolución correspondiente, notificándose a las partes.</w:t>
      </w:r>
    </w:p>
    <w:p w14:paraId="3BF290BF" w14:textId="77777777" w:rsidR="00155155" w:rsidRPr="00AE3B69" w:rsidRDefault="00E020DD">
      <w:pPr>
        <w:widowControl w:val="0"/>
        <w:spacing w:before="240" w:after="240" w:line="360" w:lineRule="auto"/>
        <w:jc w:val="both"/>
        <w:rPr>
          <w:rFonts w:ascii="Palatino Linotype" w:eastAsia="Palatino Linotype" w:hAnsi="Palatino Linotype" w:cs="Palatino Linotype"/>
          <w:b/>
        </w:rPr>
      </w:pPr>
      <w:r w:rsidRPr="00AE3B69">
        <w:rPr>
          <w:rFonts w:ascii="Palatino Linotype" w:eastAsia="Palatino Linotype" w:hAnsi="Palatino Linotype" w:cs="Palatino Linotype"/>
        </w:rPr>
        <w:t xml:space="preserve">Lo anterior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63A7BCF0" w14:textId="77777777" w:rsidR="00155155" w:rsidRPr="00AE3B69" w:rsidRDefault="00E020DD">
      <w:pPr>
        <w:widowControl w:val="0"/>
        <w:spacing w:before="240" w:after="240"/>
        <w:ind w:left="851" w:right="902"/>
        <w:jc w:val="both"/>
        <w:rPr>
          <w:rFonts w:ascii="Palatino Linotype" w:eastAsia="Palatino Linotype" w:hAnsi="Palatino Linotype" w:cs="Palatino Linotype"/>
          <w:b/>
          <w:i/>
          <w:sz w:val="22"/>
          <w:szCs w:val="22"/>
        </w:rPr>
      </w:pPr>
      <w:r w:rsidRPr="00AE3B69">
        <w:rPr>
          <w:rFonts w:ascii="Palatino Linotype" w:eastAsia="Palatino Linotype" w:hAnsi="Palatino Linotype" w:cs="Palatino Linotype"/>
          <w:b/>
          <w:i/>
          <w:sz w:val="22"/>
          <w:szCs w:val="22"/>
        </w:rPr>
        <w:t>Código de Procedimientos Administrativos del Estado de México</w:t>
      </w:r>
    </w:p>
    <w:p w14:paraId="35081CF4" w14:textId="77777777" w:rsidR="00155155" w:rsidRPr="00AE3B69" w:rsidRDefault="00E020DD">
      <w:pPr>
        <w:widowControl w:val="0"/>
        <w:spacing w:before="120" w:after="120"/>
        <w:ind w:left="851" w:right="902"/>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b/>
          <w:i/>
          <w:sz w:val="22"/>
          <w:szCs w:val="22"/>
        </w:rPr>
        <w:t>“Artículo 18.-</w:t>
      </w:r>
      <w:r w:rsidRPr="00AE3B69">
        <w:rPr>
          <w:rFonts w:ascii="Palatino Linotype" w:eastAsia="Palatino Linotype" w:hAnsi="Palatino Linotype" w:cs="Palatino Linotype"/>
          <w:i/>
          <w:sz w:val="22"/>
          <w:szCs w:val="22"/>
        </w:rPr>
        <w:t xml:space="preserve"> </w:t>
      </w:r>
      <w:r w:rsidRPr="00AE3B69">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AE3B69">
        <w:rPr>
          <w:rFonts w:ascii="Palatino Linotype" w:eastAsia="Palatino Linotype" w:hAnsi="Palatino Linotype" w:cs="Palatino Linotype"/>
          <w:i/>
          <w:sz w:val="22"/>
          <w:szCs w:val="22"/>
        </w:rPr>
        <w:t xml:space="preserve"> o a petición de parte, </w:t>
      </w:r>
      <w:r w:rsidRPr="00AE3B69">
        <w:rPr>
          <w:rFonts w:ascii="Palatino Linotype" w:eastAsia="Palatino Linotype" w:hAnsi="Palatino Linotype" w:cs="Palatino Linotype"/>
          <w:b/>
          <w:i/>
          <w:sz w:val="22"/>
          <w:szCs w:val="22"/>
        </w:rPr>
        <w:t>cuando las partes</w:t>
      </w:r>
      <w:r w:rsidRPr="00AE3B69">
        <w:rPr>
          <w:rFonts w:ascii="Palatino Linotype" w:eastAsia="Palatino Linotype" w:hAnsi="Palatino Linotype" w:cs="Palatino Linotype"/>
          <w:i/>
          <w:sz w:val="22"/>
          <w:szCs w:val="22"/>
        </w:rPr>
        <w:t xml:space="preserve"> o los actos administrativos sean iguales, se trate de actos conexos o </w:t>
      </w:r>
      <w:r w:rsidRPr="00AE3B69">
        <w:rPr>
          <w:rFonts w:ascii="Palatino Linotype" w:eastAsia="Palatino Linotype" w:hAnsi="Palatino Linotype" w:cs="Palatino Linotype"/>
          <w:b/>
          <w:i/>
          <w:sz w:val="22"/>
          <w:szCs w:val="22"/>
        </w:rPr>
        <w:t>resulte conveniente el trámite unificado de los asuntos, para evitar la emisión de resoluciones contradictorias</w:t>
      </w:r>
      <w:r w:rsidRPr="00AE3B69">
        <w:rPr>
          <w:rFonts w:ascii="Palatino Linotype" w:eastAsia="Palatino Linotype" w:hAnsi="Palatino Linotype" w:cs="Palatino Linotype"/>
          <w:i/>
          <w:sz w:val="22"/>
          <w:szCs w:val="22"/>
        </w:rPr>
        <w:t>. La misma regla se aplicará, en lo conducente, para la separación de los expedientes.”</w:t>
      </w:r>
    </w:p>
    <w:p w14:paraId="134B8759" w14:textId="77777777" w:rsidR="00155155" w:rsidRPr="00AE3B69" w:rsidRDefault="00E020DD">
      <w:pPr>
        <w:widowControl w:val="0"/>
        <w:spacing w:before="120" w:after="120"/>
        <w:ind w:left="851" w:right="902"/>
        <w:jc w:val="both"/>
        <w:rPr>
          <w:rFonts w:ascii="Palatino Linotype" w:eastAsia="Palatino Linotype" w:hAnsi="Palatino Linotype" w:cs="Palatino Linotype"/>
          <w:b/>
          <w:i/>
          <w:sz w:val="22"/>
          <w:szCs w:val="22"/>
        </w:rPr>
      </w:pPr>
      <w:r w:rsidRPr="00AE3B69">
        <w:rPr>
          <w:rFonts w:ascii="Palatino Linotype" w:eastAsia="Palatino Linotype" w:hAnsi="Palatino Linotype" w:cs="Palatino Linotype"/>
          <w:b/>
          <w:i/>
          <w:sz w:val="22"/>
          <w:szCs w:val="22"/>
        </w:rPr>
        <w:t>Ley de Transparencia y Acceso a la Información Pública del Estado de México y Municipios</w:t>
      </w:r>
    </w:p>
    <w:p w14:paraId="5394187A" w14:textId="77777777" w:rsidR="00155155" w:rsidRPr="00AE3B69" w:rsidRDefault="00E020DD">
      <w:pPr>
        <w:widowControl w:val="0"/>
        <w:spacing w:before="120" w:after="120"/>
        <w:ind w:left="851" w:right="902"/>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b/>
          <w:i/>
          <w:sz w:val="22"/>
          <w:szCs w:val="22"/>
        </w:rPr>
        <w:t>“Artículo 195.-</w:t>
      </w:r>
      <w:r w:rsidRPr="00AE3B69">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737BF488" w14:textId="77777777" w:rsidR="00155155" w:rsidRPr="00AE3B69" w:rsidRDefault="00E020DD">
      <w:pPr>
        <w:spacing w:before="240" w:after="240" w:line="360" w:lineRule="auto"/>
        <w:jc w:val="both"/>
        <w:rPr>
          <w:rFonts w:ascii="Palatino Linotype" w:eastAsia="Palatino Linotype" w:hAnsi="Palatino Linotype" w:cs="Palatino Linotype"/>
        </w:rPr>
      </w:pPr>
      <w:bookmarkStart w:id="2" w:name="_heading=h.4d34og8" w:colFirst="0" w:colLast="0"/>
      <w:bookmarkEnd w:id="2"/>
      <w:r w:rsidRPr="00AE3B69">
        <w:rPr>
          <w:rFonts w:ascii="Palatino Linotype" w:eastAsia="Palatino Linotype" w:hAnsi="Palatino Linotype" w:cs="Palatino Linotype"/>
          <w:b/>
        </w:rPr>
        <w:t>7. Manifestaciones</w:t>
      </w:r>
      <w:r w:rsidRPr="00AE3B69">
        <w:rPr>
          <w:rFonts w:ascii="Palatino Linotype" w:eastAsia="Palatino Linotype" w:hAnsi="Palatino Linotype" w:cs="Palatino Linotype"/>
        </w:rPr>
        <w:t>.</w:t>
      </w:r>
      <w:r w:rsidRPr="00AE3B69">
        <w:rPr>
          <w:rFonts w:ascii="Palatino Linotype" w:eastAsia="Palatino Linotype" w:hAnsi="Palatino Linotype" w:cs="Palatino Linotype"/>
          <w:sz w:val="28"/>
          <w:szCs w:val="28"/>
        </w:rPr>
        <w:t xml:space="preserve"> </w:t>
      </w:r>
      <w:r w:rsidRPr="00AE3B69">
        <w:rPr>
          <w:rFonts w:ascii="Palatino Linotype" w:eastAsia="Palatino Linotype" w:hAnsi="Palatino Linotype" w:cs="Palatino Linotype"/>
        </w:rPr>
        <w:t xml:space="preserve">En fechas </w:t>
      </w:r>
      <w:r w:rsidRPr="00AE3B69">
        <w:rPr>
          <w:rFonts w:ascii="Palatino Linotype" w:eastAsia="Palatino Linotype" w:hAnsi="Palatino Linotype" w:cs="Palatino Linotype"/>
          <w:b/>
        </w:rPr>
        <w:t xml:space="preserve">veintidós y veintitrés de marzo de dos mil veintidós, </w:t>
      </w:r>
      <w:r w:rsidRPr="00AE3B69">
        <w:rPr>
          <w:rFonts w:ascii="Palatino Linotype" w:eastAsia="Palatino Linotype" w:hAnsi="Palatino Linotype" w:cs="Palatino Linotype"/>
        </w:rPr>
        <w:t xml:space="preserve">el </w:t>
      </w:r>
      <w:r w:rsidRPr="00AE3B69">
        <w:rPr>
          <w:rFonts w:ascii="Palatino Linotype" w:eastAsia="Palatino Linotype" w:hAnsi="Palatino Linotype" w:cs="Palatino Linotype"/>
          <w:b/>
        </w:rPr>
        <w:t xml:space="preserve">Sujeto Obligado </w:t>
      </w:r>
      <w:r w:rsidRPr="00AE3B69">
        <w:rPr>
          <w:rFonts w:ascii="Palatino Linotype" w:eastAsia="Palatino Linotype" w:hAnsi="Palatino Linotype" w:cs="Palatino Linotype"/>
        </w:rPr>
        <w:t xml:space="preserve">remitió, a través del SAIMEX, su informe justificado mediante el cual hace del conocimiento del particular el pronunciamiento vertido por el Jefe </w:t>
      </w:r>
      <w:r w:rsidRPr="00AE3B69">
        <w:rPr>
          <w:rFonts w:ascii="Palatino Linotype" w:eastAsia="Palatino Linotype" w:hAnsi="Palatino Linotype" w:cs="Palatino Linotype"/>
        </w:rPr>
        <w:lastRenderedPageBreak/>
        <w:t>de Departamento de Inspecciones y el Subdirector Comercial, quienes agregan el listado de revisiones de medidores y dictámenes de Laboratorio relacionados por año, mes y zona, de acuerdo con la información generada, asimismo, informan que no se cuenta con la información en detalle “tipo doméstico y no doméstico” dentro del Sistema Comercial ALT, por lo que para realizarlo se tendría que generar un documento ad hoc, el cual no están obligados a realizar de conformidad con el artículo 12 de la Ley de Transparencia y Acceso a la Información Pública del Estado de México y Municipios.</w:t>
      </w:r>
    </w:p>
    <w:p w14:paraId="7560FB0A"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Asimismo, anexó la relación de revisiones de medidor, los dictámenes de laboratorio, y las inspecciones realizadas de enero de 2019 a febrero de 2022, separado por año, mes, y zona.</w:t>
      </w:r>
    </w:p>
    <w:p w14:paraId="248BB5BB"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8. Ampliación del término para resolver</w:t>
      </w:r>
      <w:r w:rsidRPr="00AE3B69">
        <w:rPr>
          <w:rFonts w:ascii="Palatino Linotype" w:eastAsia="Palatino Linotype" w:hAnsi="Palatino Linotype" w:cs="Palatino Linotype"/>
        </w:rPr>
        <w:t xml:space="preserve">. En fecha </w:t>
      </w:r>
      <w:r w:rsidRPr="00AE3B69">
        <w:rPr>
          <w:rFonts w:ascii="Palatino Linotype" w:eastAsia="Palatino Linotype" w:hAnsi="Palatino Linotype" w:cs="Palatino Linotype"/>
          <w:b/>
        </w:rPr>
        <w:t>trece de mayo de dos mil veintidós</w:t>
      </w:r>
      <w:r w:rsidRPr="00AE3B69">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1EC78D98"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w:t>
      </w:r>
      <w:r w:rsidRPr="00AE3B69">
        <w:rPr>
          <w:rFonts w:ascii="Palatino Linotype" w:eastAsia="Palatino Linotype" w:hAnsi="Palatino Linotype" w:cs="Palatino Linotype"/>
        </w:rPr>
        <w:lastRenderedPageBreak/>
        <w:t>ha incrementado aproximadamente un 400%, circunstancia atípica que ha rebasado las capacidades técnicas y humanas del personal encargado de la proyección de las resoluciones a dichos medios de impugnación.</w:t>
      </w:r>
    </w:p>
    <w:p w14:paraId="6D941253"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DE6DBE1"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107431"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464B14" w14:textId="77777777" w:rsidR="00155155" w:rsidRPr="00AE3B69" w:rsidRDefault="00155155" w:rsidP="00E020DD">
      <w:pPr>
        <w:spacing w:before="240" w:after="240" w:line="360" w:lineRule="auto"/>
        <w:jc w:val="both"/>
        <w:rPr>
          <w:rFonts w:ascii="Palatino Linotype" w:eastAsia="Palatino Linotype" w:hAnsi="Palatino Linotype" w:cs="Palatino Linotype"/>
        </w:rPr>
      </w:pPr>
    </w:p>
    <w:p w14:paraId="17BAF87D" w14:textId="77777777" w:rsidR="00155155" w:rsidRPr="00AE3B69" w:rsidRDefault="00E020DD" w:rsidP="00E020DD">
      <w:pPr>
        <w:spacing w:before="240" w:after="240" w:line="360" w:lineRule="auto"/>
        <w:jc w:val="both"/>
        <w:rPr>
          <w:rFonts w:ascii="Palatino Linotype" w:eastAsia="Palatino Linotype" w:hAnsi="Palatino Linotype" w:cs="Palatino Linotype"/>
          <w:strike/>
        </w:rPr>
      </w:pPr>
      <w:r w:rsidRPr="00AE3B69">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398DB36" w14:textId="77777777" w:rsidR="00155155" w:rsidRPr="00AE3B69" w:rsidRDefault="00E020DD" w:rsidP="00E020DD">
      <w:pPr>
        <w:numPr>
          <w:ilvl w:val="0"/>
          <w:numId w:val="1"/>
        </w:num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285B3E4" w14:textId="77777777" w:rsidR="00155155" w:rsidRPr="00AE3B69" w:rsidRDefault="00E020DD" w:rsidP="00E020DD">
      <w:pPr>
        <w:numPr>
          <w:ilvl w:val="0"/>
          <w:numId w:val="1"/>
        </w:num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Actividad Procesal del interesado. Acciones u omisiones del interesado.</w:t>
      </w:r>
    </w:p>
    <w:p w14:paraId="29CCE1FB" w14:textId="77777777" w:rsidR="00155155" w:rsidRPr="00AE3B69" w:rsidRDefault="00E020DD" w:rsidP="00E020DD">
      <w:pPr>
        <w:numPr>
          <w:ilvl w:val="0"/>
          <w:numId w:val="1"/>
        </w:num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Conducta de la Autoridad: Las Acciones u omisiones realizadas en el procedimiento. Así como si la autoridad actuó con la debida diligencia.</w:t>
      </w:r>
    </w:p>
    <w:p w14:paraId="6AF89384" w14:textId="77777777" w:rsidR="00155155" w:rsidRPr="00AE3B69" w:rsidRDefault="00E020DD" w:rsidP="00E020DD">
      <w:pPr>
        <w:spacing w:before="240" w:after="240" w:line="360" w:lineRule="auto"/>
        <w:ind w:left="567"/>
        <w:jc w:val="both"/>
        <w:rPr>
          <w:rFonts w:ascii="Palatino Linotype" w:eastAsia="Palatino Linotype" w:hAnsi="Palatino Linotype" w:cs="Palatino Linotype"/>
        </w:rPr>
      </w:pPr>
      <w:r w:rsidRPr="00AE3B69">
        <w:rPr>
          <w:rFonts w:ascii="Palatino Linotype" w:eastAsia="Palatino Linotype" w:hAnsi="Palatino Linotype" w:cs="Palatino Linotype"/>
        </w:rPr>
        <w:t>d) La afectación generada en la situación jurídica de la persona involucrada en el proceso: Violación a sus derechos humanos.</w:t>
      </w:r>
    </w:p>
    <w:p w14:paraId="00559AC4"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D58677" w14:textId="77777777" w:rsidR="00155155" w:rsidRPr="00AE3B69" w:rsidRDefault="00E020DD" w:rsidP="00E020DD">
      <w:pPr>
        <w:spacing w:before="240" w:after="240" w:line="360" w:lineRule="auto"/>
        <w:jc w:val="both"/>
        <w:rPr>
          <w:rFonts w:ascii="Palatino Linotype" w:eastAsia="Palatino Linotype" w:hAnsi="Palatino Linotype" w:cs="Palatino Linotype"/>
          <w:b/>
        </w:rPr>
      </w:pPr>
      <w:r w:rsidRPr="00AE3B69">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AE3B6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E3B69">
        <w:rPr>
          <w:rFonts w:ascii="Palatino Linotype" w:eastAsia="Palatino Linotype" w:hAnsi="Palatino Linotype" w:cs="Palatino Linotype"/>
        </w:rPr>
        <w:t>, visible en la Gaceta del Seminario Judicial de la Federación con el registro digital 205635.</w:t>
      </w:r>
    </w:p>
    <w:p w14:paraId="68B824BF"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5E180D"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A9D8571"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 xml:space="preserve"> </w:t>
      </w:r>
      <w:r w:rsidRPr="00AE3B69">
        <w:rPr>
          <w:rFonts w:ascii="Palatino Linotype" w:eastAsia="Palatino Linotype" w:hAnsi="Palatino Linotype" w:cs="Palatino Linotype"/>
          <w:i/>
        </w:rPr>
        <w:t>“PLAZO RAZONABLE PARA RESOLVER. DIMENSIÓN Y EFECTOS DE ESTE CONCEPTO CUANDO SE ADUCE EXCESIVA CARGA DE TRABAJO.”</w:t>
      </w:r>
      <w:r w:rsidRPr="00AE3B69">
        <w:rPr>
          <w:rFonts w:ascii="Palatino Linotype" w:eastAsia="Palatino Linotype" w:hAnsi="Palatino Linotype" w:cs="Palatino Linotype"/>
        </w:rPr>
        <w:t xml:space="preserve"> consultable en el Seminario Judicial de la Federación y su gaceta, con el registro digital 2002351.</w:t>
      </w:r>
    </w:p>
    <w:p w14:paraId="37480E49"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i/>
        </w:rPr>
        <w:t>“PLAZO RAZONABLE PARA RESOLVER. CONCEPTO Y ELEMENTOS QUE LO INTEGRAN A LA LUZ DEL DERECHO INTERNACIONAL DE LOS DERECHOS HUMANOS.”</w:t>
      </w:r>
      <w:r w:rsidRPr="00AE3B69">
        <w:rPr>
          <w:rFonts w:ascii="Palatino Linotype" w:eastAsia="Palatino Linotype" w:hAnsi="Palatino Linotype" w:cs="Palatino Linotype"/>
        </w:rPr>
        <w:t>, visible en el Seminario Judicial de la Federación y su gaceta, con el registro digital 2002350.</w:t>
      </w:r>
    </w:p>
    <w:p w14:paraId="03A19DC2" w14:textId="77777777" w:rsidR="00155155" w:rsidRPr="00AE3B69" w:rsidRDefault="00E020DD" w:rsidP="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921870D" w14:textId="77777777" w:rsidR="00155155" w:rsidRPr="00AE3B69" w:rsidRDefault="00E020DD">
      <w:pPr>
        <w:spacing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9.</w:t>
      </w:r>
      <w:r w:rsidRPr="00AE3B69">
        <w:rPr>
          <w:rFonts w:ascii="Palatino Linotype" w:eastAsia="Palatino Linotype" w:hAnsi="Palatino Linotype" w:cs="Palatino Linotype"/>
        </w:rPr>
        <w:t xml:space="preserve"> </w:t>
      </w:r>
      <w:r w:rsidRPr="00AE3B69">
        <w:rPr>
          <w:rFonts w:ascii="Palatino Linotype" w:eastAsia="Palatino Linotype" w:hAnsi="Palatino Linotype" w:cs="Palatino Linotype"/>
          <w:b/>
        </w:rPr>
        <w:t xml:space="preserve">Cierre de instrucción. </w:t>
      </w:r>
      <w:r w:rsidRPr="00AE3B69">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Pr="00AE3B69">
        <w:rPr>
          <w:rFonts w:ascii="Palatino Linotype" w:eastAsia="Palatino Linotype" w:hAnsi="Palatino Linotype" w:cs="Palatino Linotype"/>
          <w:b/>
        </w:rPr>
        <w:t>diez de junio de dos mil veintidós,</w:t>
      </w:r>
      <w:r w:rsidRPr="00AE3B69">
        <w:rPr>
          <w:rFonts w:ascii="Palatino Linotype" w:eastAsia="Palatino Linotype" w:hAnsi="Palatino Linotype" w:cs="Palatino Linotype"/>
        </w:rPr>
        <w:t xml:space="preserve"> se determinó el cierre de instrucción en términos de la fracción VI del artículo 185 de la Ley de Transparencia y Acceso a la Información Pública del Estado de México y Municipios.</w:t>
      </w:r>
    </w:p>
    <w:p w14:paraId="164706EB" w14:textId="77777777" w:rsidR="00155155" w:rsidRPr="00AE3B69" w:rsidRDefault="00E020DD">
      <w:pPr>
        <w:widowControl w:val="0"/>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DE12F53" w14:textId="77777777" w:rsidR="00155155" w:rsidRPr="00AE3B69" w:rsidRDefault="00155155">
      <w:pPr>
        <w:widowControl w:val="0"/>
        <w:spacing w:before="240" w:after="240" w:line="360" w:lineRule="auto"/>
        <w:jc w:val="both"/>
        <w:rPr>
          <w:rFonts w:ascii="Palatino Linotype" w:eastAsia="Palatino Linotype" w:hAnsi="Palatino Linotype" w:cs="Palatino Linotype"/>
        </w:rPr>
      </w:pPr>
    </w:p>
    <w:p w14:paraId="02E167B6" w14:textId="77777777" w:rsidR="00155155" w:rsidRPr="00AE3B69" w:rsidRDefault="00155155">
      <w:pPr>
        <w:widowControl w:val="0"/>
        <w:spacing w:before="240" w:after="240" w:line="360" w:lineRule="auto"/>
        <w:jc w:val="both"/>
        <w:rPr>
          <w:rFonts w:ascii="Palatino Linotype" w:eastAsia="Palatino Linotype" w:hAnsi="Palatino Linotype" w:cs="Palatino Linotype"/>
        </w:rPr>
      </w:pPr>
    </w:p>
    <w:p w14:paraId="1C545B74" w14:textId="77777777" w:rsidR="00155155" w:rsidRPr="00AE3B69" w:rsidRDefault="00E020DD">
      <w:pPr>
        <w:widowControl w:val="0"/>
        <w:spacing w:before="240" w:after="240" w:line="360" w:lineRule="auto"/>
        <w:jc w:val="center"/>
        <w:rPr>
          <w:rFonts w:ascii="Palatino Linotype" w:eastAsia="Palatino Linotype" w:hAnsi="Palatino Linotype" w:cs="Palatino Linotype"/>
          <w:b/>
        </w:rPr>
      </w:pPr>
      <w:r w:rsidRPr="00AE3B69">
        <w:rPr>
          <w:rFonts w:ascii="Palatino Linotype" w:eastAsia="Palatino Linotype" w:hAnsi="Palatino Linotype" w:cs="Palatino Linotype"/>
          <w:b/>
        </w:rPr>
        <w:t>II. C O N S I D E R A N D O S</w:t>
      </w:r>
    </w:p>
    <w:p w14:paraId="6B453CAB"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Primero. Competencia.</w:t>
      </w:r>
      <w:r w:rsidRPr="00AE3B6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A35608F" w14:textId="77777777" w:rsidR="00155155" w:rsidRPr="00AE3B69" w:rsidRDefault="00E020DD">
      <w:pPr>
        <w:spacing w:before="240" w:after="240" w:line="360" w:lineRule="auto"/>
        <w:jc w:val="both"/>
        <w:rPr>
          <w:rFonts w:ascii="Palatino Linotype" w:eastAsia="Palatino Linotype" w:hAnsi="Palatino Linotype" w:cs="Palatino Linotype"/>
        </w:rPr>
      </w:pPr>
      <w:bookmarkStart w:id="3" w:name="_heading=h.30j0zll" w:colFirst="0" w:colLast="0"/>
      <w:bookmarkEnd w:id="3"/>
      <w:r w:rsidRPr="00AE3B69">
        <w:rPr>
          <w:rFonts w:ascii="Palatino Linotype" w:eastAsia="Palatino Linotype" w:hAnsi="Palatino Linotype" w:cs="Palatino Linotype"/>
          <w:b/>
        </w:rPr>
        <w:t>Segundo. Oportunidad y Procedibilidad de los Recursos de Revisión</w:t>
      </w:r>
      <w:r w:rsidRPr="00AE3B69">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CC63247"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 xml:space="preserve">Los recursos de revisión fueron interpuestos dentro del plazo de quince días hábiles, previstos en el artículo 178 de la Ley de Transparencia y Acceso a la Información Pública del Estado de México y Municipios, toda vez que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remitió las respuestas a las solicitudes de información los días </w:t>
      </w:r>
      <w:r w:rsidRPr="00AE3B69">
        <w:rPr>
          <w:rFonts w:ascii="Palatino Linotype" w:eastAsia="Palatino Linotype" w:hAnsi="Palatino Linotype" w:cs="Palatino Linotype"/>
          <w:b/>
        </w:rPr>
        <w:t xml:space="preserve">uno de marzo de dos mil veintidós, </w:t>
      </w:r>
      <w:r w:rsidRPr="00AE3B69">
        <w:rPr>
          <w:rFonts w:ascii="Palatino Linotype" w:eastAsia="Palatino Linotype" w:hAnsi="Palatino Linotype" w:cs="Palatino Linotype"/>
        </w:rPr>
        <w:t xml:space="preserve">mientras que los recursos de revisión interpuestos por la parte recurrente, se tuvieron por presentados el día </w:t>
      </w:r>
      <w:r w:rsidRPr="00AE3B69">
        <w:rPr>
          <w:rFonts w:ascii="Palatino Linotype" w:eastAsia="Palatino Linotype" w:hAnsi="Palatino Linotype" w:cs="Palatino Linotype"/>
          <w:b/>
        </w:rPr>
        <w:t xml:space="preserve"> siete de marzo de dos mil veintidós</w:t>
      </w:r>
      <w:r w:rsidRPr="00AE3B69">
        <w:rPr>
          <w:rFonts w:ascii="Palatino Linotype" w:eastAsia="Palatino Linotype" w:hAnsi="Palatino Linotype" w:cs="Palatino Linotype"/>
        </w:rPr>
        <w:t>, esto es, el cuarto día hábil posterior en que tuvo conocimiento de la respuesta impugnada, en cada uno de las solicitudes de información.</w:t>
      </w:r>
    </w:p>
    <w:p w14:paraId="6A83AFF2" w14:textId="77777777" w:rsidR="00155155" w:rsidRPr="00AE3B69" w:rsidRDefault="00E020DD">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AE3B69">
        <w:rPr>
          <w:rFonts w:ascii="Palatino Linotype" w:eastAsia="Palatino Linotype" w:hAnsi="Palatino Linotype" w:cs="Palatino Linotype"/>
        </w:rPr>
        <w:t xml:space="preserve">En este sentido, al considerar las fechas en que se formularon las solicitudes y la fecha en que respondió a estas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así como la fecha en que se interpusieron los recursos de revisión, se concluye que el presente recurso de revisión se encuentra dentro de los márgenes temporales previstos las disposiciones legales referidas.</w:t>
      </w:r>
    </w:p>
    <w:p w14:paraId="5901D52B"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65BAEEF"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Finalmente, se advierte que resulta procedente la interposición de los recursos, según lo manifestado por el recurrente en sus motivos de inconformidad, de acuerdo al artículo 179, fracción V del ordenamiento legal citado, que a la letra dice: </w:t>
      </w:r>
    </w:p>
    <w:p w14:paraId="7652D845" w14:textId="77777777" w:rsidR="00155155" w:rsidRPr="00AE3B69" w:rsidRDefault="00E020DD">
      <w:pPr>
        <w:spacing w:before="120" w:after="120"/>
        <w:ind w:left="851" w:right="902"/>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i/>
          <w:sz w:val="22"/>
          <w:szCs w:val="22"/>
        </w:rPr>
        <w:t>“</w:t>
      </w:r>
      <w:r w:rsidRPr="00AE3B69">
        <w:rPr>
          <w:rFonts w:ascii="Palatino Linotype" w:eastAsia="Palatino Linotype" w:hAnsi="Palatino Linotype" w:cs="Palatino Linotype"/>
          <w:b/>
          <w:i/>
          <w:sz w:val="22"/>
          <w:szCs w:val="22"/>
        </w:rPr>
        <w:t>Artículo 179.</w:t>
      </w:r>
      <w:r w:rsidRPr="00AE3B6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33FB9EA" w14:textId="77777777" w:rsidR="00155155" w:rsidRPr="00AE3B69" w:rsidRDefault="00E020DD">
      <w:pPr>
        <w:spacing w:before="120" w:after="120"/>
        <w:ind w:left="1134" w:right="902"/>
        <w:jc w:val="both"/>
        <w:rPr>
          <w:rFonts w:ascii="Palatino Linotype" w:eastAsia="Palatino Linotype" w:hAnsi="Palatino Linotype" w:cs="Palatino Linotype"/>
          <w:b/>
          <w:i/>
          <w:sz w:val="22"/>
          <w:szCs w:val="22"/>
        </w:rPr>
      </w:pPr>
      <w:r w:rsidRPr="00AE3B69">
        <w:rPr>
          <w:rFonts w:ascii="Palatino Linotype" w:eastAsia="Palatino Linotype" w:hAnsi="Palatino Linotype" w:cs="Palatino Linotype"/>
          <w:b/>
          <w:i/>
          <w:sz w:val="22"/>
          <w:szCs w:val="22"/>
        </w:rPr>
        <w:t>...</w:t>
      </w:r>
    </w:p>
    <w:p w14:paraId="1ECC20C0" w14:textId="77777777" w:rsidR="00155155" w:rsidRPr="00AE3B69" w:rsidRDefault="00E020DD">
      <w:pPr>
        <w:spacing w:before="120" w:after="120"/>
        <w:ind w:left="1134" w:right="902"/>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b/>
          <w:i/>
          <w:sz w:val="22"/>
          <w:szCs w:val="22"/>
        </w:rPr>
        <w:t>V.</w:t>
      </w:r>
      <w:r w:rsidRPr="00AE3B69">
        <w:rPr>
          <w:rFonts w:ascii="Palatino Linotype" w:eastAsia="Palatino Linotype" w:hAnsi="Palatino Linotype" w:cs="Palatino Linotype"/>
          <w:i/>
          <w:sz w:val="22"/>
          <w:szCs w:val="22"/>
        </w:rPr>
        <w:t xml:space="preserve"> La entrega de información incompleta</w:t>
      </w:r>
      <w:r w:rsidRPr="00AE3B69">
        <w:rPr>
          <w:rFonts w:ascii="Palatino Linotype" w:eastAsia="Palatino Linotype" w:hAnsi="Palatino Linotype" w:cs="Palatino Linotype"/>
          <w:b/>
          <w:i/>
          <w:sz w:val="22"/>
          <w:szCs w:val="22"/>
        </w:rPr>
        <w:t>;</w:t>
      </w:r>
      <w:r w:rsidRPr="00AE3B69">
        <w:rPr>
          <w:rFonts w:ascii="Palatino Linotype" w:eastAsia="Palatino Linotype" w:hAnsi="Palatino Linotype" w:cs="Palatino Linotype"/>
          <w:i/>
          <w:sz w:val="22"/>
          <w:szCs w:val="22"/>
        </w:rPr>
        <w:t>”</w:t>
      </w:r>
    </w:p>
    <w:p w14:paraId="181117F4" w14:textId="77777777" w:rsidR="00155155" w:rsidRPr="00AE3B69" w:rsidRDefault="00E020DD">
      <w:pPr>
        <w:spacing w:before="240" w:after="240" w:line="360" w:lineRule="auto"/>
        <w:ind w:right="51"/>
        <w:jc w:val="both"/>
        <w:rPr>
          <w:rFonts w:ascii="Palatino Linotype" w:eastAsia="Palatino Linotype" w:hAnsi="Palatino Linotype" w:cs="Palatino Linotype"/>
        </w:rPr>
      </w:pPr>
      <w:r w:rsidRPr="00AE3B69">
        <w:rPr>
          <w:rFonts w:ascii="Palatino Linotype" w:eastAsia="Palatino Linotype" w:hAnsi="Palatino Linotype" w:cs="Palatino Linotype"/>
          <w:b/>
        </w:rPr>
        <w:t>Tercero. Análisis de las causales de sobreseimiento del recurso de revisión.</w:t>
      </w:r>
      <w:r w:rsidRPr="00AE3B69">
        <w:rPr>
          <w:rFonts w:ascii="Palatino Linotype" w:eastAsia="Palatino Linotype" w:hAnsi="Palatino Linotype" w:cs="Palatino Linotype"/>
        </w:rPr>
        <w:t xml:space="preserve"> De manera preliminar en el caso concreto conviene analizar si se actualiza alguna de las causales de sobreseimiento del recurso de revisión, derivado del contenido de lo entregado por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como parte de sus manifestaciones.</w:t>
      </w:r>
    </w:p>
    <w:p w14:paraId="62D0B9F0" w14:textId="77777777" w:rsidR="00155155" w:rsidRPr="00AE3B69" w:rsidRDefault="00E020DD">
      <w:pPr>
        <w:spacing w:before="240" w:after="240" w:line="360" w:lineRule="auto"/>
        <w:ind w:right="51"/>
        <w:jc w:val="both"/>
        <w:rPr>
          <w:rFonts w:ascii="Palatino Linotype" w:eastAsia="Palatino Linotype" w:hAnsi="Palatino Linotype" w:cs="Palatino Linotype"/>
        </w:rPr>
      </w:pPr>
      <w:r w:rsidRPr="00AE3B69">
        <w:rPr>
          <w:rFonts w:ascii="Palatino Linotype" w:eastAsia="Palatino Linotype" w:hAnsi="Palatino Linotype" w:cs="Palatino Linotype"/>
        </w:rPr>
        <w:t>Del análisis de las solicitudes de información motivo de los recursos de revisión que ahora se resuelven, se advierte que la persona solicitante requirió se le proporcione información consistente en lo siguiente:</w:t>
      </w:r>
    </w:p>
    <w:p w14:paraId="7C7A2545" w14:textId="77777777" w:rsidR="00155155" w:rsidRPr="00AE3B69" w:rsidRDefault="00E020DD">
      <w:pPr>
        <w:tabs>
          <w:tab w:val="left" w:pos="1134"/>
        </w:tabs>
        <w:spacing w:before="240" w:after="240" w:line="360" w:lineRule="auto"/>
        <w:ind w:right="51"/>
        <w:jc w:val="both"/>
        <w:rPr>
          <w:rFonts w:ascii="Palatino Linotype" w:eastAsia="Palatino Linotype" w:hAnsi="Palatino Linotype" w:cs="Palatino Linotype"/>
        </w:rPr>
      </w:pPr>
      <w:r w:rsidRPr="00AE3B69">
        <w:rPr>
          <w:rFonts w:ascii="Palatino Linotype" w:eastAsia="Palatino Linotype" w:hAnsi="Palatino Linotype" w:cs="Palatino Linotype"/>
        </w:rPr>
        <w:t>De los meses de enero, febrero, marzo, abril, mayo, junio, julio, agosto, septiembre, octubre, noviembre y diciembre de 2019, 2020 y 2021, y enero y febrero de 2022:</w:t>
      </w:r>
    </w:p>
    <w:p w14:paraId="74F4B648" w14:textId="77777777" w:rsidR="00155155" w:rsidRPr="00AE3B69" w:rsidRDefault="00E020DD">
      <w:pPr>
        <w:numPr>
          <w:ilvl w:val="0"/>
          <w:numId w:val="2"/>
        </w:numPr>
        <w:pBdr>
          <w:top w:val="nil"/>
          <w:left w:val="nil"/>
          <w:bottom w:val="nil"/>
          <w:right w:val="nil"/>
          <w:between w:val="nil"/>
        </w:pBdr>
        <w:spacing w:before="240" w:line="360" w:lineRule="auto"/>
        <w:ind w:right="49"/>
        <w:jc w:val="both"/>
        <w:rPr>
          <w:rFonts w:ascii="Palatino Linotype" w:eastAsia="Palatino Linotype" w:hAnsi="Palatino Linotype" w:cs="Palatino Linotype"/>
        </w:rPr>
      </w:pPr>
      <w:bookmarkStart w:id="5" w:name="_heading=h.3znysh7" w:colFirst="0" w:colLast="0"/>
      <w:bookmarkEnd w:id="5"/>
      <w:r w:rsidRPr="00AE3B69">
        <w:rPr>
          <w:rFonts w:ascii="Palatino Linotype" w:eastAsia="Palatino Linotype" w:hAnsi="Palatino Linotype" w:cs="Palatino Linotype"/>
        </w:rPr>
        <w:t xml:space="preserve">Total de inspecciones realizadas en cantidad a inmuebles domésticos y no domésticos, separado por cada una de las zonas que maneja el OPDM, </w:t>
      </w:r>
    </w:p>
    <w:p w14:paraId="6B01EFD9" w14:textId="77777777" w:rsidR="00155155" w:rsidRPr="00AE3B69" w:rsidRDefault="00E020D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Ingresos derivados del pago de las inspecciones señaladas en el punto anterior por mes y por año.</w:t>
      </w:r>
    </w:p>
    <w:p w14:paraId="445B563C" w14:textId="77777777" w:rsidR="00155155" w:rsidRPr="00AE3B69" w:rsidRDefault="00E020D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rPr>
        <w:t>Total de inspecciones realizadas a medidores en cantidad realizadas a cuentas de tipo domésticas y no domésticas.</w:t>
      </w:r>
    </w:p>
    <w:p w14:paraId="7F08261E" w14:textId="77777777" w:rsidR="00155155" w:rsidRPr="00AE3B69" w:rsidRDefault="00E020D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Número de pruebas realizadas a medidores en el laboratorio del OPDM, separado por cada una de las zonas que maneja el OPDM. </w:t>
      </w:r>
    </w:p>
    <w:p w14:paraId="76AB436F" w14:textId="77777777" w:rsidR="00155155" w:rsidRPr="00AE3B69" w:rsidRDefault="00E020DD">
      <w:pPr>
        <w:numPr>
          <w:ilvl w:val="0"/>
          <w:numId w:val="2"/>
        </w:num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rPr>
        <w:t>Ingresos derivados del pago de las inspecciones a medidores señaladas en el punto anterior por mes y por año.</w:t>
      </w:r>
    </w:p>
    <w:p w14:paraId="2346E0F4" w14:textId="77777777" w:rsidR="00155155" w:rsidRPr="00AE3B69" w:rsidRDefault="00E020DD">
      <w:pPr>
        <w:spacing w:before="240" w:after="240"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En respuesta,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a través de la Unidad de Transparencia, hizo del conocimiento de la persona solicitante el pronunciamiento vertido por el Subdirector de Comercialización, quien para atender las solicitudes de información remitió la relación de las inspecciones realizadas por el Departamento de Inspecciones, Ingresos de Inspecciones realizadas por el Departamento de Inspecciones, Revisiones y Laboratorios realizadas por el Departamento de Inspecciones y los Ingresos de revisiones realizadas por el Departamento de Inspecciones, como se muestra a continuación: </w:t>
      </w:r>
    </w:p>
    <w:p w14:paraId="7130AC35" w14:textId="77777777" w:rsidR="00155155" w:rsidRPr="00AE3B69" w:rsidRDefault="00E020DD">
      <w:pPr>
        <w:spacing w:before="240" w:after="240"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noProof/>
          <w:lang w:val="es-MX"/>
        </w:rPr>
        <w:lastRenderedPageBreak/>
        <w:drawing>
          <wp:inline distT="0" distB="0" distL="0" distR="0" wp14:anchorId="679C591D" wp14:editId="741390AA">
            <wp:extent cx="5610225" cy="1362075"/>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10225" cy="1362075"/>
                    </a:xfrm>
                    <a:prstGeom prst="rect">
                      <a:avLst/>
                    </a:prstGeom>
                    <a:ln/>
                  </pic:spPr>
                </pic:pic>
              </a:graphicData>
            </a:graphic>
          </wp:inline>
        </w:drawing>
      </w:r>
      <w:r w:rsidRPr="00AE3B69">
        <w:rPr>
          <w:rFonts w:ascii="Palatino Linotype" w:eastAsia="Palatino Linotype" w:hAnsi="Palatino Linotype" w:cs="Palatino Linotype"/>
        </w:rPr>
        <w:t xml:space="preserve"> </w:t>
      </w:r>
    </w:p>
    <w:p w14:paraId="734B569A" w14:textId="77777777" w:rsidR="00155155" w:rsidRPr="00AE3B69" w:rsidRDefault="00E020DD">
      <w:pPr>
        <w:spacing w:before="240" w:after="240" w:line="360" w:lineRule="auto"/>
        <w:ind w:right="49"/>
        <w:jc w:val="both"/>
        <w:rPr>
          <w:rFonts w:ascii="Palatino Linotype" w:eastAsia="Palatino Linotype" w:hAnsi="Palatino Linotype" w:cs="Palatino Linotype"/>
        </w:rPr>
      </w:pPr>
      <w:r w:rsidRPr="00AE3B69">
        <w:rPr>
          <w:rFonts w:ascii="Palatino Linotype" w:eastAsia="Palatino Linotype" w:hAnsi="Palatino Linotype" w:cs="Palatino Linotype"/>
          <w:noProof/>
          <w:lang w:val="es-MX"/>
        </w:rPr>
        <w:drawing>
          <wp:inline distT="0" distB="0" distL="0" distR="0" wp14:anchorId="2DA1AF83" wp14:editId="2ED701D8">
            <wp:extent cx="5610225" cy="1838325"/>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0225" cy="1838325"/>
                    </a:xfrm>
                    <a:prstGeom prst="rect">
                      <a:avLst/>
                    </a:prstGeom>
                    <a:ln/>
                  </pic:spPr>
                </pic:pic>
              </a:graphicData>
            </a:graphic>
          </wp:inline>
        </w:drawing>
      </w:r>
    </w:p>
    <w:p w14:paraId="2C463AC6" w14:textId="77777777" w:rsidR="00155155" w:rsidRPr="00AE3B69" w:rsidRDefault="00E020DD">
      <w:pPr>
        <w:spacing w:before="240" w:after="240" w:line="360" w:lineRule="auto"/>
        <w:ind w:right="51"/>
        <w:jc w:val="both"/>
        <w:rPr>
          <w:rFonts w:ascii="Palatino Linotype" w:eastAsia="Palatino Linotype" w:hAnsi="Palatino Linotype" w:cs="Palatino Linotype"/>
        </w:rPr>
      </w:pPr>
      <w:r w:rsidRPr="00AE3B69">
        <w:rPr>
          <w:rFonts w:ascii="Palatino Linotype" w:eastAsia="Palatino Linotype" w:hAnsi="Palatino Linotype" w:cs="Palatino Linotype"/>
        </w:rPr>
        <w:t>Al no estar conforme con los términos de la respuesta proporcionada, la persona solicitante interpuso los recursos de revisión que nos ocupan, mediante los cuales señaló como acto impugnado que la información se le proporcionó incompleta, al no haberse proporcionado información del total de inspecciones realizadas en cantidad a inmuebles domésticos y no domésticos, el total de inspecciones realizadas a medidores en cantidad realizadas a cuentas de tipo doméstico y no doméstico, separado por cada una de las zonas que maneja el OPDM.</w:t>
      </w:r>
    </w:p>
    <w:p w14:paraId="1D4975E7"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 xml:space="preserve">No pasa inadvertido para este Organismo Garante que los motivos de inconformidad aducidos, no versan sobre la totalidad de la información proporcionada por el </w:t>
      </w:r>
      <w:r w:rsidRPr="00AE3B69">
        <w:rPr>
          <w:rFonts w:ascii="Palatino Linotype" w:eastAsia="Palatino Linotype" w:hAnsi="Palatino Linotype" w:cs="Palatino Linotype"/>
          <w:b/>
        </w:rPr>
        <w:t xml:space="preserve">Sujeto Obligado, </w:t>
      </w:r>
      <w:r w:rsidRPr="00AE3B69">
        <w:rPr>
          <w:rFonts w:ascii="Palatino Linotype" w:eastAsia="Palatino Linotype" w:hAnsi="Palatino Linotype" w:cs="Palatino Linotype"/>
        </w:rPr>
        <w:t xml:space="preserve">pues 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xml:space="preserve"> manifestó, de manera expresa, que no se le proporcionó la información de la cantidad de inspecciones realizadas a inmuebles domésticos y no domésticos, a medidores de tipo domésticos y no domésticos, separadas por cada una de las zonas que maneja el OPDM.</w:t>
      </w:r>
    </w:p>
    <w:p w14:paraId="263CECB2"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satisface la solicitud presentada.</w:t>
      </w:r>
    </w:p>
    <w:p w14:paraId="0A5130F9" w14:textId="77777777" w:rsidR="00155155" w:rsidRPr="00AE3B69" w:rsidRDefault="00E020DD">
      <w:pPr>
        <w:spacing w:before="240" w:after="36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Lo anterior es así, debido a que cuando 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xml:space="preserve"> impugna la respuesta del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y este no expresa Razón o Motivo de Inconformidad en contra de todos los rubros solicitados, dichos rubros deben declararse atendidos, pues se entiende que la parte Recurrente esta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7D07ECC" w14:textId="77777777" w:rsidR="00155155" w:rsidRPr="00AE3B69" w:rsidRDefault="00E020DD">
      <w:pPr>
        <w:spacing w:before="240" w:after="360"/>
        <w:ind w:left="851" w:right="900"/>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AE3B69">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49D36BE" w14:textId="77777777" w:rsidR="00155155" w:rsidRPr="00AE3B69" w:rsidRDefault="00E020DD">
      <w:pPr>
        <w:spacing w:before="240" w:after="240" w:line="360" w:lineRule="auto"/>
        <w:jc w:val="both"/>
        <w:rPr>
          <w:rFonts w:ascii="Palatino Linotype" w:eastAsia="Palatino Linotype" w:hAnsi="Palatino Linotype" w:cs="Palatino Linotype"/>
        </w:rPr>
      </w:pPr>
      <w:bookmarkStart w:id="6" w:name="_heading=h.2s8eyo1" w:colFirst="0" w:colLast="0"/>
      <w:bookmarkEnd w:id="6"/>
      <w:r w:rsidRPr="00AE3B69">
        <w:rPr>
          <w:rFonts w:ascii="Palatino Linotype" w:eastAsia="Palatino Linotype" w:hAnsi="Palatino Linotype" w:cs="Palatino Linotype"/>
        </w:rPr>
        <w:t>Consecuentemente, se insiste, ante la falta de impugnación eficaz, la respuesta entregada debe declararse consentida por el particular.</w:t>
      </w:r>
    </w:p>
    <w:p w14:paraId="5E4A00AC"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5808A4AB" w14:textId="77777777" w:rsidR="00155155" w:rsidRPr="00AE3B69" w:rsidRDefault="00E020DD">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i/>
          <w:sz w:val="22"/>
          <w:szCs w:val="22"/>
        </w:rPr>
        <w:t>“</w:t>
      </w:r>
      <w:r w:rsidRPr="00AE3B69">
        <w:rPr>
          <w:rFonts w:ascii="Palatino Linotype" w:eastAsia="Palatino Linotype" w:hAnsi="Palatino Linotype" w:cs="Palatino Linotype"/>
          <w:b/>
          <w:i/>
          <w:sz w:val="22"/>
          <w:szCs w:val="22"/>
        </w:rPr>
        <w:t xml:space="preserve">Actos consentidos tácitamente. Improcedencia de su análisis. </w:t>
      </w:r>
      <w:r w:rsidRPr="00AE3B69">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EA21A52"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0BD8B2B4" w14:textId="77777777" w:rsidR="00155155" w:rsidRPr="00AE3B69" w:rsidRDefault="00E020DD">
      <w:pPr>
        <w:ind w:left="851" w:right="900"/>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b/>
          <w:i/>
          <w:smallCaps/>
          <w:sz w:val="22"/>
          <w:szCs w:val="22"/>
        </w:rPr>
        <w:t xml:space="preserve">“ACTOS CONSENTIDOS. SON LOS QUE NO SE IMPUGNAN MEDIANTE EL RECURSO IDÓNEO. </w:t>
      </w:r>
      <w:r w:rsidRPr="00AE3B69">
        <w:rPr>
          <w:rFonts w:ascii="Palatino Linotype" w:eastAsia="Palatino Linotype" w:hAnsi="Palatino Linotype" w:cs="Palatino Linotype"/>
          <w:i/>
          <w:sz w:val="22"/>
          <w:szCs w:val="22"/>
        </w:rPr>
        <w:t xml:space="preserve">Debe reputarse como consentido el acto </w:t>
      </w:r>
      <w:r w:rsidRPr="00AE3B69">
        <w:rPr>
          <w:rFonts w:ascii="Palatino Linotype" w:eastAsia="Palatino Linotype" w:hAnsi="Palatino Linotype" w:cs="Palatino Linotype"/>
          <w:i/>
          <w:sz w:val="22"/>
          <w:szCs w:val="22"/>
        </w:rPr>
        <w:lastRenderedPageBreak/>
        <w:t>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34C60FC" w14:textId="77777777" w:rsidR="00155155" w:rsidRPr="00AE3B69" w:rsidRDefault="00E020DD">
      <w:pPr>
        <w:spacing w:before="240" w:after="240" w:line="360" w:lineRule="auto"/>
        <w:ind w:right="51"/>
        <w:jc w:val="both"/>
        <w:rPr>
          <w:rFonts w:ascii="Palatino Linotype" w:eastAsia="Palatino Linotype" w:hAnsi="Palatino Linotype" w:cs="Palatino Linotype"/>
        </w:rPr>
      </w:pPr>
      <w:r w:rsidRPr="00AE3B69">
        <w:rPr>
          <w:rFonts w:ascii="Palatino Linotype" w:eastAsia="Palatino Linotype" w:hAnsi="Palatino Linotype" w:cs="Palatino Linotype"/>
        </w:rPr>
        <w:t>Una vez admitidos los presentes recursos de revisión, en términos del artículo 185 fracción II</w:t>
      </w:r>
      <w:r w:rsidRPr="00AE3B69">
        <w:rPr>
          <w:rFonts w:ascii="Palatino Linotype" w:eastAsia="Palatino Linotype" w:hAnsi="Palatino Linotype" w:cs="Palatino Linotype"/>
          <w:vertAlign w:val="superscript"/>
        </w:rPr>
        <w:footnoteReference w:id="1"/>
      </w:r>
      <w:r w:rsidRPr="00AE3B69">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43162DC" w14:textId="77777777" w:rsidR="00155155" w:rsidRPr="00AE3B69" w:rsidRDefault="00E020DD">
      <w:pPr>
        <w:spacing w:before="240" w:after="240" w:line="360" w:lineRule="auto"/>
        <w:ind w:right="51"/>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Al respecto, el </w:t>
      </w:r>
      <w:r w:rsidRPr="00AE3B69">
        <w:rPr>
          <w:rFonts w:ascii="Palatino Linotype" w:eastAsia="Palatino Linotype" w:hAnsi="Palatino Linotype" w:cs="Palatino Linotype"/>
          <w:b/>
        </w:rPr>
        <w:t xml:space="preserve">Sujeto Obligado </w:t>
      </w:r>
      <w:r w:rsidRPr="00AE3B69">
        <w:rPr>
          <w:rFonts w:ascii="Palatino Linotype" w:eastAsia="Palatino Linotype" w:hAnsi="Palatino Linotype" w:cs="Palatino Linotype"/>
        </w:rPr>
        <w:t>remitió, a través del Jefe del Departamento de Inspecciones y el Subdirector Comercial, la relación de inspecciones realizadas, las revisiones de medidor y los dictámenes de laboratorio, de enero de 2019 a febrero de 2022, desglosado por año, mes y zona, como se ejemplifica a continuación:</w:t>
      </w:r>
    </w:p>
    <w:p w14:paraId="25AA7E6C"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noProof/>
          <w:lang w:val="es-MX"/>
        </w:rPr>
        <w:lastRenderedPageBreak/>
        <w:drawing>
          <wp:inline distT="0" distB="0" distL="0" distR="0" wp14:anchorId="096E795D" wp14:editId="6E32999B">
            <wp:extent cx="5610225" cy="1666875"/>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t="1" b="47916"/>
                    <a:stretch>
                      <a:fillRect/>
                    </a:stretch>
                  </pic:blipFill>
                  <pic:spPr>
                    <a:xfrm>
                      <a:off x="0" y="0"/>
                      <a:ext cx="5610225" cy="1666875"/>
                    </a:xfrm>
                    <a:prstGeom prst="rect">
                      <a:avLst/>
                    </a:prstGeom>
                    <a:ln/>
                  </pic:spPr>
                </pic:pic>
              </a:graphicData>
            </a:graphic>
          </wp:inline>
        </w:drawing>
      </w:r>
    </w:p>
    <w:p w14:paraId="18C0A950"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noProof/>
          <w:lang w:val="es-MX"/>
        </w:rPr>
        <w:drawing>
          <wp:inline distT="0" distB="0" distL="0" distR="0" wp14:anchorId="263BD1B0" wp14:editId="5FE80282">
            <wp:extent cx="5610225" cy="1790700"/>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b="49598"/>
                    <a:stretch>
                      <a:fillRect/>
                    </a:stretch>
                  </pic:blipFill>
                  <pic:spPr>
                    <a:xfrm>
                      <a:off x="0" y="0"/>
                      <a:ext cx="5610225" cy="1790700"/>
                    </a:xfrm>
                    <a:prstGeom prst="rect">
                      <a:avLst/>
                    </a:prstGeom>
                    <a:ln/>
                  </pic:spPr>
                </pic:pic>
              </a:graphicData>
            </a:graphic>
          </wp:inline>
        </w:drawing>
      </w:r>
    </w:p>
    <w:p w14:paraId="322C1EC1"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noProof/>
          <w:lang w:val="es-MX"/>
        </w:rPr>
        <w:drawing>
          <wp:inline distT="0" distB="0" distL="0" distR="0" wp14:anchorId="62B5308F" wp14:editId="5C14B70A">
            <wp:extent cx="5610225" cy="1895475"/>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b="48843"/>
                    <a:stretch>
                      <a:fillRect/>
                    </a:stretch>
                  </pic:blipFill>
                  <pic:spPr>
                    <a:xfrm>
                      <a:off x="0" y="0"/>
                      <a:ext cx="5610225" cy="1895475"/>
                    </a:xfrm>
                    <a:prstGeom prst="rect">
                      <a:avLst/>
                    </a:prstGeom>
                    <a:ln/>
                  </pic:spPr>
                </pic:pic>
              </a:graphicData>
            </a:graphic>
          </wp:inline>
        </w:drawing>
      </w:r>
    </w:p>
    <w:p w14:paraId="61A4B0E5" w14:textId="77777777" w:rsidR="00155155" w:rsidRPr="00AE3B69" w:rsidRDefault="00E020DD">
      <w:pPr>
        <w:spacing w:before="240" w:after="240" w:line="360" w:lineRule="auto"/>
        <w:ind w:right="51"/>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 xml:space="preserve">Asimismo, el </w:t>
      </w:r>
      <w:r w:rsidRPr="00AE3B69">
        <w:rPr>
          <w:rFonts w:ascii="Palatino Linotype" w:eastAsia="Palatino Linotype" w:hAnsi="Palatino Linotype" w:cs="Palatino Linotype"/>
          <w:b/>
        </w:rPr>
        <w:t xml:space="preserve">Sujeto Obligado </w:t>
      </w:r>
      <w:r w:rsidRPr="00AE3B69">
        <w:rPr>
          <w:rFonts w:ascii="Palatino Linotype" w:eastAsia="Palatino Linotype" w:hAnsi="Palatino Linotype" w:cs="Palatino Linotype"/>
        </w:rPr>
        <w:t xml:space="preserve">manifestó que no contaba con la información en Detalle del “tipo doméstico y no doméstico”, dentro del Sistema Comercial ALT, por lo que para realizarlo se tendría que generar un documento ad hoc, el cual no está obligado a realizar conforme al artículo 12 de la Ley de Transparencia y Acceso a la Información Pública del Estado de México y Municipios. </w:t>
      </w:r>
    </w:p>
    <w:p w14:paraId="062338C8" w14:textId="77777777" w:rsidR="00155155" w:rsidRPr="00AE3B69" w:rsidRDefault="00E020DD">
      <w:pPr>
        <w:spacing w:before="240" w:after="240" w:line="360" w:lineRule="auto"/>
        <w:ind w:right="51"/>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Documentos que, como se detalló en los antecedentes 6 de la presente resolución, se hicieron del conocimiento de 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xml:space="preserve"> en observancia del artículo 185 fracción III de la Ley de la Materia, sin que expresara manifestación alguna hasta el momento de determinar el cierre de instrucción correspondiente.</w:t>
      </w:r>
    </w:p>
    <w:p w14:paraId="1046003D"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Ahora bien, es conveniente referir que en observancia de lo previsto en los artículos 53 fracción II</w:t>
      </w:r>
      <w:r w:rsidRPr="00AE3B69">
        <w:rPr>
          <w:rFonts w:ascii="Palatino Linotype" w:eastAsia="Palatino Linotype" w:hAnsi="Palatino Linotype" w:cs="Palatino Linotype"/>
          <w:vertAlign w:val="superscript"/>
        </w:rPr>
        <w:footnoteReference w:id="2"/>
      </w:r>
      <w:r w:rsidRPr="00AE3B69">
        <w:rPr>
          <w:rFonts w:ascii="Palatino Linotype" w:eastAsia="Palatino Linotype" w:hAnsi="Palatino Linotype" w:cs="Palatino Linotype"/>
        </w:rPr>
        <w:t xml:space="preserve"> y 162</w:t>
      </w:r>
      <w:r w:rsidRPr="00AE3B69">
        <w:rPr>
          <w:rFonts w:ascii="Palatino Linotype" w:eastAsia="Palatino Linotype" w:hAnsi="Palatino Linotype" w:cs="Palatino Linotype"/>
          <w:vertAlign w:val="superscript"/>
        </w:rPr>
        <w:footnoteReference w:id="3"/>
      </w:r>
      <w:r w:rsidRPr="00AE3B69">
        <w:rPr>
          <w:rFonts w:ascii="Palatino Linotype" w:eastAsia="Palatino Linotype" w:hAnsi="Palatino Linotype" w:cs="Palatino Linotype"/>
        </w:rPr>
        <w:t xml:space="preserve"> de la Ley de Transparencia y Acceso a la Información Pública del Estado de México y Municipios, la Unidad de Transparencia turnó las solicitudes de información a las áreas que, de acuerdo con sus facultades, competencias y funciones, pudieran contar con la información materia de la solicitud, esto es a la Subdirección de Comercialización y el Departamento de Inspecciones.</w:t>
      </w:r>
    </w:p>
    <w:p w14:paraId="6883E4BF"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Cabe mencionar que de conformidad con el artículo 52 del Reglamento Interior del Organismo Público Descentralizado para la Prestación de los Servicios de Agua Potable, Alcantarillado y Saneamiento, la Subdirección de Comercialización es la dependencia encargada de dirigir las áreas adscritas a la misma, tendentes a la facturación y cobro de los derechos por la presentación de los servidores a cargo del Organismo Público Descentralizado para la Prestación de los Servicios de Agua Potable, Alcantarillado y Saneamiento del municipio, así como determinar presumiblemente las contribuciones omitidas y hacer exigibles los créditos fiscales derivados del incumplimiento de pago de los derechos o de sanciones derivadas de infracciones, para lo cual cuenta con las siguientes atribuciones en su parte conducente:</w:t>
      </w:r>
    </w:p>
    <w:p w14:paraId="26EB6342" w14:textId="77777777" w:rsidR="00155155" w:rsidRPr="00AE3B69" w:rsidRDefault="00E020DD">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Ordenar y ejecutar visitas de verificación e inspección en el domicilio, instalaciones, documentos, equipos y bienes de los contribuyentes, con la finalidad de comprobar que los usuarios, concesionarios o permisionistas y los terceros con ellos relacionados, cumplen con las disposiciones de la Ley del Agua y su Reglamento.</w:t>
      </w:r>
    </w:p>
    <w:p w14:paraId="2F4B95B9" w14:textId="77777777" w:rsidR="00155155" w:rsidRPr="00AE3B69" w:rsidRDefault="00E020D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Actualizar el padrón de usuarios de acuerdo a los lineamientos emitidos para tal efecto.</w:t>
      </w:r>
    </w:p>
    <w:p w14:paraId="01BB9D46" w14:textId="77777777" w:rsidR="00155155" w:rsidRPr="00AE3B69" w:rsidRDefault="00E020D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Integrar, actualizar y resguardar los registros informáticos, estadísticos y cartográficos de la toma y los usuarios.</w:t>
      </w:r>
    </w:p>
    <w:p w14:paraId="158D2959" w14:textId="77777777" w:rsidR="00155155" w:rsidRPr="00AE3B69" w:rsidRDefault="00E020D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Coordinar el levantamiento y procesamiento de censos, encuestas y muestreos sobre lotes baldíos, tomas, usuarios y otros.</w:t>
      </w:r>
    </w:p>
    <w:p w14:paraId="63780789" w14:textId="77777777" w:rsidR="00155155" w:rsidRPr="00AE3B69" w:rsidRDefault="00E020DD">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Dirigir, supervisar y vigilar que se lleven a cabo las lecturas a los aparatos medidores de agua potable y agua tratada instalados en el municipio.</w:t>
      </w:r>
    </w:p>
    <w:p w14:paraId="0EC5F933"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Asimismo, la Subdirección de Comercialización se auxilia del Departamento de Liquidaciones, el Departamento de Ejecución Fiscal y el Departamento de Inspecciones, encargándose este último, de conformidad con el artículo 56 del referido ordenamiento legal, de coordinar, revisar y verificar la red hidrosanitaria y de alcantarillado, auxiliándose de técnicos e inspectores para el cumplimiento de dichas funciones, y tiene las siguientes atribuciones y funciones en su parte conducente:  </w:t>
      </w:r>
    </w:p>
    <w:p w14:paraId="5BF5D89E" w14:textId="77777777" w:rsidR="00155155" w:rsidRPr="00AE3B69" w:rsidRDefault="00E020DD">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Ejecutar y suscribir las visitas de verificación e inspección administrativa a comercios, servicios, industrias y uso doméstico, así como a los diversos predios, con motivo de identificar la correcta instalación de tomas de agua potable y alcantarillado a la red pública municipal.</w:t>
      </w:r>
    </w:p>
    <w:p w14:paraId="0183FCFE" w14:textId="77777777" w:rsidR="00155155" w:rsidRPr="00AE3B69" w:rsidRDefault="00E020D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Coordinar y asignar las visitas de verificación e inspección administrativa a los verificadores e inspectores.</w:t>
      </w:r>
    </w:p>
    <w:p w14:paraId="3F8D5CB6" w14:textId="77777777" w:rsidR="00155155" w:rsidRPr="00AE3B69" w:rsidRDefault="00E020D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Verificar que el uso de los servicios corresponda al contratado, así como su uso racional y eficiente.</w:t>
      </w:r>
    </w:p>
    <w:p w14:paraId="2D2A940D" w14:textId="77777777" w:rsidR="00155155" w:rsidRPr="00AE3B69" w:rsidRDefault="00E020D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Coordinar la revisión y mantenimiento de los medidores, así como la elaboración del dictamen técnico, en el Laboratorio del Organismo.</w:t>
      </w:r>
    </w:p>
    <w:p w14:paraId="557E852C" w14:textId="77777777" w:rsidR="00155155" w:rsidRPr="00AE3B69" w:rsidRDefault="00E020D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Practicar visitas de verificación e inspección.</w:t>
      </w:r>
    </w:p>
    <w:p w14:paraId="71C7C9A4" w14:textId="77777777" w:rsidR="00155155" w:rsidRPr="00AE3B69" w:rsidRDefault="00E020DD">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Revisar e instalar aparatos medidores.</w:t>
      </w:r>
    </w:p>
    <w:p w14:paraId="188F7E8F"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Como se advierte, las solicitudes fueron turnadas a las áreas que de acuerdo a sus atribuciones resultan ser competentes para generar, administrar o poseer la información materia de las mismas.</w:t>
      </w:r>
    </w:p>
    <w:p w14:paraId="53F6EFAB"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En tal sentido, en atención al motivo de inconformidad manifestado por la persona solicitante, el Servidor Público Habilitado proporcionó la relación de inspecciones, revisiones de medidores y dictámenes de laboratorio que se realizaron de enero de 2019 a febrero de 2022, desglosado por año, mes y zona, como se observa en las imágenes insertas en párrafos anteriores.</w:t>
      </w:r>
    </w:p>
    <w:p w14:paraId="4355440B"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Asimismo, manifestó que no contaba con la información en detalle sobre ”tipo doméstico y no doméstico” dentro de su Sistema Comercial, siendo necesario elaborar un documento ad hoc para satisfacer lo solicitado, advirtiéndose que lo contestado por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se constituye en una expresión en sentido negativo puesto que en la misma refiere expresamente que no cuenta con la información al grado de detalle solicitado por 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xml:space="preserve">, esto es, niega la existencia de información alguna al respecto. </w:t>
      </w:r>
    </w:p>
    <w:p w14:paraId="39203A6E"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 xml:space="preserve">Por consiguiente, toda vez que no genera, administra, ni posee la información requerida por la persona solicitante, se constituye un hecho negativo; por lo que es obvio que éste no puede fácticamente obrar en los archivos del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ya que no puede probarse por ser lógica y materialmente imposible.</w:t>
      </w:r>
    </w:p>
    <w:p w14:paraId="246E5F09" w14:textId="77777777" w:rsidR="00155155" w:rsidRPr="00AE3B69" w:rsidRDefault="00E020DD">
      <w:pPr>
        <w:spacing w:before="240" w:after="240" w:line="360" w:lineRule="auto"/>
        <w:jc w:val="both"/>
        <w:rPr>
          <w:sz w:val="28"/>
          <w:szCs w:val="28"/>
        </w:rPr>
      </w:pPr>
      <w:r w:rsidRPr="00AE3B69">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 en dicha área, por lo que resulta aplicable la Tesis</w:t>
      </w:r>
      <w:r w:rsidRPr="00AE3B69">
        <w:rPr>
          <w:rFonts w:ascii="Palatino Linotype" w:eastAsia="Palatino Linotype" w:hAnsi="Palatino Linotype" w:cs="Palatino Linotype"/>
          <w:vertAlign w:val="superscript"/>
        </w:rPr>
        <w:footnoteReference w:id="4"/>
      </w:r>
      <w:r w:rsidRPr="00AE3B69">
        <w:rPr>
          <w:rFonts w:ascii="Palatino Linotype" w:eastAsia="Palatino Linotype" w:hAnsi="Palatino Linotype" w:cs="Palatino Linotype"/>
        </w:rPr>
        <w:t xml:space="preserve"> emitida por la Segunda Sala de la Suprema Corte de la Nación, que es del tenor literal siguiente:</w:t>
      </w:r>
    </w:p>
    <w:p w14:paraId="3940A447" w14:textId="77777777" w:rsidR="00155155" w:rsidRPr="00AE3B69" w:rsidRDefault="00E020DD">
      <w:pPr>
        <w:spacing w:before="240" w:after="240"/>
        <w:ind w:left="851" w:right="900"/>
        <w:jc w:val="both"/>
        <w:rPr>
          <w:rFonts w:ascii="Palatino Linotype" w:eastAsia="Palatino Linotype" w:hAnsi="Palatino Linotype" w:cs="Palatino Linotype"/>
          <w:sz w:val="22"/>
          <w:szCs w:val="22"/>
        </w:rPr>
      </w:pPr>
      <w:r w:rsidRPr="00AE3B69">
        <w:rPr>
          <w:rFonts w:ascii="Palatino Linotype" w:eastAsia="Palatino Linotype" w:hAnsi="Palatino Linotype" w:cs="Palatino Linotype"/>
          <w:b/>
          <w:i/>
          <w:sz w:val="22"/>
          <w:szCs w:val="22"/>
        </w:rPr>
        <w:t>“HECHOS NEGATIVOS, NO SON SUSCEPTIBLES DE DEMOSTRACIÓN</w:t>
      </w:r>
      <w:r w:rsidRPr="00AE3B69">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7FEB009F"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En consecuencia, no es procedente la entrega de documento alguno, o en su caso, el Acuerdo de Inexistencia, toda vez que el pronunciamiento del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declara en automática la inexistencia de la información solicitada de modo que no existe obligación de justificar o allegar pruebas, y por ende no tiene aplicación lo </w:t>
      </w:r>
      <w:r w:rsidRPr="00AE3B69">
        <w:rPr>
          <w:rFonts w:ascii="Palatino Linotype" w:eastAsia="Palatino Linotype" w:hAnsi="Palatino Linotype" w:cs="Palatino Linotype"/>
        </w:rPr>
        <w:lastRenderedPageBreak/>
        <w:t>estatuido en el artículo 49, fracción XIII</w:t>
      </w:r>
      <w:r w:rsidRPr="00AE3B69">
        <w:rPr>
          <w:rFonts w:ascii="Palatino Linotype" w:eastAsia="Palatino Linotype" w:hAnsi="Palatino Linotype" w:cs="Palatino Linotype"/>
          <w:vertAlign w:val="superscript"/>
        </w:rPr>
        <w:footnoteReference w:id="5"/>
      </w:r>
      <w:r w:rsidRPr="00AE3B69">
        <w:rPr>
          <w:rFonts w:ascii="Palatino Linotype" w:eastAsia="Palatino Linotype" w:hAnsi="Palatino Linotype" w:cs="Palatino Linotype"/>
        </w:rPr>
        <w:t xml:space="preserve"> de la Ley de Transparencia y Acceso a la Información Pública del Estado de México y Municipios.</w:t>
      </w:r>
    </w:p>
    <w:p w14:paraId="7583C2E1" w14:textId="77777777" w:rsidR="00155155" w:rsidRPr="00AE3B69" w:rsidRDefault="00E020DD">
      <w:pPr>
        <w:spacing w:before="240" w:after="360" w:line="360" w:lineRule="auto"/>
        <w:ind w:right="18"/>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De tal manera que basta con la aseveración por parte del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en relación a la inexistencia de información desglosada al grado de detalle que requiere 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siendo que de conformidad con lo establecido en el artículo 12, segundo párrafo de la Ley de Transparencia y Acceso a la Información Pública del Estado de México y Municipios</w:t>
      </w:r>
      <w:r w:rsidRPr="00AE3B69">
        <w:rPr>
          <w:rFonts w:ascii="Palatino Linotype" w:eastAsia="Palatino Linotype" w:hAnsi="Palatino Linotype" w:cs="Palatino Linotype"/>
          <w:vertAlign w:val="superscript"/>
        </w:rPr>
        <w:footnoteReference w:id="6"/>
      </w:r>
      <w:r w:rsidRPr="00AE3B69">
        <w:rPr>
          <w:rFonts w:ascii="Palatino Linotype" w:eastAsia="Palatino Linotype" w:hAnsi="Palatino Linotype" w:cs="Palatino Linotype"/>
        </w:rPr>
        <w:t>, los Sujetos Obligados sólo proporcionaran la información pública que se les requiera y que obre en sus archivos y en el estado en que ésta se encuentre, en sentido contrario, no están obligados a proporcionar lo que no tengan en sus archivos.</w:t>
      </w:r>
    </w:p>
    <w:p w14:paraId="5AD819F6" w14:textId="77777777" w:rsidR="00155155" w:rsidRPr="00AE3B69" w:rsidRDefault="00E020DD">
      <w:pPr>
        <w:spacing w:before="240" w:after="360" w:line="360" w:lineRule="auto"/>
        <w:ind w:right="18"/>
        <w:jc w:val="both"/>
        <w:rPr>
          <w:rFonts w:ascii="Palatino Linotype" w:eastAsia="Palatino Linotype" w:hAnsi="Palatino Linotype" w:cs="Palatino Linotype"/>
        </w:rPr>
      </w:pPr>
      <w:r w:rsidRPr="00AE3B69">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2F68E5AF"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Derivado de lo anterior, conviene hacer alusión a lo que señala el artículo 192, fracción III de la Ley de Transparencia y Acceso a la Información Pública del Estado de México y Municipios vigente, a saber:</w:t>
      </w:r>
    </w:p>
    <w:p w14:paraId="664032F4" w14:textId="77777777" w:rsidR="00155155" w:rsidRPr="00AE3B69" w:rsidRDefault="00E020DD">
      <w:pPr>
        <w:spacing w:before="240" w:after="240"/>
        <w:ind w:left="851" w:right="900"/>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i/>
          <w:sz w:val="22"/>
          <w:szCs w:val="22"/>
        </w:rPr>
        <w:t>“</w:t>
      </w:r>
      <w:r w:rsidRPr="00AE3B69">
        <w:rPr>
          <w:rFonts w:ascii="Palatino Linotype" w:eastAsia="Palatino Linotype" w:hAnsi="Palatino Linotype" w:cs="Palatino Linotype"/>
          <w:b/>
          <w:i/>
          <w:sz w:val="22"/>
          <w:szCs w:val="22"/>
        </w:rPr>
        <w:t>Artículo 192</w:t>
      </w:r>
      <w:r w:rsidRPr="00AE3B69">
        <w:rPr>
          <w:rFonts w:ascii="Palatino Linotype" w:eastAsia="Palatino Linotype" w:hAnsi="Palatino Linotype" w:cs="Palatino Linotype"/>
          <w:i/>
          <w:sz w:val="22"/>
          <w:szCs w:val="22"/>
        </w:rPr>
        <w:t xml:space="preserve">. </w:t>
      </w:r>
      <w:r w:rsidRPr="00AE3B69">
        <w:rPr>
          <w:rFonts w:ascii="Palatino Linotype" w:eastAsia="Palatino Linotype" w:hAnsi="Palatino Linotype" w:cs="Palatino Linotype"/>
          <w:b/>
          <w:i/>
          <w:sz w:val="22"/>
          <w:szCs w:val="22"/>
        </w:rPr>
        <w:t>El recurso será sobreseído</w:t>
      </w:r>
      <w:r w:rsidRPr="00AE3B69">
        <w:rPr>
          <w:rFonts w:ascii="Palatino Linotype" w:eastAsia="Palatino Linotype" w:hAnsi="Palatino Linotype" w:cs="Palatino Linotype"/>
          <w:i/>
          <w:sz w:val="22"/>
          <w:szCs w:val="22"/>
        </w:rPr>
        <w:t xml:space="preserve">, </w:t>
      </w:r>
      <w:r w:rsidRPr="00AE3B69">
        <w:rPr>
          <w:rFonts w:ascii="Palatino Linotype" w:eastAsia="Palatino Linotype" w:hAnsi="Palatino Linotype" w:cs="Palatino Linotype"/>
          <w:b/>
          <w:i/>
          <w:sz w:val="22"/>
          <w:szCs w:val="22"/>
        </w:rPr>
        <w:t>en todo o en parte,</w:t>
      </w:r>
      <w:r w:rsidRPr="00AE3B69">
        <w:rPr>
          <w:rFonts w:ascii="Palatino Linotype" w:eastAsia="Palatino Linotype" w:hAnsi="Palatino Linotype" w:cs="Palatino Linotype"/>
          <w:i/>
          <w:sz w:val="22"/>
          <w:szCs w:val="22"/>
        </w:rPr>
        <w:t xml:space="preserve"> </w:t>
      </w:r>
      <w:r w:rsidRPr="00AE3B69">
        <w:rPr>
          <w:rFonts w:ascii="Palatino Linotype" w:eastAsia="Palatino Linotype" w:hAnsi="Palatino Linotype" w:cs="Palatino Linotype"/>
          <w:b/>
          <w:i/>
          <w:sz w:val="22"/>
          <w:szCs w:val="22"/>
        </w:rPr>
        <w:t>cuando una vez admitido, se actualicen alguno de los siguientes supuestos</w:t>
      </w:r>
      <w:r w:rsidRPr="00AE3B69">
        <w:rPr>
          <w:rFonts w:ascii="Palatino Linotype" w:eastAsia="Palatino Linotype" w:hAnsi="Palatino Linotype" w:cs="Palatino Linotype"/>
          <w:i/>
          <w:sz w:val="22"/>
          <w:szCs w:val="22"/>
        </w:rPr>
        <w:t xml:space="preserve">: </w:t>
      </w:r>
    </w:p>
    <w:p w14:paraId="47EFA650" w14:textId="77777777" w:rsidR="00155155" w:rsidRPr="00AE3B69" w:rsidRDefault="00E020DD">
      <w:pPr>
        <w:spacing w:before="240" w:after="240"/>
        <w:ind w:left="1134" w:right="900"/>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i/>
          <w:sz w:val="22"/>
          <w:szCs w:val="22"/>
        </w:rPr>
        <w:t>(…)</w:t>
      </w:r>
    </w:p>
    <w:p w14:paraId="4FCC2593" w14:textId="77777777" w:rsidR="00155155" w:rsidRPr="00AE3B69" w:rsidRDefault="00E020DD">
      <w:pPr>
        <w:spacing w:before="240" w:after="240"/>
        <w:ind w:left="1134" w:right="900"/>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AE3B69">
        <w:rPr>
          <w:rFonts w:ascii="Palatino Linotype" w:eastAsia="Palatino Linotype" w:hAnsi="Palatino Linotype" w:cs="Palatino Linotype"/>
          <w:i/>
          <w:sz w:val="22"/>
          <w:szCs w:val="22"/>
        </w:rPr>
        <w:t>”</w:t>
      </w:r>
    </w:p>
    <w:p w14:paraId="65CA626D"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De lo establecido en el precepto legal citado se advierte que el sobreseimiento del recurso de revisión procede en los siguientes casos:</w:t>
      </w:r>
    </w:p>
    <w:p w14:paraId="202ECA43" w14:textId="77777777" w:rsidR="00155155" w:rsidRPr="00AE3B69" w:rsidRDefault="00E020DD">
      <w:pPr>
        <w:spacing w:before="240" w:after="240" w:line="360" w:lineRule="auto"/>
        <w:ind w:left="284"/>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a) Cuando el Sujeto Obligado modifique el acto impugnado. </w:t>
      </w:r>
    </w:p>
    <w:p w14:paraId="3E123DF0" w14:textId="77777777" w:rsidR="00155155" w:rsidRPr="00AE3B69" w:rsidRDefault="00E020DD">
      <w:pPr>
        <w:spacing w:before="240" w:after="240" w:line="360" w:lineRule="auto"/>
        <w:ind w:left="284"/>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b) Cuando el Sujeto Obligado revoque el acto impugnado; </w:t>
      </w:r>
    </w:p>
    <w:p w14:paraId="5CDEF29B"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Quedando en ambos casos el acto combatido sin materia o sin efectos.</w:t>
      </w:r>
    </w:p>
    <w:p w14:paraId="700E1D04"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14:paraId="687C1431"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lastRenderedPageBreak/>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7B1F91CF"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En este orden de ideas, un acto impugnado queda sin efectos, cuando aún existiendo jurídicamente (esto es, que no se ha modificado, ni revocado) ya no genera ninguna consecuencia legal.</w:t>
      </w:r>
    </w:p>
    <w:p w14:paraId="0529B5A1"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2C2985AE"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Ahora bien, en el caso concreto, es evidente que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modificó su respuesta, ya que, a través de su pronunciamiento emitido en la etapa de manifestaciones, proporcionó la información requerida, en el estado en el que se encuentra en sus archivos.</w:t>
      </w:r>
    </w:p>
    <w:p w14:paraId="4FFA33C9"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En tal sentido, se destaca que, al haber existido un pronunciamiento por parte del Servidor Público Habilitado competente debidamente fundado, respecto de la materia de la solicitud, este Órgano Garante no está facultado para manifestarse </w:t>
      </w:r>
      <w:r w:rsidRPr="00AE3B69">
        <w:rPr>
          <w:rFonts w:ascii="Palatino Linotype" w:eastAsia="Palatino Linotype" w:hAnsi="Palatino Linotype" w:cs="Palatino Linotype"/>
        </w:rPr>
        <w:lastRenderedPageBreak/>
        <w:t xml:space="preserve">sobre la veracidad de lo expresado por parte de este, pues no existe precepto legal alguno en la Ley de la materia que lo faculte para ello. </w:t>
      </w:r>
    </w:p>
    <w:p w14:paraId="4CA17C1D"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6A23330F" w14:textId="77777777" w:rsidR="00155155" w:rsidRPr="00AE3B69" w:rsidRDefault="00E020DD">
      <w:pPr>
        <w:spacing w:before="240" w:after="240"/>
        <w:ind w:left="993" w:right="1041"/>
        <w:jc w:val="both"/>
        <w:rPr>
          <w:rFonts w:ascii="Palatino Linotype" w:eastAsia="Palatino Linotype" w:hAnsi="Palatino Linotype" w:cs="Palatino Linotype"/>
          <w:i/>
          <w:sz w:val="22"/>
          <w:szCs w:val="22"/>
        </w:rPr>
      </w:pPr>
      <w:r w:rsidRPr="00AE3B69">
        <w:rPr>
          <w:rFonts w:ascii="Palatino Linotype" w:eastAsia="Palatino Linotype" w:hAnsi="Palatino Linotype" w:cs="Palatino Linotype"/>
          <w:i/>
          <w:sz w:val="22"/>
          <w:szCs w:val="22"/>
        </w:rPr>
        <w:t>“</w:t>
      </w:r>
      <w:r w:rsidRPr="00AE3B6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AE3B69">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36AAE13"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Tomando en consideración dicha circunstancia, así como el hecho de que la información proporcionada por 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fue puesta a la vista de la parte </w:t>
      </w:r>
      <w:r w:rsidRPr="00AE3B69">
        <w:rPr>
          <w:rFonts w:ascii="Palatino Linotype" w:eastAsia="Palatino Linotype" w:hAnsi="Palatino Linotype" w:cs="Palatino Linotype"/>
          <w:b/>
        </w:rPr>
        <w:t xml:space="preserve">Recurrente </w:t>
      </w:r>
      <w:r w:rsidRPr="00AE3B69">
        <w:rPr>
          <w:rFonts w:ascii="Palatino Linotype" w:eastAsia="Palatino Linotype" w:hAnsi="Palatino Linotype" w:cs="Palatino Linotype"/>
        </w:rPr>
        <w:t xml:space="preserve">con la finalidad de que manifestara lo que a su derecho conviniera, sin que obre constancia en el expediente electrónico de que dicho derecho se hiciera </w:t>
      </w:r>
      <w:r w:rsidRPr="00AE3B69">
        <w:rPr>
          <w:rFonts w:ascii="Palatino Linotype" w:eastAsia="Palatino Linotype" w:hAnsi="Palatino Linotype" w:cs="Palatino Linotype"/>
        </w:rPr>
        <w:lastRenderedPageBreak/>
        <w:t>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0EA4F0C3"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Así, siendo el </w:t>
      </w:r>
      <w:r w:rsidRPr="00AE3B69">
        <w:rPr>
          <w:rFonts w:ascii="Palatino Linotype" w:eastAsia="Palatino Linotype" w:hAnsi="Palatino Linotype" w:cs="Palatino Linotype"/>
          <w:i/>
        </w:rPr>
        <w:t>sobreseimiento</w:t>
      </w:r>
      <w:r w:rsidRPr="00AE3B69">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AE3B69">
        <w:rPr>
          <w:rFonts w:ascii="Palatino Linotype" w:eastAsia="Palatino Linotype" w:hAnsi="Palatino Linotype" w:cs="Palatino Linotype"/>
          <w:b/>
        </w:rPr>
        <w:t>SOBRESEIMIENTO, NO PERMITE ENTRAR AL ESTUDIO DE LAS CUESTIONES DE FONDO</w:t>
      </w:r>
      <w:r w:rsidRPr="00AE3B69">
        <w:rPr>
          <w:rFonts w:ascii="Palatino Linotype" w:eastAsia="Palatino Linotype" w:hAnsi="Palatino Linotype" w:cs="Palatino Linotype"/>
          <w:vertAlign w:val="superscript"/>
        </w:rPr>
        <w:footnoteReference w:id="7"/>
      </w:r>
      <w:r w:rsidRPr="00AE3B69">
        <w:rPr>
          <w:rFonts w:ascii="Palatino Linotype" w:eastAsia="Palatino Linotype" w:hAnsi="Palatino Linotype" w:cs="Palatino Linotype"/>
          <w:b/>
        </w:rPr>
        <w:t>.</w:t>
      </w:r>
    </w:p>
    <w:p w14:paraId="68B524DB" w14:textId="77777777" w:rsidR="00155155" w:rsidRPr="00AE3B69" w:rsidRDefault="00E020DD">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AE3B69">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w:t>
      </w:r>
      <w:r w:rsidRPr="00AE3B69">
        <w:rPr>
          <w:rFonts w:ascii="Palatino Linotype" w:eastAsia="Palatino Linotype" w:hAnsi="Palatino Linotype" w:cs="Palatino Linotype"/>
        </w:rPr>
        <w:lastRenderedPageBreak/>
        <w:t>fracción I, 186 y 188 de la Ley de Transparencia y Acceso a la Información Pública del Estado de México y Municipios, este Pleno:</w:t>
      </w:r>
    </w:p>
    <w:p w14:paraId="0853D25C" w14:textId="77777777" w:rsidR="00155155" w:rsidRPr="00AE3B69" w:rsidRDefault="00E020D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E3B69">
        <w:rPr>
          <w:rFonts w:ascii="Palatino Linotype" w:eastAsia="Palatino Linotype" w:hAnsi="Palatino Linotype" w:cs="Palatino Linotype"/>
          <w:b/>
        </w:rPr>
        <w:t>III. R E S U E L V E:</w:t>
      </w:r>
    </w:p>
    <w:p w14:paraId="12B9BD03" w14:textId="77777777" w:rsidR="00155155" w:rsidRPr="00AE3B69" w:rsidRDefault="00E020DD">
      <w:pPr>
        <w:tabs>
          <w:tab w:val="left" w:pos="7936"/>
        </w:tabs>
        <w:spacing w:before="240" w:after="240" w:line="360" w:lineRule="auto"/>
        <w:jc w:val="both"/>
        <w:rPr>
          <w:rFonts w:ascii="Palatino Linotype" w:eastAsia="Palatino Linotype" w:hAnsi="Palatino Linotype" w:cs="Palatino Linotype"/>
          <w:b/>
        </w:rPr>
      </w:pPr>
      <w:r w:rsidRPr="00AE3B69">
        <w:rPr>
          <w:rFonts w:ascii="Palatino Linotype" w:eastAsia="Palatino Linotype" w:hAnsi="Palatino Linotype" w:cs="Palatino Linotype"/>
          <w:b/>
        </w:rPr>
        <w:t xml:space="preserve">Primero. </w:t>
      </w:r>
      <w:r w:rsidRPr="00AE3B69">
        <w:rPr>
          <w:rFonts w:ascii="Palatino Linotype" w:eastAsia="Palatino Linotype" w:hAnsi="Palatino Linotype" w:cs="Palatino Linotype"/>
        </w:rPr>
        <w:t>Se</w:t>
      </w:r>
      <w:r w:rsidRPr="00AE3B69">
        <w:rPr>
          <w:rFonts w:ascii="Palatino Linotype" w:eastAsia="Palatino Linotype" w:hAnsi="Palatino Linotype" w:cs="Palatino Linotype"/>
          <w:b/>
        </w:rPr>
        <w:t xml:space="preserve"> Sobreseen </w:t>
      </w:r>
      <w:r w:rsidRPr="00AE3B69">
        <w:rPr>
          <w:rFonts w:ascii="Palatino Linotype" w:eastAsia="Palatino Linotype" w:hAnsi="Palatino Linotype" w:cs="Palatino Linotype"/>
        </w:rPr>
        <w:t xml:space="preserve">los Recursos de Revisión </w:t>
      </w:r>
      <w:r w:rsidRPr="00AE3B69">
        <w:rPr>
          <w:rFonts w:ascii="Palatino Linotype" w:eastAsia="Palatino Linotype" w:hAnsi="Palatino Linotype" w:cs="Palatino Linotype"/>
          <w:b/>
        </w:rPr>
        <w:t>03444/INFOEM/IP/RR/2022</w:t>
      </w:r>
      <w:r w:rsidRPr="00AE3B69">
        <w:rPr>
          <w:rFonts w:ascii="Palatino Linotype" w:eastAsia="Palatino Linotype" w:hAnsi="Palatino Linotype" w:cs="Palatino Linotype"/>
        </w:rPr>
        <w:t xml:space="preserve"> y </w:t>
      </w:r>
      <w:r w:rsidRPr="00AE3B69">
        <w:rPr>
          <w:rFonts w:ascii="Palatino Linotype" w:eastAsia="Palatino Linotype" w:hAnsi="Palatino Linotype" w:cs="Palatino Linotype"/>
          <w:b/>
        </w:rPr>
        <w:t xml:space="preserve">03446/INFOEM/IP/RR/2022, </w:t>
      </w:r>
      <w:r w:rsidRPr="00AE3B69">
        <w:rPr>
          <w:rFonts w:ascii="Palatino Linotype" w:eastAsia="Palatino Linotype" w:hAnsi="Palatino Linotype" w:cs="Palatino Linotype"/>
        </w:rPr>
        <w:t xml:space="preserve">porque al </w:t>
      </w:r>
      <w:r w:rsidRPr="00AE3B69">
        <w:rPr>
          <w:rFonts w:ascii="Palatino Linotype" w:eastAsia="Palatino Linotype" w:hAnsi="Palatino Linotype" w:cs="Palatino Linotype"/>
          <w:b/>
        </w:rPr>
        <w:t>modificar la respuesta</w:t>
      </w:r>
      <w:r w:rsidRPr="00AE3B69">
        <w:rPr>
          <w:rFonts w:ascii="Palatino Linotype" w:eastAsia="Palatino Linotype" w:hAnsi="Palatino Linotype" w:cs="Palatino Linotype"/>
        </w:rPr>
        <w:t xml:space="preserve"> se actualizó la causal prevista en el artículo 192, fracción III, de la Ley de Transparencia vigente en la entidad, quedando sin materia en términos del considerando </w:t>
      </w:r>
      <w:r w:rsidRPr="00AE3B69">
        <w:rPr>
          <w:rFonts w:ascii="Palatino Linotype" w:eastAsia="Palatino Linotype" w:hAnsi="Palatino Linotype" w:cs="Palatino Linotype"/>
          <w:b/>
        </w:rPr>
        <w:t xml:space="preserve">Tercero </w:t>
      </w:r>
      <w:r w:rsidRPr="00AE3B69">
        <w:rPr>
          <w:rFonts w:ascii="Palatino Linotype" w:eastAsia="Palatino Linotype" w:hAnsi="Palatino Linotype" w:cs="Palatino Linotype"/>
        </w:rPr>
        <w:t>de la presente Resolución.</w:t>
      </w:r>
    </w:p>
    <w:p w14:paraId="7A94C84B" w14:textId="77777777" w:rsidR="00155155" w:rsidRPr="00AE3B69" w:rsidRDefault="00E020DD">
      <w:pPr>
        <w:tabs>
          <w:tab w:val="left" w:pos="7936"/>
        </w:tabs>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 xml:space="preserve">Segundo. Notifíquese, </w:t>
      </w:r>
      <w:r w:rsidRPr="00AE3B69">
        <w:rPr>
          <w:rFonts w:ascii="Palatino Linotype" w:eastAsia="Palatino Linotype" w:hAnsi="Palatino Linotype" w:cs="Palatino Linotype"/>
        </w:rPr>
        <w:t>vía</w:t>
      </w:r>
      <w:r w:rsidRPr="00AE3B69">
        <w:rPr>
          <w:rFonts w:ascii="Palatino Linotype" w:eastAsia="Palatino Linotype" w:hAnsi="Palatino Linotype" w:cs="Palatino Linotype"/>
          <w:b/>
        </w:rPr>
        <w:t xml:space="preserve"> SAIMEX,</w:t>
      </w:r>
      <w:r w:rsidRPr="00AE3B69">
        <w:rPr>
          <w:rFonts w:ascii="Palatino Linotype" w:eastAsia="Palatino Linotype" w:hAnsi="Palatino Linotype" w:cs="Palatino Linotype"/>
        </w:rPr>
        <w:t xml:space="preserve"> al Responsable de la Unidad de Transparencia del </w:t>
      </w:r>
      <w:r w:rsidRPr="00AE3B69">
        <w:rPr>
          <w:rFonts w:ascii="Palatino Linotype" w:eastAsia="Palatino Linotype" w:hAnsi="Palatino Linotype" w:cs="Palatino Linotype"/>
          <w:b/>
        </w:rPr>
        <w:t>Sujeto Obligado</w:t>
      </w:r>
      <w:r w:rsidRPr="00AE3B69">
        <w:rPr>
          <w:rFonts w:ascii="Palatino Linotype" w:eastAsia="Palatino Linotype" w:hAnsi="Palatino Linotype" w:cs="Palatino Linotype"/>
        </w:rPr>
        <w:t xml:space="preserve"> la presente resolución, para su conocimiento.</w:t>
      </w:r>
    </w:p>
    <w:p w14:paraId="38D4EBE5"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b/>
        </w:rPr>
        <w:t xml:space="preserve">Tercero. Notifíquese, </w:t>
      </w:r>
      <w:r w:rsidRPr="00AE3B69">
        <w:rPr>
          <w:rFonts w:ascii="Palatino Linotype" w:eastAsia="Palatino Linotype" w:hAnsi="Palatino Linotype" w:cs="Palatino Linotype"/>
        </w:rPr>
        <w:t>vía</w:t>
      </w:r>
      <w:r w:rsidRPr="00AE3B69">
        <w:rPr>
          <w:rFonts w:ascii="Palatino Linotype" w:eastAsia="Palatino Linotype" w:hAnsi="Palatino Linotype" w:cs="Palatino Linotype"/>
          <w:b/>
        </w:rPr>
        <w:t xml:space="preserve"> SAIMEX</w:t>
      </w:r>
      <w:r w:rsidRPr="00AE3B69">
        <w:rPr>
          <w:rFonts w:ascii="Palatino Linotype" w:eastAsia="Palatino Linotype" w:hAnsi="Palatino Linotype" w:cs="Palatino Linotype"/>
        </w:rPr>
        <w:t>, a</w:t>
      </w:r>
      <w:r w:rsidRPr="00AE3B69">
        <w:rPr>
          <w:rFonts w:ascii="Palatino Linotype" w:eastAsia="Palatino Linotype" w:hAnsi="Palatino Linotype" w:cs="Palatino Linotype"/>
          <w:b/>
        </w:rPr>
        <w:t xml:space="preserve"> </w:t>
      </w:r>
      <w:r w:rsidRPr="00AE3B69">
        <w:rPr>
          <w:rFonts w:ascii="Palatino Linotype" w:eastAsia="Palatino Linotype" w:hAnsi="Palatino Linotype" w:cs="Palatino Linotype"/>
        </w:rPr>
        <w:t xml:space="preserve">la parte </w:t>
      </w:r>
      <w:r w:rsidRPr="00AE3B69">
        <w:rPr>
          <w:rFonts w:ascii="Palatino Linotype" w:eastAsia="Palatino Linotype" w:hAnsi="Palatino Linotype" w:cs="Palatino Linotype"/>
          <w:b/>
        </w:rPr>
        <w:t>Recurrente</w:t>
      </w:r>
      <w:r w:rsidRPr="00AE3B6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5B6A7367" w14:textId="19805167" w:rsidR="00155155" w:rsidRPr="00AE3B69" w:rsidRDefault="00E020DD">
      <w:pPr>
        <w:spacing w:before="240" w:after="240" w:line="360" w:lineRule="auto"/>
        <w:jc w:val="both"/>
        <w:rPr>
          <w:rFonts w:ascii="Palatino Linotype" w:eastAsia="Palatino Linotype" w:hAnsi="Palatino Linotype" w:cs="Palatino Linotype"/>
        </w:rPr>
      </w:pPr>
      <w:r w:rsidRPr="00AE3B6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AE3B69">
        <w:rPr>
          <w:rFonts w:ascii="Palatino Linotype" w:eastAsia="Palatino Linotype" w:hAnsi="Palatino Linotype" w:cs="Palatino Linotype"/>
        </w:rPr>
        <w:lastRenderedPageBreak/>
        <w:t>VILCHIS; SHARON CRISTINA MORALES MARTÍNEZ</w:t>
      </w:r>
      <w:r w:rsidR="004A4AAE">
        <w:rPr>
          <w:rFonts w:ascii="Palatino Linotype" w:eastAsia="Palatino Linotype" w:hAnsi="Palatino Linotype" w:cs="Palatino Linotype"/>
        </w:rPr>
        <w:t xml:space="preserve"> CON AUSENCIA JUSTIFICADA</w:t>
      </w:r>
      <w:r w:rsidRPr="00AE3B69">
        <w:rPr>
          <w:rFonts w:ascii="Palatino Linotype" w:eastAsia="Palatino Linotype" w:hAnsi="Palatino Linotype" w:cs="Palatino Linotype"/>
        </w:rPr>
        <w:t>; MARÍA DEL ROSARIO MEJÍA AYALA; GUADALUPE RAMÍREZ PEÑA Y LUIS GUSTAVO PARRA NORIEGA; EN LA VIGÉSIMO CUARTA SESIÓN ORDINARIA CELEBRADA EL VEINTINUEVE DE JUNIO DE DOS MIL VEINTIDÓS, ANTE EL SECRETARIO TÉCNICO DEL PLENO, ALEXIS TAPIA RAMÍREZ.</w:t>
      </w:r>
    </w:p>
    <w:p w14:paraId="1DDA0DA3" w14:textId="77777777" w:rsidR="00155155" w:rsidRPr="00AE3B69" w:rsidRDefault="00155155">
      <w:pPr>
        <w:spacing w:before="240" w:after="240" w:line="360" w:lineRule="auto"/>
        <w:jc w:val="both"/>
        <w:rPr>
          <w:rFonts w:ascii="Palatino Linotype" w:eastAsia="Palatino Linotype" w:hAnsi="Palatino Linotype" w:cs="Palatino Linotype"/>
        </w:rPr>
      </w:pPr>
    </w:p>
    <w:p w14:paraId="5149EA2D" w14:textId="77777777" w:rsidR="00155155" w:rsidRPr="00AE3B69" w:rsidRDefault="00E020DD">
      <w:pPr>
        <w:spacing w:before="240" w:after="240" w:line="360" w:lineRule="auto"/>
        <w:jc w:val="both"/>
        <w:rPr>
          <w:rFonts w:ascii="Palatino Linotype" w:eastAsia="Palatino Linotype" w:hAnsi="Palatino Linotype" w:cs="Palatino Linotype"/>
        </w:rPr>
      </w:pPr>
      <w:r w:rsidRPr="00AE3B69">
        <w:rPr>
          <w:noProof/>
          <w:lang w:val="es-MX"/>
        </w:rPr>
        <mc:AlternateContent>
          <mc:Choice Requires="wpg">
            <w:drawing>
              <wp:anchor distT="0" distB="0" distL="114300" distR="114300" simplePos="0" relativeHeight="251658240" behindDoc="0" locked="0" layoutInCell="1" hidden="0" allowOverlap="1" wp14:anchorId="21BED35A" wp14:editId="30BED992">
                <wp:simplePos x="0" y="0"/>
                <wp:positionH relativeFrom="column">
                  <wp:posOffset>-12699</wp:posOffset>
                </wp:positionH>
                <wp:positionV relativeFrom="paragraph">
                  <wp:posOffset>12700</wp:posOffset>
                </wp:positionV>
                <wp:extent cx="5505253" cy="4224765"/>
                <wp:effectExtent l="0" t="0" r="0" b="0"/>
                <wp:wrapNone/>
                <wp:docPr id="49" name=""/>
                <wp:cNvGraphicFramePr/>
                <a:graphic xmlns:a="http://schemas.openxmlformats.org/drawingml/2006/main">
                  <a:graphicData uri="http://schemas.microsoft.com/office/word/2010/wordprocessingShape">
                    <wps:wsp>
                      <wps:cNvCnPr/>
                      <wps:spPr>
                        <a:xfrm>
                          <a:off x="2618774" y="1693018"/>
                          <a:ext cx="5454453" cy="4173965"/>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5505253" cy="4224765"/>
                <wp:effectExtent b="0" l="0" r="0" t="0"/>
                <wp:wrapNone/>
                <wp:docPr id="49"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505253" cy="4224765"/>
                        </a:xfrm>
                        <a:prstGeom prst="rect"/>
                        <a:ln/>
                      </pic:spPr>
                    </pic:pic>
                  </a:graphicData>
                </a:graphic>
              </wp:anchor>
            </w:drawing>
          </mc:Fallback>
        </mc:AlternateContent>
      </w:r>
    </w:p>
    <w:p w14:paraId="1BA99086" w14:textId="77777777" w:rsidR="00155155" w:rsidRPr="00AE3B69" w:rsidRDefault="00155155">
      <w:pPr>
        <w:spacing w:before="240" w:after="240" w:line="360" w:lineRule="auto"/>
        <w:jc w:val="both"/>
        <w:rPr>
          <w:rFonts w:ascii="Palatino Linotype" w:eastAsia="Palatino Linotype" w:hAnsi="Palatino Linotype" w:cs="Palatino Linotype"/>
        </w:rPr>
      </w:pPr>
    </w:p>
    <w:p w14:paraId="531A25CB" w14:textId="77777777" w:rsidR="00155155" w:rsidRPr="00AE3B69" w:rsidRDefault="00155155">
      <w:pPr>
        <w:spacing w:before="240" w:after="240"/>
        <w:jc w:val="both"/>
        <w:rPr>
          <w:rFonts w:ascii="Palatino Linotype" w:eastAsia="Palatino Linotype" w:hAnsi="Palatino Linotype" w:cs="Palatino Linotype"/>
          <w:sz w:val="20"/>
          <w:szCs w:val="20"/>
        </w:rPr>
      </w:pPr>
    </w:p>
    <w:p w14:paraId="2D28B0AB" w14:textId="77777777" w:rsidR="00155155" w:rsidRPr="00AE3B69" w:rsidRDefault="00155155">
      <w:pPr>
        <w:spacing w:before="240" w:after="240"/>
        <w:jc w:val="both"/>
        <w:rPr>
          <w:rFonts w:ascii="Palatino Linotype" w:eastAsia="Palatino Linotype" w:hAnsi="Palatino Linotype" w:cs="Palatino Linotype"/>
          <w:sz w:val="20"/>
          <w:szCs w:val="20"/>
        </w:rPr>
      </w:pPr>
    </w:p>
    <w:p w14:paraId="0D0E5462" w14:textId="77777777" w:rsidR="00155155" w:rsidRPr="00AE3B69" w:rsidRDefault="00155155">
      <w:pPr>
        <w:spacing w:before="240" w:after="240"/>
        <w:jc w:val="both"/>
        <w:rPr>
          <w:rFonts w:ascii="Palatino Linotype" w:eastAsia="Palatino Linotype" w:hAnsi="Palatino Linotype" w:cs="Palatino Linotype"/>
          <w:sz w:val="20"/>
          <w:szCs w:val="20"/>
        </w:rPr>
      </w:pPr>
    </w:p>
    <w:p w14:paraId="79C7F948" w14:textId="77777777" w:rsidR="00155155" w:rsidRPr="00AE3B69" w:rsidRDefault="00155155">
      <w:pPr>
        <w:spacing w:before="240" w:after="240"/>
        <w:jc w:val="both"/>
        <w:rPr>
          <w:rFonts w:ascii="Palatino Linotype" w:eastAsia="Palatino Linotype" w:hAnsi="Palatino Linotype" w:cs="Palatino Linotype"/>
          <w:sz w:val="20"/>
          <w:szCs w:val="20"/>
        </w:rPr>
      </w:pPr>
    </w:p>
    <w:p w14:paraId="07B33C84" w14:textId="77777777" w:rsidR="00155155" w:rsidRPr="00AE3B69" w:rsidRDefault="00155155">
      <w:pPr>
        <w:spacing w:before="240" w:after="240"/>
        <w:jc w:val="both"/>
        <w:rPr>
          <w:rFonts w:ascii="Palatino Linotype" w:eastAsia="Palatino Linotype" w:hAnsi="Palatino Linotype" w:cs="Palatino Linotype"/>
          <w:sz w:val="20"/>
          <w:szCs w:val="20"/>
        </w:rPr>
      </w:pPr>
    </w:p>
    <w:p w14:paraId="02254316" w14:textId="77777777" w:rsidR="00155155" w:rsidRPr="00AE3B69" w:rsidRDefault="00155155">
      <w:pPr>
        <w:spacing w:before="240" w:after="240"/>
        <w:jc w:val="both"/>
        <w:rPr>
          <w:rFonts w:ascii="Palatino Linotype" w:eastAsia="Palatino Linotype" w:hAnsi="Palatino Linotype" w:cs="Palatino Linotype"/>
          <w:sz w:val="20"/>
          <w:szCs w:val="20"/>
        </w:rPr>
      </w:pPr>
    </w:p>
    <w:p w14:paraId="6A8B6022" w14:textId="77777777" w:rsidR="00155155" w:rsidRPr="00AE3B69" w:rsidRDefault="00155155">
      <w:pPr>
        <w:spacing w:before="240" w:after="240"/>
        <w:jc w:val="both"/>
        <w:rPr>
          <w:rFonts w:ascii="Palatino Linotype" w:eastAsia="Palatino Linotype" w:hAnsi="Palatino Linotype" w:cs="Palatino Linotype"/>
          <w:sz w:val="20"/>
          <w:szCs w:val="20"/>
        </w:rPr>
      </w:pPr>
    </w:p>
    <w:p w14:paraId="7FF3DA95" w14:textId="77777777" w:rsidR="00155155" w:rsidRPr="00AE3B69" w:rsidRDefault="00155155">
      <w:pPr>
        <w:spacing w:before="240" w:after="240"/>
        <w:jc w:val="both"/>
        <w:rPr>
          <w:rFonts w:ascii="Palatino Linotype" w:eastAsia="Palatino Linotype" w:hAnsi="Palatino Linotype" w:cs="Palatino Linotype"/>
          <w:sz w:val="20"/>
          <w:szCs w:val="20"/>
        </w:rPr>
      </w:pPr>
    </w:p>
    <w:p w14:paraId="49157BFE" w14:textId="77777777" w:rsidR="00155155" w:rsidRPr="00AE3B69" w:rsidRDefault="00155155">
      <w:pPr>
        <w:spacing w:before="240" w:after="240"/>
        <w:jc w:val="both"/>
        <w:rPr>
          <w:rFonts w:ascii="Palatino Linotype" w:eastAsia="Palatino Linotype" w:hAnsi="Palatino Linotype" w:cs="Palatino Linotype"/>
          <w:sz w:val="20"/>
          <w:szCs w:val="20"/>
        </w:rPr>
      </w:pPr>
    </w:p>
    <w:p w14:paraId="58428E79" w14:textId="77777777" w:rsidR="00155155" w:rsidRPr="00AE3B69" w:rsidRDefault="00155155">
      <w:pPr>
        <w:spacing w:before="240" w:after="240"/>
        <w:jc w:val="both"/>
        <w:rPr>
          <w:rFonts w:ascii="Palatino Linotype" w:eastAsia="Palatino Linotype" w:hAnsi="Palatino Linotype" w:cs="Palatino Linotype"/>
          <w:sz w:val="20"/>
          <w:szCs w:val="20"/>
        </w:rPr>
      </w:pPr>
    </w:p>
    <w:p w14:paraId="0C609193" w14:textId="77777777" w:rsidR="00155155" w:rsidRPr="00AE3B69" w:rsidRDefault="00155155">
      <w:pPr>
        <w:spacing w:before="240" w:after="240"/>
        <w:jc w:val="both"/>
        <w:rPr>
          <w:rFonts w:ascii="Palatino Linotype" w:eastAsia="Palatino Linotype" w:hAnsi="Palatino Linotype" w:cs="Palatino Linotype"/>
          <w:sz w:val="20"/>
          <w:szCs w:val="20"/>
        </w:rPr>
      </w:pPr>
    </w:p>
    <w:p w14:paraId="6FBD712B" w14:textId="77777777" w:rsidR="00155155" w:rsidRPr="00AE3B69" w:rsidRDefault="00155155">
      <w:pPr>
        <w:spacing w:before="240" w:after="240"/>
        <w:jc w:val="both"/>
        <w:rPr>
          <w:rFonts w:ascii="Palatino Linotype" w:eastAsia="Palatino Linotype" w:hAnsi="Palatino Linotype" w:cs="Palatino Linotype"/>
          <w:sz w:val="20"/>
          <w:szCs w:val="20"/>
        </w:rPr>
      </w:pPr>
    </w:p>
    <w:p w14:paraId="51AB645F" w14:textId="77777777" w:rsidR="00155155" w:rsidRPr="00AE3B69" w:rsidRDefault="00155155">
      <w:pPr>
        <w:spacing w:before="240" w:after="240"/>
        <w:jc w:val="both"/>
        <w:rPr>
          <w:rFonts w:ascii="Palatino Linotype" w:eastAsia="Palatino Linotype" w:hAnsi="Palatino Linotype" w:cs="Palatino Linotype"/>
          <w:sz w:val="20"/>
          <w:szCs w:val="20"/>
        </w:rPr>
      </w:pPr>
    </w:p>
    <w:p w14:paraId="37368420" w14:textId="77777777" w:rsidR="00155155" w:rsidRPr="00AE3B69" w:rsidRDefault="00155155">
      <w:pPr>
        <w:spacing w:before="240" w:after="240"/>
        <w:jc w:val="both"/>
        <w:rPr>
          <w:rFonts w:ascii="Palatino Linotype" w:eastAsia="Palatino Linotype" w:hAnsi="Palatino Linotype" w:cs="Palatino Linotype"/>
          <w:sz w:val="20"/>
          <w:szCs w:val="20"/>
        </w:rPr>
      </w:pPr>
    </w:p>
    <w:p w14:paraId="4177A3E1" w14:textId="77777777" w:rsidR="00155155" w:rsidRPr="00AE3B69" w:rsidRDefault="00155155">
      <w:pPr>
        <w:spacing w:before="240" w:after="240"/>
        <w:jc w:val="both"/>
        <w:rPr>
          <w:rFonts w:ascii="Palatino Linotype" w:eastAsia="Palatino Linotype" w:hAnsi="Palatino Linotype" w:cs="Palatino Linotype"/>
          <w:sz w:val="20"/>
          <w:szCs w:val="20"/>
        </w:rPr>
      </w:pPr>
    </w:p>
    <w:p w14:paraId="25D6C9EE" w14:textId="77777777" w:rsidR="00155155" w:rsidRPr="00AE3B69" w:rsidRDefault="00155155">
      <w:pPr>
        <w:spacing w:before="240" w:after="240"/>
        <w:jc w:val="both"/>
        <w:rPr>
          <w:rFonts w:ascii="Palatino Linotype" w:eastAsia="Palatino Linotype" w:hAnsi="Palatino Linotype" w:cs="Palatino Linotype"/>
          <w:sz w:val="20"/>
          <w:szCs w:val="20"/>
        </w:rPr>
      </w:pPr>
    </w:p>
    <w:p w14:paraId="3C0D651C" w14:textId="77777777" w:rsidR="00155155" w:rsidRPr="00AE3B69" w:rsidRDefault="00155155">
      <w:pPr>
        <w:spacing w:before="240" w:after="240"/>
        <w:jc w:val="both"/>
        <w:rPr>
          <w:rFonts w:ascii="Palatino Linotype" w:eastAsia="Palatino Linotype" w:hAnsi="Palatino Linotype" w:cs="Palatino Linotype"/>
          <w:sz w:val="20"/>
          <w:szCs w:val="20"/>
        </w:rPr>
      </w:pPr>
    </w:p>
    <w:p w14:paraId="68ECBF1B" w14:textId="77777777" w:rsidR="00155155" w:rsidRPr="00AE3B69" w:rsidRDefault="00155155">
      <w:pPr>
        <w:spacing w:before="240" w:after="240"/>
        <w:jc w:val="both"/>
        <w:rPr>
          <w:rFonts w:ascii="Palatino Linotype" w:eastAsia="Palatino Linotype" w:hAnsi="Palatino Linotype" w:cs="Palatino Linotype"/>
          <w:sz w:val="20"/>
          <w:szCs w:val="20"/>
        </w:rPr>
      </w:pPr>
    </w:p>
    <w:p w14:paraId="5D6C6A24" w14:textId="77777777" w:rsidR="00155155" w:rsidRPr="00AE3B69" w:rsidRDefault="00155155">
      <w:pPr>
        <w:spacing w:before="240" w:after="240"/>
        <w:jc w:val="both"/>
        <w:rPr>
          <w:rFonts w:ascii="Palatino Linotype" w:eastAsia="Palatino Linotype" w:hAnsi="Palatino Linotype" w:cs="Palatino Linotype"/>
          <w:sz w:val="20"/>
          <w:szCs w:val="20"/>
        </w:rPr>
      </w:pPr>
    </w:p>
    <w:p w14:paraId="2330C02C" w14:textId="77777777" w:rsidR="00155155" w:rsidRPr="00AE3B69" w:rsidRDefault="00155155">
      <w:pPr>
        <w:spacing w:before="240" w:after="240"/>
        <w:jc w:val="both"/>
        <w:rPr>
          <w:rFonts w:ascii="Palatino Linotype" w:eastAsia="Palatino Linotype" w:hAnsi="Palatino Linotype" w:cs="Palatino Linotype"/>
          <w:sz w:val="20"/>
          <w:szCs w:val="20"/>
        </w:rPr>
      </w:pPr>
    </w:p>
    <w:p w14:paraId="20490A57" w14:textId="77777777" w:rsidR="00155155" w:rsidRPr="00AE3B69" w:rsidRDefault="00155155">
      <w:pPr>
        <w:spacing w:before="240" w:after="240"/>
        <w:jc w:val="both"/>
        <w:rPr>
          <w:rFonts w:ascii="Palatino Linotype" w:eastAsia="Palatino Linotype" w:hAnsi="Palatino Linotype" w:cs="Palatino Linotype"/>
          <w:sz w:val="20"/>
          <w:szCs w:val="20"/>
        </w:rPr>
      </w:pPr>
    </w:p>
    <w:sectPr w:rsidR="00155155" w:rsidRPr="00AE3B69">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BDD5BF" w14:textId="77777777" w:rsidR="00014206" w:rsidRDefault="00E020DD">
      <w:r>
        <w:separator/>
      </w:r>
    </w:p>
  </w:endnote>
  <w:endnote w:type="continuationSeparator" w:id="0">
    <w:p w14:paraId="41F4058E" w14:textId="77777777" w:rsidR="00014206" w:rsidRDefault="00E02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3916E" w14:textId="77777777" w:rsidR="00155155" w:rsidRDefault="00E020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4788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47881">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176EEA87" w14:textId="77777777" w:rsidR="00155155" w:rsidRDefault="0015515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9D629" w14:textId="77777777" w:rsidR="00155155" w:rsidRDefault="00E020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4788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47881">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0789CE7F" w14:textId="77777777" w:rsidR="00155155" w:rsidRDefault="001551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D8085" w14:textId="77777777" w:rsidR="00014206" w:rsidRDefault="00E020DD">
      <w:r>
        <w:separator/>
      </w:r>
    </w:p>
  </w:footnote>
  <w:footnote w:type="continuationSeparator" w:id="0">
    <w:p w14:paraId="34CFD5F3" w14:textId="77777777" w:rsidR="00014206" w:rsidRDefault="00E020DD">
      <w:r>
        <w:continuationSeparator/>
      </w:r>
    </w:p>
  </w:footnote>
  <w:footnote w:id="1">
    <w:p w14:paraId="7100A379" w14:textId="77777777" w:rsidR="00155155" w:rsidRDefault="00E020DD">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408C3EA3" w14:textId="77777777" w:rsidR="00155155" w:rsidRDefault="00E020DD">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5F4BB96C" w14:textId="77777777" w:rsidR="00155155" w:rsidRDefault="00E020DD">
      <w:pPr>
        <w:ind w:right="49"/>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i/>
          <w:sz w:val="16"/>
          <w:szCs w:val="16"/>
        </w:rPr>
        <w:t>Artículo 53.</w:t>
      </w:r>
      <w:r>
        <w:rPr>
          <w:rFonts w:ascii="Palatino Linotype" w:eastAsia="Palatino Linotype" w:hAnsi="Palatino Linotype" w:cs="Palatino Linotype"/>
          <w:i/>
          <w:sz w:val="16"/>
          <w:szCs w:val="16"/>
        </w:rPr>
        <w:t xml:space="preserve"> Las </w:t>
      </w:r>
      <w:r>
        <w:rPr>
          <w:rFonts w:ascii="Palatino Linotype" w:eastAsia="Palatino Linotype" w:hAnsi="Palatino Linotype" w:cs="Palatino Linotype"/>
          <w:b/>
          <w:i/>
          <w:sz w:val="16"/>
          <w:szCs w:val="16"/>
        </w:rPr>
        <w:t>Unidades de Transparencia</w:t>
      </w:r>
      <w:r>
        <w:rPr>
          <w:rFonts w:ascii="Palatino Linotype" w:eastAsia="Palatino Linotype" w:hAnsi="Palatino Linotype" w:cs="Palatino Linotype"/>
          <w:i/>
          <w:sz w:val="16"/>
          <w:szCs w:val="16"/>
        </w:rPr>
        <w:t xml:space="preserve"> tendrán las siguientes funciones:</w:t>
      </w:r>
    </w:p>
    <w:p w14:paraId="771545A3" w14:textId="77777777" w:rsidR="00155155" w:rsidRDefault="00E020DD">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i/>
          <w:sz w:val="16"/>
          <w:szCs w:val="16"/>
        </w:rPr>
        <w:t>II.</w:t>
      </w:r>
      <w:r>
        <w:rPr>
          <w:rFonts w:ascii="Palatino Linotype" w:eastAsia="Palatino Linotype" w:hAnsi="Palatino Linotype" w:cs="Palatino Linotype"/>
          <w:i/>
          <w:sz w:val="16"/>
          <w:szCs w:val="16"/>
        </w:rPr>
        <w:t xml:space="preserve"> Recibir, tramitar y dar respuesta a las solicitudes de acceso a la información;</w:t>
      </w:r>
    </w:p>
  </w:footnote>
  <w:footnote w:id="3">
    <w:p w14:paraId="061D8384" w14:textId="77777777" w:rsidR="00155155" w:rsidRDefault="00E020DD">
      <w:pPr>
        <w:pBdr>
          <w:top w:val="nil"/>
          <w:left w:val="nil"/>
          <w:bottom w:val="nil"/>
          <w:right w:val="nil"/>
          <w:between w:val="nil"/>
        </w:pBdr>
        <w:ind w:right="49"/>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i/>
          <w:color w:val="000000"/>
          <w:sz w:val="16"/>
          <w:szCs w:val="16"/>
        </w:rPr>
        <w:t>Artículo 162.</w:t>
      </w:r>
      <w:r>
        <w:rPr>
          <w:rFonts w:ascii="Palatino Linotype" w:eastAsia="Palatino Linotype" w:hAnsi="Palatino Linotype" w:cs="Palatino Linotype"/>
          <w:i/>
          <w:color w:val="000000"/>
          <w:sz w:val="16"/>
          <w:szCs w:val="16"/>
        </w:rPr>
        <w:t xml:space="preserve"> Las </w:t>
      </w:r>
      <w:r>
        <w:rPr>
          <w:rFonts w:ascii="Palatino Linotype" w:eastAsia="Palatino Linotype" w:hAnsi="Palatino Linotype" w:cs="Palatino Linotype"/>
          <w:b/>
          <w:i/>
          <w:color w:val="000000"/>
          <w:sz w:val="16"/>
          <w:szCs w:val="16"/>
        </w:rPr>
        <w:t>unidades de transparencia</w:t>
      </w:r>
      <w:r>
        <w:rPr>
          <w:rFonts w:ascii="Palatino Linotype" w:eastAsia="Palatino Linotype" w:hAnsi="Palatino Linotype" w:cs="Palatino Linotype"/>
          <w:i/>
          <w:color w:val="000000"/>
          <w:sz w:val="16"/>
          <w:szCs w:val="16"/>
        </w:rPr>
        <w:t xml:space="preserve"> deberán </w:t>
      </w:r>
      <w:r>
        <w:rPr>
          <w:rFonts w:ascii="Palatino Linotype" w:eastAsia="Palatino Linotype" w:hAnsi="Palatino Linotype" w:cs="Palatino Linotype"/>
          <w:b/>
          <w:i/>
          <w:color w:val="000000"/>
          <w:sz w:val="16"/>
          <w:szCs w:val="16"/>
        </w:rPr>
        <w:t>garantizar que las solicitudes se turnen a todas las Áreas competentes</w:t>
      </w:r>
      <w:r>
        <w:rPr>
          <w:rFonts w:ascii="Palatino Linotype" w:eastAsia="Palatino Linotype" w:hAnsi="Palatino Linotype" w:cs="Palatino Linotype"/>
          <w:i/>
          <w:color w:val="000000"/>
          <w:sz w:val="16"/>
          <w:szCs w:val="16"/>
        </w:rPr>
        <w:t xml:space="preserve"> que </w:t>
      </w:r>
      <w:r>
        <w:rPr>
          <w:rFonts w:ascii="Palatino Linotype" w:eastAsia="Palatino Linotype" w:hAnsi="Palatino Linotype" w:cs="Palatino Linotype"/>
          <w:b/>
          <w:i/>
          <w:color w:val="000000"/>
          <w:sz w:val="16"/>
          <w:szCs w:val="16"/>
        </w:rPr>
        <w:t>cuenten con la información o deban tenerla de acuerdo a sus facultades, competencias y funciones,</w:t>
      </w:r>
      <w:r>
        <w:rPr>
          <w:rFonts w:ascii="Palatino Linotype" w:eastAsia="Palatino Linotype" w:hAnsi="Palatino Linotype" w:cs="Palatino Linotype"/>
          <w:i/>
          <w:color w:val="000000"/>
          <w:sz w:val="16"/>
          <w:szCs w:val="16"/>
        </w:rPr>
        <w:t xml:space="preserve"> con el objeto de que realicen una </w:t>
      </w:r>
      <w:r>
        <w:rPr>
          <w:rFonts w:ascii="Palatino Linotype" w:eastAsia="Palatino Linotype" w:hAnsi="Palatino Linotype" w:cs="Palatino Linotype"/>
          <w:b/>
          <w:i/>
          <w:color w:val="000000"/>
          <w:sz w:val="16"/>
          <w:szCs w:val="16"/>
        </w:rPr>
        <w:t>búsqueda exhaustiva y razonable</w:t>
      </w:r>
      <w:r>
        <w:rPr>
          <w:rFonts w:ascii="Palatino Linotype" w:eastAsia="Palatino Linotype" w:hAnsi="Palatino Linotype" w:cs="Palatino Linotype"/>
          <w:i/>
          <w:color w:val="000000"/>
          <w:sz w:val="16"/>
          <w:szCs w:val="16"/>
        </w:rPr>
        <w:t xml:space="preserve"> de la información solicitada</w:t>
      </w:r>
    </w:p>
  </w:footnote>
  <w:footnote w:id="4">
    <w:p w14:paraId="354B17D3" w14:textId="77777777" w:rsidR="00155155" w:rsidRDefault="00E020D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5">
    <w:p w14:paraId="1CDDCE53" w14:textId="77777777" w:rsidR="00155155" w:rsidRDefault="00E020D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441035F" w14:textId="77777777" w:rsidR="00155155" w:rsidRDefault="00E020D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 w:id="6">
    <w:p w14:paraId="4D2B1659" w14:textId="77777777" w:rsidR="00155155" w:rsidRDefault="00E020D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16"/>
          <w:szCs w:val="16"/>
        </w:rPr>
        <w:t xml:space="preserve"> </w:t>
      </w:r>
      <w:r>
        <w:rPr>
          <w:rFonts w:ascii="Palatino Linotype" w:eastAsia="Palatino Linotype" w:hAnsi="Palatino Linotype" w:cs="Palatino Linotype"/>
          <w:color w:val="000000"/>
          <w:sz w:val="16"/>
          <w:szCs w:val="16"/>
        </w:rPr>
        <w:t>“Artículo 12. (…)</w:t>
      </w:r>
    </w:p>
    <w:p w14:paraId="09052F13" w14:textId="77777777" w:rsidR="00155155" w:rsidRDefault="00E020DD">
      <w:pPr>
        <w:pBdr>
          <w:top w:val="nil"/>
          <w:left w:val="nil"/>
          <w:bottom w:val="nil"/>
          <w:right w:val="nil"/>
          <w:between w:val="nil"/>
        </w:pBdr>
        <w:jc w:val="both"/>
        <w:rPr>
          <w:rFonts w:ascii="Cambria" w:eastAsia="Cambria" w:hAnsi="Cambria" w:cs="Cambria"/>
          <w:color w:val="000000"/>
          <w:sz w:val="16"/>
          <w:szCs w:val="16"/>
        </w:rPr>
      </w:pPr>
      <w:r>
        <w:rPr>
          <w:rFonts w:ascii="Palatino Linotype" w:eastAsia="Palatino Linotype" w:hAnsi="Palatino Linotype" w:cs="Palatino Linotype"/>
          <w:color w:val="000000"/>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7">
    <w:p w14:paraId="26EB9E1B" w14:textId="77777777" w:rsidR="00155155" w:rsidRDefault="00E020DD">
      <w:pPr>
        <w:pBdr>
          <w:top w:val="nil"/>
          <w:left w:val="nil"/>
          <w:bottom w:val="nil"/>
          <w:right w:val="nil"/>
          <w:between w:val="nil"/>
        </w:pBdr>
        <w:jc w:val="both"/>
        <w:rPr>
          <w:rFonts w:ascii="Palatino Linotype" w:eastAsia="Palatino Linotype" w:hAnsi="Palatino Linotype" w:cs="Palatino Linotype"/>
          <w:color w:val="000000"/>
          <w:sz w:val="16"/>
          <w:szCs w:val="16"/>
          <w:highlight w:val="white"/>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p w14:paraId="381D401C" w14:textId="77777777" w:rsidR="00155155" w:rsidRDefault="00E020D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D1460" w14:textId="77777777" w:rsidR="00155155" w:rsidRDefault="00E020D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3EB0B55" wp14:editId="6B1E6AA2">
          <wp:simplePos x="0" y="0"/>
          <wp:positionH relativeFrom="column">
            <wp:posOffset>-1080131</wp:posOffset>
          </wp:positionH>
          <wp:positionV relativeFrom="paragraph">
            <wp:posOffset>-450211</wp:posOffset>
          </wp:positionV>
          <wp:extent cx="7809865" cy="10165715"/>
          <wp:effectExtent l="0" t="0" r="0" b="0"/>
          <wp:wrapNone/>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953" w:type="dxa"/>
      <w:tblInd w:w="3261" w:type="dxa"/>
      <w:tblLayout w:type="fixed"/>
      <w:tblLook w:val="0400" w:firstRow="0" w:lastRow="0" w:firstColumn="0" w:lastColumn="0" w:noHBand="0" w:noVBand="1"/>
    </w:tblPr>
    <w:tblGrid>
      <w:gridCol w:w="2489"/>
      <w:gridCol w:w="3464"/>
    </w:tblGrid>
    <w:tr w:rsidR="00155155" w14:paraId="2844E3D5" w14:textId="77777777">
      <w:tc>
        <w:tcPr>
          <w:tcW w:w="2489" w:type="dxa"/>
          <w:shd w:val="clear" w:color="auto" w:fill="auto"/>
        </w:tcPr>
        <w:p w14:paraId="1DB37015" w14:textId="77777777" w:rsidR="00155155" w:rsidRDefault="00E020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7DF9ADE" w14:textId="77777777" w:rsidR="00155155" w:rsidRDefault="00E020D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03444/INFOEM/IP/RR/2022 y acumulado</w:t>
          </w:r>
        </w:p>
      </w:tc>
    </w:tr>
    <w:tr w:rsidR="00155155" w14:paraId="59C47D44" w14:textId="77777777">
      <w:trPr>
        <w:trHeight w:val="228"/>
      </w:trPr>
      <w:tc>
        <w:tcPr>
          <w:tcW w:w="2489" w:type="dxa"/>
          <w:shd w:val="clear" w:color="auto" w:fill="auto"/>
          <w:vAlign w:val="center"/>
        </w:tcPr>
        <w:p w14:paraId="75E52A28" w14:textId="77777777" w:rsidR="00155155" w:rsidRDefault="00E020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38F412E" w14:textId="77777777" w:rsidR="00155155" w:rsidRDefault="00E020D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155155" w14:paraId="4A2B927D" w14:textId="77777777">
      <w:tc>
        <w:tcPr>
          <w:tcW w:w="2489" w:type="dxa"/>
          <w:shd w:val="clear" w:color="auto" w:fill="auto"/>
          <w:vAlign w:val="center"/>
        </w:tcPr>
        <w:p w14:paraId="620687C5" w14:textId="77777777" w:rsidR="00155155" w:rsidRDefault="00E020D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F938A40" w14:textId="77777777" w:rsidR="00155155" w:rsidRDefault="00E020D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9FAC11" w14:textId="77777777" w:rsidR="00155155" w:rsidRDefault="00E020D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41442" w14:textId="77777777" w:rsidR="00155155" w:rsidRDefault="0015515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6"/>
      <w:tblW w:w="5670" w:type="dxa"/>
      <w:tblInd w:w="3261" w:type="dxa"/>
      <w:tblLayout w:type="fixed"/>
      <w:tblLook w:val="0400" w:firstRow="0" w:lastRow="0" w:firstColumn="0" w:lastColumn="0" w:noHBand="0" w:noVBand="1"/>
    </w:tblPr>
    <w:tblGrid>
      <w:gridCol w:w="2551"/>
      <w:gridCol w:w="3119"/>
    </w:tblGrid>
    <w:tr w:rsidR="00155155" w14:paraId="68196B1A" w14:textId="77777777">
      <w:tc>
        <w:tcPr>
          <w:tcW w:w="2551" w:type="dxa"/>
          <w:shd w:val="clear" w:color="auto" w:fill="auto"/>
          <w:vAlign w:val="center"/>
        </w:tcPr>
        <w:p w14:paraId="43E9EFE8" w14:textId="77777777" w:rsidR="00155155" w:rsidRDefault="00E020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0A57F83" w14:textId="77777777" w:rsidR="00155155" w:rsidRDefault="00E020D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03444/INFOEM/IP/RR/2022 y acumulado</w:t>
          </w:r>
        </w:p>
      </w:tc>
    </w:tr>
    <w:tr w:rsidR="00155155" w14:paraId="4DA27511" w14:textId="77777777">
      <w:trPr>
        <w:trHeight w:val="130"/>
      </w:trPr>
      <w:tc>
        <w:tcPr>
          <w:tcW w:w="2551" w:type="dxa"/>
          <w:shd w:val="clear" w:color="auto" w:fill="auto"/>
          <w:vAlign w:val="center"/>
        </w:tcPr>
        <w:p w14:paraId="322EAC39" w14:textId="77777777" w:rsidR="00155155" w:rsidRDefault="00E020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391DB9A" w14:textId="40D18E47" w:rsidR="00155155" w:rsidRDefault="00C47881" w:rsidP="00C47881">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r w:rsidR="00E020DD">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w:t>
          </w:r>
          <w:r w:rsidR="00E020DD">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w:t>
          </w:r>
        </w:p>
      </w:tc>
    </w:tr>
    <w:tr w:rsidR="00155155" w14:paraId="3DCD6ECB" w14:textId="77777777">
      <w:trPr>
        <w:trHeight w:val="228"/>
      </w:trPr>
      <w:tc>
        <w:tcPr>
          <w:tcW w:w="2551" w:type="dxa"/>
          <w:shd w:val="clear" w:color="auto" w:fill="auto"/>
          <w:vAlign w:val="center"/>
        </w:tcPr>
        <w:p w14:paraId="6C71EA02" w14:textId="77777777" w:rsidR="00155155" w:rsidRDefault="00E020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92B50F3" w14:textId="77777777" w:rsidR="00155155" w:rsidRDefault="00E020D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155155" w14:paraId="47C0D85F" w14:textId="77777777">
      <w:tc>
        <w:tcPr>
          <w:tcW w:w="2551" w:type="dxa"/>
          <w:shd w:val="clear" w:color="auto" w:fill="auto"/>
          <w:vAlign w:val="center"/>
        </w:tcPr>
        <w:p w14:paraId="0D202689" w14:textId="77777777" w:rsidR="00155155" w:rsidRDefault="00E020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572FF82" w14:textId="77777777" w:rsidR="00155155" w:rsidRDefault="00E020D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398C8D" w14:textId="77777777" w:rsidR="00155155" w:rsidRDefault="00E020DD">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8EDAFE2" wp14:editId="21811B4A">
          <wp:simplePos x="0" y="0"/>
          <wp:positionH relativeFrom="column">
            <wp:posOffset>-1090926</wp:posOffset>
          </wp:positionH>
          <wp:positionV relativeFrom="paragraph">
            <wp:posOffset>-1154426</wp:posOffset>
          </wp:positionV>
          <wp:extent cx="7809865" cy="1016571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A1B89"/>
    <w:multiLevelType w:val="multilevel"/>
    <w:tmpl w:val="1730E63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BFC6D87"/>
    <w:multiLevelType w:val="multilevel"/>
    <w:tmpl w:val="482AF60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52485F74"/>
    <w:multiLevelType w:val="multilevel"/>
    <w:tmpl w:val="83D60FC2"/>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155"/>
    <w:rsid w:val="00014206"/>
    <w:rsid w:val="00155155"/>
    <w:rsid w:val="004A4AAE"/>
    <w:rsid w:val="00AE3B69"/>
    <w:rsid w:val="00C47881"/>
    <w:rsid w:val="00E020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3269D"/>
  <w15:docId w15:val="{345216A3-C15F-41A0-8C8D-D31BC6FC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08" w:type="dxa"/>
        <w:bottom w:w="0" w:type="dxa"/>
        <w:right w:w="108" w:type="dxa"/>
      </w:tblCellMar>
    </w:tbl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0.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n/XPElf6cGlJUhMM2wrkOkwbSw==">AMUW2mWNEkv+oMxr6/L0ptVywllnNAM7vOf+uFHz7T356GFjAczpn3g8BwKT6irHPLA+J7D6aNa6evTAo2Q8iroffFnhyGEp+vZN4BI5IeAqZfvKvk8MMdBoHMRC6ymcqicxsTc9KI+Brdzz4l59w7qcxW3WJx/dv6SqOGduPKIwulmfEjKdmmoueA3AVng+umO7NZi1a37bB2+TqjRGv76Ef5ZOES5L/g==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6028</Words>
  <Characters>33160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2022-07-07T19:51:00Z</dcterms:created>
  <dcterms:modified xsi:type="dcterms:W3CDTF">2022-07-07T19:51:00Z</dcterms:modified>
</cp:coreProperties>
</file>