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245" w:rsidRDefault="0068139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diez de febrero de dos mil veintidós</w:t>
      </w:r>
      <w:r>
        <w:rPr>
          <w:rFonts w:ascii="Palatino Linotype" w:eastAsia="Palatino Linotype" w:hAnsi="Palatino Linotype" w:cs="Palatino Linotype"/>
        </w:rPr>
        <w:t xml:space="preserve">. </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05849/INFOEM/IP/RR/2021,</w:t>
      </w:r>
      <w:r>
        <w:rPr>
          <w:rFonts w:ascii="Palatino Linotype" w:eastAsia="Palatino Linotype" w:hAnsi="Palatino Linotype" w:cs="Palatino Linotype"/>
        </w:rPr>
        <w:t xml:space="preserve"> interpuesto por</w:t>
      </w:r>
      <w:r>
        <w:rPr>
          <w:rFonts w:ascii="Palatino Linotype" w:eastAsia="Palatino Linotype" w:hAnsi="Palatino Linotype" w:cs="Palatino Linotype"/>
          <w:b/>
        </w:rPr>
        <w:t xml:space="preserve"> </w:t>
      </w:r>
      <w:r w:rsidR="00A33989" w:rsidRPr="00A33989">
        <w:rPr>
          <w:rFonts w:ascii="Palatino Linotype" w:eastAsia="Palatino Linotype" w:hAnsi="Palatino Linotype" w:cs="Palatino Linotype"/>
          <w:b/>
        </w:rPr>
        <w:t>XXXXXXXX XXXXXXX XXXXXXXXX</w:t>
      </w:r>
      <w:bookmarkStart w:id="0" w:name="_GoBack"/>
      <w:bookmarkEnd w:id="0"/>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contra de la respuesta por parte del </w:t>
      </w:r>
      <w:r>
        <w:rPr>
          <w:rFonts w:ascii="Palatino Linotype" w:eastAsia="Palatino Linotype" w:hAnsi="Palatino Linotype" w:cs="Palatino Linotype"/>
          <w:b/>
        </w:rPr>
        <w:t xml:space="preserve">Ayuntamiento de Chimalhuacán,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A64245" w:rsidRDefault="00681392">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A64245" w:rsidRDefault="0068139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w:t>
      </w:r>
      <w:r>
        <w:rPr>
          <w:rFonts w:ascii="Palatino Linotype" w:eastAsia="Palatino Linotype" w:hAnsi="Palatino Linotype" w:cs="Palatino Linotype"/>
          <w:b/>
        </w:rPr>
        <w:t xml:space="preserve"> doce de octubre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solicitud de acceso a la información pública, a la que se le asignó el número de folio </w:t>
      </w:r>
      <w:r>
        <w:rPr>
          <w:rFonts w:ascii="Palatino Linotype" w:eastAsia="Palatino Linotype" w:hAnsi="Palatino Linotype" w:cs="Palatino Linotype"/>
          <w:b/>
        </w:rPr>
        <w:t xml:space="preserve"> 00231/CHIMALHU/IP/2021, </w:t>
      </w:r>
      <w:r>
        <w:rPr>
          <w:rFonts w:ascii="Palatino Linotype" w:eastAsia="Palatino Linotype" w:hAnsi="Palatino Linotype" w:cs="Palatino Linotype"/>
        </w:rPr>
        <w:t xml:space="preserve">mediante la cual requirió la información siguiente: </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“Anexo solicitud” (Sic)</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El solicitante adjuntó el archivo electrónico </w:t>
      </w:r>
      <w:r>
        <w:rPr>
          <w:rFonts w:ascii="Palatino Linotype" w:eastAsia="Palatino Linotype" w:hAnsi="Palatino Linotype" w:cs="Palatino Linotype"/>
          <w:b/>
          <w:i/>
        </w:rPr>
        <w:t xml:space="preserve">“Proyecto Solicitud.pdf”, </w:t>
      </w:r>
      <w:r>
        <w:rPr>
          <w:rFonts w:ascii="Palatino Linotype" w:eastAsia="Palatino Linotype" w:hAnsi="Palatino Linotype" w:cs="Palatino Linotype"/>
        </w:rPr>
        <w:t xml:space="preserve">el cual consta de dos fojas y se inserta a continuación para mayor referencia: </w:t>
      </w:r>
    </w:p>
    <w:p w:rsidR="00A64245" w:rsidRDefault="00A64245">
      <w:pPr>
        <w:spacing w:before="240" w:after="240" w:line="360" w:lineRule="auto"/>
        <w:jc w:val="both"/>
        <w:rPr>
          <w:rFonts w:ascii="Palatino Linotype" w:eastAsia="Palatino Linotype" w:hAnsi="Palatino Linotype" w:cs="Palatino Linotype"/>
        </w:rPr>
      </w:pP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noProof/>
          <w:sz w:val="22"/>
          <w:szCs w:val="22"/>
          <w:lang w:val="es-MX"/>
        </w:rPr>
        <w:lastRenderedPageBreak/>
        <w:drawing>
          <wp:anchor distT="0" distB="0" distL="114300" distR="114300" simplePos="0" relativeHeight="251670528" behindDoc="0" locked="0" layoutInCell="1" allowOverlap="1" wp14:anchorId="1428EEFB" wp14:editId="0164D93F">
            <wp:simplePos x="0" y="0"/>
            <wp:positionH relativeFrom="column">
              <wp:posOffset>300990</wp:posOffset>
            </wp:positionH>
            <wp:positionV relativeFrom="paragraph">
              <wp:posOffset>0</wp:posOffset>
            </wp:positionV>
            <wp:extent cx="4933950" cy="7458075"/>
            <wp:effectExtent l="0" t="0" r="0" b="9525"/>
            <wp:wrapTopAndBottom/>
            <wp:docPr id="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4933950" cy="7458075"/>
                    </a:xfrm>
                    <a:prstGeom prst="rect">
                      <a:avLst/>
                    </a:prstGeom>
                    <a:ln/>
                  </pic:spPr>
                </pic:pic>
              </a:graphicData>
            </a:graphic>
            <wp14:sizeRelH relativeFrom="page">
              <wp14:pctWidth>0</wp14:pctWidth>
            </wp14:sizeRelH>
            <wp14:sizeRelV relativeFrom="page">
              <wp14:pctHeight>0</wp14:pctHeight>
            </wp14:sizeRelV>
          </wp:anchor>
        </w:drawing>
      </w:r>
    </w:p>
    <w:p w:rsidR="00A64245" w:rsidRDefault="00A64245">
      <w:pPr>
        <w:spacing w:before="240" w:after="240"/>
        <w:ind w:right="616"/>
        <w:jc w:val="center"/>
        <w:rPr>
          <w:rFonts w:ascii="Palatino Linotype" w:eastAsia="Palatino Linotype" w:hAnsi="Palatino Linotype" w:cs="Palatino Linotype"/>
          <w:i/>
          <w:sz w:val="22"/>
          <w:szCs w:val="22"/>
        </w:rPr>
      </w:pPr>
    </w:p>
    <w:p w:rsidR="00A64245" w:rsidRDefault="00681392">
      <w:pPr>
        <w:spacing w:before="240" w:after="240"/>
        <w:ind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rPr>
        <w:drawing>
          <wp:inline distT="0" distB="0" distL="0" distR="0">
            <wp:extent cx="5610225" cy="5305425"/>
            <wp:effectExtent l="0" t="0" r="0" b="0"/>
            <wp:docPr id="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0225" cy="5305425"/>
                    </a:xfrm>
                    <a:prstGeom prst="rect">
                      <a:avLst/>
                    </a:prstGeom>
                    <a:ln/>
                  </pic:spPr>
                </pic:pic>
              </a:graphicData>
            </a:graphic>
          </wp:inline>
        </w:drawing>
      </w:r>
    </w:p>
    <w:p w:rsidR="00A64245" w:rsidRDefault="0068139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b/>
        </w:rPr>
        <w:tab/>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uno de noviembre de dos mil veintiuno</w:t>
      </w:r>
      <w:r>
        <w:rPr>
          <w:rFonts w:ascii="Palatino Linotype" w:eastAsia="Palatino Linotype" w:hAnsi="Palatino Linotype" w:cs="Palatino Linotype"/>
        </w:rPr>
        <w:t xml:space="preserve">, el Sujeto Obligado  remitió su respuesta a la solicitud de acceso a la información a través del SAIMEX, sustancialmente en los términos siguientes:   </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A64245" w:rsidRDefault="00681392">
      <w:pPr>
        <w:spacing w:before="240" w:after="240"/>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Se anexan documentos en formatos PDF con los requerimientos que competen a la Dirección de Electrificación y Alumbrado Publico </w:t>
      </w:r>
      <w:r>
        <w:rPr>
          <w:rFonts w:ascii="Palatino Linotype" w:eastAsia="Palatino Linotype" w:hAnsi="Palatino Linotype" w:cs="Palatino Linotype"/>
          <w:b/>
          <w:i/>
          <w:sz w:val="22"/>
          <w:szCs w:val="22"/>
          <w:u w:val="single"/>
        </w:rPr>
        <w:t>Se anexan documentos en formatos PDF con los requerimientos que competen a la Dirección de Electrificación y Alumbrado Publico LE ENVIAMOS EL CENSO QUE FUE LEVANTADO EN CONJUNTO CON LA C.F.E. PARA EL 2020 LE VAMOS A ENVIAR LO QUE TENEMOS RELACIONADO CON EL D.A.P. Y EN RELACION A TODO LO DEMAS QUE NOS SOLICITAN, RESPETUOSAMENTE LES PEDIMOS QUE LO SOLICITEN A LA C.F.E. POR TRATARSE DE DOCUMENTACION QUE ENTRE ELLOS SE GENERAN ENTRE C.F.E. DISTRIBUCION Y SUMINISTRO BASICO Y QUE NOSOTROS NO TENEMOS EN NUESTRO PODER. ASI COMO RECARGOS ECONOMICOS A FAVOR O EN CONTRA QUE SE NOS HAYAN NOTIFICADO DERIVADOS DEL CENSO. ATENTAMENTE LA TESORERA MUNICIPAL</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CELSO ORTIZ TORRES " (Sic) (Énfasis añadido)</w:t>
      </w:r>
    </w:p>
    <w:p w:rsidR="00A64245" w:rsidRDefault="00681392">
      <w:pPr>
        <w:spacing w:before="240" w:after="240"/>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rsidR="00A64245" w:rsidRDefault="00681392">
      <w:pPr>
        <w:spacing w:before="240" w:after="240" w:line="360" w:lineRule="auto"/>
        <w:ind w:left="567" w:right="902"/>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58240" behindDoc="0" locked="0" layoutInCell="1" hidden="0" allowOverlap="1" wp14:anchorId="6F1B3DDB" wp14:editId="0320FEBC">
                <wp:simplePos x="0" y="0"/>
                <wp:positionH relativeFrom="column">
                  <wp:posOffset>405765</wp:posOffset>
                </wp:positionH>
                <wp:positionV relativeFrom="paragraph">
                  <wp:posOffset>243205</wp:posOffset>
                </wp:positionV>
                <wp:extent cx="4953000" cy="2657475"/>
                <wp:effectExtent l="0" t="0" r="19050" b="28575"/>
                <wp:wrapNone/>
                <wp:docPr id="66" name=""/>
                <wp:cNvGraphicFramePr/>
                <a:graphic xmlns:a="http://schemas.openxmlformats.org/drawingml/2006/main">
                  <a:graphicData uri="http://schemas.microsoft.com/office/word/2010/wordprocessingShape">
                    <wps:wsp>
                      <wps:cNvCnPr/>
                      <wps:spPr>
                        <a:xfrm>
                          <a:off x="0" y="0"/>
                          <a:ext cx="4953000" cy="2657475"/>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6D3C4A7B" id="_x0000_t32" coordsize="21600,21600" o:spt="32" o:oned="t" path="m,l21600,21600e" filled="f">
                <v:path arrowok="t" fillok="f" o:connecttype="none"/>
                <o:lock v:ext="edit" shapetype="t"/>
              </v:shapetype>
              <v:shape id="Conector recto de flecha 66" o:spid="_x0000_s1026" type="#_x0000_t32" style="position:absolute;margin-left:31.95pt;margin-top:19.15pt;width:390pt;height:20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" strokecolor="black [3200]">
                <v:stroke startarrowwidth="narrow" startarrowlength="short" endarrowwidth="narrow" endarrowlength="short"/>
              </v:shape>
            </w:pict>
          </mc:Fallback>
        </mc:AlternateContent>
      </w:r>
      <w:r>
        <w:rPr>
          <w:rFonts w:ascii="Palatino Linotype" w:eastAsia="Palatino Linotype" w:hAnsi="Palatino Linotype" w:cs="Palatino Linotype"/>
        </w:rPr>
        <w:t xml:space="preserve">El Sujeto Obligado remitió los siguientes archivos electrónicos: </w:t>
      </w:r>
    </w:p>
    <w:p w:rsidR="00A64245" w:rsidRDefault="00681392">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“REQ. 2. ORGANIGRAMA .pdf”: </w:t>
      </w:r>
      <w:r>
        <w:rPr>
          <w:rFonts w:ascii="Palatino Linotype" w:eastAsia="Palatino Linotype" w:hAnsi="Palatino Linotype" w:cs="Palatino Linotype"/>
        </w:rPr>
        <w:t>Soporte documental enviado por duplicado, el cual consiste en el organigrama de la Dirección de Electrificación y Alumbrado Público</w:t>
      </w:r>
      <w:r>
        <w:rPr>
          <w:noProof/>
          <w:lang w:val="es-MX"/>
        </w:rPr>
        <w:drawing>
          <wp:anchor distT="0" distB="0" distL="114300" distR="114300" simplePos="0" relativeHeight="251659264" behindDoc="0" locked="0" layoutInCell="1" hidden="0" allowOverlap="1">
            <wp:simplePos x="0" y="0"/>
            <wp:positionH relativeFrom="column">
              <wp:posOffset>-156209</wp:posOffset>
            </wp:positionH>
            <wp:positionV relativeFrom="paragraph">
              <wp:posOffset>1076960</wp:posOffset>
            </wp:positionV>
            <wp:extent cx="5892165" cy="2781300"/>
            <wp:effectExtent l="0" t="0" r="0" b="0"/>
            <wp:wrapTopAndBottom distT="0" distB="0"/>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892165" cy="2781300"/>
                    </a:xfrm>
                    <a:prstGeom prst="rect">
                      <a:avLst/>
                    </a:prstGeom>
                    <a:ln/>
                  </pic:spPr>
                </pic:pic>
              </a:graphicData>
            </a:graphic>
          </wp:anchor>
        </w:drawing>
      </w:r>
    </w:p>
    <w:p w:rsidR="00A64245" w:rsidRDefault="00A64245">
      <w:pPr>
        <w:spacing w:before="240" w:after="240" w:line="360" w:lineRule="auto"/>
        <w:ind w:left="567" w:right="902"/>
        <w:rPr>
          <w:rFonts w:ascii="Palatino Linotype" w:eastAsia="Palatino Linotype" w:hAnsi="Palatino Linotype" w:cs="Palatino Linotype"/>
          <w:sz w:val="22"/>
          <w:szCs w:val="22"/>
        </w:rPr>
      </w:pPr>
    </w:p>
    <w:p w:rsidR="00A64245" w:rsidRDefault="00681392">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w:t>
      </w:r>
      <w:r>
        <w:rPr>
          <w:rFonts w:ascii="Palatino Linotype" w:eastAsia="Palatino Linotype" w:hAnsi="Palatino Linotype" w:cs="Palatino Linotype"/>
          <w:b/>
          <w:i/>
        </w:rPr>
        <w:t>00231-CHIMALHU-IP-2021 Req. 1.pdf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rPr>
        <w:t xml:space="preserve">Contiene tres fojas, en las cuales la Dirección de Electrificación y Alumbrado Público da respuesta a la solicitud, se inserta la siguiente captura de manera ilustrativa: </w:t>
      </w:r>
      <w:r>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584200</wp:posOffset>
                </wp:positionH>
                <wp:positionV relativeFrom="paragraph">
                  <wp:posOffset>1231900</wp:posOffset>
                </wp:positionV>
                <wp:extent cx="4714875" cy="2143125"/>
                <wp:effectExtent l="0" t="0" r="0" b="0"/>
                <wp:wrapNone/>
                <wp:docPr id="67" name=""/>
                <wp:cNvGraphicFramePr/>
                <a:graphic xmlns:a="http://schemas.openxmlformats.org/drawingml/2006/main">
                  <a:graphicData uri="http://schemas.microsoft.com/office/word/2010/wordprocessingShape">
                    <wps:wsp>
                      <wps:cNvCnPr/>
                      <wps:spPr>
                        <a:xfrm>
                          <a:off x="2993325" y="2713200"/>
                          <a:ext cx="4705350" cy="21336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584200</wp:posOffset>
                </wp:positionH>
                <wp:positionV relativeFrom="paragraph">
                  <wp:posOffset>1231900</wp:posOffset>
                </wp:positionV>
                <wp:extent cx="4714875" cy="2143125"/>
                <wp:effectExtent b="0" l="0" r="0" t="0"/>
                <wp:wrapNone/>
                <wp:docPr id="67"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4714875" cy="2143125"/>
                        </a:xfrm>
                        <a:prstGeom prst="rect"/>
                        <a:ln/>
                      </pic:spPr>
                    </pic:pic>
                  </a:graphicData>
                </a:graphic>
              </wp:anchor>
            </w:drawing>
          </mc:Fallback>
        </mc:AlternateContent>
      </w:r>
    </w:p>
    <w:p w:rsidR="00A64245" w:rsidRDefault="00681392">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0225" cy="7058025"/>
            <wp:effectExtent l="0" t="0" r="0" b="0"/>
            <wp:docPr id="7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5610225" cy="7058025"/>
                    </a:xfrm>
                    <a:prstGeom prst="rect">
                      <a:avLst/>
                    </a:prstGeom>
                    <a:ln/>
                  </pic:spPr>
                </pic:pic>
              </a:graphicData>
            </a:graphic>
          </wp:inline>
        </w:drawing>
      </w:r>
    </w:p>
    <w:p w:rsidR="00A64245" w:rsidRDefault="00681392">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 xml:space="preserve">“CENSO 2020. Cuantificacion del Consumo de Energia.pdf”: </w:t>
      </w:r>
      <w:r>
        <w:rPr>
          <w:rFonts w:ascii="Palatino Linotype" w:eastAsia="Palatino Linotype" w:hAnsi="Palatino Linotype" w:cs="Palatino Linotype"/>
        </w:rPr>
        <w:t xml:space="preserve">Documento enviado por duplicado que consta de 117 fojas en el que se aprecia la minuta de trabajo levantada el 24 de septiembre de 2020 con el fin de revisar los resultados finales del censo de lámparas de alumbrado público por el H. Ayuntamiento de Chimalhuacán, asimismo se vislumbra un resumen del censo y desglose del censo de alumbrado público y semáforos, se inserta una captura de pantalla para ilustrar este apartado: </w:t>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508000</wp:posOffset>
                </wp:positionH>
                <wp:positionV relativeFrom="paragraph">
                  <wp:posOffset>2476500</wp:posOffset>
                </wp:positionV>
                <wp:extent cx="4762500" cy="5076825"/>
                <wp:effectExtent l="0" t="0" r="0" b="0"/>
                <wp:wrapNone/>
                <wp:docPr id="65" name=""/>
                <wp:cNvGraphicFramePr/>
                <a:graphic xmlns:a="http://schemas.openxmlformats.org/drawingml/2006/main">
                  <a:graphicData uri="http://schemas.microsoft.com/office/word/2010/wordprocessingShape">
                    <wps:wsp>
                      <wps:cNvCnPr/>
                      <wps:spPr>
                        <a:xfrm>
                          <a:off x="2969513" y="1246350"/>
                          <a:ext cx="4752975" cy="50673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508000</wp:posOffset>
                </wp:positionH>
                <wp:positionV relativeFrom="paragraph">
                  <wp:posOffset>2476500</wp:posOffset>
                </wp:positionV>
                <wp:extent cx="4762500" cy="5076825"/>
                <wp:effectExtent b="0" l="0" r="0" t="0"/>
                <wp:wrapNone/>
                <wp:docPr id="65"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4762500" cy="5076825"/>
                        </a:xfrm>
                        <a:prstGeom prst="rect"/>
                        <a:ln/>
                      </pic:spPr>
                    </pic:pic>
                  </a:graphicData>
                </a:graphic>
              </wp:anchor>
            </w:drawing>
          </mc:Fallback>
        </mc:AlternateContent>
      </w:r>
    </w:p>
    <w:p w:rsidR="00A64245" w:rsidRDefault="00A64245">
      <w:pPr>
        <w:spacing w:before="240" w:after="240" w:line="360" w:lineRule="auto"/>
        <w:ind w:left="567" w:right="902"/>
        <w:jc w:val="center"/>
        <w:rPr>
          <w:rFonts w:ascii="Palatino Linotype" w:eastAsia="Palatino Linotype" w:hAnsi="Palatino Linotype" w:cs="Palatino Linotype"/>
        </w:rPr>
      </w:pPr>
    </w:p>
    <w:p w:rsidR="00A64245" w:rsidRDefault="00681392">
      <w:pPr>
        <w:spacing w:before="240" w:after="240" w:line="360" w:lineRule="auto"/>
        <w:ind w:left="567" w:right="902"/>
        <w:jc w:val="both"/>
        <w:rPr>
          <w:rFonts w:ascii="Palatino Linotype" w:eastAsia="Palatino Linotype" w:hAnsi="Palatino Linotype" w:cs="Palatino Linotype"/>
        </w:rPr>
      </w:pPr>
      <w:r>
        <w:rPr>
          <w:noProof/>
          <w:lang w:val="es-MX"/>
        </w:rPr>
        <w:drawing>
          <wp:anchor distT="0" distB="0" distL="114300" distR="114300" simplePos="0" relativeHeight="251662336" behindDoc="0" locked="0" layoutInCell="1" hidden="0" allowOverlap="1">
            <wp:simplePos x="0" y="0"/>
            <wp:positionH relativeFrom="column">
              <wp:posOffset>109856</wp:posOffset>
            </wp:positionH>
            <wp:positionV relativeFrom="paragraph">
              <wp:posOffset>635</wp:posOffset>
            </wp:positionV>
            <wp:extent cx="6003925" cy="7258050"/>
            <wp:effectExtent l="0" t="0" r="0" b="0"/>
            <wp:wrapTopAndBottom distT="0" distB="0"/>
            <wp:docPr id="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6003925" cy="7258050"/>
                    </a:xfrm>
                    <a:prstGeom prst="rect">
                      <a:avLst/>
                    </a:prstGeom>
                    <a:ln/>
                  </pic:spPr>
                </pic:pic>
              </a:graphicData>
            </a:graphic>
          </wp:anchor>
        </w:drawing>
      </w:r>
    </w:p>
    <w:p w:rsidR="00A64245" w:rsidRDefault="00681392">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 xml:space="preserve">“MAYO 2020.pdf”, “DAP MARZO 2021.pdf”, “DICIEMBRE 2020”, DAP.pdf”, “DAP ABRIL 2021.pdf”, “DAP FEBRERO 2021.pdf”, “DAP JUNIO 2021.pdf”, “DAP JULIO.pdf”, “DAP AGOSTO 2021.pdf”, “JUNIO 2020 DAP.pdf”, “DAP MAYO 2021.pdf”, “ABRIL 2020 DAP.pdf”, “ENERO 2021.pdf”, “MARZO 2020 DAP.pdf”, “OCTUBRE 2020 DAP.pdf”, “AGOSTO 2020 DAP.pdf”, “SEP 2020 DAP.pdf”, “NOV 2020 DAP.pdf” y “JULIO 2020 DAP.pdf”: </w:t>
      </w:r>
      <w:r>
        <w:rPr>
          <w:rFonts w:ascii="Palatino Linotype" w:eastAsia="Palatino Linotype" w:hAnsi="Palatino Linotype" w:cs="Palatino Linotype"/>
        </w:rPr>
        <w:t>Por economía procesal, al ser el mismo contenido de todos los soportes documentales, se advierte que los archivos electrónicos anteriormente citados contienen la póliza de egresos generada durante el mes, póliza de transferencia, factura de deudor, oficio emitido por el Responsable de Departamento Comercial Zona Chapingo en el que se brindan datos para realizar el pago, desglose de adeudo, así como el convenio de colaboración por el que se establecen los términos y condiciones a los que se sujetará la recaudación del derecho por concepto de alumbrado público, se inserta la siguiente captura de pantalla a manera de referencia:</w:t>
      </w:r>
      <w:r>
        <w:rPr>
          <w:noProof/>
          <w:lang w:val="es-MX"/>
        </w:rPr>
        <mc:AlternateContent>
          <mc:Choice Requires="wpg">
            <w:drawing>
              <wp:anchor distT="0" distB="0" distL="114300" distR="114300" simplePos="0" relativeHeight="251663360" behindDoc="0" locked="0" layoutInCell="1" hidden="0" allowOverlap="1">
                <wp:simplePos x="0" y="0"/>
                <wp:positionH relativeFrom="column">
                  <wp:posOffset>406400</wp:posOffset>
                </wp:positionH>
                <wp:positionV relativeFrom="paragraph">
                  <wp:posOffset>5232400</wp:posOffset>
                </wp:positionV>
                <wp:extent cx="4819650" cy="2428875"/>
                <wp:effectExtent l="0" t="0" r="0" b="0"/>
                <wp:wrapNone/>
                <wp:docPr id="61" name=""/>
                <wp:cNvGraphicFramePr/>
                <a:graphic xmlns:a="http://schemas.openxmlformats.org/drawingml/2006/main">
                  <a:graphicData uri="http://schemas.microsoft.com/office/word/2010/wordprocessingShape">
                    <wps:wsp>
                      <wps:cNvCnPr/>
                      <wps:spPr>
                        <a:xfrm>
                          <a:off x="2940938" y="2570325"/>
                          <a:ext cx="4810125" cy="241935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406400</wp:posOffset>
                </wp:positionH>
                <wp:positionV relativeFrom="paragraph">
                  <wp:posOffset>5232400</wp:posOffset>
                </wp:positionV>
                <wp:extent cx="4819650" cy="2428875"/>
                <wp:effectExtent b="0" l="0" r="0" t="0"/>
                <wp:wrapNone/>
                <wp:docPr id="61"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4819650" cy="2428875"/>
                        </a:xfrm>
                        <a:prstGeom prst="rect"/>
                        <a:ln/>
                      </pic:spPr>
                    </pic:pic>
                  </a:graphicData>
                </a:graphic>
              </wp:anchor>
            </w:drawing>
          </mc:Fallback>
        </mc:AlternateContent>
      </w:r>
    </w:p>
    <w:p w:rsidR="00A64245" w:rsidRDefault="00681392">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0225" cy="4305300"/>
            <wp:effectExtent l="0" t="0" r="0" b="0"/>
            <wp:docPr id="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10225" cy="4305300"/>
                    </a:xfrm>
                    <a:prstGeom prst="rect">
                      <a:avLst/>
                    </a:prstGeom>
                    <a:ln/>
                  </pic:spPr>
                </pic:pic>
              </a:graphicData>
            </a:graphic>
          </wp:inline>
        </w:drawing>
      </w: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Sujeto Obligado, el </w:t>
      </w:r>
      <w:r>
        <w:rPr>
          <w:rFonts w:ascii="Palatino Linotype" w:eastAsia="Palatino Linotype" w:hAnsi="Palatino Linotype" w:cs="Palatino Linotype"/>
          <w:b/>
        </w:rPr>
        <w:t>veinticuatro de noviembre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manifestándose de la siguiente manera:</w:t>
      </w:r>
    </w:p>
    <w:p w:rsidR="00A64245" w:rsidRDefault="00681392">
      <w:pPr>
        <w:numPr>
          <w:ilvl w:val="0"/>
          <w:numId w:val="6"/>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Acto impugnado: </w:t>
      </w:r>
    </w:p>
    <w:p w:rsidR="00A64245" w:rsidRDefault="00681392">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“Cumplimiento incompleto de la solicitud” (Sic)</w:t>
      </w:r>
    </w:p>
    <w:p w:rsidR="00A64245" w:rsidRDefault="00A64245">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p>
    <w:p w:rsidR="00A64245" w:rsidRDefault="00A64245">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p>
    <w:p w:rsidR="00A64245" w:rsidRDefault="00A64245">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p>
    <w:p w:rsidR="00A64245" w:rsidRDefault="00A64245">
      <w:pPr>
        <w:pBdr>
          <w:top w:val="nil"/>
          <w:left w:val="nil"/>
          <w:bottom w:val="nil"/>
          <w:right w:val="nil"/>
          <w:between w:val="nil"/>
        </w:pBdr>
        <w:tabs>
          <w:tab w:val="left" w:pos="567"/>
        </w:tabs>
        <w:ind w:left="567" w:right="1041"/>
        <w:jc w:val="both"/>
        <w:rPr>
          <w:rFonts w:ascii="Palatino Linotype" w:eastAsia="Palatino Linotype" w:hAnsi="Palatino Linotype" w:cs="Palatino Linotype"/>
          <w:b/>
          <w:color w:val="000000"/>
        </w:rPr>
      </w:pPr>
    </w:p>
    <w:p w:rsidR="00A64245" w:rsidRDefault="00681392">
      <w:pPr>
        <w:numPr>
          <w:ilvl w:val="0"/>
          <w:numId w:val="6"/>
        </w:numPr>
        <w:pBdr>
          <w:top w:val="nil"/>
          <w:left w:val="nil"/>
          <w:bottom w:val="nil"/>
          <w:right w:val="nil"/>
          <w:between w:val="nil"/>
        </w:pBdr>
        <w:tabs>
          <w:tab w:val="left" w:pos="567"/>
        </w:tabs>
        <w:ind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 xml:space="preserve"> Razones o motivos de inconformidad: </w:t>
      </w:r>
    </w:p>
    <w:p w:rsidR="00A64245" w:rsidRDefault="00A64245">
      <w:pPr>
        <w:pBdr>
          <w:top w:val="nil"/>
          <w:left w:val="nil"/>
          <w:bottom w:val="nil"/>
          <w:right w:val="nil"/>
          <w:between w:val="nil"/>
        </w:pBdr>
        <w:tabs>
          <w:tab w:val="left" w:pos="567"/>
        </w:tabs>
        <w:ind w:left="720" w:right="1041"/>
        <w:jc w:val="both"/>
        <w:rPr>
          <w:rFonts w:ascii="Palatino Linotype" w:eastAsia="Palatino Linotype" w:hAnsi="Palatino Linotype" w:cs="Palatino Linotype"/>
          <w:b/>
          <w:color w:val="000000"/>
        </w:rPr>
      </w:pPr>
    </w:p>
    <w:p w:rsidR="00A64245" w:rsidRDefault="00681392">
      <w:pPr>
        <w:pBdr>
          <w:top w:val="nil"/>
          <w:left w:val="nil"/>
          <w:bottom w:val="nil"/>
          <w:right w:val="nil"/>
          <w:between w:val="nil"/>
        </w:pBdr>
        <w:tabs>
          <w:tab w:val="left" w:pos="567"/>
        </w:tabs>
        <w:spacing w:after="240"/>
        <w:ind w:left="720"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“Una vez analizada la información proporcionada en su respuesta, se resuelve: Punto UNO, DOS, TRES, CINCO, SEIS y SIETE: Sin Respuesta Punto CUATRO: Cumplimiento parcial ya que únicamente se nos proporcionaron del censo 2020 los siguientes documentos: desgloses, resumen del censo y la minuta de trabajo. Por lo tanto le solicitamos la declaración jurídica de la inexistencia de la información NO compartida” (Sic)</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Transparencia, Acceso a la Información Pública y Protección de Datos Personales del Estado de México y Municipios, a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 a efecto de que analizara sobre su admisión o su desechamiento.</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veintinueve de noviembre de dos mil veintiuno,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De las constancias que obran agregadas en el expediente electrónico al rubro citado, se tiene que el Sujeto Obligado fue omiso en rendir su informe justificado, así mismo por cuanto hace al Recurrente, se tiene que fue omiso en presentar manifestaciones, pruebas y/o alegatos en la etapa procedimental previamente reconocida en nuestra Ley de Transparencia, por lo que se tiene precluido su derecho para tal efecto.</w:t>
      </w:r>
    </w:p>
    <w:p w:rsidR="00A64245" w:rsidRDefault="00681392">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veintiséis de enero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veintiséis de enero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A64245" w:rsidRDefault="00A64245">
      <w:pPr>
        <w:spacing w:before="240" w:after="240" w:line="360" w:lineRule="auto"/>
        <w:jc w:val="both"/>
        <w:rPr>
          <w:rFonts w:ascii="Palatino Linotype" w:eastAsia="Palatino Linotype" w:hAnsi="Palatino Linotype" w:cs="Palatino Linotype"/>
        </w:rPr>
      </w:pPr>
    </w:p>
    <w:p w:rsidR="00A64245" w:rsidRDefault="00681392">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A64245" w:rsidRDefault="00681392">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Sujeto Obligado remitió la respuesta a la solicitud de información el día </w:t>
      </w:r>
      <w:r>
        <w:rPr>
          <w:rFonts w:ascii="Palatino Linotype" w:eastAsia="Palatino Linotype" w:hAnsi="Palatino Linotype" w:cs="Palatino Linotype"/>
          <w:b/>
        </w:rPr>
        <w:t xml:space="preserve">uno de noviembre de dos mil veintiuno, </w:t>
      </w:r>
      <w:r>
        <w:rPr>
          <w:rFonts w:ascii="Palatino Linotype" w:eastAsia="Palatino Linotype" w:hAnsi="Palatino Linotype" w:cs="Palatino Linotype"/>
        </w:rPr>
        <w:t xml:space="preserve">mientras que los recursos de revisión interpuesto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veinticuatro de noviembre de dos mil veintiuno</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décimo quinto día hábil</w:t>
      </w:r>
      <w:r>
        <w:rPr>
          <w:rFonts w:ascii="Palatino Linotype" w:eastAsia="Palatino Linotype" w:hAnsi="Palatino Linotype" w:cs="Palatino Linotype"/>
        </w:rPr>
        <w:t xml:space="preserve"> en el que se conoció la respuesta impugnada.</w:t>
      </w:r>
    </w:p>
    <w:p w:rsidR="00A64245" w:rsidRDefault="00681392">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 del ordenamiento legal citado, que a la letra dice: </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before="120" w:after="120"/>
        <w:ind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V. La entrega de información incompleta;”</w:t>
      </w:r>
    </w:p>
    <w:p w:rsidR="00A64245" w:rsidRDefault="00681392">
      <w:pPr>
        <w:spacing w:before="280" w:after="28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Previo al estudio del presente asunto, es conveniente recordar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solicitud que le proporcionara lo siguiente:</w:t>
      </w:r>
    </w:p>
    <w:p w:rsidR="00A64245" w:rsidRDefault="00681392">
      <w:pPr>
        <w:spacing w:before="240" w:after="240" w:line="360" w:lineRule="auto"/>
        <w:ind w:left="567" w:right="616"/>
        <w:jc w:val="both"/>
        <w:rPr>
          <w:rFonts w:ascii="Palatino Linotype" w:eastAsia="Palatino Linotype" w:hAnsi="Palatino Linotype" w:cs="Palatino Linotype"/>
          <w:i/>
        </w:rPr>
      </w:pPr>
      <w:bookmarkStart w:id="4" w:name="_heading=h.3znysh7" w:colFirst="0" w:colLast="0"/>
      <w:bookmarkEnd w:id="4"/>
      <w:r>
        <w:rPr>
          <w:rFonts w:ascii="Palatino Linotype" w:eastAsia="Palatino Linotype" w:hAnsi="Palatino Linotype" w:cs="Palatino Linotype"/>
          <w:i/>
        </w:rPr>
        <w:t xml:space="preserve">“UNO. Compartir de manera digital en formato .pdf todos los oficios mensuales emitidos por CFE Suministro Básico, CFE SSB, donde informa el balance de diferencial entre facturación de alumbrado público y lo recaudado con Derecho de Alumbrado Público, DAP, periodo requerido de enero 2015 a fecha actual reciente. </w:t>
      </w:r>
    </w:p>
    <w:p w:rsidR="00A64245" w:rsidRDefault="00681392">
      <w:pPr>
        <w:spacing w:before="240" w:after="24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DOS. Compartir de manera digital todos los oficios mensuales emitidos CFE Suministro Básico, CFE SSB, donde CFE SSB cobra por la contraprestación de recaudación de DAP conforme el contrato suscrito entre la autoridad municipal y este suministrador, periodo requerido de enero 2015 a fecha actual reciente. </w:t>
      </w:r>
    </w:p>
    <w:p w:rsidR="00A64245" w:rsidRDefault="00681392">
      <w:pPr>
        <w:spacing w:before="240" w:after="24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TRES. En el cuerpo de cada oficio mensual referido en punto UNO. se señala en el cuerpo de la misma el archivo en formato .xlsx, es cual corresponde a cada uno los RPU´s (Registro Permanente Único) que tiene el municipio a su cargo, y la suma resultante del importe deberá corresponder al monto expresado en el oficio. Se les requiere compartan los archivos .xlsx que fueron compartidos en el mismo formato de enero 2015 a fecha actual reciente. </w:t>
      </w:r>
    </w:p>
    <w:p w:rsidR="00A64245" w:rsidRDefault="00681392">
      <w:pPr>
        <w:spacing w:before="240" w:after="24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CUATRO. Compartir el resultado de todo Censo en el cual participó CFE de manera directa o mediante una empresa contratista, debiendo entregar conforme la normatividad de este particular las cédulas de campo por circuito, desgloses de cargas por RPU y los archivos .kmz de cada RPU que incluye el detalle técnico de cada luminaria, debiendo considerar lo siguiente; </w:t>
      </w:r>
    </w:p>
    <w:p w:rsidR="00A64245" w:rsidRDefault="00681392">
      <w:pPr>
        <w:spacing w:before="240" w:after="24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A) Compartir Copia todo documento digitalizado en formato .pdf correspondiente de cada cédula levantada en campo debidamente firmada. </w:t>
      </w:r>
    </w:p>
    <w:p w:rsidR="00A64245" w:rsidRDefault="00681392">
      <w:pPr>
        <w:spacing w:before="240" w:after="24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B) Copia todo documento digitalizado en formato .pdf correspondiente al Desglose de cada RPU o bien el archivo .xlsx correspondiente debidamente identificable. </w:t>
      </w:r>
    </w:p>
    <w:p w:rsidR="00A64245" w:rsidRDefault="00681392">
      <w:pPr>
        <w:spacing w:before="240" w:after="24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C) CFE Distribución entregó a CFE Suministro Básico los archivos .kmz, los cuales corresponden al plano de ubicación de cada luminaria y demás detalles técnicos previstos en la redacción del punto, los cuales que fueron entregados al municipio por medios magnéticos para su valoración, requiero compartan estos archivos .kmz en CD del periodo aquí requerido. </w:t>
      </w:r>
    </w:p>
    <w:p w:rsidR="00A64245" w:rsidRDefault="00681392">
      <w:pPr>
        <w:spacing w:before="240" w:after="24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D) Copia todo documento digitalizado en formato .pdf correspondiente al resumen resultante del Censo, donde hacen el cálculo del antes y después, la diferencia entre cada carga censada, dan como resultado un cargo económico o un crédito a favor del municipio, podrán entregar copia simple del mismo o bien el archivo .xlsx que les entrego en su momento CFE Suministrador de Servicios Básicos, mismo que lo genero CFE Distribución. </w:t>
      </w:r>
    </w:p>
    <w:p w:rsidR="00A64245" w:rsidRDefault="00681392">
      <w:pPr>
        <w:spacing w:before="240" w:after="24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E) Copia todo documento digitalizado en formato .pdf correspondiente a la Minuta levanta exprofeso entre los servidores públicos habilitados por la entrega de los resultados del Censo anual y el mismo personal de la empresa CFE Suministrador de Servicios Básicos y posiblemente CFE Distribución, debiendo ser conforme lo presentado inicialmente para el acompañamiento y realización del mismo censo </w:t>
      </w:r>
    </w:p>
    <w:p w:rsidR="00A64245" w:rsidRDefault="00681392">
      <w:pPr>
        <w:spacing w:before="240" w:after="24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CINCO. Compartir todo documento digitalizado en formato .pdf de notificación de crédito o cargo que finco CFE SSB relativa al resultado del Censo. </w:t>
      </w:r>
    </w:p>
    <w:p w:rsidR="00A64245" w:rsidRDefault="00681392">
      <w:pPr>
        <w:spacing w:before="240" w:after="24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SEIS. Compartir todo documento digitalizado en formato .pdf que haya expedido el Municipio a CFE SSB relativo a temas de alumbrado público, su naturaleza puede ser muy diversa, se ocupan todos, periodo comprendido de enero 2015 a fecha actual reciente </w:t>
      </w:r>
    </w:p>
    <w:p w:rsidR="00A64245" w:rsidRDefault="00681392">
      <w:pPr>
        <w:spacing w:before="240" w:after="24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SIETE. Compartir todo documento digitalizado en formato .pdf que tenga como fuente toda notificación que ha realizado CFE Suministrador de Servicios Básicos con cargo al servicio de Alumbrado Público desde el año 2015 a fecha actual reciente y que no están vinculados con el CENSO.” (Sic)</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a la solicitud de información, el Titular de la Unidad de Transparencia remitió la respuesta, tal como se precisó en el apartado de antecedentes, por lo que con el objeto de analizar el contenido de los archivos y pronunciamientos vertidos por el Sujeto Obligado se esquematizarán en el siguiente cuadro a efecto de determinar si con los pronunciamientos vertidos mediante los soportes documentales, se colman con los requerimientos del Recurrente para mejor proveer del estudio: </w:t>
      </w:r>
    </w:p>
    <w:p w:rsidR="00A64245" w:rsidRDefault="00A64245">
      <w:pPr>
        <w:spacing w:before="240" w:after="240" w:line="360" w:lineRule="auto"/>
        <w:jc w:val="both"/>
        <w:rPr>
          <w:rFonts w:ascii="Palatino Linotype" w:eastAsia="Palatino Linotype" w:hAnsi="Palatino Linotype" w:cs="Palatino Linotype"/>
          <w:b/>
          <w:i/>
        </w:rPr>
      </w:pPr>
    </w:p>
    <w:tbl>
      <w:tblPr>
        <w:tblStyle w:val="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552"/>
        <w:gridCol w:w="4535"/>
      </w:tblGrid>
      <w:tr w:rsidR="00A64245">
        <w:tc>
          <w:tcPr>
            <w:tcW w:w="2122" w:type="dxa"/>
            <w:shd w:val="clear" w:color="auto" w:fill="76923C"/>
          </w:tcPr>
          <w:p w:rsidR="00A64245" w:rsidRDefault="00681392">
            <w:pPr>
              <w:spacing w:before="240" w:after="240"/>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Solicitud de Información</w:t>
            </w:r>
          </w:p>
        </w:tc>
        <w:tc>
          <w:tcPr>
            <w:tcW w:w="2552" w:type="dxa"/>
            <w:shd w:val="clear" w:color="auto" w:fill="76923C"/>
          </w:tcPr>
          <w:p w:rsidR="00A64245" w:rsidRDefault="00681392">
            <w:pPr>
              <w:spacing w:before="240" w:after="240"/>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Respuesta</w:t>
            </w:r>
          </w:p>
        </w:tc>
        <w:tc>
          <w:tcPr>
            <w:tcW w:w="4535" w:type="dxa"/>
            <w:shd w:val="clear" w:color="auto" w:fill="76923C"/>
          </w:tcPr>
          <w:p w:rsidR="00A64245" w:rsidRDefault="00681392">
            <w:pPr>
              <w:spacing w:before="240" w:after="240"/>
              <w:ind w:left="166" w:right="68"/>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Colma</w:t>
            </w:r>
          </w:p>
        </w:tc>
      </w:tr>
      <w:tr w:rsidR="00A64245">
        <w:tc>
          <w:tcPr>
            <w:tcW w:w="2122" w:type="dxa"/>
          </w:tcPr>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UNO. Compartir de manera digital en formato .pdf todos los oficios mensuales emitidos por CFE Suministro Básico, CFE SSB, donde informa el balance de diferencial entre facturación de alumbrado público y lo recaudado con Derecho de Alumbrado Público, DAP, periodo requerido de enero 2015 a fecha actual reciente. </w:t>
            </w:r>
          </w:p>
          <w:p w:rsidR="00A64245" w:rsidRDefault="00681392">
            <w:pPr>
              <w:spacing w:before="240" w:after="24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rsidR="00A64245" w:rsidRDefault="00A64245">
            <w:pPr>
              <w:spacing w:before="240" w:after="240"/>
              <w:jc w:val="both"/>
              <w:rPr>
                <w:rFonts w:ascii="Palatino Linotype" w:eastAsia="Palatino Linotype" w:hAnsi="Palatino Linotype" w:cs="Palatino Linotype"/>
                <w:i/>
              </w:rPr>
            </w:pPr>
          </w:p>
        </w:tc>
        <w:tc>
          <w:tcPr>
            <w:tcW w:w="2552" w:type="dxa"/>
            <w:vMerge w:val="restart"/>
          </w:tcPr>
          <w:p w:rsidR="00A64245" w:rsidRDefault="00681392">
            <w:pPr>
              <w:spacing w:before="240" w:after="240"/>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Dirección de Electrificación y Alumbrado Público: </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Mediante el soporte documental </w:t>
            </w:r>
            <w:r>
              <w:rPr>
                <w:rFonts w:ascii="Palatino Linotype" w:eastAsia="Palatino Linotype" w:hAnsi="Palatino Linotype" w:cs="Palatino Linotype"/>
                <w:b/>
                <w:sz w:val="20"/>
                <w:szCs w:val="20"/>
              </w:rPr>
              <w:t>“00231-CHIMALHU-IP-2021 Req. 1.pdf”</w:t>
            </w:r>
            <w:r>
              <w:rPr>
                <w:rFonts w:ascii="Palatino Linotype" w:eastAsia="Palatino Linotype" w:hAnsi="Palatino Linotype" w:cs="Palatino Linotype"/>
                <w:sz w:val="20"/>
                <w:szCs w:val="20"/>
              </w:rPr>
              <w:t xml:space="preserve">, manifiesta lo siguiente: </w:t>
            </w:r>
          </w:p>
          <w:p w:rsidR="00A64245" w:rsidRDefault="00681392">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“Respecto a los requerimientos solicitados en los numerales: 1, 2, 3, 5, 6 y 7 esta Dirección no cuenta con dicha información al no ser de su competencia todos y cada uno de los procedimientos financieros o económicos ante la Comisión Federal de Electrificación “CFE”, siendo directamente el H. Ayuntamiento el responsable de estos procesos, o en su caso el área de Tesorería”</w:t>
            </w:r>
          </w:p>
          <w:p w:rsidR="00A64245" w:rsidRDefault="00A64245">
            <w:pPr>
              <w:spacing w:before="240" w:after="240"/>
              <w:jc w:val="both"/>
              <w:rPr>
                <w:rFonts w:ascii="Palatino Linotype" w:eastAsia="Palatino Linotype" w:hAnsi="Palatino Linotype" w:cs="Palatino Linotype"/>
                <w:i/>
                <w:sz w:val="20"/>
                <w:szCs w:val="20"/>
              </w:rPr>
            </w:pP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Tesorería Municipal: “</w:t>
            </w:r>
            <w:r>
              <w:rPr>
                <w:rFonts w:ascii="Palatino Linotype" w:eastAsia="Palatino Linotype" w:hAnsi="Palatino Linotype" w:cs="Palatino Linotype"/>
                <w:i/>
                <w:sz w:val="20"/>
                <w:szCs w:val="20"/>
              </w:rPr>
              <w:t>EN RELACION A TODO LO DEMAS QUE NOS SOLICITAN, RESPETUOSAMENTE LES PEDIMOS QUE LO SOLICITEN A LA C.F.E. POR TRATARSE DE DOCUMENTACION QUE ENTRE ELLOS SE GENERAN ENTRE C.F.E. DISTRIBUCION Y SUMINISTRO BASICO Y QUE NOSOTROS NO TENEMOS EN NUESTRO PODER. ASI COMO RECARGOS ECONOMICOS A FAVOR O EN CONTRA QUE SE NOS HAYAN NOTIFICADO DERIVADOS DEL CENSO. ATENTAMENTE LA TESORERA MUNICIPAL”</w:t>
            </w:r>
            <w:r>
              <w:rPr>
                <w:rFonts w:ascii="Palatino Linotype" w:eastAsia="Palatino Linotype" w:hAnsi="Palatino Linotype" w:cs="Palatino Linotype"/>
                <w:sz w:val="20"/>
                <w:szCs w:val="20"/>
              </w:rPr>
              <w:t xml:space="preserve">, asimismo remitió los soportes documentales </w:t>
            </w:r>
            <w:r>
              <w:rPr>
                <w:rFonts w:ascii="Palatino Linotype" w:eastAsia="Palatino Linotype" w:hAnsi="Palatino Linotype" w:cs="Palatino Linotype"/>
                <w:b/>
                <w:i/>
                <w:sz w:val="20"/>
                <w:szCs w:val="20"/>
              </w:rPr>
              <w:t xml:space="preserve">“MAYO 2020.pdf”, “DAP MARZO 2021.pdf”, “DICIEMBRE 2020”, DAP.pdf”, “DAP ABRIL 2021.pdf”, “DAP FEBRERO 2021.pdf”, “DAP JUNIO 2021.pdf”, “DAP JULIO.pdf”, “DAP AGOSTO 2021.pdf”, “JUNIO 2020 DAP.pdf”, “DAP MAYO 2021.pdf”, “ABRIL 2020 DAP.pdf”, “ENERO 2021.pdf”, “MARZO 2020 DAP.pdf”, “OCTUBRE 2020 DAP.pdf”, “AGOSTO 2020 DAP.pdf”, “SEP 2020 DAP.pdf”, “NOV 2020 DAP.pdf” y “JULIO 2020 DAP.pdf”: </w:t>
            </w:r>
            <w:r>
              <w:rPr>
                <w:rFonts w:ascii="Palatino Linotype" w:eastAsia="Palatino Linotype" w:hAnsi="Palatino Linotype" w:cs="Palatino Linotype"/>
                <w:sz w:val="20"/>
                <w:szCs w:val="20"/>
              </w:rPr>
              <w:t>Por economía procesal, al ser el mismo contenido de todos los soportes documentales, se advierte que los archivos electrónicos anteriormente citados contienen la póliza de egresos generada durante el mes, póliza de transferencia, factura de deudor, oficio emitido por el Responsable de Departamento Comercial Zona Chapingo en el que se brindan datos para realizar el pago, desglose de adeudo, así como el convenio de colaboración por el que se establecen los términos y condiciones a los que se sujetará la recaudación del derecho por concepto de alumbrado público.</w:t>
            </w:r>
          </w:p>
          <w:p w:rsidR="00A64245" w:rsidRDefault="00A64245">
            <w:pPr>
              <w:spacing w:before="240" w:after="240"/>
              <w:jc w:val="both"/>
              <w:rPr>
                <w:rFonts w:ascii="Palatino Linotype" w:eastAsia="Palatino Linotype" w:hAnsi="Palatino Linotype" w:cs="Palatino Linotype"/>
                <w:b/>
                <w:sz w:val="20"/>
                <w:szCs w:val="20"/>
              </w:rPr>
            </w:pPr>
          </w:p>
        </w:tc>
        <w:tc>
          <w:tcPr>
            <w:tcW w:w="4535" w:type="dxa"/>
            <w:vMerge w:val="restart"/>
          </w:tcPr>
          <w:p w:rsidR="00A64245" w:rsidRDefault="00A64245">
            <w:pPr>
              <w:spacing w:before="240" w:after="240"/>
              <w:jc w:val="both"/>
              <w:rPr>
                <w:rFonts w:ascii="Palatino Linotype" w:eastAsia="Palatino Linotype" w:hAnsi="Palatino Linotype" w:cs="Palatino Linotype"/>
                <w:sz w:val="20"/>
                <w:szCs w:val="20"/>
              </w:rPr>
            </w:pPr>
          </w:p>
          <w:p w:rsidR="00A64245" w:rsidRDefault="00A64245">
            <w:pPr>
              <w:spacing w:before="240" w:after="240"/>
              <w:jc w:val="both"/>
              <w:rPr>
                <w:rFonts w:ascii="Palatino Linotype" w:eastAsia="Palatino Linotype" w:hAnsi="Palatino Linotype" w:cs="Palatino Linotype"/>
                <w:sz w:val="20"/>
                <w:szCs w:val="20"/>
              </w:rPr>
            </w:pPr>
          </w:p>
          <w:p w:rsidR="00A64245" w:rsidRDefault="00681392">
            <w:pPr>
              <w:spacing w:before="240" w:after="240"/>
              <w:jc w:val="center"/>
              <w:rPr>
                <w:rFonts w:ascii="Palatino Linotype" w:eastAsia="Palatino Linotype" w:hAnsi="Palatino Linotype" w:cs="Palatino Linotype"/>
                <w:sz w:val="20"/>
                <w:szCs w:val="20"/>
              </w:rPr>
            </w:pPr>
            <w:r>
              <w:rPr>
                <w:rFonts w:ascii="Palatino Linotype" w:eastAsia="Palatino Linotype" w:hAnsi="Palatino Linotype" w:cs="Palatino Linotype"/>
              </w:rPr>
              <w:t>Parcialmente</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Respecto del año 2020</w:t>
            </w:r>
            <w:r>
              <w:rPr>
                <w:rFonts w:ascii="Palatino Linotype" w:eastAsia="Palatino Linotype" w:hAnsi="Palatino Linotype" w:cs="Palatino Linotype"/>
                <w:sz w:val="20"/>
                <w:szCs w:val="20"/>
              </w:rPr>
              <w:t xml:space="preserve">, remitió </w:t>
            </w:r>
            <w:r>
              <w:rPr>
                <w:rFonts w:ascii="Palatino Linotype" w:eastAsia="Palatino Linotype" w:hAnsi="Palatino Linotype" w:cs="Palatino Linotype"/>
                <w:b/>
                <w:sz w:val="20"/>
                <w:szCs w:val="20"/>
              </w:rPr>
              <w:t>10</w:t>
            </w:r>
            <w:r>
              <w:rPr>
                <w:rFonts w:ascii="Palatino Linotype" w:eastAsia="Palatino Linotype" w:hAnsi="Palatino Linotype" w:cs="Palatino Linotype"/>
                <w:sz w:val="20"/>
                <w:szCs w:val="20"/>
              </w:rPr>
              <w:t xml:space="preserve"> archivos, generados de marzo a diciembre de 2020, los cuales corresponden a la póliza de egresos generada durante el mes, póliza de transferencia, factura de deudor, </w:t>
            </w:r>
            <w:r>
              <w:rPr>
                <w:rFonts w:ascii="Palatino Linotype" w:eastAsia="Palatino Linotype" w:hAnsi="Palatino Linotype" w:cs="Palatino Linotype"/>
                <w:b/>
                <w:sz w:val="20"/>
                <w:szCs w:val="20"/>
              </w:rPr>
              <w:t>oficio emitido por el Responsable de Departamento Comercial Zona Chapingo en el que se brindan datos para realizar el pago, desglose de adeudo</w:t>
            </w:r>
            <w:r>
              <w:rPr>
                <w:rFonts w:ascii="Palatino Linotype" w:eastAsia="Palatino Linotype" w:hAnsi="Palatino Linotype" w:cs="Palatino Linotype"/>
                <w:sz w:val="20"/>
                <w:szCs w:val="20"/>
              </w:rPr>
              <w:t>, así como el convenio de colaboración por el que se establecen los términos y condiciones a los que se sujetará la recaudación del derecho por concepto de alumbrado público.</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Observaciones:</w:t>
            </w:r>
            <w:r>
              <w:rPr>
                <w:rFonts w:ascii="Palatino Linotype" w:eastAsia="Palatino Linotype" w:hAnsi="Palatino Linotype" w:cs="Palatino Linotype"/>
                <w:sz w:val="20"/>
                <w:szCs w:val="20"/>
              </w:rPr>
              <w:t xml:space="preserve"> únicamente en los archivos correspondientes a los meses de marzo y abril, se adjuntó el estado de cuenta.</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Respecto del año 2021, remitió </w:t>
            </w:r>
            <w:r>
              <w:rPr>
                <w:rFonts w:ascii="Palatino Linotype" w:eastAsia="Palatino Linotype" w:hAnsi="Palatino Linotype" w:cs="Palatino Linotype"/>
                <w:b/>
                <w:sz w:val="20"/>
                <w:szCs w:val="20"/>
              </w:rPr>
              <w:t>8</w:t>
            </w:r>
            <w:r>
              <w:rPr>
                <w:rFonts w:ascii="Palatino Linotype" w:eastAsia="Palatino Linotype" w:hAnsi="Palatino Linotype" w:cs="Palatino Linotype"/>
                <w:sz w:val="20"/>
                <w:szCs w:val="20"/>
              </w:rPr>
              <w:t xml:space="preserve"> archivos, generados de enero a agosto de 2021, los cuales corresponden a la póliza de egresos generada durante el mes, póliza de transferencia, factura de deudor, </w:t>
            </w:r>
            <w:r>
              <w:rPr>
                <w:rFonts w:ascii="Palatino Linotype" w:eastAsia="Palatino Linotype" w:hAnsi="Palatino Linotype" w:cs="Palatino Linotype"/>
                <w:b/>
                <w:sz w:val="20"/>
                <w:szCs w:val="20"/>
              </w:rPr>
              <w:t>oficio emitido por el Responsable de Departamento Comercial Zona Chapingo en el que se brindan datos para realizar el pago, desglose de adeudo</w:t>
            </w:r>
            <w:r>
              <w:rPr>
                <w:rFonts w:ascii="Palatino Linotype" w:eastAsia="Palatino Linotype" w:hAnsi="Palatino Linotype" w:cs="Palatino Linotype"/>
                <w:sz w:val="20"/>
                <w:szCs w:val="20"/>
              </w:rPr>
              <w:t>, así como el convenio de colaboración por el que se establecen los términos y condiciones a los que se sujetará la recaudación del derecho por concepto de alumbrado público.</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Observaciones:</w:t>
            </w:r>
            <w:r>
              <w:rPr>
                <w:rFonts w:ascii="Palatino Linotype" w:eastAsia="Palatino Linotype" w:hAnsi="Palatino Linotype" w:cs="Palatino Linotype"/>
                <w:sz w:val="20"/>
                <w:szCs w:val="20"/>
              </w:rPr>
              <w:t xml:space="preserve"> únicamente en los archivos correspondientes a los meses de enero y febrero, se adjuntó el estado de cuenta.</w:t>
            </w:r>
          </w:p>
          <w:p w:rsidR="00A64245" w:rsidRDefault="00A64245">
            <w:pPr>
              <w:spacing w:before="240" w:after="240"/>
              <w:jc w:val="both"/>
              <w:rPr>
                <w:rFonts w:ascii="Palatino Linotype" w:eastAsia="Palatino Linotype" w:hAnsi="Palatino Linotype" w:cs="Palatino Linotype"/>
                <w:sz w:val="20"/>
                <w:szCs w:val="20"/>
              </w:rPr>
            </w:pPr>
          </w:p>
          <w:p w:rsidR="00A64245" w:rsidRDefault="00A64245">
            <w:pPr>
              <w:spacing w:before="240" w:after="240"/>
              <w:jc w:val="both"/>
              <w:rPr>
                <w:rFonts w:ascii="Palatino Linotype" w:eastAsia="Palatino Linotype" w:hAnsi="Palatino Linotype" w:cs="Palatino Linotype"/>
                <w:sz w:val="20"/>
                <w:szCs w:val="20"/>
              </w:rPr>
            </w:pPr>
          </w:p>
          <w:p w:rsidR="00A64245" w:rsidRDefault="00A64245">
            <w:pPr>
              <w:spacing w:before="240" w:after="240"/>
              <w:jc w:val="both"/>
              <w:rPr>
                <w:rFonts w:ascii="Palatino Linotype" w:eastAsia="Palatino Linotype" w:hAnsi="Palatino Linotype" w:cs="Palatino Linotype"/>
                <w:sz w:val="20"/>
                <w:szCs w:val="20"/>
              </w:rPr>
            </w:pPr>
          </w:p>
          <w:p w:rsidR="00A64245" w:rsidRDefault="00A64245">
            <w:pPr>
              <w:spacing w:before="240" w:after="240"/>
              <w:jc w:val="both"/>
              <w:rPr>
                <w:rFonts w:ascii="Palatino Linotype" w:eastAsia="Palatino Linotype" w:hAnsi="Palatino Linotype" w:cs="Palatino Linotype"/>
                <w:sz w:val="20"/>
                <w:szCs w:val="20"/>
              </w:rPr>
            </w:pPr>
          </w:p>
          <w:p w:rsidR="00A64245" w:rsidRDefault="00A64245">
            <w:pPr>
              <w:spacing w:before="240" w:after="240"/>
              <w:jc w:val="center"/>
              <w:rPr>
                <w:rFonts w:ascii="Palatino Linotype" w:eastAsia="Palatino Linotype" w:hAnsi="Palatino Linotype" w:cs="Palatino Linotype"/>
                <w:sz w:val="20"/>
                <w:szCs w:val="20"/>
              </w:rPr>
            </w:pPr>
          </w:p>
        </w:tc>
      </w:tr>
      <w:tr w:rsidR="00A64245">
        <w:tc>
          <w:tcPr>
            <w:tcW w:w="2122" w:type="dxa"/>
          </w:tcPr>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DOS. Compartir de manera digital todos los oficios mensuales emitidos CFE Suministro Básico, CFE SSB, donde CFE SSB cobra por la contraprestación de recaudación de DAP conforme el contrato suscrito entre la autoridad municipal y este suministrador, periodo requerido de enero 2015 a fecha actual reciente. </w:t>
            </w:r>
          </w:p>
          <w:p w:rsidR="00A64245" w:rsidRDefault="00A64245">
            <w:pPr>
              <w:spacing w:before="240" w:after="240" w:line="360" w:lineRule="auto"/>
              <w:jc w:val="both"/>
              <w:rPr>
                <w:rFonts w:ascii="Palatino Linotype" w:eastAsia="Palatino Linotype" w:hAnsi="Palatino Linotype" w:cs="Palatino Linotype"/>
              </w:rPr>
            </w:pPr>
          </w:p>
        </w:tc>
        <w:tc>
          <w:tcPr>
            <w:tcW w:w="2552" w:type="dxa"/>
            <w:vMerge/>
          </w:tcPr>
          <w:p w:rsidR="00A64245" w:rsidRDefault="00A64245">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4535" w:type="dxa"/>
            <w:vMerge/>
          </w:tcPr>
          <w:p w:rsidR="00A64245" w:rsidRDefault="00A64245">
            <w:pPr>
              <w:widowControl w:val="0"/>
              <w:pBdr>
                <w:top w:val="nil"/>
                <w:left w:val="nil"/>
                <w:bottom w:val="nil"/>
                <w:right w:val="nil"/>
                <w:between w:val="nil"/>
              </w:pBdr>
              <w:spacing w:line="276" w:lineRule="auto"/>
              <w:rPr>
                <w:rFonts w:ascii="Palatino Linotype" w:eastAsia="Palatino Linotype" w:hAnsi="Palatino Linotype" w:cs="Palatino Linotype"/>
              </w:rPr>
            </w:pPr>
          </w:p>
        </w:tc>
      </w:tr>
      <w:tr w:rsidR="00A64245">
        <w:tc>
          <w:tcPr>
            <w:tcW w:w="2122" w:type="dxa"/>
          </w:tcPr>
          <w:p w:rsidR="00A64245" w:rsidRDefault="00681392">
            <w:pPr>
              <w:spacing w:before="240" w:after="240"/>
              <w:ind w:right="3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TRES. En el cuerpo de cada oficio mensual referido en punto UNO. se señala en el cuerpo de la misma el archivo en formato .xlsx, es cual corresponde a cada uno los RPU´s (Registro Permanente Único) que tiene el municipio a su cargo, y la suma resultante del importe deberá corresponder al monto expresado en el oficio. Se les requiere compartan los archivos .xlsx que fueron compartidos en el mismo formato de enero 2015 a fecha actual reciente. </w:t>
            </w:r>
          </w:p>
          <w:p w:rsidR="00A64245" w:rsidRDefault="00A64245">
            <w:pPr>
              <w:spacing w:before="240" w:after="240"/>
              <w:ind w:right="317"/>
              <w:jc w:val="both"/>
              <w:rPr>
                <w:rFonts w:ascii="Palatino Linotype" w:eastAsia="Palatino Linotype" w:hAnsi="Palatino Linotype" w:cs="Palatino Linotype"/>
              </w:rPr>
            </w:pPr>
          </w:p>
        </w:tc>
        <w:tc>
          <w:tcPr>
            <w:tcW w:w="2552" w:type="dxa"/>
            <w:vMerge/>
          </w:tcPr>
          <w:p w:rsidR="00A64245" w:rsidRDefault="00A64245">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4535" w:type="dxa"/>
            <w:vMerge/>
          </w:tcPr>
          <w:p w:rsidR="00A64245" w:rsidRDefault="00A64245">
            <w:pPr>
              <w:widowControl w:val="0"/>
              <w:pBdr>
                <w:top w:val="nil"/>
                <w:left w:val="nil"/>
                <w:bottom w:val="nil"/>
                <w:right w:val="nil"/>
                <w:between w:val="nil"/>
              </w:pBdr>
              <w:spacing w:line="276" w:lineRule="auto"/>
              <w:rPr>
                <w:rFonts w:ascii="Palatino Linotype" w:eastAsia="Palatino Linotype" w:hAnsi="Palatino Linotype" w:cs="Palatino Linotype"/>
              </w:rPr>
            </w:pPr>
          </w:p>
        </w:tc>
      </w:tr>
      <w:tr w:rsidR="00A64245">
        <w:tc>
          <w:tcPr>
            <w:tcW w:w="2122" w:type="dxa"/>
          </w:tcPr>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CUATRO. Compartir el resultado de todo Censo en el cual participó CFE de manera directa o mediante una empresa contratista, debiendo entregar conforme la normatividad de este particular las cédulas de campo por circuito, desgloses de cargas por RPU y los archivos .kmz de cada RPU que incluye el detalle técnico de cada luminaria, debiendo considerar lo siguiente; </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 Compartir Copia todo documento digitalizado en formato .pdf correspondiente de cada cédula levantada en campo debidamente firmada. </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B) Copia todo documento digitalizado en formato .pdf correspondiente al Desglose de cada RPU o bien el archivo .xlsx correspondiente debidamente identificable. </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 CFE Distribución entregó a CFE Suministro Básico los archivos .kmz, los cuales corresponden al plano de ubicación de cada luminaria y demás detalles técnicos previstos en la redacción del punto, los cuales que fueron entregados al municipio por medios magnéticos para su valoración, requiero compartan estos archivos .kmz en CD del periodo aquí requerido. </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 Copia todo documento digitalizado en formato .pdf correspondiente al resumen resultante del Censo, donde hacen el cálculo del antes y después, la diferencia entre cada carga censada, dan como resultado un cargo económico o un crédito a favor del municipio, podrán entregar copia simple del mismo o bien el archivo .xlsx que les entrego en su momento CFE Suministrador de Servicios Básicos, mismo que lo genero CFE Distribución. </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 Copia todo documento digitalizado en formato .pdf correspondiente a la Minuta levanta exprofeso entre los servidores públicos habilitados por la entrega de los resultados del Censo anual y el mismo personal de la empresa CFE Suministrador de Servicios Básicos y posiblemente CFE Distribución, debiendo ser conforme lo presentado inicialmente para el acompañamiento y realización del mismo censo.</w:t>
            </w:r>
          </w:p>
          <w:p w:rsidR="00A64245" w:rsidRDefault="00A64245">
            <w:pPr>
              <w:spacing w:before="240" w:after="240"/>
              <w:jc w:val="both"/>
              <w:rPr>
                <w:rFonts w:ascii="Palatino Linotype" w:eastAsia="Palatino Linotype" w:hAnsi="Palatino Linotype" w:cs="Palatino Linotype"/>
              </w:rPr>
            </w:pPr>
          </w:p>
        </w:tc>
        <w:tc>
          <w:tcPr>
            <w:tcW w:w="2552" w:type="dxa"/>
          </w:tcPr>
          <w:p w:rsidR="00A64245" w:rsidRDefault="00681392">
            <w:pPr>
              <w:spacing w:before="240" w:after="240"/>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Dirección de Electrificación y Alumbrado Público: </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Mediante el soporte documental </w:t>
            </w:r>
            <w:r>
              <w:rPr>
                <w:rFonts w:ascii="Palatino Linotype" w:eastAsia="Palatino Linotype" w:hAnsi="Palatino Linotype" w:cs="Palatino Linotype"/>
                <w:b/>
                <w:i/>
                <w:sz w:val="20"/>
                <w:szCs w:val="20"/>
              </w:rPr>
              <w:t>“CENSO 2020. Cuantificacion del Consumo de Energia.pdf”</w:t>
            </w:r>
            <w:r>
              <w:rPr>
                <w:rFonts w:ascii="Palatino Linotype" w:eastAsia="Palatino Linotype" w:hAnsi="Palatino Linotype" w:cs="Palatino Linotype"/>
                <w:sz w:val="20"/>
                <w:szCs w:val="20"/>
              </w:rPr>
              <w:t xml:space="preserve"> enviado por duplicado que consta de 117 fojas en el que se aprecia la minuta de trabajo levantada el 24 de septiembre de 2020 con el fin de revisar los resultados finales del censo de lámparas de alumbrado público por el H. Ayuntamiento de Chimalhuacán, asimismo se vislumbra un resumen del censo y desglose del censo de alumbrado público y semáforos.</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Asimismo la Dirección manifestó lo siguiente: </w:t>
            </w:r>
          </w:p>
          <w:p w:rsidR="00A64245" w:rsidRDefault="00681392">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“Respecto al numeral 4, únicamente se cuenta con el Censo 2020, realizado con personal de CFE y la Dirección de Electrificación y Alumbrado Público, en donde identifica el número de luminarias, el tipo de sistema, el consumo diario por Sección. Se anexa documento en formato PDF a fin de dar cumplimiento a lo solicitado.”</w:t>
            </w:r>
          </w:p>
        </w:tc>
        <w:tc>
          <w:tcPr>
            <w:tcW w:w="4535" w:type="dxa"/>
          </w:tcPr>
          <w:p w:rsidR="00A64245" w:rsidRDefault="00681392">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Si</w:t>
            </w:r>
          </w:p>
          <w:p w:rsidR="00A64245" w:rsidRDefault="00681392">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b/>
                <w:sz w:val="20"/>
                <w:szCs w:val="20"/>
              </w:rPr>
              <w:t>Observaciones:</w:t>
            </w:r>
            <w:r>
              <w:rPr>
                <w:rFonts w:ascii="Palatino Linotype" w:eastAsia="Palatino Linotype" w:hAnsi="Palatino Linotype" w:cs="Palatino Linotype"/>
                <w:sz w:val="20"/>
                <w:szCs w:val="20"/>
              </w:rPr>
              <w:t xml:space="preserve"> Del análisis al documento enviado por la </w:t>
            </w:r>
            <w:r>
              <w:rPr>
                <w:rFonts w:ascii="Palatino Linotype" w:eastAsia="Palatino Linotype" w:hAnsi="Palatino Linotype" w:cs="Palatino Linotype"/>
                <w:b/>
                <w:sz w:val="20"/>
                <w:szCs w:val="20"/>
              </w:rPr>
              <w:t>Dirección de Electrificación y Alumbrado Público</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sz w:val="20"/>
                <w:szCs w:val="20"/>
              </w:rPr>
              <w:t xml:space="preserve">se vislumbra el siguiente pronunciamiento </w:t>
            </w:r>
            <w:r>
              <w:rPr>
                <w:rFonts w:ascii="Palatino Linotype" w:eastAsia="Palatino Linotype" w:hAnsi="Palatino Linotype" w:cs="Palatino Linotype"/>
                <w:i/>
                <w:sz w:val="20"/>
                <w:szCs w:val="20"/>
              </w:rPr>
              <w:t xml:space="preserve">“Respecto al numeral 4, </w:t>
            </w:r>
            <w:r>
              <w:rPr>
                <w:rFonts w:ascii="Palatino Linotype" w:eastAsia="Palatino Linotype" w:hAnsi="Palatino Linotype" w:cs="Palatino Linotype"/>
                <w:b/>
                <w:i/>
                <w:sz w:val="20"/>
                <w:szCs w:val="20"/>
                <w:u w:val="single"/>
              </w:rPr>
              <w:t>únicamente se cuenta con el Censo 2020, realizado con personal de CFE y la Dirección de Electrificación y Alumbrado Público</w:t>
            </w:r>
            <w:r>
              <w:rPr>
                <w:rFonts w:ascii="Palatino Linotype" w:eastAsia="Palatino Linotype" w:hAnsi="Palatino Linotype" w:cs="Palatino Linotype"/>
                <w:i/>
                <w:sz w:val="20"/>
                <w:szCs w:val="20"/>
              </w:rPr>
              <w:t>, en donde identifica el número de luminarias, el tipo de sistema, el consumo diario por Sección. Se anexa documento en formato PDF a fin de dar cumplimiento a lo solicitado.”</w:t>
            </w:r>
            <w:r>
              <w:rPr>
                <w:rFonts w:ascii="Palatino Linotype" w:eastAsia="Palatino Linotype" w:hAnsi="Palatino Linotype" w:cs="Palatino Linotype"/>
                <w:sz w:val="20"/>
                <w:szCs w:val="20"/>
              </w:rPr>
              <w:t xml:space="preserve"> </w:t>
            </w:r>
          </w:p>
        </w:tc>
      </w:tr>
      <w:tr w:rsidR="00A64245">
        <w:tc>
          <w:tcPr>
            <w:tcW w:w="2122" w:type="dxa"/>
          </w:tcPr>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CINCO. Compartir todo documento digitalizado en formato .pdf de notificación de crédito o cargo que finco CFE SSB relativa al resultado del Censo. </w:t>
            </w:r>
          </w:p>
          <w:p w:rsidR="00A64245" w:rsidRDefault="00A64245">
            <w:pPr>
              <w:spacing w:before="240" w:after="240"/>
              <w:jc w:val="both"/>
              <w:rPr>
                <w:rFonts w:ascii="Palatino Linotype" w:eastAsia="Palatino Linotype" w:hAnsi="Palatino Linotype" w:cs="Palatino Linotype"/>
                <w:sz w:val="20"/>
                <w:szCs w:val="20"/>
              </w:rPr>
            </w:pPr>
          </w:p>
        </w:tc>
        <w:tc>
          <w:tcPr>
            <w:tcW w:w="2552" w:type="dxa"/>
            <w:vMerge w:val="restart"/>
          </w:tcPr>
          <w:p w:rsidR="00A64245" w:rsidRDefault="00681392">
            <w:pPr>
              <w:spacing w:before="240" w:after="240"/>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Dirección de Electrificación y Alumbrado Público: </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Mediante el soporte documental </w:t>
            </w:r>
            <w:r>
              <w:rPr>
                <w:rFonts w:ascii="Palatino Linotype" w:eastAsia="Palatino Linotype" w:hAnsi="Palatino Linotype" w:cs="Palatino Linotype"/>
                <w:b/>
                <w:sz w:val="20"/>
                <w:szCs w:val="20"/>
              </w:rPr>
              <w:t>“00231-CHIMALHU-IP-2021 Req. 1.pdf”</w:t>
            </w:r>
            <w:r>
              <w:rPr>
                <w:rFonts w:ascii="Palatino Linotype" w:eastAsia="Palatino Linotype" w:hAnsi="Palatino Linotype" w:cs="Palatino Linotype"/>
                <w:sz w:val="20"/>
                <w:szCs w:val="20"/>
              </w:rPr>
              <w:t xml:space="preserve">, manifiesta lo siguiente: </w:t>
            </w:r>
          </w:p>
          <w:p w:rsidR="00A64245" w:rsidRDefault="00681392">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“Respecto a los requerimientos solicitados en los numerales: 1, 2, 3, 5, 6 y 7 esta Dirección no cuenta con dicha información al no ser de su competencia todos y cada uno de los procedimientos financieros o económicos ante la Comisión Federal de Electrificación “CFE”, siendo directamente el H. Ayuntamiento el responsable de estos procesos, o en su caso el área de Tesorería”</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Tesorería Municipal: “</w:t>
            </w:r>
            <w:r>
              <w:rPr>
                <w:rFonts w:ascii="Palatino Linotype" w:eastAsia="Palatino Linotype" w:hAnsi="Palatino Linotype" w:cs="Palatino Linotype"/>
                <w:i/>
                <w:sz w:val="20"/>
                <w:szCs w:val="20"/>
              </w:rPr>
              <w:t>EN RELACION A TODO LO DEMAS QUE NOS SOLICITAN, RESPETUOSAMENTE LES PEDIMOS QUE LO SOLICITEN A LA C.F.E. POR TRATARSE DE DOCUMENTACION QUE ENTRE ELLOS SE GENERAN ENTRE C.F.E. DISTRIBUCION Y SUMINISTRO BASICO Y QUE NOSOTROS NO TENEMOS EN NUESTRO PODER. ASI COMO RECARGOS ECONOMICOS A FAVOR O EN CONTRA QUE SE NOS HAYAN NOTIFICADO DERIVADOS DEL CENSO. ATENTAMENTE LA TESORERA MUNICIPAL”</w:t>
            </w:r>
            <w:r>
              <w:rPr>
                <w:rFonts w:ascii="Palatino Linotype" w:eastAsia="Palatino Linotype" w:hAnsi="Palatino Linotype" w:cs="Palatino Linotype"/>
                <w:sz w:val="20"/>
                <w:szCs w:val="20"/>
              </w:rPr>
              <w:t xml:space="preserve">, asimismo remitió los soportes documentales </w:t>
            </w:r>
            <w:r>
              <w:rPr>
                <w:rFonts w:ascii="Palatino Linotype" w:eastAsia="Palatino Linotype" w:hAnsi="Palatino Linotype" w:cs="Palatino Linotype"/>
                <w:b/>
                <w:i/>
                <w:sz w:val="20"/>
                <w:szCs w:val="20"/>
              </w:rPr>
              <w:t xml:space="preserve">“MAYO 2020.pdf”, “DAP MARZO 2021.pdf”, “DICIEMBRE 2020”, DAP.pdf”, “DAP ABRIL 2021.pdf”, “DAP FEBRERO 2021.pdf”, “DAP JUNIO 2021.pdf”, “DAP JULIO.pdf”, “DAP AGOSTO 2021.pdf”, “JUNIO 2020 DAP.pdf”, “DAP MAYO 2021.pdf”, “ABRIL 2020 DAP.pdf”, “ENERO 2021.pdf”, “MARZO 2020 DAP.pdf”, “OCTUBRE 2020 DAP.pdf”, “AGOSTO 2020 DAP.pdf”, “SEP 2020 DAP.pdf”, “NOV 2020 DAP.pdf” y “JULIO 2020 DAP.pdf”: </w:t>
            </w:r>
            <w:r>
              <w:rPr>
                <w:rFonts w:ascii="Palatino Linotype" w:eastAsia="Palatino Linotype" w:hAnsi="Palatino Linotype" w:cs="Palatino Linotype"/>
                <w:sz w:val="20"/>
                <w:szCs w:val="20"/>
              </w:rPr>
              <w:t>Por economía procesal, al ser el mismo contenido de todos los soportes documentales, se advierte que los archivos electrónicos anteriormente citados contienen la póliza de egresos generada durante el mes, póliza de transferencia, factura de deudor, oficio emitido por el Responsable de Departamento Comercial Zona Chapingo en el que se brindan datos para realizar el pago, desglose de adeudo, así como el convenio de colaboración por el que se establecen los términos y condiciones a los que se sujetará la recaudación del derecho por concepto de alumbrado público.</w:t>
            </w:r>
          </w:p>
        </w:tc>
        <w:tc>
          <w:tcPr>
            <w:tcW w:w="4535" w:type="dxa"/>
            <w:vMerge w:val="restart"/>
          </w:tcPr>
          <w:p w:rsidR="00A64245" w:rsidRDefault="00681392">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Parcialmente</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Respecto del año 2020</w:t>
            </w:r>
            <w:r>
              <w:rPr>
                <w:rFonts w:ascii="Palatino Linotype" w:eastAsia="Palatino Linotype" w:hAnsi="Palatino Linotype" w:cs="Palatino Linotype"/>
                <w:sz w:val="20"/>
                <w:szCs w:val="20"/>
              </w:rPr>
              <w:t xml:space="preserve">, remitió </w:t>
            </w:r>
            <w:r>
              <w:rPr>
                <w:rFonts w:ascii="Palatino Linotype" w:eastAsia="Palatino Linotype" w:hAnsi="Palatino Linotype" w:cs="Palatino Linotype"/>
                <w:b/>
                <w:sz w:val="20"/>
                <w:szCs w:val="20"/>
              </w:rPr>
              <w:t>10</w:t>
            </w:r>
            <w:r>
              <w:rPr>
                <w:rFonts w:ascii="Palatino Linotype" w:eastAsia="Palatino Linotype" w:hAnsi="Palatino Linotype" w:cs="Palatino Linotype"/>
                <w:sz w:val="20"/>
                <w:szCs w:val="20"/>
              </w:rPr>
              <w:t xml:space="preserve"> archivos, generados de </w:t>
            </w:r>
            <w:r>
              <w:rPr>
                <w:rFonts w:ascii="Palatino Linotype" w:eastAsia="Palatino Linotype" w:hAnsi="Palatino Linotype" w:cs="Palatino Linotype"/>
                <w:b/>
                <w:sz w:val="20"/>
                <w:szCs w:val="20"/>
              </w:rPr>
              <w:t>marzo a diciembre de 2020</w:t>
            </w:r>
            <w:r>
              <w:rPr>
                <w:rFonts w:ascii="Palatino Linotype" w:eastAsia="Palatino Linotype" w:hAnsi="Palatino Linotype" w:cs="Palatino Linotype"/>
                <w:sz w:val="20"/>
                <w:szCs w:val="20"/>
              </w:rPr>
              <w:t xml:space="preserve">, los cuales corresponden a la póliza de egresos generada durante el mes, póliza de transferencia, factura de deudor, </w:t>
            </w:r>
            <w:r>
              <w:rPr>
                <w:rFonts w:ascii="Palatino Linotype" w:eastAsia="Palatino Linotype" w:hAnsi="Palatino Linotype" w:cs="Palatino Linotype"/>
                <w:b/>
                <w:sz w:val="20"/>
                <w:szCs w:val="20"/>
              </w:rPr>
              <w:t>oficio emitido por el Responsable de Departamento Comercial Zona Chapingo en el que se brindan datos para realizar el pago, desglose de adeudo</w:t>
            </w:r>
            <w:r>
              <w:rPr>
                <w:rFonts w:ascii="Palatino Linotype" w:eastAsia="Palatino Linotype" w:hAnsi="Palatino Linotype" w:cs="Palatino Linotype"/>
                <w:sz w:val="20"/>
                <w:szCs w:val="20"/>
              </w:rPr>
              <w:t>, así como el convenio de colaboración por el que se establecen los términos y condiciones a los que se sujetará la recaudación del derecho por concepto de alumbrado público.</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Observaciones:</w:t>
            </w:r>
            <w:r>
              <w:rPr>
                <w:rFonts w:ascii="Palatino Linotype" w:eastAsia="Palatino Linotype" w:hAnsi="Palatino Linotype" w:cs="Palatino Linotype"/>
                <w:sz w:val="20"/>
                <w:szCs w:val="20"/>
              </w:rPr>
              <w:t xml:space="preserve"> únicamente en los archivos correspondientes a los meses de marzo y abril, se adjuntó el estado de cuenta.</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Respecto del año 2021, remitió 8 archivos</w:t>
            </w:r>
            <w:r>
              <w:rPr>
                <w:rFonts w:ascii="Palatino Linotype" w:eastAsia="Palatino Linotype" w:hAnsi="Palatino Linotype" w:cs="Palatino Linotype"/>
                <w:sz w:val="20"/>
                <w:szCs w:val="20"/>
              </w:rPr>
              <w:t xml:space="preserve">, generados de </w:t>
            </w:r>
            <w:r>
              <w:rPr>
                <w:rFonts w:ascii="Palatino Linotype" w:eastAsia="Palatino Linotype" w:hAnsi="Palatino Linotype" w:cs="Palatino Linotype"/>
                <w:b/>
                <w:sz w:val="20"/>
                <w:szCs w:val="20"/>
              </w:rPr>
              <w:t>enero a agosto de 2021</w:t>
            </w:r>
            <w:r>
              <w:rPr>
                <w:rFonts w:ascii="Palatino Linotype" w:eastAsia="Palatino Linotype" w:hAnsi="Palatino Linotype" w:cs="Palatino Linotype"/>
                <w:sz w:val="20"/>
                <w:szCs w:val="20"/>
              </w:rPr>
              <w:t xml:space="preserve">, los cuales corresponden a la póliza de egresos generada durante el mes, póliza de transferencia, factura de deudor, </w:t>
            </w:r>
            <w:r>
              <w:rPr>
                <w:rFonts w:ascii="Palatino Linotype" w:eastAsia="Palatino Linotype" w:hAnsi="Palatino Linotype" w:cs="Palatino Linotype"/>
                <w:b/>
                <w:sz w:val="20"/>
                <w:szCs w:val="20"/>
              </w:rPr>
              <w:t>oficio emitido por el Responsable de Departamento Comercial Zona Chapingo en el que se brindan datos para realizar el pago, desglose de adeudo</w:t>
            </w:r>
            <w:r>
              <w:rPr>
                <w:rFonts w:ascii="Palatino Linotype" w:eastAsia="Palatino Linotype" w:hAnsi="Palatino Linotype" w:cs="Palatino Linotype"/>
                <w:sz w:val="20"/>
                <w:szCs w:val="20"/>
              </w:rPr>
              <w:t>, así como el convenio de colaboración por el que se establecen los términos y condiciones a los que se sujetará la recaudación del derecho por concepto de alumbrado público.</w:t>
            </w:r>
          </w:p>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Observaciones:</w:t>
            </w:r>
            <w:r>
              <w:rPr>
                <w:rFonts w:ascii="Palatino Linotype" w:eastAsia="Palatino Linotype" w:hAnsi="Palatino Linotype" w:cs="Palatino Linotype"/>
                <w:sz w:val="20"/>
                <w:szCs w:val="20"/>
              </w:rPr>
              <w:t xml:space="preserve"> únicamente en los archivos correspondientes a los meses de enero y febrero, se adjuntó el estado de cuenta.</w:t>
            </w:r>
          </w:p>
          <w:p w:rsidR="00A64245" w:rsidRDefault="00A64245">
            <w:pPr>
              <w:spacing w:before="240" w:after="240"/>
              <w:jc w:val="both"/>
              <w:rPr>
                <w:rFonts w:ascii="Palatino Linotype" w:eastAsia="Palatino Linotype" w:hAnsi="Palatino Linotype" w:cs="Palatino Linotype"/>
                <w:sz w:val="20"/>
                <w:szCs w:val="20"/>
              </w:rPr>
            </w:pPr>
          </w:p>
          <w:p w:rsidR="00A64245" w:rsidRDefault="00A64245">
            <w:pPr>
              <w:spacing w:before="240" w:after="240"/>
              <w:jc w:val="both"/>
              <w:rPr>
                <w:rFonts w:ascii="Palatino Linotype" w:eastAsia="Palatino Linotype" w:hAnsi="Palatino Linotype" w:cs="Palatino Linotype"/>
                <w:sz w:val="20"/>
                <w:szCs w:val="20"/>
              </w:rPr>
            </w:pPr>
          </w:p>
          <w:p w:rsidR="00A64245" w:rsidRDefault="00A64245">
            <w:pPr>
              <w:spacing w:before="240" w:after="240"/>
              <w:jc w:val="both"/>
              <w:rPr>
                <w:rFonts w:ascii="Palatino Linotype" w:eastAsia="Palatino Linotype" w:hAnsi="Palatino Linotype" w:cs="Palatino Linotype"/>
              </w:rPr>
            </w:pPr>
          </w:p>
        </w:tc>
      </w:tr>
      <w:tr w:rsidR="00A64245">
        <w:tc>
          <w:tcPr>
            <w:tcW w:w="2122" w:type="dxa"/>
          </w:tcPr>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SEIS. Compartir todo documento digitalizado en formato .pdf que haya expedido el Municipio a CFE SSB relativo a temas de alumbrado público, su naturaleza puede ser muy diversa, se ocupan todos, periodo comprendido de enero 2015 a fecha actual reciente.</w:t>
            </w:r>
          </w:p>
          <w:p w:rsidR="00A64245" w:rsidRDefault="00A64245">
            <w:pPr>
              <w:spacing w:before="240" w:after="240"/>
              <w:jc w:val="both"/>
              <w:rPr>
                <w:rFonts w:ascii="Palatino Linotype" w:eastAsia="Palatino Linotype" w:hAnsi="Palatino Linotype" w:cs="Palatino Linotype"/>
                <w:sz w:val="20"/>
                <w:szCs w:val="20"/>
              </w:rPr>
            </w:pPr>
          </w:p>
        </w:tc>
        <w:tc>
          <w:tcPr>
            <w:tcW w:w="2552" w:type="dxa"/>
            <w:vMerge/>
          </w:tcPr>
          <w:p w:rsidR="00A64245" w:rsidRDefault="00A64245">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4535" w:type="dxa"/>
            <w:vMerge/>
          </w:tcPr>
          <w:p w:rsidR="00A64245" w:rsidRDefault="00A64245">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A64245">
        <w:tc>
          <w:tcPr>
            <w:tcW w:w="2122" w:type="dxa"/>
          </w:tcPr>
          <w:p w:rsidR="00A64245" w:rsidRDefault="0068139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SIETE. Compartir todo documento digitalizado en formato .pdf que tenga como fuente toda notificación que ha realizado CFE Suministrador de Servicios Básicos con cargo al servicio de Alumbrado Público desde el año 2015 a fecha actual reciente y que no están vinculados con el CENSO.</w:t>
            </w:r>
          </w:p>
          <w:p w:rsidR="00A64245" w:rsidRDefault="00A64245">
            <w:pPr>
              <w:spacing w:before="240" w:after="240"/>
              <w:jc w:val="both"/>
              <w:rPr>
                <w:rFonts w:ascii="Palatino Linotype" w:eastAsia="Palatino Linotype" w:hAnsi="Palatino Linotype" w:cs="Palatino Linotype"/>
                <w:sz w:val="20"/>
                <w:szCs w:val="20"/>
              </w:rPr>
            </w:pPr>
          </w:p>
        </w:tc>
        <w:tc>
          <w:tcPr>
            <w:tcW w:w="2552" w:type="dxa"/>
            <w:vMerge/>
          </w:tcPr>
          <w:p w:rsidR="00A64245" w:rsidRDefault="00A64245">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4535" w:type="dxa"/>
            <w:vMerge/>
          </w:tcPr>
          <w:p w:rsidR="00A64245" w:rsidRDefault="00A64245">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Conocida la respuesta por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 xml:space="preserve">“Una vez analizada la información proporcionada en su respuesta, se resuelve: </w:t>
      </w:r>
      <w:r>
        <w:rPr>
          <w:rFonts w:ascii="Palatino Linotype" w:eastAsia="Palatino Linotype" w:hAnsi="Palatino Linotype" w:cs="Palatino Linotype"/>
          <w:b/>
          <w:i/>
          <w:u w:val="single"/>
        </w:rPr>
        <w:t>Punto UNO, DOS, TRES, CINCO, SEIS y SIETE: Sin Respuesta</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Punto CUATRO: Cumplimiento parcial ya que únicamente se nos proporcionaron del censo 2020 los siguientes documentos: desgloses, resumen del censo y la minuta de trabajo. Por lo tanto le solicitamos la declaración jurídica de la inexistencia de la información NO compartida</w:t>
      </w:r>
      <w:r>
        <w:rPr>
          <w:rFonts w:ascii="Palatino Linotype" w:eastAsia="Palatino Linotype" w:hAnsi="Palatino Linotype" w:cs="Palatino Linotype"/>
          <w:i/>
        </w:rPr>
        <w:t xml:space="preserve">”, </w:t>
      </w:r>
      <w:r>
        <w:rPr>
          <w:rFonts w:ascii="Palatino Linotype" w:eastAsia="Palatino Linotype" w:hAnsi="Palatino Linotype" w:cs="Palatino Linotype"/>
        </w:rPr>
        <w:t>de tal suerte que el estudio del presente asunto versará sobre la falta de documentación por cuanto hace al censo y la documentación generada por el ejercicio de derecho de alumbrado público ejercicio por el Ayuntamiento de Chimalhuacán.</w:t>
      </w:r>
    </w:p>
    <w:p w:rsidR="00A64245" w:rsidRDefault="00681392">
      <w:pP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debemos recordar que </w:t>
      </w:r>
      <w:r>
        <w:rPr>
          <w:rFonts w:ascii="Palatino Linotype" w:eastAsia="Palatino Linotype" w:hAnsi="Palatino Linotype" w:cs="Palatino Linotype"/>
          <w:color w:val="000000"/>
        </w:rPr>
        <w:t xml:space="preserve">el Derecho de Acceso a la Información Pública consiste en que la información solicitada conste en un soporte documental en cualquiera de sus formas, a saber: </w:t>
      </w:r>
      <w:r>
        <w:rPr>
          <w:rFonts w:ascii="Palatino Linotype" w:eastAsia="Palatino Linotype" w:hAnsi="Palatino Linotype" w:cs="Palatino Linotype"/>
        </w:rPr>
        <w:t xml:space="preserve">expedientes, reportes, estudios, </w:t>
      </w:r>
      <w:r>
        <w:rPr>
          <w:rFonts w:ascii="Palatino Linotype" w:eastAsia="Palatino Linotype" w:hAnsi="Palatino Linotype" w:cs="Palatino Linotype"/>
          <w:b/>
        </w:rPr>
        <w:t>actas,</w:t>
      </w:r>
      <w:r>
        <w:rPr>
          <w:rFonts w:ascii="Palatino Linotype" w:eastAsia="Palatino Linotype" w:hAnsi="Palatino Linotype" w:cs="Palatino Linotype"/>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Pr>
          <w:rFonts w:ascii="Palatino Linotype" w:eastAsia="Palatino Linotype" w:hAnsi="Palatino Linotype" w:cs="Palatino Linotype"/>
          <w:color w:val="000000"/>
        </w:rPr>
        <w:t xml:space="preserve">; los que, </w:t>
      </w:r>
      <w:r>
        <w:rPr>
          <w:rFonts w:ascii="Palatino Linotype" w:eastAsia="Palatino Linotype" w:hAnsi="Palatino Linotype" w:cs="Palatino Linotype"/>
        </w:rPr>
        <w:t>podrán estar en cualquier medio, sea escrito, impreso, sonoro, visual, electrónico, informático u holográfico</w:t>
      </w:r>
      <w:r>
        <w:rPr>
          <w:rFonts w:ascii="Palatino Linotype" w:eastAsia="Palatino Linotype" w:hAnsi="Palatino Linotype" w:cs="Palatino Linotype"/>
          <w:color w:val="000000"/>
        </w:rPr>
        <w:t xml:space="preserve">, de conformidad con el artículo 3, fracción XI de la Ley de la materia, el cual dispone lo siguiente: </w:t>
      </w:r>
    </w:p>
    <w:p w:rsidR="00A64245" w:rsidRDefault="00A64245">
      <w:pPr>
        <w:ind w:left="851" w:right="901"/>
        <w:jc w:val="both"/>
        <w:rPr>
          <w:rFonts w:ascii="Palatino Linotype" w:eastAsia="Palatino Linotype" w:hAnsi="Palatino Linotype" w:cs="Palatino Linotype"/>
          <w:i/>
          <w:color w:val="000000"/>
          <w:sz w:val="22"/>
          <w:szCs w:val="22"/>
        </w:rPr>
      </w:pPr>
    </w:p>
    <w:p w:rsidR="00A64245" w:rsidRDefault="00681392">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A64245" w:rsidRDefault="00681392">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4245" w:rsidRDefault="00681392">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resoluciones,</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64245" w:rsidRDefault="00681392">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rsidR="00A64245" w:rsidRDefault="00681392">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A64245" w:rsidRDefault="00A64245">
      <w:pPr>
        <w:ind w:left="851" w:right="850"/>
        <w:jc w:val="both"/>
        <w:rPr>
          <w:rFonts w:ascii="Palatino Linotype" w:eastAsia="Palatino Linotype" w:hAnsi="Palatino Linotype" w:cs="Palatino Linotype"/>
          <w:sz w:val="22"/>
          <w:szCs w:val="22"/>
        </w:rPr>
      </w:pPr>
    </w:p>
    <w:p w:rsidR="00A64245" w:rsidRDefault="006813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A64245" w:rsidRDefault="00A64245">
      <w:pPr>
        <w:ind w:left="851" w:right="850"/>
        <w:jc w:val="both"/>
        <w:rPr>
          <w:rFonts w:ascii="Palatino Linotype" w:eastAsia="Palatino Linotype" w:hAnsi="Palatino Linotype" w:cs="Palatino Linotype"/>
          <w:sz w:val="20"/>
          <w:szCs w:val="20"/>
        </w:rPr>
      </w:pPr>
    </w:p>
    <w:p w:rsidR="00A64245" w:rsidRDefault="00681392">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A64245" w:rsidRDefault="00681392">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64245" w:rsidRDefault="00681392">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A64245" w:rsidRDefault="00681392">
      <w:pPr>
        <w:ind w:left="851" w:right="90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1) Que se trate de información registrada en cualquier soporte documental, que en ejercicio de las atribuciones conferidas, sea generada por los Sujetos Obligados;</w:t>
      </w:r>
    </w:p>
    <w:p w:rsidR="00A64245" w:rsidRDefault="00681392">
      <w:pPr>
        <w:ind w:left="851" w:right="90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2) Que se trate de información registrada en cualquier soporte documental, que en ejercicio de las atribuciones conferidas, sea administrada por los Sujetos Obligados, y</w:t>
      </w:r>
    </w:p>
    <w:p w:rsidR="00A64245" w:rsidRDefault="00681392">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3) Que se trate de información registrada en cualquier soporte documental, que en ejercicio de las atribuciones conferidas, se encuentre en posesión de los Sujetos Obligados</w:t>
      </w:r>
      <w:r>
        <w:rPr>
          <w:rFonts w:ascii="Palatino Linotype" w:eastAsia="Palatino Linotype" w:hAnsi="Palatino Linotype" w:cs="Palatino Linotype"/>
          <w:i/>
          <w:sz w:val="22"/>
          <w:szCs w:val="22"/>
        </w:rPr>
        <w:t>.” (Sic)</w:t>
      </w:r>
    </w:p>
    <w:p w:rsidR="00A64245" w:rsidRDefault="00A64245">
      <w:pPr>
        <w:ind w:left="851" w:right="901"/>
        <w:jc w:val="both"/>
        <w:rPr>
          <w:rFonts w:ascii="Palatino Linotype" w:eastAsia="Palatino Linotype" w:hAnsi="Palatino Linotype" w:cs="Palatino Linotype"/>
          <w:i/>
          <w:sz w:val="22"/>
          <w:szCs w:val="22"/>
        </w:rPr>
      </w:pPr>
    </w:p>
    <w:p w:rsidR="00A64245" w:rsidRDefault="00681392">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A64245" w:rsidRDefault="00A64245">
      <w:pPr>
        <w:spacing w:line="360" w:lineRule="auto"/>
        <w:jc w:val="both"/>
        <w:rPr>
          <w:rFonts w:ascii="Palatino Linotype" w:eastAsia="Palatino Linotype" w:hAnsi="Palatino Linotype" w:cs="Palatino Linotype"/>
        </w:rPr>
      </w:pPr>
    </w:p>
    <w:p w:rsidR="00A64245" w:rsidRDefault="006813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es importante señalar que, de conformidad con el artículo 18 de la Ley de Transparencia y Acceso a la Información Pública del Estado de México y Municipios, </w:t>
      </w:r>
      <w:r>
        <w:rPr>
          <w:rFonts w:ascii="Palatino Linotype" w:eastAsia="Palatino Linotype" w:hAnsi="Palatino Linotype" w:cs="Palatino Linotype"/>
          <w:b/>
          <w:i/>
          <w:u w:val="single"/>
        </w:rPr>
        <w:t>los Sujetos Obligados deben documentar todos sus actos que realicen derivado del ejercicio de sus atribuciones</w:t>
      </w:r>
      <w:r>
        <w:rPr>
          <w:rFonts w:ascii="Palatino Linotype" w:eastAsia="Palatino Linotype" w:hAnsi="Palatino Linotype" w:cs="Palatino Linotype"/>
        </w:rPr>
        <w:t>, como se aprecia de la lectura del precepto legal en comento:</w:t>
      </w:r>
    </w:p>
    <w:p w:rsidR="00A64245" w:rsidRDefault="00A64245">
      <w:pPr>
        <w:ind w:left="851" w:right="902"/>
        <w:jc w:val="both"/>
        <w:rPr>
          <w:rFonts w:ascii="Palatino Linotype" w:eastAsia="Palatino Linotype" w:hAnsi="Palatino Linotype" w:cs="Palatino Linotype"/>
          <w:b/>
          <w:i/>
          <w:sz w:val="22"/>
          <w:szCs w:val="22"/>
        </w:rPr>
      </w:pPr>
    </w:p>
    <w:p w:rsidR="00A64245" w:rsidRDefault="00681392">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18. </w:t>
      </w:r>
      <w:r>
        <w:rPr>
          <w:rFonts w:ascii="Palatino Linotype" w:eastAsia="Palatino Linotype" w:hAnsi="Palatino Linotype" w:cs="Palatino Linotype"/>
          <w:i/>
          <w:sz w:val="22"/>
          <w:szCs w:val="22"/>
        </w:rPr>
        <w:t xml:space="preserve">Los </w:t>
      </w:r>
      <w:r>
        <w:rPr>
          <w:rFonts w:ascii="Palatino Linotype" w:eastAsia="Palatino Linotype" w:hAnsi="Palatino Linotype" w:cs="Palatino Linotype"/>
          <w:b/>
          <w:i/>
          <w:sz w:val="22"/>
          <w:szCs w:val="22"/>
        </w:rPr>
        <w:t>sujetos obligados deberán documentar todo acto que derive del ejercicio de sus facultades, competencias o funciones, considerando desde su origen la eventual publicidad y reutilización de la información que generen</w:t>
      </w:r>
      <w:r>
        <w:rPr>
          <w:rFonts w:ascii="Palatino Linotype" w:eastAsia="Palatino Linotype" w:hAnsi="Palatino Linotype" w:cs="Palatino Linotype"/>
          <w:i/>
          <w:sz w:val="22"/>
          <w:szCs w:val="22"/>
        </w:rPr>
        <w:t>.” (Sic)</w:t>
      </w:r>
    </w:p>
    <w:p w:rsidR="00A64245" w:rsidRDefault="00A64245">
      <w:pPr>
        <w:spacing w:after="240" w:line="360" w:lineRule="auto"/>
        <w:jc w:val="both"/>
        <w:rPr>
          <w:rFonts w:ascii="Palatino Linotype" w:eastAsia="Palatino Linotype" w:hAnsi="Palatino Linotype" w:cs="Palatino Linotype"/>
          <w:color w:val="000000"/>
        </w:rPr>
      </w:pPr>
    </w:p>
    <w:p w:rsidR="00A64245" w:rsidRDefault="0068139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 misma forma, se cita el contenido del artículo 160 de la Ley General de Transparencia y Acceso a la Información Pública que a la letra dispone:</w:t>
      </w:r>
    </w:p>
    <w:p w:rsidR="00A64245" w:rsidRDefault="00681392">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(Sic)</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armonía con los preceptos legales citados con antelación, los artículos 12 y 24 de la Ley de Transparencia y Acceso a la Información Pública del Estado de México y Municipios prevén lo siguiente: </w:t>
      </w:r>
    </w:p>
    <w:p w:rsidR="00A64245" w:rsidRDefault="00681392">
      <w:pPr>
        <w:spacing w:before="240" w:after="240"/>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24. Para el cumplimiento de los objetivos de esta Ley, los sujetos obligados deberán cumplir con las siguientes obligaciones, según corresponda, de acuerdo a su naturaleza: </w:t>
      </w:r>
    </w:p>
    <w:p w:rsidR="00A64245" w:rsidRDefault="00681392">
      <w:pPr>
        <w:numPr>
          <w:ilvl w:val="0"/>
          <w:numId w:val="4"/>
        </w:numPr>
        <w:pBdr>
          <w:top w:val="nil"/>
          <w:left w:val="nil"/>
          <w:bottom w:val="nil"/>
          <w:right w:val="nil"/>
          <w:between w:val="nil"/>
        </w:pBdr>
        <w:spacing w:before="240"/>
        <w:ind w:left="426"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Constituir el Comité de Transparencia, las unidades de transparencia y vigilar su correcto funcionamiento de acuerdo a su normatividad interna;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Designar en las unidades de transparencia a los titulares que dependan directamente del titular del sujeto obligado y que preferentemente cuenten con experiencia en la materia;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Proporcionar capacitación continua y especializada en coordinación con el Instituto, al personal que formen parte de los comités y unidades de transparencia; en temas de transparencia, acceso a la información y rendición de cuentas;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Constituir y mantener actualizados sus sistemas de archivos y gestión documental, conforme a la normatividad aplicable;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Promover la generación, documentación y publicación de la información en formatos abiertos y accesibles;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Proteger y resguardar la información clasificada como reservada o confidencial; VII. Reportar al Instituto sobre las acciones de implementación de la normatividad en la materia, en los términos que estos determinen;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Atender de manera oportuna, los requerimientos, observaciones, recomendaciones y criterios que en materia de transparencia y acceso a la información realice el Instituto;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Fomentar el uso de tecnologías de la información para garantizar la transparencia, el derecho de acceso a la información y la accesibilidad a éstos;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Cumplir cabalmente con las resoluciones emitidas por el Instituto;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Dar acceso a la información pública que le sea requerida, en los términos de la Ley General, esta Ley y demás disposiciones jurídicas aplicables;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Publicar y mantener actualizada la información relativa a las obligaciones generales de transparencia previstas en la presente Ley o determinadas así por el Instituto, y en general aquella que sea de interés público;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XIII.Difundir proactivamente información de interés público;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XIV. Asegurar la protección de los datos personales en su posesión, en términos de la Ley de Protección de Datos Personales del Estado de México;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 Informar anualmente por escrito al Instituto sobre las actividades realizadas, en cumplimiento de las obligaciones que se deriven de la presente Ley;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Procurar condiciones de accesibilidad para que personas con discapacidad ejerzan los derechos regulados en esta Ley;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Crear y hacer uso de sistemas de tecnología sistematizados y avanzados, y adoptar las nuevas herramientas para que los ciudadanos consulten información de manera directa, sencilla y rápida;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XVIII. Hacer pública toda aquella información relativa a los montos y las personas a quienes entreguen, por cualquier motivo, recursos públicos, así como los informes que dichas personas les entreguen sobre el uso y destino de dichos recursos;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XIX. Transparentar sus acciones, así como garantizar y respetar el derecho a la información pública;</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 Tomar las medidas apropiadas para proporcionar información a personas con discapacidad en formatos y tecnologías accesibles de forma oportuna y sin un costo adicional;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 Procurar la generación de estadística de su información en formato de datos abiertos en la medida de lo posible;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XXII.Documentar todo acto que derive del ejercicio de sus facultades, competencias o funciones y abstenerse de destruirlos u ocultarlos, dentro de los que destacan los procesos deliberativos y de decisión definitiva;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XXIII. Procurar la digitalización de toda la información pública en su poder; XXIV.Orientar y asesorar al solicitante para corregir cualquier deficiencia sustancial de las solicitudes; y </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XXV. Las demás que se establezcan en la presente Ley y normatividad aplicable en la materia.</w:t>
      </w:r>
    </w:p>
    <w:p w:rsidR="00A64245" w:rsidRDefault="00681392">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En la administración, gestión y custodia de los archivos de información pública, los sujetos obligados, los servidores públicos habilitados y los servidores públicos en general, se ajustarán a lo establecido por la normatividad aplicable. </w:t>
      </w:r>
    </w:p>
    <w:p w:rsidR="00A64245" w:rsidRDefault="00681392">
      <w:pPr>
        <w:pBdr>
          <w:top w:val="nil"/>
          <w:left w:val="nil"/>
          <w:bottom w:val="nil"/>
          <w:right w:val="nil"/>
          <w:between w:val="nil"/>
        </w:pBd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sujetos obligados solo proporcionarán la información pública que generen, administren o posean en el ejercicio de sus atribuciones.”</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entrar al estudio de las siguientes consideraciones de hecho y derecho: </w:t>
      </w: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este tenor, se estima conveniente analizar el marco normativo que otorga competencia al sujeto obligado para atender los requerimientos de información, partiendo de lo estatuido en la Constitución Política de los Estados Unidos Mexicanos que establece en el artículo 115 fracciones I, párrafo primero, II párrafo primero y III inciso b), lo siguiente:</w:t>
      </w:r>
    </w:p>
    <w:p w:rsidR="00A64245" w:rsidRDefault="00681392">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115.</w:t>
      </w:r>
      <w:r>
        <w:rPr>
          <w:rFonts w:ascii="Palatino Linotype" w:eastAsia="Palatino Linotype" w:hAnsi="Palatino Linotype" w:cs="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A64245" w:rsidRDefault="00681392">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A64245" w:rsidRDefault="00681392">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Los municipios estarán investidos de personalidad jurídica y manejarán su patrimonio conforme a la ley</w:t>
      </w:r>
    </w:p>
    <w:p w:rsidR="00A64245" w:rsidRDefault="00681392">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A64245" w:rsidRDefault="00681392">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Los Municipios tendrán a su cargo las funciones y servicios públicos siguientes:</w:t>
      </w:r>
    </w:p>
    <w:p w:rsidR="00A64245" w:rsidRDefault="00681392">
      <w:pPr>
        <w:spacing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Alumbrado público..</w:t>
      </w:r>
      <w:r>
        <w:rPr>
          <w:rFonts w:ascii="Palatino Linotype" w:eastAsia="Palatino Linotype" w:hAnsi="Palatino Linotype" w:cs="Palatino Linotype"/>
          <w:i/>
          <w:sz w:val="22"/>
          <w:szCs w:val="22"/>
        </w:rPr>
        <w:t>.”</w:t>
      </w:r>
    </w:p>
    <w:p w:rsidR="00A64245" w:rsidRDefault="00681392">
      <w:pPr>
        <w:spacing w:before="240"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del texto transcrito se advierte que los Municipios son la base de la división territorial de los Estados, gobernados por un Ayuntamiento de elección popular, investidos de personalidad jurídica y patrimonio propio, que tienen a su cargo el alumbrado público.</w:t>
      </w: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la </w:t>
      </w:r>
      <w:r>
        <w:rPr>
          <w:rFonts w:ascii="Palatino Linotype" w:eastAsia="Palatino Linotype" w:hAnsi="Palatino Linotype" w:cs="Palatino Linotype"/>
          <w:i/>
        </w:rPr>
        <w:t>Constitución Política del Estado Libre y Soberano de México</w:t>
      </w:r>
      <w:r>
        <w:rPr>
          <w:rFonts w:ascii="Palatino Linotype" w:eastAsia="Palatino Linotype" w:hAnsi="Palatino Linotype" w:cs="Palatino Linotype"/>
        </w:rPr>
        <w:t xml:space="preserve">, reconoce en su artículo 112, a los Municipios como la base de la división territorial y organización política y administrativa del Estado, además de establecer las funciones y atribuciones contenidas en la Constitución Federal, cuestiones que no se pasaron por alto al emitirse la </w:t>
      </w:r>
      <w:r>
        <w:rPr>
          <w:rFonts w:ascii="Palatino Linotype" w:eastAsia="Palatino Linotype" w:hAnsi="Palatino Linotype" w:cs="Palatino Linotype"/>
          <w:i/>
        </w:rPr>
        <w:t>Ley Orgánica Municipal del Estado de México</w:t>
      </w:r>
      <w:r>
        <w:rPr>
          <w:rFonts w:ascii="Palatino Linotype" w:eastAsia="Palatino Linotype" w:hAnsi="Palatino Linotype" w:cs="Palatino Linotype"/>
        </w:rPr>
        <w:t>, que acoge lo establecido por las Constituciones en comento, al incluir al municipio libre como la base de la división territorial y de la organización política del Estado, que tendrá a su cargo la prestación, explotación, administración y conservación del servicio público denominado alumbrado público.</w:t>
      </w:r>
    </w:p>
    <w:p w:rsidR="00A64245" w:rsidRDefault="0068139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 saber, es función del Ayuntamiento prestar el servicio público consistente en la iluminación de las vías públicas, parques públicos, y demás espacios de libre circulación que no se encuentran a cargo de ninguna persona natural o jurídica de derecho privado o público</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y para tales efectos, en términos del párrafo tercero del artículo 126 de la Constitución Local, podrán previo acuerdo entre los Ayuntamiento, coordinarse y asociarse para su eficaz prestación, o bien, para concesionar el servicio público de conformidad con las disposiciones jurídicas aplicables.</w:t>
      </w:r>
    </w:p>
    <w:p w:rsidR="00A64245" w:rsidRDefault="0068139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la fracción VII del artículo 31 de la </w:t>
      </w:r>
      <w:r>
        <w:rPr>
          <w:rFonts w:ascii="Palatino Linotype" w:eastAsia="Palatino Linotype" w:hAnsi="Palatino Linotype" w:cs="Palatino Linotype"/>
          <w:i/>
        </w:rPr>
        <w:t>Ley Orgánica Municipal del Estado de México</w:t>
      </w:r>
      <w:r>
        <w:rPr>
          <w:rFonts w:ascii="Palatino Linotype" w:eastAsia="Palatino Linotype" w:hAnsi="Palatino Linotype" w:cs="Palatino Linotype"/>
        </w:rPr>
        <w:t>, establece además de las atribuciones marcadas con anterioridad entre otras, celebrar convenios para la prestación de servicios públicos a que se refiere el artículo 115 fracción III de la Constitución Federal; así como convenir, contratar o concesionar la prestación de servicios públicos con el Estado, con otros municipios de la entidad o con particulares, recabando cuando así proceda, la autorización de la Legislatura,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acuerdo con el artículo 38 del Bando Municipal de Chimalhuacán vigente en 2021, señala que el Ayuntamiento de manera enunciativa y no limitativa atenderá la prestación de los servicios públicos municipales: </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38.- El Ayuntamiento, de manera enunciativa y no limitativa atenderá la prestación de los servicios públicos municipales siguientes:</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Alumbrado público.</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39.- El Ayuntamiento reglamentará la administración, funcionamiento, conservación y explotación de los servicios públicos. </w:t>
      </w:r>
    </w:p>
    <w:p w:rsidR="00A64245" w:rsidRDefault="00681392">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40.- No podrán ser concesionados a particulares los servicios públicos siguientes: </w:t>
      </w:r>
    </w:p>
    <w:p w:rsidR="00A64245" w:rsidRDefault="00681392">
      <w:pPr>
        <w:numPr>
          <w:ilvl w:val="0"/>
          <w:numId w:val="1"/>
        </w:numPr>
        <w:pBdr>
          <w:top w:val="nil"/>
          <w:left w:val="nil"/>
          <w:bottom w:val="nil"/>
          <w:right w:val="nil"/>
          <w:between w:val="nil"/>
        </w:pBdr>
        <w:spacing w:before="240"/>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Seguridad pública y tránsito municipal. </w:t>
      </w:r>
    </w:p>
    <w:p w:rsidR="00A64245" w:rsidRDefault="00681392">
      <w:pPr>
        <w:numPr>
          <w:ilvl w:val="0"/>
          <w:numId w:val="1"/>
        </w:numPr>
        <w:pBdr>
          <w:top w:val="nil"/>
          <w:left w:val="nil"/>
          <w:bottom w:val="nil"/>
          <w:right w:val="nil"/>
          <w:between w:val="nil"/>
        </w:pBdr>
        <w:ind w:left="567" w:right="900"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Alumbrado público. </w:t>
      </w:r>
    </w:p>
    <w:p w:rsidR="00A64245" w:rsidRDefault="00681392">
      <w:pPr>
        <w:numPr>
          <w:ilvl w:val="0"/>
          <w:numId w:val="1"/>
        </w:numPr>
        <w:pBdr>
          <w:top w:val="nil"/>
          <w:left w:val="nil"/>
          <w:bottom w:val="nil"/>
          <w:right w:val="nil"/>
          <w:between w:val="nil"/>
        </w:pBdr>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Salud pública. </w:t>
      </w:r>
    </w:p>
    <w:p w:rsidR="00A64245" w:rsidRDefault="00681392">
      <w:pPr>
        <w:numPr>
          <w:ilvl w:val="0"/>
          <w:numId w:val="1"/>
        </w:numPr>
        <w:pBdr>
          <w:top w:val="nil"/>
          <w:left w:val="nil"/>
          <w:bottom w:val="nil"/>
          <w:right w:val="nil"/>
          <w:between w:val="nil"/>
        </w:pBdr>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Los prestados en los panteones municipales. </w:t>
      </w:r>
    </w:p>
    <w:p w:rsidR="00A64245" w:rsidRDefault="00681392">
      <w:pPr>
        <w:numPr>
          <w:ilvl w:val="0"/>
          <w:numId w:val="1"/>
        </w:numPr>
        <w:pBdr>
          <w:top w:val="nil"/>
          <w:left w:val="nil"/>
          <w:bottom w:val="nil"/>
          <w:right w:val="nil"/>
          <w:between w:val="nil"/>
        </w:pBdr>
        <w:spacing w:after="240"/>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Aquellos que afecten la estructura y organización municipal a juicio del Ayuntamiento y los que se determinen en la Ley Orgánica Municipal del Estado de México.” (Sic) (Énfasis añadido)</w:t>
      </w: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rPr>
        <w:t>Una vez establecida la competencia del 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resulta oportuno tener en cuenta las cuestiones de fondo del presente medio de impugnación, por ello a efectos de evitar complejidades innecesarias, atendiendo los principios de simplicidad y rapidez reconocidos en el ejercicio del derecho de acceso a la información, es que el asunto materia de la presente resolución, se analizará conforme a los requerimientos que encuentran relacionan entre sí, bajo los siguientes grupos:</w:t>
      </w:r>
    </w:p>
    <w:p w:rsidR="00A64245" w:rsidRDefault="00681392">
      <w:pPr>
        <w:spacing w:before="240" w:after="240"/>
        <w:ind w:right="49"/>
        <w:jc w:val="both"/>
        <w:rPr>
          <w:rFonts w:ascii="Palatino Linotype" w:eastAsia="Palatino Linotype" w:hAnsi="Palatino Linotype" w:cs="Palatino Linotype"/>
          <w:b/>
        </w:rPr>
      </w:pPr>
      <w:r>
        <w:rPr>
          <w:rFonts w:ascii="Palatino Linotype" w:eastAsia="Palatino Linotype" w:hAnsi="Palatino Linotype" w:cs="Palatino Linotype"/>
          <w:b/>
        </w:rPr>
        <w:t>1.- Del censo y sus resultados, correspondiente al punto cuatro de la solicitud</w:t>
      </w:r>
    </w:p>
    <w:p w:rsidR="00A64245" w:rsidRDefault="00A64245">
      <w:pPr>
        <w:spacing w:before="240" w:after="240"/>
        <w:ind w:right="49"/>
        <w:jc w:val="both"/>
        <w:rPr>
          <w:rFonts w:ascii="Palatino Linotype" w:eastAsia="Palatino Linotype" w:hAnsi="Palatino Linotype" w:cs="Palatino Linotype"/>
          <w:b/>
        </w:rPr>
      </w:pP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el estudio de este punto, conviene iniciar precisando lo que el particular requiere en el numeral cuatro, el cual se cita a continuación: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“CUATRO. Compartir el resultado de todo Censo en el cual participó CFE de manera directa o mediante una empresa contratista, debiendo entregar conforme la normatividad de este particular las cédulas de campo por circuito, desgloses de cargas por RPU y los archivos .kmz de cada RPU que incluye el detalle técnico de cada luminaria, debiendo considerar lo siguiente;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Compartir Copia todo documento digitalizado en formato .pdf correspondiente de cada cédula levantada en campo debidamente firmada.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Copia todo documento digitalizado en formato .pdf correspondiente al Desglose de cada RPU o bien el archivo .xlsx correspondiente debidamente identificable.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CFE Distribución entregó a CFE Suministro Básico los archivos .kmz, los cuales corresponden al plano de ubicación de cada luminaria y demás detalles técnicos previstos en la redacción del punto, los cuales que fueron entregados al municipio por medios magnéticos para su valoración, requiero compartan estos archivos .kmz en CD del periodo aquí requerido.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Copia todo documento digitalizado en formato .pdf correspondiente al resumen resultante del Censo, donde hacen el cálculo del antes y después, la diferencia entre cada carga censada, dan como resultado un cargo económico o un crédito a favor del municipio, podrán entregar copia simple del mismo o bien el archivo .xlsx que les entrego en su momento CFE Suministrador de Servicios Básicos, mismo que lo genero CFE Distribución.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 Copia todo documento digitalizado en formato .pdf correspondiente a la Minuta levanta exprofeso entre los servidores públicos habilitados por la entrega de los resultados del Censo anual y el mismo personal de la empresa CFE Suministrador de Servicios Básicos y posiblemente CFE Distribución, debiendo ser conforme lo presentado inicialmente para el acompañamiento y realización del mismo censo” (Sic)</w:t>
      </w:r>
    </w:p>
    <w:p w:rsidR="00A64245" w:rsidRDefault="00A64245">
      <w:pPr>
        <w:spacing w:before="240" w:after="240" w:line="360" w:lineRule="auto"/>
        <w:ind w:right="49"/>
        <w:jc w:val="both"/>
        <w:rPr>
          <w:rFonts w:ascii="Palatino Linotype" w:eastAsia="Palatino Linotype" w:hAnsi="Palatino Linotype" w:cs="Palatino Linotype"/>
          <w:b/>
        </w:rPr>
      </w:pPr>
    </w:p>
    <w:p w:rsidR="00A64245" w:rsidRDefault="00681392">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 xml:space="preserve">Visto desde la perspectiva planteada por el particular en su solicitud de acceso a la información, se tiene la necesidad de recurrir al contenido del Diccionario de la Real Academia Española, para establecer nuestro estudio a partir de la definición de la palabra “censo”, que es conceptualizada como </w:t>
      </w:r>
      <w:r>
        <w:rPr>
          <w:rFonts w:ascii="Palatino Linotype" w:eastAsia="Palatino Linotype" w:hAnsi="Palatino Linotype" w:cs="Palatino Linotype"/>
          <w:i/>
        </w:rPr>
        <w:t>el padrón o lista de la población o riqueza de una nación o pueblo.</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dichos argumentos, este Órgano Garante estima necesario precisar que la Ley de Transparencia y Acceso a la Información Pública del Estado de México y Municipios, prevé que el derecho de acceso a la información pública se garantiza con la entrega de la información que generan, obtienen, adquieren, transforman, administran o poseen los sujetos obligados en el ejercicio de sus funciones por revestirle el carácter de pública, por tanto, debe ser accesible a toda persona que la requiera, sin que implique que los sujetos obligados deban generarla, resumirla, efectuar cálculos o investigaciones para presentarla conforme al interés de los particulares.</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es de señalar que un censo es un proceso por medio del cual se realiza el conteo y diagnóstico de un tema en específico; en ese orden de ideas, este Instituto localizó el documento denominado Procedimiento del Control de Servicios de Alumbrado Público (consultado el veinticinco de enero de dos mil veintidós, en la página electrónica https://www.gob.mx/cms/uploads/attachment/file/127275/Proc_Control_Servicios_Alumbrado_P_blico_2011.pdf, a las once horas con diez minutos) realizado por la Subdirección de Distribución de la Comisión Federal de Electricidad, que establece que los censos de alumbrado público deberán realizarse conjuntamente con los funcionarios autorizados por la autoridad municipal.</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Comisión Federal de Electricidad debe notificar al Presidente Municipal, mediante oficio el programa de levantamiento del censo con un mes de anticipación; por otra parte, cabe precisar que la elaboración de los censos de alumbrado público se debe realizar de la siguiente manera:</w:t>
      </w:r>
    </w:p>
    <w:p w:rsidR="00A64245" w:rsidRDefault="00681392">
      <w:pPr>
        <w:numPr>
          <w:ilvl w:val="0"/>
          <w:numId w:val="2"/>
        </w:num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Ciudades con más de 100,000 usuarios.</w:t>
      </w:r>
    </w:p>
    <w:p w:rsidR="00A64245" w:rsidRDefault="00681392">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resto de las ciudades, cuando menos una vez al año.</w:t>
      </w:r>
    </w:p>
    <w:p w:rsidR="00A64245" w:rsidRDefault="00681392">
      <w:pPr>
        <w:numPr>
          <w:ilvl w:val="0"/>
          <w:numId w:val="2"/>
        </w:num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Censos entregados a las administraciones estatales o municipales salientes: En los casos en que las administraciones estatales o municipales se encuentren en el último año de gestión, el censo de alumbrado se deberá presentar con una anticipación de seis meses antes de la entrega de poderes a la nueva administración, a fin de evitar retrasos en la gestión de la autorización de cobro de los nuevos importes facturados o de los ajustes a la facturación que resulten de la actualización de los censos.</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dicho censo se conformará por los siguientes Anexos:</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1. Convenio;</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2. Desglose del censo;</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3. Resumen del censo;</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4. Minuta;</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5. Reporte de alta, bajas o modificaciones;</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6. Reporte de correcciones de lámparas 24 horas, y</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7. Formato de verificación de ahorros de lámparas de alumbrado público con atenuador.</w:t>
      </w:r>
    </w:p>
    <w:p w:rsidR="00A64245" w:rsidRDefault="00A64245">
      <w:pPr>
        <w:spacing w:before="240" w:after="240" w:line="360" w:lineRule="auto"/>
        <w:jc w:val="both"/>
        <w:rPr>
          <w:rFonts w:ascii="Palatino Linotype" w:eastAsia="Palatino Linotype" w:hAnsi="Palatino Linotype" w:cs="Palatino Linotype"/>
        </w:rPr>
      </w:pP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el Manual de Procedimiento Para la Integración de Consumos de los Servicios de Alumbrado Público, Semáforos y otras Cargas Directas, prevé sobre los censos, lo siguiente: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“CENSOS </w:t>
      </w:r>
    </w:p>
    <w:p w:rsidR="00A64245" w:rsidRDefault="00681392">
      <w:pPr>
        <w:spacing w:before="240" w:after="240"/>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Las Gerencias Divisionales de Distribución analizarán y determinarán con base en los recursos económicos y humanos disponibles en las Superintendencias de Zonas de Distribución, si los trabajos de los censos de alumbrado público, semáforos y otras cargas directas se realizarán con personal de CFE Distribución y/o se contratará a un tercero especialista. </w:t>
      </w:r>
    </w:p>
    <w:p w:rsidR="00A64245" w:rsidRDefault="00681392">
      <w:pPr>
        <w:spacing w:before="240" w:after="240"/>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Se deberá enviar al suministrador que administre el contrato en cuestión, el Programa anual de censos de alumbrado público y semáforos (Formato 1) con 2 meses de anticipación del inicio de los trabajos. Por su parte el suministrador tendrá hasta 10 días naturales antes del inicio de los trabajos del censo, para notificar de manera oficial el nombre y cargo de los representantes de los municipios o delegaciones que participarán en el desarrollo de dicho censo, así como para confirmar o solicitar cambios en las fechas de inicio.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suministrador deberá informar la modificación de los plazos en el programa a petición de las administraciones estatales o municipales que se encuentren en el último año de gestión</w:t>
      </w:r>
      <w:r>
        <w:rPr>
          <w:rFonts w:ascii="Palatino Linotype" w:eastAsia="Palatino Linotype" w:hAnsi="Palatino Linotype" w:cs="Palatino Linotype"/>
          <w:i/>
          <w:sz w:val="22"/>
          <w:szCs w:val="22"/>
        </w:rPr>
        <w:t xml:space="preserve">, o por condiciones extraordinarias que justifiquen el cambio, a fin de evitar retrasos en la conciliación de las cargas a integrar que resulten de la actualización de los censos. </w:t>
      </w:r>
    </w:p>
    <w:p w:rsidR="00A64245" w:rsidRDefault="00681392">
      <w:pPr>
        <w:spacing w:before="240" w:after="240"/>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no recibir respuesta por escrito del suministrador con el nombre y cargo de los representantes designados en el plazo fijado y la confirmación o solicitud de cambio en las fechas de inicio, se realizará la ejecución del censo de alumbrado público y semáforos conforme al programa original y se notificará por escrito al suministrador el inicio y el resultado del censo al concluirlo, para que posteriormente el suministrador notifique al municipio, delegación o al particular el resultado del mismo. Estos deberán aceptar el censo obtenido y en consecuencia el ajuste resultante, de conformidad con lo establecido en el contrato firmado entre el usuario y el suministrador para la operación del alumbrado público y semáforos. </w:t>
      </w:r>
    </w:p>
    <w:p w:rsidR="00A64245" w:rsidRDefault="00681392">
      <w:pPr>
        <w:spacing w:before="240" w:after="240"/>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Se llevará cabo la ejecución de los censos de alumbrado público, semáforos y otras cargas directas de la siguiente manera: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Se coordinará con el representante del sistema de alumbrado público o el particular, para llevar a cabo el levantamiento en campo de manera conjunta con personal de ambas partes.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Se identificarán en un plano las luminarias y equipos que integran cada servicio, ya sean medidos o directos.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Se sectorizará el área geográfica para identificar los servicios correspondientes.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Se elaborarán los censos de alumbrado público, semáforos y otras cargas directas, relativos a cada servicio por sector y se continuará de la misma manera con los sectores restantes hasta cubrir la totalidad del área geográfica, incluyendo las poblaciones rurales y comunidades, si así fuera el caso.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El levantamiento físico para ubicar las luminarias y otras cargas directas deberá contar con las georeferencias correspondientes.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 Una vez concluido el censo de todos los sectores, se iniciará el proceso de preparación del nuevo censo con el primer sector, de tal manera que el programa de censos de alumbrado público, semáforos y otras cargas directas sea lo más continuo posible. </w:t>
      </w:r>
    </w:p>
    <w:p w:rsidR="00A64245" w:rsidRDefault="00681392">
      <w:pPr>
        <w:spacing w:before="240" w:after="240"/>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g) Se deberá realizar un censo de alumbrado púbico, semáforos y otras cargas directas al menos una vez al año.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Una vez ejecutado el censo y acordado el resultado con el representante del sistema de alumbrado público o el particular, se entregará por escrito al suministrador el resultado obtenido del mismo incluyendo cargos o créditos que procedan, en un máximo de 10 días naturales después de terminado el censo de cada sector, municipio o delegación.</w:t>
      </w:r>
      <w:r>
        <w:rPr>
          <w:rFonts w:ascii="Palatino Linotype" w:eastAsia="Palatino Linotype" w:hAnsi="Palatino Linotype" w:cs="Palatino Linotype"/>
          <w:i/>
          <w:sz w:val="22"/>
          <w:szCs w:val="22"/>
        </w:rPr>
        <w:t xml:space="preserve">”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(Énfasis añadido)</w:t>
      </w: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lo anteriormente citado que se colige que se genera un programa anual de censos, el cual se enviará al suministrador del servicio, en dicho programa se asentará la fecha del último censo, proceso, la programación para efectuar el próximo censo, recuperación y observaciones, sirve de ilustración la siguiente captura de pantalla: </w:t>
      </w:r>
    </w:p>
    <w:p w:rsidR="00A64245" w:rsidRDefault="00681392">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noProof/>
          <w:sz w:val="28"/>
          <w:szCs w:val="28"/>
          <w:lang w:val="es-MX"/>
        </w:rPr>
        <w:drawing>
          <wp:inline distT="0" distB="0" distL="0" distR="0">
            <wp:extent cx="4279375" cy="3792587"/>
            <wp:effectExtent l="0" t="0" r="0" b="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279375" cy="3792587"/>
                    </a:xfrm>
                    <a:prstGeom prst="rect">
                      <a:avLst/>
                    </a:prstGeom>
                    <a:ln/>
                  </pic:spPr>
                </pic:pic>
              </a:graphicData>
            </a:graphic>
          </wp:inline>
        </w:drawing>
      </w:r>
    </w:p>
    <w:p w:rsidR="00A64245" w:rsidRDefault="006813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programa se someterá a consideración del suministrador, dos meses antes del inicio de los trabajos para efecto de que pueda notificar de manera oficial, el nombre y cargo de los representantes de los municipios o delegaciones que participarán en el desarrollo de dicho censo, así como para confirmar o solicitar cambios en las fechas de inicio; debe precisarse que en los casos en los que las administraciones municipales o estatales se encuentren en su último año de gestión, a petición de las mismas, los suministradores podrán modificar las fechas de los censos establecidos en el programa, finalmente el Manual en referencia establece que se deberá realizar un censo de alumbrado público, semáforos y otras cargas directas, al menos una vez al año. </w:t>
      </w:r>
    </w:p>
    <w:p w:rsidR="00A64245" w:rsidRDefault="006813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practicado el censo y acordado el resultado con el representante del sistema de alumbrado público o el particular, se entregará por escrito al suministrador el resultado obtenido del mismo incluyendo cargos o créditos que procedan, en un máximo de 10 días naturales después de terminado el censo de cada sector, municipio o delegación, para mayor referencia, se inserta el siguiente cuadro del multicitado Manual: </w:t>
      </w:r>
    </w:p>
    <w:p w:rsidR="00A64245" w:rsidRDefault="00681392">
      <w:pPr>
        <w:spacing w:line="360" w:lineRule="auto"/>
        <w:jc w:val="both"/>
        <w:rPr>
          <w:rFonts w:ascii="Palatino Linotype" w:eastAsia="Palatino Linotype" w:hAnsi="Palatino Linotype" w:cs="Palatino Linotype"/>
          <w:color w:val="000000"/>
        </w:rPr>
      </w:pPr>
      <w:r>
        <w:rPr>
          <w:noProof/>
          <w:lang w:val="es-MX"/>
        </w:rPr>
        <mc:AlternateContent>
          <mc:Choice Requires="wpg">
            <w:drawing>
              <wp:anchor distT="0" distB="0" distL="114300" distR="114300" simplePos="0" relativeHeight="251664384" behindDoc="0" locked="0" layoutInCell="1" hidden="0" allowOverlap="1">
                <wp:simplePos x="0" y="0"/>
                <wp:positionH relativeFrom="column">
                  <wp:posOffset>50801</wp:posOffset>
                </wp:positionH>
                <wp:positionV relativeFrom="paragraph">
                  <wp:posOffset>12700</wp:posOffset>
                </wp:positionV>
                <wp:extent cx="5419725" cy="5162550"/>
                <wp:effectExtent l="0" t="0" r="0" b="0"/>
                <wp:wrapNone/>
                <wp:docPr id="69" name=""/>
                <wp:cNvGraphicFramePr/>
                <a:graphic xmlns:a="http://schemas.openxmlformats.org/drawingml/2006/main">
                  <a:graphicData uri="http://schemas.microsoft.com/office/word/2010/wordprocessingShape">
                    <wps:wsp>
                      <wps:cNvCnPr/>
                      <wps:spPr>
                        <a:xfrm>
                          <a:off x="2640900" y="1203488"/>
                          <a:ext cx="5410200" cy="51530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5419725" cy="5162550"/>
                <wp:effectExtent b="0" l="0" r="0" t="0"/>
                <wp:wrapNone/>
                <wp:docPr id="69" name="image24.png"/>
                <a:graphic>
                  <a:graphicData uri="http://schemas.openxmlformats.org/drawingml/2006/picture">
                    <pic:pic>
                      <pic:nvPicPr>
                        <pic:cNvPr id="0" name="image24.png"/>
                        <pic:cNvPicPr preferRelativeResize="0"/>
                      </pic:nvPicPr>
                      <pic:blipFill>
                        <a:blip r:embed="rId19"/>
                        <a:srcRect/>
                        <a:stretch>
                          <a:fillRect/>
                        </a:stretch>
                      </pic:blipFill>
                      <pic:spPr>
                        <a:xfrm>
                          <a:off x="0" y="0"/>
                          <a:ext cx="5419725" cy="5162550"/>
                        </a:xfrm>
                        <a:prstGeom prst="rect"/>
                        <a:ln/>
                      </pic:spPr>
                    </pic:pic>
                  </a:graphicData>
                </a:graphic>
              </wp:anchor>
            </w:drawing>
          </mc:Fallback>
        </mc:AlternateContent>
      </w:r>
    </w:p>
    <w:p w:rsidR="00A64245" w:rsidRDefault="00A64245">
      <w:pPr>
        <w:spacing w:line="360" w:lineRule="auto"/>
        <w:jc w:val="both"/>
        <w:rPr>
          <w:rFonts w:ascii="Palatino Linotype" w:eastAsia="Palatino Linotype" w:hAnsi="Palatino Linotype" w:cs="Palatino Linotype"/>
          <w:color w:val="000000"/>
        </w:rPr>
      </w:pPr>
    </w:p>
    <w:p w:rsidR="00A64245" w:rsidRDefault="00681392">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610225" cy="6019800"/>
            <wp:effectExtent l="0" t="0" r="0" b="0"/>
            <wp:docPr id="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610225" cy="6019800"/>
                    </a:xfrm>
                    <a:prstGeom prst="rect">
                      <a:avLst/>
                    </a:prstGeom>
                    <a:ln/>
                  </pic:spPr>
                </pic:pic>
              </a:graphicData>
            </a:graphic>
          </wp:inline>
        </w:drawing>
      </w:r>
      <w:r>
        <w:rPr>
          <w:noProof/>
          <w:lang w:val="es-MX"/>
        </w:rPr>
        <mc:AlternateContent>
          <mc:Choice Requires="wpg">
            <w:drawing>
              <wp:anchor distT="0" distB="0" distL="114300" distR="114300" simplePos="0" relativeHeight="251665408" behindDoc="0" locked="0" layoutInCell="1" hidden="0" allowOverlap="1">
                <wp:simplePos x="0" y="0"/>
                <wp:positionH relativeFrom="column">
                  <wp:posOffset>38101</wp:posOffset>
                </wp:positionH>
                <wp:positionV relativeFrom="paragraph">
                  <wp:posOffset>2705100</wp:posOffset>
                </wp:positionV>
                <wp:extent cx="5581650" cy="3305175"/>
                <wp:effectExtent l="0" t="0" r="0" b="0"/>
                <wp:wrapNone/>
                <wp:docPr id="64" name=""/>
                <wp:cNvGraphicFramePr/>
                <a:graphic xmlns:a="http://schemas.openxmlformats.org/drawingml/2006/main">
                  <a:graphicData uri="http://schemas.microsoft.com/office/word/2010/wordprocessingShape">
                    <wps:wsp>
                      <wps:cNvSpPr/>
                      <wps:spPr>
                        <a:xfrm>
                          <a:off x="2574225" y="2146463"/>
                          <a:ext cx="5543550" cy="3267075"/>
                        </a:xfrm>
                        <a:prstGeom prst="rect">
                          <a:avLst/>
                        </a:prstGeom>
                        <a:noFill/>
                        <a:ln w="38100" cap="flat" cmpd="sng">
                          <a:solidFill>
                            <a:srgbClr val="002060"/>
                          </a:solidFill>
                          <a:prstDash val="solid"/>
                          <a:round/>
                          <a:headEnd type="none" w="sm" len="sm"/>
                          <a:tailEnd type="none" w="sm" len="sm"/>
                        </a:ln>
                      </wps:spPr>
                      <wps:txbx>
                        <w:txbxContent>
                          <w:p w:rsidR="00A64245" w:rsidRDefault="00A6424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2705100</wp:posOffset>
                </wp:positionV>
                <wp:extent cx="5581650" cy="3305175"/>
                <wp:effectExtent b="0" l="0" r="0" t="0"/>
                <wp:wrapNone/>
                <wp:docPr id="64" name="image19.png"/>
                <a:graphic>
                  <a:graphicData uri="http://schemas.openxmlformats.org/drawingml/2006/picture">
                    <pic:pic>
                      <pic:nvPicPr>
                        <pic:cNvPr id="0" name="image19.png"/>
                        <pic:cNvPicPr preferRelativeResize="0"/>
                      </pic:nvPicPr>
                      <pic:blipFill>
                        <a:blip r:embed="rId21"/>
                        <a:srcRect/>
                        <a:stretch>
                          <a:fillRect/>
                        </a:stretch>
                      </pic:blipFill>
                      <pic:spPr>
                        <a:xfrm>
                          <a:off x="0" y="0"/>
                          <a:ext cx="5581650" cy="3305175"/>
                        </a:xfrm>
                        <a:prstGeom prst="rect"/>
                        <a:ln/>
                      </pic:spPr>
                    </pic:pic>
                  </a:graphicData>
                </a:graphic>
              </wp:anchor>
            </w:drawing>
          </mc:Fallback>
        </mc:AlternateContent>
      </w:r>
    </w:p>
    <w:p w:rsidR="00A64245" w:rsidRDefault="00A64245">
      <w:pPr>
        <w:spacing w:line="360" w:lineRule="auto"/>
        <w:jc w:val="both"/>
        <w:rPr>
          <w:rFonts w:ascii="Palatino Linotype" w:eastAsia="Palatino Linotype" w:hAnsi="Palatino Linotype" w:cs="Palatino Linotype"/>
          <w:color w:val="000000"/>
        </w:rPr>
      </w:pPr>
    </w:p>
    <w:p w:rsidR="00A64245" w:rsidRDefault="00A64245">
      <w:pPr>
        <w:spacing w:line="360" w:lineRule="auto"/>
        <w:jc w:val="both"/>
        <w:rPr>
          <w:rFonts w:ascii="Palatino Linotype" w:eastAsia="Palatino Linotype" w:hAnsi="Palatino Linotype" w:cs="Palatino Linotype"/>
          <w:color w:val="000000"/>
        </w:rPr>
      </w:pPr>
    </w:p>
    <w:p w:rsidR="00A64245" w:rsidRDefault="00A64245">
      <w:pPr>
        <w:spacing w:line="360" w:lineRule="auto"/>
        <w:jc w:val="both"/>
        <w:rPr>
          <w:rFonts w:ascii="Palatino Linotype" w:eastAsia="Palatino Linotype" w:hAnsi="Palatino Linotype" w:cs="Palatino Linotype"/>
          <w:color w:val="000000"/>
        </w:rPr>
      </w:pPr>
    </w:p>
    <w:p w:rsidR="00A64245" w:rsidRDefault="00A64245">
      <w:pPr>
        <w:spacing w:line="360" w:lineRule="auto"/>
        <w:jc w:val="both"/>
        <w:rPr>
          <w:rFonts w:ascii="Palatino Linotype" w:eastAsia="Palatino Linotype" w:hAnsi="Palatino Linotype" w:cs="Palatino Linotype"/>
          <w:color w:val="000000"/>
        </w:rPr>
      </w:pPr>
    </w:p>
    <w:p w:rsidR="00A64245" w:rsidRDefault="006813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suerte que una vez concluido el censo de alumbrado público y semáforos, se generan tres soportes documentales: desglose de resumen de alumbrado público y semáforos, resumen del censo y la minuta de trabajo, los cuales son de conocimiento de los usuarios finales, en este caso el Ayuntamiento de Chimalhuacán, los cuales fueron remitidos al particular en la respuesta del Sujeto Obligado. </w:t>
      </w:r>
    </w:p>
    <w:p w:rsidR="00A64245" w:rsidRDefault="00A64245">
      <w:pPr>
        <w:spacing w:line="360" w:lineRule="auto"/>
        <w:jc w:val="both"/>
        <w:rPr>
          <w:rFonts w:ascii="Palatino Linotype" w:eastAsia="Palatino Linotype" w:hAnsi="Palatino Linotype" w:cs="Palatino Linotype"/>
          <w:color w:val="000000"/>
        </w:rPr>
      </w:pPr>
    </w:p>
    <w:p w:rsidR="00A64245" w:rsidRDefault="006813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asunto que nos ocupa, debemos recordar que la Dirección de Electrificación y Alumbrado Público sobre este punto, manifestó lo siguiente: </w:t>
      </w:r>
      <w:r>
        <w:rPr>
          <w:rFonts w:ascii="Palatino Linotype" w:eastAsia="Palatino Linotype" w:hAnsi="Palatino Linotype" w:cs="Palatino Linotype"/>
          <w:i/>
          <w:color w:val="000000"/>
        </w:rPr>
        <w:t xml:space="preserve">“Respecto al numeral 4, </w:t>
      </w:r>
      <w:r>
        <w:rPr>
          <w:rFonts w:ascii="Palatino Linotype" w:eastAsia="Palatino Linotype" w:hAnsi="Palatino Linotype" w:cs="Palatino Linotype"/>
          <w:b/>
          <w:i/>
          <w:color w:val="000000"/>
          <w:u w:val="single"/>
        </w:rPr>
        <w:t xml:space="preserve">únicamente se cuenta con el Censo 2020, realizado con personal de CFE y la Dirección de Electrificación y Alumbrado Público, en donde identifica el número de luminarias, el tipo de sistema, el consumo diario por Sección. Se anexa documento en formato PDF </w:t>
      </w:r>
      <w:r>
        <w:rPr>
          <w:rFonts w:ascii="Palatino Linotype" w:eastAsia="Palatino Linotype" w:hAnsi="Palatino Linotype" w:cs="Palatino Linotype"/>
          <w:i/>
          <w:color w:val="000000"/>
        </w:rPr>
        <w:t xml:space="preserve">a fin de dar cumplimiento a lo solicitado.”, </w:t>
      </w:r>
      <w:r>
        <w:rPr>
          <w:rFonts w:ascii="Palatino Linotype" w:eastAsia="Palatino Linotype" w:hAnsi="Palatino Linotype" w:cs="Palatino Linotype"/>
          <w:color w:val="000000"/>
        </w:rPr>
        <w:t>ello en razón de que como se establece en la minuta de trabajo, el censo inició en fecha dos de septiembre de dos mil diecinueve y culminó el diez de febrero de dos mil veinte, levantandose la minuta de trabajo el veinticuatro de septiembre de dos mil veinte.</w:t>
      </w:r>
    </w:p>
    <w:p w:rsidR="00A64245" w:rsidRDefault="00A64245">
      <w:pPr>
        <w:spacing w:line="360" w:lineRule="auto"/>
        <w:jc w:val="both"/>
        <w:rPr>
          <w:rFonts w:ascii="Palatino Linotype" w:eastAsia="Palatino Linotype" w:hAnsi="Palatino Linotype" w:cs="Palatino Linotype"/>
          <w:i/>
          <w:color w:val="000000"/>
        </w:rPr>
      </w:pPr>
    </w:p>
    <w:p w:rsidR="00A64245" w:rsidRDefault="0068139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lo </w:t>
      </w:r>
      <w:r>
        <w:rPr>
          <w:rFonts w:ascii="Palatino Linotype" w:eastAsia="Palatino Linotype" w:hAnsi="Palatino Linotype" w:cs="Palatino Linotype"/>
          <w:color w:val="222222"/>
        </w:rPr>
        <w:t xml:space="preserve">que al haber realizado la búsqueda exhaustiva y razonable en los archivos y al haberse pronunciado el Servidor Público Competente de la Dirección </w:t>
      </w:r>
      <w:r>
        <w:rPr>
          <w:rFonts w:ascii="Palatino Linotype" w:eastAsia="Palatino Linotype" w:hAnsi="Palatino Linotype" w:cs="Palatino Linotype"/>
          <w:color w:val="000000"/>
        </w:rPr>
        <w:t>de Electrificación y Alumbrado Público</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A64245" w:rsidRDefault="00A64245">
      <w:pPr>
        <w:spacing w:line="360" w:lineRule="auto"/>
        <w:ind w:right="49"/>
        <w:jc w:val="both"/>
        <w:rPr>
          <w:rFonts w:ascii="Palatino Linotype" w:eastAsia="Palatino Linotype" w:hAnsi="Palatino Linotype" w:cs="Palatino Linotype"/>
        </w:rPr>
      </w:pPr>
    </w:p>
    <w:p w:rsidR="00A64245" w:rsidRDefault="00681392">
      <w:pPr>
        <w:tabs>
          <w:tab w:val="left" w:pos="709"/>
        </w:tabs>
        <w:ind w:left="567" w:right="132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rsidR="00A64245" w:rsidRDefault="00A64245">
      <w:pPr>
        <w:spacing w:line="360" w:lineRule="auto"/>
        <w:jc w:val="both"/>
        <w:rPr>
          <w:rFonts w:ascii="Palatino Linotype" w:eastAsia="Palatino Linotype" w:hAnsi="Palatino Linotype" w:cs="Palatino Linotype"/>
        </w:rPr>
      </w:pPr>
    </w:p>
    <w:p w:rsidR="00A64245" w:rsidRDefault="006813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el artículo 4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dispositivo legal en comento que a la letra señala:</w:t>
      </w:r>
    </w:p>
    <w:p w:rsidR="00A64245" w:rsidRDefault="00A64245">
      <w:pPr>
        <w:spacing w:line="360" w:lineRule="auto"/>
        <w:ind w:left="426"/>
        <w:jc w:val="both"/>
        <w:rPr>
          <w:rFonts w:ascii="Palatino Linotype" w:eastAsia="Palatino Linotype" w:hAnsi="Palatino Linotype" w:cs="Palatino Linotype"/>
        </w:rPr>
      </w:pPr>
    </w:p>
    <w:p w:rsidR="00A64245" w:rsidRDefault="00681392">
      <w:pPr>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A64245" w:rsidRDefault="00A64245">
      <w:pPr>
        <w:spacing w:line="360" w:lineRule="auto"/>
        <w:ind w:left="426"/>
        <w:jc w:val="both"/>
        <w:rPr>
          <w:rFonts w:ascii="Palatino Linotype" w:eastAsia="Palatino Linotype" w:hAnsi="Palatino Linotype" w:cs="Palatino Linotype"/>
        </w:rPr>
      </w:pPr>
    </w:p>
    <w:p w:rsidR="00A64245" w:rsidRDefault="006813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Numerales que compelen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apegarse en todo momento a los criterios ya expuestos, impidiendo a este Órgano Colegiado cuestionar la veracidad de la información.</w:t>
      </w:r>
    </w:p>
    <w:p w:rsidR="00A64245" w:rsidRDefault="00A64245">
      <w:pPr>
        <w:spacing w:line="360" w:lineRule="auto"/>
        <w:jc w:val="both"/>
        <w:rPr>
          <w:rFonts w:ascii="Palatino Linotype" w:eastAsia="Palatino Linotype" w:hAnsi="Palatino Linotype" w:cs="Palatino Linotype"/>
        </w:rPr>
      </w:pPr>
    </w:p>
    <w:p w:rsidR="00A64245" w:rsidRDefault="006813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expuesto con antelación, también se advierte que el Sujeto Obligado siguió el procedimiento establecido por los artículos 160 y 162 de la Ley de Transparencia y Acceso a la Información Pública del Estado de México y Municipios, mismos que se insertan a continuación para mayor referencia: </w:t>
      </w:r>
    </w:p>
    <w:p w:rsidR="00A64245" w:rsidRDefault="00A64245">
      <w:pPr>
        <w:spacing w:line="360" w:lineRule="auto"/>
        <w:jc w:val="both"/>
        <w:rPr>
          <w:rFonts w:ascii="Palatino Linotype" w:eastAsia="Palatino Linotype" w:hAnsi="Palatino Linotype" w:cs="Palatino Linotype"/>
        </w:rPr>
      </w:pPr>
    </w:p>
    <w:p w:rsidR="00A64245" w:rsidRDefault="00681392">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rsidR="00A64245" w:rsidRDefault="00A64245">
      <w:pPr>
        <w:ind w:left="567" w:right="851"/>
        <w:jc w:val="both"/>
        <w:rPr>
          <w:rFonts w:ascii="Palatino Linotype" w:eastAsia="Palatino Linotype" w:hAnsi="Palatino Linotype" w:cs="Palatino Linotype"/>
          <w:i/>
          <w:sz w:val="22"/>
          <w:szCs w:val="22"/>
        </w:rPr>
      </w:pPr>
    </w:p>
    <w:p w:rsidR="00A64245" w:rsidRDefault="00681392">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A64245" w:rsidRDefault="00A64245">
      <w:pPr>
        <w:ind w:left="567" w:right="851"/>
        <w:jc w:val="both"/>
        <w:rPr>
          <w:rFonts w:ascii="Palatino Linotype" w:eastAsia="Palatino Linotype" w:hAnsi="Palatino Linotype" w:cs="Palatino Linotype"/>
          <w:i/>
          <w:sz w:val="22"/>
          <w:szCs w:val="22"/>
        </w:rPr>
      </w:pPr>
    </w:p>
    <w:p w:rsidR="00A64245" w:rsidRDefault="00681392">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162.</w:t>
      </w:r>
      <w:r>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A64245" w:rsidRDefault="00681392">
      <w:pPr>
        <w:spacing w:before="240" w:after="240"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rPr>
        <w:t>Es por todo lo anteriormente expuesto que para este Instituto se tiene por colmado este punto de la solicitud, en virtud de que el Sujeto Obligado hizo entrega de la información generada con motivo del censo practicado a las luminarias del Ayuntamiento de Chimalhuacán.</w:t>
      </w:r>
    </w:p>
    <w:p w:rsidR="00A64245" w:rsidRDefault="00681392">
      <w:pPr>
        <w:spacing w:before="240" w:after="240" w:line="360" w:lineRule="auto"/>
        <w:ind w:right="616"/>
        <w:jc w:val="both"/>
        <w:rPr>
          <w:rFonts w:ascii="Palatino Linotype" w:eastAsia="Palatino Linotype" w:hAnsi="Palatino Linotype" w:cs="Palatino Linotype"/>
          <w:b/>
        </w:rPr>
      </w:pPr>
      <w:r>
        <w:rPr>
          <w:rFonts w:ascii="Palatino Linotype" w:eastAsia="Palatino Linotype" w:hAnsi="Palatino Linotype" w:cs="Palatino Linotype"/>
          <w:b/>
        </w:rPr>
        <w:t>2.- De los oficios emitidos por CFE Suministro Básico al Ayuntamiento</w:t>
      </w:r>
    </w:p>
    <w:p w:rsidR="00A64245" w:rsidRDefault="00681392">
      <w:pPr>
        <w:spacing w:before="240" w:after="240"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rPr>
        <w:t>Previo estudio de este apartado, debe precisarse que el Recurrente requirió lo siguiente:</w:t>
      </w:r>
    </w:p>
    <w:p w:rsidR="00A64245" w:rsidRDefault="00681392">
      <w:pPr>
        <w:spacing w:before="240" w:after="240"/>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“UNO. Compartir de manera digital en formato .pdf todos los oficios mensuales emitidos por CFE Suministro Básico, CFE SSB, donde informa el balance de diferencial entre facturación de alumbrado público y lo recaudado con Derecho de Alumbrado Público, DAP, periodo requerido de enero 2015 a fecha actual reciente. </w:t>
      </w:r>
    </w:p>
    <w:p w:rsidR="00A64245" w:rsidRDefault="00681392">
      <w:pPr>
        <w:spacing w:before="240" w:after="240"/>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DOS. Compartir de manera digital todos los oficios mensuales emitidos CFE Suministro Básico, CFE SSB, donde CFE SSB cobra por la contraprestación de recaudación de DAP conforme el contrato suscrito entre la autoridad municipal y este suministrador, periodo requerido de enero 2015 a fecha actual reciente. </w:t>
      </w:r>
    </w:p>
    <w:p w:rsidR="00A64245" w:rsidRDefault="00681392">
      <w:pPr>
        <w:spacing w:before="240" w:after="240"/>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TRES. En el cuerpo de cada oficio mensual referido en punto UNO. se señala en el cuerpo de la misma el archivo en formato .xlsx, es cual corresponde a cada uno los RPU´s (Registro Permanente Único) que tiene el municipio a su cargo, y la suma resultante del importe deberá corresponder al monto expresado en el oficio. Se les requiere compartan los archivos .xlsx que fueron compartidos en el mismo formato de enero 2015 a fecha actual reciente. </w:t>
      </w:r>
    </w:p>
    <w:p w:rsidR="00A64245" w:rsidRDefault="00681392">
      <w:pPr>
        <w:spacing w:before="240" w:after="240"/>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CINCO. Compartir todo documento digitalizado en formato .pdf de notificación de crédito o cargo que finco CFE SSB relativa al resultado del Censo. </w:t>
      </w:r>
    </w:p>
    <w:p w:rsidR="00A64245" w:rsidRDefault="00681392">
      <w:pPr>
        <w:spacing w:before="240" w:after="240"/>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SEIS. Compartir todo documento digitalizado en formato .pdf que haya expedido el Municipio a CFE SSB relativo a temas de alumbrado público, su naturaleza puede ser muy diversa, se ocupan todos, periodo comprendido de enero 2015 a fecha actual reciente </w:t>
      </w:r>
    </w:p>
    <w:p w:rsidR="00A64245" w:rsidRDefault="00681392">
      <w:pPr>
        <w:spacing w:before="240" w:after="240"/>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SIETE. Compartir todo documento digitalizado en formato .pdf que tenga como fuente toda notificación que ha realizado CFE Suministrador de Servicios Básicos con cargo al servicio de Alumbrado Público desde el año 2015 a fecha actual reciente y que no están vinculados con el CENSO.” (Sic)</w:t>
      </w:r>
    </w:p>
    <w:p w:rsidR="00A64245" w:rsidRDefault="00681392">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Sobre este grupo, debemos recordar que la </w:t>
      </w:r>
      <w:r>
        <w:rPr>
          <w:rFonts w:ascii="Palatino Linotype" w:eastAsia="Palatino Linotype" w:hAnsi="Palatino Linotype" w:cs="Palatino Linotype"/>
          <w:b/>
        </w:rPr>
        <w:t xml:space="preserve">Dirección de Electrificación y Alumbrado Público </w:t>
      </w:r>
      <w:r>
        <w:rPr>
          <w:rFonts w:ascii="Palatino Linotype" w:eastAsia="Palatino Linotype" w:hAnsi="Palatino Linotype" w:cs="Palatino Linotype"/>
        </w:rPr>
        <w:t xml:space="preserve">refirió mediante el soporte documental </w:t>
      </w:r>
      <w:r>
        <w:rPr>
          <w:rFonts w:ascii="Palatino Linotype" w:eastAsia="Palatino Linotype" w:hAnsi="Palatino Linotype" w:cs="Palatino Linotype"/>
          <w:b/>
          <w:i/>
        </w:rPr>
        <w:t>“00231-CHIMALHU-IP-2021 Req. 1.pdf”</w:t>
      </w:r>
      <w:r>
        <w:rPr>
          <w:rFonts w:ascii="Palatino Linotype" w:eastAsia="Palatino Linotype" w:hAnsi="Palatino Linotype" w:cs="Palatino Linotype"/>
        </w:rPr>
        <w:t xml:space="preserve">, manifiesta lo siguiente: </w:t>
      </w:r>
    </w:p>
    <w:p w:rsidR="00A64245" w:rsidRDefault="00681392">
      <w:pPr>
        <w:spacing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Respecto a los requerimientos solicitados en los numerales: 1, 2, 3, 5, 6 y 7 esta Dirección no cuenta con dicha información al no ser de su competencia todos y cada uno de los procedimientos financieros o económicos ante la Comisión Federal de Electrificación “CFE</w:t>
      </w:r>
      <w:r>
        <w:rPr>
          <w:rFonts w:ascii="Palatino Linotype" w:eastAsia="Palatino Linotype" w:hAnsi="Palatino Linotype" w:cs="Palatino Linotype"/>
          <w:i/>
        </w:rPr>
        <w:t>”, siendo directamente el H. Ayuntamiento el responsable de estos procesos, o en su caso el área de Tesorería”</w:t>
      </w:r>
    </w:p>
    <w:p w:rsidR="00A64245" w:rsidRDefault="00681392">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Asimismo</w:t>
      </w:r>
      <w:r>
        <w:rPr>
          <w:rFonts w:ascii="Palatino Linotype" w:eastAsia="Palatino Linotype" w:hAnsi="Palatino Linotype" w:cs="Palatino Linotype"/>
          <w:b/>
        </w:rPr>
        <w:t xml:space="preserve"> la Tesorería Municipal </w:t>
      </w:r>
      <w:r>
        <w:rPr>
          <w:rFonts w:ascii="Palatino Linotype" w:eastAsia="Palatino Linotype" w:hAnsi="Palatino Linotype" w:cs="Palatino Linotype"/>
        </w:rPr>
        <w:t>manifestó</w:t>
      </w:r>
      <w:r>
        <w:rPr>
          <w:rFonts w:ascii="Palatino Linotype" w:eastAsia="Palatino Linotype" w:hAnsi="Palatino Linotype" w:cs="Palatino Linotype"/>
          <w:b/>
        </w:rPr>
        <w:t>: “</w:t>
      </w:r>
      <w:r>
        <w:rPr>
          <w:rFonts w:ascii="Palatino Linotype" w:eastAsia="Palatino Linotype" w:hAnsi="Palatino Linotype" w:cs="Palatino Linotype"/>
          <w:i/>
        </w:rPr>
        <w:t>EN RELACION A TODO LO DEMAS QUE NOS SOLICITAN, RESPETUOSAMENTE LES PEDIMOS QUE LO SOLICITEN A LA C.F.E. POR TRATARSE DE DOCUMENTACION QUE ENTRE ELLOS SE GENERAN ENTRE C.F.E. DISTRIBUCION Y SUMINISTRO BASICO Y QUE NOSOTROS NO TENEMOS EN NUESTRO PODER. ASI COMO RECARGOS ECONOMICOS A FAVOR O EN CONTRA QUE SE NOS HAYAN NOTIFICADO DERIVADOS DEL CENSO. ATENTAMENTE LA TESORERA MUNICIPAL”</w:t>
      </w:r>
      <w:r>
        <w:rPr>
          <w:rFonts w:ascii="Palatino Linotype" w:eastAsia="Palatino Linotype" w:hAnsi="Palatino Linotype" w:cs="Palatino Linotype"/>
        </w:rPr>
        <w:t xml:space="preserve">, adjuntando los soportes documentales </w:t>
      </w:r>
      <w:r>
        <w:rPr>
          <w:rFonts w:ascii="Palatino Linotype" w:eastAsia="Palatino Linotype" w:hAnsi="Palatino Linotype" w:cs="Palatino Linotype"/>
          <w:b/>
          <w:i/>
        </w:rPr>
        <w:t xml:space="preserve">“MAYO 2020.pdf”, “DAP MARZO 2021.pdf”, “DICIEMBRE 2020”, DAP.pdf”, “DAP ABRIL 2021.pdf”, “DAP FEBRERO 2021.pdf”, “DAP JUNIO 2021.pdf”, “DAP JULIO.pdf”, “DAP AGOSTO 2021.pdf”, “JUNIO 2020 DAP.pdf”, “DAP MAYO 2021.pdf”, “ABRIL 2020 DAP.pdf”, “ENERO 2021.pdf”, “MARZO 2020 DAP.pdf”, “OCTUBRE 2020 DAP.pdf”, “AGOSTO 2020 DAP.pdf”, “SEP 2020 DAP.pdf”, “NOV 2020 DAP.pdf” y “JULIO 2020 DAP.pdf”, </w:t>
      </w:r>
      <w:r>
        <w:rPr>
          <w:rFonts w:ascii="Palatino Linotype" w:eastAsia="Palatino Linotype" w:hAnsi="Palatino Linotype" w:cs="Palatino Linotype"/>
        </w:rPr>
        <w:t>archivos electrónicos de los cuales se advierte que contienen la póliza de egresos generada durante el mes, póliza de transferencia, factura de deudor, oficio emitido por el Responsable de Departamento Comercial Zona Chapingo en el que se brindan datos para realizar el pago, desglose de adeudo, así como el convenio de colaboración por el que se establecen los términos y condiciones a los que se sujetará la recaudación del derecho por concepto de alumbrado público.</w:t>
      </w:r>
    </w:p>
    <w:p w:rsidR="00A64245" w:rsidRDefault="00A64245">
      <w:pPr>
        <w:spacing w:line="360" w:lineRule="auto"/>
        <w:ind w:right="51"/>
        <w:jc w:val="both"/>
        <w:rPr>
          <w:rFonts w:ascii="Palatino Linotype" w:eastAsia="Palatino Linotype" w:hAnsi="Palatino Linotype" w:cs="Palatino Linotype"/>
        </w:rPr>
      </w:pPr>
    </w:p>
    <w:p w:rsidR="00A64245" w:rsidRDefault="00681392">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Para colmar </w:t>
      </w:r>
      <w:r>
        <w:rPr>
          <w:rFonts w:ascii="Palatino Linotype" w:eastAsia="Palatino Linotype" w:hAnsi="Palatino Linotype" w:cs="Palatino Linotype"/>
          <w:b/>
        </w:rPr>
        <w:t>los puntos uno y dos</w:t>
      </w:r>
      <w:r>
        <w:rPr>
          <w:rFonts w:ascii="Palatino Linotype" w:eastAsia="Palatino Linotype" w:hAnsi="Palatino Linotype" w:cs="Palatino Linotype"/>
        </w:rPr>
        <w:t xml:space="preserve"> de la solicitud formulada por el particular, resulta pertinente analizar el contenido de los convenios de colaboración, remitidos en su respuesta,  los cuales fueron celebrados en los años 2020 y 2021 entre el suministrador del servicio y el Municipio, para lo cual reviste interés el contenido de la décima cláusula del citado instrumento jurídico, ello en razón de que establece que el suministrador del servicio deberá entregar mensualmente un estado de cuenta en el que se visualice la facturación de energía eléctrica de los servicios, el importe recaudado por concepto del DAP, así como del importe de la contraprestación por recaudación, es por ello que resulta pertinente traer a colación la siguiente captura de pantalla para mejor proveer del estudio: </w:t>
      </w:r>
      <w:r>
        <w:rPr>
          <w:noProof/>
          <w:lang w:val="es-MX"/>
        </w:rPr>
        <mc:AlternateContent>
          <mc:Choice Requires="wpg">
            <w:drawing>
              <wp:anchor distT="0" distB="0" distL="114300" distR="114300" simplePos="0" relativeHeight="251666432" behindDoc="0" locked="0" layoutInCell="1" hidden="0" allowOverlap="1">
                <wp:simplePos x="0" y="0"/>
                <wp:positionH relativeFrom="column">
                  <wp:posOffset>127000</wp:posOffset>
                </wp:positionH>
                <wp:positionV relativeFrom="paragraph">
                  <wp:posOffset>3098800</wp:posOffset>
                </wp:positionV>
                <wp:extent cx="5257800" cy="2057400"/>
                <wp:effectExtent l="0" t="0" r="0" b="0"/>
                <wp:wrapNone/>
                <wp:docPr id="62" name=""/>
                <wp:cNvGraphicFramePr/>
                <a:graphic xmlns:a="http://schemas.openxmlformats.org/drawingml/2006/main">
                  <a:graphicData uri="http://schemas.microsoft.com/office/word/2010/wordprocessingShape">
                    <wps:wsp>
                      <wps:cNvCnPr/>
                      <wps:spPr>
                        <a:xfrm>
                          <a:off x="2721863" y="2756063"/>
                          <a:ext cx="5248275" cy="204787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127000</wp:posOffset>
                </wp:positionH>
                <wp:positionV relativeFrom="paragraph">
                  <wp:posOffset>3098800</wp:posOffset>
                </wp:positionV>
                <wp:extent cx="5257800" cy="2057400"/>
                <wp:effectExtent b="0" l="0" r="0" t="0"/>
                <wp:wrapNone/>
                <wp:docPr id="62"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5257800" cy="2057400"/>
                        </a:xfrm>
                        <a:prstGeom prst="rect"/>
                        <a:ln/>
                      </pic:spPr>
                    </pic:pic>
                  </a:graphicData>
                </a:graphic>
              </wp:anchor>
            </w:drawing>
          </mc:Fallback>
        </mc:AlternateContent>
      </w:r>
    </w:p>
    <w:p w:rsidR="00A64245" w:rsidRDefault="00681392">
      <w:pPr>
        <w:spacing w:line="360" w:lineRule="auto"/>
        <w:ind w:right="51"/>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126367" cy="2184581"/>
            <wp:effectExtent l="0" t="0" r="0" b="0"/>
            <wp:docPr id="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126367" cy="2184581"/>
                    </a:xfrm>
                    <a:prstGeom prst="rect">
                      <a:avLst/>
                    </a:prstGeom>
                    <a:ln/>
                  </pic:spPr>
                </pic:pic>
              </a:graphicData>
            </a:graphic>
          </wp:inline>
        </w:drawing>
      </w:r>
    </w:p>
    <w:p w:rsidR="00A64245" w:rsidRDefault="00681392">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 tal suerte que de lo ilustrado con antelación se advierte que el contenido de la cláusula décima coincide con los requerimientos de los puntos </w:t>
      </w:r>
      <w:r>
        <w:rPr>
          <w:rFonts w:ascii="Palatino Linotype" w:eastAsia="Palatino Linotype" w:hAnsi="Palatino Linotype" w:cs="Palatino Linotype"/>
          <w:b/>
          <w:color w:val="000000"/>
        </w:rPr>
        <w:t xml:space="preserve">uno y dos, los cuales consisten en: </w:t>
      </w:r>
    </w:p>
    <w:p w:rsidR="00A64245" w:rsidRDefault="00681392">
      <w:pP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“UNO. Compartir de manera digital en formato .pdf todos los oficios mensuales emitidos por CFE Suministro Básico, CFE SSB, donde informa el balance de diferencial entre facturación de alumbrado público y lo recaudado con Derecho de Alumbrado Público, DAP, periodo requerido de enero 2015 a fecha actual reciente. </w:t>
      </w:r>
    </w:p>
    <w:p w:rsidR="00A64245" w:rsidRDefault="006813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color w:val="000000"/>
        </w:rPr>
        <w:t xml:space="preserve">DOS. Compartir de manera digital todos los oficios mensuales emitidos CFE Suministro Básico, CFE SSB, donde CFE SSB cobra por la contraprestación de recaudación de DAP conforme el contrato suscrito entre la autoridad municipal y este suministrador, periodo requerido de enero 2015 a fecha actual reciente, </w:t>
      </w:r>
      <w:r>
        <w:rPr>
          <w:rFonts w:ascii="Palatino Linotype" w:eastAsia="Palatino Linotype" w:hAnsi="Palatino Linotype" w:cs="Palatino Linotype"/>
          <w:color w:val="000000"/>
        </w:rPr>
        <w:t xml:space="preserve">por lo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entregar los estados de cuenta mensuales faltantes que reciben por parte del suministrador del servicio, en este caso la Comisión Federal de Electricidad del 1 de enero de 2015 al 12 de octubre de 2021, ello en virtud de que durante el año 2020 </w:t>
      </w:r>
      <w:r>
        <w:rPr>
          <w:rFonts w:ascii="Palatino Linotype" w:eastAsia="Palatino Linotype" w:hAnsi="Palatino Linotype" w:cs="Palatino Linotype"/>
        </w:rPr>
        <w:t>únicamente remitieron los correspondientes a los  meses de marzo y abril, se adjuntó el estado de cuenta, respecto del año 2021, únicamente envió de los meses de enero y febrero.</w:t>
      </w:r>
    </w:p>
    <w:p w:rsidR="00A64245" w:rsidRDefault="00A64245">
      <w:pPr>
        <w:spacing w:line="360" w:lineRule="auto"/>
        <w:jc w:val="both"/>
        <w:rPr>
          <w:rFonts w:ascii="Palatino Linotype" w:eastAsia="Palatino Linotype" w:hAnsi="Palatino Linotype" w:cs="Palatino Linotype"/>
        </w:rPr>
      </w:pPr>
    </w:p>
    <w:p w:rsidR="00A64245" w:rsidRDefault="006813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Lo anterior es así, </w:t>
      </w:r>
      <w:r>
        <w:rPr>
          <w:rFonts w:ascii="Palatino Linotype" w:eastAsia="Palatino Linotype" w:hAnsi="Palatino Linotype" w:cs="Palatino Linotype"/>
          <w:color w:val="000000"/>
        </w:rPr>
        <w:t xml:space="preserve">toda vez que en este soporte documental se hace constar el balance diferencial entre la facturación del alumbrado público, lo recaudado por el Derecho de Alumbrado Público, así como la contraprestación de recaudación del DAP, esto conforme a lo establecido en el convenio. </w:t>
      </w:r>
    </w:p>
    <w:p w:rsidR="00A64245" w:rsidRDefault="00A64245">
      <w:pPr>
        <w:spacing w:line="360" w:lineRule="auto"/>
        <w:jc w:val="both"/>
        <w:rPr>
          <w:rFonts w:ascii="Palatino Linotype" w:eastAsia="Palatino Linotype" w:hAnsi="Palatino Linotype" w:cs="Palatino Linotype"/>
        </w:rPr>
      </w:pPr>
    </w:p>
    <w:p w:rsidR="00A64245" w:rsidRDefault="00681392">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color w:val="000000"/>
        </w:rPr>
        <w:t xml:space="preserve">En lo tocante al punto </w:t>
      </w:r>
      <w:r>
        <w:rPr>
          <w:rFonts w:ascii="Palatino Linotype" w:eastAsia="Palatino Linotype" w:hAnsi="Palatino Linotype" w:cs="Palatino Linotype"/>
          <w:b/>
          <w:color w:val="000000"/>
        </w:rPr>
        <w:t xml:space="preserve">tres </w:t>
      </w:r>
      <w:r>
        <w:rPr>
          <w:rFonts w:ascii="Palatino Linotype" w:eastAsia="Palatino Linotype" w:hAnsi="Palatino Linotype" w:cs="Palatino Linotype"/>
        </w:rPr>
        <w:t>se advierte que el particular solicitó la siguiente información: “</w:t>
      </w:r>
      <w:r>
        <w:rPr>
          <w:rFonts w:ascii="Palatino Linotype" w:eastAsia="Palatino Linotype" w:hAnsi="Palatino Linotype" w:cs="Palatino Linotype"/>
          <w:i/>
        </w:rPr>
        <w:t>TRES. En el cuerpo de cada oficio mensual referido en punto UNO. se señala en el cuerpo de la misma el archivo en formato .xlsx, es cual corresponde a cada uno los RPU´s (Registro Permanente Único) que tiene el municipio a su cargo, y la suma resultante del importe deberá corresponder al monto expresado en el oficio. Se les requiere compartan los archivos .xlsx que fueron compartidos en el mismo formato de enero 2015 a fecha actual reciente.” (Sic)</w:t>
      </w: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Debe iniciarse resaltando que este término se encuentra reconocido en el </w:t>
      </w:r>
      <w:r>
        <w:rPr>
          <w:rFonts w:ascii="Palatino Linotype" w:eastAsia="Palatino Linotype" w:hAnsi="Palatino Linotype" w:cs="Palatino Linotype"/>
          <w:b/>
        </w:rPr>
        <w:t>Acuerdo Número A/031/2016, c</w:t>
      </w:r>
      <w:r>
        <w:rPr>
          <w:rFonts w:ascii="Palatino Linotype" w:eastAsia="Palatino Linotype" w:hAnsi="Palatino Linotype" w:cs="Palatino Linotype"/>
        </w:rPr>
        <w:t>omo el número único de identificación que equivale al número de servicio, según se puede leer enseguida:</w:t>
      </w:r>
    </w:p>
    <w:p w:rsidR="00A64245" w:rsidRDefault="00681392">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 </w:t>
      </w:r>
      <w:r>
        <w:rPr>
          <w:rFonts w:ascii="Palatino Linotype" w:eastAsia="Palatino Linotype" w:hAnsi="Palatino Linotype" w:cs="Palatino Linotype"/>
          <w:i/>
          <w:sz w:val="22"/>
          <w:szCs w:val="22"/>
        </w:rPr>
        <w:t>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en términos del numeral I de los Lineamientos para la Asignación del Registro Móvil de Usuario (RMU), el registro permanente de usuario (RPU) es remplazado por el RMU, utilizado por la Comisión Federal de Electricidad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A64245" w:rsidRDefault="00681392">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467225" cy="2676525"/>
            <wp:effectExtent l="0" t="0" r="0" b="0"/>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4467225" cy="2676525"/>
                    </a:xfrm>
                    <a:prstGeom prst="rect">
                      <a:avLst/>
                    </a:prstGeom>
                    <a:ln/>
                  </pic:spPr>
                </pic:pic>
              </a:graphicData>
            </a:graphic>
          </wp:inline>
        </w:drawing>
      </w: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Registro Móvil de Usuario, o bien, según fue señalado por el particular en su solicitud de acceso a la información como Registro Permanente de Usuario (RPU o RPUs), se localiza en el “aviso de recibo”, como se observa en la siguiente captura de pantalla:</w:t>
      </w: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359254" cy="2484000"/>
            <wp:effectExtent l="0" t="0" r="0" b="0"/>
            <wp:docPr id="8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5359254" cy="2484000"/>
                    </a:xfrm>
                    <a:prstGeom prst="rect">
                      <a:avLst/>
                    </a:prstGeom>
                    <a:ln/>
                  </pic:spPr>
                </pic:pic>
              </a:graphicData>
            </a:graphic>
          </wp:inline>
        </w:drawing>
      </w: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procedente ordenar la entrega del soporte documental que de manera enunciativa es el aviso de recibo, en el que conste el Registro Móvil de Usuario (RMU) asignado al servicio de alumbrado público así como la suma resultante del importe, generado </w:t>
      </w:r>
      <w:r>
        <w:rPr>
          <w:rFonts w:ascii="Palatino Linotype" w:eastAsia="Palatino Linotype" w:hAnsi="Palatino Linotype" w:cs="Palatino Linotype"/>
          <w:color w:val="000000"/>
        </w:rPr>
        <w:t>del 1 de enero de 2015 al 12 de octubre de 2021</w:t>
      </w:r>
      <w:r>
        <w:rPr>
          <w:rFonts w:ascii="Palatino Linotype" w:eastAsia="Palatino Linotype" w:hAnsi="Palatino Linotype" w:cs="Palatino Linotype"/>
        </w:rPr>
        <w:t>.</w:t>
      </w:r>
    </w:p>
    <w:p w:rsidR="00A64245" w:rsidRDefault="006813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esta tesitura, si bien es cierto que la Tesorería Municipal manifestó en su respuesta que es documentación que no obra en su poder, debe traerse a colación </w:t>
      </w:r>
      <w:r>
        <w:rPr>
          <w:rFonts w:ascii="Palatino Linotype" w:eastAsia="Palatino Linotype" w:hAnsi="Palatino Linotype" w:cs="Palatino Linotype"/>
        </w:rPr>
        <w:t xml:space="preserve">lo dispuesto en la Constitución Política del Estado Libre y Soberano de México en su artículo 129, en el que se determina que los recursos económicos del Estado, de los Municipios, así como de los Organismos Autónomos, se rigen bajo los principios de eficiencia, eficacia y honradez en el ejercicio de la función pública, para cumplir los objetivos y programas a los que estén destinados. </w:t>
      </w:r>
    </w:p>
    <w:p w:rsidR="00A64245" w:rsidRDefault="0068139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los artículos 31 fracciones XVIII y XIX y 95 fracciones I y IV de la Ley Orgánica Municipal del Estado de México, que disponen como atribuciones de los ayuntamientos, lo siguiente:</w:t>
      </w:r>
    </w:p>
    <w:p w:rsidR="00A64245" w:rsidRDefault="0068139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2"/>
          <w:szCs w:val="22"/>
        </w:rPr>
        <w:t>Artículo 31.-</w:t>
      </w:r>
      <w:r>
        <w:rPr>
          <w:rFonts w:ascii="Palatino Linotype" w:eastAsia="Palatino Linotype" w:hAnsi="Palatino Linotype" w:cs="Palatino Linotype"/>
          <w:i/>
          <w:sz w:val="22"/>
          <w:szCs w:val="22"/>
        </w:rPr>
        <w:t>Son atribuciones de los ayuntamientos:</w:t>
      </w:r>
    </w:p>
    <w:p w:rsidR="00A64245" w:rsidRDefault="00681392">
      <w:pPr>
        <w:spacing w:after="12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A64245" w:rsidRDefault="0068139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ab/>
        <w:t>Administrar su hacienda en términos de ley, y controlar a través del presidente y síndico la aplicación del presupuesto de egresos del municipio;</w:t>
      </w:r>
    </w:p>
    <w:p w:rsidR="00A64245" w:rsidRDefault="0068139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A64245" w:rsidRDefault="0068139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XIX.</w:t>
      </w:r>
      <w:r>
        <w:rPr>
          <w:rFonts w:ascii="Palatino Linotype" w:eastAsia="Palatino Linotype" w:hAnsi="Palatino Linotype" w:cs="Palatino Linotype"/>
          <w:i/>
          <w:sz w:val="22"/>
          <w:szCs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A64245" w:rsidRDefault="0068139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rsidR="00A64245" w:rsidRDefault="0068139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rsidR="00A64245" w:rsidRDefault="0068139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ayuntamientos podrán promover el financiamiento de proyectos productivos de las mujeres emprendedoras.</w:t>
      </w:r>
    </w:p>
    <w:p w:rsidR="00A64245" w:rsidRDefault="0068139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95</w:t>
      </w:r>
      <w:r>
        <w:rPr>
          <w:rFonts w:ascii="Palatino Linotype" w:eastAsia="Palatino Linotype" w:hAnsi="Palatino Linotype" w:cs="Palatino Linotype"/>
          <w:i/>
          <w:sz w:val="22"/>
          <w:szCs w:val="22"/>
        </w:rPr>
        <w:t xml:space="preserve">.-Son atribuciones del tesorero municipal: </w:t>
      </w:r>
    </w:p>
    <w:p w:rsidR="00A64245" w:rsidRDefault="00681392">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Administrar la hacienda pública municipal, de conformidad con las disposiciones legales aplicables;</w:t>
      </w:r>
    </w:p>
    <w:p w:rsidR="00A64245" w:rsidRDefault="00681392">
      <w:pPr>
        <w:spacing w:after="12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A64245" w:rsidRDefault="00681392">
      <w:pPr>
        <w:spacing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Llevar los registros contables, financieros y administrativos de los ingresos, egresos, e inventarios;..”</w:t>
      </w:r>
    </w:p>
    <w:p w:rsidR="00A64245" w:rsidRDefault="0068139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normativos citados con anterioridad, se advierte que los ayuntamientos tienen la atribución de administrar libremente su hacienda y controlar la aplicación del presupuesto de egresos aprobado por dicho cuerpo colegiado a más tardar el veinte de diciembre del año del año inmediato anterior, por lo que señala que será atribución del Tesorero Municipal, el llevar los registros contables, financieros y administrativos de los ingresos, egresos e inventarios. </w:t>
      </w:r>
    </w:p>
    <w:p w:rsidR="00A64245" w:rsidRDefault="0068139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su parte, en los artículos 343, 344 y 345 del Código Financiero del Estado de México y Municipios, se reconoce el sistema y las políticas que deben seguir para llevar el registro contable de efecto patrimonial y presupuestal de las operaciones financieras que llevan a cabo los Municipios del Estado de México en armonía con el Sistema de Coordinación Hacendaria del Estado y con las disposiciones que se aprueben en materia de planeación, programación, presupuestación, evaluación y contabilidad gubernamental</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en los siguientes términos:</w:t>
      </w:r>
    </w:p>
    <w:p w:rsidR="00A64245" w:rsidRDefault="0068139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343.-</w:t>
      </w:r>
      <w:r>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A64245" w:rsidRDefault="0068139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sistema de contabilidad sobre base acumulativa total se sustentará en los postulados básicos y el marco conceptual de la contabilidad gubernamental.</w:t>
      </w:r>
    </w:p>
    <w:p w:rsidR="00A64245" w:rsidRDefault="0068139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344.-</w:t>
      </w:r>
      <w:r>
        <w:rPr>
          <w:rFonts w:ascii="Palatino Linotype" w:eastAsia="Palatino Linotype" w:hAnsi="Palatino Linotype" w:cs="Palatino Linotype"/>
          <w:i/>
          <w:sz w:val="22"/>
          <w:szCs w:val="22"/>
        </w:rPr>
        <w:t xml:space="preserve"> Las Dependencias, Entidades Públicas y unidades administrativas registrarán contablemente el efecto patrimonial y presupuesta/ de las operaciones financieras que realicen, en el momento en que ocurran, con base en el sistema y políticas de registro establecidas, en el caso de los Municipios se hará por la Tesorería. </w:t>
      </w:r>
    </w:p>
    <w:p w:rsidR="00A64245" w:rsidRDefault="0068139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 siguiente al que corresponda, en el caso de los municipios se hará por la Tesorería. </w:t>
      </w:r>
    </w:p>
    <w:p w:rsidR="00A64245" w:rsidRDefault="0068139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Tratándose de documentos de carácter histórico, se estará a lo dispuesto por la legislación de la materia. </w:t>
      </w:r>
    </w:p>
    <w:p w:rsidR="00A64245" w:rsidRDefault="0068139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345.-</w:t>
      </w:r>
      <w:r>
        <w:rPr>
          <w:rFonts w:ascii="Palatino Linotype" w:eastAsia="Palatino Linotype" w:hAnsi="Palatino Linotype" w:cs="Palatino Linotype"/>
          <w:i/>
          <w:sz w:val="22"/>
          <w:szCs w:val="22"/>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rsidR="00A64245" w:rsidRDefault="0068139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plazo señalado en el párrafo anterior, empezará a contar a partir de la publicación en el Periódico Oficial, del decreto correspondiente."</w:t>
      </w:r>
    </w:p>
    <w:p w:rsidR="00A64245" w:rsidRDefault="0068139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una interpretación sistemática de los artículos transcritos, se desprende primeramente que el sistema de contabilidad debe diseñarse de tal forma que facilite la fiscalización de los pasivos, activos, ingresos y egresos en general para que se pueda medir la eficacia del gasto público, es decir que se pueda tener un control de los recursos que permita la vigilancia de los mismos y medir su grado de efectividad en su aplicación.</w:t>
      </w:r>
    </w:p>
    <w:p w:rsidR="00A64245" w:rsidRDefault="0068139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Para ello, las dependencias, entidades y unidades administrativas deberán registrar todas las operaciones financieras que realicen en el momento que ocurran, que para el caso del Sujeto Obligado será a través del su Tesorería, documentación que se deberá de conservar del año en curso y la de los ejercicios anteriores cuyas cuentas públicas ya hayan sido revisadas y fiscalizadas.</w:t>
      </w:r>
    </w:p>
    <w:p w:rsidR="00A64245" w:rsidRDefault="0068139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si bien es cierto que el Código Financiero del Estado de México y Municipios crea la obligación de los Municipios para llevar los registros contables y presupuestales, también lo es que dicho ordenamiento jurídico no establece lo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REGISTRO CONTABLE</w:t>
      </w:r>
      <w:r>
        <w:rPr>
          <w:rFonts w:ascii="Palatino Linotype" w:eastAsia="Palatino Linotype" w:hAnsi="Palatino Linotype" w:cs="Palatino Linotype"/>
          <w:i/>
          <w:sz w:val="22"/>
          <w:szCs w:val="22"/>
        </w:rPr>
        <w:t xml:space="preserve"> </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Asiento que se realiza en los libros de contabilidad de las actividades relacionadas con el ingreso y egresos de un ente económico. </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PRESUPUESTARIO</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rsidR="00A64245" w:rsidRDefault="0068139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Como bien se desprende de las definiciones, los registros contables y presupuestarios son asientos o anotaciones contables que se realizan tanto de los ingresos como de los egresos, a decir se trata de un control financiero que en el que se reconoce la obligación del Tesorero de llevar dicho registro.</w:t>
      </w:r>
    </w:p>
    <w:p w:rsidR="00A64245" w:rsidRDefault="0068139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que como ya ha sido mencionado en la normatividad antes citada, todo registro contable y presupuestal deberá estar soportado con los documentos comprobatorios originales, como lo son los estados de cuenta y avisos-recibo, los cuales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 tal y como se establece en el Código Financiero del Estado de México. </w:t>
      </w:r>
    </w:p>
    <w:p w:rsidR="00A64245" w:rsidRDefault="0068139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Atento a lo anterior, resulta claro que estados de cuenta y avisos-recibo son documentos que el Sujeto Obligado genera en el ejercicio de sus atribuciones, las cuales de manera enunciativa más no limitativa podría satisfacer el derecho del particular.</w:t>
      </w:r>
    </w:p>
    <w:p w:rsidR="00A64245" w:rsidRDefault="0068139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cuanto hace al punto </w:t>
      </w:r>
      <w:r>
        <w:rPr>
          <w:rFonts w:ascii="Palatino Linotype" w:eastAsia="Palatino Linotype" w:hAnsi="Palatino Linotype" w:cs="Palatino Linotype"/>
          <w:b/>
          <w:color w:val="000000"/>
        </w:rPr>
        <w:t>cinco</w:t>
      </w:r>
      <w:r>
        <w:rPr>
          <w:rFonts w:ascii="Palatino Linotype" w:eastAsia="Palatino Linotype" w:hAnsi="Palatino Linotype" w:cs="Palatino Linotype"/>
          <w:color w:val="000000"/>
        </w:rPr>
        <w:t xml:space="preserve"> de la solicitud, tocante a “</w:t>
      </w:r>
      <w:r>
        <w:rPr>
          <w:rFonts w:ascii="Palatino Linotype" w:eastAsia="Palatino Linotype" w:hAnsi="Palatino Linotype" w:cs="Palatino Linotype"/>
          <w:i/>
          <w:color w:val="000000"/>
        </w:rPr>
        <w:t>Compartir todo documento digitalizado en formato .pdf de notificación de crédito o cargo que finco CFE SSB relativa al resultado del Censo.”</w:t>
      </w:r>
      <w:r>
        <w:rPr>
          <w:rFonts w:ascii="Palatino Linotype" w:eastAsia="Palatino Linotype" w:hAnsi="Palatino Linotype" w:cs="Palatino Linotype"/>
          <w:color w:val="000000"/>
        </w:rPr>
        <w:t>debe reiterarse que como se apuntó debidamente en líneas anteriores, de conformidad con el Manual de Procedimiento Para la Integración de Consumos de los Servicios de Alumbrado Público, Semáforos y otras Cargas Directas, una vez concluido el censo y acordado el resultado con el representante del sistema de alumbrado público o el particular, se entregará por escrito al suministrador el resultado obtenido del mismo incluyendo cargos o créditos que procedan, en un máximo de 10 días naturales después de terminado el censo de cada sector, municipio o delegación, el cual a su vez remitirá la cédula definitiva de regularización de los servicios al Presidente Municipal, esto de conformidad con el Procedimiento del Control de Servicios de Alumbrado Público, sirven de sustento las siguientes citas:</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color w:val="000000"/>
        </w:rPr>
        <w:t xml:space="preserve"> </w:t>
      </w:r>
      <w:r>
        <w:rPr>
          <w:rFonts w:ascii="Palatino Linotype" w:eastAsia="Palatino Linotype" w:hAnsi="Palatino Linotype" w:cs="Palatino Linotype"/>
          <w:i/>
          <w:sz w:val="22"/>
          <w:szCs w:val="22"/>
        </w:rPr>
        <w:t xml:space="preserve">“CENSOS </w:t>
      </w:r>
    </w:p>
    <w:p w:rsidR="00A64245" w:rsidRDefault="00681392">
      <w:pPr>
        <w:spacing w:before="240" w:after="240"/>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Las Gerencias Divisionales de Distribución analizarán y determinarán con base en los recursos económicos y humanos disponibles en las Superintendencias de Zonas de Distribución, si los trabajos de los censos de alumbrado público, semáforos y otras cargas directas se realizarán con personal de CFE Distribución y/o se contratará a un tercero especialista. </w:t>
      </w:r>
    </w:p>
    <w:p w:rsidR="00A64245" w:rsidRDefault="00681392">
      <w:pPr>
        <w:spacing w:before="240" w:after="240"/>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Se deberá enviar al suministrador que administre el contrato en cuestión, el Programa anual de censos de alumbrado público y semáforos (Formato 1) con 2 meses de anticipación del inicio de los trabajos. Por su parte el suministrador tendrá hasta 10 días naturales antes del inicio de los trabajos del censo, para notificar de manera oficial el nombre y cargo de los representantes de los municipios o delegaciones que participarán en el desarrollo de dicho censo, así como para confirmar o solicitar cambios en las fechas de inicio.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suministrador deberá informar la modificación de los plazos en el programa a petición de las administraciones estatales o municipales que se encuentren en el último año de gestión</w:t>
      </w:r>
      <w:r>
        <w:rPr>
          <w:rFonts w:ascii="Palatino Linotype" w:eastAsia="Palatino Linotype" w:hAnsi="Palatino Linotype" w:cs="Palatino Linotype"/>
          <w:i/>
          <w:sz w:val="22"/>
          <w:szCs w:val="22"/>
        </w:rPr>
        <w:t xml:space="preserve">, o por condiciones extraordinarias que justifiquen el cambio, a fin de evitar retrasos en la conciliación de las cargas a integrar que resulten de la actualización de los censos. </w:t>
      </w:r>
    </w:p>
    <w:p w:rsidR="00A64245" w:rsidRDefault="00681392">
      <w:pPr>
        <w:spacing w:before="240" w:after="240"/>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no recibir respuesta por escrito del suministrador con el nombre y cargo de los representantes designados en el plazo fijado y la confirmación o solicitud de cambio en las fechas de inicio, se realizará la ejecución del censo de alumbrado público y semáforos conforme al programa original y se notificará por escrito al suministrador el inicio y el resultado del censo al concluirlo, para que posteriormente el suministrador notifique al municipio, delegación o al particular el resultado del mismo. Estos deberán aceptar el censo obtenido y en consecuencia el ajuste resultante, de conformidad con lo establecido en el contrato firmado entre el usuario y el suministrador para la operación del alumbrado público y semáforos. </w:t>
      </w:r>
    </w:p>
    <w:p w:rsidR="00A64245" w:rsidRDefault="00681392">
      <w:pPr>
        <w:spacing w:before="240" w:after="240"/>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Se llevará cabo la ejecución de los censos de alumbrado público, semáforos y otras cargas directas de la siguiente manera: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Se coordinará con el representante del sistema de alumbrado público o el particular, para llevar a cabo el levantamiento en campo de manera conjunta con personal de ambas partes.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Se identificarán en un plano las luminarias y equipos que integran cada servicio, ya sean medidos o directos.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Se sectorizará el área geográfica para identificar los servicios correspondientes.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Se elaborarán los censos de alumbrado público, semáforos y otras cargas directas, relativos a cada servicio por sector y se continuará de la misma manera con los sectores restantes hasta cubrir la totalidad del área geográfica, incluyendo las poblaciones rurales y comunidades, si así fuera el caso.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El levantamiento físico para ubicar las luminarias y otras cargas directas deberá contar con las georeferencias correspondientes.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 Una vez concluido el censo de todos los sectores, se iniciará el proceso de preparación del nuevo censo con el primer sector, de tal manera que el programa de censos de alumbrado público, semáforos y otras cargas directas sea lo más continuo posible. </w:t>
      </w:r>
    </w:p>
    <w:p w:rsidR="00A64245" w:rsidRDefault="00681392">
      <w:pPr>
        <w:spacing w:before="240" w:after="240"/>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g) Se deberá realizar un censo de alumbrado púbico, semáforos y otras cargas directas al menos una vez al año.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Una vez ejecutado el censo y acordado el resultado con el representante del sistema de alumbrado público o el particular, se entregará por escrito al suministrador el resultado obtenido del mismo incluyendo cargos o créditos que procedan, en un máximo de 10 días naturales después de terminado el censo de cada sector, municipio o delegación.</w:t>
      </w:r>
      <w:r>
        <w:rPr>
          <w:rFonts w:ascii="Palatino Linotype" w:eastAsia="Palatino Linotype" w:hAnsi="Palatino Linotype" w:cs="Palatino Linotype"/>
          <w:i/>
          <w:sz w:val="22"/>
          <w:szCs w:val="22"/>
        </w:rPr>
        <w:t xml:space="preserve">” </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(Énfasis añadido)</w:t>
      </w:r>
    </w:p>
    <w:p w:rsidR="00A64245" w:rsidRDefault="0068139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Aunado a lo anterior, el Procedimiento del Control de Servicios de Alumbrado Público, dispone lo siguiente sobre la actualización de las cargas y reformas a convenios o contratos por ajustes de cargas, para ejemplificar lo expuesto, se insertan las siguientes capturas de pantalla: </w:t>
      </w:r>
    </w:p>
    <w:p w:rsidR="00A64245" w:rsidRDefault="00681392">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4152900" cy="3143250"/>
            <wp:effectExtent l="0" t="0" r="0" b="0"/>
            <wp:docPr id="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4152900" cy="3143250"/>
                    </a:xfrm>
                    <a:prstGeom prst="rect">
                      <a:avLst/>
                    </a:prstGeom>
                    <a:ln/>
                  </pic:spPr>
                </pic:pic>
              </a:graphicData>
            </a:graphic>
          </wp:inline>
        </w:drawing>
      </w:r>
    </w:p>
    <w:p w:rsidR="00A64245" w:rsidRDefault="0068139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495925" cy="7334250"/>
            <wp:effectExtent l="0" t="0" r="0" b="0"/>
            <wp:docPr id="8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5495925" cy="7334250"/>
                    </a:xfrm>
                    <a:prstGeom prst="rect">
                      <a:avLst/>
                    </a:prstGeom>
                    <a:ln/>
                  </pic:spPr>
                </pic:pic>
              </a:graphicData>
            </a:graphic>
          </wp:inline>
        </w:drawing>
      </w:r>
      <w:r>
        <w:rPr>
          <w:noProof/>
          <w:lang w:val="es-MX"/>
        </w:rPr>
        <mc:AlternateContent>
          <mc:Choice Requires="wpg">
            <w:drawing>
              <wp:anchor distT="0" distB="0" distL="114300" distR="114300" simplePos="0" relativeHeight="251667456" behindDoc="0" locked="0" layoutInCell="1" hidden="0" allowOverlap="1">
                <wp:simplePos x="0" y="0"/>
                <wp:positionH relativeFrom="column">
                  <wp:posOffset>1587500</wp:posOffset>
                </wp:positionH>
                <wp:positionV relativeFrom="paragraph">
                  <wp:posOffset>5080000</wp:posOffset>
                </wp:positionV>
                <wp:extent cx="3924300" cy="2066925"/>
                <wp:effectExtent l="0" t="0" r="0" b="0"/>
                <wp:wrapNone/>
                <wp:docPr id="70" name=""/>
                <wp:cNvGraphicFramePr/>
                <a:graphic xmlns:a="http://schemas.openxmlformats.org/drawingml/2006/main">
                  <a:graphicData uri="http://schemas.microsoft.com/office/word/2010/wordprocessingShape">
                    <wps:wsp>
                      <wps:cNvSpPr/>
                      <wps:spPr>
                        <a:xfrm>
                          <a:off x="3402900" y="2765588"/>
                          <a:ext cx="3886200" cy="2028825"/>
                        </a:xfrm>
                        <a:prstGeom prst="rect">
                          <a:avLst/>
                        </a:prstGeom>
                        <a:noFill/>
                        <a:ln w="38100" cap="flat" cmpd="sng">
                          <a:solidFill>
                            <a:srgbClr val="002060"/>
                          </a:solidFill>
                          <a:prstDash val="solid"/>
                          <a:round/>
                          <a:headEnd type="none" w="sm" len="sm"/>
                          <a:tailEnd type="none" w="sm" len="sm"/>
                        </a:ln>
                      </wps:spPr>
                      <wps:txbx>
                        <w:txbxContent>
                          <w:p w:rsidR="00A64245" w:rsidRDefault="00A6424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1587500</wp:posOffset>
                </wp:positionH>
                <wp:positionV relativeFrom="paragraph">
                  <wp:posOffset>5080000</wp:posOffset>
                </wp:positionV>
                <wp:extent cx="3924300" cy="2066925"/>
                <wp:effectExtent b="0" l="0" r="0" t="0"/>
                <wp:wrapNone/>
                <wp:docPr id="70" name="image25.png"/>
                <a:graphic>
                  <a:graphicData uri="http://schemas.openxmlformats.org/drawingml/2006/picture">
                    <pic:pic>
                      <pic:nvPicPr>
                        <pic:cNvPr id="0" name="image25.png"/>
                        <pic:cNvPicPr preferRelativeResize="0"/>
                      </pic:nvPicPr>
                      <pic:blipFill>
                        <a:blip r:embed="rId28"/>
                        <a:srcRect/>
                        <a:stretch>
                          <a:fillRect/>
                        </a:stretch>
                      </pic:blipFill>
                      <pic:spPr>
                        <a:xfrm>
                          <a:off x="0" y="0"/>
                          <a:ext cx="3924300" cy="2066925"/>
                        </a:xfrm>
                        <a:prstGeom prst="rect"/>
                        <a:ln/>
                      </pic:spPr>
                    </pic:pic>
                  </a:graphicData>
                </a:graphic>
              </wp:anchor>
            </w:drawing>
          </mc:Fallback>
        </mc:AlternateContent>
      </w:r>
    </w:p>
    <w:p w:rsidR="00A64245" w:rsidRDefault="0068139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610225" cy="5772150"/>
            <wp:effectExtent l="0" t="0" r="0" b="0"/>
            <wp:docPr id="8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5610225" cy="5772150"/>
                    </a:xfrm>
                    <a:prstGeom prst="rect">
                      <a:avLst/>
                    </a:prstGeom>
                    <a:ln/>
                  </pic:spPr>
                </pic:pic>
              </a:graphicData>
            </a:graphic>
          </wp:inline>
        </w:drawing>
      </w:r>
    </w:p>
    <w:p w:rsidR="00A64245" w:rsidRDefault="00681392">
      <w:pPr>
        <w:spacing w:before="240" w:after="24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Es por lo anteriormente expuesto que se estima procedente efectuar una búsqueda exhaustiva y razonable en los archivos de la Presidencia Municipal, en virtud de que es la figura que ejerce la representación jurídica del municipio, ello </w:t>
      </w:r>
      <w:r>
        <w:rPr>
          <w:rFonts w:ascii="Palatino Linotype" w:eastAsia="Palatino Linotype" w:hAnsi="Palatino Linotype" w:cs="Palatino Linotype"/>
        </w:rPr>
        <w:t xml:space="preserve">de conformidad con el artículo 128, fracciones II y V de la Constitución Política del Estado Libre y Soberano de México: </w:t>
      </w:r>
    </w:p>
    <w:p w:rsidR="00A64245" w:rsidRDefault="00681392">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128.- </w:t>
      </w:r>
      <w:r>
        <w:rPr>
          <w:rFonts w:ascii="Palatino Linotype" w:eastAsia="Palatino Linotype" w:hAnsi="Palatino Linotype" w:cs="Palatino Linotype"/>
          <w:i/>
          <w:sz w:val="22"/>
          <w:szCs w:val="22"/>
        </w:rPr>
        <w:t>Son atribuciones de las presidentas o presidentes municipales:</w:t>
      </w:r>
    </w:p>
    <w:p w:rsidR="00A64245" w:rsidRDefault="00681392">
      <w:pPr>
        <w:spacing w:before="240" w:after="240"/>
        <w:ind w:left="709"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Ejecutar las decisiones de los ayuntamientos e informar de su cumplimiento;</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Asumir la representación jurídica del Municipio, conforme a la ley respectiva;</w:t>
      </w:r>
    </w:p>
    <w:p w:rsidR="00A64245" w:rsidRDefault="00681392">
      <w:pPr>
        <w:spacing w:before="240" w:after="240"/>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(Sic) (Énfasis añadido)</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armonía con esta disposición legal, la Ley Orgánica Municipal regula las atribuciones de los presidentes municipales, mismas que se describen a continuación para robustecer el presente estudio: </w:t>
      </w:r>
    </w:p>
    <w:p w:rsidR="00A64245" w:rsidRDefault="00681392">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“CAPITULO PRIMERO </w:t>
      </w:r>
    </w:p>
    <w:p w:rsidR="00A64245" w:rsidRDefault="00681392">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LOS PRESIDENTES MUNICIPALES</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48.-</w:t>
      </w:r>
      <w:r>
        <w:rPr>
          <w:rFonts w:ascii="Palatino Linotype" w:eastAsia="Palatino Linotype" w:hAnsi="Palatino Linotype" w:cs="Palatino Linotype"/>
          <w:i/>
          <w:sz w:val="22"/>
          <w:szCs w:val="22"/>
        </w:rPr>
        <w:t xml:space="preserve"> El presidente municipal tiene las siguientes atribuciones:</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Presidir y dirigir las sesiones del ayuntamiento;</w:t>
      </w:r>
    </w:p>
    <w:p w:rsidR="00A64245" w:rsidRDefault="00681392">
      <w:pPr>
        <w:spacing w:before="240" w:after="240"/>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II. Ejecutar los acuerdos del ayuntamiento e informar su cumplimiento;</w:t>
      </w:r>
    </w:p>
    <w:p w:rsidR="00A64245" w:rsidRDefault="00681392">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b/>
          <w:i/>
          <w:sz w:val="22"/>
          <w:szCs w:val="22"/>
          <w:u w:val="single"/>
        </w:rPr>
        <w:t xml:space="preserve">Asumir la representación jurídica del Municipio y del ayuntamiento, así como de las dependencias de la Administración Pública Municipal, </w:t>
      </w:r>
      <w:r>
        <w:rPr>
          <w:rFonts w:ascii="Palatino Linotype" w:eastAsia="Palatino Linotype" w:hAnsi="Palatino Linotype" w:cs="Palatino Linotype"/>
          <w:i/>
          <w:sz w:val="22"/>
          <w:szCs w:val="22"/>
        </w:rPr>
        <w:t>en los litigios en que este sea parte.”</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A64245" w:rsidRDefault="006813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escapa de la óptica de este Órgano Garante que en este requerimiento, el particular fue omiso en señalar temporalidad de la información que solicita, por lo cual resulta aplicable el criterio orientador emitido por el Instituto Nacional de Transparencia Acceso a la Información Pública y Protección de Datos Personales (INAI), mismo que se cita para ilustrar el presente estudio: </w:t>
      </w:r>
    </w:p>
    <w:p w:rsidR="00A64245" w:rsidRDefault="00A64245">
      <w:pPr>
        <w:spacing w:line="360" w:lineRule="auto"/>
        <w:jc w:val="both"/>
        <w:rPr>
          <w:rFonts w:ascii="Palatino Linotype" w:eastAsia="Palatino Linotype" w:hAnsi="Palatino Linotype" w:cs="Palatino Linotype"/>
          <w:color w:val="000000"/>
        </w:rPr>
      </w:pPr>
    </w:p>
    <w:p w:rsidR="00A64245" w:rsidRDefault="00681392">
      <w:pPr>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Periodo de búsqueda de la información</w:t>
      </w:r>
      <w:r>
        <w:rPr>
          <w:rFonts w:ascii="Palatino Linotype" w:eastAsia="Palatino Linotype" w:hAnsi="Palatino Linotype" w:cs="Palatino Linotype"/>
          <w:i/>
          <w:color w:val="000000"/>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A64245" w:rsidRDefault="00A64245">
      <w:pPr>
        <w:ind w:left="567" w:right="616"/>
        <w:jc w:val="both"/>
        <w:rPr>
          <w:rFonts w:ascii="Palatino Linotype" w:eastAsia="Palatino Linotype" w:hAnsi="Palatino Linotype" w:cs="Palatino Linotype"/>
          <w:i/>
          <w:color w:val="000000"/>
          <w:sz w:val="22"/>
          <w:szCs w:val="22"/>
        </w:rPr>
      </w:pPr>
    </w:p>
    <w:p w:rsidR="00A64245" w:rsidRDefault="00681392">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Del criterio referido previamente es posible advertir que la información entregada deberá computarse desde el año inmediato anterior, computado a partir de la fecha de presentación de la solicitud, esto es, desde el </w:t>
      </w:r>
      <w:r>
        <w:rPr>
          <w:rFonts w:ascii="Palatino Linotype" w:eastAsia="Palatino Linotype" w:hAnsi="Palatino Linotype" w:cs="Palatino Linotype"/>
          <w:b/>
          <w:color w:val="000000"/>
        </w:rPr>
        <w:t>doce de octubre de dos mil veintiuno</w:t>
      </w:r>
      <w:r>
        <w:rPr>
          <w:rFonts w:ascii="Palatino Linotype" w:eastAsia="Palatino Linotype" w:hAnsi="Palatino Linotype" w:cs="Palatino Linotype"/>
          <w:color w:val="000000"/>
        </w:rPr>
        <w:t xml:space="preserve">, luego entonces, se considera procedente la entrega de los soportes documentales en el que consten los cargos o créditos que procedan como resultado del censo realizado en formato pdf, generado del </w:t>
      </w:r>
      <w:r>
        <w:rPr>
          <w:rFonts w:ascii="Palatino Linotype" w:eastAsia="Palatino Linotype" w:hAnsi="Palatino Linotype" w:cs="Palatino Linotype"/>
          <w:b/>
          <w:color w:val="000000"/>
        </w:rPr>
        <w:t>12 de octubre de 2020 al 12 de octubre de 2021.</w:t>
      </w:r>
    </w:p>
    <w:p w:rsidR="00A64245" w:rsidRDefault="00A64245">
      <w:pPr>
        <w:spacing w:line="360" w:lineRule="auto"/>
        <w:jc w:val="both"/>
        <w:rPr>
          <w:rFonts w:ascii="Palatino Linotype" w:eastAsia="Palatino Linotype" w:hAnsi="Palatino Linotype" w:cs="Palatino Linotype"/>
          <w:color w:val="000000"/>
        </w:rPr>
      </w:pPr>
    </w:p>
    <w:p w:rsidR="00A64245" w:rsidRDefault="00681392">
      <w:pP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Finalmente en lo concerniente a los puntos </w:t>
      </w:r>
      <w:r>
        <w:rPr>
          <w:rFonts w:ascii="Palatino Linotype" w:eastAsia="Palatino Linotype" w:hAnsi="Palatino Linotype" w:cs="Palatino Linotype"/>
          <w:b/>
          <w:color w:val="000000"/>
        </w:rPr>
        <w:t>seis y siete</w:t>
      </w:r>
      <w:r>
        <w:rPr>
          <w:rFonts w:ascii="Palatino Linotype" w:eastAsia="Palatino Linotype" w:hAnsi="Palatino Linotype" w:cs="Palatino Linotype"/>
          <w:color w:val="000000"/>
        </w:rPr>
        <w:t xml:space="preserve"> de la solicitud de información, consistentes en “</w:t>
      </w:r>
      <w:r>
        <w:rPr>
          <w:rFonts w:ascii="Palatino Linotype" w:eastAsia="Palatino Linotype" w:hAnsi="Palatino Linotype" w:cs="Palatino Linotype"/>
          <w:i/>
          <w:color w:val="000000"/>
        </w:rPr>
        <w:t>Compartir todo documento digitalizado en formato .pdf que haya expedido el Municipio a CFE SSB relativo a temas de alumbrado público, su naturaleza puede ser muy diversa, se ocupan todos, periodo comprendido de enero 2015 a fecha actual reciente.</w:t>
      </w:r>
    </w:p>
    <w:p w:rsidR="00A64245" w:rsidRDefault="00681392">
      <w:pP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p>
    <w:p w:rsidR="00A64245" w:rsidRDefault="006813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SIETE. Compartir todo documento digitalizado en formato .pdf que tenga como fuente toda notificación que ha realizado CFE Suministrador de Servicios Básicos con cargo al servicio de Alumbrado Público desde el año 2015 a fecha actual reciente y que no están vinculados con el CENSO.”, </w:t>
      </w:r>
      <w:r>
        <w:rPr>
          <w:rFonts w:ascii="Palatino Linotype" w:eastAsia="Palatino Linotype" w:hAnsi="Palatino Linotype" w:cs="Palatino Linotype"/>
          <w:color w:val="000000"/>
        </w:rPr>
        <w:t>debe apuntarse en primera instancia que del análisis a los convenios de colaboración celebrados por las partes, se colige por el contenido de las siguientes cláusulas que el Ayuntamiento y el Suministrador del servicio pueden suscribir las siguientes comunicaciones por escrito:</w:t>
      </w:r>
    </w:p>
    <w:p w:rsidR="00A64245" w:rsidRDefault="00A64245">
      <w:pPr>
        <w:spacing w:line="360" w:lineRule="auto"/>
        <w:jc w:val="both"/>
        <w:rPr>
          <w:rFonts w:ascii="Palatino Linotype" w:eastAsia="Palatino Linotype" w:hAnsi="Palatino Linotype" w:cs="Palatino Linotype"/>
          <w:color w:val="000000"/>
        </w:rPr>
      </w:pPr>
    </w:p>
    <w:p w:rsidR="00A64245" w:rsidRDefault="006813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610225" cy="1362075"/>
            <wp:effectExtent l="0" t="0" r="0" b="0"/>
            <wp:docPr id="8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5610225" cy="1362075"/>
                    </a:xfrm>
                    <a:prstGeom prst="rect">
                      <a:avLst/>
                    </a:prstGeom>
                    <a:ln/>
                  </pic:spPr>
                </pic:pic>
              </a:graphicData>
            </a:graphic>
          </wp:inline>
        </w:drawing>
      </w:r>
    </w:p>
    <w:p w:rsidR="00A64245" w:rsidRDefault="006813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619750" cy="781050"/>
            <wp:effectExtent l="0" t="0" r="0" b="0"/>
            <wp:docPr id="8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5619750" cy="781050"/>
                    </a:xfrm>
                    <a:prstGeom prst="rect">
                      <a:avLst/>
                    </a:prstGeom>
                    <a:ln/>
                  </pic:spPr>
                </pic:pic>
              </a:graphicData>
            </a:graphic>
          </wp:inline>
        </w:drawing>
      </w:r>
      <w:r>
        <w:rPr>
          <w:noProof/>
          <w:lang w:val="es-MX"/>
        </w:rPr>
        <mc:AlternateContent>
          <mc:Choice Requires="wpg">
            <w:drawing>
              <wp:anchor distT="0" distB="0" distL="114300" distR="114300" simplePos="0" relativeHeight="251668480" behindDoc="0" locked="0" layoutInCell="1" hidden="0" allowOverlap="1">
                <wp:simplePos x="0" y="0"/>
                <wp:positionH relativeFrom="column">
                  <wp:posOffset>190500</wp:posOffset>
                </wp:positionH>
                <wp:positionV relativeFrom="paragraph">
                  <wp:posOffset>749300</wp:posOffset>
                </wp:positionV>
                <wp:extent cx="5067300" cy="2933700"/>
                <wp:effectExtent l="0" t="0" r="0" b="0"/>
                <wp:wrapNone/>
                <wp:docPr id="63" name=""/>
                <wp:cNvGraphicFramePr/>
                <a:graphic xmlns:a="http://schemas.openxmlformats.org/drawingml/2006/main">
                  <a:graphicData uri="http://schemas.microsoft.com/office/word/2010/wordprocessingShape">
                    <wps:wsp>
                      <wps:cNvCnPr/>
                      <wps:spPr>
                        <a:xfrm>
                          <a:off x="2817113" y="2317913"/>
                          <a:ext cx="5057775" cy="292417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190500</wp:posOffset>
                </wp:positionH>
                <wp:positionV relativeFrom="paragraph">
                  <wp:posOffset>749300</wp:posOffset>
                </wp:positionV>
                <wp:extent cx="5067300" cy="2933700"/>
                <wp:effectExtent b="0" l="0" r="0" t="0"/>
                <wp:wrapNone/>
                <wp:docPr id="63" name="image18.png"/>
                <a:graphic>
                  <a:graphicData uri="http://schemas.openxmlformats.org/drawingml/2006/picture">
                    <pic:pic>
                      <pic:nvPicPr>
                        <pic:cNvPr id="0" name="image18.png"/>
                        <pic:cNvPicPr preferRelativeResize="0"/>
                      </pic:nvPicPr>
                      <pic:blipFill>
                        <a:blip r:embed="rId32"/>
                        <a:srcRect/>
                        <a:stretch>
                          <a:fillRect/>
                        </a:stretch>
                      </pic:blipFill>
                      <pic:spPr>
                        <a:xfrm>
                          <a:off x="0" y="0"/>
                          <a:ext cx="5067300" cy="2933700"/>
                        </a:xfrm>
                        <a:prstGeom prst="rect"/>
                        <a:ln/>
                      </pic:spPr>
                    </pic:pic>
                  </a:graphicData>
                </a:graphic>
              </wp:anchor>
            </w:drawing>
          </mc:Fallback>
        </mc:AlternateContent>
      </w:r>
    </w:p>
    <w:p w:rsidR="00A64245" w:rsidRDefault="006813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610225" cy="5162550"/>
            <wp:effectExtent l="0" t="0" r="0" b="0"/>
            <wp:docPr id="8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a:stretch>
                      <a:fillRect/>
                    </a:stretch>
                  </pic:blipFill>
                  <pic:spPr>
                    <a:xfrm>
                      <a:off x="0" y="0"/>
                      <a:ext cx="5610225" cy="5162550"/>
                    </a:xfrm>
                    <a:prstGeom prst="rect">
                      <a:avLst/>
                    </a:prstGeom>
                    <a:ln/>
                  </pic:spPr>
                </pic:pic>
              </a:graphicData>
            </a:graphic>
          </wp:inline>
        </w:drawing>
      </w:r>
      <w:r>
        <w:rPr>
          <w:noProof/>
          <w:lang w:val="es-MX"/>
        </w:rPr>
        <mc:AlternateContent>
          <mc:Choice Requires="wpg">
            <w:drawing>
              <wp:anchor distT="0" distB="0" distL="114300" distR="114300" simplePos="0" relativeHeight="251669504" behindDoc="0" locked="0" layoutInCell="1" hidden="0" allowOverlap="1">
                <wp:simplePos x="0" y="0"/>
                <wp:positionH relativeFrom="column">
                  <wp:posOffset>-12699</wp:posOffset>
                </wp:positionH>
                <wp:positionV relativeFrom="paragraph">
                  <wp:posOffset>4457700</wp:posOffset>
                </wp:positionV>
                <wp:extent cx="5438775" cy="619125"/>
                <wp:effectExtent l="0" t="0" r="0" b="0"/>
                <wp:wrapNone/>
                <wp:docPr id="68" name=""/>
                <wp:cNvGraphicFramePr/>
                <a:graphic xmlns:a="http://schemas.openxmlformats.org/drawingml/2006/main">
                  <a:graphicData uri="http://schemas.microsoft.com/office/word/2010/wordprocessingShape">
                    <wps:wsp>
                      <wps:cNvSpPr/>
                      <wps:spPr>
                        <a:xfrm>
                          <a:off x="2640900" y="3484725"/>
                          <a:ext cx="5410200" cy="590550"/>
                        </a:xfrm>
                        <a:prstGeom prst="rect">
                          <a:avLst/>
                        </a:prstGeom>
                        <a:noFill/>
                        <a:ln w="28575" cap="flat" cmpd="sng">
                          <a:solidFill>
                            <a:srgbClr val="002060"/>
                          </a:solidFill>
                          <a:prstDash val="solid"/>
                          <a:round/>
                          <a:headEnd type="none" w="sm" len="sm"/>
                          <a:tailEnd type="none" w="sm" len="sm"/>
                        </a:ln>
                      </wps:spPr>
                      <wps:txbx>
                        <w:txbxContent>
                          <w:p w:rsidR="00A64245" w:rsidRDefault="00A6424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4457700</wp:posOffset>
                </wp:positionV>
                <wp:extent cx="5438775" cy="619125"/>
                <wp:effectExtent b="0" l="0" r="0" t="0"/>
                <wp:wrapNone/>
                <wp:docPr id="68" name="image23.png"/>
                <a:graphic>
                  <a:graphicData uri="http://schemas.openxmlformats.org/drawingml/2006/picture">
                    <pic:pic>
                      <pic:nvPicPr>
                        <pic:cNvPr id="0" name="image23.png"/>
                        <pic:cNvPicPr preferRelativeResize="0"/>
                      </pic:nvPicPr>
                      <pic:blipFill>
                        <a:blip r:embed="rId34"/>
                        <a:srcRect/>
                        <a:stretch>
                          <a:fillRect/>
                        </a:stretch>
                      </pic:blipFill>
                      <pic:spPr>
                        <a:xfrm>
                          <a:off x="0" y="0"/>
                          <a:ext cx="5438775" cy="619125"/>
                        </a:xfrm>
                        <a:prstGeom prst="rect"/>
                        <a:ln/>
                      </pic:spPr>
                    </pic:pic>
                  </a:graphicData>
                </a:graphic>
              </wp:anchor>
            </w:drawing>
          </mc:Fallback>
        </mc:AlternateContent>
      </w:r>
    </w:p>
    <w:p w:rsidR="00A64245" w:rsidRDefault="006813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534025" cy="1905000"/>
            <wp:effectExtent l="0" t="0" r="0" b="0"/>
            <wp:docPr id="8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5534025" cy="1905000"/>
                    </a:xfrm>
                    <a:prstGeom prst="rect">
                      <a:avLst/>
                    </a:prstGeom>
                    <a:ln/>
                  </pic:spPr>
                </pic:pic>
              </a:graphicData>
            </a:graphic>
          </wp:inline>
        </w:drawing>
      </w:r>
    </w:p>
    <w:p w:rsidR="00A64245" w:rsidRDefault="006813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562600" cy="2295525"/>
            <wp:effectExtent l="0" t="0" r="0" b="0"/>
            <wp:docPr id="9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5562600" cy="2295525"/>
                    </a:xfrm>
                    <a:prstGeom prst="rect">
                      <a:avLst/>
                    </a:prstGeom>
                    <a:ln/>
                  </pic:spPr>
                </pic:pic>
              </a:graphicData>
            </a:graphic>
          </wp:inline>
        </w:drawing>
      </w:r>
    </w:p>
    <w:p w:rsidR="00A64245" w:rsidRDefault="00A64245">
      <w:pPr>
        <w:spacing w:line="360" w:lineRule="auto"/>
        <w:jc w:val="both"/>
        <w:rPr>
          <w:rFonts w:ascii="Palatino Linotype" w:eastAsia="Palatino Linotype" w:hAnsi="Palatino Linotype" w:cs="Palatino Linotype"/>
          <w:color w:val="000000"/>
        </w:rPr>
      </w:pPr>
    </w:p>
    <w:p w:rsidR="00A64245" w:rsidRDefault="006813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lo que con lo anteriormente ilustrado y en términos del </w:t>
      </w:r>
      <w:r>
        <w:rPr>
          <w:rFonts w:ascii="Palatino Linotype" w:eastAsia="Palatino Linotype" w:hAnsi="Palatino Linotype" w:cs="Palatino Linotype"/>
        </w:rPr>
        <w:t>artículo 115 fracciones I, párrafo primero, II párrafo primero y III inciso b); el cual expresa que le corresponde al municipio la prestación del servicio de alumbrado público, asimismo los artículos 38 y 40 del Bando Municipal de Chimalhuacán vigente en 2021 establecen que compete al municipio la prestación del servicio de alumbrado público, esto sin concesionarlo a particulares, por lo que cuentan con una Dirección General de Servicios Públicos, las cual a su vez cuenta con una Dirección de Electrificación y Alumbrado Público, consecuentemente resulta pertinente realizar una búsqueda exhaustiva y razonable en los archivos de esta Dirección, así como de la Presidencia Municipal, ello en razón de ser el representante del municipio y el enlace para todo tipo de notificaciones con el suministrador de servicios para efecto de localizar todos los soportes documentales relativo a temas de alumbrado público enviados y recibidos del 1 de enero de 2015 al 12 de octubre de 2021.</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considera que para atender el requerimiento informativo,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realizar una búsqueda exhaustiva y razonable en los archivos de las áreas competentes, a efecto de que proporcione los documentos donde conste lo peticionado por el particular en versión pública de ser  el caso. </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“Cuarto.</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Ciclo vital del documento: La etapas de los documentos desde su producción o recepción hasta su baja o transferencia a un archivo histórico;</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A64245" w:rsidRDefault="00A64245">
      <w:pPr>
        <w:spacing w:before="240" w:after="240"/>
        <w:ind w:left="567" w:right="616"/>
        <w:jc w:val="both"/>
        <w:rPr>
          <w:rFonts w:ascii="Palatino Linotype" w:eastAsia="Palatino Linotype" w:hAnsi="Palatino Linotype" w:cs="Palatino Linotype"/>
          <w:i/>
          <w:sz w:val="22"/>
          <w:szCs w:val="22"/>
        </w:rPr>
      </w:pP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w:t>
      </w: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administrativa, y en la que permanecen hasta su transferencia primaria al Archivo de Concentración; en esta etapa se mantienen los archivos de consulta esporádica y permanecen allí hasta su transferencia secundaria al Archivo Histórico o su baja documental.</w:t>
      </w:r>
    </w:p>
    <w:p w:rsidR="00A64245" w:rsidRDefault="00681392">
      <w:pPr>
        <w:spacing w:before="240" w:after="240"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rPr>
        <w:t>Lineamientos para la Valoración, Selección y Baja de los Documentos, Expedientes y Series de Trámite Concluido en los Archivos del Estado de México, que establece lo siguiente:</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20.</w:t>
      </w:r>
      <w:r>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27.- Las Unidades Administrativas al realizar la transferencia de los expedientes de trámite concluido, señalarán en el Inventario correspondiente los plazos de conservación precaucional de éstos en el Archivo de Concentración.</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determinar el plazo de conservación precaucional deberán considerar el marco legal o administrativo bajo el cual se produjeron o recibieron los documentos y los siguientes períodos:</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6 años para expedientes con información administrativa;</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6 años como mínimo para expedientes con información fiscal y presupuestal contable;</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12 años como mínimo para expedientes con información jurídico-legal, obra pública y activo fijo; y</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rsidR="00A64245" w:rsidRDefault="00681392">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Cuando las Unidades Administrativas no indique el plazo de conservación precaucional de sus expedientes en el Inventario correspondiente, los Archivos de Concentración podrán rechazar la transferencia de los expedientes.”</w:t>
      </w:r>
    </w:p>
    <w:p w:rsidR="00A64245" w:rsidRDefault="00681392">
      <w:pPr>
        <w:spacing w:before="240" w:after="240" w:line="360" w:lineRule="auto"/>
        <w:jc w:val="both"/>
        <w:rPr>
          <w:rFonts w:ascii="Palatino Linotype" w:eastAsia="Palatino Linotype" w:hAnsi="Palatino Linotype" w:cs="Palatino Linotype"/>
        </w:rPr>
      </w:pPr>
      <w:bookmarkStart w:id="5" w:name="_heading=h.2et92p0" w:colFirst="0" w:colLast="0"/>
      <w:bookmarkEnd w:id="5"/>
      <w:r>
        <w:rPr>
          <w:rFonts w:ascii="Palatino Linotype" w:eastAsia="Palatino Linotype" w:hAnsi="Palatino Linotype" w:cs="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rsidR="00A64245" w:rsidRDefault="00A64245">
      <w:pPr>
        <w:spacing w:before="240" w:after="240" w:line="360" w:lineRule="auto"/>
        <w:jc w:val="both"/>
        <w:rPr>
          <w:rFonts w:ascii="Palatino Linotype" w:eastAsia="Palatino Linotype" w:hAnsi="Palatino Linotype" w:cs="Palatino Linotype"/>
        </w:rPr>
      </w:pP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el Pleno de este Instituto considera que hizo falta agotar la búsqueda exhaustiva y razonable en las áreas competentes del Ayuntamiento, ya que, por la antigüedad de la información (2015 a 2019), se considera que dichos documentos, pudieran obrar en los archivos de las unidades competentes, en razón de sus atribuciones, señaladas anteriormente. </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modo, se ordena realizar una nueva búsqueda exhaustiva y razonable dentro de las áreas competentes del Sujeto Obligado, a fin de agotar todas las instancias pertinentes para la localización de la información solicitada.</w:t>
      </w:r>
    </w:p>
    <w:p w:rsidR="00A64245" w:rsidRDefault="0068139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Debe apuntarse en este caso en particular  que de actualizarse el supuesto en el que se turnó la solicitud de información a las áreas competentes y no se localice el documento con el que se atienda el requerimiento, lo procedente es emitir el acuerdo de inexistencia, en términos de los artículos 19, 49, fracciones II y XIII, 169 y 170 de la Ley de la materia como se enuncia a continuación: </w:t>
      </w:r>
    </w:p>
    <w:p w:rsidR="00A64245" w:rsidRDefault="00A64245">
      <w:pPr>
        <w:spacing w:after="160" w:line="360" w:lineRule="auto"/>
        <w:jc w:val="both"/>
        <w:rPr>
          <w:rFonts w:ascii="Palatino Linotype" w:eastAsia="Palatino Linotype" w:hAnsi="Palatino Linotype" w:cs="Palatino Linotype"/>
          <w:sz w:val="12"/>
          <w:szCs w:val="12"/>
        </w:rPr>
      </w:pPr>
    </w:p>
    <w:p w:rsidR="00A64245" w:rsidRDefault="00681392">
      <w:pPr>
        <w:spacing w:after="160" w:line="259"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xml:space="preserve"> Se presume que la información debe existir si se refiere a las facultades, competencias y funciones que los ordenamientos jurídicos aplicables otorgan a los sujetos obligados.</w:t>
      </w:r>
    </w:p>
    <w:p w:rsidR="00A64245" w:rsidRDefault="00681392">
      <w:pPr>
        <w:spacing w:after="160" w:line="259"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w:t>
      </w:r>
      <w:r>
        <w:rPr>
          <w:rFonts w:ascii="Palatino Linotype" w:eastAsia="Palatino Linotype" w:hAnsi="Palatino Linotype" w:cs="Palatino Linotype"/>
          <w:b/>
          <w:i/>
          <w:sz w:val="22"/>
          <w:szCs w:val="22"/>
        </w:rPr>
        <w:t>en el que detalle las razones del por qué no obra en sus archivos</w:t>
      </w:r>
      <w:r>
        <w:rPr>
          <w:rFonts w:ascii="Palatino Linotype" w:eastAsia="Palatino Linotype" w:hAnsi="Palatino Linotype" w:cs="Palatino Linotype"/>
          <w:i/>
          <w:sz w:val="22"/>
          <w:szCs w:val="22"/>
        </w:rPr>
        <w:t>.</w:t>
      </w:r>
    </w:p>
    <w:p w:rsidR="00A64245" w:rsidRDefault="00A64245">
      <w:pPr>
        <w:spacing w:after="160" w:line="259" w:lineRule="auto"/>
        <w:ind w:left="1134" w:right="900"/>
        <w:jc w:val="both"/>
        <w:rPr>
          <w:rFonts w:ascii="Palatino Linotype" w:eastAsia="Palatino Linotype" w:hAnsi="Palatino Linotype" w:cs="Palatino Linotype"/>
          <w:b/>
          <w:i/>
          <w:sz w:val="14"/>
          <w:szCs w:val="14"/>
        </w:rPr>
      </w:pPr>
    </w:p>
    <w:p w:rsidR="00A64245" w:rsidRDefault="00681392">
      <w:pPr>
        <w:spacing w:after="160" w:line="259"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rsidR="00A64245" w:rsidRDefault="00681392">
      <w:pPr>
        <w:spacing w:after="160" w:line="259"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A64245" w:rsidRDefault="00681392">
      <w:pPr>
        <w:spacing w:after="160" w:line="259"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A64245" w:rsidRDefault="00681392">
      <w:pPr>
        <w:spacing w:after="160" w:line="259"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after="160" w:line="259"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XIII.Dictaminar las declaratorias de inexistencia de la información que les remitan las unidades administrativas y resolver en consecuencia;</w:t>
      </w:r>
    </w:p>
    <w:p w:rsidR="00A64245" w:rsidRDefault="00681392">
      <w:pPr>
        <w:spacing w:after="160" w:line="259"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Cuando la información no se encuentre en los archivos del sujeto obligado, el Comité de Transparencia:</w:t>
      </w:r>
    </w:p>
    <w:p w:rsidR="00A64245" w:rsidRDefault="00681392">
      <w:pPr>
        <w:spacing w:after="160" w:line="259"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Analizará el caso y tomará las medidas necesarias para localizar la información;</w:t>
      </w:r>
    </w:p>
    <w:p w:rsidR="00A64245" w:rsidRDefault="00681392">
      <w:pPr>
        <w:spacing w:after="160" w:line="259"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documento;</w:t>
      </w:r>
    </w:p>
    <w:p w:rsidR="00A64245" w:rsidRDefault="00681392">
      <w:pPr>
        <w:spacing w:after="160" w:line="259"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A64245" w:rsidRDefault="00681392">
      <w:pPr>
        <w:spacing w:after="160" w:line="259"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p>
    <w:p w:rsidR="00A64245" w:rsidRDefault="00681392">
      <w:pPr>
        <w:spacing w:after="160" w:line="259"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A64245" w:rsidRDefault="00681392">
      <w:pPr>
        <w:spacing w:after="160" w:line="259"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A64245" w:rsidRDefault="00681392">
      <w:pPr>
        <w:spacing w:after="160" w:line="259"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w:t>
      </w:r>
      <w:r>
        <w:rPr>
          <w:rFonts w:ascii="Palatino Linotype" w:eastAsia="Palatino Linotype" w:hAnsi="Palatino Linotype" w:cs="Palatino Linotype"/>
          <w:b/>
          <w:i/>
          <w:sz w:val="22"/>
          <w:szCs w:val="22"/>
        </w:rPr>
        <w:t>y señalará al servidor público responsable de contar con la misma</w:t>
      </w:r>
      <w:r>
        <w:rPr>
          <w:rFonts w:ascii="Palatino Linotype" w:eastAsia="Palatino Linotype" w:hAnsi="Palatino Linotype" w:cs="Palatino Linotype"/>
          <w:i/>
          <w:sz w:val="22"/>
          <w:szCs w:val="22"/>
        </w:rPr>
        <w:t>.”</w:t>
      </w:r>
    </w:p>
    <w:p w:rsidR="00A64245" w:rsidRDefault="00A64245">
      <w:pPr>
        <w:spacing w:line="360" w:lineRule="auto"/>
        <w:jc w:val="both"/>
        <w:rPr>
          <w:rFonts w:ascii="Palatino Linotype" w:eastAsia="Palatino Linotype" w:hAnsi="Palatino Linotype" w:cs="Palatino Linotype"/>
        </w:rPr>
      </w:pPr>
    </w:p>
    <w:p w:rsidR="00A64245" w:rsidRDefault="006813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Bajo éste tenor es preciso advertir que </w:t>
      </w:r>
      <w:r>
        <w:rPr>
          <w:rFonts w:ascii="Palatino Linotype" w:eastAsia="Palatino Linotype" w:hAnsi="Palatino Linotype" w:cs="Palatino Linotype"/>
          <w:b/>
          <w:u w:val="single"/>
        </w:rPr>
        <w:t>es necesaria</w:t>
      </w:r>
      <w:r>
        <w:rPr>
          <w:rFonts w:ascii="Palatino Linotype" w:eastAsia="Palatino Linotype" w:hAnsi="Palatino Linotype" w:cs="Palatino Linotype"/>
        </w:rPr>
        <w:t xml:space="preserve"> la emisión del acuerdo de inexistencia en aquellos casos en que el 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debió poseer la información solicitada</w:t>
      </w:r>
      <w:r>
        <w:rPr>
          <w:rFonts w:ascii="Palatino Linotype" w:eastAsia="Palatino Linotype" w:hAnsi="Palatino Linotype" w:cs="Palatino Linotype"/>
          <w:color w:val="000000"/>
        </w:rPr>
        <w:t xml:space="preserve">, entonces </w:t>
      </w:r>
      <w:r>
        <w:rPr>
          <w:rFonts w:ascii="Palatino Linotype" w:eastAsia="Palatino Linotype" w:hAnsi="Palatino Linotype" w:cs="Palatino Linotype"/>
        </w:rPr>
        <w:t xml:space="preserve">su Comité de Transparencia tiene el deber de emitir un acuerdo de inexistencia, el cual se insiste, se dicta en aquellos supuestos en los que si bien la información solicitada la genera, posee o administra </w:t>
      </w:r>
      <w:r>
        <w:rPr>
          <w:rFonts w:ascii="Palatino Linotype" w:eastAsia="Palatino Linotype" w:hAnsi="Palatino Linotype" w:cs="Palatino Linotype"/>
          <w:color w:val="000000"/>
        </w:rPr>
        <w:t>el Sujeto Obligado</w:t>
      </w:r>
      <w:r>
        <w:rPr>
          <w:rFonts w:ascii="Palatino Linotype" w:eastAsia="Palatino Linotype" w:hAnsi="Palatino Linotype" w:cs="Palatino Linotype"/>
        </w:rPr>
        <w:t xml:space="preserve"> en el marco de las funciones de derecho público; sin embargo, éste no lo posee por las razones que deberá expresar a través de un acuerdo debidamente fundado y motivado.</w:t>
      </w:r>
    </w:p>
    <w:p w:rsidR="00A64245" w:rsidRDefault="0068139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A64245" w:rsidRDefault="0068139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A64245" w:rsidRDefault="0068139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A64245" w:rsidRDefault="0068139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119"/>
        <w:gridCol w:w="1129"/>
        <w:gridCol w:w="3446"/>
      </w:tblGrid>
      <w:tr w:rsidR="00A64245" w:rsidTr="00A64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tcPr>
          <w:p w:rsidR="00A64245" w:rsidRDefault="00681392">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Parcial</w:t>
            </w:r>
          </w:p>
        </w:tc>
        <w:tc>
          <w:tcPr>
            <w:tcW w:w="4575" w:type="dxa"/>
            <w:gridSpan w:val="2"/>
            <w:tcBorders>
              <w:top w:val="nil"/>
              <w:left w:val="nil"/>
              <w:right w:val="nil"/>
            </w:tcBorders>
          </w:tcPr>
          <w:p w:rsidR="00A64245" w:rsidRDefault="00681392">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Total</w:t>
            </w:r>
          </w:p>
        </w:tc>
      </w:tr>
      <w:tr w:rsidR="00A64245" w:rsidTr="00A64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A64245" w:rsidRDefault="00681392">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Concepto</w:t>
            </w:r>
          </w:p>
        </w:tc>
        <w:tc>
          <w:tcPr>
            <w:tcW w:w="3119" w:type="dxa"/>
          </w:tcPr>
          <w:p w:rsidR="00A64245" w:rsidRDefault="0068139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rsidR="00A64245" w:rsidRDefault="0068139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A64245" w:rsidRDefault="0068139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A64245" w:rsidTr="00A64245">
        <w:tc>
          <w:tcPr>
            <w:cnfStyle w:val="001000000000" w:firstRow="0" w:lastRow="0" w:firstColumn="1" w:lastColumn="0" w:oddVBand="0" w:evenVBand="0" w:oddHBand="0" w:evenHBand="0" w:firstRowFirstColumn="0" w:firstRowLastColumn="0" w:lastRowFirstColumn="0" w:lastRowLastColumn="0"/>
            <w:tcW w:w="8828" w:type="dxa"/>
            <w:gridSpan w:val="4"/>
          </w:tcPr>
          <w:p w:rsidR="00A64245" w:rsidRDefault="00681392">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Sello oficial o logotipo del sujeto obligado</w:t>
            </w:r>
          </w:p>
        </w:tc>
      </w:tr>
      <w:tr w:rsidR="00A64245" w:rsidTr="00A64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A64245" w:rsidRDefault="00681392">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clasificación</w:t>
            </w:r>
          </w:p>
        </w:tc>
        <w:tc>
          <w:tcPr>
            <w:tcW w:w="3119"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A64245" w:rsidTr="00A64245">
        <w:tc>
          <w:tcPr>
            <w:cnfStyle w:val="001000000000" w:firstRow="0" w:lastRow="0" w:firstColumn="1" w:lastColumn="0" w:oddVBand="0" w:evenVBand="0" w:oddHBand="0" w:evenHBand="0" w:firstRowFirstColumn="0" w:firstRowLastColumn="0" w:lastRowFirstColumn="0" w:lastRowLastColumn="0"/>
            <w:tcW w:w="1134" w:type="dxa"/>
          </w:tcPr>
          <w:p w:rsidR="00A64245" w:rsidRDefault="00681392">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Área</w:t>
            </w:r>
          </w:p>
        </w:tc>
        <w:tc>
          <w:tcPr>
            <w:tcW w:w="3119"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A64245" w:rsidTr="00A64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A64245" w:rsidRDefault="00681392">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Información reservada</w:t>
            </w:r>
          </w:p>
        </w:tc>
        <w:tc>
          <w:tcPr>
            <w:tcW w:w="3119"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A64245" w:rsidTr="00A64245">
        <w:tc>
          <w:tcPr>
            <w:cnfStyle w:val="001000000000" w:firstRow="0" w:lastRow="0" w:firstColumn="1" w:lastColumn="0" w:oddVBand="0" w:evenVBand="0" w:oddHBand="0" w:evenHBand="0" w:firstRowFirstColumn="0" w:firstRowLastColumn="0" w:lastRowFirstColumn="0" w:lastRowLastColumn="0"/>
            <w:tcW w:w="1134" w:type="dxa"/>
          </w:tcPr>
          <w:p w:rsidR="00A64245" w:rsidRDefault="00681392">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119"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A64245" w:rsidTr="00A64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A64245" w:rsidRDefault="00681392">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Ampliación del periodo de reserva</w:t>
            </w:r>
          </w:p>
        </w:tc>
        <w:tc>
          <w:tcPr>
            <w:tcW w:w="3119"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A64245" w:rsidTr="00A64245">
        <w:tc>
          <w:tcPr>
            <w:cnfStyle w:val="001000000000" w:firstRow="0" w:lastRow="0" w:firstColumn="1" w:lastColumn="0" w:oddVBand="0" w:evenVBand="0" w:oddHBand="0" w:evenHBand="0" w:firstRowFirstColumn="0" w:firstRowLastColumn="0" w:lastRowFirstColumn="0" w:lastRowLastColumn="0"/>
            <w:tcW w:w="1134" w:type="dxa"/>
          </w:tcPr>
          <w:p w:rsidR="00A64245" w:rsidRDefault="00681392">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Confidencial</w:t>
            </w:r>
          </w:p>
        </w:tc>
        <w:tc>
          <w:tcPr>
            <w:tcW w:w="3119"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A64245" w:rsidTr="00A64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A64245" w:rsidRDefault="00681392">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119"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A64245" w:rsidTr="00A64245">
        <w:tc>
          <w:tcPr>
            <w:cnfStyle w:val="001000000000" w:firstRow="0" w:lastRow="0" w:firstColumn="1" w:lastColumn="0" w:oddVBand="0" w:evenVBand="0" w:oddHBand="0" w:evenHBand="0" w:firstRowFirstColumn="0" w:firstRowLastColumn="0" w:lastRowFirstColumn="0" w:lastRowLastColumn="0"/>
            <w:tcW w:w="1134" w:type="dxa"/>
          </w:tcPr>
          <w:p w:rsidR="00A64245" w:rsidRDefault="00681392">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del titular del área</w:t>
            </w:r>
          </w:p>
        </w:tc>
        <w:tc>
          <w:tcPr>
            <w:tcW w:w="3119"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A64245" w:rsidTr="00A64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A64245" w:rsidRDefault="00681392">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desclasificación</w:t>
            </w:r>
          </w:p>
        </w:tc>
        <w:tc>
          <w:tcPr>
            <w:tcW w:w="3119"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A64245" w:rsidTr="00A64245">
        <w:tc>
          <w:tcPr>
            <w:cnfStyle w:val="001000000000" w:firstRow="0" w:lastRow="0" w:firstColumn="1" w:lastColumn="0" w:oddVBand="0" w:evenVBand="0" w:oddHBand="0" w:evenHBand="0" w:firstRowFirstColumn="0" w:firstRowLastColumn="0" w:lastRowFirstColumn="0" w:lastRowLastColumn="0"/>
            <w:tcW w:w="1134" w:type="dxa"/>
          </w:tcPr>
          <w:p w:rsidR="00A64245" w:rsidRDefault="00681392">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y cargo del servidor público</w:t>
            </w:r>
          </w:p>
        </w:tc>
        <w:tc>
          <w:tcPr>
            <w:tcW w:w="3119"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A64245" w:rsidTr="00A64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A64245" w:rsidRDefault="00A64245">
            <w:pPr>
              <w:jc w:val="both"/>
              <w:rPr>
                <w:rFonts w:ascii="Palatino Linotype" w:eastAsia="Palatino Linotype" w:hAnsi="Palatino Linotype" w:cs="Palatino Linotype"/>
                <w:sz w:val="12"/>
                <w:szCs w:val="12"/>
              </w:rPr>
            </w:pPr>
          </w:p>
        </w:tc>
        <w:tc>
          <w:tcPr>
            <w:tcW w:w="3119" w:type="dxa"/>
          </w:tcPr>
          <w:p w:rsidR="00A64245" w:rsidRDefault="00A6424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A64245" w:rsidRDefault="0068139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A64245" w:rsidTr="00A64245">
        <w:tc>
          <w:tcPr>
            <w:cnfStyle w:val="001000000000" w:firstRow="0" w:lastRow="0" w:firstColumn="1" w:lastColumn="0" w:oddVBand="0" w:evenVBand="0" w:oddHBand="0" w:evenHBand="0" w:firstRowFirstColumn="0" w:firstRowLastColumn="0" w:lastRowFirstColumn="0" w:lastRowLastColumn="0"/>
            <w:tcW w:w="1134" w:type="dxa"/>
          </w:tcPr>
          <w:p w:rsidR="00A64245" w:rsidRDefault="00A64245">
            <w:pPr>
              <w:jc w:val="both"/>
              <w:rPr>
                <w:rFonts w:ascii="Palatino Linotype" w:eastAsia="Palatino Linotype" w:hAnsi="Palatino Linotype" w:cs="Palatino Linotype"/>
                <w:sz w:val="12"/>
                <w:szCs w:val="12"/>
              </w:rPr>
            </w:pPr>
          </w:p>
        </w:tc>
        <w:tc>
          <w:tcPr>
            <w:tcW w:w="3119" w:type="dxa"/>
          </w:tcPr>
          <w:p w:rsidR="00A64245" w:rsidRDefault="00A6424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A64245" w:rsidRDefault="0068139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de México; 2, fracción II; 29, 36 fracciones I y II; 176, 178, 181, 185 de la Ley de Transparencia y Acceso a la Información Pública del Estado de México y Municipios, este Pleno:</w:t>
      </w:r>
    </w:p>
    <w:p w:rsidR="00A64245" w:rsidRDefault="00681392">
      <w:pPr>
        <w:numPr>
          <w:ilvl w:val="0"/>
          <w:numId w:val="5"/>
        </w:numPr>
        <w:pBdr>
          <w:top w:val="nil"/>
          <w:left w:val="nil"/>
          <w:bottom w:val="nil"/>
          <w:right w:val="nil"/>
          <w:between w:val="nil"/>
        </w:pBdr>
        <w:spacing w:before="240" w:after="240" w:line="360" w:lineRule="auto"/>
        <w:ind w:left="284" w:hanging="568"/>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parcialmente</w:t>
      </w:r>
      <w:r>
        <w:rPr>
          <w:rFonts w:ascii="Palatino Linotype" w:eastAsia="Palatino Linotype" w:hAnsi="Palatino Linotype" w:cs="Palatino Linotype"/>
        </w:rPr>
        <w:t xml:space="preserve">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hechos valer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05849/INFOEM/IP/RR/2021</w:t>
      </w:r>
      <w:r>
        <w:rPr>
          <w:rFonts w:ascii="Palatino Linotype" w:eastAsia="Palatino Linotype" w:hAnsi="Palatino Linotype" w:cs="Palatino Linotype"/>
        </w:rPr>
        <w:t>, por lo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p>
    <w:p w:rsidR="00A64245" w:rsidRDefault="00681392">
      <w:pPr>
        <w:spacing w:before="240" w:after="240" w:line="360" w:lineRule="auto"/>
        <w:jc w:val="both"/>
        <w:rPr>
          <w:rFonts w:ascii="Palatino Linotype" w:eastAsia="Palatino Linotype" w:hAnsi="Palatino Linotype" w:cs="Palatino Linotype"/>
        </w:rPr>
      </w:pPr>
      <w:bookmarkStart w:id="6" w:name="_heading=h.tyjcwt" w:colFirst="0" w:colLast="0"/>
      <w:bookmarkEnd w:id="6"/>
      <w:r>
        <w:rPr>
          <w:rFonts w:ascii="Palatino Linotype" w:eastAsia="Palatino Linotype" w:hAnsi="Palatino Linotype" w:cs="Palatino Linotype"/>
          <w:b/>
        </w:rPr>
        <w:t>Segundo.</w:t>
      </w:r>
      <w:r>
        <w:rPr>
          <w:rFonts w:ascii="Palatino Linotype" w:eastAsia="Palatino Linotype" w:hAnsi="Palatino Linotype" w:cs="Palatino Linotype"/>
        </w:rPr>
        <w:t xml:space="preserve">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Sujeto Obligado, que </w:t>
      </w:r>
      <w:r>
        <w:rPr>
          <w:rFonts w:ascii="Palatino Linotype" w:eastAsia="Palatino Linotype" w:hAnsi="Palatino Linotype" w:cs="Palatino Linotype"/>
          <w:b/>
        </w:rPr>
        <w:t>previa búsqueda exhaustiva y razonable</w:t>
      </w:r>
      <w:r>
        <w:rPr>
          <w:rFonts w:ascii="Palatino Linotype" w:eastAsia="Palatino Linotype" w:hAnsi="Palatino Linotype" w:cs="Palatino Linotype"/>
        </w:rPr>
        <w:t xml:space="preserve">, haga entrega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de ser el caso, en </w:t>
      </w:r>
      <w:r>
        <w:rPr>
          <w:rFonts w:ascii="Palatino Linotype" w:eastAsia="Palatino Linotype" w:hAnsi="Palatino Linotype" w:cs="Palatino Linotype"/>
          <w:b/>
        </w:rPr>
        <w:t>versión pública</w:t>
      </w:r>
      <w:r>
        <w:rPr>
          <w:rFonts w:ascii="Palatino Linotype" w:eastAsia="Palatino Linotype" w:hAnsi="Palatino Linotype" w:cs="Palatino Linotype"/>
        </w:rPr>
        <w:t xml:space="preserve">, en términos de los </w:t>
      </w:r>
      <w:r>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esta resolución, lo siguiente:</w:t>
      </w:r>
    </w:p>
    <w:p w:rsidR="00A64245" w:rsidRDefault="00681392">
      <w:pPr>
        <w:numPr>
          <w:ilvl w:val="0"/>
          <w:numId w:val="3"/>
        </w:numPr>
        <w:pBdr>
          <w:top w:val="nil"/>
          <w:left w:val="nil"/>
          <w:bottom w:val="nil"/>
          <w:right w:val="nil"/>
          <w:between w:val="nil"/>
        </w:pBdr>
        <w:spacing w:before="240"/>
        <w:ind w:left="567" w:right="104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Estados de cuenta mensuales faltante</w:t>
      </w:r>
      <w:r>
        <w:rPr>
          <w:rFonts w:ascii="Palatino Linotype" w:eastAsia="Palatino Linotype" w:hAnsi="Palatino Linotype" w:cs="Palatino Linotype"/>
          <w:i/>
          <w:sz w:val="22"/>
          <w:szCs w:val="22"/>
        </w:rPr>
        <w:t xml:space="preserve">s </w:t>
      </w:r>
      <w:r>
        <w:rPr>
          <w:rFonts w:ascii="Palatino Linotype" w:eastAsia="Palatino Linotype" w:hAnsi="Palatino Linotype" w:cs="Palatino Linotype"/>
          <w:i/>
          <w:color w:val="000000"/>
          <w:sz w:val="22"/>
          <w:szCs w:val="22"/>
        </w:rPr>
        <w:t xml:space="preserve">que reciben por parte del suministrador del servicio, de alumbrado público en pdf, del 1 de enero de 2015 al 12 de octubre de 2021. </w:t>
      </w:r>
    </w:p>
    <w:p w:rsidR="00A64245" w:rsidRDefault="00681392">
      <w:pPr>
        <w:numPr>
          <w:ilvl w:val="0"/>
          <w:numId w:val="3"/>
        </w:numPr>
        <w:pBdr>
          <w:top w:val="nil"/>
          <w:left w:val="nil"/>
          <w:bottom w:val="nil"/>
          <w:right w:val="nil"/>
          <w:between w:val="nil"/>
        </w:pBdr>
        <w:ind w:left="567" w:right="104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Soporte documental en el que conste el Registro Móvil de Usuario (RMU) asignado al servicio de alumbrado público así como la suma resultante del importe, en formato .xlsx o pdf, generado del 1 de enero de 2015 al 12 de octubre de 2021.</w:t>
      </w:r>
    </w:p>
    <w:p w:rsidR="00A64245" w:rsidRDefault="00681392">
      <w:pPr>
        <w:numPr>
          <w:ilvl w:val="0"/>
          <w:numId w:val="3"/>
        </w:numPr>
        <w:pBdr>
          <w:top w:val="nil"/>
          <w:left w:val="nil"/>
          <w:bottom w:val="nil"/>
          <w:right w:val="nil"/>
          <w:between w:val="nil"/>
        </w:pBdr>
        <w:ind w:left="567" w:right="1041"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Soporte documental en el que consten los cargos o créditos que procedan como resultado del censo realizado en formato pdf, generado del 12 de octubre de 2020 al 12 de octubre de 2021. </w:t>
      </w:r>
    </w:p>
    <w:p w:rsidR="00A64245" w:rsidRDefault="00681392">
      <w:pPr>
        <w:numPr>
          <w:ilvl w:val="0"/>
          <w:numId w:val="3"/>
        </w:numPr>
        <w:pBdr>
          <w:top w:val="nil"/>
          <w:left w:val="nil"/>
          <w:bottom w:val="nil"/>
          <w:right w:val="nil"/>
          <w:between w:val="nil"/>
        </w:pBdr>
        <w:ind w:left="567" w:right="902"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Oficios en formato .pdf que haya expedido el Municipio al suministrador de servicio de alumbrado público, relativos a temas de alumbrado público, generados del 1 de enero de 2015 al 12 de octubre de 2021.</w:t>
      </w:r>
    </w:p>
    <w:p w:rsidR="00A64245" w:rsidRDefault="00681392">
      <w:pPr>
        <w:numPr>
          <w:ilvl w:val="0"/>
          <w:numId w:val="3"/>
        </w:numPr>
        <w:pBdr>
          <w:top w:val="nil"/>
          <w:left w:val="nil"/>
          <w:bottom w:val="nil"/>
          <w:right w:val="nil"/>
          <w:between w:val="nil"/>
        </w:pBdr>
        <w:ind w:left="567" w:right="873"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Oficios o soportes documentales en formato .pdf expedido por el suministrador de servicio de alumbrado público, al municipio relativo a temas de alumbrado público, generados del 1 de enero de 2015 al 12 de octubre de 2021.</w:t>
      </w:r>
    </w:p>
    <w:p w:rsidR="00A64245" w:rsidRDefault="00681392">
      <w:pPr>
        <w:spacing w:before="120"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 la particular.</w:t>
      </w:r>
    </w:p>
    <w:p w:rsidR="00A64245" w:rsidRDefault="0068139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que derivado de la búsqueda exhaustiva y razonable, no se localice la información que se ordena, el Sujeto Obligado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rsidR="00A64245" w:rsidRDefault="0068139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Tercero. Notifíquese vía Sistema de Acceso a la Información Mexiquense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w:t>
      </w:r>
      <w:r>
        <w:rPr>
          <w:rFonts w:ascii="Palatino Linotype" w:eastAsia="Palatino Linotype" w:hAnsi="Palatino Linotype" w:cs="Palatino Linotype"/>
          <w:b/>
        </w:rPr>
        <w:t>diez días hábiles</w:t>
      </w:r>
      <w:r>
        <w:rPr>
          <w:rFonts w:ascii="Palatino Linotype" w:eastAsia="Palatino Linotype" w:hAnsi="Palatino Linotype" w:cs="Palatino Linotype"/>
        </w:rPr>
        <w:t>, debiendo informar a este Instituto en un plazo de tres días hábiles siguientes sobre el cumplimiento dado a la misma</w:t>
      </w:r>
      <w:r>
        <w:rPr>
          <w:rFonts w:ascii="Palatino Linotype" w:eastAsia="Palatino Linotype" w:hAnsi="Palatino Linotype" w:cs="Palatino Linotype"/>
          <w:b/>
        </w:rPr>
        <w:t>.</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A64245" w:rsidRDefault="006813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al recurrente </w:t>
      </w:r>
      <w:r>
        <w:rPr>
          <w:rFonts w:ascii="Palatino Linotype" w:eastAsia="Palatino Linotype" w:hAnsi="Palatino Linotype" w:cs="Palatino Linotype"/>
          <w:b/>
        </w:rPr>
        <w:t>vía Sistema de Acceso a la Información Mexiquense (SAIMEX),</w:t>
      </w:r>
      <w:r>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 xml:space="preserve">la presente resolución, </w:t>
      </w:r>
      <w:r>
        <w:rPr>
          <w:rFonts w:ascii="Palatino Linotype" w:eastAsia="Palatino Linotype" w:hAnsi="Palatino Linotype" w:cs="Palatino Linotype"/>
        </w:rPr>
        <w:t xml:space="preserve">así como, que de conformidad con lo establecido en el artículo 196 de la Ley de Transparencia y Acceso a la Información Pública del Estado de México y Municipios, en caso de que considere que le causa algún perjuicio podrá impugnarla </w:t>
      </w:r>
      <w:r>
        <w:rPr>
          <w:rFonts w:ascii="Palatino Linotype" w:eastAsia="Palatino Linotype" w:hAnsi="Palatino Linotype" w:cs="Palatino Linotype"/>
          <w:b/>
        </w:rPr>
        <w:t>vía Juicio de Amparo</w:t>
      </w:r>
      <w:r>
        <w:rPr>
          <w:rFonts w:ascii="Palatino Linotype" w:eastAsia="Palatino Linotype" w:hAnsi="Palatino Linotype" w:cs="Palatino Linotype"/>
        </w:rPr>
        <w:t xml:space="preserve"> en los términos de las leyes aplicables.</w:t>
      </w:r>
    </w:p>
    <w:p w:rsidR="00A64245" w:rsidRDefault="00681392">
      <w:pPr>
        <w:spacing w:before="240" w:after="240" w:line="360" w:lineRule="auto"/>
        <w:jc w:val="both"/>
        <w:rPr>
          <w:rFonts w:ascii="Palatino Linotype" w:eastAsia="Palatino Linotype" w:hAnsi="Palatino Linotype" w:cs="Palatino Linotype"/>
        </w:rPr>
        <w:sectPr w:rsidR="00A64245">
          <w:headerReference w:type="default" r:id="rId37"/>
          <w:footerReference w:type="default" r:id="rId38"/>
          <w:headerReference w:type="first" r:id="rId39"/>
          <w:footerReference w:type="first" r:id="rId40"/>
          <w:pgSz w:w="12240" w:h="15840"/>
          <w:pgMar w:top="1985" w:right="1701" w:bottom="1701" w:left="1701" w:header="709" w:footer="709"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QUINTA SESIÓN ORDINARIA CELEBRADA EL DIEZ DE FEBRERO DE DOS MIL VEINTIDÓS, </w:t>
      </w:r>
      <w:r>
        <w:rPr>
          <w:rFonts w:ascii="Palatino Linotype" w:eastAsia="Palatino Linotype" w:hAnsi="Palatino Linotype" w:cs="Palatino Linotype"/>
          <w:noProof/>
          <w:lang w:val="es-MX"/>
        </w:rPr>
        <mc:AlternateContent>
          <mc:Choice Requires="wps">
            <w:drawing>
              <wp:anchor distT="0" distB="0" distL="114300" distR="114300" simplePos="0" relativeHeight="251671552" behindDoc="0" locked="0" layoutInCell="1" allowOverlap="1">
                <wp:simplePos x="0" y="0"/>
                <wp:positionH relativeFrom="column">
                  <wp:posOffset>62865</wp:posOffset>
                </wp:positionH>
                <wp:positionV relativeFrom="paragraph">
                  <wp:posOffset>1134109</wp:posOffset>
                </wp:positionV>
                <wp:extent cx="5372100" cy="65436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372100" cy="6543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885DE0" id="Conector recto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95pt,89.3pt" to="427.95pt,6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" strokecolor="black [3040]"/>
            </w:pict>
          </mc:Fallback>
        </mc:AlternateContent>
      </w:r>
      <w:r>
        <w:rPr>
          <w:rFonts w:ascii="Palatino Linotype" w:eastAsia="Palatino Linotype" w:hAnsi="Palatino Linotype" w:cs="Palatino Linotype"/>
        </w:rPr>
        <w:t>ANTE EL SECRETARIO TÉCNICO DEL PLENO, ALEXIS TAPIA RAMÍREZ</w:t>
      </w:r>
    </w:p>
    <w:p w:rsidR="00A64245" w:rsidRDefault="00A64245">
      <w:pPr>
        <w:spacing w:before="240" w:after="240" w:line="360" w:lineRule="auto"/>
        <w:jc w:val="both"/>
        <w:rPr>
          <w:rFonts w:ascii="Palatino Linotype" w:eastAsia="Palatino Linotype" w:hAnsi="Palatino Linotype" w:cs="Palatino Linotype"/>
        </w:rPr>
      </w:pPr>
    </w:p>
    <w:sectPr w:rsidR="00A64245">
      <w:headerReference w:type="first" r:id="rId41"/>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B93" w:rsidRDefault="00681392">
      <w:r>
        <w:separator/>
      </w:r>
    </w:p>
  </w:endnote>
  <w:endnote w:type="continuationSeparator" w:id="0">
    <w:p w:rsidR="00EB0B93" w:rsidRDefault="00681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245" w:rsidRDefault="0068139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33989">
      <w:rPr>
        <w:rFonts w:ascii="Palatino Linotype" w:eastAsia="Palatino Linotype" w:hAnsi="Palatino Linotype" w:cs="Palatino Linotype"/>
        <w:b/>
        <w:noProof/>
        <w:color w:val="000000"/>
        <w:sz w:val="20"/>
        <w:szCs w:val="20"/>
      </w:rPr>
      <w:t>79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33989">
      <w:rPr>
        <w:rFonts w:ascii="Palatino Linotype" w:eastAsia="Palatino Linotype" w:hAnsi="Palatino Linotype" w:cs="Palatino Linotype"/>
        <w:b/>
        <w:noProof/>
        <w:color w:val="000000"/>
        <w:sz w:val="20"/>
        <w:szCs w:val="20"/>
      </w:rPr>
      <w:t>80</w:t>
    </w:r>
    <w:r>
      <w:rPr>
        <w:rFonts w:ascii="Palatino Linotype" w:eastAsia="Palatino Linotype" w:hAnsi="Palatino Linotype" w:cs="Palatino Linotype"/>
        <w:b/>
        <w:color w:val="000000"/>
        <w:sz w:val="20"/>
        <w:szCs w:val="20"/>
      </w:rPr>
      <w:fldChar w:fldCharType="end"/>
    </w:r>
  </w:p>
  <w:p w:rsidR="00A64245" w:rsidRDefault="00A6424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245" w:rsidRDefault="0068139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33989">
      <w:rPr>
        <w:rFonts w:ascii="Palatino Linotype" w:eastAsia="Palatino Linotype" w:hAnsi="Palatino Linotype" w:cs="Palatino Linotype"/>
        <w:b/>
        <w:noProof/>
        <w:color w:val="000000"/>
        <w:sz w:val="20"/>
        <w:szCs w:val="20"/>
      </w:rPr>
      <w:t>80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33989">
      <w:rPr>
        <w:rFonts w:ascii="Palatino Linotype" w:eastAsia="Palatino Linotype" w:hAnsi="Palatino Linotype" w:cs="Palatino Linotype"/>
        <w:b/>
        <w:noProof/>
        <w:color w:val="000000"/>
        <w:sz w:val="20"/>
        <w:szCs w:val="20"/>
      </w:rPr>
      <w:t>80</w:t>
    </w:r>
    <w:r>
      <w:rPr>
        <w:rFonts w:ascii="Palatino Linotype" w:eastAsia="Palatino Linotype" w:hAnsi="Palatino Linotype" w:cs="Palatino Linotype"/>
        <w:b/>
        <w:color w:val="000000"/>
        <w:sz w:val="20"/>
        <w:szCs w:val="20"/>
      </w:rPr>
      <w:fldChar w:fldCharType="end"/>
    </w:r>
  </w:p>
  <w:p w:rsidR="00A64245" w:rsidRDefault="00A6424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B93" w:rsidRDefault="00681392">
      <w:r>
        <w:separator/>
      </w:r>
    </w:p>
  </w:footnote>
  <w:footnote w:type="continuationSeparator" w:id="0">
    <w:p w:rsidR="00EB0B93" w:rsidRDefault="00681392">
      <w:r>
        <w:continuationSeparator/>
      </w:r>
    </w:p>
  </w:footnote>
  <w:footnote w:id="1">
    <w:p w:rsidR="00A64245" w:rsidRDefault="0068139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highlight w:val="white"/>
            <w:u w:val="single"/>
          </w:rPr>
          <w:t>Programa de modernización  del Alumbrado Público, periodo 2011 - 2017.</w:t>
        </w:r>
      </w:hyperlink>
    </w:p>
  </w:footnote>
  <w:footnote w:id="2">
    <w:p w:rsidR="00A64245" w:rsidRDefault="0068139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342 del Código Financiero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245" w:rsidRDefault="0068139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-1121409</wp:posOffset>
          </wp:positionH>
          <wp:positionV relativeFrom="paragraph">
            <wp:posOffset>-415289</wp:posOffset>
          </wp:positionV>
          <wp:extent cx="7809865" cy="10165715"/>
          <wp:effectExtent l="0" t="0" r="0" b="0"/>
          <wp:wrapNone/>
          <wp:docPr id="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A64245">
      <w:tc>
        <w:tcPr>
          <w:tcW w:w="2489" w:type="dxa"/>
          <w:shd w:val="clear" w:color="auto" w:fill="auto"/>
        </w:tcPr>
        <w:p w:rsidR="00A64245" w:rsidRDefault="006813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A64245" w:rsidRDefault="00681392">
          <w:pPr>
            <w:ind w:left="-46"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05849/INFOEM/IP/RR/2021 </w:t>
          </w:r>
        </w:p>
      </w:tc>
    </w:tr>
    <w:tr w:rsidR="00A64245">
      <w:trPr>
        <w:trHeight w:val="228"/>
      </w:trPr>
      <w:tc>
        <w:tcPr>
          <w:tcW w:w="2489" w:type="dxa"/>
          <w:shd w:val="clear" w:color="auto" w:fill="auto"/>
          <w:vAlign w:val="center"/>
        </w:tcPr>
        <w:p w:rsidR="00A64245" w:rsidRDefault="006813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A64245" w:rsidRDefault="00681392">
          <w:pPr>
            <w:ind w:left="-45" w:right="14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Chimalhuacán</w:t>
          </w:r>
        </w:p>
      </w:tc>
    </w:tr>
    <w:tr w:rsidR="00A64245">
      <w:tc>
        <w:tcPr>
          <w:tcW w:w="2489" w:type="dxa"/>
          <w:shd w:val="clear" w:color="auto" w:fill="auto"/>
          <w:vAlign w:val="center"/>
        </w:tcPr>
        <w:p w:rsidR="00A64245" w:rsidRDefault="0068139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A64245" w:rsidRDefault="00681392">
          <w:pPr>
            <w:ind w:left="-46"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64245" w:rsidRDefault="0068139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245" w:rsidRDefault="00A6424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2"/>
      <w:tblW w:w="5670" w:type="dxa"/>
      <w:tblInd w:w="3261" w:type="dxa"/>
      <w:tblLayout w:type="fixed"/>
      <w:tblLook w:val="0400" w:firstRow="0" w:lastRow="0" w:firstColumn="0" w:lastColumn="0" w:noHBand="0" w:noVBand="1"/>
    </w:tblPr>
    <w:tblGrid>
      <w:gridCol w:w="2551"/>
      <w:gridCol w:w="3119"/>
    </w:tblGrid>
    <w:tr w:rsidR="00A64245">
      <w:tc>
        <w:tcPr>
          <w:tcW w:w="2551" w:type="dxa"/>
          <w:shd w:val="clear" w:color="auto" w:fill="auto"/>
          <w:vAlign w:val="center"/>
        </w:tcPr>
        <w:p w:rsidR="00A64245" w:rsidRDefault="006813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A64245" w:rsidRDefault="0068139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05849/INFOEM/IP/RR/2021</w:t>
          </w:r>
        </w:p>
      </w:tc>
    </w:tr>
    <w:tr w:rsidR="00A64245">
      <w:trPr>
        <w:trHeight w:val="130"/>
      </w:trPr>
      <w:tc>
        <w:tcPr>
          <w:tcW w:w="2551" w:type="dxa"/>
          <w:shd w:val="clear" w:color="auto" w:fill="auto"/>
          <w:vAlign w:val="center"/>
        </w:tcPr>
        <w:p w:rsidR="00A64245" w:rsidRDefault="006813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A64245" w:rsidRDefault="00A33989">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XXXXXXX XXXXXXXXX</w:t>
          </w:r>
        </w:p>
      </w:tc>
    </w:tr>
    <w:tr w:rsidR="00A64245">
      <w:trPr>
        <w:trHeight w:val="228"/>
      </w:trPr>
      <w:tc>
        <w:tcPr>
          <w:tcW w:w="2551" w:type="dxa"/>
          <w:shd w:val="clear" w:color="auto" w:fill="auto"/>
          <w:vAlign w:val="center"/>
        </w:tcPr>
        <w:p w:rsidR="00A64245" w:rsidRDefault="006813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A64245" w:rsidRDefault="00681392">
          <w:pPr>
            <w:ind w:left="-45" w:right="116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Chimalhuacán</w:t>
          </w:r>
        </w:p>
      </w:tc>
    </w:tr>
    <w:tr w:rsidR="00A64245">
      <w:tc>
        <w:tcPr>
          <w:tcW w:w="2551" w:type="dxa"/>
          <w:shd w:val="clear" w:color="auto" w:fill="auto"/>
          <w:vAlign w:val="center"/>
        </w:tcPr>
        <w:p w:rsidR="00A64245" w:rsidRDefault="006813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A64245" w:rsidRDefault="0068139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64245" w:rsidRDefault="00681392">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-1139189</wp:posOffset>
          </wp:positionH>
          <wp:positionV relativeFrom="paragraph">
            <wp:posOffset>-1198879</wp:posOffset>
          </wp:positionV>
          <wp:extent cx="7809876" cy="10165823"/>
          <wp:effectExtent l="0" t="0" r="0" b="0"/>
          <wp:wrapNone/>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245" w:rsidRDefault="00A6424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277F8"/>
    <w:multiLevelType w:val="multilevel"/>
    <w:tmpl w:val="5D389E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28324AF"/>
    <w:multiLevelType w:val="multilevel"/>
    <w:tmpl w:val="F470155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58E7A79"/>
    <w:multiLevelType w:val="multilevel"/>
    <w:tmpl w:val="AD32CA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17B2D2D"/>
    <w:multiLevelType w:val="multilevel"/>
    <w:tmpl w:val="B7F00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55D87D12"/>
    <w:multiLevelType w:val="multilevel"/>
    <w:tmpl w:val="D3248680"/>
    <w:lvl w:ilvl="0">
      <w:start w:val="1"/>
      <w:numFmt w:val="bullet"/>
      <w:pStyle w:val="Listaconvietas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9741004"/>
    <w:multiLevelType w:val="multilevel"/>
    <w:tmpl w:val="2DBE34E6"/>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5B31E2D"/>
    <w:multiLevelType w:val="multilevel"/>
    <w:tmpl w:val="B89A5A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2"/>
  </w:num>
  <w:num w:numId="4">
    <w:abstractNumId w:val="6"/>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245"/>
    <w:rsid w:val="00681392"/>
    <w:rsid w:val="00A33989"/>
    <w:rsid w:val="00A64245"/>
    <w:rsid w:val="00EB0B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0D06C5-4C98-46ED-A37C-11B13D06F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B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9.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80.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25.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24.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0.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6.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obrapublica.edomex.gob.mx/sites/infraestructura.edomex.gob.mx/files/files/Administracion_y_Construccion/pdf/DGE/A-Public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16bdS/kMQsNTaDFuS/O19vMUdA==">AMUW2mVSdignpYbAz1DcRvj1oTqAOTTHoidoPh8YmIMdTLKGxSKiNdOp7HhXwTrpGjMCNgyjSQaMI9yhMPtKnrwKmQwzQDW6XG+z0aY08WX2tvcri77i/1c643gGjEgYDbOFBOll/F0zTpyRzCJNpZ/oIKzaNHN9Ev3m1UXZVao7JV6qGWmyZoPysTdILjj5hFXeR0QXUbHT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16930</Words>
  <Characters>93119</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Cuenta Microsoft</cp:lastModifiedBy>
  <cp:revision>2</cp:revision>
  <dcterms:created xsi:type="dcterms:W3CDTF">2022-02-25T20:11:00Z</dcterms:created>
  <dcterms:modified xsi:type="dcterms:W3CDTF">2022-02-25T20:11:00Z</dcterms:modified>
</cp:coreProperties>
</file>